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7162A" w14:textId="77777777" w:rsidR="003B1DCB" w:rsidRDefault="003B1DCB" w:rsidP="003B1DCB">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3FB81C2F" wp14:editId="151E0EAB">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3D25768F" wp14:editId="61422DE1">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42E6FA16" wp14:editId="321506AB">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EA159D" w14:textId="77777777" w:rsidR="003B1DCB" w:rsidRPr="00411A74" w:rsidRDefault="003B1DCB" w:rsidP="003B1DCB">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7E4BDF07" w14:textId="77777777" w:rsidR="003B1DCB" w:rsidRDefault="003B1DCB" w:rsidP="003B1DCB">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7F6E29D3" w14:textId="77777777" w:rsidR="002A159B" w:rsidRDefault="002A159B" w:rsidP="002A159B">
      <w:pPr>
        <w:spacing w:after="0" w:line="240" w:lineRule="auto"/>
        <w:jc w:val="center"/>
        <w:outlineLvl w:val="0"/>
        <w:rPr>
          <w:rFonts w:ascii="Calibri Light" w:hAnsi="Calibri Light"/>
          <w:b/>
          <w:i/>
          <w:lang w:val="es-PE"/>
        </w:rPr>
      </w:pPr>
    </w:p>
    <w:tbl>
      <w:tblPr>
        <w:tblStyle w:val="Tabladelista2-nfasis11"/>
        <w:tblW w:w="0" w:type="auto"/>
        <w:tblInd w:w="0" w:type="dxa"/>
        <w:tblLook w:val="04A0" w:firstRow="1" w:lastRow="0" w:firstColumn="1" w:lastColumn="0" w:noHBand="0" w:noVBand="1"/>
      </w:tblPr>
      <w:tblGrid>
        <w:gridCol w:w="3586"/>
        <w:gridCol w:w="2343"/>
        <w:gridCol w:w="2575"/>
      </w:tblGrid>
      <w:tr w:rsidR="00384E44" w:rsidRPr="002806B6" w14:paraId="71411BB6" w14:textId="77777777" w:rsidTr="00264EE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vAlign w:val="center"/>
          </w:tcPr>
          <w:p w14:paraId="55491F42" w14:textId="4D27F8C6" w:rsidR="00384E44" w:rsidRPr="002806B6" w:rsidRDefault="00384E44" w:rsidP="00264EE3">
            <w:pPr>
              <w:pStyle w:val="ListParagraph"/>
              <w:numPr>
                <w:ilvl w:val="0"/>
                <w:numId w:val="1"/>
              </w:numPr>
              <w:spacing w:after="0" w:line="240" w:lineRule="auto"/>
              <w:jc w:val="center"/>
              <w:rPr>
                <w:rFonts w:asciiTheme="majorHAnsi" w:hAnsiTheme="majorHAnsi"/>
              </w:rPr>
            </w:pPr>
            <w:r w:rsidRPr="002806B6">
              <w:rPr>
                <w:rFonts w:asciiTheme="majorHAnsi" w:hAnsiTheme="majorHAnsi"/>
              </w:rPr>
              <w:t>Datos generales</w:t>
            </w:r>
          </w:p>
        </w:tc>
      </w:tr>
      <w:tr w:rsidR="00384E44" w:rsidRPr="002806B6" w14:paraId="6D5FE058" w14:textId="77777777" w:rsidTr="00894D8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2E5" w:themeColor="accent1" w:themeTint="99"/>
              <w:left w:val="nil"/>
              <w:bottom w:val="single" w:sz="4" w:space="0" w:color="9CC2E5" w:themeColor="accent1" w:themeTint="99"/>
              <w:right w:val="nil"/>
            </w:tcBorders>
            <w:hideMark/>
          </w:tcPr>
          <w:p w14:paraId="69D1152B" w14:textId="77777777" w:rsidR="00384E44" w:rsidRPr="002806B6" w:rsidRDefault="00384E44" w:rsidP="00894D87">
            <w:pPr>
              <w:pStyle w:val="ListParagraph"/>
              <w:numPr>
                <w:ilvl w:val="0"/>
                <w:numId w:val="2"/>
              </w:numPr>
              <w:spacing w:after="0" w:line="240" w:lineRule="auto"/>
              <w:rPr>
                <w:rFonts w:asciiTheme="majorHAnsi" w:hAnsiTheme="majorHAnsi"/>
              </w:rPr>
            </w:pPr>
            <w:r w:rsidRPr="002806B6">
              <w:rPr>
                <w:rFonts w:asciiTheme="majorHAnsi" w:hAnsiTheme="majorHAnsi"/>
              </w:rPr>
              <w:t>Nombre del caso</w:t>
            </w:r>
          </w:p>
        </w:tc>
        <w:tc>
          <w:tcPr>
            <w:tcW w:w="4918" w:type="dxa"/>
            <w:gridSpan w:val="2"/>
            <w:tcBorders>
              <w:top w:val="single" w:sz="4" w:space="0" w:color="9CC2E5" w:themeColor="accent1" w:themeTint="99"/>
              <w:left w:val="nil"/>
              <w:bottom w:val="single" w:sz="4" w:space="0" w:color="9CC2E5" w:themeColor="accent1" w:themeTint="99"/>
              <w:right w:val="nil"/>
            </w:tcBorders>
          </w:tcPr>
          <w:p w14:paraId="1525FCCC" w14:textId="77777777" w:rsidR="00384E44" w:rsidRPr="002806B6" w:rsidRDefault="00384E44" w:rsidP="00894D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806B6">
              <w:rPr>
                <w:rFonts w:asciiTheme="majorHAnsi" w:hAnsiTheme="majorHAnsi"/>
              </w:rPr>
              <w:t>Comunidades indígenas miembros de la Asociación Lhaka Honhat (Nuestra Tierra), Argentina</w:t>
            </w:r>
          </w:p>
        </w:tc>
      </w:tr>
      <w:tr w:rsidR="00384E44" w:rsidRPr="002806B6" w14:paraId="40ECF1A5" w14:textId="77777777" w:rsidTr="00894D87">
        <w:trPr>
          <w:trHeight w:val="263"/>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2E5" w:themeColor="accent1" w:themeTint="99"/>
              <w:left w:val="nil"/>
              <w:bottom w:val="single" w:sz="4" w:space="0" w:color="9CC2E5" w:themeColor="accent1" w:themeTint="99"/>
              <w:right w:val="nil"/>
            </w:tcBorders>
            <w:hideMark/>
          </w:tcPr>
          <w:p w14:paraId="122E7FB1" w14:textId="77777777" w:rsidR="00384E44" w:rsidRPr="002806B6" w:rsidRDefault="00384E44" w:rsidP="00894D87">
            <w:pPr>
              <w:pStyle w:val="ListParagraph"/>
              <w:numPr>
                <w:ilvl w:val="0"/>
                <w:numId w:val="2"/>
              </w:numPr>
              <w:spacing w:after="0" w:line="240" w:lineRule="auto"/>
              <w:rPr>
                <w:rFonts w:asciiTheme="majorHAnsi" w:hAnsiTheme="majorHAnsi"/>
              </w:rPr>
            </w:pPr>
            <w:r w:rsidRPr="002806B6">
              <w:rPr>
                <w:rFonts w:asciiTheme="majorHAnsi" w:hAnsiTheme="majorHAnsi"/>
              </w:rPr>
              <w:t>Nombre de la parte peticionaria</w:t>
            </w:r>
          </w:p>
        </w:tc>
        <w:tc>
          <w:tcPr>
            <w:tcW w:w="4918" w:type="dxa"/>
            <w:gridSpan w:val="2"/>
            <w:tcBorders>
              <w:top w:val="single" w:sz="4" w:space="0" w:color="9CC2E5" w:themeColor="accent1" w:themeTint="99"/>
              <w:left w:val="nil"/>
              <w:bottom w:val="single" w:sz="4" w:space="0" w:color="9CC2E5" w:themeColor="accent1" w:themeTint="99"/>
              <w:right w:val="nil"/>
            </w:tcBorders>
          </w:tcPr>
          <w:p w14:paraId="1CE5562F" w14:textId="77777777" w:rsidR="00384E44" w:rsidRPr="002806B6" w:rsidRDefault="00384E44" w:rsidP="00894D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806B6">
              <w:rPr>
                <w:rFonts w:asciiTheme="majorHAnsi" w:hAnsiTheme="majorHAnsi"/>
              </w:rPr>
              <w:t>Asociación Lhaka Honhat</w:t>
            </w:r>
          </w:p>
          <w:p w14:paraId="25281B59" w14:textId="77777777" w:rsidR="00384E44" w:rsidRPr="002806B6" w:rsidRDefault="00384E44" w:rsidP="00894D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806B6">
              <w:rPr>
                <w:rFonts w:asciiTheme="majorHAnsi" w:hAnsiTheme="majorHAnsi"/>
              </w:rPr>
              <w:t>Centro de Estudios Legales y Sociales (CELS)</w:t>
            </w:r>
          </w:p>
          <w:p w14:paraId="0EADE9BF" w14:textId="77777777" w:rsidR="00384E44" w:rsidRPr="002806B6" w:rsidRDefault="00384E44" w:rsidP="00894D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806B6">
              <w:rPr>
                <w:rFonts w:asciiTheme="majorHAnsi" w:hAnsiTheme="majorHAnsi"/>
              </w:rPr>
              <w:t>Centro por la Justicia y Derecho Internacional (CEJIL)</w:t>
            </w:r>
          </w:p>
        </w:tc>
      </w:tr>
      <w:tr w:rsidR="00384E44" w:rsidRPr="002806B6" w14:paraId="51DBBA16" w14:textId="77777777" w:rsidTr="00894D8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2E5" w:themeColor="accent1" w:themeTint="99"/>
              <w:left w:val="nil"/>
              <w:bottom w:val="single" w:sz="4" w:space="0" w:color="9CC2E5" w:themeColor="accent1" w:themeTint="99"/>
              <w:right w:val="nil"/>
            </w:tcBorders>
            <w:hideMark/>
          </w:tcPr>
          <w:p w14:paraId="5CFF15B1" w14:textId="77777777" w:rsidR="00384E44" w:rsidRPr="002806B6" w:rsidRDefault="00384E44" w:rsidP="00894D87">
            <w:pPr>
              <w:pStyle w:val="ListParagraph"/>
              <w:numPr>
                <w:ilvl w:val="0"/>
                <w:numId w:val="2"/>
              </w:numPr>
              <w:spacing w:after="0" w:line="240" w:lineRule="auto"/>
              <w:rPr>
                <w:rFonts w:asciiTheme="majorHAnsi" w:hAnsiTheme="majorHAnsi"/>
              </w:rPr>
            </w:pPr>
            <w:r w:rsidRPr="002806B6">
              <w:rPr>
                <w:rFonts w:asciiTheme="majorHAnsi" w:hAnsiTheme="majorHAnsi"/>
              </w:rPr>
              <w:t xml:space="preserve">Número de Informe </w:t>
            </w:r>
          </w:p>
        </w:tc>
        <w:tc>
          <w:tcPr>
            <w:tcW w:w="4918" w:type="dxa"/>
            <w:gridSpan w:val="2"/>
            <w:tcBorders>
              <w:top w:val="single" w:sz="4" w:space="0" w:color="9CC2E5" w:themeColor="accent1" w:themeTint="99"/>
              <w:left w:val="nil"/>
              <w:bottom w:val="single" w:sz="4" w:space="0" w:color="9CC2E5" w:themeColor="accent1" w:themeTint="99"/>
              <w:right w:val="nil"/>
            </w:tcBorders>
          </w:tcPr>
          <w:p w14:paraId="40EFFD78" w14:textId="77777777" w:rsidR="00384E44" w:rsidRPr="002806B6" w:rsidRDefault="00472CD4" w:rsidP="00894D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0000FF"/>
              </w:rPr>
            </w:pPr>
            <w:hyperlink r:id="rId12" w:history="1">
              <w:r w:rsidR="00384E44" w:rsidRPr="002806B6">
                <w:rPr>
                  <w:rStyle w:val="Hyperlink"/>
                  <w:rFonts w:asciiTheme="majorHAnsi" w:hAnsiTheme="majorHAnsi"/>
                  <w:color w:val="0000FF"/>
                </w:rPr>
                <w:t>Informe No. 2/12</w:t>
              </w:r>
            </w:hyperlink>
          </w:p>
        </w:tc>
      </w:tr>
      <w:tr w:rsidR="00384E44" w:rsidRPr="002806B6" w14:paraId="06718016" w14:textId="77777777" w:rsidTr="00894D87">
        <w:trPr>
          <w:trHeight w:val="212"/>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2E5" w:themeColor="accent1" w:themeTint="99"/>
              <w:left w:val="nil"/>
              <w:bottom w:val="single" w:sz="4" w:space="0" w:color="9CC2E5" w:themeColor="accent1" w:themeTint="99"/>
              <w:right w:val="nil"/>
            </w:tcBorders>
            <w:hideMark/>
          </w:tcPr>
          <w:p w14:paraId="757EC17E" w14:textId="77777777" w:rsidR="00384E44" w:rsidRPr="002806B6" w:rsidRDefault="00384E44" w:rsidP="00894D87">
            <w:pPr>
              <w:pStyle w:val="ListParagraph"/>
              <w:numPr>
                <w:ilvl w:val="0"/>
                <w:numId w:val="2"/>
              </w:numPr>
              <w:spacing w:after="0" w:line="240" w:lineRule="auto"/>
              <w:rPr>
                <w:rFonts w:asciiTheme="majorHAnsi" w:hAnsiTheme="majorHAnsi"/>
              </w:rPr>
            </w:pPr>
            <w:r w:rsidRPr="002806B6">
              <w:rPr>
                <w:rFonts w:asciiTheme="majorHAnsi" w:hAnsiTheme="majorHAnsi"/>
              </w:rPr>
              <w:t xml:space="preserve">Tipo de informe </w:t>
            </w:r>
          </w:p>
        </w:tc>
        <w:tc>
          <w:tcPr>
            <w:tcW w:w="4918" w:type="dxa"/>
            <w:gridSpan w:val="2"/>
            <w:tcBorders>
              <w:top w:val="single" w:sz="4" w:space="0" w:color="9CC2E5" w:themeColor="accent1" w:themeTint="99"/>
              <w:left w:val="nil"/>
              <w:bottom w:val="single" w:sz="4" w:space="0" w:color="9CC2E5" w:themeColor="accent1" w:themeTint="99"/>
              <w:right w:val="nil"/>
            </w:tcBorders>
            <w:vAlign w:val="center"/>
          </w:tcPr>
          <w:p w14:paraId="1AD2075F" w14:textId="77777777" w:rsidR="00384E44" w:rsidRPr="002806B6" w:rsidRDefault="00384E44" w:rsidP="00894D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806B6">
              <w:rPr>
                <w:rFonts w:asciiTheme="majorHAnsi" w:hAnsiTheme="majorHAnsi"/>
              </w:rPr>
              <w:t>Informe de Fondo (Caso en la Corte IDH)</w:t>
            </w:r>
          </w:p>
        </w:tc>
      </w:tr>
      <w:tr w:rsidR="00384E44" w:rsidRPr="002806B6" w14:paraId="39469855" w14:textId="77777777" w:rsidTr="00264E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2E5" w:themeColor="accent1" w:themeTint="99"/>
              <w:left w:val="nil"/>
              <w:bottom w:val="single" w:sz="4" w:space="0" w:color="9CC2E5" w:themeColor="accent1" w:themeTint="99"/>
              <w:right w:val="nil"/>
            </w:tcBorders>
            <w:hideMark/>
          </w:tcPr>
          <w:p w14:paraId="4B4B84CA" w14:textId="77777777" w:rsidR="00384E44" w:rsidRPr="002806B6" w:rsidRDefault="00384E44" w:rsidP="00894D87">
            <w:pPr>
              <w:pStyle w:val="ListParagraph"/>
              <w:numPr>
                <w:ilvl w:val="0"/>
                <w:numId w:val="2"/>
              </w:numPr>
              <w:spacing w:after="0" w:line="240" w:lineRule="auto"/>
              <w:rPr>
                <w:rFonts w:asciiTheme="majorHAnsi" w:hAnsiTheme="majorHAnsi"/>
              </w:rPr>
            </w:pPr>
            <w:r w:rsidRPr="002806B6">
              <w:rPr>
                <w:rFonts w:asciiTheme="majorHAnsi" w:hAnsiTheme="majorHAnsi"/>
              </w:rPr>
              <w:t xml:space="preserve">Fecha </w:t>
            </w:r>
          </w:p>
        </w:tc>
        <w:tc>
          <w:tcPr>
            <w:tcW w:w="4918" w:type="dxa"/>
            <w:gridSpan w:val="2"/>
            <w:tcBorders>
              <w:top w:val="single" w:sz="4" w:space="0" w:color="9CC2E5" w:themeColor="accent1" w:themeTint="99"/>
              <w:left w:val="nil"/>
              <w:bottom w:val="single" w:sz="4" w:space="0" w:color="9CC2E5" w:themeColor="accent1" w:themeTint="99"/>
              <w:right w:val="nil"/>
            </w:tcBorders>
            <w:vAlign w:val="center"/>
          </w:tcPr>
          <w:p w14:paraId="2B320716" w14:textId="77777777" w:rsidR="00384E44" w:rsidRPr="002806B6" w:rsidRDefault="00384E44" w:rsidP="00894D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806B6">
              <w:rPr>
                <w:rFonts w:asciiTheme="majorHAnsi" w:hAnsiTheme="majorHAnsi"/>
              </w:rPr>
              <w:t>26 de enero de 2012</w:t>
            </w:r>
          </w:p>
        </w:tc>
      </w:tr>
      <w:tr w:rsidR="00384E44" w:rsidRPr="002806B6" w14:paraId="33C9A575" w14:textId="77777777" w:rsidTr="00264EE3">
        <w:trPr>
          <w:trHeight w:val="567"/>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2E5" w:themeColor="accent1" w:themeTint="99"/>
              <w:left w:val="nil"/>
              <w:bottom w:val="single" w:sz="4" w:space="0" w:color="9CC2E5" w:themeColor="accent1" w:themeTint="99"/>
              <w:right w:val="nil"/>
            </w:tcBorders>
            <w:hideMark/>
          </w:tcPr>
          <w:p w14:paraId="644EB757" w14:textId="77777777" w:rsidR="00384E44" w:rsidRPr="002806B6" w:rsidRDefault="00384E44" w:rsidP="00894D87">
            <w:pPr>
              <w:pStyle w:val="ListParagraph"/>
              <w:numPr>
                <w:ilvl w:val="0"/>
                <w:numId w:val="2"/>
              </w:numPr>
              <w:spacing w:after="0" w:line="240" w:lineRule="auto"/>
              <w:rPr>
                <w:rFonts w:asciiTheme="majorHAnsi" w:hAnsiTheme="majorHAnsi"/>
              </w:rPr>
            </w:pPr>
            <w:r w:rsidRPr="002806B6">
              <w:rPr>
                <w:rFonts w:asciiTheme="majorHAnsi" w:hAnsiTheme="majorHAnsi"/>
              </w:rPr>
              <w:t>Decisiones de la CIDH y/o la Corte IDH, relacionadas</w:t>
            </w:r>
          </w:p>
        </w:tc>
        <w:tc>
          <w:tcPr>
            <w:tcW w:w="4918" w:type="dxa"/>
            <w:gridSpan w:val="2"/>
            <w:tcBorders>
              <w:top w:val="single" w:sz="4" w:space="0" w:color="9CC2E5" w:themeColor="accent1" w:themeTint="99"/>
              <w:left w:val="nil"/>
              <w:bottom w:val="single" w:sz="4" w:space="0" w:color="9CC2E5" w:themeColor="accent1" w:themeTint="99"/>
              <w:right w:val="nil"/>
            </w:tcBorders>
            <w:vAlign w:val="center"/>
          </w:tcPr>
          <w:p w14:paraId="3ADC62DE" w14:textId="55873202" w:rsidR="00384E44" w:rsidRPr="002806B6" w:rsidRDefault="00384E44" w:rsidP="00894D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806B6">
              <w:rPr>
                <w:rFonts w:asciiTheme="majorHAnsi" w:hAnsiTheme="majorHAnsi"/>
              </w:rPr>
              <w:t xml:space="preserve">Informe No. </w:t>
            </w:r>
            <w:r w:rsidR="00695C82" w:rsidRPr="002806B6">
              <w:rPr>
                <w:rFonts w:asciiTheme="majorHAnsi" w:hAnsiTheme="majorHAnsi"/>
              </w:rPr>
              <w:t>78/06 (</w:t>
            </w:r>
            <w:hyperlink r:id="rId13" w:history="1">
              <w:r w:rsidR="00695C82" w:rsidRPr="002806B6">
                <w:rPr>
                  <w:rStyle w:val="Hyperlink"/>
                  <w:rFonts w:asciiTheme="majorHAnsi" w:hAnsiTheme="majorHAnsi"/>
                  <w:color w:val="0000FF"/>
                </w:rPr>
                <w:t>Admisibilidad</w:t>
              </w:r>
            </w:hyperlink>
            <w:r w:rsidR="00695C82" w:rsidRPr="002806B6">
              <w:rPr>
                <w:rFonts w:asciiTheme="majorHAnsi" w:hAnsiTheme="majorHAnsi"/>
              </w:rPr>
              <w:t>)</w:t>
            </w:r>
            <w:r w:rsidR="002A3822">
              <w:rPr>
                <w:rFonts w:asciiTheme="majorHAnsi" w:hAnsiTheme="majorHAnsi"/>
              </w:rPr>
              <w:br/>
              <w:t>Caso Comunidades Indígenas Miembros de la Asociación Lhaka Honhat (Nuestra Tierra) vs. Argentina (</w:t>
            </w:r>
            <w:hyperlink r:id="rId14" w:history="1">
              <w:r w:rsidR="002A3822" w:rsidRPr="002A3822">
                <w:rPr>
                  <w:rStyle w:val="Hyperlink"/>
                  <w:rFonts w:asciiTheme="majorHAnsi" w:hAnsiTheme="majorHAnsi"/>
                  <w:color w:val="0432FF"/>
                </w:rPr>
                <w:t>Sentencia de 6 de febrero de 2020</w:t>
              </w:r>
            </w:hyperlink>
            <w:r w:rsidR="002A3822">
              <w:rPr>
                <w:rFonts w:asciiTheme="majorHAnsi" w:hAnsiTheme="majorHAnsi"/>
              </w:rPr>
              <w:t>)</w:t>
            </w:r>
          </w:p>
        </w:tc>
      </w:tr>
      <w:tr w:rsidR="00384E44" w:rsidRPr="002806B6" w14:paraId="168EEA8B" w14:textId="77777777" w:rsidTr="002806B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586" w:type="dxa"/>
            <w:vMerge w:val="restart"/>
            <w:tcBorders>
              <w:top w:val="single" w:sz="4" w:space="0" w:color="9CC2E5" w:themeColor="accent1" w:themeTint="99"/>
              <w:left w:val="nil"/>
              <w:right w:val="nil"/>
            </w:tcBorders>
            <w:hideMark/>
          </w:tcPr>
          <w:p w14:paraId="59DD45EE" w14:textId="77777777" w:rsidR="00384E44" w:rsidRPr="002806B6" w:rsidRDefault="00384E44" w:rsidP="00894D87">
            <w:pPr>
              <w:pStyle w:val="ListParagraph"/>
              <w:numPr>
                <w:ilvl w:val="0"/>
                <w:numId w:val="2"/>
              </w:numPr>
              <w:spacing w:after="0" w:line="240" w:lineRule="auto"/>
              <w:rPr>
                <w:rFonts w:asciiTheme="majorHAnsi" w:hAnsiTheme="majorHAnsi"/>
              </w:rPr>
            </w:pPr>
            <w:r w:rsidRPr="002806B6">
              <w:rPr>
                <w:rFonts w:asciiTheme="majorHAnsi" w:hAnsiTheme="majorHAnsi"/>
              </w:rPr>
              <w:t xml:space="preserve">Artículos analizados </w:t>
            </w:r>
          </w:p>
        </w:tc>
        <w:tc>
          <w:tcPr>
            <w:tcW w:w="4918" w:type="dxa"/>
            <w:gridSpan w:val="2"/>
            <w:tcBorders>
              <w:top w:val="single" w:sz="4" w:space="0" w:color="9CC2E5" w:themeColor="accent1" w:themeTint="99"/>
              <w:left w:val="nil"/>
              <w:bottom w:val="single" w:sz="4" w:space="0" w:color="9CC2E5" w:themeColor="accent1" w:themeTint="99"/>
              <w:right w:val="nil"/>
            </w:tcBorders>
            <w:vAlign w:val="center"/>
            <w:hideMark/>
          </w:tcPr>
          <w:p w14:paraId="18D09FCB" w14:textId="77777777" w:rsidR="00384E44" w:rsidRPr="002806B6" w:rsidRDefault="00384E44" w:rsidP="00894D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806B6">
              <w:rPr>
                <w:rFonts w:asciiTheme="majorHAnsi" w:hAnsiTheme="majorHAnsi"/>
              </w:rPr>
              <w:t>Convención Americana sobre Derechos Humanos</w:t>
            </w:r>
          </w:p>
        </w:tc>
      </w:tr>
      <w:tr w:rsidR="00384E44" w:rsidRPr="002806B6" w14:paraId="235D5032" w14:textId="77777777" w:rsidTr="00264EE3">
        <w:trPr>
          <w:trHeight w:val="510"/>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03C88807" w14:textId="77777777" w:rsidR="00384E44" w:rsidRPr="002806B6" w:rsidRDefault="00384E44" w:rsidP="00894D87">
            <w:pPr>
              <w:spacing w:after="0" w:line="240" w:lineRule="auto"/>
              <w:rPr>
                <w:rFonts w:asciiTheme="majorHAnsi" w:hAnsiTheme="majorHAnsi"/>
              </w:rPr>
            </w:pPr>
          </w:p>
        </w:tc>
        <w:tc>
          <w:tcPr>
            <w:tcW w:w="2343" w:type="dxa"/>
            <w:tcBorders>
              <w:top w:val="single" w:sz="4" w:space="0" w:color="9CC2E5" w:themeColor="accent1" w:themeTint="99"/>
              <w:left w:val="nil"/>
              <w:bottom w:val="single" w:sz="4" w:space="0" w:color="9CC2E5" w:themeColor="accent1" w:themeTint="99"/>
              <w:right w:val="nil"/>
            </w:tcBorders>
            <w:vAlign w:val="center"/>
            <w:hideMark/>
          </w:tcPr>
          <w:p w14:paraId="3F172A7E" w14:textId="77777777" w:rsidR="00384E44" w:rsidRPr="002806B6" w:rsidRDefault="00384E44" w:rsidP="00894D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806B6">
              <w:rPr>
                <w:rFonts w:asciiTheme="majorHAnsi" w:hAnsiTheme="majorHAnsi"/>
              </w:rPr>
              <w:t>Artículos analizados declarados violados</w:t>
            </w:r>
          </w:p>
        </w:tc>
        <w:tc>
          <w:tcPr>
            <w:tcW w:w="2575" w:type="dxa"/>
            <w:tcBorders>
              <w:top w:val="single" w:sz="4" w:space="0" w:color="9CC2E5" w:themeColor="accent1" w:themeTint="99"/>
              <w:left w:val="nil"/>
              <w:bottom w:val="single" w:sz="4" w:space="0" w:color="9CC2E5" w:themeColor="accent1" w:themeTint="99"/>
              <w:right w:val="nil"/>
            </w:tcBorders>
            <w:vAlign w:val="center"/>
            <w:hideMark/>
          </w:tcPr>
          <w:p w14:paraId="76C5F538" w14:textId="77777777" w:rsidR="00384E44" w:rsidRPr="002806B6" w:rsidRDefault="00384E44" w:rsidP="00894D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806B6">
              <w:rPr>
                <w:rFonts w:asciiTheme="majorHAnsi" w:hAnsiTheme="majorHAnsi"/>
              </w:rPr>
              <w:t>Artículos analizados no declarados violados</w:t>
            </w:r>
          </w:p>
        </w:tc>
      </w:tr>
      <w:tr w:rsidR="00384E44" w:rsidRPr="002806B6" w14:paraId="5078663C" w14:textId="77777777" w:rsidTr="00894D87">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tcPr>
          <w:p w14:paraId="4DDA428A" w14:textId="77777777" w:rsidR="00384E44" w:rsidRPr="002806B6" w:rsidRDefault="00384E44" w:rsidP="00894D87">
            <w:pPr>
              <w:spacing w:after="0" w:line="240" w:lineRule="auto"/>
              <w:rPr>
                <w:rFonts w:asciiTheme="majorHAnsi" w:hAnsiTheme="majorHAnsi"/>
              </w:rPr>
            </w:pPr>
          </w:p>
        </w:tc>
        <w:tc>
          <w:tcPr>
            <w:tcW w:w="2343" w:type="dxa"/>
            <w:tcBorders>
              <w:top w:val="single" w:sz="4" w:space="0" w:color="9CC2E5" w:themeColor="accent1" w:themeTint="99"/>
              <w:left w:val="nil"/>
              <w:bottom w:val="single" w:sz="4" w:space="0" w:color="9CC2E5" w:themeColor="accent1" w:themeTint="99"/>
              <w:right w:val="nil"/>
            </w:tcBorders>
            <w:vAlign w:val="center"/>
          </w:tcPr>
          <w:p w14:paraId="493780B3" w14:textId="77777777" w:rsidR="00384E44" w:rsidRPr="002806B6" w:rsidRDefault="00695C82" w:rsidP="00894D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2806B6">
              <w:rPr>
                <w:rFonts w:asciiTheme="majorHAnsi" w:hAnsiTheme="majorHAnsi"/>
                <w:lang w:val="en-US"/>
              </w:rPr>
              <w:t>Art. 1, art. 2, art. 8, art. 13, art. 21, art. 23, art. 25</w:t>
            </w:r>
          </w:p>
        </w:tc>
        <w:tc>
          <w:tcPr>
            <w:tcW w:w="2575" w:type="dxa"/>
            <w:tcBorders>
              <w:top w:val="single" w:sz="4" w:space="0" w:color="9CC2E5" w:themeColor="accent1" w:themeTint="99"/>
              <w:left w:val="nil"/>
              <w:bottom w:val="single" w:sz="4" w:space="0" w:color="9CC2E5" w:themeColor="accent1" w:themeTint="99"/>
              <w:right w:val="nil"/>
            </w:tcBorders>
            <w:vAlign w:val="center"/>
          </w:tcPr>
          <w:p w14:paraId="71512153" w14:textId="13A148AD" w:rsidR="00384E44" w:rsidRPr="002806B6" w:rsidRDefault="00AA068D" w:rsidP="00556BB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806B6">
              <w:rPr>
                <w:rFonts w:asciiTheme="majorHAnsi" w:hAnsiTheme="majorHAnsi"/>
              </w:rPr>
              <w:t xml:space="preserve">Art. 23 (en relación con las </w:t>
            </w:r>
            <w:r w:rsidR="00556BB2" w:rsidRPr="002806B6">
              <w:rPr>
                <w:rFonts w:asciiTheme="majorHAnsi" w:hAnsiTheme="majorHAnsi"/>
              </w:rPr>
              <w:t xml:space="preserve">presuntas </w:t>
            </w:r>
            <w:r w:rsidRPr="002806B6">
              <w:rPr>
                <w:rFonts w:asciiTheme="majorHAnsi" w:hAnsiTheme="majorHAnsi"/>
              </w:rPr>
              <w:t xml:space="preserve">acciones estatales tendientes a debilitar a la Asociación Lhaka Honhat y </w:t>
            </w:r>
            <w:r w:rsidR="00556BB2" w:rsidRPr="002806B6">
              <w:rPr>
                <w:rFonts w:asciiTheme="majorHAnsi" w:hAnsiTheme="majorHAnsi"/>
              </w:rPr>
              <w:t xml:space="preserve">su derecho de participación y </w:t>
            </w:r>
            <w:r w:rsidRPr="002806B6">
              <w:rPr>
                <w:rFonts w:asciiTheme="majorHAnsi" w:hAnsiTheme="majorHAnsi"/>
              </w:rPr>
              <w:t>petición)</w:t>
            </w:r>
          </w:p>
        </w:tc>
      </w:tr>
      <w:tr w:rsidR="00384E44" w:rsidRPr="002806B6" w14:paraId="31D546F0" w14:textId="77777777" w:rsidTr="00264EE3">
        <w:trPr>
          <w:trHeight w:val="567"/>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vAlign w:val="center"/>
          </w:tcPr>
          <w:p w14:paraId="2AA5B31E" w14:textId="1CDE08B2" w:rsidR="00384E44" w:rsidRPr="002806B6" w:rsidRDefault="00384E44" w:rsidP="00264EE3">
            <w:pPr>
              <w:pStyle w:val="ListParagraph"/>
              <w:numPr>
                <w:ilvl w:val="0"/>
                <w:numId w:val="1"/>
              </w:numPr>
              <w:spacing w:after="0" w:line="240" w:lineRule="auto"/>
              <w:jc w:val="center"/>
              <w:rPr>
                <w:rFonts w:asciiTheme="majorHAnsi" w:hAnsiTheme="majorHAnsi"/>
              </w:rPr>
            </w:pPr>
            <w:r w:rsidRPr="002806B6">
              <w:rPr>
                <w:rFonts w:asciiTheme="majorHAnsi" w:hAnsiTheme="majorHAnsi"/>
              </w:rPr>
              <w:t>Sumilla</w:t>
            </w:r>
          </w:p>
        </w:tc>
      </w:tr>
      <w:tr w:rsidR="00384E44" w:rsidRPr="002806B6" w14:paraId="033F0F2E" w14:textId="77777777" w:rsidTr="00894D8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5E0F3223" w14:textId="77777777" w:rsidR="00384E44" w:rsidRPr="002806B6" w:rsidRDefault="00384E44" w:rsidP="00894D87">
            <w:pPr>
              <w:spacing w:after="0" w:line="240" w:lineRule="auto"/>
              <w:jc w:val="both"/>
              <w:rPr>
                <w:rFonts w:asciiTheme="majorHAnsi" w:hAnsiTheme="majorHAnsi"/>
                <w:b w:val="0"/>
              </w:rPr>
            </w:pPr>
          </w:p>
          <w:p w14:paraId="73506B5C" w14:textId="5CF11DF5" w:rsidR="00384E44" w:rsidRPr="002806B6" w:rsidRDefault="00C55011" w:rsidP="00894D87">
            <w:pPr>
              <w:spacing w:after="0" w:line="240" w:lineRule="auto"/>
              <w:jc w:val="both"/>
              <w:rPr>
                <w:rFonts w:asciiTheme="majorHAnsi" w:hAnsiTheme="majorHAnsi"/>
                <w:b w:val="0"/>
              </w:rPr>
            </w:pPr>
            <w:r w:rsidRPr="002806B6">
              <w:rPr>
                <w:rFonts w:asciiTheme="majorHAnsi" w:hAnsiTheme="majorHAnsi"/>
                <w:b w:val="0"/>
              </w:rPr>
              <w:t xml:space="preserve">El caso aborda </w:t>
            </w:r>
            <w:r w:rsidR="00D4723A" w:rsidRPr="002806B6">
              <w:rPr>
                <w:rFonts w:asciiTheme="majorHAnsi" w:hAnsiTheme="majorHAnsi"/>
                <w:b w:val="0"/>
              </w:rPr>
              <w:t xml:space="preserve">los reclamos planteados por las comunidades indígenas de la Asociación Lhaka Honhat para obtener un título de propiedad común sobre sus territorios ancestrales, asentados en los Lotes Fiscales Nos. 14 y 55 de la Provincia de Salta. </w:t>
            </w:r>
            <w:r w:rsidR="00E45403" w:rsidRPr="002806B6">
              <w:rPr>
                <w:rFonts w:asciiTheme="majorHAnsi" w:hAnsiTheme="majorHAnsi"/>
                <w:b w:val="0"/>
              </w:rPr>
              <w:t xml:space="preserve">En ese sentido, se analiza el desarrollo del proceso de negociación, los compromisos adquiridos por el Gobierno Provincial de Salta </w:t>
            </w:r>
            <w:r w:rsidR="00B56346" w:rsidRPr="002806B6">
              <w:rPr>
                <w:rFonts w:asciiTheme="majorHAnsi" w:hAnsiTheme="majorHAnsi"/>
                <w:b w:val="0"/>
              </w:rPr>
              <w:t>sobre la adjudicación del título de propiedad reclamado y los recursos planteados para la tutela y cumplimiento de dichos compromisos.</w:t>
            </w:r>
          </w:p>
          <w:p w14:paraId="08035776" w14:textId="5A0B01C9" w:rsidR="00B56346" w:rsidRPr="002806B6" w:rsidRDefault="00B56346" w:rsidP="00894D87">
            <w:pPr>
              <w:spacing w:after="0" w:line="240" w:lineRule="auto"/>
              <w:jc w:val="both"/>
              <w:rPr>
                <w:rFonts w:asciiTheme="majorHAnsi" w:hAnsiTheme="majorHAnsi"/>
                <w:b w:val="0"/>
              </w:rPr>
            </w:pPr>
          </w:p>
        </w:tc>
      </w:tr>
      <w:tr w:rsidR="00384E44" w:rsidRPr="002806B6" w14:paraId="62AA3DA8" w14:textId="77777777" w:rsidTr="00264EE3">
        <w:trPr>
          <w:trHeight w:val="567"/>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vAlign w:val="center"/>
          </w:tcPr>
          <w:p w14:paraId="1CCF9595" w14:textId="1A27C4E2" w:rsidR="00384E44" w:rsidRPr="002806B6" w:rsidRDefault="00384E44" w:rsidP="00264EE3">
            <w:pPr>
              <w:pStyle w:val="ListParagraph"/>
              <w:numPr>
                <w:ilvl w:val="0"/>
                <w:numId w:val="1"/>
              </w:numPr>
              <w:spacing w:after="0" w:line="240" w:lineRule="auto"/>
              <w:jc w:val="center"/>
              <w:rPr>
                <w:rFonts w:asciiTheme="majorHAnsi" w:hAnsiTheme="majorHAnsi"/>
              </w:rPr>
            </w:pPr>
            <w:r w:rsidRPr="002806B6">
              <w:rPr>
                <w:rFonts w:asciiTheme="majorHAnsi" w:hAnsiTheme="majorHAnsi"/>
              </w:rPr>
              <w:t>Palabras clave</w:t>
            </w:r>
          </w:p>
        </w:tc>
      </w:tr>
      <w:tr w:rsidR="00384E44" w:rsidRPr="002806B6" w14:paraId="530238ED" w14:textId="77777777" w:rsidTr="00894D8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380C4FA4" w14:textId="77777777" w:rsidR="00384E44" w:rsidRPr="002806B6" w:rsidRDefault="00384E44" w:rsidP="00894D87">
            <w:pPr>
              <w:spacing w:after="0" w:line="240" w:lineRule="auto"/>
              <w:jc w:val="both"/>
              <w:rPr>
                <w:rFonts w:asciiTheme="majorHAnsi" w:hAnsiTheme="majorHAnsi"/>
                <w:b w:val="0"/>
                <w:lang w:val="es-PE"/>
              </w:rPr>
            </w:pPr>
          </w:p>
          <w:p w14:paraId="4B5818D9" w14:textId="40479011" w:rsidR="00384E44" w:rsidRPr="002806B6" w:rsidRDefault="002A159B" w:rsidP="00384E44">
            <w:pPr>
              <w:spacing w:after="0" w:line="240" w:lineRule="auto"/>
              <w:jc w:val="both"/>
              <w:rPr>
                <w:rFonts w:asciiTheme="majorHAnsi" w:hAnsiTheme="majorHAnsi"/>
                <w:b w:val="0"/>
              </w:rPr>
            </w:pPr>
            <w:r>
              <w:rPr>
                <w:rFonts w:asciiTheme="majorHAnsi" w:hAnsiTheme="majorHAnsi"/>
                <w:b w:val="0"/>
                <w:lang w:val="es-PE"/>
              </w:rPr>
              <w:t xml:space="preserve">DESCA, </w:t>
            </w:r>
            <w:r w:rsidR="00695C82" w:rsidRPr="002806B6">
              <w:rPr>
                <w:rFonts w:asciiTheme="majorHAnsi" w:hAnsiTheme="majorHAnsi"/>
                <w:b w:val="0"/>
                <w:lang w:val="es-PE"/>
              </w:rPr>
              <w:t>Propiedad, Protección judicial y garantías judiciales, Pueblos indígenas</w:t>
            </w:r>
          </w:p>
          <w:p w14:paraId="0DBE279C" w14:textId="77777777" w:rsidR="00695C82" w:rsidRPr="002806B6" w:rsidRDefault="00695C82" w:rsidP="00384E44">
            <w:pPr>
              <w:spacing w:after="0" w:line="240" w:lineRule="auto"/>
              <w:jc w:val="both"/>
              <w:rPr>
                <w:rFonts w:asciiTheme="majorHAnsi" w:hAnsiTheme="majorHAnsi"/>
                <w:b w:val="0"/>
              </w:rPr>
            </w:pPr>
          </w:p>
        </w:tc>
      </w:tr>
      <w:tr w:rsidR="00384E44" w:rsidRPr="002806B6" w14:paraId="2E2C5319" w14:textId="77777777" w:rsidTr="00264EE3">
        <w:trPr>
          <w:trHeight w:val="567"/>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vAlign w:val="center"/>
          </w:tcPr>
          <w:p w14:paraId="79222682" w14:textId="28B7043B" w:rsidR="00384E44" w:rsidRPr="002806B6" w:rsidRDefault="00384E44" w:rsidP="00264EE3">
            <w:pPr>
              <w:pStyle w:val="ListParagraph"/>
              <w:numPr>
                <w:ilvl w:val="0"/>
                <w:numId w:val="1"/>
              </w:numPr>
              <w:spacing w:after="0" w:line="240" w:lineRule="auto"/>
              <w:jc w:val="center"/>
              <w:rPr>
                <w:rFonts w:asciiTheme="majorHAnsi" w:hAnsiTheme="majorHAnsi"/>
              </w:rPr>
            </w:pPr>
            <w:r w:rsidRPr="002806B6">
              <w:rPr>
                <w:rFonts w:asciiTheme="majorHAnsi" w:hAnsiTheme="majorHAnsi"/>
              </w:rPr>
              <w:t>Hechos</w:t>
            </w:r>
          </w:p>
        </w:tc>
      </w:tr>
      <w:tr w:rsidR="00384E44" w:rsidRPr="002806B6" w14:paraId="1C8458FB" w14:textId="77777777" w:rsidTr="00894D87">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757CA1F2" w14:textId="77777777" w:rsidR="00384E44" w:rsidRPr="002806B6" w:rsidRDefault="00384E44" w:rsidP="00894D87">
            <w:pPr>
              <w:spacing w:after="0" w:line="240" w:lineRule="auto"/>
              <w:jc w:val="both"/>
              <w:rPr>
                <w:rFonts w:asciiTheme="majorHAnsi" w:hAnsiTheme="majorHAnsi"/>
                <w:bCs w:val="0"/>
              </w:rPr>
            </w:pPr>
          </w:p>
          <w:p w14:paraId="2D87050F" w14:textId="40599181" w:rsidR="00911743" w:rsidRPr="002806B6" w:rsidRDefault="00A2267C" w:rsidP="00264EE3">
            <w:pPr>
              <w:spacing w:line="240" w:lineRule="auto"/>
              <w:jc w:val="both"/>
              <w:rPr>
                <w:rFonts w:asciiTheme="majorHAnsi" w:hAnsiTheme="majorHAnsi"/>
                <w:b w:val="0"/>
              </w:rPr>
            </w:pPr>
            <w:r w:rsidRPr="002806B6">
              <w:rPr>
                <w:rFonts w:asciiTheme="majorHAnsi" w:hAnsiTheme="majorHAnsi"/>
                <w:b w:val="0"/>
              </w:rPr>
              <w:t>Los pueblos indígenas Wichi (Mataco), Iywaja (Chorote), Komlek (Toba), Niwackle (Chulupí) y Tapy’y (Tapiete) habitan la región del Chaco Salteño, en la provincia de Salta</w:t>
            </w:r>
            <w:r w:rsidR="00526129" w:rsidRPr="002806B6">
              <w:rPr>
                <w:rFonts w:asciiTheme="majorHAnsi" w:hAnsiTheme="majorHAnsi"/>
                <w:b w:val="0"/>
              </w:rPr>
              <w:t xml:space="preserve"> en</w:t>
            </w:r>
            <w:r w:rsidRPr="002806B6">
              <w:rPr>
                <w:rFonts w:asciiTheme="majorHAnsi" w:hAnsiTheme="majorHAnsi"/>
                <w:b w:val="0"/>
              </w:rPr>
              <w:t xml:space="preserve"> Argentina. </w:t>
            </w:r>
            <w:r w:rsidR="002E7FB1" w:rsidRPr="002806B6">
              <w:rPr>
                <w:rFonts w:asciiTheme="majorHAnsi" w:hAnsiTheme="majorHAnsi"/>
                <w:b w:val="0"/>
              </w:rPr>
              <w:lastRenderedPageBreak/>
              <w:t xml:space="preserve">Entre </w:t>
            </w:r>
            <w:r w:rsidR="00526129" w:rsidRPr="002806B6">
              <w:rPr>
                <w:rFonts w:asciiTheme="majorHAnsi" w:hAnsiTheme="majorHAnsi"/>
                <w:b w:val="0"/>
              </w:rPr>
              <w:t>35</w:t>
            </w:r>
            <w:r w:rsidR="002E7FB1" w:rsidRPr="002806B6">
              <w:rPr>
                <w:rFonts w:asciiTheme="majorHAnsi" w:hAnsiTheme="majorHAnsi"/>
                <w:b w:val="0"/>
              </w:rPr>
              <w:t xml:space="preserve"> y </w:t>
            </w:r>
            <w:r w:rsidR="00526129" w:rsidRPr="002806B6">
              <w:rPr>
                <w:rFonts w:asciiTheme="majorHAnsi" w:hAnsiTheme="majorHAnsi"/>
                <w:b w:val="0"/>
              </w:rPr>
              <w:t xml:space="preserve">50 </w:t>
            </w:r>
            <w:r w:rsidR="002E7FB1" w:rsidRPr="002806B6">
              <w:rPr>
                <w:rFonts w:asciiTheme="majorHAnsi" w:hAnsiTheme="majorHAnsi"/>
                <w:b w:val="0"/>
              </w:rPr>
              <w:t>comunidades indígenas</w:t>
            </w:r>
            <w:r w:rsidR="00526129" w:rsidRPr="002806B6">
              <w:rPr>
                <w:rFonts w:asciiTheme="majorHAnsi" w:hAnsiTheme="majorHAnsi"/>
                <w:b w:val="0"/>
              </w:rPr>
              <w:t>, compuestas por estos pueblos,</w:t>
            </w:r>
            <w:r w:rsidR="002E7FB1" w:rsidRPr="002806B6">
              <w:rPr>
                <w:rFonts w:asciiTheme="majorHAnsi" w:hAnsiTheme="majorHAnsi"/>
                <w:b w:val="0"/>
              </w:rPr>
              <w:t xml:space="preserve"> habitan la zona del Río Pilcomayo</w:t>
            </w:r>
            <w:r w:rsidR="00526129" w:rsidRPr="002806B6">
              <w:rPr>
                <w:rFonts w:asciiTheme="majorHAnsi" w:hAnsiTheme="majorHAnsi"/>
                <w:b w:val="0"/>
              </w:rPr>
              <w:t>.</w:t>
            </w:r>
            <w:r w:rsidR="002E7FB1" w:rsidRPr="002806B6">
              <w:rPr>
                <w:rFonts w:asciiTheme="majorHAnsi" w:hAnsiTheme="majorHAnsi"/>
                <w:b w:val="0"/>
              </w:rPr>
              <w:t xml:space="preserve"> </w:t>
            </w:r>
            <w:r w:rsidR="00526129" w:rsidRPr="002806B6">
              <w:rPr>
                <w:rFonts w:asciiTheme="majorHAnsi" w:hAnsiTheme="majorHAnsi"/>
                <w:b w:val="0"/>
              </w:rPr>
              <w:t>E</w:t>
            </w:r>
            <w:r w:rsidR="002E7FB1" w:rsidRPr="002806B6">
              <w:rPr>
                <w:rFonts w:asciiTheme="majorHAnsi" w:hAnsiTheme="majorHAnsi"/>
                <w:b w:val="0"/>
              </w:rPr>
              <w:t>specíficamente</w:t>
            </w:r>
            <w:r w:rsidR="00526129" w:rsidRPr="002806B6">
              <w:rPr>
                <w:rFonts w:asciiTheme="majorHAnsi" w:hAnsiTheme="majorHAnsi"/>
                <w:b w:val="0"/>
              </w:rPr>
              <w:t>,</w:t>
            </w:r>
            <w:r w:rsidR="002E7FB1" w:rsidRPr="002806B6">
              <w:rPr>
                <w:rFonts w:asciiTheme="majorHAnsi" w:hAnsiTheme="majorHAnsi"/>
                <w:b w:val="0"/>
              </w:rPr>
              <w:t xml:space="preserve"> se encuentran asentadas </w:t>
            </w:r>
            <w:r w:rsidR="00070660" w:rsidRPr="002806B6">
              <w:rPr>
                <w:rFonts w:asciiTheme="majorHAnsi" w:hAnsiTheme="majorHAnsi"/>
                <w:b w:val="0"/>
              </w:rPr>
              <w:t>en los Lotes Fiscales No. 14 y 55, que abarcan aproximadamente 640.000 hectáreas. Dado su estilo de vida como pueblos nómadas y cazadores-recolectores</w:t>
            </w:r>
            <w:r w:rsidR="004C7FF9" w:rsidRPr="002806B6">
              <w:rPr>
                <w:rFonts w:asciiTheme="majorHAnsi" w:hAnsiTheme="majorHAnsi"/>
                <w:b w:val="0"/>
              </w:rPr>
              <w:t xml:space="preserve">, es común la variación del número de comunidades indígenas por la dinámica constante de fragmentación y fusión comunitaria que </w:t>
            </w:r>
            <w:r w:rsidR="00526129" w:rsidRPr="002806B6">
              <w:rPr>
                <w:rFonts w:asciiTheme="majorHAnsi" w:hAnsiTheme="majorHAnsi"/>
                <w:b w:val="0"/>
              </w:rPr>
              <w:t xml:space="preserve">los </w:t>
            </w:r>
            <w:r w:rsidR="004C7FF9" w:rsidRPr="002806B6">
              <w:rPr>
                <w:rFonts w:asciiTheme="majorHAnsi" w:hAnsiTheme="majorHAnsi"/>
                <w:b w:val="0"/>
              </w:rPr>
              <w:t>caracteriza</w:t>
            </w:r>
            <w:r w:rsidR="00BF203E" w:rsidRPr="002806B6">
              <w:rPr>
                <w:rFonts w:asciiTheme="majorHAnsi" w:hAnsiTheme="majorHAnsi"/>
                <w:b w:val="0"/>
              </w:rPr>
              <w:t>.</w:t>
            </w:r>
            <w:r w:rsidR="00911743" w:rsidRPr="002806B6">
              <w:rPr>
                <w:rFonts w:asciiTheme="majorHAnsi" w:hAnsiTheme="majorHAnsi"/>
                <w:b w:val="0"/>
              </w:rPr>
              <w:t xml:space="preserve"> Estas comunidades recorren el territorio ancestral a lo largo de circuitos claramente definidos de conformidad con su tradición cultural, que dependen de la disponibilidad de recursos de subsistencia en los distintos momentos del año.</w:t>
            </w:r>
          </w:p>
          <w:p w14:paraId="5121428D" w14:textId="29172C21" w:rsidR="0091703D" w:rsidRPr="002806B6" w:rsidRDefault="000C3A77" w:rsidP="00264EE3">
            <w:pPr>
              <w:spacing w:line="240" w:lineRule="auto"/>
              <w:jc w:val="both"/>
              <w:rPr>
                <w:rFonts w:asciiTheme="majorHAnsi" w:hAnsiTheme="majorHAnsi"/>
                <w:b w:val="0"/>
              </w:rPr>
            </w:pPr>
            <w:r w:rsidRPr="002806B6">
              <w:rPr>
                <w:rFonts w:asciiTheme="majorHAnsi" w:hAnsiTheme="majorHAnsi"/>
                <w:b w:val="0"/>
              </w:rPr>
              <w:t xml:space="preserve">Los Lotes Fiscales </w:t>
            </w:r>
            <w:r w:rsidR="00F757AA" w:rsidRPr="002806B6">
              <w:rPr>
                <w:rFonts w:asciiTheme="majorHAnsi" w:hAnsiTheme="majorHAnsi"/>
                <w:b w:val="0"/>
              </w:rPr>
              <w:t xml:space="preserve">No. </w:t>
            </w:r>
            <w:r w:rsidRPr="002806B6">
              <w:rPr>
                <w:rFonts w:asciiTheme="majorHAnsi" w:hAnsiTheme="majorHAnsi"/>
                <w:b w:val="0"/>
              </w:rPr>
              <w:t>14 y 55 también son habitados por población no indígena o “criolla”, qu</w:t>
            </w:r>
            <w:r w:rsidR="00526129" w:rsidRPr="002806B6">
              <w:rPr>
                <w:rFonts w:asciiTheme="majorHAnsi" w:hAnsiTheme="majorHAnsi"/>
                <w:b w:val="0"/>
              </w:rPr>
              <w:t>e</w:t>
            </w:r>
            <w:r w:rsidRPr="002806B6">
              <w:rPr>
                <w:rFonts w:asciiTheme="majorHAnsi" w:hAnsiTheme="majorHAnsi"/>
                <w:b w:val="0"/>
              </w:rPr>
              <w:t xml:space="preserve"> tiene un modo de vida ganadero</w:t>
            </w:r>
            <w:r w:rsidR="00526129" w:rsidRPr="002806B6">
              <w:rPr>
                <w:rFonts w:asciiTheme="majorHAnsi" w:hAnsiTheme="majorHAnsi"/>
                <w:b w:val="0"/>
              </w:rPr>
              <w:t>. Este ha</w:t>
            </w:r>
            <w:r w:rsidRPr="002806B6">
              <w:rPr>
                <w:rFonts w:asciiTheme="majorHAnsi" w:hAnsiTheme="majorHAnsi"/>
                <w:b w:val="0"/>
              </w:rPr>
              <w:t xml:space="preserve"> degrada</w:t>
            </w:r>
            <w:r w:rsidR="00526129" w:rsidRPr="002806B6">
              <w:rPr>
                <w:rFonts w:asciiTheme="majorHAnsi" w:hAnsiTheme="majorHAnsi"/>
                <w:b w:val="0"/>
              </w:rPr>
              <w:t>do</w:t>
            </w:r>
            <w:r w:rsidRPr="002806B6">
              <w:rPr>
                <w:rFonts w:asciiTheme="majorHAnsi" w:hAnsiTheme="majorHAnsi"/>
                <w:b w:val="0"/>
              </w:rPr>
              <w:t xml:space="preserve"> el hábitat natural de las comunidades indígenas</w:t>
            </w:r>
            <w:r w:rsidR="00526129" w:rsidRPr="002806B6">
              <w:rPr>
                <w:rFonts w:asciiTheme="majorHAnsi" w:hAnsiTheme="majorHAnsi"/>
                <w:b w:val="0"/>
              </w:rPr>
              <w:t>;</w:t>
            </w:r>
            <w:r w:rsidRPr="002806B6">
              <w:rPr>
                <w:rFonts w:asciiTheme="majorHAnsi" w:hAnsiTheme="majorHAnsi"/>
                <w:b w:val="0"/>
              </w:rPr>
              <w:t xml:space="preserve"> por lo </w:t>
            </w:r>
            <w:r w:rsidR="00526129" w:rsidRPr="002806B6">
              <w:rPr>
                <w:rFonts w:asciiTheme="majorHAnsi" w:hAnsiTheme="majorHAnsi"/>
                <w:b w:val="0"/>
              </w:rPr>
              <w:t xml:space="preserve">cual, </w:t>
            </w:r>
            <w:r w:rsidRPr="002806B6">
              <w:rPr>
                <w:rFonts w:asciiTheme="majorHAnsi" w:hAnsiTheme="majorHAnsi"/>
                <w:b w:val="0"/>
              </w:rPr>
              <w:t xml:space="preserve">se han producido diversas tensiones y disputas en torno al uso de la tierra y el acceso a recursos naturales. </w:t>
            </w:r>
            <w:r w:rsidR="00327182" w:rsidRPr="002806B6">
              <w:rPr>
                <w:rFonts w:asciiTheme="majorHAnsi" w:hAnsiTheme="majorHAnsi"/>
                <w:b w:val="0"/>
              </w:rPr>
              <w:t>Hasta el momento de emisión de</w:t>
            </w:r>
            <w:r w:rsidR="00526129" w:rsidRPr="002806B6">
              <w:rPr>
                <w:rFonts w:asciiTheme="majorHAnsi" w:hAnsiTheme="majorHAnsi"/>
                <w:b w:val="0"/>
              </w:rPr>
              <w:t xml:space="preserve"> este</w:t>
            </w:r>
            <w:r w:rsidR="00327182" w:rsidRPr="002806B6">
              <w:rPr>
                <w:rFonts w:asciiTheme="majorHAnsi" w:hAnsiTheme="majorHAnsi"/>
                <w:b w:val="0"/>
              </w:rPr>
              <w:t xml:space="preserve"> informe, los Lotes Fiscales eran pro</w:t>
            </w:r>
            <w:r w:rsidR="0042588B" w:rsidRPr="002806B6">
              <w:rPr>
                <w:rFonts w:asciiTheme="majorHAnsi" w:hAnsiTheme="majorHAnsi"/>
                <w:b w:val="0"/>
              </w:rPr>
              <w:t>piedad de la Provincia de Salta</w:t>
            </w:r>
            <w:r w:rsidR="00526129" w:rsidRPr="002806B6">
              <w:rPr>
                <w:rFonts w:asciiTheme="majorHAnsi" w:hAnsiTheme="majorHAnsi"/>
                <w:b w:val="0"/>
              </w:rPr>
              <w:t>;</w:t>
            </w:r>
            <w:r w:rsidR="0042588B" w:rsidRPr="002806B6">
              <w:rPr>
                <w:rFonts w:asciiTheme="majorHAnsi" w:hAnsiTheme="majorHAnsi"/>
                <w:b w:val="0"/>
              </w:rPr>
              <w:t xml:space="preserve"> por lo que tanto ocupantes indígenas como no indígenas carecían de títulos de propiedad y eran considerados ocupantes de hecho. L</w:t>
            </w:r>
            <w:r w:rsidR="00526129" w:rsidRPr="002806B6">
              <w:rPr>
                <w:rFonts w:asciiTheme="majorHAnsi" w:hAnsiTheme="majorHAnsi"/>
                <w:b w:val="0"/>
              </w:rPr>
              <w:t>o</w:t>
            </w:r>
            <w:r w:rsidR="0042588B" w:rsidRPr="002806B6">
              <w:rPr>
                <w:rFonts w:asciiTheme="majorHAnsi" w:hAnsiTheme="majorHAnsi"/>
                <w:b w:val="0"/>
              </w:rPr>
              <w:t>s reclam</w:t>
            </w:r>
            <w:r w:rsidR="00526129" w:rsidRPr="002806B6">
              <w:rPr>
                <w:rFonts w:asciiTheme="majorHAnsi" w:hAnsiTheme="majorHAnsi"/>
                <w:b w:val="0"/>
              </w:rPr>
              <w:t>os</w:t>
            </w:r>
            <w:r w:rsidR="0042588B" w:rsidRPr="002806B6">
              <w:rPr>
                <w:rFonts w:asciiTheme="majorHAnsi" w:hAnsiTheme="majorHAnsi"/>
                <w:b w:val="0"/>
              </w:rPr>
              <w:t xml:space="preserve"> para lograr la titulación iniciaron en 1984, con el envío de una Declaración Conjunta por</w:t>
            </w:r>
            <w:r w:rsidR="00526129" w:rsidRPr="002806B6">
              <w:rPr>
                <w:rFonts w:asciiTheme="majorHAnsi" w:hAnsiTheme="majorHAnsi"/>
                <w:b w:val="0"/>
              </w:rPr>
              <w:t xml:space="preserve"> parte</w:t>
            </w:r>
            <w:r w:rsidR="0042588B" w:rsidRPr="002806B6">
              <w:rPr>
                <w:rFonts w:asciiTheme="majorHAnsi" w:hAnsiTheme="majorHAnsi"/>
                <w:b w:val="0"/>
              </w:rPr>
              <w:t xml:space="preserve"> las comunidades indígenas de los Lotes </w:t>
            </w:r>
            <w:r w:rsidR="002806B6">
              <w:rPr>
                <w:rFonts w:asciiTheme="majorHAnsi" w:hAnsiTheme="majorHAnsi"/>
                <w:b w:val="0"/>
              </w:rPr>
              <w:t xml:space="preserve">No. </w:t>
            </w:r>
            <w:r w:rsidR="0042588B" w:rsidRPr="002806B6">
              <w:rPr>
                <w:rFonts w:asciiTheme="majorHAnsi" w:hAnsiTheme="majorHAnsi"/>
                <w:b w:val="0"/>
              </w:rPr>
              <w:t>14 y 55</w:t>
            </w:r>
            <w:r w:rsidR="00526129" w:rsidRPr="002806B6">
              <w:rPr>
                <w:rFonts w:asciiTheme="majorHAnsi" w:hAnsiTheme="majorHAnsi"/>
                <w:b w:val="0"/>
              </w:rPr>
              <w:t>,</w:t>
            </w:r>
            <w:r w:rsidR="0042588B" w:rsidRPr="002806B6">
              <w:rPr>
                <w:rFonts w:asciiTheme="majorHAnsi" w:hAnsiTheme="majorHAnsi"/>
                <w:b w:val="0"/>
              </w:rPr>
              <w:t xml:space="preserve"> en la que </w:t>
            </w:r>
            <w:r w:rsidR="00526129" w:rsidRPr="002806B6">
              <w:rPr>
                <w:rFonts w:asciiTheme="majorHAnsi" w:hAnsiTheme="majorHAnsi"/>
                <w:b w:val="0"/>
              </w:rPr>
              <w:t xml:space="preserve">pedían </w:t>
            </w:r>
            <w:r w:rsidR="0042588B" w:rsidRPr="002806B6">
              <w:rPr>
                <w:rFonts w:asciiTheme="majorHAnsi" w:hAnsiTheme="majorHAnsi"/>
                <w:b w:val="0"/>
              </w:rPr>
              <w:t>la entrega del título de las tierras.</w:t>
            </w:r>
          </w:p>
          <w:p w14:paraId="0362F740" w14:textId="3BE354EA" w:rsidR="00425EAA" w:rsidRPr="002806B6" w:rsidRDefault="009130BA" w:rsidP="00264EE3">
            <w:pPr>
              <w:spacing w:line="240" w:lineRule="auto"/>
              <w:jc w:val="both"/>
              <w:rPr>
                <w:rFonts w:asciiTheme="majorHAnsi" w:hAnsiTheme="majorHAnsi"/>
                <w:b w:val="0"/>
              </w:rPr>
            </w:pPr>
            <w:r w:rsidRPr="002806B6">
              <w:rPr>
                <w:rFonts w:asciiTheme="majorHAnsi" w:hAnsiTheme="majorHAnsi"/>
                <w:b w:val="0"/>
              </w:rPr>
              <w:t xml:space="preserve">La CIDH identificó cinco fases en las negociaciones y reclamaciones sobre la obtención de los títulos de propiedad. La primera, entre 1984 y 1998, </w:t>
            </w:r>
            <w:r w:rsidR="00526129" w:rsidRPr="002806B6">
              <w:rPr>
                <w:rFonts w:asciiTheme="majorHAnsi" w:hAnsiTheme="majorHAnsi"/>
                <w:b w:val="0"/>
              </w:rPr>
              <w:t xml:space="preserve">consistió en </w:t>
            </w:r>
            <w:r w:rsidR="00FD0A90" w:rsidRPr="002806B6">
              <w:rPr>
                <w:rFonts w:asciiTheme="majorHAnsi" w:hAnsiTheme="majorHAnsi"/>
                <w:b w:val="0"/>
              </w:rPr>
              <w:t>la adquisición y formalización de compromisos sucesivos de titulación única por el Gobierno Provincial</w:t>
            </w:r>
            <w:r w:rsidR="00526129" w:rsidRPr="002806B6">
              <w:rPr>
                <w:rFonts w:asciiTheme="majorHAnsi" w:hAnsiTheme="majorHAnsi"/>
                <w:b w:val="0"/>
              </w:rPr>
              <w:t>. Durante esta etapa</w:t>
            </w:r>
            <w:r w:rsidR="00FD0A90" w:rsidRPr="002806B6">
              <w:rPr>
                <w:rFonts w:asciiTheme="majorHAnsi" w:hAnsiTheme="majorHAnsi"/>
                <w:b w:val="0"/>
              </w:rPr>
              <w:t xml:space="preserve">, </w:t>
            </w:r>
            <w:r w:rsidR="00526129" w:rsidRPr="002806B6">
              <w:rPr>
                <w:rFonts w:asciiTheme="majorHAnsi" w:hAnsiTheme="majorHAnsi"/>
                <w:b w:val="0"/>
              </w:rPr>
              <w:t>el Gobierno Provincial emitió</w:t>
            </w:r>
            <w:r w:rsidR="00D6509A" w:rsidRPr="002806B6">
              <w:rPr>
                <w:rFonts w:asciiTheme="majorHAnsi" w:hAnsiTheme="majorHAnsi"/>
                <w:b w:val="0"/>
              </w:rPr>
              <w:t xml:space="preserve"> una serie de normas para lograr la adjudicación </w:t>
            </w:r>
            <w:r w:rsidR="00830A89" w:rsidRPr="002806B6">
              <w:rPr>
                <w:rFonts w:asciiTheme="majorHAnsi" w:hAnsiTheme="majorHAnsi"/>
                <w:b w:val="0"/>
              </w:rPr>
              <w:t xml:space="preserve">de la propiedad colectiva </w:t>
            </w:r>
            <w:r w:rsidR="00D6509A" w:rsidRPr="002806B6">
              <w:rPr>
                <w:rFonts w:asciiTheme="majorHAnsi" w:hAnsiTheme="majorHAnsi"/>
                <w:b w:val="0"/>
              </w:rPr>
              <w:t xml:space="preserve">de las tierras reclamadas por las comunidades indígenas de </w:t>
            </w:r>
            <w:r w:rsidR="002C26A1" w:rsidRPr="002806B6">
              <w:rPr>
                <w:rFonts w:asciiTheme="majorHAnsi" w:hAnsiTheme="majorHAnsi"/>
                <w:b w:val="0"/>
              </w:rPr>
              <w:t>los Lotes Fiscales Nos. 14 y 5</w:t>
            </w:r>
            <w:r w:rsidR="00673EB5" w:rsidRPr="002806B6">
              <w:rPr>
                <w:rFonts w:asciiTheme="majorHAnsi" w:hAnsiTheme="majorHAnsi"/>
                <w:b w:val="0"/>
              </w:rPr>
              <w:t>5</w:t>
            </w:r>
            <w:r w:rsidR="00526129" w:rsidRPr="002806B6">
              <w:rPr>
                <w:rFonts w:asciiTheme="majorHAnsi" w:hAnsiTheme="majorHAnsi"/>
                <w:b w:val="0"/>
              </w:rPr>
              <w:t>.</w:t>
            </w:r>
            <w:r w:rsidR="00673EB5" w:rsidRPr="002806B6">
              <w:rPr>
                <w:rFonts w:asciiTheme="majorHAnsi" w:hAnsiTheme="majorHAnsi"/>
                <w:b w:val="0"/>
              </w:rPr>
              <w:t xml:space="preserve"> </w:t>
            </w:r>
            <w:r w:rsidR="00A73D50" w:rsidRPr="002806B6">
              <w:rPr>
                <w:rFonts w:asciiTheme="majorHAnsi" w:hAnsiTheme="majorHAnsi"/>
                <w:b w:val="0"/>
              </w:rPr>
              <w:t>E</w:t>
            </w:r>
            <w:r w:rsidR="00526129" w:rsidRPr="002806B6">
              <w:rPr>
                <w:rFonts w:asciiTheme="majorHAnsi" w:hAnsiTheme="majorHAnsi"/>
                <w:b w:val="0"/>
              </w:rPr>
              <w:t>stas,</w:t>
            </w:r>
            <w:r w:rsidR="00673EB5" w:rsidRPr="002806B6">
              <w:rPr>
                <w:rFonts w:asciiTheme="majorHAnsi" w:hAnsiTheme="majorHAnsi"/>
                <w:b w:val="0"/>
              </w:rPr>
              <w:t xml:space="preserve"> </w:t>
            </w:r>
            <w:r w:rsidR="00526129" w:rsidRPr="002806B6">
              <w:rPr>
                <w:rFonts w:asciiTheme="majorHAnsi" w:hAnsiTheme="majorHAnsi"/>
                <w:b w:val="0"/>
              </w:rPr>
              <w:t xml:space="preserve">además de reconocer </w:t>
            </w:r>
            <w:r w:rsidR="00673EB5" w:rsidRPr="002806B6">
              <w:rPr>
                <w:rFonts w:asciiTheme="majorHAnsi" w:hAnsiTheme="majorHAnsi"/>
                <w:b w:val="0"/>
              </w:rPr>
              <w:t>el derecho</w:t>
            </w:r>
            <w:r w:rsidR="00EF656C" w:rsidRPr="002806B6">
              <w:rPr>
                <w:rFonts w:asciiTheme="majorHAnsi" w:hAnsiTheme="majorHAnsi"/>
                <w:b w:val="0"/>
              </w:rPr>
              <w:t xml:space="preserve"> </w:t>
            </w:r>
            <w:r w:rsidR="00526129" w:rsidRPr="002806B6">
              <w:rPr>
                <w:rFonts w:asciiTheme="majorHAnsi" w:hAnsiTheme="majorHAnsi"/>
                <w:b w:val="0"/>
              </w:rPr>
              <w:t>a</w:t>
            </w:r>
            <w:r w:rsidR="00EF656C" w:rsidRPr="002806B6">
              <w:rPr>
                <w:rFonts w:asciiTheme="majorHAnsi" w:hAnsiTheme="majorHAnsi"/>
                <w:b w:val="0"/>
              </w:rPr>
              <w:t xml:space="preserve"> </w:t>
            </w:r>
            <w:r w:rsidR="002806B6">
              <w:rPr>
                <w:rFonts w:asciiTheme="majorHAnsi" w:hAnsiTheme="majorHAnsi"/>
                <w:b w:val="0"/>
              </w:rPr>
              <w:t xml:space="preserve">la adjudicación de las tierras </w:t>
            </w:r>
            <w:r w:rsidR="004D7014" w:rsidRPr="002806B6">
              <w:rPr>
                <w:rFonts w:asciiTheme="majorHAnsi" w:hAnsiTheme="majorHAnsi"/>
                <w:b w:val="0"/>
              </w:rPr>
              <w:t>de forma colectiva</w:t>
            </w:r>
            <w:r w:rsidR="00EF656C" w:rsidRPr="002806B6">
              <w:rPr>
                <w:rFonts w:asciiTheme="majorHAnsi" w:hAnsiTheme="majorHAnsi"/>
                <w:b w:val="0"/>
              </w:rPr>
              <w:t xml:space="preserve">, </w:t>
            </w:r>
            <w:r w:rsidR="00A73D50" w:rsidRPr="002806B6">
              <w:rPr>
                <w:rFonts w:asciiTheme="majorHAnsi" w:hAnsiTheme="majorHAnsi"/>
                <w:b w:val="0"/>
              </w:rPr>
              <w:t>s</w:t>
            </w:r>
            <w:r w:rsidR="00E63FA7" w:rsidRPr="002806B6">
              <w:rPr>
                <w:rFonts w:asciiTheme="majorHAnsi" w:hAnsiTheme="majorHAnsi"/>
                <w:b w:val="0"/>
              </w:rPr>
              <w:t>uspend</w:t>
            </w:r>
            <w:r w:rsidR="00A73D50" w:rsidRPr="002806B6">
              <w:rPr>
                <w:rFonts w:asciiTheme="majorHAnsi" w:hAnsiTheme="majorHAnsi"/>
                <w:b w:val="0"/>
              </w:rPr>
              <w:t>ieron</w:t>
            </w:r>
            <w:r w:rsidR="00EF656C" w:rsidRPr="002806B6">
              <w:rPr>
                <w:rFonts w:asciiTheme="majorHAnsi" w:hAnsiTheme="majorHAnsi"/>
                <w:b w:val="0"/>
              </w:rPr>
              <w:t xml:space="preserve"> la emisión de autorizaciones</w:t>
            </w:r>
            <w:r w:rsidR="00E63FA7" w:rsidRPr="002806B6">
              <w:rPr>
                <w:rFonts w:asciiTheme="majorHAnsi" w:hAnsiTheme="majorHAnsi"/>
                <w:b w:val="0"/>
              </w:rPr>
              <w:t xml:space="preserve"> </w:t>
            </w:r>
            <w:r w:rsidR="00526129" w:rsidRPr="002806B6">
              <w:rPr>
                <w:rFonts w:asciiTheme="majorHAnsi" w:hAnsiTheme="majorHAnsi"/>
                <w:b w:val="0"/>
              </w:rPr>
              <w:t>y</w:t>
            </w:r>
            <w:r w:rsidR="00EF656C" w:rsidRPr="002806B6">
              <w:rPr>
                <w:rFonts w:asciiTheme="majorHAnsi" w:hAnsiTheme="majorHAnsi"/>
                <w:b w:val="0"/>
              </w:rPr>
              <w:t xml:space="preserve"> la celebración de cualquier acto que implique concesión, hasta la entrega de los Títulos Definitivos a las Comunidades Aborígenes y Criollas de los Lotes Fiscales </w:t>
            </w:r>
            <w:r w:rsidR="007936DA" w:rsidRPr="002806B6">
              <w:rPr>
                <w:rFonts w:asciiTheme="majorHAnsi" w:hAnsiTheme="majorHAnsi"/>
                <w:b w:val="0"/>
              </w:rPr>
              <w:t xml:space="preserve">No. </w:t>
            </w:r>
            <w:r w:rsidR="00EF656C" w:rsidRPr="002806B6">
              <w:rPr>
                <w:rFonts w:asciiTheme="majorHAnsi" w:hAnsiTheme="majorHAnsi"/>
                <w:b w:val="0"/>
              </w:rPr>
              <w:t>14 y 55.</w:t>
            </w:r>
          </w:p>
          <w:p w14:paraId="457D0906" w14:textId="55DBB4FB" w:rsidR="00446771" w:rsidRPr="002806B6" w:rsidRDefault="003F48F2" w:rsidP="00264EE3">
            <w:pPr>
              <w:spacing w:line="240" w:lineRule="auto"/>
              <w:jc w:val="both"/>
              <w:rPr>
                <w:rFonts w:asciiTheme="majorHAnsi" w:hAnsiTheme="majorHAnsi"/>
                <w:b w:val="0"/>
              </w:rPr>
            </w:pPr>
            <w:r w:rsidRPr="002806B6">
              <w:rPr>
                <w:rFonts w:asciiTheme="majorHAnsi" w:hAnsiTheme="majorHAnsi"/>
                <w:b w:val="0"/>
              </w:rPr>
              <w:t>E</w:t>
            </w:r>
            <w:r w:rsidR="000C3A77" w:rsidRPr="002806B6">
              <w:rPr>
                <w:rFonts w:asciiTheme="majorHAnsi" w:hAnsiTheme="majorHAnsi"/>
                <w:b w:val="0"/>
              </w:rPr>
              <w:t xml:space="preserve">n 1992, </w:t>
            </w:r>
            <w:r w:rsidRPr="002806B6">
              <w:rPr>
                <w:rFonts w:asciiTheme="majorHAnsi" w:hAnsiTheme="majorHAnsi"/>
                <w:b w:val="0"/>
              </w:rPr>
              <w:t xml:space="preserve">en el marco de esta fase, </w:t>
            </w:r>
            <w:r w:rsidR="000C3A77" w:rsidRPr="002806B6">
              <w:rPr>
                <w:rFonts w:asciiTheme="majorHAnsi" w:hAnsiTheme="majorHAnsi"/>
                <w:b w:val="0"/>
              </w:rPr>
              <w:t xml:space="preserve">algunas comunidades indígenas que habitan los </w:t>
            </w:r>
            <w:r w:rsidR="00F757AA" w:rsidRPr="002806B6">
              <w:rPr>
                <w:rFonts w:asciiTheme="majorHAnsi" w:hAnsiTheme="majorHAnsi"/>
                <w:b w:val="0"/>
              </w:rPr>
              <w:t xml:space="preserve">Lotes Fiscales </w:t>
            </w:r>
            <w:r w:rsidR="00DF48E5" w:rsidRPr="002806B6">
              <w:rPr>
                <w:rFonts w:asciiTheme="majorHAnsi" w:hAnsiTheme="majorHAnsi"/>
                <w:b w:val="0"/>
              </w:rPr>
              <w:t xml:space="preserve">formaron la Asociación de Comunidades Aborígenes Lhaka Honhat (Nuestra Tierra) con el propósito de obtener un título común y colectivo de propiedad territorial para todas las comunidades indígenas </w:t>
            </w:r>
            <w:r w:rsidR="004D4F61" w:rsidRPr="002806B6">
              <w:rPr>
                <w:rFonts w:asciiTheme="majorHAnsi" w:hAnsiTheme="majorHAnsi"/>
                <w:b w:val="0"/>
              </w:rPr>
              <w:t xml:space="preserve">de los Lotes Fiscales </w:t>
            </w:r>
            <w:r w:rsidR="007936DA" w:rsidRPr="002806B6">
              <w:rPr>
                <w:rFonts w:asciiTheme="majorHAnsi" w:hAnsiTheme="majorHAnsi"/>
                <w:b w:val="0"/>
              </w:rPr>
              <w:t xml:space="preserve">No. </w:t>
            </w:r>
            <w:r w:rsidR="004D4F61" w:rsidRPr="002806B6">
              <w:rPr>
                <w:rFonts w:asciiTheme="majorHAnsi" w:hAnsiTheme="majorHAnsi"/>
                <w:b w:val="0"/>
              </w:rPr>
              <w:t xml:space="preserve">14 y 55. </w:t>
            </w:r>
            <w:r w:rsidR="00E63FA7" w:rsidRPr="002806B6">
              <w:rPr>
                <w:rFonts w:asciiTheme="majorHAnsi" w:hAnsiTheme="majorHAnsi"/>
                <w:b w:val="0"/>
              </w:rPr>
              <w:t xml:space="preserve">En </w:t>
            </w:r>
            <w:r w:rsidR="00673EB5" w:rsidRPr="002806B6">
              <w:rPr>
                <w:rFonts w:asciiTheme="majorHAnsi" w:hAnsiTheme="majorHAnsi"/>
                <w:b w:val="0"/>
              </w:rPr>
              <w:t xml:space="preserve">1993, </w:t>
            </w:r>
            <w:r w:rsidR="00E7024F" w:rsidRPr="002806B6">
              <w:rPr>
                <w:rFonts w:asciiTheme="majorHAnsi" w:hAnsiTheme="majorHAnsi"/>
                <w:b w:val="0"/>
              </w:rPr>
              <w:t xml:space="preserve">de forma simultánea </w:t>
            </w:r>
            <w:r w:rsidR="00673EB5" w:rsidRPr="002806B6">
              <w:rPr>
                <w:rFonts w:asciiTheme="majorHAnsi" w:hAnsiTheme="majorHAnsi"/>
                <w:b w:val="0"/>
              </w:rPr>
              <w:t xml:space="preserve">a las negociaciones y acciones para la adjudicación del territorio, </w:t>
            </w:r>
            <w:r w:rsidR="00E7024F" w:rsidRPr="002806B6">
              <w:rPr>
                <w:rFonts w:asciiTheme="majorHAnsi" w:hAnsiTheme="majorHAnsi"/>
                <w:b w:val="0"/>
              </w:rPr>
              <w:t>el Gobierno Provincial tramitó una licitación pública para la construcción del puente internacional sobre el Río Pilcomayo, Misión La Paz – Pozo Hondo. Las comunidades indígenas no fueron informadas ni notificadas sobre el proyecto.</w:t>
            </w:r>
          </w:p>
          <w:p w14:paraId="68D00697" w14:textId="6C9287BB" w:rsidR="003D52AD" w:rsidRPr="002806B6" w:rsidRDefault="00446771" w:rsidP="003D52AD">
            <w:pPr>
              <w:spacing w:after="0" w:line="240" w:lineRule="auto"/>
              <w:jc w:val="both"/>
              <w:rPr>
                <w:rFonts w:asciiTheme="majorHAnsi" w:hAnsiTheme="majorHAnsi"/>
                <w:b w:val="0"/>
              </w:rPr>
            </w:pPr>
            <w:r w:rsidRPr="002806B6">
              <w:rPr>
                <w:rFonts w:asciiTheme="majorHAnsi" w:hAnsiTheme="majorHAnsi"/>
                <w:b w:val="0"/>
              </w:rPr>
              <w:t>A pesar de los esfuerzos y protestas pacíficas, ha</w:t>
            </w:r>
            <w:r w:rsidR="0044562E" w:rsidRPr="002806B6">
              <w:rPr>
                <w:rFonts w:asciiTheme="majorHAnsi" w:hAnsiTheme="majorHAnsi"/>
                <w:b w:val="0"/>
              </w:rPr>
              <w:t>sta 1998</w:t>
            </w:r>
            <w:r w:rsidR="00E63FA7" w:rsidRPr="002806B6">
              <w:rPr>
                <w:rFonts w:asciiTheme="majorHAnsi" w:hAnsiTheme="majorHAnsi"/>
                <w:b w:val="0"/>
              </w:rPr>
              <w:t>,</w:t>
            </w:r>
            <w:r w:rsidR="0044562E" w:rsidRPr="002806B6">
              <w:rPr>
                <w:rFonts w:asciiTheme="majorHAnsi" w:hAnsiTheme="majorHAnsi"/>
                <w:b w:val="0"/>
              </w:rPr>
              <w:t xml:space="preserve"> no se había logrado la concreción de las promesas realizadas por el Gobierno Provincial y los </w:t>
            </w:r>
            <w:r w:rsidR="002806B6">
              <w:rPr>
                <w:rFonts w:asciiTheme="majorHAnsi" w:hAnsiTheme="majorHAnsi"/>
                <w:b w:val="0"/>
              </w:rPr>
              <w:t>d</w:t>
            </w:r>
            <w:r w:rsidR="0044562E" w:rsidRPr="002806B6">
              <w:rPr>
                <w:rFonts w:asciiTheme="majorHAnsi" w:hAnsiTheme="majorHAnsi"/>
                <w:b w:val="0"/>
              </w:rPr>
              <w:t>ecretos sobre titulación de las tierras ancestrales</w:t>
            </w:r>
            <w:r w:rsidR="00A5071D" w:rsidRPr="002806B6">
              <w:rPr>
                <w:rFonts w:asciiTheme="majorHAnsi" w:hAnsiTheme="majorHAnsi"/>
                <w:b w:val="0"/>
              </w:rPr>
              <w:t xml:space="preserve"> en los términos exigidos por las comunidades indígenas</w:t>
            </w:r>
            <w:r w:rsidR="0044562E" w:rsidRPr="002806B6">
              <w:rPr>
                <w:rFonts w:asciiTheme="majorHAnsi" w:hAnsiTheme="majorHAnsi"/>
                <w:b w:val="0"/>
              </w:rPr>
              <w:t xml:space="preserve">. </w:t>
            </w:r>
            <w:r w:rsidR="00E63FA7" w:rsidRPr="002806B6">
              <w:rPr>
                <w:rFonts w:asciiTheme="majorHAnsi" w:hAnsiTheme="majorHAnsi"/>
                <w:b w:val="0"/>
              </w:rPr>
              <w:t>Ese año</w:t>
            </w:r>
            <w:r w:rsidR="003D52AD" w:rsidRPr="002806B6">
              <w:rPr>
                <w:rFonts w:asciiTheme="majorHAnsi" w:hAnsiTheme="majorHAnsi"/>
                <w:b w:val="0"/>
              </w:rPr>
              <w:t xml:space="preserve">, frente a los hechos citados, la Asociación Lhaka Honhat, el Centro de Estudios Legales y Sociales (CELS) y el Centro por la Justicia y Derecho Internacional (CEJIL) presentaron una petición ante la CIDH, denunciando que el Estado de Argentina había violado los </w:t>
            </w:r>
            <w:r w:rsidR="00E63FA7" w:rsidRPr="002806B6">
              <w:rPr>
                <w:rFonts w:asciiTheme="majorHAnsi" w:hAnsiTheme="majorHAnsi"/>
                <w:b w:val="0"/>
              </w:rPr>
              <w:t xml:space="preserve">derechos </w:t>
            </w:r>
            <w:r w:rsidR="00E63FA7" w:rsidRPr="002806B6">
              <w:rPr>
                <w:rFonts w:asciiTheme="majorHAnsi" w:hAnsiTheme="majorHAnsi"/>
                <w:b w:val="0"/>
                <w:lang w:val="es-AR"/>
              </w:rPr>
              <w:t xml:space="preserve">de las Comunidades Indígenas </w:t>
            </w:r>
            <w:r w:rsidR="00E63FA7" w:rsidRPr="002806B6">
              <w:rPr>
                <w:rFonts w:asciiTheme="majorHAnsi" w:hAnsiTheme="majorHAnsi"/>
                <w:b w:val="0"/>
              </w:rPr>
              <w:t xml:space="preserve">de la Asociación Lhaka Honhat a las </w:t>
            </w:r>
            <w:r w:rsidR="00ED0D98" w:rsidRPr="002806B6">
              <w:rPr>
                <w:rFonts w:asciiTheme="majorHAnsi" w:hAnsiTheme="majorHAnsi"/>
                <w:b w:val="0"/>
                <w:lang w:val="es-AR"/>
              </w:rPr>
              <w:t xml:space="preserve">garantías judiciales, </w:t>
            </w:r>
            <w:r w:rsidR="00E63FA7" w:rsidRPr="002806B6">
              <w:rPr>
                <w:rFonts w:asciiTheme="majorHAnsi" w:hAnsiTheme="majorHAnsi"/>
                <w:b w:val="0"/>
                <w:lang w:val="es-AR"/>
              </w:rPr>
              <w:t xml:space="preserve">a la </w:t>
            </w:r>
            <w:r w:rsidR="00ED0D98" w:rsidRPr="002806B6">
              <w:rPr>
                <w:rFonts w:asciiTheme="majorHAnsi" w:hAnsiTheme="majorHAnsi"/>
                <w:b w:val="0"/>
                <w:lang w:val="es-AR"/>
              </w:rPr>
              <w:t>libertad de pensamiento y de expresión</w:t>
            </w:r>
            <w:r w:rsidR="00E63FA7" w:rsidRPr="002806B6">
              <w:rPr>
                <w:rFonts w:asciiTheme="majorHAnsi" w:hAnsiTheme="majorHAnsi"/>
                <w:b w:val="0"/>
                <w:lang w:val="es-AR"/>
              </w:rPr>
              <w:t xml:space="preserve">, a los </w:t>
            </w:r>
            <w:r w:rsidR="00ED0D98" w:rsidRPr="002806B6">
              <w:rPr>
                <w:rFonts w:asciiTheme="majorHAnsi" w:hAnsiTheme="majorHAnsi"/>
                <w:b w:val="0"/>
                <w:lang w:val="es-AR"/>
              </w:rPr>
              <w:t xml:space="preserve">derechos políticos, </w:t>
            </w:r>
            <w:r w:rsidR="00E63FA7" w:rsidRPr="002806B6">
              <w:rPr>
                <w:rFonts w:asciiTheme="majorHAnsi" w:hAnsiTheme="majorHAnsi"/>
                <w:b w:val="0"/>
                <w:lang w:val="es-AR"/>
              </w:rPr>
              <w:t xml:space="preserve">al </w:t>
            </w:r>
            <w:r w:rsidR="00ED0D98" w:rsidRPr="002806B6">
              <w:rPr>
                <w:rFonts w:asciiTheme="majorHAnsi" w:hAnsiTheme="majorHAnsi"/>
                <w:b w:val="0"/>
                <w:lang w:val="es-AR"/>
              </w:rPr>
              <w:t xml:space="preserve">derecho a la propiedad privada y </w:t>
            </w:r>
            <w:r w:rsidR="00E63FA7" w:rsidRPr="002806B6">
              <w:rPr>
                <w:rFonts w:asciiTheme="majorHAnsi" w:hAnsiTheme="majorHAnsi"/>
                <w:b w:val="0"/>
                <w:lang w:val="es-AR"/>
              </w:rPr>
              <w:t xml:space="preserve">a la </w:t>
            </w:r>
            <w:r w:rsidR="00ED0D98" w:rsidRPr="002806B6">
              <w:rPr>
                <w:rFonts w:asciiTheme="majorHAnsi" w:hAnsiTheme="majorHAnsi"/>
                <w:b w:val="0"/>
                <w:lang w:val="es-AR"/>
              </w:rPr>
              <w:t>protección judicial</w:t>
            </w:r>
            <w:r w:rsidR="00E63FA7" w:rsidRPr="002806B6">
              <w:rPr>
                <w:rFonts w:asciiTheme="majorHAnsi" w:hAnsiTheme="majorHAnsi"/>
                <w:b w:val="0"/>
                <w:lang w:val="es-AR"/>
              </w:rPr>
              <w:t>, reconocidos en</w:t>
            </w:r>
            <w:r w:rsidR="00ED0D98" w:rsidRPr="002806B6">
              <w:rPr>
                <w:rFonts w:asciiTheme="majorHAnsi" w:hAnsiTheme="majorHAnsi"/>
                <w:b w:val="0"/>
                <w:lang w:val="es-AR"/>
              </w:rPr>
              <w:t xml:space="preserve"> la Convención Americana sobre Derechos Humanos (</w:t>
            </w:r>
            <w:r w:rsidR="00E63FA7" w:rsidRPr="002806B6">
              <w:rPr>
                <w:rFonts w:asciiTheme="majorHAnsi" w:hAnsiTheme="majorHAnsi"/>
                <w:b w:val="0"/>
                <w:lang w:val="es-AR"/>
              </w:rPr>
              <w:t xml:space="preserve">en adelante, </w:t>
            </w:r>
            <w:r w:rsidR="00ED0D98" w:rsidRPr="002806B6">
              <w:rPr>
                <w:rFonts w:asciiTheme="majorHAnsi" w:hAnsiTheme="majorHAnsi"/>
                <w:b w:val="0"/>
                <w:lang w:val="es-AR"/>
              </w:rPr>
              <w:t>CADH)</w:t>
            </w:r>
            <w:r w:rsidR="00ED0D98" w:rsidRPr="002806B6">
              <w:rPr>
                <w:rFonts w:asciiTheme="majorHAnsi" w:hAnsiTheme="majorHAnsi"/>
                <w:b w:val="0"/>
              </w:rPr>
              <w:t>.</w:t>
            </w:r>
          </w:p>
          <w:p w14:paraId="0F99BFC7" w14:textId="77777777" w:rsidR="00446771" w:rsidRPr="002806B6" w:rsidRDefault="00446771" w:rsidP="00BF203E">
            <w:pPr>
              <w:spacing w:after="0" w:line="240" w:lineRule="auto"/>
              <w:jc w:val="both"/>
              <w:rPr>
                <w:rFonts w:asciiTheme="majorHAnsi" w:hAnsiTheme="majorHAnsi"/>
                <w:b w:val="0"/>
              </w:rPr>
            </w:pPr>
          </w:p>
          <w:p w14:paraId="313697D2" w14:textId="225C2751" w:rsidR="00B0299A" w:rsidRPr="002806B6" w:rsidRDefault="00E92783" w:rsidP="00264EE3">
            <w:pPr>
              <w:spacing w:line="240" w:lineRule="auto"/>
              <w:jc w:val="both"/>
              <w:rPr>
                <w:rFonts w:asciiTheme="majorHAnsi" w:hAnsiTheme="majorHAnsi"/>
                <w:b w:val="0"/>
              </w:rPr>
            </w:pPr>
            <w:r w:rsidRPr="002806B6">
              <w:rPr>
                <w:rFonts w:asciiTheme="majorHAnsi" w:hAnsiTheme="majorHAnsi"/>
                <w:b w:val="0"/>
              </w:rPr>
              <w:t>Tras la presentación de la petición, inició la segunda fase identificada por la CIDH</w:t>
            </w:r>
            <w:r w:rsidR="00E63FA7" w:rsidRPr="002806B6">
              <w:rPr>
                <w:rFonts w:asciiTheme="majorHAnsi" w:hAnsiTheme="majorHAnsi"/>
                <w:b w:val="0"/>
              </w:rPr>
              <w:t>. Esta ocurrió entre los años 1999 y 2005, y se caracterizó</w:t>
            </w:r>
            <w:r w:rsidRPr="002806B6">
              <w:rPr>
                <w:rFonts w:asciiTheme="majorHAnsi" w:hAnsiTheme="majorHAnsi"/>
                <w:b w:val="0"/>
              </w:rPr>
              <w:t xml:space="preserve"> </w:t>
            </w:r>
            <w:r w:rsidR="002806B6">
              <w:rPr>
                <w:rFonts w:asciiTheme="majorHAnsi" w:hAnsiTheme="majorHAnsi"/>
                <w:b w:val="0"/>
              </w:rPr>
              <w:t xml:space="preserve">por </w:t>
            </w:r>
            <w:r w:rsidRPr="002806B6">
              <w:rPr>
                <w:rFonts w:asciiTheme="majorHAnsi" w:hAnsiTheme="majorHAnsi"/>
                <w:b w:val="0"/>
              </w:rPr>
              <w:t>la voluntad de parcelación de los Lotes Fiscales</w:t>
            </w:r>
            <w:r w:rsidR="007936DA" w:rsidRPr="002806B6">
              <w:rPr>
                <w:rFonts w:asciiTheme="majorHAnsi" w:hAnsiTheme="majorHAnsi"/>
                <w:b w:val="0"/>
              </w:rPr>
              <w:t xml:space="preserve"> No.</w:t>
            </w:r>
            <w:r w:rsidRPr="002806B6">
              <w:rPr>
                <w:rFonts w:asciiTheme="majorHAnsi" w:hAnsiTheme="majorHAnsi"/>
                <w:b w:val="0"/>
              </w:rPr>
              <w:t xml:space="preserve"> 55 y 14 por el Gobierno Provincial, y la oposición indígena, en simultaneidad con las negociaciones ante la CIDH. </w:t>
            </w:r>
            <w:r w:rsidR="009734BA" w:rsidRPr="002806B6">
              <w:rPr>
                <w:rFonts w:asciiTheme="majorHAnsi" w:hAnsiTheme="majorHAnsi"/>
                <w:b w:val="0"/>
              </w:rPr>
              <w:t>En</w:t>
            </w:r>
            <w:r w:rsidR="004C2972" w:rsidRPr="002806B6">
              <w:rPr>
                <w:rFonts w:asciiTheme="majorHAnsi" w:hAnsiTheme="majorHAnsi"/>
                <w:b w:val="0"/>
              </w:rPr>
              <w:t xml:space="preserve"> este contexto, en</w:t>
            </w:r>
            <w:r w:rsidR="009734BA" w:rsidRPr="002806B6">
              <w:rPr>
                <w:rFonts w:asciiTheme="majorHAnsi" w:hAnsiTheme="majorHAnsi"/>
                <w:b w:val="0"/>
              </w:rPr>
              <w:t xml:space="preserve"> </w:t>
            </w:r>
            <w:r w:rsidR="00E42321" w:rsidRPr="002806B6">
              <w:rPr>
                <w:rFonts w:asciiTheme="majorHAnsi" w:hAnsiTheme="majorHAnsi"/>
                <w:b w:val="0"/>
              </w:rPr>
              <w:t xml:space="preserve">noviembre de </w:t>
            </w:r>
            <w:r w:rsidR="009734BA" w:rsidRPr="002806B6">
              <w:rPr>
                <w:rFonts w:asciiTheme="majorHAnsi" w:hAnsiTheme="majorHAnsi"/>
                <w:b w:val="0"/>
              </w:rPr>
              <w:t xml:space="preserve">1999, la Secretaría </w:t>
            </w:r>
            <w:r w:rsidR="009734BA" w:rsidRPr="002806B6">
              <w:rPr>
                <w:rFonts w:asciiTheme="majorHAnsi" w:hAnsiTheme="majorHAnsi"/>
                <w:b w:val="0"/>
              </w:rPr>
              <w:lastRenderedPageBreak/>
              <w:t xml:space="preserve">General de la Gobernación de Salta </w:t>
            </w:r>
            <w:r w:rsidR="00900F00" w:rsidRPr="002806B6">
              <w:rPr>
                <w:rFonts w:asciiTheme="majorHAnsi" w:hAnsiTheme="majorHAnsi"/>
                <w:b w:val="0"/>
              </w:rPr>
              <w:t>emitió la Resolución No. 423/99</w:t>
            </w:r>
            <w:r w:rsidR="00E63FA7" w:rsidRPr="002806B6">
              <w:rPr>
                <w:rFonts w:asciiTheme="majorHAnsi" w:hAnsiTheme="majorHAnsi"/>
                <w:b w:val="0"/>
              </w:rPr>
              <w:t>,</w:t>
            </w:r>
            <w:r w:rsidR="00337273" w:rsidRPr="002806B6">
              <w:rPr>
                <w:rFonts w:asciiTheme="majorHAnsi" w:hAnsiTheme="majorHAnsi"/>
                <w:b w:val="0"/>
              </w:rPr>
              <w:t xml:space="preserve"> mediante la cual se ordenaba la publicación de edictos por 15 días para emplazar a todos quienes se consideraran con derechos sobre algunos t</w:t>
            </w:r>
            <w:r w:rsidR="00673EB5" w:rsidRPr="002806B6">
              <w:rPr>
                <w:rFonts w:asciiTheme="majorHAnsi" w:hAnsiTheme="majorHAnsi"/>
                <w:b w:val="0"/>
              </w:rPr>
              <w:t>errenos del Lote Fiscal No. 55</w:t>
            </w:r>
            <w:r w:rsidR="00E63FA7" w:rsidRPr="002806B6">
              <w:rPr>
                <w:rFonts w:asciiTheme="majorHAnsi" w:hAnsiTheme="majorHAnsi"/>
                <w:b w:val="0"/>
              </w:rPr>
              <w:t>.</w:t>
            </w:r>
            <w:r w:rsidR="00DF0DE6" w:rsidRPr="002806B6">
              <w:rPr>
                <w:rFonts w:asciiTheme="majorHAnsi" w:hAnsiTheme="majorHAnsi"/>
                <w:b w:val="0"/>
              </w:rPr>
              <w:t xml:space="preserve"> </w:t>
            </w:r>
            <w:r w:rsidR="00E63FA7" w:rsidRPr="002806B6">
              <w:rPr>
                <w:rFonts w:asciiTheme="majorHAnsi" w:hAnsiTheme="majorHAnsi"/>
                <w:b w:val="0"/>
              </w:rPr>
              <w:t>Esta acción</w:t>
            </w:r>
            <w:r w:rsidR="00673EB5" w:rsidRPr="002806B6">
              <w:rPr>
                <w:rFonts w:asciiTheme="majorHAnsi" w:hAnsiTheme="majorHAnsi"/>
                <w:b w:val="0"/>
              </w:rPr>
              <w:t xml:space="preserve"> fue cuestionad</w:t>
            </w:r>
            <w:r w:rsidR="00E63FA7" w:rsidRPr="002806B6">
              <w:rPr>
                <w:rFonts w:asciiTheme="majorHAnsi" w:hAnsiTheme="majorHAnsi"/>
                <w:b w:val="0"/>
              </w:rPr>
              <w:t>a</w:t>
            </w:r>
            <w:r w:rsidR="00673EB5" w:rsidRPr="002806B6">
              <w:rPr>
                <w:rFonts w:asciiTheme="majorHAnsi" w:hAnsiTheme="majorHAnsi"/>
                <w:b w:val="0"/>
              </w:rPr>
              <w:t xml:space="preserve"> </w:t>
            </w:r>
            <w:r w:rsidR="004C2972" w:rsidRPr="002806B6">
              <w:rPr>
                <w:rFonts w:asciiTheme="majorHAnsi" w:hAnsiTheme="majorHAnsi"/>
                <w:b w:val="0"/>
              </w:rPr>
              <w:t xml:space="preserve">por la Asociación Lhaka Honhat </w:t>
            </w:r>
            <w:r w:rsidR="00673EB5" w:rsidRPr="002806B6">
              <w:rPr>
                <w:rFonts w:asciiTheme="majorHAnsi" w:hAnsiTheme="majorHAnsi"/>
                <w:b w:val="0"/>
              </w:rPr>
              <w:t xml:space="preserve">mediante </w:t>
            </w:r>
            <w:r w:rsidR="007A4915" w:rsidRPr="002806B6">
              <w:rPr>
                <w:rFonts w:asciiTheme="majorHAnsi" w:hAnsiTheme="majorHAnsi"/>
                <w:b w:val="0"/>
              </w:rPr>
              <w:t>un recurso administrativo de revocatoria, pero fue rechazado por la Secre</w:t>
            </w:r>
            <w:r w:rsidR="002806B6">
              <w:rPr>
                <w:rFonts w:asciiTheme="majorHAnsi" w:hAnsiTheme="majorHAnsi"/>
                <w:b w:val="0"/>
              </w:rPr>
              <w:t>taría General de la Gobernación. A</w:t>
            </w:r>
            <w:r w:rsidR="007A4915" w:rsidRPr="002806B6">
              <w:rPr>
                <w:rFonts w:asciiTheme="majorHAnsi" w:hAnsiTheme="majorHAnsi"/>
                <w:b w:val="0"/>
              </w:rPr>
              <w:t>nte ello, interpusieron un recurso jerárquico ante el Gobernador de la Provincia de Salta, que a junio de 2000 no había sido resuelto, por lo que no obtuvieron tutela</w:t>
            </w:r>
            <w:r w:rsidR="00673EB5" w:rsidRPr="002806B6">
              <w:rPr>
                <w:rFonts w:asciiTheme="majorHAnsi" w:hAnsiTheme="majorHAnsi"/>
                <w:b w:val="0"/>
              </w:rPr>
              <w:t xml:space="preserve">. </w:t>
            </w:r>
            <w:r w:rsidR="004C2972" w:rsidRPr="002806B6">
              <w:rPr>
                <w:rFonts w:asciiTheme="majorHAnsi" w:hAnsiTheme="majorHAnsi"/>
                <w:b w:val="0"/>
              </w:rPr>
              <w:t>Asimismo, cabe señalar que m</w:t>
            </w:r>
            <w:r w:rsidR="00630349" w:rsidRPr="002806B6">
              <w:rPr>
                <w:rFonts w:asciiTheme="majorHAnsi" w:hAnsiTheme="majorHAnsi"/>
                <w:b w:val="0"/>
              </w:rPr>
              <w:t xml:space="preserve">ediante el Decreto No. 461 de diciembre de 1999, el Poder Ejecutivo de la Provincia de Salta realizó adjudicaciones de parcelas dentro del Lote Fiscal No. 55 a algunos individuos y comunidades indígenas </w:t>
            </w:r>
            <w:r w:rsidR="00673EB5" w:rsidRPr="002806B6">
              <w:rPr>
                <w:rFonts w:asciiTheme="majorHAnsi" w:hAnsiTheme="majorHAnsi"/>
                <w:b w:val="0"/>
              </w:rPr>
              <w:t>allí asentadas.</w:t>
            </w:r>
          </w:p>
          <w:p w14:paraId="39BAA4A8" w14:textId="24A4AAD7" w:rsidR="00673EB5" w:rsidRPr="002806B6" w:rsidRDefault="00673EB5" w:rsidP="00264EE3">
            <w:pPr>
              <w:spacing w:line="240" w:lineRule="auto"/>
              <w:jc w:val="both"/>
              <w:rPr>
                <w:rFonts w:asciiTheme="majorHAnsi" w:hAnsiTheme="majorHAnsi"/>
                <w:b w:val="0"/>
              </w:rPr>
            </w:pPr>
            <w:r w:rsidRPr="002806B6">
              <w:rPr>
                <w:rFonts w:asciiTheme="majorHAnsi" w:hAnsiTheme="majorHAnsi"/>
                <w:b w:val="0"/>
              </w:rPr>
              <w:t>E</w:t>
            </w:r>
            <w:r w:rsidR="00DC13F9" w:rsidRPr="002806B6">
              <w:rPr>
                <w:rFonts w:asciiTheme="majorHAnsi" w:hAnsiTheme="majorHAnsi"/>
                <w:b w:val="0"/>
              </w:rPr>
              <w:t xml:space="preserve">ntre </w:t>
            </w:r>
            <w:r w:rsidR="004C2972" w:rsidRPr="002806B6">
              <w:rPr>
                <w:rFonts w:asciiTheme="majorHAnsi" w:hAnsiTheme="majorHAnsi"/>
                <w:b w:val="0"/>
              </w:rPr>
              <w:t xml:space="preserve">los años </w:t>
            </w:r>
            <w:r w:rsidR="00DC13F9" w:rsidRPr="002806B6">
              <w:rPr>
                <w:rFonts w:asciiTheme="majorHAnsi" w:hAnsiTheme="majorHAnsi"/>
                <w:b w:val="0"/>
              </w:rPr>
              <w:t>200</w:t>
            </w:r>
            <w:r w:rsidR="00844DD0" w:rsidRPr="002806B6">
              <w:rPr>
                <w:rFonts w:asciiTheme="majorHAnsi" w:hAnsiTheme="majorHAnsi"/>
                <w:b w:val="0"/>
              </w:rPr>
              <w:t>0</w:t>
            </w:r>
            <w:r w:rsidR="00DC13F9" w:rsidRPr="002806B6">
              <w:rPr>
                <w:rFonts w:asciiTheme="majorHAnsi" w:hAnsiTheme="majorHAnsi"/>
                <w:b w:val="0"/>
              </w:rPr>
              <w:t xml:space="preserve"> y 2005</w:t>
            </w:r>
            <w:r w:rsidR="004C2972" w:rsidRPr="002806B6">
              <w:rPr>
                <w:rFonts w:asciiTheme="majorHAnsi" w:hAnsiTheme="majorHAnsi"/>
                <w:b w:val="0"/>
              </w:rPr>
              <w:t>,</w:t>
            </w:r>
            <w:r w:rsidR="00DC13F9" w:rsidRPr="002806B6">
              <w:rPr>
                <w:rFonts w:asciiTheme="majorHAnsi" w:hAnsiTheme="majorHAnsi"/>
                <w:b w:val="0"/>
              </w:rPr>
              <w:t xml:space="preserve"> se llevó ante la CIDH un proceso de </w:t>
            </w:r>
            <w:r w:rsidR="00460EAB" w:rsidRPr="002806B6">
              <w:rPr>
                <w:rFonts w:asciiTheme="majorHAnsi" w:hAnsiTheme="majorHAnsi"/>
                <w:b w:val="0"/>
              </w:rPr>
              <w:t>negociación para llegar a una</w:t>
            </w:r>
            <w:r w:rsidR="00DC13F9" w:rsidRPr="002806B6">
              <w:rPr>
                <w:rFonts w:asciiTheme="majorHAnsi" w:hAnsiTheme="majorHAnsi"/>
                <w:b w:val="0"/>
              </w:rPr>
              <w:t xml:space="preserve"> solución amistosa</w:t>
            </w:r>
            <w:r w:rsidR="00460EAB" w:rsidRPr="002806B6">
              <w:rPr>
                <w:rFonts w:asciiTheme="majorHAnsi" w:hAnsiTheme="majorHAnsi"/>
                <w:b w:val="0"/>
              </w:rPr>
              <w:t>, que contó</w:t>
            </w:r>
            <w:r w:rsidR="00DC13F9" w:rsidRPr="002806B6">
              <w:rPr>
                <w:rFonts w:asciiTheme="majorHAnsi" w:hAnsiTheme="majorHAnsi"/>
                <w:b w:val="0"/>
              </w:rPr>
              <w:t xml:space="preserve"> con la participación del Gobierno Nacional, el Gobierno Provincial y la parte peticionaria</w:t>
            </w:r>
            <w:r w:rsidR="00460EAB" w:rsidRPr="002806B6">
              <w:rPr>
                <w:rFonts w:asciiTheme="majorHAnsi" w:hAnsiTheme="majorHAnsi"/>
                <w:b w:val="0"/>
              </w:rPr>
              <w:t>. Este</w:t>
            </w:r>
            <w:r w:rsidRPr="002806B6">
              <w:rPr>
                <w:rFonts w:asciiTheme="majorHAnsi" w:hAnsiTheme="majorHAnsi"/>
                <w:b w:val="0"/>
              </w:rPr>
              <w:t xml:space="preserve"> no logró arribar a un acuerdo. </w:t>
            </w:r>
            <w:r w:rsidR="00844DD0" w:rsidRPr="002806B6">
              <w:rPr>
                <w:rFonts w:asciiTheme="majorHAnsi" w:hAnsiTheme="majorHAnsi"/>
                <w:b w:val="0"/>
              </w:rPr>
              <w:t xml:space="preserve">Tras </w:t>
            </w:r>
            <w:r w:rsidR="00460EAB" w:rsidRPr="002806B6">
              <w:rPr>
                <w:rFonts w:asciiTheme="majorHAnsi" w:hAnsiTheme="majorHAnsi"/>
                <w:b w:val="0"/>
              </w:rPr>
              <w:t>ello</w:t>
            </w:r>
            <w:r w:rsidR="00844DD0" w:rsidRPr="002806B6">
              <w:rPr>
                <w:rFonts w:asciiTheme="majorHAnsi" w:hAnsiTheme="majorHAnsi"/>
                <w:b w:val="0"/>
              </w:rPr>
              <w:t xml:space="preserve">, </w:t>
            </w:r>
            <w:r w:rsidR="00460EAB" w:rsidRPr="002806B6">
              <w:rPr>
                <w:rFonts w:asciiTheme="majorHAnsi" w:hAnsiTheme="majorHAnsi"/>
                <w:b w:val="0"/>
              </w:rPr>
              <w:t>se</w:t>
            </w:r>
            <w:r w:rsidR="009B7AFF" w:rsidRPr="002806B6">
              <w:rPr>
                <w:rFonts w:asciiTheme="majorHAnsi" w:hAnsiTheme="majorHAnsi"/>
                <w:b w:val="0"/>
              </w:rPr>
              <w:t xml:space="preserve"> inici</w:t>
            </w:r>
            <w:r w:rsidR="00460EAB" w:rsidRPr="002806B6">
              <w:rPr>
                <w:rFonts w:asciiTheme="majorHAnsi" w:hAnsiTheme="majorHAnsi"/>
                <w:b w:val="0"/>
              </w:rPr>
              <w:t>ó</w:t>
            </w:r>
            <w:r w:rsidR="009B7AFF" w:rsidRPr="002806B6">
              <w:rPr>
                <w:rFonts w:asciiTheme="majorHAnsi" w:hAnsiTheme="majorHAnsi"/>
                <w:b w:val="0"/>
              </w:rPr>
              <w:t xml:space="preserve"> de la tercera fase, </w:t>
            </w:r>
            <w:r w:rsidR="00460EAB" w:rsidRPr="002806B6">
              <w:rPr>
                <w:rFonts w:asciiTheme="majorHAnsi" w:hAnsiTheme="majorHAnsi"/>
                <w:b w:val="0"/>
              </w:rPr>
              <w:t xml:space="preserve">en la que </w:t>
            </w:r>
            <w:r w:rsidR="00556F37" w:rsidRPr="002806B6">
              <w:rPr>
                <w:rFonts w:asciiTheme="majorHAnsi" w:hAnsiTheme="majorHAnsi"/>
                <w:b w:val="0"/>
              </w:rPr>
              <w:t>el Senado y la Cámara de Diputados de la Provincia de Salta aprobaron la Ley No. 7352</w:t>
            </w:r>
            <w:r w:rsidR="00BE7FC5" w:rsidRPr="002806B6">
              <w:rPr>
                <w:rFonts w:asciiTheme="majorHAnsi" w:hAnsiTheme="majorHAnsi"/>
                <w:b w:val="0"/>
              </w:rPr>
              <w:t xml:space="preserve">, </w:t>
            </w:r>
            <w:r w:rsidR="00460EAB" w:rsidRPr="002806B6">
              <w:rPr>
                <w:rFonts w:asciiTheme="majorHAnsi" w:hAnsiTheme="majorHAnsi"/>
                <w:b w:val="0"/>
              </w:rPr>
              <w:t>que</w:t>
            </w:r>
            <w:r w:rsidR="00BE7FC5" w:rsidRPr="002806B6">
              <w:rPr>
                <w:rFonts w:asciiTheme="majorHAnsi" w:hAnsiTheme="majorHAnsi"/>
                <w:b w:val="0"/>
              </w:rPr>
              <w:t xml:space="preserve"> convocaba a un referéndum en el departamento de Rivadavia</w:t>
            </w:r>
            <w:r w:rsidR="002806B6">
              <w:rPr>
                <w:rFonts w:asciiTheme="majorHAnsi" w:hAnsiTheme="majorHAnsi"/>
                <w:b w:val="0"/>
              </w:rPr>
              <w:t>, en</w:t>
            </w:r>
            <w:r w:rsidR="00AA3269" w:rsidRPr="002806B6">
              <w:rPr>
                <w:rFonts w:asciiTheme="majorHAnsi" w:hAnsiTheme="majorHAnsi"/>
                <w:b w:val="0"/>
              </w:rPr>
              <w:t xml:space="preserve"> la provincia de Salta,</w:t>
            </w:r>
            <w:r w:rsidR="00BE7FC5" w:rsidRPr="002806B6">
              <w:rPr>
                <w:rFonts w:asciiTheme="majorHAnsi" w:hAnsiTheme="majorHAnsi"/>
                <w:b w:val="0"/>
              </w:rPr>
              <w:t xml:space="preserve"> para definir la entrega de tierras a los habitantes</w:t>
            </w:r>
            <w:r w:rsidRPr="002806B6">
              <w:rPr>
                <w:rFonts w:asciiTheme="majorHAnsi" w:hAnsiTheme="majorHAnsi"/>
                <w:b w:val="0"/>
              </w:rPr>
              <w:t xml:space="preserve"> de los Lotes Fiscales </w:t>
            </w:r>
            <w:r w:rsidR="002806B6">
              <w:rPr>
                <w:rFonts w:asciiTheme="majorHAnsi" w:hAnsiTheme="majorHAnsi"/>
                <w:b w:val="0"/>
              </w:rPr>
              <w:t xml:space="preserve">No. </w:t>
            </w:r>
            <w:r w:rsidRPr="002806B6">
              <w:rPr>
                <w:rFonts w:asciiTheme="majorHAnsi" w:hAnsiTheme="majorHAnsi"/>
                <w:b w:val="0"/>
              </w:rPr>
              <w:t xml:space="preserve">14 y 55. A pesar de los cuestionamientos judiciales realizados por la Asociación Lhaka Honhat para detener el referéndum, </w:t>
            </w:r>
            <w:r w:rsidR="006532FA" w:rsidRPr="002806B6">
              <w:rPr>
                <w:rFonts w:asciiTheme="majorHAnsi" w:hAnsiTheme="majorHAnsi"/>
                <w:b w:val="0"/>
              </w:rPr>
              <w:t xml:space="preserve">este se llevó a cabo y, por mayoría, ganó el “Sí”. </w:t>
            </w:r>
          </w:p>
          <w:p w14:paraId="7C87DE46" w14:textId="44302A6F" w:rsidR="005A4B63" w:rsidRPr="002806B6" w:rsidRDefault="006532FA" w:rsidP="00264EE3">
            <w:pPr>
              <w:spacing w:line="240" w:lineRule="auto"/>
              <w:jc w:val="both"/>
              <w:rPr>
                <w:rFonts w:asciiTheme="majorHAnsi" w:hAnsiTheme="majorHAnsi"/>
                <w:b w:val="0"/>
              </w:rPr>
            </w:pPr>
            <w:r w:rsidRPr="002806B6">
              <w:rPr>
                <w:rFonts w:asciiTheme="majorHAnsi" w:hAnsiTheme="majorHAnsi"/>
                <w:b w:val="0"/>
              </w:rPr>
              <w:t xml:space="preserve">Entre </w:t>
            </w:r>
            <w:r w:rsidR="00460EAB" w:rsidRPr="002806B6">
              <w:rPr>
                <w:rFonts w:asciiTheme="majorHAnsi" w:hAnsiTheme="majorHAnsi"/>
                <w:b w:val="0"/>
              </w:rPr>
              <w:t xml:space="preserve">los años </w:t>
            </w:r>
            <w:r w:rsidRPr="002806B6">
              <w:rPr>
                <w:rFonts w:asciiTheme="majorHAnsi" w:hAnsiTheme="majorHAnsi"/>
                <w:b w:val="0"/>
              </w:rPr>
              <w:t>2005 y 2007</w:t>
            </w:r>
            <w:r w:rsidR="00460EAB" w:rsidRPr="002806B6">
              <w:rPr>
                <w:rFonts w:asciiTheme="majorHAnsi" w:hAnsiTheme="majorHAnsi"/>
                <w:b w:val="0"/>
              </w:rPr>
              <w:t>,</w:t>
            </w:r>
            <w:r w:rsidRPr="002806B6">
              <w:rPr>
                <w:rFonts w:asciiTheme="majorHAnsi" w:hAnsiTheme="majorHAnsi"/>
                <w:b w:val="0"/>
              </w:rPr>
              <w:t xml:space="preserve"> se desarrolló la cuarta fase identificada por la CIDH</w:t>
            </w:r>
            <w:r w:rsidR="007936DA" w:rsidRPr="002806B6">
              <w:rPr>
                <w:rFonts w:asciiTheme="majorHAnsi" w:hAnsiTheme="majorHAnsi"/>
                <w:b w:val="0"/>
              </w:rPr>
              <w:t xml:space="preserve"> caracterizada por </w:t>
            </w:r>
            <w:r w:rsidR="005A4B63" w:rsidRPr="002806B6">
              <w:rPr>
                <w:rFonts w:asciiTheme="majorHAnsi" w:hAnsiTheme="majorHAnsi"/>
                <w:b w:val="0"/>
              </w:rPr>
              <w:t>reinici</w:t>
            </w:r>
            <w:r w:rsidR="007936DA" w:rsidRPr="002806B6">
              <w:rPr>
                <w:rFonts w:asciiTheme="majorHAnsi" w:hAnsiTheme="majorHAnsi"/>
                <w:b w:val="0"/>
              </w:rPr>
              <w:t>o</w:t>
            </w:r>
            <w:r w:rsidR="005A4B63" w:rsidRPr="002806B6">
              <w:rPr>
                <w:rFonts w:asciiTheme="majorHAnsi" w:hAnsiTheme="majorHAnsi"/>
                <w:b w:val="0"/>
              </w:rPr>
              <w:t xml:space="preserve"> </w:t>
            </w:r>
            <w:r w:rsidR="007936DA" w:rsidRPr="002806B6">
              <w:rPr>
                <w:rFonts w:asciiTheme="majorHAnsi" w:hAnsiTheme="majorHAnsi"/>
                <w:b w:val="0"/>
              </w:rPr>
              <w:t>d</w:t>
            </w:r>
            <w:r w:rsidR="005A4B63" w:rsidRPr="002806B6">
              <w:rPr>
                <w:rFonts w:asciiTheme="majorHAnsi" w:hAnsiTheme="majorHAnsi"/>
                <w:b w:val="0"/>
              </w:rPr>
              <w:t xml:space="preserve">el diálogo entre las partes. </w:t>
            </w:r>
            <w:r w:rsidR="007936DA" w:rsidRPr="002806B6">
              <w:rPr>
                <w:rFonts w:asciiTheme="majorHAnsi" w:hAnsiTheme="majorHAnsi"/>
                <w:b w:val="0"/>
              </w:rPr>
              <w:t>En ese sentido, e</w:t>
            </w:r>
            <w:r w:rsidR="005A4B63" w:rsidRPr="002806B6">
              <w:rPr>
                <w:rFonts w:asciiTheme="majorHAnsi" w:hAnsiTheme="majorHAnsi"/>
                <w:b w:val="0"/>
              </w:rPr>
              <w:t>l Gobierno Provincial presentó ajustes a su propuesta</w:t>
            </w:r>
            <w:r w:rsidR="00517CAB" w:rsidRPr="002806B6">
              <w:rPr>
                <w:rFonts w:asciiTheme="majorHAnsi" w:hAnsiTheme="majorHAnsi"/>
                <w:b w:val="0"/>
              </w:rPr>
              <w:t xml:space="preserve"> de adjudicación de tierras</w:t>
            </w:r>
            <w:r w:rsidR="005A4B63" w:rsidRPr="002806B6">
              <w:rPr>
                <w:rFonts w:asciiTheme="majorHAnsi" w:hAnsiTheme="majorHAnsi"/>
                <w:b w:val="0"/>
              </w:rPr>
              <w:t xml:space="preserve"> en marzo de 2005, y posteriormente amplió la misma a través de un </w:t>
            </w:r>
            <w:r w:rsidR="007936DA" w:rsidRPr="002806B6">
              <w:rPr>
                <w:rFonts w:asciiTheme="majorHAnsi" w:hAnsiTheme="majorHAnsi"/>
                <w:b w:val="0"/>
              </w:rPr>
              <w:t>a</w:t>
            </w:r>
            <w:r w:rsidR="005A4B63" w:rsidRPr="002806B6">
              <w:rPr>
                <w:rFonts w:asciiTheme="majorHAnsi" w:hAnsiTheme="majorHAnsi"/>
                <w:b w:val="0"/>
              </w:rPr>
              <w:t>nexo. Aunque se dieron nuevas reuniones entre las partes para ajustar la propuesta del Gobierno Provincial, la Asociación Lhaka Honhat siguió expresando su preocupación por las acciones emprendidas por el Gobierno que vulneraban sus d</w:t>
            </w:r>
            <w:r w:rsidR="00490A9B" w:rsidRPr="002806B6">
              <w:rPr>
                <w:rFonts w:asciiTheme="majorHAnsi" w:hAnsiTheme="majorHAnsi"/>
                <w:b w:val="0"/>
              </w:rPr>
              <w:t xml:space="preserve">erechos como pueblos indígenas, como </w:t>
            </w:r>
            <w:r w:rsidR="00580649" w:rsidRPr="002806B6">
              <w:rPr>
                <w:rFonts w:asciiTheme="majorHAnsi" w:hAnsiTheme="majorHAnsi"/>
                <w:b w:val="0"/>
              </w:rPr>
              <w:t>la recepción de solicitudes por parte de población criolla para la adjudicación individual de tierras</w:t>
            </w:r>
            <w:r w:rsidR="00386A00" w:rsidRPr="002806B6">
              <w:rPr>
                <w:rFonts w:asciiTheme="majorHAnsi" w:hAnsiTheme="majorHAnsi"/>
                <w:b w:val="0"/>
              </w:rPr>
              <w:t xml:space="preserve">, </w:t>
            </w:r>
            <w:r w:rsidR="005A4B63" w:rsidRPr="002806B6">
              <w:rPr>
                <w:rFonts w:asciiTheme="majorHAnsi" w:hAnsiTheme="majorHAnsi"/>
                <w:b w:val="0"/>
              </w:rPr>
              <w:t>y</w:t>
            </w:r>
            <w:r w:rsidR="00386A00" w:rsidRPr="002806B6">
              <w:rPr>
                <w:rFonts w:asciiTheme="majorHAnsi" w:hAnsiTheme="majorHAnsi"/>
                <w:b w:val="0"/>
              </w:rPr>
              <w:t>, en general, el inicio d</w:t>
            </w:r>
            <w:r w:rsidR="005A4B63" w:rsidRPr="002806B6">
              <w:rPr>
                <w:rFonts w:asciiTheme="majorHAnsi" w:hAnsiTheme="majorHAnsi"/>
                <w:b w:val="0"/>
              </w:rPr>
              <w:t>el proceso de adjudicación de tierras en los Lotes Fiscales No</w:t>
            </w:r>
            <w:r w:rsidR="00386A00" w:rsidRPr="002806B6">
              <w:rPr>
                <w:rFonts w:asciiTheme="majorHAnsi" w:hAnsiTheme="majorHAnsi"/>
                <w:b w:val="0"/>
              </w:rPr>
              <w:t>. 14 y 55</w:t>
            </w:r>
            <w:r w:rsidR="005A4B63" w:rsidRPr="002806B6">
              <w:rPr>
                <w:rFonts w:asciiTheme="majorHAnsi" w:hAnsiTheme="majorHAnsi"/>
                <w:b w:val="0"/>
              </w:rPr>
              <w:t>. Una propuesta alternativa fue presentada por el Gobierno Nacional, pero, aunque cumplía con los estándares reclamados, nunca fue implementada. En octubre de 2006</w:t>
            </w:r>
            <w:r w:rsidR="007936DA" w:rsidRPr="002806B6">
              <w:rPr>
                <w:rFonts w:asciiTheme="majorHAnsi" w:hAnsiTheme="majorHAnsi"/>
                <w:b w:val="0"/>
              </w:rPr>
              <w:t>,</w:t>
            </w:r>
            <w:r w:rsidR="005A4B63" w:rsidRPr="002806B6">
              <w:rPr>
                <w:rFonts w:asciiTheme="majorHAnsi" w:hAnsiTheme="majorHAnsi"/>
                <w:b w:val="0"/>
              </w:rPr>
              <w:t xml:space="preserve"> la CIDH emitió su informe de admisibilidad del caso.</w:t>
            </w:r>
          </w:p>
          <w:p w14:paraId="0A7F1588" w14:textId="785D6125" w:rsidR="00801723" w:rsidRPr="002806B6" w:rsidRDefault="00F40E1B" w:rsidP="00264EE3">
            <w:pPr>
              <w:spacing w:line="240" w:lineRule="auto"/>
              <w:jc w:val="both"/>
              <w:rPr>
                <w:rFonts w:asciiTheme="majorHAnsi" w:hAnsiTheme="majorHAnsi"/>
                <w:b w:val="0"/>
              </w:rPr>
            </w:pPr>
            <w:r w:rsidRPr="002806B6">
              <w:rPr>
                <w:rFonts w:asciiTheme="majorHAnsi" w:hAnsiTheme="majorHAnsi"/>
                <w:b w:val="0"/>
              </w:rPr>
              <w:t>La fase final inició con la celebración de un Acta de Acuerdo en octubre de 2007</w:t>
            </w:r>
            <w:r w:rsidR="007D1C89" w:rsidRPr="002806B6">
              <w:rPr>
                <w:rFonts w:asciiTheme="majorHAnsi" w:hAnsiTheme="majorHAnsi"/>
                <w:b w:val="0"/>
              </w:rPr>
              <w:t xml:space="preserve"> entre los Gobiernos Nacional y Provincial, la Asociación Lhaka Honhat, la Organización de Familias Criollas y CELS</w:t>
            </w:r>
            <w:r w:rsidRPr="002806B6">
              <w:rPr>
                <w:rFonts w:asciiTheme="majorHAnsi" w:hAnsiTheme="majorHAnsi"/>
                <w:b w:val="0"/>
              </w:rPr>
              <w:t xml:space="preserve">, en la cual se preveían los términos </w:t>
            </w:r>
            <w:r w:rsidR="005F16A3" w:rsidRPr="002806B6">
              <w:rPr>
                <w:rFonts w:asciiTheme="majorHAnsi" w:hAnsiTheme="majorHAnsi"/>
                <w:b w:val="0"/>
              </w:rPr>
              <w:t>de la adjudicaci</w:t>
            </w:r>
            <w:r w:rsidR="007D1C89" w:rsidRPr="002806B6">
              <w:rPr>
                <w:rFonts w:asciiTheme="majorHAnsi" w:hAnsiTheme="majorHAnsi"/>
                <w:b w:val="0"/>
              </w:rPr>
              <w:t>ón del territorio</w:t>
            </w:r>
            <w:r w:rsidR="00DF02B7" w:rsidRPr="002806B6">
              <w:rPr>
                <w:rFonts w:asciiTheme="majorHAnsi" w:hAnsiTheme="majorHAnsi"/>
                <w:b w:val="0"/>
              </w:rPr>
              <w:t xml:space="preserve"> en los Lotes Fiscales No. 14 y 55. </w:t>
            </w:r>
            <w:r w:rsidR="007936DA" w:rsidRPr="002806B6">
              <w:rPr>
                <w:rFonts w:asciiTheme="majorHAnsi" w:hAnsiTheme="majorHAnsi"/>
                <w:b w:val="0"/>
              </w:rPr>
              <w:t>El a</w:t>
            </w:r>
            <w:r w:rsidR="00DF02B7" w:rsidRPr="002806B6">
              <w:rPr>
                <w:rFonts w:asciiTheme="majorHAnsi" w:hAnsiTheme="majorHAnsi"/>
                <w:b w:val="0"/>
              </w:rPr>
              <w:t xml:space="preserve">cuerdo fue aprobado por Decreto </w:t>
            </w:r>
            <w:r w:rsidR="007936DA" w:rsidRPr="002806B6">
              <w:rPr>
                <w:rFonts w:asciiTheme="majorHAnsi" w:hAnsiTheme="majorHAnsi"/>
                <w:b w:val="0"/>
              </w:rPr>
              <w:t xml:space="preserve">No. </w:t>
            </w:r>
            <w:r w:rsidR="00DF02B7" w:rsidRPr="002806B6">
              <w:rPr>
                <w:rFonts w:asciiTheme="majorHAnsi" w:hAnsiTheme="majorHAnsi"/>
                <w:b w:val="0"/>
              </w:rPr>
              <w:t>2786/07</w:t>
            </w:r>
            <w:r w:rsidR="004A67B0" w:rsidRPr="002806B6">
              <w:rPr>
                <w:rFonts w:asciiTheme="majorHAnsi" w:hAnsiTheme="majorHAnsi"/>
                <w:b w:val="0"/>
              </w:rPr>
              <w:t xml:space="preserve">, </w:t>
            </w:r>
            <w:r w:rsidR="007936DA" w:rsidRPr="002806B6">
              <w:rPr>
                <w:rFonts w:asciiTheme="majorHAnsi" w:hAnsiTheme="majorHAnsi"/>
                <w:b w:val="0"/>
              </w:rPr>
              <w:t>que</w:t>
            </w:r>
            <w:r w:rsidR="004A67B0" w:rsidRPr="002806B6">
              <w:rPr>
                <w:rFonts w:asciiTheme="majorHAnsi" w:hAnsiTheme="majorHAnsi"/>
                <w:b w:val="0"/>
              </w:rPr>
              <w:t xml:space="preserve"> asignó </w:t>
            </w:r>
            <w:r w:rsidR="007936DA" w:rsidRPr="002806B6">
              <w:rPr>
                <w:rFonts w:asciiTheme="majorHAnsi" w:hAnsiTheme="majorHAnsi"/>
                <w:b w:val="0"/>
              </w:rPr>
              <w:t xml:space="preserve">además </w:t>
            </w:r>
            <w:r w:rsidR="004A67B0" w:rsidRPr="002806B6">
              <w:rPr>
                <w:rFonts w:asciiTheme="majorHAnsi" w:hAnsiTheme="majorHAnsi"/>
                <w:b w:val="0"/>
              </w:rPr>
              <w:t xml:space="preserve">en términos generales la propiedad de los Lotes Fiscales </w:t>
            </w:r>
            <w:r w:rsidR="007936DA" w:rsidRPr="002806B6">
              <w:rPr>
                <w:rFonts w:asciiTheme="majorHAnsi" w:hAnsiTheme="majorHAnsi"/>
                <w:b w:val="0"/>
              </w:rPr>
              <w:t xml:space="preserve">No. </w:t>
            </w:r>
            <w:r w:rsidR="004A67B0" w:rsidRPr="002806B6">
              <w:rPr>
                <w:rFonts w:asciiTheme="majorHAnsi" w:hAnsiTheme="majorHAnsi"/>
                <w:b w:val="0"/>
              </w:rPr>
              <w:t>14 y 55 a sus ocupantes.</w:t>
            </w:r>
            <w:r w:rsidR="0080362B" w:rsidRPr="002806B6">
              <w:rPr>
                <w:rFonts w:asciiTheme="majorHAnsi" w:hAnsiTheme="majorHAnsi"/>
                <w:b w:val="0"/>
              </w:rPr>
              <w:t xml:space="preserve"> El proceso de regularización inició en 2008 con la creación de una Unidad Ejecutora Provincial mediante el Decreto No. 4705/08. </w:t>
            </w:r>
            <w:r w:rsidR="00385C0B">
              <w:rPr>
                <w:rFonts w:asciiTheme="majorHAnsi" w:hAnsiTheme="majorHAnsi"/>
                <w:b w:val="0"/>
              </w:rPr>
              <w:t>Los peticionarios rechazaron</w:t>
            </w:r>
            <w:r w:rsidR="0080362B" w:rsidRPr="002806B6">
              <w:rPr>
                <w:rFonts w:asciiTheme="majorHAnsi" w:hAnsiTheme="majorHAnsi"/>
                <w:b w:val="0"/>
              </w:rPr>
              <w:t xml:space="preserve"> la propuesta de la Unidad Ejecutora, al considerar que no tomaba en cuenta su participación para la entrega de tierras. En mayo de 2011</w:t>
            </w:r>
            <w:r w:rsidR="007936DA" w:rsidRPr="002806B6">
              <w:rPr>
                <w:rFonts w:asciiTheme="majorHAnsi" w:hAnsiTheme="majorHAnsi"/>
                <w:b w:val="0"/>
              </w:rPr>
              <w:t>,</w:t>
            </w:r>
            <w:r w:rsidR="0080362B" w:rsidRPr="002806B6">
              <w:rPr>
                <w:rFonts w:asciiTheme="majorHAnsi" w:hAnsiTheme="majorHAnsi"/>
                <w:b w:val="0"/>
              </w:rPr>
              <w:t xml:space="preserve"> se presentó un informe sobr</w:t>
            </w:r>
            <w:r w:rsidR="007F5883" w:rsidRPr="002806B6">
              <w:rPr>
                <w:rFonts w:asciiTheme="majorHAnsi" w:hAnsiTheme="majorHAnsi"/>
                <w:b w:val="0"/>
              </w:rPr>
              <w:t xml:space="preserve">e el proceso de regularización de tierras, </w:t>
            </w:r>
            <w:r w:rsidR="007936DA" w:rsidRPr="002806B6">
              <w:rPr>
                <w:rFonts w:asciiTheme="majorHAnsi" w:hAnsiTheme="majorHAnsi"/>
                <w:b w:val="0"/>
              </w:rPr>
              <w:t>que</w:t>
            </w:r>
            <w:r w:rsidR="00264EE3" w:rsidRPr="002806B6">
              <w:rPr>
                <w:rFonts w:asciiTheme="majorHAnsi" w:hAnsiTheme="majorHAnsi"/>
                <w:b w:val="0"/>
              </w:rPr>
              <w:t xml:space="preserve"> dio cuenta de la participación de la Asociación Lhaka Honhat</w:t>
            </w:r>
            <w:r w:rsidR="00192C62" w:rsidRPr="002806B6">
              <w:rPr>
                <w:rFonts w:asciiTheme="majorHAnsi" w:hAnsiTheme="majorHAnsi"/>
                <w:b w:val="0"/>
              </w:rPr>
              <w:t xml:space="preserve"> </w:t>
            </w:r>
            <w:r w:rsidR="00385C0B" w:rsidRPr="002806B6">
              <w:rPr>
                <w:rFonts w:asciiTheme="majorHAnsi" w:hAnsiTheme="majorHAnsi"/>
                <w:b w:val="0"/>
              </w:rPr>
              <w:t xml:space="preserve">y otras comunidades indígenas </w:t>
            </w:r>
            <w:r w:rsidR="00192C62" w:rsidRPr="002806B6">
              <w:rPr>
                <w:rFonts w:asciiTheme="majorHAnsi" w:hAnsiTheme="majorHAnsi"/>
                <w:b w:val="0"/>
              </w:rPr>
              <w:t>en las reuniones y proceso de negociación</w:t>
            </w:r>
            <w:r w:rsidR="00264EE3" w:rsidRPr="002806B6">
              <w:rPr>
                <w:rFonts w:asciiTheme="majorHAnsi" w:hAnsiTheme="majorHAnsi"/>
                <w:b w:val="0"/>
              </w:rPr>
              <w:t>.</w:t>
            </w:r>
          </w:p>
          <w:p w14:paraId="50915DBE" w14:textId="77777777" w:rsidR="00260AAA" w:rsidRPr="002806B6" w:rsidRDefault="0007787C" w:rsidP="002C43BD">
            <w:pPr>
              <w:spacing w:after="0" w:line="240" w:lineRule="auto"/>
              <w:jc w:val="both"/>
              <w:rPr>
                <w:rFonts w:asciiTheme="majorHAnsi" w:hAnsiTheme="majorHAnsi"/>
                <w:b w:val="0"/>
              </w:rPr>
            </w:pPr>
            <w:r w:rsidRPr="002806B6">
              <w:rPr>
                <w:rFonts w:asciiTheme="majorHAnsi" w:hAnsiTheme="majorHAnsi"/>
                <w:b w:val="0"/>
              </w:rPr>
              <w:t xml:space="preserve">De forma paralela a los hechos relatados, el Gobierno de la Provincia de Salta realizó las siguientes obras públicas y actividades de exploración y explotación de recursos naturales en el territorio de los Lotes Fiscales </w:t>
            </w:r>
            <w:r w:rsidR="009014C3" w:rsidRPr="002806B6">
              <w:rPr>
                <w:rFonts w:asciiTheme="majorHAnsi" w:hAnsiTheme="majorHAnsi"/>
                <w:b w:val="0"/>
              </w:rPr>
              <w:t xml:space="preserve">No. </w:t>
            </w:r>
            <w:r w:rsidRPr="002806B6">
              <w:rPr>
                <w:rFonts w:asciiTheme="majorHAnsi" w:hAnsiTheme="majorHAnsi"/>
                <w:b w:val="0"/>
              </w:rPr>
              <w:t>14 y 55</w:t>
            </w:r>
            <w:r w:rsidR="00767D7D" w:rsidRPr="002806B6">
              <w:rPr>
                <w:rFonts w:asciiTheme="majorHAnsi" w:hAnsiTheme="majorHAnsi"/>
                <w:b w:val="0"/>
              </w:rPr>
              <w:t xml:space="preserve"> sin participación de las comunidades indígenas</w:t>
            </w:r>
            <w:r w:rsidRPr="002806B6">
              <w:rPr>
                <w:rFonts w:asciiTheme="majorHAnsi" w:hAnsiTheme="majorHAnsi"/>
                <w:b w:val="0"/>
              </w:rPr>
              <w:t xml:space="preserve">: i) obras de mejora de un camino que unía Santa Victoria Este con La Paz (2001); ii) la planeación de obras de construcción de la Ruta 87, </w:t>
            </w:r>
            <w:r w:rsidR="009014C3" w:rsidRPr="002806B6">
              <w:rPr>
                <w:rFonts w:asciiTheme="majorHAnsi" w:hAnsiTheme="majorHAnsi"/>
                <w:b w:val="0"/>
              </w:rPr>
              <w:t>y</w:t>
            </w:r>
            <w:r w:rsidRPr="002806B6">
              <w:rPr>
                <w:rFonts w:asciiTheme="majorHAnsi" w:hAnsiTheme="majorHAnsi"/>
                <w:b w:val="0"/>
              </w:rPr>
              <w:t xml:space="preserve"> la apertura de una licitación para el efecto (2000-2001); iii) obras de mantenimiento y ampliación de la Ruta Provincial No. 54 (2005); y iv) la apertura a licitación y otorgamiento de una concesión para exploración de hidrocarburos (2001). </w:t>
            </w:r>
          </w:p>
          <w:p w14:paraId="13D12BD2" w14:textId="77777777" w:rsidR="00260AAA" w:rsidRPr="002806B6" w:rsidRDefault="00260AAA" w:rsidP="002C43BD">
            <w:pPr>
              <w:spacing w:after="0" w:line="240" w:lineRule="auto"/>
              <w:jc w:val="both"/>
              <w:rPr>
                <w:rFonts w:asciiTheme="majorHAnsi" w:hAnsiTheme="majorHAnsi"/>
                <w:b w:val="0"/>
              </w:rPr>
            </w:pPr>
          </w:p>
          <w:p w14:paraId="4C2F23AB" w14:textId="3164C2CD" w:rsidR="00801723" w:rsidRPr="002806B6" w:rsidRDefault="002F1639" w:rsidP="002C43BD">
            <w:pPr>
              <w:spacing w:after="0" w:line="240" w:lineRule="auto"/>
              <w:jc w:val="both"/>
              <w:rPr>
                <w:rFonts w:asciiTheme="majorHAnsi" w:hAnsiTheme="majorHAnsi"/>
                <w:b w:val="0"/>
              </w:rPr>
            </w:pPr>
            <w:r w:rsidRPr="002806B6">
              <w:rPr>
                <w:rFonts w:asciiTheme="majorHAnsi" w:hAnsiTheme="majorHAnsi"/>
                <w:b w:val="0"/>
              </w:rPr>
              <w:lastRenderedPageBreak/>
              <w:t xml:space="preserve">Por otro lado, </w:t>
            </w:r>
            <w:r w:rsidR="00263BE0" w:rsidRPr="002806B6">
              <w:rPr>
                <w:rFonts w:asciiTheme="majorHAnsi" w:hAnsiTheme="majorHAnsi"/>
                <w:b w:val="0"/>
              </w:rPr>
              <w:t>la información recibida por la CIDH por la parte peticionaria y el Gobierno Nacional daba cuenta de</w:t>
            </w:r>
            <w:r w:rsidRPr="002806B6">
              <w:rPr>
                <w:rFonts w:asciiTheme="majorHAnsi" w:hAnsiTheme="majorHAnsi"/>
                <w:b w:val="0"/>
              </w:rPr>
              <w:t xml:space="preserve"> la existencia de actividades que llevaron a la </w:t>
            </w:r>
            <w:r w:rsidR="00260AAA" w:rsidRPr="002806B6">
              <w:rPr>
                <w:rFonts w:asciiTheme="majorHAnsi" w:hAnsiTheme="majorHAnsi"/>
                <w:b w:val="0"/>
              </w:rPr>
              <w:t xml:space="preserve">deforestación de la zona a través de la tala de árboles, principalmente para proveer leña para el funcionamiento de las fábricas de ladrillos, </w:t>
            </w:r>
            <w:r w:rsidRPr="002806B6">
              <w:rPr>
                <w:rFonts w:asciiTheme="majorHAnsi" w:hAnsiTheme="majorHAnsi"/>
                <w:b w:val="0"/>
              </w:rPr>
              <w:t>problemática de la que el Gobierno Provincial era consciente. Asimismo, varios pobladores criollos dentro de los Lotes Fiscales Nos. 14 y</w:t>
            </w:r>
            <w:r w:rsidR="002C43BD" w:rsidRPr="002806B6">
              <w:rPr>
                <w:rFonts w:asciiTheme="majorHAnsi" w:hAnsiTheme="majorHAnsi"/>
                <w:b w:val="0"/>
              </w:rPr>
              <w:t xml:space="preserve"> 55 tendieron cercas de alambre</w:t>
            </w:r>
            <w:r w:rsidR="009014C3" w:rsidRPr="002806B6">
              <w:rPr>
                <w:rFonts w:asciiTheme="majorHAnsi" w:hAnsiTheme="majorHAnsi"/>
                <w:b w:val="0"/>
              </w:rPr>
              <w:t xml:space="preserve">. A pesar de que </w:t>
            </w:r>
            <w:r w:rsidRPr="002806B6">
              <w:rPr>
                <w:rFonts w:asciiTheme="majorHAnsi" w:hAnsiTheme="majorHAnsi"/>
                <w:b w:val="0"/>
              </w:rPr>
              <w:t xml:space="preserve">el Gobierno de Salta adoptó la Resolución No. 295 en agosto de 2002 </w:t>
            </w:r>
            <w:r w:rsidR="002C43BD" w:rsidRPr="002806B6">
              <w:rPr>
                <w:rFonts w:asciiTheme="majorHAnsi" w:hAnsiTheme="majorHAnsi"/>
                <w:b w:val="0"/>
              </w:rPr>
              <w:t>para prohibir tal práctica, no se dio cuenta a la CIDH de que los cercamientos hubieran sido efectivamente suspendidos.</w:t>
            </w:r>
          </w:p>
          <w:p w14:paraId="4869C3AB" w14:textId="56A67DA6" w:rsidR="002C43BD" w:rsidRPr="002806B6" w:rsidRDefault="002C43BD" w:rsidP="002C43BD">
            <w:pPr>
              <w:spacing w:after="0" w:line="240" w:lineRule="auto"/>
              <w:jc w:val="both"/>
              <w:rPr>
                <w:rFonts w:asciiTheme="majorHAnsi" w:hAnsiTheme="majorHAnsi"/>
                <w:b w:val="0"/>
              </w:rPr>
            </w:pPr>
          </w:p>
        </w:tc>
      </w:tr>
      <w:tr w:rsidR="00384E44" w:rsidRPr="002806B6" w14:paraId="13E76605" w14:textId="77777777" w:rsidTr="00264EE3">
        <w:trPr>
          <w:trHeight w:val="567"/>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vAlign w:val="center"/>
          </w:tcPr>
          <w:p w14:paraId="67AA8619" w14:textId="1A02D913" w:rsidR="00384E44" w:rsidRPr="002806B6" w:rsidRDefault="00384E44" w:rsidP="00264EE3">
            <w:pPr>
              <w:pStyle w:val="ListParagraph"/>
              <w:numPr>
                <w:ilvl w:val="0"/>
                <w:numId w:val="1"/>
              </w:numPr>
              <w:spacing w:after="0" w:line="240" w:lineRule="auto"/>
              <w:jc w:val="center"/>
              <w:rPr>
                <w:rFonts w:asciiTheme="majorHAnsi" w:hAnsiTheme="majorHAnsi"/>
              </w:rPr>
            </w:pPr>
            <w:r w:rsidRPr="002806B6">
              <w:rPr>
                <w:rFonts w:asciiTheme="majorHAnsi" w:hAnsiTheme="majorHAnsi"/>
              </w:rPr>
              <w:lastRenderedPageBreak/>
              <w:t>Análisis jurídico</w:t>
            </w:r>
          </w:p>
        </w:tc>
      </w:tr>
      <w:tr w:rsidR="00384E44" w:rsidRPr="002806B6" w14:paraId="000120CD" w14:textId="77777777" w:rsidTr="00894D87">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0D554300" w14:textId="77777777" w:rsidR="00384E44" w:rsidRPr="002806B6" w:rsidRDefault="00384E44" w:rsidP="00894D87">
            <w:pPr>
              <w:spacing w:after="0" w:line="240" w:lineRule="auto"/>
              <w:jc w:val="both"/>
              <w:rPr>
                <w:rFonts w:asciiTheme="majorHAnsi" w:hAnsiTheme="majorHAnsi"/>
                <w:b w:val="0"/>
              </w:rPr>
            </w:pPr>
          </w:p>
          <w:p w14:paraId="547DAA0F" w14:textId="55898D1E" w:rsidR="00560199" w:rsidRPr="002806B6" w:rsidRDefault="00560199" w:rsidP="00264EE3">
            <w:pPr>
              <w:spacing w:line="240" w:lineRule="auto"/>
              <w:jc w:val="both"/>
              <w:rPr>
                <w:rFonts w:asciiTheme="majorHAnsi" w:hAnsiTheme="majorHAnsi"/>
                <w:b w:val="0"/>
              </w:rPr>
            </w:pPr>
            <w:r w:rsidRPr="002806B6">
              <w:rPr>
                <w:rFonts w:asciiTheme="majorHAnsi" w:hAnsiTheme="majorHAnsi"/>
                <w:b w:val="0"/>
              </w:rPr>
              <w:t>Antes de iniciar su</w:t>
            </w:r>
            <w:r w:rsidR="00385C0B">
              <w:rPr>
                <w:rFonts w:asciiTheme="majorHAnsi" w:hAnsiTheme="majorHAnsi"/>
                <w:b w:val="0"/>
              </w:rPr>
              <w:t xml:space="preserve"> análisis, la CIDH precisó dos </w:t>
            </w:r>
            <w:r w:rsidRPr="002806B6">
              <w:rPr>
                <w:rFonts w:asciiTheme="majorHAnsi" w:hAnsiTheme="majorHAnsi"/>
                <w:b w:val="0"/>
              </w:rPr>
              <w:t xml:space="preserve">cuestiones: primero, que las presuntas víctimas del caso </w:t>
            </w:r>
            <w:r w:rsidR="00385C0B">
              <w:rPr>
                <w:rFonts w:asciiTheme="majorHAnsi" w:hAnsiTheme="majorHAnsi"/>
                <w:b w:val="0"/>
              </w:rPr>
              <w:t>son</w:t>
            </w:r>
            <w:r w:rsidRPr="002806B6">
              <w:rPr>
                <w:rFonts w:asciiTheme="majorHAnsi" w:hAnsiTheme="majorHAnsi"/>
                <w:b w:val="0"/>
              </w:rPr>
              <w:t xml:space="preserve"> las 27 comunidades indígenas que, al momento de la emisión del </w:t>
            </w:r>
            <w:r w:rsidR="00E83579" w:rsidRPr="002806B6">
              <w:rPr>
                <w:rFonts w:asciiTheme="majorHAnsi" w:hAnsiTheme="majorHAnsi"/>
                <w:b w:val="0"/>
              </w:rPr>
              <w:t>I</w:t>
            </w:r>
            <w:r w:rsidRPr="002806B6">
              <w:rPr>
                <w:rFonts w:asciiTheme="majorHAnsi" w:hAnsiTheme="majorHAnsi"/>
                <w:b w:val="0"/>
              </w:rPr>
              <w:t xml:space="preserve">nforme de </w:t>
            </w:r>
            <w:r w:rsidR="00E83579" w:rsidRPr="002806B6">
              <w:rPr>
                <w:rFonts w:asciiTheme="majorHAnsi" w:hAnsiTheme="majorHAnsi"/>
                <w:b w:val="0"/>
              </w:rPr>
              <w:t>F</w:t>
            </w:r>
            <w:r w:rsidRPr="002806B6">
              <w:rPr>
                <w:rFonts w:asciiTheme="majorHAnsi" w:hAnsiTheme="majorHAnsi"/>
                <w:b w:val="0"/>
              </w:rPr>
              <w:t xml:space="preserve">ondo, eran parte de la Asociación Lhaka Honhat; y, segundo, que el objeto de la controversia del caso </w:t>
            </w:r>
            <w:r w:rsidR="00385C0B">
              <w:rPr>
                <w:rFonts w:asciiTheme="majorHAnsi" w:hAnsiTheme="majorHAnsi"/>
                <w:b w:val="0"/>
              </w:rPr>
              <w:t>es</w:t>
            </w:r>
            <w:r w:rsidRPr="002806B6">
              <w:rPr>
                <w:rFonts w:asciiTheme="majorHAnsi" w:hAnsiTheme="majorHAnsi"/>
                <w:b w:val="0"/>
              </w:rPr>
              <w:t xml:space="preserve"> la efectiva entrega del título de propiedad de estas comunidades indígenas.</w:t>
            </w:r>
          </w:p>
          <w:p w14:paraId="2EDED6AB" w14:textId="161F375D" w:rsidR="00CD2D16" w:rsidRPr="002806B6" w:rsidRDefault="00560199" w:rsidP="00264EE3">
            <w:pPr>
              <w:spacing w:line="240" w:lineRule="auto"/>
              <w:jc w:val="both"/>
              <w:rPr>
                <w:rFonts w:asciiTheme="majorHAnsi" w:hAnsiTheme="majorHAnsi"/>
              </w:rPr>
            </w:pPr>
            <w:r w:rsidRPr="002806B6">
              <w:rPr>
                <w:rFonts w:asciiTheme="majorHAnsi" w:hAnsiTheme="majorHAnsi"/>
              </w:rPr>
              <w:t>El derecho a la propiedad i</w:t>
            </w:r>
            <w:r w:rsidR="00CD2D16" w:rsidRPr="002806B6">
              <w:rPr>
                <w:rFonts w:asciiTheme="majorHAnsi" w:hAnsiTheme="majorHAnsi"/>
              </w:rPr>
              <w:t>ndígena</w:t>
            </w:r>
          </w:p>
          <w:p w14:paraId="7A0E6890" w14:textId="419811EA" w:rsidR="001753E7" w:rsidRPr="002806B6" w:rsidRDefault="009E4166" w:rsidP="00264EE3">
            <w:pPr>
              <w:spacing w:line="240" w:lineRule="auto"/>
              <w:jc w:val="both"/>
              <w:rPr>
                <w:rFonts w:asciiTheme="majorHAnsi" w:hAnsiTheme="majorHAnsi"/>
                <w:b w:val="0"/>
              </w:rPr>
            </w:pPr>
            <w:r w:rsidRPr="002806B6">
              <w:rPr>
                <w:rFonts w:asciiTheme="majorHAnsi" w:hAnsiTheme="majorHAnsi"/>
                <w:b w:val="0"/>
              </w:rPr>
              <w:t>La CIDH ha señalado que, frente a los pueblos indígenas y tribales, los Estado</w:t>
            </w:r>
            <w:r w:rsidR="00E4598B" w:rsidRPr="002806B6">
              <w:rPr>
                <w:rFonts w:asciiTheme="majorHAnsi" w:hAnsiTheme="majorHAnsi"/>
                <w:b w:val="0"/>
              </w:rPr>
              <w:t>s</w:t>
            </w:r>
            <w:r w:rsidRPr="002806B6">
              <w:rPr>
                <w:rFonts w:asciiTheme="majorHAnsi" w:hAnsiTheme="majorHAnsi"/>
                <w:b w:val="0"/>
              </w:rPr>
              <w:t xml:space="preserve"> están obligados al otorgamiento gratuito de tierras en extensión y calidad suficiente para la conservación y desarrollo de sus formas de vida, lo cual se logra cuando estas garantizan el ejercicio continuo de las actividades de las que derivan su sustento y de las que depende la preservación de su cultura. En el caso específico de comunidades indígenas cazadoras y recolectoras, la superficie del territorio que se les transfiera debe ser suficiente para la preservación de sus propias formas de vida, que asegure su viabilidad económica, así como su propia expansión. </w:t>
            </w:r>
            <w:r w:rsidR="001753E7" w:rsidRPr="002806B6">
              <w:rPr>
                <w:rFonts w:asciiTheme="majorHAnsi" w:hAnsiTheme="majorHAnsi"/>
                <w:b w:val="0"/>
              </w:rPr>
              <w:t xml:space="preserve">Asimismo, bajo la jurisprudencia del Sistema Interamericano de Derechos Humanos (SIDH), los pueblos indígenas y tribales tienen derecho a que se reconozcan sus formas particulares de uso y goce de los bienes, dada la relación especial </w:t>
            </w:r>
            <w:r w:rsidR="00A73D50" w:rsidRPr="002806B6">
              <w:rPr>
                <w:rFonts w:asciiTheme="majorHAnsi" w:hAnsiTheme="majorHAnsi"/>
                <w:b w:val="0"/>
              </w:rPr>
              <w:t xml:space="preserve">que mantienen con </w:t>
            </w:r>
            <w:r w:rsidR="001753E7" w:rsidRPr="002806B6">
              <w:rPr>
                <w:rFonts w:asciiTheme="majorHAnsi" w:hAnsiTheme="majorHAnsi"/>
                <w:b w:val="0"/>
              </w:rPr>
              <w:t>su territorio ancestral.</w:t>
            </w:r>
            <w:r w:rsidRPr="002806B6">
              <w:rPr>
                <w:rFonts w:asciiTheme="majorHAnsi" w:hAnsiTheme="majorHAnsi"/>
                <w:b w:val="0"/>
              </w:rPr>
              <w:t xml:space="preserve"> </w:t>
            </w:r>
          </w:p>
          <w:p w14:paraId="79DDCC37" w14:textId="032F5424" w:rsidR="00256486" w:rsidRPr="002806B6" w:rsidRDefault="001753E7" w:rsidP="00264EE3">
            <w:pPr>
              <w:spacing w:line="240" w:lineRule="auto"/>
              <w:jc w:val="both"/>
              <w:rPr>
                <w:rFonts w:asciiTheme="majorHAnsi" w:hAnsiTheme="majorHAnsi"/>
                <w:b w:val="0"/>
              </w:rPr>
            </w:pPr>
            <w:r w:rsidRPr="002806B6">
              <w:rPr>
                <w:rFonts w:asciiTheme="majorHAnsi" w:hAnsiTheme="majorHAnsi"/>
                <w:b w:val="0"/>
              </w:rPr>
              <w:t>Una garantía para la protección de la propiedad indígena sobre sus territorios es la adjudicación de un título de propiedad</w:t>
            </w:r>
            <w:r w:rsidR="00A73D50" w:rsidRPr="002806B6">
              <w:rPr>
                <w:rFonts w:asciiTheme="majorHAnsi" w:hAnsiTheme="majorHAnsi"/>
                <w:b w:val="0"/>
              </w:rPr>
              <w:t>. Este último debe</w:t>
            </w:r>
            <w:r w:rsidR="00F52FBA" w:rsidRPr="002806B6">
              <w:rPr>
                <w:rFonts w:asciiTheme="majorHAnsi" w:hAnsiTheme="majorHAnsi"/>
                <w:b w:val="0"/>
              </w:rPr>
              <w:t>, de una parte, ser</w:t>
            </w:r>
            <w:r w:rsidRPr="002806B6">
              <w:rPr>
                <w:rFonts w:asciiTheme="majorHAnsi" w:hAnsiTheme="majorHAnsi"/>
                <w:b w:val="0"/>
              </w:rPr>
              <w:t xml:space="preserve"> idóneo y culturalmente adecuado, y </w:t>
            </w:r>
            <w:r w:rsidR="00A73D50" w:rsidRPr="002806B6">
              <w:rPr>
                <w:rFonts w:asciiTheme="majorHAnsi" w:hAnsiTheme="majorHAnsi"/>
                <w:b w:val="0"/>
              </w:rPr>
              <w:t xml:space="preserve">de otra, </w:t>
            </w:r>
            <w:r w:rsidRPr="002806B6">
              <w:rPr>
                <w:rFonts w:asciiTheme="majorHAnsi" w:hAnsiTheme="majorHAnsi"/>
                <w:b w:val="0"/>
              </w:rPr>
              <w:t xml:space="preserve">permitir que </w:t>
            </w:r>
            <w:r w:rsidR="00A73D50" w:rsidRPr="002806B6">
              <w:rPr>
                <w:rFonts w:asciiTheme="majorHAnsi" w:hAnsiTheme="majorHAnsi"/>
                <w:b w:val="0"/>
              </w:rPr>
              <w:t>los pueblos indígenas</w:t>
            </w:r>
            <w:r w:rsidRPr="002806B6">
              <w:rPr>
                <w:rFonts w:asciiTheme="majorHAnsi" w:hAnsiTheme="majorHAnsi"/>
                <w:b w:val="0"/>
              </w:rPr>
              <w:t xml:space="preserve"> accedan a alimentación, agua y a sus sistemas tradicionales de salud y curación. En ese sentido, la CIDH ha sostenido que estas dos características del título de propiedad pueden considerarse como precondiciones para los derechos a la vida, la integridad personal y la salud de los pueblos indígenas y tribales. Además, el territorio adjudicado debe ser lo suficientemente extenso y materialmente continuo </w:t>
            </w:r>
            <w:r w:rsidR="00B56346" w:rsidRPr="002806B6">
              <w:rPr>
                <w:rFonts w:asciiTheme="majorHAnsi" w:hAnsiTheme="majorHAnsi"/>
                <w:b w:val="0"/>
              </w:rPr>
              <w:t xml:space="preserve">para permitir el desarrollo pleno de </w:t>
            </w:r>
            <w:r w:rsidR="00256486" w:rsidRPr="002806B6">
              <w:rPr>
                <w:rFonts w:asciiTheme="majorHAnsi" w:hAnsiTheme="majorHAnsi"/>
                <w:b w:val="0"/>
              </w:rPr>
              <w:t>sus formas de vida ancestrales, sobre todo en el caso de las comunidades indígenas cazadoras y recolectoras, ya que la extensión suficiente y la continuidad del territorio garantizan que los circuitos tradicionales de recorrido se mantengan sin obstáculos que coarten la movilidad.</w:t>
            </w:r>
          </w:p>
          <w:p w14:paraId="43E64FBE" w14:textId="5519BA42" w:rsidR="006472BE" w:rsidRPr="002806B6" w:rsidRDefault="00826521" w:rsidP="00264EE3">
            <w:pPr>
              <w:spacing w:line="240" w:lineRule="auto"/>
              <w:jc w:val="both"/>
              <w:rPr>
                <w:rFonts w:asciiTheme="majorHAnsi" w:hAnsiTheme="majorHAnsi"/>
                <w:b w:val="0"/>
              </w:rPr>
            </w:pPr>
            <w:r w:rsidRPr="002806B6">
              <w:rPr>
                <w:rFonts w:asciiTheme="majorHAnsi" w:hAnsiTheme="majorHAnsi"/>
                <w:b w:val="0"/>
              </w:rPr>
              <w:t xml:space="preserve">Con base en los estándares citados, la CIDH consideró que el Estado argentino incurrió en responsabilidad internacional </w:t>
            </w:r>
            <w:r w:rsidR="00385C0B">
              <w:rPr>
                <w:rFonts w:asciiTheme="majorHAnsi" w:hAnsiTheme="majorHAnsi"/>
                <w:b w:val="0"/>
              </w:rPr>
              <w:t xml:space="preserve">respecto al </w:t>
            </w:r>
            <w:r w:rsidR="00C766E3" w:rsidRPr="002806B6">
              <w:rPr>
                <w:rFonts w:asciiTheme="majorHAnsi" w:hAnsiTheme="majorHAnsi"/>
                <w:b w:val="0"/>
              </w:rPr>
              <w:t xml:space="preserve">derecho a la propiedad indígena </w:t>
            </w:r>
            <w:r w:rsidRPr="002806B6">
              <w:rPr>
                <w:rFonts w:asciiTheme="majorHAnsi" w:hAnsiTheme="majorHAnsi"/>
                <w:b w:val="0"/>
              </w:rPr>
              <w:t>como consecuencia de</w:t>
            </w:r>
            <w:r w:rsidR="00A73D50" w:rsidRPr="002806B6">
              <w:rPr>
                <w:rFonts w:asciiTheme="majorHAnsi" w:hAnsiTheme="majorHAnsi"/>
                <w:b w:val="0"/>
              </w:rPr>
              <w:t>:</w:t>
            </w:r>
            <w:r w:rsidRPr="002806B6">
              <w:rPr>
                <w:rFonts w:asciiTheme="majorHAnsi" w:hAnsiTheme="majorHAnsi"/>
                <w:b w:val="0"/>
              </w:rPr>
              <w:t xml:space="preserve"> i) haberse abstenido de cumplir con la</w:t>
            </w:r>
            <w:r w:rsidR="00994C0C">
              <w:rPr>
                <w:rFonts w:asciiTheme="majorHAnsi" w:hAnsiTheme="majorHAnsi"/>
                <w:b w:val="0"/>
              </w:rPr>
              <w:t xml:space="preserve"> normativa</w:t>
            </w:r>
            <w:r w:rsidRPr="002806B6">
              <w:rPr>
                <w:rFonts w:asciiTheme="majorHAnsi" w:hAnsiTheme="majorHAnsi"/>
                <w:b w:val="0"/>
              </w:rPr>
              <w:t xml:space="preserve"> que las propias autoridades promulgaron </w:t>
            </w:r>
            <w:r w:rsidR="00A73D50" w:rsidRPr="002806B6">
              <w:rPr>
                <w:rFonts w:asciiTheme="majorHAnsi" w:hAnsiTheme="majorHAnsi"/>
                <w:b w:val="0"/>
              </w:rPr>
              <w:t>otorgando</w:t>
            </w:r>
            <w:r w:rsidRPr="002806B6">
              <w:rPr>
                <w:rFonts w:asciiTheme="majorHAnsi" w:hAnsiTheme="majorHAnsi"/>
                <w:b w:val="0"/>
              </w:rPr>
              <w:t xml:space="preserve"> un título común de propiedad colectiva sobre las tierras ancestrales de todas las comunidades; y ii) no haber provisto ni aplicado un procedimiento efectivo y expedito para la transferencia de títulos de propiedad territorial indígena. </w:t>
            </w:r>
            <w:r w:rsidR="006472BE" w:rsidRPr="002806B6">
              <w:rPr>
                <w:rFonts w:asciiTheme="majorHAnsi" w:hAnsiTheme="majorHAnsi"/>
                <w:b w:val="0"/>
              </w:rPr>
              <w:t xml:space="preserve">Respecto a lo primero, la CIDH tomó en cuenta el marco legislativo emitido por el Gobierno Provincial de Salta que generó expectativas en las comunidades de la Asociación Lhaka Honhat sobre la </w:t>
            </w:r>
            <w:r w:rsidR="006472BE" w:rsidRPr="002806B6">
              <w:rPr>
                <w:rFonts w:asciiTheme="majorHAnsi" w:hAnsiTheme="majorHAnsi"/>
                <w:b w:val="0"/>
              </w:rPr>
              <w:lastRenderedPageBreak/>
              <w:t>entrega del título de propiedad común, pero que finalmente fue desconocido por el propio Gobierno Provincial, el cual se rehúso a la entrega del título común e inició acciones orientadas a entregar títulos de propiedad separados.</w:t>
            </w:r>
          </w:p>
          <w:p w14:paraId="3A2046A7" w14:textId="7124E58A" w:rsidR="0054527C" w:rsidRDefault="0054527C" w:rsidP="00264EE3">
            <w:pPr>
              <w:spacing w:line="240" w:lineRule="auto"/>
              <w:jc w:val="both"/>
              <w:rPr>
                <w:rFonts w:asciiTheme="majorHAnsi" w:hAnsiTheme="majorHAnsi"/>
                <w:b w:val="0"/>
              </w:rPr>
            </w:pPr>
            <w:r>
              <w:rPr>
                <w:rFonts w:asciiTheme="majorHAnsi" w:hAnsiTheme="majorHAnsi"/>
                <w:b w:val="0"/>
              </w:rPr>
              <w:t>Asimismo, la CIDH resaltó que</w:t>
            </w:r>
            <w:r w:rsidR="006472BE" w:rsidRPr="002806B6">
              <w:rPr>
                <w:rFonts w:asciiTheme="majorHAnsi" w:hAnsiTheme="majorHAnsi"/>
                <w:b w:val="0"/>
              </w:rPr>
              <w:t xml:space="preserve">, en atención a la obligación general de adopción de medidas del artículo 2 de la CADH, el Estado de Argentina </w:t>
            </w:r>
            <w:r w:rsidR="00994C0C">
              <w:rPr>
                <w:rFonts w:asciiTheme="majorHAnsi" w:hAnsiTheme="majorHAnsi"/>
                <w:b w:val="0"/>
              </w:rPr>
              <w:t>debía</w:t>
            </w:r>
            <w:r w:rsidR="006472BE" w:rsidRPr="002806B6">
              <w:rPr>
                <w:rFonts w:asciiTheme="majorHAnsi" w:hAnsiTheme="majorHAnsi"/>
                <w:b w:val="0"/>
              </w:rPr>
              <w:t xml:space="preserve"> implementar práctica y efectivamente las normas constitucionales, legales y reglamentarias de su derecho interno que consagran derechos de los pueblos indígenas y tribales. </w:t>
            </w:r>
            <w:r>
              <w:rPr>
                <w:rFonts w:asciiTheme="majorHAnsi" w:hAnsiTheme="majorHAnsi"/>
                <w:b w:val="0"/>
              </w:rPr>
              <w:t xml:space="preserve">En este caso, existía un marco legislativo que reconocía el derecho de propiedad de las comunidades </w:t>
            </w:r>
            <w:r w:rsidRPr="002806B6">
              <w:rPr>
                <w:rFonts w:asciiTheme="majorHAnsi" w:hAnsiTheme="majorHAnsi"/>
                <w:b w:val="0"/>
              </w:rPr>
              <w:t>de la Asociación Lhaka Honhat</w:t>
            </w:r>
            <w:r>
              <w:rPr>
                <w:rFonts w:asciiTheme="majorHAnsi" w:hAnsiTheme="majorHAnsi"/>
                <w:b w:val="0"/>
              </w:rPr>
              <w:t xml:space="preserve">. Sin embargo, este no fue aplicado; por lo cual, el Estado violó el artículo 21 de la CADH, en relación con el artículo 2.2. </w:t>
            </w:r>
            <w:r w:rsidR="00D80CF6">
              <w:rPr>
                <w:rFonts w:asciiTheme="majorHAnsi" w:hAnsiTheme="majorHAnsi"/>
                <w:b w:val="0"/>
              </w:rPr>
              <w:t xml:space="preserve">La CIDH hizo notar además la utilización indebida de un mecanismo democrático, como el referéndum, para vencer la oposición que había generado entre las comunidades indígenas la propuesta de regularización de los territorios del Gobierno Provincial. </w:t>
            </w:r>
          </w:p>
          <w:p w14:paraId="2DB2CE49" w14:textId="777FAF33" w:rsidR="00825662" w:rsidRPr="002806B6" w:rsidRDefault="002259D0" w:rsidP="00264EE3">
            <w:pPr>
              <w:spacing w:line="240" w:lineRule="auto"/>
              <w:jc w:val="both"/>
              <w:rPr>
                <w:rFonts w:asciiTheme="majorHAnsi" w:hAnsiTheme="majorHAnsi"/>
                <w:b w:val="0"/>
              </w:rPr>
            </w:pPr>
            <w:r w:rsidRPr="002806B6">
              <w:rPr>
                <w:rFonts w:asciiTheme="majorHAnsi" w:hAnsiTheme="majorHAnsi"/>
                <w:b w:val="0"/>
              </w:rPr>
              <w:t xml:space="preserve">Por otro lado, </w:t>
            </w:r>
            <w:r w:rsidR="00EC5794" w:rsidRPr="002806B6">
              <w:rPr>
                <w:rFonts w:asciiTheme="majorHAnsi" w:hAnsiTheme="majorHAnsi"/>
                <w:b w:val="0"/>
              </w:rPr>
              <w:t xml:space="preserve">la falta de provisión de un procedimiento efectivo e idóneo para acceder a la propiedad territorial implicó una vulneración de los derechos a las garantías judiciales y protección judicial de las comunidades indígenas. </w:t>
            </w:r>
            <w:r w:rsidR="00D85140" w:rsidRPr="002806B6">
              <w:rPr>
                <w:rFonts w:asciiTheme="majorHAnsi" w:hAnsiTheme="majorHAnsi"/>
                <w:b w:val="0"/>
              </w:rPr>
              <w:t xml:space="preserve">De forma específica, tanto la CIDH como la </w:t>
            </w:r>
            <w:r w:rsidR="00E86CA5" w:rsidRPr="002806B6">
              <w:rPr>
                <w:rFonts w:asciiTheme="majorHAnsi" w:hAnsiTheme="majorHAnsi"/>
                <w:b w:val="0"/>
              </w:rPr>
              <w:t>Corte IDH han enfatizado que los procedimientos de restitución de las tierras de las comunidades indígenas deben ser idóneos y ofrecer una posibilidad real de que los miembros de los pueblos indígenas y tribales recuperen sus tierras</w:t>
            </w:r>
            <w:r w:rsidR="00F65717" w:rsidRPr="002806B6">
              <w:rPr>
                <w:rFonts w:asciiTheme="majorHAnsi" w:hAnsiTheme="majorHAnsi"/>
                <w:b w:val="0"/>
              </w:rPr>
              <w:t>.</w:t>
            </w:r>
            <w:r w:rsidR="00E86CA5" w:rsidRPr="002806B6">
              <w:rPr>
                <w:rFonts w:asciiTheme="majorHAnsi" w:hAnsiTheme="majorHAnsi"/>
                <w:b w:val="0"/>
              </w:rPr>
              <w:t xml:space="preserve"> </w:t>
            </w:r>
            <w:r w:rsidR="00F65717" w:rsidRPr="002806B6">
              <w:rPr>
                <w:rFonts w:asciiTheme="majorHAnsi" w:hAnsiTheme="majorHAnsi"/>
                <w:b w:val="0"/>
              </w:rPr>
              <w:t>En vista de ello,</w:t>
            </w:r>
            <w:r w:rsidR="00E86CA5" w:rsidRPr="002806B6">
              <w:rPr>
                <w:rFonts w:asciiTheme="majorHAnsi" w:hAnsiTheme="majorHAnsi"/>
                <w:b w:val="0"/>
              </w:rPr>
              <w:t xml:space="preserve"> los Estados deben garantizar que dichos procedimientos sean de fácil acceso, estén libres de complicaciones y puedan ser resueltos efectivamente por autoridades que cuenten con los poderes e instrumentos necesarios para ello.</w:t>
            </w:r>
            <w:r w:rsidR="00AB6D5D" w:rsidRPr="002806B6">
              <w:rPr>
                <w:rFonts w:asciiTheme="majorHAnsi" w:hAnsiTheme="majorHAnsi"/>
                <w:b w:val="0"/>
              </w:rPr>
              <w:t xml:space="preserve"> En el presente caso, la CIDH consideró que no se respetaron los estándares</w:t>
            </w:r>
            <w:r w:rsidR="00F65717" w:rsidRPr="002806B6">
              <w:rPr>
                <w:rFonts w:asciiTheme="majorHAnsi" w:hAnsiTheme="majorHAnsi"/>
                <w:b w:val="0"/>
              </w:rPr>
              <w:t xml:space="preserve"> por</w:t>
            </w:r>
            <w:r w:rsidR="00AB6D5D" w:rsidRPr="002806B6">
              <w:rPr>
                <w:rFonts w:asciiTheme="majorHAnsi" w:hAnsiTheme="majorHAnsi"/>
                <w:b w:val="0"/>
              </w:rPr>
              <w:t xml:space="preserve">: </w:t>
            </w:r>
            <w:r w:rsidR="00F65717" w:rsidRPr="002806B6">
              <w:rPr>
                <w:rFonts w:asciiTheme="majorHAnsi" w:hAnsiTheme="majorHAnsi"/>
                <w:b w:val="0"/>
              </w:rPr>
              <w:t>i</w:t>
            </w:r>
            <w:r w:rsidR="00AB6D5D" w:rsidRPr="002806B6">
              <w:rPr>
                <w:rFonts w:asciiTheme="majorHAnsi" w:hAnsiTheme="majorHAnsi"/>
                <w:b w:val="0"/>
              </w:rPr>
              <w:t xml:space="preserve">) la modificación sucesiva de los procedimientos aplicables a la reclamación territorial; y </w:t>
            </w:r>
            <w:r w:rsidR="00F65717" w:rsidRPr="002806B6">
              <w:rPr>
                <w:rFonts w:asciiTheme="majorHAnsi" w:hAnsiTheme="majorHAnsi"/>
                <w:b w:val="0"/>
              </w:rPr>
              <w:t>ii</w:t>
            </w:r>
            <w:r w:rsidR="00AB6D5D" w:rsidRPr="002806B6">
              <w:rPr>
                <w:rFonts w:asciiTheme="majorHAnsi" w:hAnsiTheme="majorHAnsi"/>
                <w:b w:val="0"/>
              </w:rPr>
              <w:t>) la inefectividad última de los procedimientos de reclamación para permitir el goce efectivo del derecho a la propiedad territorial.</w:t>
            </w:r>
            <w:r w:rsidR="00D80CF6">
              <w:rPr>
                <w:rFonts w:asciiTheme="majorHAnsi" w:hAnsiTheme="majorHAnsi"/>
                <w:b w:val="0"/>
              </w:rPr>
              <w:t xml:space="preserve"> </w:t>
            </w:r>
            <w:r w:rsidR="00825662" w:rsidRPr="002806B6">
              <w:rPr>
                <w:rFonts w:asciiTheme="majorHAnsi" w:hAnsiTheme="majorHAnsi"/>
                <w:b w:val="0"/>
              </w:rPr>
              <w:t>Por lo expuesto, la CIDH declaró que Argentina fue responsable de la violació</w:t>
            </w:r>
            <w:r w:rsidR="00EA5127" w:rsidRPr="002806B6">
              <w:rPr>
                <w:rFonts w:asciiTheme="majorHAnsi" w:hAnsiTheme="majorHAnsi"/>
                <w:b w:val="0"/>
              </w:rPr>
              <w:t>n de los artículos 8 y 25 de la CADH, en conexión con los artículos 21.</w:t>
            </w:r>
          </w:p>
          <w:p w14:paraId="7B8F59AC" w14:textId="7C567BDC" w:rsidR="00CD2D16" w:rsidRPr="002806B6" w:rsidRDefault="00CD2D16" w:rsidP="00264EE3">
            <w:pPr>
              <w:spacing w:line="240" w:lineRule="auto"/>
              <w:jc w:val="both"/>
              <w:rPr>
                <w:rFonts w:asciiTheme="majorHAnsi" w:hAnsiTheme="majorHAnsi"/>
              </w:rPr>
            </w:pPr>
            <w:r w:rsidRPr="002806B6">
              <w:rPr>
                <w:rFonts w:asciiTheme="majorHAnsi" w:hAnsiTheme="majorHAnsi"/>
              </w:rPr>
              <w:t>Los derechos de los pueblos indígenas de los Lotes Fiscales No</w:t>
            </w:r>
            <w:r w:rsidR="00F65717" w:rsidRPr="002806B6">
              <w:rPr>
                <w:rFonts w:asciiTheme="majorHAnsi" w:hAnsiTheme="majorHAnsi"/>
              </w:rPr>
              <w:t>.</w:t>
            </w:r>
            <w:r w:rsidRPr="002806B6">
              <w:rPr>
                <w:rFonts w:asciiTheme="majorHAnsi" w:hAnsiTheme="majorHAnsi"/>
              </w:rPr>
              <w:t xml:space="preserve"> 14 y 55 con respecto a las obras públicas y las actividades de exploración y explotación de recursos naturales en el territorio ancestral</w:t>
            </w:r>
          </w:p>
          <w:p w14:paraId="4DBB8E81" w14:textId="77777777" w:rsidR="00F05140" w:rsidRDefault="00D401B8" w:rsidP="00264EE3">
            <w:pPr>
              <w:spacing w:line="240" w:lineRule="auto"/>
              <w:jc w:val="both"/>
              <w:rPr>
                <w:rFonts w:asciiTheme="majorHAnsi" w:hAnsiTheme="majorHAnsi"/>
                <w:b w:val="0"/>
              </w:rPr>
            </w:pPr>
            <w:r w:rsidRPr="002806B6">
              <w:rPr>
                <w:rFonts w:asciiTheme="majorHAnsi" w:hAnsiTheme="majorHAnsi"/>
                <w:b w:val="0"/>
              </w:rPr>
              <w:t>La juris</w:t>
            </w:r>
            <w:r w:rsidR="001753E7" w:rsidRPr="002806B6">
              <w:rPr>
                <w:rFonts w:asciiTheme="majorHAnsi" w:hAnsiTheme="majorHAnsi"/>
                <w:b w:val="0"/>
              </w:rPr>
              <w:t>prudencia del SIDH</w:t>
            </w:r>
            <w:r w:rsidR="00693B30" w:rsidRPr="002806B6">
              <w:rPr>
                <w:rFonts w:asciiTheme="majorHAnsi" w:hAnsiTheme="majorHAnsi"/>
                <w:b w:val="0"/>
              </w:rPr>
              <w:t xml:space="preserve">, con base en el artículo 21 de la CADH, </w:t>
            </w:r>
            <w:r w:rsidRPr="002806B6">
              <w:rPr>
                <w:rFonts w:asciiTheme="majorHAnsi" w:hAnsiTheme="majorHAnsi"/>
                <w:b w:val="0"/>
              </w:rPr>
              <w:t>ha identificado que los megaproyectos de infraestructura o desarrollo, así como las concesiones para la exploración o explotación de recursos naturales en los territorios ancestrales de pueblos indígenas o tribales pueden tener impactos nocivos en la supervivencia de estos</w:t>
            </w:r>
            <w:r w:rsidR="00F65717" w:rsidRPr="002806B6">
              <w:rPr>
                <w:rFonts w:asciiTheme="majorHAnsi" w:hAnsiTheme="majorHAnsi"/>
                <w:b w:val="0"/>
              </w:rPr>
              <w:t>. Además</w:t>
            </w:r>
            <w:r w:rsidRPr="002806B6">
              <w:rPr>
                <w:rFonts w:asciiTheme="majorHAnsi" w:hAnsiTheme="majorHAnsi"/>
                <w:b w:val="0"/>
              </w:rPr>
              <w:t xml:space="preserve">, los efectos negativos producidos </w:t>
            </w:r>
            <w:r w:rsidR="00F65717" w:rsidRPr="002806B6">
              <w:rPr>
                <w:rFonts w:asciiTheme="majorHAnsi" w:hAnsiTheme="majorHAnsi"/>
                <w:b w:val="0"/>
              </w:rPr>
              <w:t xml:space="preserve">por estas actividades </w:t>
            </w:r>
            <w:r w:rsidRPr="002806B6">
              <w:rPr>
                <w:rFonts w:asciiTheme="majorHAnsi" w:hAnsiTheme="majorHAnsi"/>
                <w:b w:val="0"/>
              </w:rPr>
              <w:t>pueden llegar a afectar derechos como la vida en condiciones dignas, la salud, el agua, entre otros. Por ello, se ha establecido que las actividades de desarrollo deben ir acompañadas de medidas adecuadas y efectivas para garantizar que las mismas no se lleven a cabo a expensas de los derechos de las personas que pueden ser afectadas, incluyendo a los pueblos indígenas y tribales.</w:t>
            </w:r>
            <w:r w:rsidR="00F05140">
              <w:rPr>
                <w:rFonts w:asciiTheme="majorHAnsi" w:hAnsiTheme="majorHAnsi"/>
                <w:b w:val="0"/>
              </w:rPr>
              <w:t xml:space="preserve"> </w:t>
            </w:r>
          </w:p>
          <w:p w14:paraId="44394C61" w14:textId="3B0F0B35" w:rsidR="0061206C" w:rsidRPr="002806B6" w:rsidRDefault="00F05140" w:rsidP="00264EE3">
            <w:pPr>
              <w:spacing w:line="240" w:lineRule="auto"/>
              <w:jc w:val="both"/>
              <w:rPr>
                <w:rFonts w:asciiTheme="majorHAnsi" w:hAnsiTheme="majorHAnsi"/>
                <w:b w:val="0"/>
              </w:rPr>
            </w:pPr>
            <w:r>
              <w:rPr>
                <w:rFonts w:asciiTheme="majorHAnsi" w:hAnsiTheme="majorHAnsi"/>
                <w:b w:val="0"/>
              </w:rPr>
              <w:t xml:space="preserve">En ese sentido, </w:t>
            </w:r>
            <w:r w:rsidRPr="002806B6">
              <w:rPr>
                <w:rFonts w:asciiTheme="majorHAnsi" w:hAnsiTheme="majorHAnsi"/>
                <w:b w:val="0"/>
              </w:rPr>
              <w:t>al moment</w:t>
            </w:r>
            <w:r>
              <w:rPr>
                <w:rFonts w:asciiTheme="majorHAnsi" w:hAnsiTheme="majorHAnsi"/>
                <w:b w:val="0"/>
              </w:rPr>
              <w:t>o de evaluar el</w:t>
            </w:r>
            <w:r w:rsidRPr="002806B6">
              <w:rPr>
                <w:rFonts w:asciiTheme="majorHAnsi" w:hAnsiTheme="majorHAnsi"/>
                <w:b w:val="0"/>
              </w:rPr>
              <w:t xml:space="preserve"> otorgamiento de concesiones o la implementación de planes o proyectos de inversión o desarrollo</w:t>
            </w:r>
            <w:r>
              <w:rPr>
                <w:rFonts w:asciiTheme="majorHAnsi" w:hAnsiTheme="majorHAnsi"/>
                <w:b w:val="0"/>
              </w:rPr>
              <w:t xml:space="preserve">, se deben tomar en cuenta a las comunidades indígenas que habitan los territorios y </w:t>
            </w:r>
            <w:r w:rsidR="0021139E" w:rsidRPr="002806B6">
              <w:rPr>
                <w:rFonts w:asciiTheme="majorHAnsi" w:hAnsiTheme="majorHAnsi"/>
                <w:b w:val="0"/>
              </w:rPr>
              <w:t>sus formas tradicionales de tenencia de la tierra</w:t>
            </w:r>
            <w:r>
              <w:rPr>
                <w:rFonts w:asciiTheme="majorHAnsi" w:hAnsiTheme="majorHAnsi"/>
                <w:b w:val="0"/>
              </w:rPr>
              <w:t xml:space="preserve">. </w:t>
            </w:r>
            <w:r w:rsidR="00D401B8" w:rsidRPr="002806B6">
              <w:rPr>
                <w:rFonts w:asciiTheme="majorHAnsi" w:hAnsiTheme="majorHAnsi"/>
                <w:b w:val="0"/>
              </w:rPr>
              <w:t xml:space="preserve">Debe recordarse que el contenido del artículo 21 de la CADH no implica un impedimento para emitir cualquier tipo de concesión en territorio indígena o tribal para el Estado, sino que establece que estos se hagan respetando </w:t>
            </w:r>
            <w:r>
              <w:rPr>
                <w:rFonts w:asciiTheme="majorHAnsi" w:hAnsiTheme="majorHAnsi"/>
                <w:b w:val="0"/>
              </w:rPr>
              <w:t>tres</w:t>
            </w:r>
            <w:r w:rsidR="00D401B8" w:rsidRPr="002806B6">
              <w:rPr>
                <w:rFonts w:asciiTheme="majorHAnsi" w:hAnsiTheme="majorHAnsi"/>
                <w:b w:val="0"/>
              </w:rPr>
              <w:t xml:space="preserve"> garantías</w:t>
            </w:r>
            <w:r>
              <w:rPr>
                <w:rFonts w:asciiTheme="majorHAnsi" w:hAnsiTheme="majorHAnsi"/>
                <w:b w:val="0"/>
              </w:rPr>
              <w:t>. Estas</w:t>
            </w:r>
            <w:r w:rsidR="00E96EE0" w:rsidRPr="002806B6">
              <w:rPr>
                <w:rFonts w:asciiTheme="majorHAnsi" w:hAnsiTheme="majorHAnsi"/>
                <w:b w:val="0"/>
              </w:rPr>
              <w:t xml:space="preserve"> guardan </w:t>
            </w:r>
            <w:r>
              <w:rPr>
                <w:rFonts w:asciiTheme="majorHAnsi" w:hAnsiTheme="majorHAnsi"/>
                <w:b w:val="0"/>
              </w:rPr>
              <w:t xml:space="preserve">especial </w:t>
            </w:r>
            <w:r w:rsidR="00E96EE0" w:rsidRPr="002806B6">
              <w:rPr>
                <w:rFonts w:asciiTheme="majorHAnsi" w:hAnsiTheme="majorHAnsi"/>
                <w:b w:val="0"/>
              </w:rPr>
              <w:t>relación</w:t>
            </w:r>
            <w:r w:rsidR="0061206C" w:rsidRPr="002806B6">
              <w:rPr>
                <w:rFonts w:asciiTheme="majorHAnsi" w:hAnsiTheme="majorHAnsi"/>
                <w:b w:val="0"/>
              </w:rPr>
              <w:t xml:space="preserve"> con el artículo 23 de la CADH</w:t>
            </w:r>
            <w:r>
              <w:rPr>
                <w:rFonts w:asciiTheme="majorHAnsi" w:hAnsiTheme="majorHAnsi"/>
                <w:b w:val="0"/>
              </w:rPr>
              <w:t>,</w:t>
            </w:r>
            <w:r w:rsidR="0061206C" w:rsidRPr="002806B6">
              <w:rPr>
                <w:rFonts w:asciiTheme="majorHAnsi" w:hAnsiTheme="majorHAnsi"/>
                <w:b w:val="0"/>
              </w:rPr>
              <w:t xml:space="preserve"> que consagra el derecho a la p</w:t>
            </w:r>
            <w:r w:rsidR="0058065D" w:rsidRPr="002806B6">
              <w:rPr>
                <w:rFonts w:asciiTheme="majorHAnsi" w:hAnsiTheme="majorHAnsi"/>
                <w:b w:val="0"/>
              </w:rPr>
              <w:t>articipación de las personas en todos los asuntos susceptibles de afectarlos</w:t>
            </w:r>
            <w:r w:rsidR="00264EE3" w:rsidRPr="002806B6">
              <w:rPr>
                <w:rFonts w:asciiTheme="majorHAnsi" w:hAnsiTheme="majorHAnsi"/>
                <w:b w:val="0"/>
              </w:rPr>
              <w:t>.</w:t>
            </w:r>
          </w:p>
          <w:p w14:paraId="6CD909EA" w14:textId="725BC267" w:rsidR="00D00362" w:rsidRPr="002806B6" w:rsidRDefault="00E96EE0" w:rsidP="00264EE3">
            <w:pPr>
              <w:spacing w:line="240" w:lineRule="auto"/>
              <w:jc w:val="both"/>
              <w:rPr>
                <w:rFonts w:asciiTheme="majorHAnsi" w:hAnsiTheme="majorHAnsi"/>
                <w:b w:val="0"/>
              </w:rPr>
            </w:pPr>
            <w:r w:rsidRPr="002806B6">
              <w:rPr>
                <w:rFonts w:asciiTheme="majorHAnsi" w:hAnsiTheme="majorHAnsi"/>
                <w:b w:val="0"/>
              </w:rPr>
              <w:lastRenderedPageBreak/>
              <w:t>La primera garantía</w:t>
            </w:r>
            <w:r w:rsidR="0061206C" w:rsidRPr="002806B6">
              <w:rPr>
                <w:rFonts w:asciiTheme="majorHAnsi" w:hAnsiTheme="majorHAnsi"/>
                <w:b w:val="0"/>
              </w:rPr>
              <w:t xml:space="preserve"> es</w:t>
            </w:r>
            <w:r w:rsidR="00D401B8" w:rsidRPr="002806B6">
              <w:rPr>
                <w:rFonts w:asciiTheme="majorHAnsi" w:hAnsiTheme="majorHAnsi"/>
                <w:b w:val="0"/>
              </w:rPr>
              <w:t xml:space="preserve"> el cumplimiento de los requisitos generales a satisfac</w:t>
            </w:r>
            <w:r w:rsidR="00D00362" w:rsidRPr="002806B6">
              <w:rPr>
                <w:rFonts w:asciiTheme="majorHAnsi" w:hAnsiTheme="majorHAnsi"/>
                <w:b w:val="0"/>
              </w:rPr>
              <w:t xml:space="preserve">er en casos de expropiación, es decir, que se podrá restringir el uso y goce de la propiedad cuando: i) haya sido previamente </w:t>
            </w:r>
            <w:r w:rsidRPr="002806B6">
              <w:rPr>
                <w:rFonts w:asciiTheme="majorHAnsi" w:hAnsiTheme="majorHAnsi"/>
                <w:b w:val="0"/>
              </w:rPr>
              <w:t xml:space="preserve">establecido </w:t>
            </w:r>
            <w:r w:rsidR="00D00362" w:rsidRPr="002806B6">
              <w:rPr>
                <w:rFonts w:asciiTheme="majorHAnsi" w:hAnsiTheme="majorHAnsi"/>
                <w:b w:val="0"/>
              </w:rPr>
              <w:t xml:space="preserve">por ley, ii) sea </w:t>
            </w:r>
            <w:r w:rsidRPr="002806B6">
              <w:rPr>
                <w:rFonts w:asciiTheme="majorHAnsi" w:hAnsiTheme="majorHAnsi"/>
                <w:b w:val="0"/>
              </w:rPr>
              <w:t>necesario</w:t>
            </w:r>
            <w:r w:rsidR="00D00362" w:rsidRPr="002806B6">
              <w:rPr>
                <w:rFonts w:asciiTheme="majorHAnsi" w:hAnsiTheme="majorHAnsi"/>
                <w:b w:val="0"/>
              </w:rPr>
              <w:t>, iii) proporcional, iv) y tenga el fin de lograr un objetivo legítimo en una sociedad democrática.</w:t>
            </w:r>
            <w:r w:rsidR="0061206C" w:rsidRPr="002806B6">
              <w:rPr>
                <w:rFonts w:asciiTheme="majorHAnsi" w:hAnsiTheme="majorHAnsi"/>
                <w:b w:val="0"/>
              </w:rPr>
              <w:t xml:space="preserve"> </w:t>
            </w:r>
            <w:r w:rsidRPr="002806B6">
              <w:rPr>
                <w:rFonts w:asciiTheme="majorHAnsi" w:hAnsiTheme="majorHAnsi"/>
                <w:b w:val="0"/>
              </w:rPr>
              <w:t>E</w:t>
            </w:r>
            <w:r w:rsidR="0061206C" w:rsidRPr="002806B6">
              <w:rPr>
                <w:rFonts w:asciiTheme="majorHAnsi" w:hAnsiTheme="majorHAnsi"/>
                <w:b w:val="0"/>
              </w:rPr>
              <w:t xml:space="preserve">l segundo </w:t>
            </w:r>
            <w:r w:rsidR="00D00362" w:rsidRPr="002806B6">
              <w:rPr>
                <w:rFonts w:asciiTheme="majorHAnsi" w:hAnsiTheme="majorHAnsi"/>
                <w:b w:val="0"/>
              </w:rPr>
              <w:t xml:space="preserve">componente es no afectar la supervivencia del pueblo respectivo, lo cual no solo </w:t>
            </w:r>
            <w:r w:rsidR="00D10E95" w:rsidRPr="002806B6">
              <w:rPr>
                <w:rFonts w:asciiTheme="majorHAnsi" w:hAnsiTheme="majorHAnsi"/>
                <w:b w:val="0"/>
              </w:rPr>
              <w:t>implica su</w:t>
            </w:r>
            <w:r w:rsidR="00D00362" w:rsidRPr="002806B6">
              <w:rPr>
                <w:rFonts w:asciiTheme="majorHAnsi" w:hAnsiTheme="majorHAnsi"/>
                <w:b w:val="0"/>
              </w:rPr>
              <w:t xml:space="preserve"> subsistencia física, sino </w:t>
            </w:r>
            <w:r w:rsidR="00D10E95" w:rsidRPr="002806B6">
              <w:rPr>
                <w:rFonts w:asciiTheme="majorHAnsi" w:hAnsiTheme="majorHAnsi"/>
                <w:b w:val="0"/>
              </w:rPr>
              <w:t>también</w:t>
            </w:r>
            <w:r w:rsidR="00D00362" w:rsidRPr="002806B6">
              <w:rPr>
                <w:rFonts w:asciiTheme="majorHAnsi" w:hAnsiTheme="majorHAnsi"/>
                <w:b w:val="0"/>
              </w:rPr>
              <w:t xml:space="preserve"> cultura</w:t>
            </w:r>
            <w:r w:rsidR="00D10E95" w:rsidRPr="002806B6">
              <w:rPr>
                <w:rFonts w:asciiTheme="majorHAnsi" w:hAnsiTheme="majorHAnsi"/>
                <w:b w:val="0"/>
              </w:rPr>
              <w:t>l</w:t>
            </w:r>
            <w:r w:rsidR="00D00362" w:rsidRPr="002806B6">
              <w:rPr>
                <w:rFonts w:asciiTheme="majorHAnsi" w:hAnsiTheme="majorHAnsi"/>
                <w:b w:val="0"/>
              </w:rPr>
              <w:t>. En tercer lugar, deberá garantizarse la participación</w:t>
            </w:r>
            <w:r w:rsidR="00C51120">
              <w:rPr>
                <w:rFonts w:asciiTheme="majorHAnsi" w:hAnsiTheme="majorHAnsi"/>
                <w:b w:val="0"/>
              </w:rPr>
              <w:t>, estudios de impacto y acceso a los beneficios del proyecto</w:t>
            </w:r>
            <w:r w:rsidR="004526EB">
              <w:rPr>
                <w:rFonts w:asciiTheme="majorHAnsi" w:hAnsiTheme="majorHAnsi"/>
                <w:b w:val="0"/>
              </w:rPr>
              <w:t xml:space="preserve">. Esto incluye los pueblos sean consultados </w:t>
            </w:r>
            <w:r w:rsidR="00D10E95" w:rsidRPr="002806B6">
              <w:rPr>
                <w:rFonts w:asciiTheme="majorHAnsi" w:hAnsiTheme="majorHAnsi"/>
                <w:b w:val="0"/>
              </w:rPr>
              <w:t xml:space="preserve"> </w:t>
            </w:r>
            <w:r w:rsidR="004526EB">
              <w:rPr>
                <w:rFonts w:asciiTheme="majorHAnsi" w:hAnsiTheme="majorHAnsi"/>
                <w:b w:val="0"/>
              </w:rPr>
              <w:t>de forma</w:t>
            </w:r>
            <w:r w:rsidR="00D00362" w:rsidRPr="002806B6">
              <w:rPr>
                <w:rFonts w:asciiTheme="majorHAnsi" w:hAnsiTheme="majorHAnsi"/>
                <w:b w:val="0"/>
              </w:rPr>
              <w:t xml:space="preserve"> previa, culturalmente adecuada, informada, de buena fe y con la finalidad de llegar a un acuerdo</w:t>
            </w:r>
            <w:r w:rsidR="00F05140">
              <w:rPr>
                <w:rFonts w:asciiTheme="majorHAnsi" w:hAnsiTheme="majorHAnsi"/>
                <w:b w:val="0"/>
              </w:rPr>
              <w:t>. Asimismo,</w:t>
            </w:r>
            <w:r w:rsidR="00D00362" w:rsidRPr="002806B6">
              <w:rPr>
                <w:rFonts w:asciiTheme="majorHAnsi" w:hAnsiTheme="majorHAnsi"/>
                <w:b w:val="0"/>
              </w:rPr>
              <w:t xml:space="preserve"> </w:t>
            </w:r>
            <w:r w:rsidR="004526EB">
              <w:rPr>
                <w:rFonts w:asciiTheme="majorHAnsi" w:hAnsiTheme="majorHAnsi"/>
                <w:b w:val="0"/>
              </w:rPr>
              <w:t>implica que se</w:t>
            </w:r>
            <w:r w:rsidR="009352FD" w:rsidRPr="002806B6">
              <w:rPr>
                <w:rFonts w:asciiTheme="majorHAnsi" w:hAnsiTheme="majorHAnsi"/>
                <w:b w:val="0"/>
              </w:rPr>
              <w:t xml:space="preserve"> garanti</w:t>
            </w:r>
            <w:r w:rsidR="004526EB">
              <w:rPr>
                <w:rFonts w:asciiTheme="majorHAnsi" w:hAnsiTheme="majorHAnsi"/>
                <w:b w:val="0"/>
              </w:rPr>
              <w:t>ce</w:t>
            </w:r>
            <w:r w:rsidR="009352FD" w:rsidRPr="002806B6">
              <w:rPr>
                <w:rFonts w:asciiTheme="majorHAnsi" w:hAnsiTheme="majorHAnsi"/>
                <w:b w:val="0"/>
              </w:rPr>
              <w:t xml:space="preserve"> </w:t>
            </w:r>
            <w:r w:rsidR="004526EB">
              <w:rPr>
                <w:rFonts w:asciiTheme="majorHAnsi" w:hAnsiTheme="majorHAnsi"/>
                <w:b w:val="0"/>
              </w:rPr>
              <w:t>su</w:t>
            </w:r>
            <w:r w:rsidR="00D00362" w:rsidRPr="002806B6">
              <w:rPr>
                <w:rFonts w:asciiTheme="majorHAnsi" w:hAnsiTheme="majorHAnsi"/>
                <w:b w:val="0"/>
              </w:rPr>
              <w:t xml:space="preserve"> participación en los beneficios del proyecto; y</w:t>
            </w:r>
            <w:r w:rsidR="009352FD" w:rsidRPr="002806B6">
              <w:rPr>
                <w:rFonts w:asciiTheme="majorHAnsi" w:hAnsiTheme="majorHAnsi"/>
                <w:b w:val="0"/>
              </w:rPr>
              <w:t xml:space="preserve"> </w:t>
            </w:r>
            <w:r w:rsidR="004526EB">
              <w:rPr>
                <w:rFonts w:asciiTheme="majorHAnsi" w:hAnsiTheme="majorHAnsi"/>
                <w:b w:val="0"/>
              </w:rPr>
              <w:t>se realicen</w:t>
            </w:r>
            <w:r w:rsidR="00F05140">
              <w:rPr>
                <w:rFonts w:asciiTheme="majorHAnsi" w:hAnsiTheme="majorHAnsi"/>
                <w:b w:val="0"/>
              </w:rPr>
              <w:t xml:space="preserve"> </w:t>
            </w:r>
            <w:r w:rsidR="00D00362" w:rsidRPr="002806B6">
              <w:rPr>
                <w:rFonts w:asciiTheme="majorHAnsi" w:hAnsiTheme="majorHAnsi"/>
                <w:b w:val="0"/>
              </w:rPr>
              <w:t xml:space="preserve">estudios previos de impacto social y ambiental, </w:t>
            </w:r>
            <w:r w:rsidR="00F05140">
              <w:rPr>
                <w:rFonts w:asciiTheme="majorHAnsi" w:hAnsiTheme="majorHAnsi"/>
                <w:b w:val="0"/>
              </w:rPr>
              <w:t>con</w:t>
            </w:r>
            <w:r w:rsidR="00D00362" w:rsidRPr="002806B6">
              <w:rPr>
                <w:rFonts w:asciiTheme="majorHAnsi" w:hAnsiTheme="majorHAnsi"/>
                <w:b w:val="0"/>
              </w:rPr>
              <w:t xml:space="preserve"> la finalidad de preservar, proteger y garantizar la relación especial </w:t>
            </w:r>
            <w:r w:rsidR="004526EB">
              <w:rPr>
                <w:rFonts w:asciiTheme="majorHAnsi" w:hAnsiTheme="majorHAnsi"/>
                <w:b w:val="0"/>
              </w:rPr>
              <w:t>que tienen</w:t>
            </w:r>
            <w:r w:rsidR="00D00362" w:rsidRPr="002806B6">
              <w:rPr>
                <w:rFonts w:asciiTheme="majorHAnsi" w:hAnsiTheme="majorHAnsi"/>
                <w:b w:val="0"/>
              </w:rPr>
              <w:t xml:space="preserve"> con sus territorios y su subsistencia. </w:t>
            </w:r>
          </w:p>
          <w:p w14:paraId="7C19DFC9" w14:textId="1FE448E9" w:rsidR="00611C37" w:rsidRPr="002806B6" w:rsidRDefault="00D10E95" w:rsidP="00264EE3">
            <w:pPr>
              <w:spacing w:line="240" w:lineRule="auto"/>
              <w:jc w:val="both"/>
              <w:rPr>
                <w:rFonts w:asciiTheme="majorHAnsi" w:hAnsiTheme="majorHAnsi"/>
                <w:b w:val="0"/>
              </w:rPr>
            </w:pPr>
            <w:r w:rsidRPr="002806B6">
              <w:rPr>
                <w:rFonts w:asciiTheme="majorHAnsi" w:hAnsiTheme="majorHAnsi"/>
                <w:b w:val="0"/>
              </w:rPr>
              <w:t>E</w:t>
            </w:r>
            <w:r w:rsidR="0061206C" w:rsidRPr="002806B6">
              <w:rPr>
                <w:rFonts w:asciiTheme="majorHAnsi" w:hAnsiTheme="majorHAnsi"/>
                <w:b w:val="0"/>
              </w:rPr>
              <w:t>stas garantías deben ponerse en línea con el derecho de acceso a la información en relación con los planes y programas de desarrollo o inversión, tutelado por el ar</w:t>
            </w:r>
            <w:r w:rsidR="00611C37" w:rsidRPr="002806B6">
              <w:rPr>
                <w:rFonts w:asciiTheme="majorHAnsi" w:hAnsiTheme="majorHAnsi"/>
                <w:b w:val="0"/>
              </w:rPr>
              <w:t>tículo 13 de la CADH</w:t>
            </w:r>
            <w:r w:rsidRPr="002806B6">
              <w:rPr>
                <w:rFonts w:asciiTheme="majorHAnsi" w:hAnsiTheme="majorHAnsi"/>
                <w:b w:val="0"/>
              </w:rPr>
              <w:t>. E</w:t>
            </w:r>
            <w:r w:rsidR="00611C37" w:rsidRPr="002806B6">
              <w:rPr>
                <w:rFonts w:asciiTheme="majorHAnsi" w:hAnsiTheme="majorHAnsi"/>
                <w:b w:val="0"/>
              </w:rPr>
              <w:t xml:space="preserve">ste </w:t>
            </w:r>
            <w:r w:rsidRPr="002806B6">
              <w:rPr>
                <w:rFonts w:asciiTheme="majorHAnsi" w:hAnsiTheme="majorHAnsi"/>
                <w:b w:val="0"/>
              </w:rPr>
              <w:t xml:space="preserve">derecho </w:t>
            </w:r>
            <w:r w:rsidR="00611C37" w:rsidRPr="002806B6">
              <w:rPr>
                <w:rFonts w:asciiTheme="majorHAnsi" w:hAnsiTheme="majorHAnsi"/>
                <w:b w:val="0"/>
              </w:rPr>
              <w:t xml:space="preserve">no se limita al suministro de información solicitada por una persona particular, sino que consiste </w:t>
            </w:r>
            <w:r w:rsidRPr="002806B6">
              <w:rPr>
                <w:rFonts w:asciiTheme="majorHAnsi" w:hAnsiTheme="majorHAnsi"/>
                <w:b w:val="0"/>
              </w:rPr>
              <w:t xml:space="preserve">también </w:t>
            </w:r>
            <w:r w:rsidR="00611C37" w:rsidRPr="002806B6">
              <w:rPr>
                <w:rFonts w:asciiTheme="majorHAnsi" w:hAnsiTheme="majorHAnsi"/>
                <w:b w:val="0"/>
              </w:rPr>
              <w:t>en una obligación de tra</w:t>
            </w:r>
            <w:r w:rsidR="0091467D" w:rsidRPr="002806B6">
              <w:rPr>
                <w:rFonts w:asciiTheme="majorHAnsi" w:hAnsiTheme="majorHAnsi"/>
                <w:b w:val="0"/>
              </w:rPr>
              <w:t>nsparentar la gestión pública y</w:t>
            </w:r>
            <w:r w:rsidR="00611C37" w:rsidRPr="002806B6">
              <w:rPr>
                <w:rFonts w:asciiTheme="majorHAnsi" w:hAnsiTheme="majorHAnsi"/>
                <w:b w:val="0"/>
              </w:rPr>
              <w:t xml:space="preserve"> suministrar de oficio la información requerida por el público cuando ello </w:t>
            </w:r>
            <w:r w:rsidRPr="002806B6">
              <w:rPr>
                <w:rFonts w:asciiTheme="majorHAnsi" w:hAnsiTheme="majorHAnsi"/>
                <w:b w:val="0"/>
              </w:rPr>
              <w:t xml:space="preserve">sea </w:t>
            </w:r>
            <w:r w:rsidR="00611C37" w:rsidRPr="002806B6">
              <w:rPr>
                <w:rFonts w:asciiTheme="majorHAnsi" w:hAnsiTheme="majorHAnsi"/>
                <w:b w:val="0"/>
              </w:rPr>
              <w:t>condición para el ejercicio de otros derechos. La información suministrada debe cumplir con ser oportuna, accesible y completa para los pueblos indígenas</w:t>
            </w:r>
            <w:r w:rsidR="00C51120">
              <w:rPr>
                <w:rFonts w:asciiTheme="majorHAnsi" w:hAnsiTheme="majorHAnsi"/>
                <w:b w:val="0"/>
              </w:rPr>
              <w:t>. Cuando se pueda afectar derechos derivados de la propiedad</w:t>
            </w:r>
            <w:r w:rsidRPr="002806B6">
              <w:rPr>
                <w:rFonts w:asciiTheme="majorHAnsi" w:hAnsiTheme="majorHAnsi"/>
                <w:b w:val="0"/>
              </w:rPr>
              <w:t>,</w:t>
            </w:r>
            <w:r w:rsidR="00611C37" w:rsidRPr="002806B6">
              <w:rPr>
                <w:rFonts w:asciiTheme="majorHAnsi" w:hAnsiTheme="majorHAnsi"/>
                <w:b w:val="0"/>
              </w:rPr>
              <w:t xml:space="preserve"> </w:t>
            </w:r>
            <w:r w:rsidR="00C51120">
              <w:rPr>
                <w:rFonts w:asciiTheme="majorHAnsi" w:hAnsiTheme="majorHAnsi"/>
                <w:b w:val="0"/>
              </w:rPr>
              <w:t xml:space="preserve">esto debe ser así </w:t>
            </w:r>
            <w:r w:rsidR="00611C37" w:rsidRPr="002806B6">
              <w:rPr>
                <w:rFonts w:asciiTheme="majorHAnsi" w:hAnsiTheme="majorHAnsi"/>
                <w:b w:val="0"/>
              </w:rPr>
              <w:t xml:space="preserve">por lo menos en cuanto a dos aspectos: </w:t>
            </w:r>
            <w:r w:rsidRPr="002806B6">
              <w:rPr>
                <w:rFonts w:asciiTheme="majorHAnsi" w:hAnsiTheme="majorHAnsi"/>
                <w:b w:val="0"/>
              </w:rPr>
              <w:t>i</w:t>
            </w:r>
            <w:r w:rsidR="00611C37" w:rsidRPr="002806B6">
              <w:rPr>
                <w:rFonts w:asciiTheme="majorHAnsi" w:hAnsiTheme="majorHAnsi"/>
                <w:b w:val="0"/>
              </w:rPr>
              <w:t xml:space="preserve">) la naturaleza y el impacto de la intervención externa sobre bienes o recursos de su propiedad; y </w:t>
            </w:r>
            <w:r w:rsidRPr="002806B6">
              <w:rPr>
                <w:rFonts w:asciiTheme="majorHAnsi" w:hAnsiTheme="majorHAnsi"/>
                <w:b w:val="0"/>
              </w:rPr>
              <w:t>ii</w:t>
            </w:r>
            <w:r w:rsidR="00611C37" w:rsidRPr="002806B6">
              <w:rPr>
                <w:rFonts w:asciiTheme="majorHAnsi" w:hAnsiTheme="majorHAnsi"/>
                <w:b w:val="0"/>
              </w:rPr>
              <w:t>) el proceso de consulta que se va a adelantar y las razones que lo justifican.</w:t>
            </w:r>
          </w:p>
          <w:p w14:paraId="3F7C9FDB" w14:textId="77E703E3" w:rsidR="00CD2D16" w:rsidRPr="002806B6" w:rsidRDefault="00D74118" w:rsidP="00264EE3">
            <w:pPr>
              <w:spacing w:line="240" w:lineRule="auto"/>
              <w:jc w:val="both"/>
              <w:rPr>
                <w:rFonts w:asciiTheme="majorHAnsi" w:hAnsiTheme="majorHAnsi"/>
                <w:b w:val="0"/>
              </w:rPr>
            </w:pPr>
            <w:r w:rsidRPr="002806B6">
              <w:rPr>
                <w:rFonts w:asciiTheme="majorHAnsi" w:hAnsiTheme="majorHAnsi"/>
                <w:b w:val="0"/>
              </w:rPr>
              <w:t>L</w:t>
            </w:r>
            <w:r w:rsidR="00611C37" w:rsidRPr="002806B6">
              <w:rPr>
                <w:rFonts w:asciiTheme="majorHAnsi" w:hAnsiTheme="majorHAnsi"/>
                <w:b w:val="0"/>
              </w:rPr>
              <w:t xml:space="preserve">a CIDH consideró </w:t>
            </w:r>
            <w:r w:rsidRPr="002806B6">
              <w:rPr>
                <w:rFonts w:asciiTheme="majorHAnsi" w:hAnsiTheme="majorHAnsi"/>
                <w:b w:val="0"/>
              </w:rPr>
              <w:t>el Estado argentino no cumplió con los estándares citados en</w:t>
            </w:r>
            <w:r w:rsidR="00611C37" w:rsidRPr="002806B6">
              <w:rPr>
                <w:rFonts w:asciiTheme="majorHAnsi" w:hAnsiTheme="majorHAnsi"/>
                <w:b w:val="0"/>
              </w:rPr>
              <w:t xml:space="preserve"> ninguna de las obras públicas emprendidas por el Estado argentino en el territorio ancestral de las comunidades indígenas </w:t>
            </w:r>
            <w:r w:rsidRPr="002806B6">
              <w:rPr>
                <w:rFonts w:asciiTheme="majorHAnsi" w:hAnsiTheme="majorHAnsi"/>
                <w:b w:val="0"/>
              </w:rPr>
              <w:t>los Lotes Fiscales Nos. 14 y 55</w:t>
            </w:r>
            <w:r w:rsidR="00266B60" w:rsidRPr="002806B6">
              <w:rPr>
                <w:rFonts w:asciiTheme="majorHAnsi" w:hAnsiTheme="majorHAnsi"/>
                <w:b w:val="0"/>
              </w:rPr>
              <w:t>, ya que no cumplió con los requisitos mínimos referidos en los párrafos anteriores</w:t>
            </w:r>
            <w:r w:rsidRPr="002806B6">
              <w:rPr>
                <w:rFonts w:asciiTheme="majorHAnsi" w:hAnsiTheme="majorHAnsi"/>
                <w:b w:val="0"/>
              </w:rPr>
              <w:t xml:space="preserve">. Resaltó, asimismo, </w:t>
            </w:r>
            <w:r w:rsidR="000B7CF0" w:rsidRPr="002806B6">
              <w:rPr>
                <w:rFonts w:asciiTheme="majorHAnsi" w:hAnsiTheme="majorHAnsi"/>
                <w:b w:val="0"/>
              </w:rPr>
              <w:t xml:space="preserve">que </w:t>
            </w:r>
            <w:r w:rsidRPr="002806B6">
              <w:rPr>
                <w:rFonts w:asciiTheme="majorHAnsi" w:hAnsiTheme="majorHAnsi"/>
                <w:b w:val="0"/>
              </w:rPr>
              <w:t xml:space="preserve">el que las comunidades de la Asociación Lhaka Honhat no contaran con un título de propiedad sobre sus tierras acentuó la responsabilidad internacional del Estado, </w:t>
            </w:r>
            <w:r w:rsidR="004526EB">
              <w:rPr>
                <w:rFonts w:asciiTheme="majorHAnsi" w:hAnsiTheme="majorHAnsi"/>
                <w:b w:val="0"/>
              </w:rPr>
              <w:t>pues</w:t>
            </w:r>
            <w:r w:rsidRPr="002806B6">
              <w:rPr>
                <w:rFonts w:asciiTheme="majorHAnsi" w:hAnsiTheme="majorHAnsi"/>
                <w:b w:val="0"/>
              </w:rPr>
              <w:t xml:space="preserve"> las garantías que nacen del SIDH pueden hacerse efectivas incluso si los territorios indígenas o tribales no han titulados formalmente, demarcados o delimitados por el Estado.</w:t>
            </w:r>
            <w:r w:rsidR="000B7CF0" w:rsidRPr="002806B6">
              <w:rPr>
                <w:rFonts w:asciiTheme="majorHAnsi" w:hAnsiTheme="majorHAnsi"/>
                <w:b w:val="0"/>
              </w:rPr>
              <w:t xml:space="preserve"> </w:t>
            </w:r>
            <w:r w:rsidR="004526EB">
              <w:rPr>
                <w:rFonts w:asciiTheme="majorHAnsi" w:hAnsiTheme="majorHAnsi"/>
                <w:b w:val="0"/>
              </w:rPr>
              <w:t>Así, l</w:t>
            </w:r>
            <w:r w:rsidR="000B7CF0" w:rsidRPr="002806B6">
              <w:rPr>
                <w:rFonts w:asciiTheme="majorHAnsi" w:hAnsiTheme="majorHAnsi"/>
                <w:b w:val="0"/>
              </w:rPr>
              <w:t>os Estados violan el derecho de los pueblos indígenas y tribales a la propiedad cuando otorgan concesiones para la exploración o explotación de recursos naturales o desarrollan obras públicas en los territorios que no han sido delimitados, demarcados o titulados.</w:t>
            </w:r>
          </w:p>
          <w:p w14:paraId="54FF71B5" w14:textId="6D19CB5C" w:rsidR="00EA5127" w:rsidRPr="002806B6" w:rsidRDefault="00EA5127" w:rsidP="00264EE3">
            <w:pPr>
              <w:spacing w:line="240" w:lineRule="auto"/>
              <w:jc w:val="both"/>
              <w:rPr>
                <w:rFonts w:asciiTheme="majorHAnsi" w:hAnsiTheme="majorHAnsi"/>
                <w:b w:val="0"/>
              </w:rPr>
            </w:pPr>
            <w:r w:rsidRPr="002806B6">
              <w:rPr>
                <w:rFonts w:asciiTheme="majorHAnsi" w:hAnsiTheme="majorHAnsi"/>
                <w:b w:val="0"/>
              </w:rPr>
              <w:t xml:space="preserve">Por lo expuesto, la CIDH declaró responsable al Estado argentino de la violación de los artículos 21, 13 y 23 de la CADH, en relación con los artículos 1.1 y 2, en perjuicio de </w:t>
            </w:r>
            <w:r w:rsidR="004009E8" w:rsidRPr="002806B6">
              <w:rPr>
                <w:rFonts w:asciiTheme="majorHAnsi" w:hAnsiTheme="majorHAnsi"/>
                <w:b w:val="0"/>
              </w:rPr>
              <w:t>las comunidades indígenas</w:t>
            </w:r>
            <w:r w:rsidRPr="002806B6">
              <w:rPr>
                <w:rFonts w:asciiTheme="majorHAnsi" w:hAnsiTheme="majorHAnsi"/>
                <w:b w:val="0"/>
              </w:rPr>
              <w:t xml:space="preserve"> de la Asociación Lhaka Honhat.</w:t>
            </w:r>
          </w:p>
          <w:p w14:paraId="15934FCD" w14:textId="3DDBDC1E" w:rsidR="00CD2D16" w:rsidRPr="002806B6" w:rsidRDefault="00CD2D16" w:rsidP="00264EE3">
            <w:pPr>
              <w:spacing w:line="240" w:lineRule="auto"/>
              <w:jc w:val="both"/>
              <w:rPr>
                <w:rFonts w:asciiTheme="majorHAnsi" w:hAnsiTheme="majorHAnsi"/>
              </w:rPr>
            </w:pPr>
            <w:r w:rsidRPr="002806B6">
              <w:rPr>
                <w:rFonts w:asciiTheme="majorHAnsi" w:hAnsiTheme="majorHAnsi"/>
              </w:rPr>
              <w:t>Deforestación del territorio por la tala ilegal</w:t>
            </w:r>
          </w:p>
          <w:p w14:paraId="585CA7C4" w14:textId="73D5D18A" w:rsidR="00CC55C9" w:rsidRPr="002806B6" w:rsidRDefault="0038019F" w:rsidP="00264EE3">
            <w:pPr>
              <w:spacing w:line="240" w:lineRule="auto"/>
              <w:jc w:val="both"/>
              <w:rPr>
                <w:rFonts w:asciiTheme="majorHAnsi" w:hAnsiTheme="majorHAnsi"/>
                <w:b w:val="0"/>
              </w:rPr>
            </w:pPr>
            <w:r w:rsidRPr="002806B6">
              <w:rPr>
                <w:rFonts w:asciiTheme="majorHAnsi" w:hAnsiTheme="majorHAnsi"/>
                <w:b w:val="0"/>
              </w:rPr>
              <w:t>Respecto a la deforestación del territorio ancestral, la CIDH recordó que las comunidades indígenas que habitan los Lotes Fiscales No. 14 y 55 tienen</w:t>
            </w:r>
            <w:r w:rsidR="00D10E95" w:rsidRPr="002806B6">
              <w:rPr>
                <w:rFonts w:asciiTheme="majorHAnsi" w:hAnsiTheme="majorHAnsi"/>
                <w:b w:val="0"/>
              </w:rPr>
              <w:t xml:space="preserve"> derecho </w:t>
            </w:r>
            <w:r w:rsidRPr="002806B6">
              <w:rPr>
                <w:rFonts w:asciiTheme="majorHAnsi" w:hAnsiTheme="majorHAnsi"/>
                <w:b w:val="0"/>
              </w:rPr>
              <w:t xml:space="preserve">a la propiedad sobre los recursos naturales que se encuentran en su territorio y a la integridad medioambiental. Para la Corte IDH, </w:t>
            </w:r>
            <w:r w:rsidR="007F575A" w:rsidRPr="002806B6">
              <w:rPr>
                <w:rFonts w:asciiTheme="majorHAnsi" w:hAnsiTheme="majorHAnsi"/>
                <w:b w:val="0"/>
              </w:rPr>
              <w:t xml:space="preserve">el reclamo por la titularidad de las tierras de los pueblos indígenas y tribales deriva de la necesidad de garantizar la seguridad y la permanencia del control y uso de los recursos naturales por su parte. </w:t>
            </w:r>
            <w:r w:rsidR="009E7AD3" w:rsidRPr="002806B6">
              <w:rPr>
                <w:rFonts w:asciiTheme="majorHAnsi" w:hAnsiTheme="majorHAnsi"/>
                <w:b w:val="0"/>
              </w:rPr>
              <w:t>En ese sentido, se vincula con su supervivencia</w:t>
            </w:r>
            <w:r w:rsidR="00CC55C9" w:rsidRPr="002806B6">
              <w:rPr>
                <w:rFonts w:asciiTheme="majorHAnsi" w:hAnsiTheme="majorHAnsi"/>
                <w:b w:val="0"/>
              </w:rPr>
              <w:t xml:space="preserve"> como pueblos diferenciados, tanto en el aspecto material como cultural. En atención a ello, los Estados</w:t>
            </w:r>
            <w:r w:rsidR="00D10E95" w:rsidRPr="002806B6">
              <w:rPr>
                <w:rFonts w:asciiTheme="majorHAnsi" w:hAnsiTheme="majorHAnsi"/>
                <w:b w:val="0"/>
              </w:rPr>
              <w:t xml:space="preserve"> se encuentran obligados</w:t>
            </w:r>
            <w:r w:rsidR="00CC55C9" w:rsidRPr="002806B6">
              <w:rPr>
                <w:rFonts w:asciiTheme="majorHAnsi" w:hAnsiTheme="majorHAnsi"/>
                <w:b w:val="0"/>
              </w:rPr>
              <w:t xml:space="preserve"> a tomar medidas efectivas para asegurar tales derechos, ya que existe una relación directa entre el entorno físico en el viven las personas y los derechos a la vida, a la seguridad y a la integridad física.</w:t>
            </w:r>
          </w:p>
          <w:p w14:paraId="26FD9E63" w14:textId="5F361A19" w:rsidR="00AA5DBE" w:rsidRPr="002806B6" w:rsidRDefault="00946FA9" w:rsidP="00264EE3">
            <w:pPr>
              <w:spacing w:line="240" w:lineRule="auto"/>
              <w:jc w:val="both"/>
              <w:rPr>
                <w:rFonts w:asciiTheme="majorHAnsi" w:hAnsiTheme="majorHAnsi"/>
                <w:b w:val="0"/>
              </w:rPr>
            </w:pPr>
            <w:r w:rsidRPr="002806B6">
              <w:rPr>
                <w:rFonts w:asciiTheme="majorHAnsi" w:hAnsiTheme="majorHAnsi"/>
                <w:b w:val="0"/>
              </w:rPr>
              <w:lastRenderedPageBreak/>
              <w:t xml:space="preserve">La obligación positiva del Estado de implementar los estándares de protección medioambiental cobra especial importancia frente a los actores no estatales que incurren en conductas dañinas para los recursos naturales. </w:t>
            </w:r>
            <w:r w:rsidR="001075CE" w:rsidRPr="002806B6">
              <w:rPr>
                <w:rFonts w:asciiTheme="majorHAnsi" w:hAnsiTheme="majorHAnsi"/>
                <w:b w:val="0"/>
              </w:rPr>
              <w:t xml:space="preserve">De forma específica, los Estados tienen el deber general de prevenir daños al medioambiente en territorios indígenas o tribales, ya que tal deterioro reduce sus capacidades y estrategias tradicionales en términos de alimentación, agua y actividades de subsistencia. </w:t>
            </w:r>
            <w:r w:rsidR="00AA5DBE" w:rsidRPr="002806B6">
              <w:rPr>
                <w:rFonts w:asciiTheme="majorHAnsi" w:hAnsiTheme="majorHAnsi"/>
                <w:b w:val="0"/>
              </w:rPr>
              <w:t>Para ello, la CIDH ha exigido que los Estados establezcan salvaguardias y mecanismos adecuados para supervisar, controlar y garantizar que existe personal suficiente para asegurar que las concesiones de explotación de recursos naturales no causen daños medioambientales.</w:t>
            </w:r>
          </w:p>
          <w:p w14:paraId="15D27F84" w14:textId="50A393D7" w:rsidR="004009E8" w:rsidRPr="002806B6" w:rsidRDefault="00DA2B7A" w:rsidP="00264EE3">
            <w:pPr>
              <w:spacing w:line="240" w:lineRule="auto"/>
              <w:jc w:val="both"/>
              <w:rPr>
                <w:rFonts w:asciiTheme="majorHAnsi" w:hAnsiTheme="majorHAnsi"/>
              </w:rPr>
            </w:pPr>
            <w:r w:rsidRPr="002806B6">
              <w:rPr>
                <w:rFonts w:asciiTheme="majorHAnsi" w:hAnsiTheme="majorHAnsi"/>
                <w:b w:val="0"/>
              </w:rPr>
              <w:t xml:space="preserve">En el presente caso, la CIDH consideró que el Estado argentino se abstuvo de emprender acciones efectivas de control de la deforestación ilegal del territorio indígena. De las continuas denuncias realizadas por </w:t>
            </w:r>
            <w:r w:rsidR="00044181" w:rsidRPr="002806B6">
              <w:rPr>
                <w:rFonts w:asciiTheme="majorHAnsi" w:hAnsiTheme="majorHAnsi"/>
                <w:b w:val="0"/>
              </w:rPr>
              <w:t xml:space="preserve">las comunidades indígenas miembros de la Asociación Lhaka Honhat, </w:t>
            </w:r>
            <w:r w:rsidR="00594F2E" w:rsidRPr="002806B6">
              <w:rPr>
                <w:rFonts w:asciiTheme="majorHAnsi" w:hAnsiTheme="majorHAnsi"/>
                <w:b w:val="0"/>
              </w:rPr>
              <w:t xml:space="preserve">se desprende que </w:t>
            </w:r>
            <w:r w:rsidR="005C11B5">
              <w:rPr>
                <w:rFonts w:asciiTheme="majorHAnsi" w:hAnsiTheme="majorHAnsi"/>
                <w:b w:val="0"/>
              </w:rPr>
              <w:t>las</w:t>
            </w:r>
            <w:r w:rsidR="00594F2E" w:rsidRPr="002806B6">
              <w:rPr>
                <w:rFonts w:asciiTheme="majorHAnsi" w:hAnsiTheme="majorHAnsi"/>
                <w:b w:val="0"/>
              </w:rPr>
              <w:t xml:space="preserve"> actividades de tala y extracción ilegal de madera en su territorio</w:t>
            </w:r>
            <w:r w:rsidR="005C11B5">
              <w:rPr>
                <w:rFonts w:asciiTheme="majorHAnsi" w:hAnsiTheme="majorHAnsi"/>
                <w:b w:val="0"/>
              </w:rPr>
              <w:t xml:space="preserve"> ocasionaron </w:t>
            </w:r>
            <w:r w:rsidR="00594F2E" w:rsidRPr="002806B6">
              <w:rPr>
                <w:rFonts w:asciiTheme="majorHAnsi" w:hAnsiTheme="majorHAnsi"/>
                <w:b w:val="0"/>
              </w:rPr>
              <w:t>la degradación ambiental por la deforestación. Esta problemática fue reconocida por el propio Estado, el cual, a pesar de los diversos acuerdos suscritos y la adquisición de otros compromisos formales, no logró cumplir con prevenir la tala ilegal de madera en el territorio ancestral de estas comunidades indígenas.</w:t>
            </w:r>
            <w:r w:rsidR="00652CCA">
              <w:rPr>
                <w:rFonts w:asciiTheme="majorHAnsi" w:hAnsiTheme="majorHAnsi"/>
                <w:b w:val="0"/>
              </w:rPr>
              <w:t xml:space="preserve"> </w:t>
            </w:r>
            <w:r w:rsidR="004009E8" w:rsidRPr="002806B6">
              <w:rPr>
                <w:rFonts w:asciiTheme="majorHAnsi" w:hAnsiTheme="majorHAnsi"/>
                <w:b w:val="0"/>
              </w:rPr>
              <w:t>En consecuencia, la CIDH consideró que el Estado de Argentina era responsable de la violación del artículo 21 de la CADH, en relación con los artículos 1.1, en perjuicio de las comunidades indígenas de la Asociación Lhaka Honhat.</w:t>
            </w:r>
          </w:p>
          <w:p w14:paraId="740103EE" w14:textId="23B2142C" w:rsidR="00CD2D16" w:rsidRPr="002806B6" w:rsidRDefault="00CD2D16" w:rsidP="00264EE3">
            <w:pPr>
              <w:spacing w:line="240" w:lineRule="auto"/>
              <w:jc w:val="both"/>
              <w:rPr>
                <w:rFonts w:asciiTheme="majorHAnsi" w:hAnsiTheme="majorHAnsi"/>
              </w:rPr>
            </w:pPr>
            <w:r w:rsidRPr="002806B6">
              <w:rPr>
                <w:rFonts w:asciiTheme="majorHAnsi" w:hAnsiTheme="majorHAnsi"/>
              </w:rPr>
              <w:t>Acciones tendientes a debilitar a la Asociación Lhaka Honhat, y su derecho a la participación y de petición ante el sistema interamericano</w:t>
            </w:r>
          </w:p>
          <w:p w14:paraId="2F4187BD" w14:textId="6F3EF71D" w:rsidR="00560199" w:rsidRPr="002806B6" w:rsidRDefault="007A54D5" w:rsidP="00652CCA">
            <w:pPr>
              <w:spacing w:line="240" w:lineRule="auto"/>
              <w:jc w:val="both"/>
              <w:rPr>
                <w:rFonts w:asciiTheme="majorHAnsi" w:hAnsiTheme="majorHAnsi"/>
                <w:b w:val="0"/>
              </w:rPr>
            </w:pPr>
            <w:r w:rsidRPr="002806B6">
              <w:rPr>
                <w:rFonts w:asciiTheme="majorHAnsi" w:hAnsiTheme="majorHAnsi"/>
                <w:b w:val="0"/>
              </w:rPr>
              <w:t xml:space="preserve">El artículo 23.1 de la CADH consagra el derecho de todo ciudadano a participar de los asuntos públicos, sea de forma directa o a través de representantes. </w:t>
            </w:r>
            <w:r w:rsidR="002A19F3" w:rsidRPr="002806B6">
              <w:rPr>
                <w:rFonts w:asciiTheme="majorHAnsi" w:hAnsiTheme="majorHAnsi"/>
                <w:b w:val="0"/>
              </w:rPr>
              <w:t xml:space="preserve">Aunque la participación vía los mecanismos democráticos son la manifestación por excelencia de este derecho, </w:t>
            </w:r>
            <w:r w:rsidR="00561F36" w:rsidRPr="002806B6">
              <w:rPr>
                <w:rFonts w:asciiTheme="majorHAnsi" w:hAnsiTheme="majorHAnsi"/>
                <w:b w:val="0"/>
              </w:rPr>
              <w:t xml:space="preserve">la CIDH ha considerado que su alcance es más amplio, </w:t>
            </w:r>
            <w:r w:rsidR="00556BB2" w:rsidRPr="002806B6">
              <w:rPr>
                <w:rFonts w:asciiTheme="majorHAnsi" w:hAnsiTheme="majorHAnsi"/>
                <w:b w:val="0"/>
              </w:rPr>
              <w:t xml:space="preserve">e </w:t>
            </w:r>
            <w:r w:rsidR="00561F36" w:rsidRPr="002806B6">
              <w:rPr>
                <w:rFonts w:asciiTheme="majorHAnsi" w:hAnsiTheme="majorHAnsi"/>
                <w:b w:val="0"/>
              </w:rPr>
              <w:t>incluye diversas y profundas manifestaciones de la participación democrática, o también el establecimiento de forma</w:t>
            </w:r>
            <w:r w:rsidR="00652CCA">
              <w:rPr>
                <w:rFonts w:asciiTheme="majorHAnsi" w:hAnsiTheme="majorHAnsi"/>
                <w:b w:val="0"/>
              </w:rPr>
              <w:t>s</w:t>
            </w:r>
            <w:r w:rsidR="00561F36" w:rsidRPr="002806B6">
              <w:rPr>
                <w:rFonts w:asciiTheme="majorHAnsi" w:hAnsiTheme="majorHAnsi"/>
                <w:b w:val="0"/>
              </w:rPr>
              <w:t xml:space="preserve"> de incidencia sobre el manejo de los asuntos públicos. </w:t>
            </w:r>
            <w:r w:rsidR="00B61C94" w:rsidRPr="002806B6">
              <w:rPr>
                <w:rFonts w:asciiTheme="majorHAnsi" w:hAnsiTheme="majorHAnsi"/>
                <w:b w:val="0"/>
              </w:rPr>
              <w:t>La Asociación indicó que se habría violado este derecho cuando el Gobierno Provincial promovió la desafiliación de las comunidades indígenas que formaban parte de la Asociación y la división entre sus miembros; sin embargo, l</w:t>
            </w:r>
            <w:r w:rsidR="00561F36" w:rsidRPr="002806B6">
              <w:rPr>
                <w:rFonts w:asciiTheme="majorHAnsi" w:hAnsiTheme="majorHAnsi"/>
                <w:b w:val="0"/>
              </w:rPr>
              <w:t>a CIDH estimó que no existían pruebas suficientes para acreditar la</w:t>
            </w:r>
            <w:r w:rsidR="00CF7498" w:rsidRPr="002806B6">
              <w:rPr>
                <w:rFonts w:asciiTheme="majorHAnsi" w:hAnsiTheme="majorHAnsi"/>
                <w:b w:val="0"/>
              </w:rPr>
              <w:t>s violaciones alegadas</w:t>
            </w:r>
            <w:r w:rsidR="00561F36" w:rsidRPr="002806B6">
              <w:rPr>
                <w:rFonts w:asciiTheme="majorHAnsi" w:hAnsiTheme="majorHAnsi"/>
                <w:b w:val="0"/>
              </w:rPr>
              <w:t>.</w:t>
            </w:r>
            <w:r w:rsidR="004009E8" w:rsidRPr="002806B6">
              <w:rPr>
                <w:rFonts w:asciiTheme="majorHAnsi" w:hAnsiTheme="majorHAnsi"/>
                <w:b w:val="0"/>
              </w:rPr>
              <w:t xml:space="preserve"> P</w:t>
            </w:r>
            <w:r w:rsidR="00EA5127" w:rsidRPr="002806B6">
              <w:rPr>
                <w:rFonts w:asciiTheme="majorHAnsi" w:hAnsiTheme="majorHAnsi"/>
                <w:b w:val="0"/>
              </w:rPr>
              <w:t xml:space="preserve">or ello, </w:t>
            </w:r>
            <w:r w:rsidR="00877291" w:rsidRPr="002806B6">
              <w:rPr>
                <w:rFonts w:asciiTheme="majorHAnsi" w:hAnsiTheme="majorHAnsi"/>
                <w:b w:val="0"/>
              </w:rPr>
              <w:t xml:space="preserve">declaró que el Estado de Argentina </w:t>
            </w:r>
            <w:r w:rsidR="00EA5127" w:rsidRPr="002806B6">
              <w:rPr>
                <w:rFonts w:asciiTheme="majorHAnsi" w:hAnsiTheme="majorHAnsi"/>
                <w:b w:val="0"/>
              </w:rPr>
              <w:t>no fue responsable de la</w:t>
            </w:r>
            <w:r w:rsidR="00877291" w:rsidRPr="002806B6">
              <w:rPr>
                <w:rFonts w:asciiTheme="majorHAnsi" w:hAnsiTheme="majorHAnsi"/>
                <w:b w:val="0"/>
              </w:rPr>
              <w:t xml:space="preserve"> violac</w:t>
            </w:r>
            <w:r w:rsidR="004009E8" w:rsidRPr="002806B6">
              <w:rPr>
                <w:rFonts w:asciiTheme="majorHAnsi" w:hAnsiTheme="majorHAnsi"/>
                <w:b w:val="0"/>
              </w:rPr>
              <w:t>ión el artículo 23.1 de la CADH.</w:t>
            </w:r>
          </w:p>
        </w:tc>
      </w:tr>
      <w:tr w:rsidR="00384E44" w:rsidRPr="002806B6" w14:paraId="785BFD77" w14:textId="77777777" w:rsidTr="00264EE3">
        <w:trPr>
          <w:trHeight w:val="567"/>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vAlign w:val="center"/>
          </w:tcPr>
          <w:p w14:paraId="20BC7187" w14:textId="74D68F2B" w:rsidR="00384E44" w:rsidRPr="002806B6" w:rsidRDefault="00384E44" w:rsidP="00264EE3">
            <w:pPr>
              <w:pStyle w:val="ListParagraph"/>
              <w:numPr>
                <w:ilvl w:val="0"/>
                <w:numId w:val="1"/>
              </w:numPr>
              <w:spacing w:after="0" w:line="240" w:lineRule="auto"/>
              <w:jc w:val="center"/>
              <w:rPr>
                <w:rFonts w:asciiTheme="majorHAnsi" w:hAnsiTheme="majorHAnsi"/>
              </w:rPr>
            </w:pPr>
            <w:r w:rsidRPr="002806B6">
              <w:rPr>
                <w:rFonts w:asciiTheme="majorHAnsi" w:hAnsiTheme="majorHAnsi"/>
              </w:rPr>
              <w:lastRenderedPageBreak/>
              <w:t>Recomendaciones de la CIDH al Estado</w:t>
            </w:r>
          </w:p>
        </w:tc>
      </w:tr>
      <w:tr w:rsidR="00384E44" w:rsidRPr="002806B6" w14:paraId="54B13C31" w14:textId="77777777" w:rsidTr="00894D8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7C17AB9F" w14:textId="77777777" w:rsidR="00384E44" w:rsidRPr="002806B6" w:rsidRDefault="00384E44" w:rsidP="00894D87">
            <w:pPr>
              <w:pStyle w:val="ListParagraph"/>
              <w:spacing w:after="0" w:line="240" w:lineRule="auto"/>
              <w:ind w:left="0"/>
              <w:jc w:val="both"/>
              <w:rPr>
                <w:rFonts w:asciiTheme="majorHAnsi" w:hAnsiTheme="majorHAnsi"/>
                <w:b w:val="0"/>
              </w:rPr>
            </w:pPr>
          </w:p>
          <w:p w14:paraId="331FFA75" w14:textId="77777777" w:rsidR="00384E44" w:rsidRPr="002806B6" w:rsidRDefault="009131C3" w:rsidP="00264EE3">
            <w:pPr>
              <w:pStyle w:val="ListParagraph"/>
              <w:numPr>
                <w:ilvl w:val="0"/>
                <w:numId w:val="5"/>
              </w:numPr>
              <w:spacing w:line="240" w:lineRule="auto"/>
              <w:jc w:val="both"/>
              <w:rPr>
                <w:rFonts w:asciiTheme="majorHAnsi" w:hAnsiTheme="majorHAnsi"/>
              </w:rPr>
            </w:pPr>
            <w:r w:rsidRPr="002806B6">
              <w:rPr>
                <w:rFonts w:asciiTheme="majorHAnsi" w:hAnsiTheme="majorHAnsi"/>
                <w:b w:val="0"/>
              </w:rPr>
              <w:t>Concluir prontamente la formalización del proceso llevado a cabo respecto de los Lotes Fiscales 14 y 55</w:t>
            </w:r>
            <w:r w:rsidR="00955B70" w:rsidRPr="002806B6">
              <w:rPr>
                <w:rFonts w:asciiTheme="majorHAnsi" w:hAnsiTheme="majorHAnsi"/>
                <w:b w:val="0"/>
              </w:rPr>
              <w:t xml:space="preserve"> con base en los estándares establecidos en el informe de fondo y los siguientes lineamientos: i) el derecho de los peticionarios a un territorio indiviso que les permita desarrollar su forma de vida nómada,</w:t>
            </w:r>
            <w:r w:rsidR="006E3219" w:rsidRPr="002806B6">
              <w:rPr>
                <w:rFonts w:asciiTheme="majorHAnsi" w:hAnsiTheme="majorHAnsi"/>
                <w:b w:val="0"/>
              </w:rPr>
              <w:t xml:space="preserve"> y las promesas realizadas sobre la extensión y forma de esa adjudicación;</w:t>
            </w:r>
            <w:r w:rsidR="00955B70" w:rsidRPr="002806B6">
              <w:rPr>
                <w:rFonts w:asciiTheme="majorHAnsi" w:hAnsiTheme="majorHAnsi"/>
                <w:b w:val="0"/>
              </w:rPr>
              <w:t xml:space="preserve"> </w:t>
            </w:r>
            <w:r w:rsidR="006E3219" w:rsidRPr="002806B6">
              <w:rPr>
                <w:rFonts w:asciiTheme="majorHAnsi" w:hAnsiTheme="majorHAnsi"/>
                <w:b w:val="0"/>
              </w:rPr>
              <w:t>ii) remover las cercas que han sido puestas dentro de territorio indígena; y iii) controlar la deforestación.</w:t>
            </w:r>
          </w:p>
          <w:p w14:paraId="3FBB3BC3" w14:textId="77777777" w:rsidR="00556BB2" w:rsidRPr="002806B6" w:rsidRDefault="00556BB2" w:rsidP="00DF0DE6">
            <w:pPr>
              <w:pStyle w:val="ListParagraph"/>
              <w:spacing w:line="240" w:lineRule="auto"/>
              <w:ind w:left="360"/>
              <w:jc w:val="both"/>
              <w:rPr>
                <w:rFonts w:asciiTheme="majorHAnsi" w:hAnsiTheme="majorHAnsi"/>
              </w:rPr>
            </w:pPr>
          </w:p>
          <w:p w14:paraId="6CD8328B" w14:textId="77777777" w:rsidR="006E3219" w:rsidRPr="002806B6" w:rsidRDefault="006E3219" w:rsidP="00264EE3">
            <w:pPr>
              <w:pStyle w:val="ListParagraph"/>
              <w:numPr>
                <w:ilvl w:val="0"/>
                <w:numId w:val="5"/>
              </w:numPr>
              <w:spacing w:line="240" w:lineRule="auto"/>
              <w:jc w:val="both"/>
              <w:rPr>
                <w:rFonts w:asciiTheme="majorHAnsi" w:hAnsiTheme="majorHAnsi"/>
              </w:rPr>
            </w:pPr>
            <w:r w:rsidRPr="002806B6">
              <w:rPr>
                <w:rFonts w:asciiTheme="majorHAnsi" w:hAnsiTheme="majorHAnsi"/>
                <w:b w:val="0"/>
              </w:rPr>
              <w:t>Otorgar reparaciones por las violaciones al derecho a la propiedad territorial y al acceso a la información de acuerdo a lo declarado en el informe de fondo.</w:t>
            </w:r>
          </w:p>
          <w:p w14:paraId="0CF08E1F" w14:textId="77777777" w:rsidR="00556BB2" w:rsidRPr="002806B6" w:rsidRDefault="00556BB2" w:rsidP="00DF0DE6">
            <w:pPr>
              <w:pStyle w:val="ListParagraph"/>
              <w:spacing w:line="240" w:lineRule="auto"/>
              <w:ind w:left="360"/>
              <w:jc w:val="both"/>
              <w:rPr>
                <w:rFonts w:asciiTheme="majorHAnsi" w:hAnsiTheme="majorHAnsi"/>
              </w:rPr>
            </w:pPr>
          </w:p>
          <w:p w14:paraId="3D17E8BF" w14:textId="77777777" w:rsidR="006E3219" w:rsidRPr="002806B6" w:rsidRDefault="006E3219" w:rsidP="00264EE3">
            <w:pPr>
              <w:pStyle w:val="ListParagraph"/>
              <w:numPr>
                <w:ilvl w:val="0"/>
                <w:numId w:val="5"/>
              </w:numPr>
              <w:spacing w:line="240" w:lineRule="auto"/>
              <w:jc w:val="both"/>
              <w:rPr>
                <w:rFonts w:asciiTheme="majorHAnsi" w:hAnsiTheme="majorHAnsi"/>
              </w:rPr>
            </w:pPr>
            <w:r w:rsidRPr="002806B6">
              <w:rPr>
                <w:rFonts w:asciiTheme="majorHAnsi" w:hAnsiTheme="majorHAnsi"/>
                <w:b w:val="0"/>
              </w:rPr>
              <w:t xml:space="preserve">Asegurar que en la demarcación del territorio y la aprobación de cualquier futura obra pública o concesión que se realice en tierras ancestrales, el Estado respete y garantice el </w:t>
            </w:r>
            <w:r w:rsidRPr="002806B6">
              <w:rPr>
                <w:rFonts w:asciiTheme="majorHAnsi" w:hAnsiTheme="majorHAnsi"/>
                <w:b w:val="0"/>
              </w:rPr>
              <w:lastRenderedPageBreak/>
              <w:t>derecho a la consulta previa según los estándares citados en el informe.</w:t>
            </w:r>
          </w:p>
          <w:p w14:paraId="5948B0BE" w14:textId="77777777" w:rsidR="006E3219" w:rsidRPr="002806B6" w:rsidRDefault="006E3219" w:rsidP="006E3219">
            <w:pPr>
              <w:pStyle w:val="ListParagraph"/>
              <w:spacing w:after="0" w:line="240" w:lineRule="auto"/>
              <w:ind w:left="360"/>
              <w:jc w:val="both"/>
              <w:rPr>
                <w:rFonts w:asciiTheme="majorHAnsi" w:hAnsiTheme="majorHAnsi"/>
              </w:rPr>
            </w:pPr>
          </w:p>
        </w:tc>
      </w:tr>
      <w:tr w:rsidR="00384E44" w:rsidRPr="002806B6" w14:paraId="4B27F048" w14:textId="77777777" w:rsidTr="00264EE3">
        <w:trPr>
          <w:trHeight w:val="567"/>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vAlign w:val="bottom"/>
          </w:tcPr>
          <w:p w14:paraId="4C7F4FDF" w14:textId="23C92F66" w:rsidR="00384E44" w:rsidRPr="002806B6" w:rsidRDefault="00384E44" w:rsidP="00264EE3">
            <w:pPr>
              <w:pStyle w:val="ListParagraph"/>
              <w:numPr>
                <w:ilvl w:val="0"/>
                <w:numId w:val="1"/>
              </w:numPr>
              <w:jc w:val="center"/>
              <w:rPr>
                <w:rFonts w:asciiTheme="majorHAnsi" w:hAnsiTheme="majorHAnsi"/>
              </w:rPr>
            </w:pPr>
            <w:r w:rsidRPr="002806B6">
              <w:rPr>
                <w:rFonts w:asciiTheme="majorHAnsi" w:hAnsiTheme="majorHAnsi"/>
              </w:rPr>
              <w:lastRenderedPageBreak/>
              <w:t>Análisis de cumplimiento de las recomendaciones</w:t>
            </w:r>
          </w:p>
        </w:tc>
      </w:tr>
      <w:tr w:rsidR="00384E44" w:rsidRPr="002806B6" w14:paraId="4B796568" w14:textId="77777777" w:rsidTr="00264EE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vAlign w:val="center"/>
          </w:tcPr>
          <w:p w14:paraId="3B29BE61" w14:textId="392FFF45" w:rsidR="00384E44" w:rsidRPr="002806B6" w:rsidRDefault="00384E44" w:rsidP="00264EE3">
            <w:pPr>
              <w:pStyle w:val="ListParagraph"/>
              <w:spacing w:after="0" w:line="240" w:lineRule="auto"/>
              <w:ind w:left="0"/>
              <w:jc w:val="center"/>
              <w:rPr>
                <w:rFonts w:asciiTheme="majorHAnsi" w:hAnsiTheme="majorHAnsi"/>
                <w:b w:val="0"/>
              </w:rPr>
            </w:pPr>
            <w:r w:rsidRPr="002806B6">
              <w:rPr>
                <w:rFonts w:asciiTheme="majorHAnsi" w:hAnsiTheme="majorHAnsi"/>
                <w:b w:val="0"/>
              </w:rPr>
              <w:t>-</w:t>
            </w:r>
          </w:p>
        </w:tc>
      </w:tr>
    </w:tbl>
    <w:p w14:paraId="13848F0F" w14:textId="4156DD33" w:rsidR="00410C92" w:rsidRPr="002806B6" w:rsidRDefault="00410C92">
      <w:pPr>
        <w:rPr>
          <w:rFonts w:asciiTheme="majorHAnsi" w:hAnsiTheme="majorHAnsi"/>
        </w:rPr>
      </w:pPr>
    </w:p>
    <w:p w14:paraId="035EC2BF" w14:textId="77777777" w:rsidR="00526129" w:rsidRPr="002806B6" w:rsidRDefault="00526129">
      <w:pPr>
        <w:rPr>
          <w:rFonts w:asciiTheme="majorHAnsi" w:hAnsiTheme="majorHAnsi"/>
        </w:rPr>
      </w:pPr>
    </w:p>
    <w:sectPr w:rsidR="00526129" w:rsidRPr="002806B6">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5E769" w14:textId="77777777" w:rsidR="00370C1C" w:rsidRDefault="00370C1C" w:rsidP="004603C3">
      <w:pPr>
        <w:spacing w:after="0" w:line="240" w:lineRule="auto"/>
      </w:pPr>
      <w:r>
        <w:separator/>
      </w:r>
    </w:p>
  </w:endnote>
  <w:endnote w:type="continuationSeparator" w:id="0">
    <w:p w14:paraId="4063E7B2" w14:textId="77777777" w:rsidR="00370C1C" w:rsidRDefault="00370C1C" w:rsidP="0046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rPr>
      <w:id w:val="1679388651"/>
      <w:docPartObj>
        <w:docPartGallery w:val="Page Numbers (Bottom of Page)"/>
        <w:docPartUnique/>
      </w:docPartObj>
    </w:sdtPr>
    <w:sdtEndPr/>
    <w:sdtContent>
      <w:p w14:paraId="2B8BD214" w14:textId="623C7B97" w:rsidR="004603C3" w:rsidRPr="004603C3" w:rsidRDefault="004603C3">
        <w:pPr>
          <w:pStyle w:val="Footer"/>
          <w:jc w:val="right"/>
          <w:rPr>
            <w:rFonts w:asciiTheme="majorHAnsi" w:hAnsiTheme="majorHAnsi"/>
          </w:rPr>
        </w:pPr>
        <w:r w:rsidRPr="004603C3">
          <w:rPr>
            <w:rFonts w:asciiTheme="majorHAnsi" w:hAnsiTheme="majorHAnsi"/>
          </w:rPr>
          <w:fldChar w:fldCharType="begin"/>
        </w:r>
        <w:r w:rsidRPr="004603C3">
          <w:rPr>
            <w:rFonts w:asciiTheme="majorHAnsi" w:hAnsiTheme="majorHAnsi"/>
          </w:rPr>
          <w:instrText>PAGE   \* MERGEFORMAT</w:instrText>
        </w:r>
        <w:r w:rsidRPr="004603C3">
          <w:rPr>
            <w:rFonts w:asciiTheme="majorHAnsi" w:hAnsiTheme="majorHAnsi"/>
          </w:rPr>
          <w:fldChar w:fldCharType="separate"/>
        </w:r>
        <w:r w:rsidR="002E7285" w:rsidRPr="002E7285">
          <w:rPr>
            <w:rFonts w:asciiTheme="majorHAnsi" w:hAnsiTheme="majorHAnsi"/>
            <w:noProof/>
            <w:lang w:val="es-ES"/>
          </w:rPr>
          <w:t>8</w:t>
        </w:r>
        <w:r w:rsidRPr="004603C3">
          <w:rPr>
            <w:rFonts w:asciiTheme="majorHAnsi" w:hAnsiTheme="majorHAnsi"/>
          </w:rPr>
          <w:fldChar w:fldCharType="end"/>
        </w:r>
      </w:p>
    </w:sdtContent>
  </w:sdt>
  <w:p w14:paraId="6D99880D" w14:textId="77777777" w:rsidR="004603C3" w:rsidRPr="004603C3" w:rsidRDefault="004603C3">
    <w:pPr>
      <w:pStyle w:val="Footer"/>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1CB7E" w14:textId="77777777" w:rsidR="00370C1C" w:rsidRDefault="00370C1C" w:rsidP="004603C3">
      <w:pPr>
        <w:spacing w:after="0" w:line="240" w:lineRule="auto"/>
      </w:pPr>
      <w:r>
        <w:separator/>
      </w:r>
    </w:p>
  </w:footnote>
  <w:footnote w:type="continuationSeparator" w:id="0">
    <w:p w14:paraId="6A6D3FEA" w14:textId="77777777" w:rsidR="00370C1C" w:rsidRDefault="00370C1C" w:rsidP="00460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EBA"/>
    <w:multiLevelType w:val="hybridMultilevel"/>
    <w:tmpl w:val="EB50DC4A"/>
    <w:lvl w:ilvl="0" w:tplc="ABEC1556">
      <w:start w:val="1"/>
      <w:numFmt w:val="decimal"/>
      <w:lvlText w:val="%1."/>
      <w:lvlJc w:val="left"/>
      <w:pPr>
        <w:ind w:left="360" w:hanging="360"/>
      </w:pPr>
      <w:rPr>
        <w:rFonts w:ascii="Calibri Light" w:hAnsi="Calibri Light" w:hint="default"/>
        <w:b/>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 w15:restartNumberingAfterBreak="0">
    <w:nsid w:val="10E41C11"/>
    <w:multiLevelType w:val="hybridMultilevel"/>
    <w:tmpl w:val="F3AA6BC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3D81334F"/>
    <w:multiLevelType w:val="hybridMultilevel"/>
    <w:tmpl w:val="66322A9C"/>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E44"/>
    <w:rsid w:val="0000409F"/>
    <w:rsid w:val="00005E53"/>
    <w:rsid w:val="00007F2D"/>
    <w:rsid w:val="00015EDC"/>
    <w:rsid w:val="00044181"/>
    <w:rsid w:val="00051CB3"/>
    <w:rsid w:val="00070660"/>
    <w:rsid w:val="000751DC"/>
    <w:rsid w:val="0007787C"/>
    <w:rsid w:val="000979A3"/>
    <w:rsid w:val="000B074D"/>
    <w:rsid w:val="000B7CF0"/>
    <w:rsid w:val="000C3A77"/>
    <w:rsid w:val="000D03E8"/>
    <w:rsid w:val="000E1A08"/>
    <w:rsid w:val="000F5576"/>
    <w:rsid w:val="001075CE"/>
    <w:rsid w:val="00117F7E"/>
    <w:rsid w:val="00120110"/>
    <w:rsid w:val="0013343F"/>
    <w:rsid w:val="001355CF"/>
    <w:rsid w:val="00161A65"/>
    <w:rsid w:val="001657FC"/>
    <w:rsid w:val="001753E7"/>
    <w:rsid w:val="0018383E"/>
    <w:rsid w:val="00192C62"/>
    <w:rsid w:val="001B118D"/>
    <w:rsid w:val="001B597A"/>
    <w:rsid w:val="001E1DA3"/>
    <w:rsid w:val="001E25A5"/>
    <w:rsid w:val="001F5279"/>
    <w:rsid w:val="0021139E"/>
    <w:rsid w:val="00213EDA"/>
    <w:rsid w:val="002243A6"/>
    <w:rsid w:val="002259D0"/>
    <w:rsid w:val="002276B6"/>
    <w:rsid w:val="00256486"/>
    <w:rsid w:val="00260AAA"/>
    <w:rsid w:val="00260E47"/>
    <w:rsid w:val="00263BE0"/>
    <w:rsid w:val="00264EE3"/>
    <w:rsid w:val="00266B60"/>
    <w:rsid w:val="0027100C"/>
    <w:rsid w:val="002802CE"/>
    <w:rsid w:val="002806B6"/>
    <w:rsid w:val="0029282B"/>
    <w:rsid w:val="00292E35"/>
    <w:rsid w:val="00296DB2"/>
    <w:rsid w:val="002A159B"/>
    <w:rsid w:val="002A19F3"/>
    <w:rsid w:val="002A3822"/>
    <w:rsid w:val="002C26A1"/>
    <w:rsid w:val="002C43BD"/>
    <w:rsid w:val="002C5186"/>
    <w:rsid w:val="002C7327"/>
    <w:rsid w:val="002E7285"/>
    <w:rsid w:val="002E7FB1"/>
    <w:rsid w:val="002F1639"/>
    <w:rsid w:val="002F31C3"/>
    <w:rsid w:val="002F606D"/>
    <w:rsid w:val="003020E5"/>
    <w:rsid w:val="00314F86"/>
    <w:rsid w:val="0032482D"/>
    <w:rsid w:val="00327182"/>
    <w:rsid w:val="00337273"/>
    <w:rsid w:val="003540B4"/>
    <w:rsid w:val="003633A5"/>
    <w:rsid w:val="00370C1C"/>
    <w:rsid w:val="0038019F"/>
    <w:rsid w:val="00384E44"/>
    <w:rsid w:val="00385C0B"/>
    <w:rsid w:val="00386A00"/>
    <w:rsid w:val="00397C97"/>
    <w:rsid w:val="003B0C16"/>
    <w:rsid w:val="003B1DCB"/>
    <w:rsid w:val="003D52AD"/>
    <w:rsid w:val="003E0B73"/>
    <w:rsid w:val="003F168B"/>
    <w:rsid w:val="003F48F2"/>
    <w:rsid w:val="004009E8"/>
    <w:rsid w:val="00405376"/>
    <w:rsid w:val="00410C92"/>
    <w:rsid w:val="0042588B"/>
    <w:rsid w:val="00425EAA"/>
    <w:rsid w:val="0044562E"/>
    <w:rsid w:val="00446771"/>
    <w:rsid w:val="004526EB"/>
    <w:rsid w:val="00455DB5"/>
    <w:rsid w:val="004603C3"/>
    <w:rsid w:val="004607A9"/>
    <w:rsid w:val="00460EAB"/>
    <w:rsid w:val="00472CD4"/>
    <w:rsid w:val="00474EF4"/>
    <w:rsid w:val="00484D29"/>
    <w:rsid w:val="00490A9B"/>
    <w:rsid w:val="00491A88"/>
    <w:rsid w:val="00494EBB"/>
    <w:rsid w:val="004A67B0"/>
    <w:rsid w:val="004B5303"/>
    <w:rsid w:val="004C2972"/>
    <w:rsid w:val="004C7FF9"/>
    <w:rsid w:val="004D4F61"/>
    <w:rsid w:val="004D7014"/>
    <w:rsid w:val="00503547"/>
    <w:rsid w:val="00517CAB"/>
    <w:rsid w:val="00526129"/>
    <w:rsid w:val="0054527C"/>
    <w:rsid w:val="005454DC"/>
    <w:rsid w:val="005468D4"/>
    <w:rsid w:val="00553C70"/>
    <w:rsid w:val="00556BB2"/>
    <w:rsid w:val="00556F37"/>
    <w:rsid w:val="00560199"/>
    <w:rsid w:val="00561F36"/>
    <w:rsid w:val="00562D96"/>
    <w:rsid w:val="00572F58"/>
    <w:rsid w:val="00580649"/>
    <w:rsid w:val="0058065D"/>
    <w:rsid w:val="00583027"/>
    <w:rsid w:val="00594F2E"/>
    <w:rsid w:val="005A4B63"/>
    <w:rsid w:val="005A79CE"/>
    <w:rsid w:val="005C11B5"/>
    <w:rsid w:val="005E2EBC"/>
    <w:rsid w:val="005E5F33"/>
    <w:rsid w:val="005F16A3"/>
    <w:rsid w:val="00605BAA"/>
    <w:rsid w:val="00611C37"/>
    <w:rsid w:val="0061206C"/>
    <w:rsid w:val="00622B58"/>
    <w:rsid w:val="00630349"/>
    <w:rsid w:val="0064199D"/>
    <w:rsid w:val="006472BE"/>
    <w:rsid w:val="00652CCA"/>
    <w:rsid w:val="006532FA"/>
    <w:rsid w:val="006601FD"/>
    <w:rsid w:val="00673953"/>
    <w:rsid w:val="00673EB5"/>
    <w:rsid w:val="00693B30"/>
    <w:rsid w:val="00695C82"/>
    <w:rsid w:val="006D5ACA"/>
    <w:rsid w:val="006E3219"/>
    <w:rsid w:val="006F281F"/>
    <w:rsid w:val="006F5869"/>
    <w:rsid w:val="006F6F54"/>
    <w:rsid w:val="00714DD5"/>
    <w:rsid w:val="0072752D"/>
    <w:rsid w:val="00732994"/>
    <w:rsid w:val="00743CBE"/>
    <w:rsid w:val="00767D7D"/>
    <w:rsid w:val="007936DA"/>
    <w:rsid w:val="007A4915"/>
    <w:rsid w:val="007A4AA2"/>
    <w:rsid w:val="007A54D5"/>
    <w:rsid w:val="007C186C"/>
    <w:rsid w:val="007C6D51"/>
    <w:rsid w:val="007D1C89"/>
    <w:rsid w:val="007E144C"/>
    <w:rsid w:val="007E3853"/>
    <w:rsid w:val="007F575A"/>
    <w:rsid w:val="007F5883"/>
    <w:rsid w:val="00801723"/>
    <w:rsid w:val="0080362B"/>
    <w:rsid w:val="00803C4F"/>
    <w:rsid w:val="00805391"/>
    <w:rsid w:val="00815562"/>
    <w:rsid w:val="00825662"/>
    <w:rsid w:val="00826521"/>
    <w:rsid w:val="00830A89"/>
    <w:rsid w:val="008338AE"/>
    <w:rsid w:val="00844DD0"/>
    <w:rsid w:val="00850F37"/>
    <w:rsid w:val="00853C77"/>
    <w:rsid w:val="00855B59"/>
    <w:rsid w:val="00861516"/>
    <w:rsid w:val="00877291"/>
    <w:rsid w:val="008A3322"/>
    <w:rsid w:val="008B59E0"/>
    <w:rsid w:val="008C6F5C"/>
    <w:rsid w:val="008F18CC"/>
    <w:rsid w:val="00900F00"/>
    <w:rsid w:val="009014C3"/>
    <w:rsid w:val="00911743"/>
    <w:rsid w:val="009130BA"/>
    <w:rsid w:val="009131C3"/>
    <w:rsid w:val="0091467D"/>
    <w:rsid w:val="009166C5"/>
    <w:rsid w:val="0091703D"/>
    <w:rsid w:val="009352FD"/>
    <w:rsid w:val="0094634D"/>
    <w:rsid w:val="00946FA9"/>
    <w:rsid w:val="00955B70"/>
    <w:rsid w:val="00971ED5"/>
    <w:rsid w:val="009734BA"/>
    <w:rsid w:val="009738AE"/>
    <w:rsid w:val="00994C0C"/>
    <w:rsid w:val="009A425D"/>
    <w:rsid w:val="009B1F0F"/>
    <w:rsid w:val="009B7AFF"/>
    <w:rsid w:val="009C45DB"/>
    <w:rsid w:val="009E3980"/>
    <w:rsid w:val="009E4166"/>
    <w:rsid w:val="009E7AD3"/>
    <w:rsid w:val="00A1207E"/>
    <w:rsid w:val="00A2267C"/>
    <w:rsid w:val="00A25E48"/>
    <w:rsid w:val="00A308DA"/>
    <w:rsid w:val="00A30983"/>
    <w:rsid w:val="00A36658"/>
    <w:rsid w:val="00A5071D"/>
    <w:rsid w:val="00A73D50"/>
    <w:rsid w:val="00A84AD4"/>
    <w:rsid w:val="00A929AB"/>
    <w:rsid w:val="00AA068D"/>
    <w:rsid w:val="00AA3269"/>
    <w:rsid w:val="00AA5DBE"/>
    <w:rsid w:val="00AB0878"/>
    <w:rsid w:val="00AB6D5D"/>
    <w:rsid w:val="00AD4312"/>
    <w:rsid w:val="00AD5338"/>
    <w:rsid w:val="00AF5FC1"/>
    <w:rsid w:val="00B0299A"/>
    <w:rsid w:val="00B03E5A"/>
    <w:rsid w:val="00B1782A"/>
    <w:rsid w:val="00B30ECB"/>
    <w:rsid w:val="00B44D13"/>
    <w:rsid w:val="00B56346"/>
    <w:rsid w:val="00B61C94"/>
    <w:rsid w:val="00B77017"/>
    <w:rsid w:val="00BA5D20"/>
    <w:rsid w:val="00BE7FC5"/>
    <w:rsid w:val="00BF203E"/>
    <w:rsid w:val="00BF3804"/>
    <w:rsid w:val="00C16B73"/>
    <w:rsid w:val="00C37FF0"/>
    <w:rsid w:val="00C418A2"/>
    <w:rsid w:val="00C451DD"/>
    <w:rsid w:val="00C51120"/>
    <w:rsid w:val="00C5383B"/>
    <w:rsid w:val="00C55011"/>
    <w:rsid w:val="00C641FE"/>
    <w:rsid w:val="00C766E3"/>
    <w:rsid w:val="00CC174C"/>
    <w:rsid w:val="00CC55C9"/>
    <w:rsid w:val="00CD2D16"/>
    <w:rsid w:val="00CE6CB3"/>
    <w:rsid w:val="00CF7498"/>
    <w:rsid w:val="00D00362"/>
    <w:rsid w:val="00D10E95"/>
    <w:rsid w:val="00D13C40"/>
    <w:rsid w:val="00D14ADA"/>
    <w:rsid w:val="00D15828"/>
    <w:rsid w:val="00D26DE4"/>
    <w:rsid w:val="00D35D26"/>
    <w:rsid w:val="00D401B8"/>
    <w:rsid w:val="00D44C10"/>
    <w:rsid w:val="00D45524"/>
    <w:rsid w:val="00D4723A"/>
    <w:rsid w:val="00D5434D"/>
    <w:rsid w:val="00D6509A"/>
    <w:rsid w:val="00D74118"/>
    <w:rsid w:val="00D80CF6"/>
    <w:rsid w:val="00D85140"/>
    <w:rsid w:val="00D9653C"/>
    <w:rsid w:val="00DA2B7A"/>
    <w:rsid w:val="00DA2C35"/>
    <w:rsid w:val="00DA4A65"/>
    <w:rsid w:val="00DC13F9"/>
    <w:rsid w:val="00DC6669"/>
    <w:rsid w:val="00DD03F8"/>
    <w:rsid w:val="00DD6FEF"/>
    <w:rsid w:val="00DF02B7"/>
    <w:rsid w:val="00DF0DE6"/>
    <w:rsid w:val="00DF48E5"/>
    <w:rsid w:val="00E04AE6"/>
    <w:rsid w:val="00E21350"/>
    <w:rsid w:val="00E351F1"/>
    <w:rsid w:val="00E42321"/>
    <w:rsid w:val="00E45403"/>
    <w:rsid w:val="00E458F0"/>
    <w:rsid w:val="00E4598B"/>
    <w:rsid w:val="00E52767"/>
    <w:rsid w:val="00E63FA7"/>
    <w:rsid w:val="00E7024F"/>
    <w:rsid w:val="00E74B42"/>
    <w:rsid w:val="00E831A5"/>
    <w:rsid w:val="00E83579"/>
    <w:rsid w:val="00E86010"/>
    <w:rsid w:val="00E86CA5"/>
    <w:rsid w:val="00E92783"/>
    <w:rsid w:val="00E96EE0"/>
    <w:rsid w:val="00EA5127"/>
    <w:rsid w:val="00EC5794"/>
    <w:rsid w:val="00ED0D98"/>
    <w:rsid w:val="00ED7D61"/>
    <w:rsid w:val="00EE2E77"/>
    <w:rsid w:val="00EE4DC3"/>
    <w:rsid w:val="00EF656C"/>
    <w:rsid w:val="00EF761C"/>
    <w:rsid w:val="00F05140"/>
    <w:rsid w:val="00F05497"/>
    <w:rsid w:val="00F32BCA"/>
    <w:rsid w:val="00F40E1B"/>
    <w:rsid w:val="00F514AD"/>
    <w:rsid w:val="00F51566"/>
    <w:rsid w:val="00F52FBA"/>
    <w:rsid w:val="00F65717"/>
    <w:rsid w:val="00F757AA"/>
    <w:rsid w:val="00F805AF"/>
    <w:rsid w:val="00FB0B80"/>
    <w:rsid w:val="00FD0A90"/>
    <w:rsid w:val="00FE12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E44"/>
    <w:pPr>
      <w:spacing w:after="200" w:line="276" w:lineRule="auto"/>
    </w:pPr>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E44"/>
    <w:rPr>
      <w:color w:val="0563C1" w:themeColor="hyperlink"/>
      <w:u w:val="single"/>
    </w:rPr>
  </w:style>
  <w:style w:type="paragraph" w:styleId="Header">
    <w:name w:val="header"/>
    <w:basedOn w:val="Normal"/>
    <w:link w:val="HeaderChar"/>
    <w:uiPriority w:val="99"/>
    <w:unhideWhenUsed/>
    <w:rsid w:val="00384E44"/>
    <w:pPr>
      <w:tabs>
        <w:tab w:val="center" w:pos="4419"/>
        <w:tab w:val="right" w:pos="8838"/>
      </w:tabs>
      <w:spacing w:after="0" w:line="240" w:lineRule="auto"/>
    </w:pPr>
  </w:style>
  <w:style w:type="character" w:customStyle="1" w:styleId="HeaderChar">
    <w:name w:val="Header Char"/>
    <w:basedOn w:val="DefaultParagraphFont"/>
    <w:link w:val="Header"/>
    <w:uiPriority w:val="99"/>
    <w:rsid w:val="00384E44"/>
    <w:rPr>
      <w:rFonts w:ascii="Calibri" w:eastAsia="Calibri" w:hAnsi="Calibri" w:cs="Times New Roman"/>
      <w:lang w:val="es-MX"/>
    </w:rPr>
  </w:style>
  <w:style w:type="paragraph" w:styleId="ListParagraph">
    <w:name w:val="List Paragraph"/>
    <w:basedOn w:val="Normal"/>
    <w:uiPriority w:val="34"/>
    <w:qFormat/>
    <w:rsid w:val="00384E44"/>
    <w:pPr>
      <w:ind w:left="720"/>
      <w:contextualSpacing/>
    </w:pPr>
  </w:style>
  <w:style w:type="table" w:customStyle="1" w:styleId="Tabladelista2-nfasis11">
    <w:name w:val="Tabla de lista 2 - Énfasis 11"/>
    <w:basedOn w:val="TableNormal"/>
    <w:uiPriority w:val="47"/>
    <w:rsid w:val="00384E44"/>
    <w:pPr>
      <w:spacing w:after="0" w:line="240" w:lineRule="auto"/>
    </w:p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3D52AD"/>
    <w:rPr>
      <w:sz w:val="16"/>
      <w:szCs w:val="16"/>
    </w:rPr>
  </w:style>
  <w:style w:type="paragraph" w:styleId="CommentText">
    <w:name w:val="annotation text"/>
    <w:basedOn w:val="Normal"/>
    <w:link w:val="CommentTextChar"/>
    <w:uiPriority w:val="99"/>
    <w:semiHidden/>
    <w:unhideWhenUsed/>
    <w:rsid w:val="003D52AD"/>
    <w:pPr>
      <w:spacing w:line="240" w:lineRule="auto"/>
    </w:pPr>
    <w:rPr>
      <w:sz w:val="20"/>
      <w:szCs w:val="20"/>
    </w:rPr>
  </w:style>
  <w:style w:type="character" w:customStyle="1" w:styleId="CommentTextChar">
    <w:name w:val="Comment Text Char"/>
    <w:basedOn w:val="DefaultParagraphFont"/>
    <w:link w:val="CommentText"/>
    <w:uiPriority w:val="99"/>
    <w:semiHidden/>
    <w:rsid w:val="003D52AD"/>
    <w:rPr>
      <w:rFonts w:ascii="Calibri" w:eastAsia="Calibri" w:hAnsi="Calibri" w:cs="Times New Roman"/>
      <w:sz w:val="20"/>
      <w:szCs w:val="20"/>
      <w:lang w:val="es-MX"/>
    </w:rPr>
  </w:style>
  <w:style w:type="character" w:styleId="FollowedHyperlink">
    <w:name w:val="FollowedHyperlink"/>
    <w:basedOn w:val="DefaultParagraphFont"/>
    <w:uiPriority w:val="99"/>
    <w:semiHidden/>
    <w:unhideWhenUsed/>
    <w:rsid w:val="003633A5"/>
    <w:rPr>
      <w:color w:val="954F72" w:themeColor="followedHyperlink"/>
      <w:u w:val="single"/>
    </w:rPr>
  </w:style>
  <w:style w:type="paragraph" w:styleId="BalloonText">
    <w:name w:val="Balloon Text"/>
    <w:basedOn w:val="Normal"/>
    <w:link w:val="BalloonTextChar"/>
    <w:uiPriority w:val="99"/>
    <w:semiHidden/>
    <w:unhideWhenUsed/>
    <w:rsid w:val="00363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3A5"/>
    <w:rPr>
      <w:rFonts w:ascii="Segoe UI" w:eastAsia="Calibri" w:hAnsi="Segoe UI" w:cs="Segoe UI"/>
      <w:sz w:val="18"/>
      <w:szCs w:val="18"/>
      <w:lang w:val="es-MX"/>
    </w:rPr>
  </w:style>
  <w:style w:type="paragraph" w:styleId="CommentSubject">
    <w:name w:val="annotation subject"/>
    <w:basedOn w:val="CommentText"/>
    <w:next w:val="CommentText"/>
    <w:link w:val="CommentSubjectChar"/>
    <w:uiPriority w:val="99"/>
    <w:semiHidden/>
    <w:unhideWhenUsed/>
    <w:rsid w:val="00526129"/>
    <w:rPr>
      <w:b/>
      <w:bCs/>
    </w:rPr>
  </w:style>
  <w:style w:type="character" w:customStyle="1" w:styleId="CommentSubjectChar">
    <w:name w:val="Comment Subject Char"/>
    <w:basedOn w:val="CommentTextChar"/>
    <w:link w:val="CommentSubject"/>
    <w:uiPriority w:val="99"/>
    <w:semiHidden/>
    <w:rsid w:val="00526129"/>
    <w:rPr>
      <w:rFonts w:ascii="Calibri" w:eastAsia="Calibri" w:hAnsi="Calibri" w:cs="Times New Roman"/>
      <w:b/>
      <w:bCs/>
      <w:sz w:val="20"/>
      <w:szCs w:val="20"/>
      <w:lang w:val="es-MX"/>
    </w:rPr>
  </w:style>
  <w:style w:type="paragraph" w:styleId="Footer">
    <w:name w:val="footer"/>
    <w:basedOn w:val="Normal"/>
    <w:link w:val="FooterChar"/>
    <w:uiPriority w:val="99"/>
    <w:unhideWhenUsed/>
    <w:rsid w:val="004603C3"/>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03C3"/>
    <w:rPr>
      <w:rFonts w:ascii="Calibri" w:eastAsia="Calibri" w:hAnsi="Calibri" w:cs="Times New Roman"/>
      <w:lang w:val="es-MX"/>
    </w:rPr>
  </w:style>
  <w:style w:type="character" w:styleId="UnresolvedMention">
    <w:name w:val="Unresolved Mention"/>
    <w:basedOn w:val="DefaultParagraphFont"/>
    <w:uiPriority w:val="99"/>
    <w:semiHidden/>
    <w:unhideWhenUsed/>
    <w:rsid w:val="002A3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dh.oas.org/annualrep/2006sp/Argentina12094sp.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8/12094Fondo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s://www.corteidh.or.cr/docs/casos/articulos/seriec_400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48A53-04BC-4EF7-8B66-EDA6ED00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3857</Words>
  <Characters>21990</Characters>
  <Application>Microsoft Office Word</Application>
  <DocSecurity>0</DocSecurity>
  <Lines>183</Lines>
  <Paragraphs>51</Paragraphs>
  <ScaleCrop>false</ScaleCrop>
  <Company/>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2021-02-11T09:48:00Z</dcterms:created>
  <dcterms:modified xsi:type="dcterms:W3CDTF">2021-02-11T09:48:00Z</dcterms:modified>
</cp:coreProperties>
</file>