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C6424" w14:textId="77777777" w:rsidR="00323578" w:rsidRDefault="00323578" w:rsidP="00323578">
      <w:pPr>
        <w:pStyle w:val="Header"/>
        <w:jc w:val="center"/>
        <w:rPr>
          <w:rFonts w:ascii="Calibri Light" w:hAnsi="Calibri Light"/>
          <w:lang w:val="es-PE"/>
        </w:rPr>
      </w:pPr>
      <w:r w:rsidRPr="00C80A19">
        <w:rPr>
          <w:rFonts w:ascii="Calibri Light" w:hAnsi="Calibri Light"/>
          <w:noProof/>
          <w:lang w:val="es-PE"/>
        </w:rPr>
        <w:drawing>
          <wp:anchor distT="0" distB="0" distL="114300" distR="114300" simplePos="0" relativeHeight="251661312" behindDoc="1" locked="0" layoutInCell="1" allowOverlap="1" wp14:anchorId="268FF7D0" wp14:editId="7C22B981">
            <wp:simplePos x="0" y="0"/>
            <wp:positionH relativeFrom="margin">
              <wp:posOffset>4020820</wp:posOffset>
            </wp:positionH>
            <wp:positionV relativeFrom="margin">
              <wp:posOffset>-271145</wp:posOffset>
            </wp:positionV>
            <wp:extent cx="1849755" cy="789940"/>
            <wp:effectExtent l="0" t="0" r="4445" b="0"/>
            <wp:wrapTight wrapText="bothSides">
              <wp:wrapPolygon edited="0">
                <wp:start x="0" y="0"/>
                <wp:lineTo x="0" y="21183"/>
                <wp:lineTo x="21504" y="21183"/>
                <wp:lineTo x="21504" y="0"/>
                <wp:lineTo x="0" y="0"/>
              </wp:wrapPolygon>
            </wp:wrapTight>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8" r:link="rId9" cstate="print">
                      <a:extLst>
                        <a:ext uri="{28A0092B-C50C-407E-A947-70E740481C1C}">
                          <a14:useLocalDpi xmlns:a14="http://schemas.microsoft.com/office/drawing/2010/main" val="0"/>
                        </a:ext>
                      </a:extLst>
                    </a:blip>
                    <a:srcRect l="5442" t="27352" r="6449" b="25571"/>
                    <a:stretch/>
                  </pic:blipFill>
                  <pic:spPr bwMode="auto">
                    <a:xfrm>
                      <a:off x="0" y="0"/>
                      <a:ext cx="184975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60288" behindDoc="1" locked="0" layoutInCell="1" allowOverlap="1" wp14:anchorId="5B338CFD" wp14:editId="63B49AF4">
            <wp:simplePos x="0" y="0"/>
            <wp:positionH relativeFrom="column">
              <wp:posOffset>1399540</wp:posOffset>
            </wp:positionH>
            <wp:positionV relativeFrom="paragraph">
              <wp:posOffset>-107950</wp:posOffset>
            </wp:positionV>
            <wp:extent cx="2564130" cy="626110"/>
            <wp:effectExtent l="0" t="0" r="1270" b="0"/>
            <wp:wrapTight wrapText="bothSides">
              <wp:wrapPolygon edited="0">
                <wp:start x="1605" y="2629"/>
                <wp:lineTo x="1070" y="5258"/>
                <wp:lineTo x="642" y="7886"/>
                <wp:lineTo x="642" y="11830"/>
                <wp:lineTo x="1284" y="17087"/>
                <wp:lineTo x="1498" y="17963"/>
                <wp:lineTo x="21397" y="17963"/>
                <wp:lineTo x="21504" y="16649"/>
                <wp:lineTo x="21183" y="9639"/>
                <wp:lineTo x="15406" y="2629"/>
                <wp:lineTo x="1605" y="262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a:srcRect r="3349"/>
                    <a:stretch/>
                  </pic:blipFill>
                  <pic:spPr bwMode="auto">
                    <a:xfrm>
                      <a:off x="0" y="0"/>
                      <a:ext cx="256413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59264" behindDoc="1" locked="0" layoutInCell="1" allowOverlap="1" wp14:anchorId="22A962B3" wp14:editId="573C419F">
            <wp:simplePos x="0" y="0"/>
            <wp:positionH relativeFrom="column">
              <wp:posOffset>-407474</wp:posOffset>
            </wp:positionH>
            <wp:positionV relativeFrom="paragraph">
              <wp:posOffset>-200514</wp:posOffset>
            </wp:positionV>
            <wp:extent cx="1735455" cy="727710"/>
            <wp:effectExtent l="0" t="0" r="0" b="0"/>
            <wp:wrapTight wrapText="bothSides">
              <wp:wrapPolygon edited="0">
                <wp:start x="316" y="754"/>
                <wp:lineTo x="316" y="18094"/>
                <wp:lineTo x="632" y="19602"/>
                <wp:lineTo x="1739" y="20356"/>
                <wp:lineTo x="13436" y="20356"/>
                <wp:lineTo x="21181" y="19602"/>
                <wp:lineTo x="21339" y="14325"/>
                <wp:lineTo x="20075" y="13571"/>
                <wp:lineTo x="21181" y="10178"/>
                <wp:lineTo x="21181" y="7539"/>
                <wp:lineTo x="18652" y="3393"/>
                <wp:lineTo x="17546" y="754"/>
                <wp:lineTo x="316" y="75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1"/>
                    <a:srcRect l="11357" t="20875" r="13129" b="18785"/>
                    <a:stretch/>
                  </pic:blipFill>
                  <pic:spPr bwMode="auto">
                    <a:xfrm>
                      <a:off x="0" y="0"/>
                      <a:ext cx="173545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0A9B88" w14:textId="77777777" w:rsidR="00323578" w:rsidRPr="00411A74" w:rsidRDefault="00323578" w:rsidP="00323578">
      <w:pPr>
        <w:pStyle w:val="Header"/>
        <w:jc w:val="center"/>
        <w:rPr>
          <w:rFonts w:ascii="Calibri Light" w:hAnsi="Calibri Light"/>
          <w:lang w:val="es-PE"/>
        </w:rPr>
      </w:pPr>
      <w:r w:rsidRPr="00411A74">
        <w:rPr>
          <w:rFonts w:ascii="Calibri Light" w:hAnsi="Calibri Light"/>
          <w:lang w:val="es-PE"/>
        </w:rPr>
        <w:t>Difundiendo los estándares para la protección de los DDHH de la CIDH</w:t>
      </w:r>
    </w:p>
    <w:p w14:paraId="1DFDA42C" w14:textId="77777777" w:rsidR="00323578" w:rsidRDefault="00323578" w:rsidP="00323578">
      <w:pPr>
        <w:spacing w:after="0" w:line="240" w:lineRule="auto"/>
        <w:jc w:val="center"/>
        <w:outlineLvl w:val="0"/>
        <w:rPr>
          <w:rFonts w:ascii="Calibri Light" w:hAnsi="Calibri Light"/>
          <w:b/>
          <w:i/>
          <w:lang w:val="es-PE"/>
        </w:rPr>
      </w:pPr>
      <w:r>
        <w:rPr>
          <w:rFonts w:ascii="Calibri Light" w:hAnsi="Calibri Light"/>
          <w:b/>
          <w:i/>
          <w:lang w:val="es-PE"/>
        </w:rPr>
        <w:t>Ficha de R</w:t>
      </w:r>
      <w:r w:rsidRPr="00411A74">
        <w:rPr>
          <w:rFonts w:ascii="Calibri Light" w:hAnsi="Calibri Light"/>
          <w:b/>
          <w:i/>
          <w:lang w:val="es-PE"/>
        </w:rPr>
        <w:t xml:space="preserve">esumen </w:t>
      </w:r>
    </w:p>
    <w:p w14:paraId="7708DAA4" w14:textId="77777777" w:rsidR="002A412F" w:rsidRPr="002A412F" w:rsidRDefault="002A412F" w:rsidP="00B405DF">
      <w:pPr>
        <w:spacing w:after="0"/>
        <w:jc w:val="center"/>
        <w:rPr>
          <w:rFonts w:asciiTheme="majorHAnsi" w:hAnsiTheme="majorHAnsi"/>
          <w:lang w:val="es-PE"/>
        </w:rPr>
      </w:pPr>
    </w:p>
    <w:tbl>
      <w:tblPr>
        <w:tblStyle w:val="Tabladelista2-nfasis11"/>
        <w:tblW w:w="0" w:type="auto"/>
        <w:tblInd w:w="0" w:type="dxa"/>
        <w:tblLook w:val="04A0" w:firstRow="1" w:lastRow="0" w:firstColumn="1" w:lastColumn="0" w:noHBand="0" w:noVBand="1"/>
      </w:tblPr>
      <w:tblGrid>
        <w:gridCol w:w="3586"/>
        <w:gridCol w:w="2343"/>
        <w:gridCol w:w="2575"/>
      </w:tblGrid>
      <w:tr w:rsidR="000C6C4F" w:rsidRPr="002A412F" w14:paraId="0088ED06" w14:textId="77777777" w:rsidTr="002B4DA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2E5" w:themeColor="accent1" w:themeTint="99"/>
              <w:left w:val="nil"/>
              <w:bottom w:val="single" w:sz="4" w:space="0" w:color="9CC2E5" w:themeColor="accent1" w:themeTint="99"/>
              <w:right w:val="nil"/>
            </w:tcBorders>
            <w:vAlign w:val="center"/>
          </w:tcPr>
          <w:p w14:paraId="37563055" w14:textId="77777777" w:rsidR="000C6C4F" w:rsidRPr="002A412F" w:rsidRDefault="000C6C4F" w:rsidP="002B4DA1">
            <w:pPr>
              <w:pStyle w:val="ListParagraph"/>
              <w:numPr>
                <w:ilvl w:val="0"/>
                <w:numId w:val="1"/>
              </w:numPr>
              <w:spacing w:after="0" w:line="240" w:lineRule="auto"/>
              <w:jc w:val="center"/>
              <w:rPr>
                <w:rFonts w:asciiTheme="majorHAnsi" w:hAnsiTheme="majorHAnsi"/>
              </w:rPr>
            </w:pPr>
            <w:r w:rsidRPr="002A412F">
              <w:rPr>
                <w:rFonts w:asciiTheme="majorHAnsi" w:hAnsiTheme="majorHAnsi"/>
              </w:rPr>
              <w:t>Datos generales</w:t>
            </w:r>
          </w:p>
        </w:tc>
      </w:tr>
      <w:tr w:rsidR="000C6C4F" w:rsidRPr="002A412F" w14:paraId="2482B326" w14:textId="77777777" w:rsidTr="00894D87">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586" w:type="dxa"/>
            <w:tcBorders>
              <w:top w:val="single" w:sz="4" w:space="0" w:color="9CC2E5" w:themeColor="accent1" w:themeTint="99"/>
              <w:left w:val="nil"/>
              <w:bottom w:val="single" w:sz="4" w:space="0" w:color="9CC2E5" w:themeColor="accent1" w:themeTint="99"/>
              <w:right w:val="nil"/>
            </w:tcBorders>
            <w:hideMark/>
          </w:tcPr>
          <w:p w14:paraId="1FF99EE0" w14:textId="77777777" w:rsidR="000C6C4F" w:rsidRPr="002A412F" w:rsidRDefault="000C6C4F" w:rsidP="00894D87">
            <w:pPr>
              <w:pStyle w:val="ListParagraph"/>
              <w:numPr>
                <w:ilvl w:val="0"/>
                <w:numId w:val="2"/>
              </w:numPr>
              <w:spacing w:after="0" w:line="240" w:lineRule="auto"/>
              <w:rPr>
                <w:rFonts w:asciiTheme="majorHAnsi" w:hAnsiTheme="majorHAnsi"/>
              </w:rPr>
            </w:pPr>
            <w:r w:rsidRPr="002A412F">
              <w:rPr>
                <w:rFonts w:asciiTheme="majorHAnsi" w:hAnsiTheme="majorHAnsi"/>
              </w:rPr>
              <w:t>Nombre del caso</w:t>
            </w:r>
          </w:p>
        </w:tc>
        <w:tc>
          <w:tcPr>
            <w:tcW w:w="4918" w:type="dxa"/>
            <w:gridSpan w:val="2"/>
            <w:tcBorders>
              <w:top w:val="single" w:sz="4" w:space="0" w:color="9CC2E5" w:themeColor="accent1" w:themeTint="99"/>
              <w:left w:val="nil"/>
              <w:bottom w:val="single" w:sz="4" w:space="0" w:color="9CC2E5" w:themeColor="accent1" w:themeTint="99"/>
              <w:right w:val="nil"/>
            </w:tcBorders>
          </w:tcPr>
          <w:p w14:paraId="4650CAD9" w14:textId="77777777" w:rsidR="000C6C4F" w:rsidRPr="002A412F" w:rsidRDefault="008B786F" w:rsidP="00894D8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A412F">
              <w:rPr>
                <w:rFonts w:asciiTheme="majorHAnsi" w:hAnsiTheme="majorHAnsi"/>
              </w:rPr>
              <w:t>José Luis Hernández, Argentina</w:t>
            </w:r>
          </w:p>
        </w:tc>
      </w:tr>
      <w:tr w:rsidR="000C6C4F" w:rsidRPr="002A412F" w14:paraId="4804E350" w14:textId="77777777" w:rsidTr="00894D87">
        <w:trPr>
          <w:trHeight w:val="263"/>
        </w:trPr>
        <w:tc>
          <w:tcPr>
            <w:cnfStyle w:val="001000000000" w:firstRow="0" w:lastRow="0" w:firstColumn="1" w:lastColumn="0" w:oddVBand="0" w:evenVBand="0" w:oddHBand="0" w:evenHBand="0" w:firstRowFirstColumn="0" w:firstRowLastColumn="0" w:lastRowFirstColumn="0" w:lastRowLastColumn="0"/>
            <w:tcW w:w="3586" w:type="dxa"/>
            <w:tcBorders>
              <w:top w:val="single" w:sz="4" w:space="0" w:color="9CC2E5" w:themeColor="accent1" w:themeTint="99"/>
              <w:left w:val="nil"/>
              <w:bottom w:val="single" w:sz="4" w:space="0" w:color="9CC2E5" w:themeColor="accent1" w:themeTint="99"/>
              <w:right w:val="nil"/>
            </w:tcBorders>
            <w:hideMark/>
          </w:tcPr>
          <w:p w14:paraId="451F7F89" w14:textId="1EB4F7E2" w:rsidR="000C6C4F" w:rsidRPr="002A412F" w:rsidRDefault="007A1424" w:rsidP="00894D87">
            <w:pPr>
              <w:pStyle w:val="ListParagraph"/>
              <w:numPr>
                <w:ilvl w:val="0"/>
                <w:numId w:val="2"/>
              </w:numPr>
              <w:spacing w:after="0" w:line="240" w:lineRule="auto"/>
              <w:rPr>
                <w:rFonts w:asciiTheme="majorHAnsi" w:hAnsiTheme="majorHAnsi"/>
              </w:rPr>
            </w:pPr>
            <w:r>
              <w:rPr>
                <w:rFonts w:asciiTheme="majorHAnsi" w:hAnsiTheme="majorHAnsi"/>
              </w:rPr>
              <w:t>P</w:t>
            </w:r>
            <w:r w:rsidR="000C6C4F" w:rsidRPr="002A412F">
              <w:rPr>
                <w:rFonts w:asciiTheme="majorHAnsi" w:hAnsiTheme="majorHAnsi"/>
              </w:rPr>
              <w:t>arte peticionaria</w:t>
            </w:r>
          </w:p>
        </w:tc>
        <w:tc>
          <w:tcPr>
            <w:tcW w:w="4918" w:type="dxa"/>
            <w:gridSpan w:val="2"/>
            <w:tcBorders>
              <w:top w:val="single" w:sz="4" w:space="0" w:color="9CC2E5" w:themeColor="accent1" w:themeTint="99"/>
              <w:left w:val="nil"/>
              <w:bottom w:val="single" w:sz="4" w:space="0" w:color="9CC2E5" w:themeColor="accent1" w:themeTint="99"/>
              <w:right w:val="nil"/>
            </w:tcBorders>
          </w:tcPr>
          <w:p w14:paraId="2B571D1E" w14:textId="26752493" w:rsidR="008B786F" w:rsidRPr="002A412F" w:rsidRDefault="008B786F" w:rsidP="00894D8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2A412F">
              <w:rPr>
                <w:rFonts w:asciiTheme="majorHAnsi" w:hAnsiTheme="majorHAnsi"/>
              </w:rPr>
              <w:t>Ciro V. Annicchiarico</w:t>
            </w:r>
            <w:r w:rsidR="002A412F" w:rsidRPr="002A412F">
              <w:rPr>
                <w:rFonts w:asciiTheme="majorHAnsi" w:hAnsiTheme="majorHAnsi"/>
              </w:rPr>
              <w:t xml:space="preserve">, </w:t>
            </w:r>
            <w:r w:rsidRPr="002A412F">
              <w:rPr>
                <w:rFonts w:asciiTheme="majorHAnsi" w:hAnsiTheme="majorHAnsi"/>
              </w:rPr>
              <w:t>Tomás Ojea Quintana</w:t>
            </w:r>
            <w:r w:rsidR="002A412F" w:rsidRPr="002A412F">
              <w:rPr>
                <w:rFonts w:asciiTheme="majorHAnsi" w:hAnsiTheme="majorHAnsi"/>
              </w:rPr>
              <w:t xml:space="preserve">, </w:t>
            </w:r>
            <w:r w:rsidRPr="002A412F">
              <w:rPr>
                <w:rFonts w:asciiTheme="majorHAnsi" w:hAnsiTheme="majorHAnsi"/>
              </w:rPr>
              <w:t>Rodolfo Ojea Quintana</w:t>
            </w:r>
          </w:p>
        </w:tc>
      </w:tr>
      <w:tr w:rsidR="000C6C4F" w:rsidRPr="002A412F" w14:paraId="3EAAE0B3" w14:textId="77777777" w:rsidTr="00894D8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586" w:type="dxa"/>
            <w:tcBorders>
              <w:top w:val="single" w:sz="4" w:space="0" w:color="9CC2E5" w:themeColor="accent1" w:themeTint="99"/>
              <w:left w:val="nil"/>
              <w:bottom w:val="single" w:sz="4" w:space="0" w:color="9CC2E5" w:themeColor="accent1" w:themeTint="99"/>
              <w:right w:val="nil"/>
            </w:tcBorders>
            <w:hideMark/>
          </w:tcPr>
          <w:p w14:paraId="7E913E9D" w14:textId="77777777" w:rsidR="000C6C4F" w:rsidRPr="002A412F" w:rsidRDefault="000C6C4F" w:rsidP="00894D87">
            <w:pPr>
              <w:pStyle w:val="ListParagraph"/>
              <w:numPr>
                <w:ilvl w:val="0"/>
                <w:numId w:val="2"/>
              </w:numPr>
              <w:spacing w:after="0" w:line="240" w:lineRule="auto"/>
              <w:rPr>
                <w:rFonts w:asciiTheme="majorHAnsi" w:hAnsiTheme="majorHAnsi"/>
              </w:rPr>
            </w:pPr>
            <w:r w:rsidRPr="002A412F">
              <w:rPr>
                <w:rFonts w:asciiTheme="majorHAnsi" w:hAnsiTheme="majorHAnsi"/>
              </w:rPr>
              <w:t xml:space="preserve">Número de Informe </w:t>
            </w:r>
          </w:p>
        </w:tc>
        <w:tc>
          <w:tcPr>
            <w:tcW w:w="4918" w:type="dxa"/>
            <w:gridSpan w:val="2"/>
            <w:tcBorders>
              <w:top w:val="single" w:sz="4" w:space="0" w:color="9CC2E5" w:themeColor="accent1" w:themeTint="99"/>
              <w:left w:val="nil"/>
              <w:bottom w:val="single" w:sz="4" w:space="0" w:color="9CC2E5" w:themeColor="accent1" w:themeTint="99"/>
              <w:right w:val="nil"/>
            </w:tcBorders>
          </w:tcPr>
          <w:p w14:paraId="251C02F9" w14:textId="77777777" w:rsidR="000C6C4F" w:rsidRPr="002A412F" w:rsidRDefault="001C6E11" w:rsidP="00894D8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olor w:val="0000FF"/>
              </w:rPr>
            </w:pPr>
            <w:hyperlink r:id="rId12" w:history="1">
              <w:r w:rsidR="008B786F" w:rsidRPr="002A412F">
                <w:rPr>
                  <w:rStyle w:val="Hyperlink"/>
                  <w:rFonts w:asciiTheme="majorHAnsi" w:hAnsiTheme="majorHAnsi"/>
                  <w:color w:val="0000FF"/>
                </w:rPr>
                <w:t>Informe No. 96/17</w:t>
              </w:r>
            </w:hyperlink>
          </w:p>
        </w:tc>
      </w:tr>
      <w:tr w:rsidR="000C6C4F" w:rsidRPr="002A412F" w14:paraId="2E34075A" w14:textId="77777777" w:rsidTr="002A412F">
        <w:trPr>
          <w:trHeight w:val="245"/>
        </w:trPr>
        <w:tc>
          <w:tcPr>
            <w:cnfStyle w:val="001000000000" w:firstRow="0" w:lastRow="0" w:firstColumn="1" w:lastColumn="0" w:oddVBand="0" w:evenVBand="0" w:oddHBand="0" w:evenHBand="0" w:firstRowFirstColumn="0" w:firstRowLastColumn="0" w:lastRowFirstColumn="0" w:lastRowLastColumn="0"/>
            <w:tcW w:w="3586" w:type="dxa"/>
            <w:tcBorders>
              <w:top w:val="single" w:sz="4" w:space="0" w:color="9CC2E5" w:themeColor="accent1" w:themeTint="99"/>
              <w:left w:val="nil"/>
              <w:bottom w:val="single" w:sz="4" w:space="0" w:color="9CC2E5" w:themeColor="accent1" w:themeTint="99"/>
              <w:right w:val="nil"/>
            </w:tcBorders>
            <w:hideMark/>
          </w:tcPr>
          <w:p w14:paraId="3C7B0F7D" w14:textId="77777777" w:rsidR="000C6C4F" w:rsidRPr="002A412F" w:rsidRDefault="000C6C4F" w:rsidP="00894D87">
            <w:pPr>
              <w:pStyle w:val="ListParagraph"/>
              <w:numPr>
                <w:ilvl w:val="0"/>
                <w:numId w:val="2"/>
              </w:numPr>
              <w:spacing w:after="0" w:line="240" w:lineRule="auto"/>
              <w:rPr>
                <w:rFonts w:asciiTheme="majorHAnsi" w:hAnsiTheme="majorHAnsi"/>
              </w:rPr>
            </w:pPr>
            <w:r w:rsidRPr="002A412F">
              <w:rPr>
                <w:rFonts w:asciiTheme="majorHAnsi" w:hAnsiTheme="majorHAnsi"/>
              </w:rPr>
              <w:t xml:space="preserve">Tipo de informe </w:t>
            </w:r>
          </w:p>
        </w:tc>
        <w:tc>
          <w:tcPr>
            <w:tcW w:w="4918" w:type="dxa"/>
            <w:gridSpan w:val="2"/>
            <w:tcBorders>
              <w:top w:val="single" w:sz="4" w:space="0" w:color="9CC2E5" w:themeColor="accent1" w:themeTint="99"/>
              <w:left w:val="nil"/>
              <w:bottom w:val="single" w:sz="4" w:space="0" w:color="9CC2E5" w:themeColor="accent1" w:themeTint="99"/>
              <w:right w:val="nil"/>
            </w:tcBorders>
            <w:vAlign w:val="center"/>
          </w:tcPr>
          <w:p w14:paraId="580E0DCB" w14:textId="77777777" w:rsidR="000C6C4F" w:rsidRPr="002A412F" w:rsidRDefault="008B786F" w:rsidP="00894D8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2A412F">
              <w:rPr>
                <w:rFonts w:asciiTheme="majorHAnsi" w:hAnsiTheme="majorHAnsi"/>
              </w:rPr>
              <w:t>Informe de Fondo (Caso en la Corte IDH)</w:t>
            </w:r>
          </w:p>
        </w:tc>
      </w:tr>
      <w:tr w:rsidR="000C6C4F" w:rsidRPr="002A412F" w14:paraId="3B990C41" w14:textId="77777777" w:rsidTr="002A412F">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3586" w:type="dxa"/>
            <w:tcBorders>
              <w:top w:val="single" w:sz="4" w:space="0" w:color="9CC2E5" w:themeColor="accent1" w:themeTint="99"/>
              <w:left w:val="nil"/>
              <w:bottom w:val="single" w:sz="4" w:space="0" w:color="9CC2E5" w:themeColor="accent1" w:themeTint="99"/>
              <w:right w:val="nil"/>
            </w:tcBorders>
            <w:hideMark/>
          </w:tcPr>
          <w:p w14:paraId="1D0AE309" w14:textId="77777777" w:rsidR="000C6C4F" w:rsidRPr="002A412F" w:rsidRDefault="000C6C4F" w:rsidP="00894D87">
            <w:pPr>
              <w:pStyle w:val="ListParagraph"/>
              <w:numPr>
                <w:ilvl w:val="0"/>
                <w:numId w:val="2"/>
              </w:numPr>
              <w:spacing w:after="0" w:line="240" w:lineRule="auto"/>
              <w:rPr>
                <w:rFonts w:asciiTheme="majorHAnsi" w:hAnsiTheme="majorHAnsi"/>
              </w:rPr>
            </w:pPr>
            <w:r w:rsidRPr="002A412F">
              <w:rPr>
                <w:rFonts w:asciiTheme="majorHAnsi" w:hAnsiTheme="majorHAnsi"/>
              </w:rPr>
              <w:t xml:space="preserve">Fecha </w:t>
            </w:r>
          </w:p>
        </w:tc>
        <w:tc>
          <w:tcPr>
            <w:tcW w:w="4918" w:type="dxa"/>
            <w:gridSpan w:val="2"/>
            <w:tcBorders>
              <w:top w:val="single" w:sz="4" w:space="0" w:color="9CC2E5" w:themeColor="accent1" w:themeTint="99"/>
              <w:left w:val="nil"/>
              <w:bottom w:val="single" w:sz="4" w:space="0" w:color="9CC2E5" w:themeColor="accent1" w:themeTint="99"/>
              <w:right w:val="nil"/>
            </w:tcBorders>
            <w:vAlign w:val="center"/>
          </w:tcPr>
          <w:p w14:paraId="45B493DB" w14:textId="77777777" w:rsidR="000C6C4F" w:rsidRPr="002A412F" w:rsidRDefault="008B786F" w:rsidP="00894D8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A412F">
              <w:rPr>
                <w:rFonts w:asciiTheme="majorHAnsi" w:hAnsiTheme="majorHAnsi"/>
              </w:rPr>
              <w:t>05 de septiembre de 2017</w:t>
            </w:r>
          </w:p>
        </w:tc>
      </w:tr>
      <w:tr w:rsidR="000C6C4F" w:rsidRPr="002A412F" w14:paraId="7A2A970A" w14:textId="77777777" w:rsidTr="002B4DA1">
        <w:trPr>
          <w:trHeight w:val="397"/>
        </w:trPr>
        <w:tc>
          <w:tcPr>
            <w:cnfStyle w:val="001000000000" w:firstRow="0" w:lastRow="0" w:firstColumn="1" w:lastColumn="0" w:oddVBand="0" w:evenVBand="0" w:oddHBand="0" w:evenHBand="0" w:firstRowFirstColumn="0" w:firstRowLastColumn="0" w:lastRowFirstColumn="0" w:lastRowLastColumn="0"/>
            <w:tcW w:w="3586" w:type="dxa"/>
            <w:tcBorders>
              <w:top w:val="single" w:sz="4" w:space="0" w:color="9CC2E5" w:themeColor="accent1" w:themeTint="99"/>
              <w:left w:val="nil"/>
              <w:bottom w:val="single" w:sz="4" w:space="0" w:color="9CC2E5" w:themeColor="accent1" w:themeTint="99"/>
              <w:right w:val="nil"/>
            </w:tcBorders>
            <w:hideMark/>
          </w:tcPr>
          <w:p w14:paraId="7977EF54" w14:textId="77777777" w:rsidR="000C6C4F" w:rsidRPr="002A412F" w:rsidRDefault="000C6C4F" w:rsidP="00894D87">
            <w:pPr>
              <w:pStyle w:val="ListParagraph"/>
              <w:numPr>
                <w:ilvl w:val="0"/>
                <w:numId w:val="2"/>
              </w:numPr>
              <w:spacing w:after="0" w:line="240" w:lineRule="auto"/>
              <w:rPr>
                <w:rFonts w:asciiTheme="majorHAnsi" w:hAnsiTheme="majorHAnsi"/>
              </w:rPr>
            </w:pPr>
            <w:r w:rsidRPr="002A412F">
              <w:rPr>
                <w:rFonts w:asciiTheme="majorHAnsi" w:hAnsiTheme="majorHAnsi"/>
              </w:rPr>
              <w:t>Decisiones de la CIDH y/o la Corte IDH, relacionadas</w:t>
            </w:r>
          </w:p>
        </w:tc>
        <w:tc>
          <w:tcPr>
            <w:tcW w:w="4918" w:type="dxa"/>
            <w:gridSpan w:val="2"/>
            <w:tcBorders>
              <w:top w:val="single" w:sz="4" w:space="0" w:color="9CC2E5" w:themeColor="accent1" w:themeTint="99"/>
              <w:left w:val="nil"/>
              <w:bottom w:val="single" w:sz="4" w:space="0" w:color="9CC2E5" w:themeColor="accent1" w:themeTint="99"/>
              <w:right w:val="nil"/>
            </w:tcBorders>
            <w:vAlign w:val="center"/>
          </w:tcPr>
          <w:p w14:paraId="63D2981C" w14:textId="77777777" w:rsidR="000C6C4F" w:rsidRDefault="008B786F" w:rsidP="00894D8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2A412F">
              <w:rPr>
                <w:rFonts w:asciiTheme="majorHAnsi" w:hAnsiTheme="majorHAnsi"/>
              </w:rPr>
              <w:t>Informe No. 82/10 (</w:t>
            </w:r>
            <w:hyperlink r:id="rId13" w:history="1">
              <w:r w:rsidRPr="002A412F">
                <w:rPr>
                  <w:rStyle w:val="Hyperlink"/>
                  <w:rFonts w:asciiTheme="majorHAnsi" w:hAnsiTheme="majorHAnsi"/>
                  <w:color w:val="0000FF"/>
                </w:rPr>
                <w:t>Admisibilidad</w:t>
              </w:r>
            </w:hyperlink>
            <w:r w:rsidRPr="002A412F">
              <w:rPr>
                <w:rFonts w:asciiTheme="majorHAnsi" w:hAnsiTheme="majorHAnsi"/>
              </w:rPr>
              <w:t>)</w:t>
            </w:r>
          </w:p>
          <w:p w14:paraId="092561EE" w14:textId="5E04C4CC" w:rsidR="00323578" w:rsidRPr="002A412F" w:rsidRDefault="00323578" w:rsidP="00894D8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Caso Hernández vs. Argentina (</w:t>
            </w:r>
            <w:hyperlink r:id="rId14" w:history="1">
              <w:r w:rsidRPr="00323578">
                <w:rPr>
                  <w:rStyle w:val="Hyperlink"/>
                  <w:rFonts w:asciiTheme="majorHAnsi" w:hAnsiTheme="majorHAnsi"/>
                  <w:color w:val="0432FF"/>
                </w:rPr>
                <w:t>Sentencia de 22 de noviembre de 2019</w:t>
              </w:r>
            </w:hyperlink>
            <w:r>
              <w:rPr>
                <w:rFonts w:asciiTheme="majorHAnsi" w:hAnsiTheme="majorHAnsi"/>
              </w:rPr>
              <w:t>)</w:t>
            </w:r>
          </w:p>
        </w:tc>
      </w:tr>
      <w:tr w:rsidR="000C6C4F" w:rsidRPr="002A412F" w14:paraId="4A63377C" w14:textId="77777777" w:rsidTr="002B4D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86" w:type="dxa"/>
            <w:vMerge w:val="restart"/>
            <w:tcBorders>
              <w:top w:val="single" w:sz="4" w:space="0" w:color="9CC2E5" w:themeColor="accent1" w:themeTint="99"/>
              <w:left w:val="nil"/>
              <w:right w:val="nil"/>
            </w:tcBorders>
            <w:hideMark/>
          </w:tcPr>
          <w:p w14:paraId="4EF14195" w14:textId="77777777" w:rsidR="000C6C4F" w:rsidRPr="002A412F" w:rsidRDefault="000C6C4F" w:rsidP="00894D87">
            <w:pPr>
              <w:pStyle w:val="ListParagraph"/>
              <w:numPr>
                <w:ilvl w:val="0"/>
                <w:numId w:val="2"/>
              </w:numPr>
              <w:spacing w:after="0" w:line="240" w:lineRule="auto"/>
              <w:rPr>
                <w:rFonts w:asciiTheme="majorHAnsi" w:hAnsiTheme="majorHAnsi"/>
              </w:rPr>
            </w:pPr>
            <w:r w:rsidRPr="002A412F">
              <w:rPr>
                <w:rFonts w:asciiTheme="majorHAnsi" w:hAnsiTheme="majorHAnsi"/>
              </w:rPr>
              <w:t xml:space="preserve">Artículos analizados </w:t>
            </w:r>
          </w:p>
        </w:tc>
        <w:tc>
          <w:tcPr>
            <w:tcW w:w="4918" w:type="dxa"/>
            <w:gridSpan w:val="2"/>
            <w:tcBorders>
              <w:top w:val="single" w:sz="4" w:space="0" w:color="9CC2E5" w:themeColor="accent1" w:themeTint="99"/>
              <w:left w:val="nil"/>
              <w:bottom w:val="single" w:sz="4" w:space="0" w:color="9CC2E5" w:themeColor="accent1" w:themeTint="99"/>
              <w:right w:val="nil"/>
            </w:tcBorders>
            <w:vAlign w:val="center"/>
          </w:tcPr>
          <w:p w14:paraId="186DE126" w14:textId="77777777" w:rsidR="000C6C4F" w:rsidRPr="002A412F" w:rsidRDefault="000C6C4F" w:rsidP="00894D8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A412F">
              <w:rPr>
                <w:rFonts w:asciiTheme="majorHAnsi" w:hAnsiTheme="majorHAnsi"/>
              </w:rPr>
              <w:t>Convención Americana sobre Derechos Humanos</w:t>
            </w:r>
          </w:p>
        </w:tc>
      </w:tr>
      <w:tr w:rsidR="000C6C4F" w:rsidRPr="002A412F" w14:paraId="3EDC58E8" w14:textId="77777777" w:rsidTr="00781CD4">
        <w:trPr>
          <w:trHeight w:val="567"/>
        </w:trPr>
        <w:tc>
          <w:tcPr>
            <w:cnfStyle w:val="001000000000" w:firstRow="0" w:lastRow="0" w:firstColumn="1" w:lastColumn="0" w:oddVBand="0" w:evenVBand="0" w:oddHBand="0" w:evenHBand="0" w:firstRowFirstColumn="0" w:firstRowLastColumn="0" w:lastRowFirstColumn="0" w:lastRowLastColumn="0"/>
            <w:tcW w:w="0" w:type="auto"/>
            <w:vMerge/>
            <w:tcBorders>
              <w:left w:val="nil"/>
              <w:right w:val="nil"/>
            </w:tcBorders>
            <w:vAlign w:val="center"/>
            <w:hideMark/>
          </w:tcPr>
          <w:p w14:paraId="5B54713A" w14:textId="77777777" w:rsidR="000C6C4F" w:rsidRPr="002A412F" w:rsidRDefault="000C6C4F" w:rsidP="000C6C4F">
            <w:pPr>
              <w:spacing w:after="0" w:line="240" w:lineRule="auto"/>
              <w:rPr>
                <w:rFonts w:asciiTheme="majorHAnsi" w:hAnsiTheme="majorHAnsi"/>
              </w:rPr>
            </w:pPr>
          </w:p>
        </w:tc>
        <w:tc>
          <w:tcPr>
            <w:tcW w:w="2343" w:type="dxa"/>
            <w:tcBorders>
              <w:top w:val="single" w:sz="4" w:space="0" w:color="9CC2E5" w:themeColor="accent1" w:themeTint="99"/>
              <w:left w:val="nil"/>
              <w:bottom w:val="single" w:sz="4" w:space="0" w:color="9CC2E5" w:themeColor="accent1" w:themeTint="99"/>
              <w:right w:val="nil"/>
            </w:tcBorders>
            <w:vAlign w:val="center"/>
          </w:tcPr>
          <w:p w14:paraId="5188AE76" w14:textId="77777777" w:rsidR="000C6C4F" w:rsidRPr="002A412F" w:rsidRDefault="000C6C4F" w:rsidP="000C6C4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2A412F">
              <w:rPr>
                <w:rFonts w:asciiTheme="majorHAnsi" w:hAnsiTheme="majorHAnsi"/>
              </w:rPr>
              <w:t>Artículos analizados declarados violados</w:t>
            </w:r>
          </w:p>
        </w:tc>
        <w:tc>
          <w:tcPr>
            <w:tcW w:w="2575" w:type="dxa"/>
            <w:tcBorders>
              <w:top w:val="single" w:sz="4" w:space="0" w:color="9CC2E5" w:themeColor="accent1" w:themeTint="99"/>
              <w:left w:val="nil"/>
              <w:bottom w:val="single" w:sz="4" w:space="0" w:color="9CC2E5" w:themeColor="accent1" w:themeTint="99"/>
              <w:right w:val="nil"/>
            </w:tcBorders>
            <w:vAlign w:val="center"/>
          </w:tcPr>
          <w:p w14:paraId="0399D065" w14:textId="77777777" w:rsidR="000C6C4F" w:rsidRPr="002A412F" w:rsidRDefault="000C6C4F" w:rsidP="000C6C4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2A412F">
              <w:rPr>
                <w:rFonts w:asciiTheme="majorHAnsi" w:hAnsiTheme="majorHAnsi"/>
              </w:rPr>
              <w:t>Artículos analizados no declarados violados</w:t>
            </w:r>
          </w:p>
        </w:tc>
      </w:tr>
      <w:tr w:rsidR="000C6C4F" w:rsidRPr="002A412F" w14:paraId="6D0A1C7D" w14:textId="77777777" w:rsidTr="002B4DA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vMerge/>
            <w:tcBorders>
              <w:left w:val="nil"/>
              <w:right w:val="nil"/>
            </w:tcBorders>
            <w:vAlign w:val="center"/>
          </w:tcPr>
          <w:p w14:paraId="264B882F" w14:textId="77777777" w:rsidR="000C6C4F" w:rsidRPr="002A412F" w:rsidRDefault="000C6C4F" w:rsidP="000C6C4F">
            <w:pPr>
              <w:spacing w:after="0" w:line="240" w:lineRule="auto"/>
              <w:rPr>
                <w:rFonts w:asciiTheme="majorHAnsi" w:hAnsiTheme="majorHAnsi"/>
              </w:rPr>
            </w:pPr>
          </w:p>
        </w:tc>
        <w:tc>
          <w:tcPr>
            <w:tcW w:w="2343" w:type="dxa"/>
            <w:tcBorders>
              <w:top w:val="single" w:sz="4" w:space="0" w:color="9CC2E5" w:themeColor="accent1" w:themeTint="99"/>
              <w:left w:val="nil"/>
              <w:bottom w:val="single" w:sz="4" w:space="0" w:color="9CC2E5" w:themeColor="accent1" w:themeTint="99"/>
              <w:right w:val="nil"/>
            </w:tcBorders>
            <w:vAlign w:val="center"/>
          </w:tcPr>
          <w:p w14:paraId="3AB44CFD" w14:textId="77777777" w:rsidR="000C6C4F" w:rsidRPr="002A412F" w:rsidRDefault="008B786F" w:rsidP="000C6C4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r w:rsidRPr="002A412F">
              <w:rPr>
                <w:rFonts w:asciiTheme="majorHAnsi" w:hAnsiTheme="majorHAnsi"/>
                <w:lang w:val="en-US"/>
              </w:rPr>
              <w:t>Art. 1, art. 2, art. 5, art. 7, art. 8, art. 25</w:t>
            </w:r>
          </w:p>
        </w:tc>
        <w:tc>
          <w:tcPr>
            <w:tcW w:w="2575" w:type="dxa"/>
            <w:tcBorders>
              <w:top w:val="single" w:sz="4" w:space="0" w:color="9CC2E5" w:themeColor="accent1" w:themeTint="99"/>
              <w:left w:val="nil"/>
              <w:bottom w:val="single" w:sz="4" w:space="0" w:color="9CC2E5" w:themeColor="accent1" w:themeTint="99"/>
              <w:right w:val="nil"/>
            </w:tcBorders>
            <w:vAlign w:val="center"/>
          </w:tcPr>
          <w:p w14:paraId="31FA5E8D" w14:textId="4025156F" w:rsidR="000C6C4F" w:rsidRPr="002A412F" w:rsidRDefault="00270633" w:rsidP="000C6C4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A412F">
              <w:rPr>
                <w:rFonts w:asciiTheme="majorHAnsi" w:hAnsiTheme="majorHAnsi"/>
              </w:rPr>
              <w:t>Art. 8, art. 25</w:t>
            </w:r>
            <w:r w:rsidR="00631AD7" w:rsidRPr="002A412F">
              <w:rPr>
                <w:rFonts w:asciiTheme="majorHAnsi" w:hAnsiTheme="majorHAnsi"/>
              </w:rPr>
              <w:t xml:space="preserve"> (respecto a los recursos presentados por el señor Hernández para obtener una indemnización por daños y perjuicios)</w:t>
            </w:r>
          </w:p>
        </w:tc>
      </w:tr>
      <w:tr w:rsidR="000C6C4F" w:rsidRPr="002A412F" w14:paraId="215A172F" w14:textId="77777777" w:rsidTr="002B4DA1">
        <w:trPr>
          <w:trHeight w:val="567"/>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2E5" w:themeColor="accent1" w:themeTint="99"/>
              <w:left w:val="nil"/>
              <w:bottom w:val="single" w:sz="4" w:space="0" w:color="9CC2E5" w:themeColor="accent1" w:themeTint="99"/>
              <w:right w:val="nil"/>
            </w:tcBorders>
            <w:vAlign w:val="center"/>
          </w:tcPr>
          <w:p w14:paraId="37F3DC60" w14:textId="77777777" w:rsidR="000C6C4F" w:rsidRPr="002A412F" w:rsidRDefault="000C6C4F" w:rsidP="002B4DA1">
            <w:pPr>
              <w:pStyle w:val="ListParagraph"/>
              <w:numPr>
                <w:ilvl w:val="0"/>
                <w:numId w:val="1"/>
              </w:numPr>
              <w:spacing w:after="0" w:line="240" w:lineRule="auto"/>
              <w:jc w:val="center"/>
              <w:rPr>
                <w:rFonts w:asciiTheme="majorHAnsi" w:hAnsiTheme="majorHAnsi"/>
              </w:rPr>
            </w:pPr>
            <w:r w:rsidRPr="002A412F">
              <w:rPr>
                <w:rFonts w:asciiTheme="majorHAnsi" w:hAnsiTheme="majorHAnsi"/>
              </w:rPr>
              <w:t>Sumilla</w:t>
            </w:r>
          </w:p>
        </w:tc>
      </w:tr>
      <w:tr w:rsidR="000C6C4F" w:rsidRPr="002A412F" w14:paraId="2CAC50C2" w14:textId="77777777" w:rsidTr="00894D87">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2E5" w:themeColor="accent1" w:themeTint="99"/>
              <w:left w:val="nil"/>
              <w:bottom w:val="single" w:sz="4" w:space="0" w:color="9CC2E5" w:themeColor="accent1" w:themeTint="99"/>
              <w:right w:val="nil"/>
            </w:tcBorders>
          </w:tcPr>
          <w:p w14:paraId="1838246B" w14:textId="77777777" w:rsidR="000C6C4F" w:rsidRPr="002A412F" w:rsidRDefault="000C6C4F" w:rsidP="000C6C4F">
            <w:pPr>
              <w:spacing w:after="0" w:line="240" w:lineRule="auto"/>
              <w:jc w:val="both"/>
              <w:rPr>
                <w:rFonts w:asciiTheme="majorHAnsi" w:hAnsiTheme="majorHAnsi"/>
                <w:b w:val="0"/>
              </w:rPr>
            </w:pPr>
          </w:p>
          <w:p w14:paraId="3CD9D525" w14:textId="27D33EB6" w:rsidR="000C6C4F" w:rsidRPr="002A412F" w:rsidRDefault="00280BF2" w:rsidP="000C6C4F">
            <w:pPr>
              <w:spacing w:after="0" w:line="240" w:lineRule="auto"/>
              <w:jc w:val="both"/>
              <w:rPr>
                <w:rFonts w:asciiTheme="majorHAnsi" w:hAnsiTheme="majorHAnsi"/>
                <w:b w:val="0"/>
              </w:rPr>
            </w:pPr>
            <w:r w:rsidRPr="002A412F">
              <w:rPr>
                <w:rFonts w:asciiTheme="majorHAnsi" w:hAnsiTheme="majorHAnsi"/>
                <w:b w:val="0"/>
              </w:rPr>
              <w:t>El</w:t>
            </w:r>
            <w:r w:rsidR="003F7A01">
              <w:rPr>
                <w:rFonts w:asciiTheme="majorHAnsi" w:hAnsiTheme="majorHAnsi"/>
                <w:b w:val="0"/>
              </w:rPr>
              <w:t xml:space="preserve"> caso trata sobre</w:t>
            </w:r>
            <w:r w:rsidR="00631AD7" w:rsidRPr="002A412F">
              <w:rPr>
                <w:rFonts w:asciiTheme="majorHAnsi" w:hAnsiTheme="majorHAnsi"/>
                <w:b w:val="0"/>
              </w:rPr>
              <w:t xml:space="preserve"> la falta de diagnóstico oportuno y</w:t>
            </w:r>
            <w:r w:rsidR="0041666E">
              <w:rPr>
                <w:rFonts w:asciiTheme="majorHAnsi" w:hAnsiTheme="majorHAnsi"/>
                <w:b w:val="0"/>
              </w:rPr>
              <w:t xml:space="preserve"> </w:t>
            </w:r>
            <w:r w:rsidRPr="002A412F">
              <w:rPr>
                <w:rFonts w:asciiTheme="majorHAnsi" w:hAnsiTheme="majorHAnsi"/>
                <w:b w:val="0"/>
              </w:rPr>
              <w:t>el</w:t>
            </w:r>
            <w:r w:rsidR="00631AD7" w:rsidRPr="002A412F">
              <w:rPr>
                <w:rFonts w:asciiTheme="majorHAnsi" w:hAnsiTheme="majorHAnsi"/>
                <w:b w:val="0"/>
              </w:rPr>
              <w:t xml:space="preserve"> inadecuado</w:t>
            </w:r>
            <w:r w:rsidRPr="002A412F">
              <w:rPr>
                <w:rFonts w:asciiTheme="majorHAnsi" w:hAnsiTheme="majorHAnsi"/>
                <w:b w:val="0"/>
              </w:rPr>
              <w:t xml:space="preserve"> tratamiento brindado </w:t>
            </w:r>
            <w:r w:rsidR="00D001E8" w:rsidRPr="002A412F">
              <w:rPr>
                <w:rFonts w:asciiTheme="majorHAnsi" w:hAnsiTheme="majorHAnsi"/>
                <w:b w:val="0"/>
              </w:rPr>
              <w:t xml:space="preserve">a José Luis </w:t>
            </w:r>
            <w:r w:rsidR="00631AD7" w:rsidRPr="002A412F">
              <w:rPr>
                <w:rFonts w:asciiTheme="majorHAnsi" w:hAnsiTheme="majorHAnsi"/>
                <w:b w:val="0"/>
              </w:rPr>
              <w:t xml:space="preserve">Hernández por la meningitis </w:t>
            </w:r>
            <w:r w:rsidR="003F7A01">
              <w:rPr>
                <w:rFonts w:asciiTheme="majorHAnsi" w:hAnsiTheme="majorHAnsi"/>
                <w:b w:val="0"/>
              </w:rPr>
              <w:t>que padeci</w:t>
            </w:r>
            <w:r w:rsidR="00CA2F6A" w:rsidRPr="002A412F">
              <w:rPr>
                <w:rFonts w:asciiTheme="majorHAnsi" w:hAnsiTheme="majorHAnsi"/>
                <w:b w:val="0"/>
              </w:rPr>
              <w:t xml:space="preserve">ó </w:t>
            </w:r>
            <w:r w:rsidR="003F7A01">
              <w:rPr>
                <w:rFonts w:asciiTheme="majorHAnsi" w:hAnsiTheme="majorHAnsi"/>
                <w:b w:val="0"/>
              </w:rPr>
              <w:t>mientras se</w:t>
            </w:r>
            <w:r w:rsidRPr="002A412F">
              <w:rPr>
                <w:rFonts w:asciiTheme="majorHAnsi" w:hAnsiTheme="majorHAnsi"/>
                <w:b w:val="0"/>
              </w:rPr>
              <w:t xml:space="preserve"> </w:t>
            </w:r>
            <w:r w:rsidR="003F7A01">
              <w:rPr>
                <w:rFonts w:asciiTheme="majorHAnsi" w:hAnsiTheme="majorHAnsi"/>
                <w:b w:val="0"/>
              </w:rPr>
              <w:t xml:space="preserve">encontraba </w:t>
            </w:r>
            <w:r w:rsidRPr="002A412F">
              <w:rPr>
                <w:rFonts w:asciiTheme="majorHAnsi" w:hAnsiTheme="majorHAnsi"/>
                <w:b w:val="0"/>
              </w:rPr>
              <w:t>privado de su libertad</w:t>
            </w:r>
            <w:r w:rsidR="003F7A01">
              <w:rPr>
                <w:rFonts w:asciiTheme="majorHAnsi" w:hAnsiTheme="majorHAnsi"/>
                <w:b w:val="0"/>
              </w:rPr>
              <w:t xml:space="preserve">. </w:t>
            </w:r>
            <w:r w:rsidR="00F4626C">
              <w:rPr>
                <w:rFonts w:asciiTheme="majorHAnsi" w:hAnsiTheme="majorHAnsi"/>
                <w:b w:val="0"/>
              </w:rPr>
              <w:t>Esto incluyó su continuo traslado</w:t>
            </w:r>
            <w:r w:rsidR="003F7A01">
              <w:rPr>
                <w:rFonts w:asciiTheme="majorHAnsi" w:hAnsiTheme="majorHAnsi"/>
                <w:b w:val="0"/>
              </w:rPr>
              <w:t xml:space="preserve"> a</w:t>
            </w:r>
            <w:r w:rsidR="00631AD7" w:rsidRPr="002A412F">
              <w:rPr>
                <w:rFonts w:asciiTheme="majorHAnsi" w:hAnsiTheme="majorHAnsi"/>
                <w:b w:val="0"/>
              </w:rPr>
              <w:t xml:space="preserve"> hospitales para recibir tratamiento</w:t>
            </w:r>
            <w:r w:rsidR="003F7A01">
              <w:rPr>
                <w:rFonts w:asciiTheme="majorHAnsi" w:hAnsiTheme="majorHAnsi"/>
                <w:b w:val="0"/>
              </w:rPr>
              <w:t>,</w:t>
            </w:r>
            <w:r w:rsidR="00631AD7" w:rsidRPr="002A412F">
              <w:rPr>
                <w:rFonts w:asciiTheme="majorHAnsi" w:hAnsiTheme="majorHAnsi"/>
                <w:b w:val="0"/>
              </w:rPr>
              <w:t xml:space="preserve"> ya que los lugares en los que estuvo privado de la libertad no contaban con los servicios </w:t>
            </w:r>
            <w:r w:rsidR="006E20F2" w:rsidRPr="002A412F">
              <w:rPr>
                <w:rFonts w:asciiTheme="majorHAnsi" w:hAnsiTheme="majorHAnsi"/>
                <w:b w:val="0"/>
              </w:rPr>
              <w:t>necesarios</w:t>
            </w:r>
            <w:r w:rsidR="005B3785" w:rsidRPr="002A412F">
              <w:rPr>
                <w:rFonts w:asciiTheme="majorHAnsi" w:hAnsiTheme="majorHAnsi"/>
                <w:b w:val="0"/>
              </w:rPr>
              <w:t xml:space="preserve">. </w:t>
            </w:r>
            <w:r w:rsidR="00A14035">
              <w:rPr>
                <w:rFonts w:asciiTheme="majorHAnsi" w:hAnsiTheme="majorHAnsi"/>
                <w:b w:val="0"/>
              </w:rPr>
              <w:t>E</w:t>
            </w:r>
            <w:r w:rsidR="003F7A01">
              <w:rPr>
                <w:rFonts w:asciiTheme="majorHAnsi" w:hAnsiTheme="majorHAnsi"/>
                <w:b w:val="0"/>
              </w:rPr>
              <w:t xml:space="preserve">l señor Hernández presentó una </w:t>
            </w:r>
            <w:r w:rsidR="003F7A01" w:rsidRPr="002A412F">
              <w:rPr>
                <w:rFonts w:asciiTheme="majorHAnsi" w:hAnsiTheme="majorHAnsi"/>
                <w:b w:val="0"/>
              </w:rPr>
              <w:t>demanda civil de indemnización por</w:t>
            </w:r>
            <w:r w:rsidR="00A14035">
              <w:rPr>
                <w:rFonts w:asciiTheme="majorHAnsi" w:hAnsiTheme="majorHAnsi"/>
                <w:b w:val="0"/>
              </w:rPr>
              <w:t xml:space="preserve"> los</w:t>
            </w:r>
            <w:r w:rsidR="003F7A01" w:rsidRPr="002A412F">
              <w:rPr>
                <w:rFonts w:asciiTheme="majorHAnsi" w:hAnsiTheme="majorHAnsi"/>
                <w:b w:val="0"/>
              </w:rPr>
              <w:t xml:space="preserve"> daños y perjuicios</w:t>
            </w:r>
            <w:r w:rsidR="00A14035">
              <w:rPr>
                <w:rFonts w:asciiTheme="majorHAnsi" w:hAnsiTheme="majorHAnsi"/>
                <w:b w:val="0"/>
              </w:rPr>
              <w:t xml:space="preserve"> ocasionados por las secuelas ocasionadas por </w:t>
            </w:r>
            <w:r w:rsidR="00A14035" w:rsidRPr="002A412F">
              <w:rPr>
                <w:rFonts w:asciiTheme="majorHAnsi" w:hAnsiTheme="majorHAnsi"/>
                <w:b w:val="0"/>
              </w:rPr>
              <w:t>la falta de atención de sus enfermedades</w:t>
            </w:r>
            <w:r w:rsidR="00A14035">
              <w:rPr>
                <w:rFonts w:asciiTheme="majorHAnsi" w:hAnsiTheme="majorHAnsi"/>
                <w:b w:val="0"/>
              </w:rPr>
              <w:t xml:space="preserve">. Esta </w:t>
            </w:r>
            <w:r w:rsidR="003F7A01">
              <w:rPr>
                <w:rFonts w:asciiTheme="majorHAnsi" w:hAnsiTheme="majorHAnsi"/>
                <w:b w:val="0"/>
              </w:rPr>
              <w:t>fue rechazada por</w:t>
            </w:r>
            <w:r w:rsidR="00F4626C">
              <w:rPr>
                <w:rFonts w:asciiTheme="majorHAnsi" w:hAnsiTheme="majorHAnsi"/>
                <w:b w:val="0"/>
              </w:rPr>
              <w:t>que la acción habría prescrito</w:t>
            </w:r>
            <w:r w:rsidR="003F7A01">
              <w:rPr>
                <w:rFonts w:asciiTheme="majorHAnsi" w:hAnsiTheme="majorHAnsi"/>
                <w:b w:val="0"/>
              </w:rPr>
              <w:t xml:space="preserve">. </w:t>
            </w:r>
          </w:p>
          <w:p w14:paraId="0BD2AFBB" w14:textId="77777777" w:rsidR="00F6368A" w:rsidRPr="002A412F" w:rsidRDefault="00F6368A" w:rsidP="000C6C4F">
            <w:pPr>
              <w:spacing w:after="0" w:line="240" w:lineRule="auto"/>
              <w:jc w:val="both"/>
              <w:rPr>
                <w:rFonts w:asciiTheme="majorHAnsi" w:hAnsiTheme="majorHAnsi"/>
                <w:b w:val="0"/>
              </w:rPr>
            </w:pPr>
          </w:p>
        </w:tc>
      </w:tr>
      <w:tr w:rsidR="000C6C4F" w:rsidRPr="002A412F" w14:paraId="28D10DFA" w14:textId="77777777" w:rsidTr="002B4DA1">
        <w:trPr>
          <w:trHeight w:val="567"/>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2E5" w:themeColor="accent1" w:themeTint="99"/>
              <w:left w:val="nil"/>
              <w:bottom w:val="single" w:sz="4" w:space="0" w:color="9CC2E5" w:themeColor="accent1" w:themeTint="99"/>
              <w:right w:val="nil"/>
            </w:tcBorders>
            <w:vAlign w:val="center"/>
          </w:tcPr>
          <w:p w14:paraId="69A2E250" w14:textId="77777777" w:rsidR="000C6C4F" w:rsidRPr="002A412F" w:rsidRDefault="000C6C4F" w:rsidP="002B4DA1">
            <w:pPr>
              <w:pStyle w:val="ListParagraph"/>
              <w:numPr>
                <w:ilvl w:val="0"/>
                <w:numId w:val="1"/>
              </w:numPr>
              <w:spacing w:after="0" w:line="240" w:lineRule="auto"/>
              <w:jc w:val="center"/>
              <w:rPr>
                <w:rFonts w:asciiTheme="majorHAnsi" w:hAnsiTheme="majorHAnsi"/>
              </w:rPr>
            </w:pPr>
            <w:r w:rsidRPr="002A412F">
              <w:rPr>
                <w:rFonts w:asciiTheme="majorHAnsi" w:hAnsiTheme="majorHAnsi"/>
              </w:rPr>
              <w:t>Palabras clave</w:t>
            </w:r>
          </w:p>
        </w:tc>
      </w:tr>
      <w:tr w:rsidR="000C6C4F" w:rsidRPr="002A412F" w14:paraId="47FF3754" w14:textId="77777777" w:rsidTr="00894D87">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2E5" w:themeColor="accent1" w:themeTint="99"/>
              <w:left w:val="nil"/>
              <w:bottom w:val="single" w:sz="4" w:space="0" w:color="9CC2E5" w:themeColor="accent1" w:themeTint="99"/>
              <w:right w:val="nil"/>
            </w:tcBorders>
          </w:tcPr>
          <w:p w14:paraId="7711ED69" w14:textId="77777777" w:rsidR="000C6C4F" w:rsidRPr="002A412F" w:rsidRDefault="000C6C4F" w:rsidP="000C6C4F">
            <w:pPr>
              <w:spacing w:after="0" w:line="240" w:lineRule="auto"/>
              <w:jc w:val="both"/>
              <w:rPr>
                <w:rFonts w:asciiTheme="majorHAnsi" w:hAnsiTheme="majorHAnsi"/>
                <w:b w:val="0"/>
                <w:lang w:val="es-PE"/>
              </w:rPr>
            </w:pPr>
          </w:p>
          <w:p w14:paraId="05CDBAD3" w14:textId="77777777" w:rsidR="008B786F" w:rsidRPr="002A412F" w:rsidRDefault="008B786F" w:rsidP="000C6C4F">
            <w:pPr>
              <w:spacing w:after="0" w:line="240" w:lineRule="auto"/>
              <w:jc w:val="both"/>
              <w:rPr>
                <w:rFonts w:asciiTheme="majorHAnsi" w:hAnsiTheme="majorHAnsi"/>
                <w:b w:val="0"/>
                <w:lang w:val="es-PE"/>
              </w:rPr>
            </w:pPr>
            <w:r w:rsidRPr="002A412F">
              <w:rPr>
                <w:rFonts w:asciiTheme="majorHAnsi" w:hAnsiTheme="majorHAnsi"/>
                <w:b w:val="0"/>
                <w:lang w:val="es-PE"/>
              </w:rPr>
              <w:t>DESCA, Integridad personal, Libertad personal, Personas privadas de libertad, Prisión preventiva, Salud</w:t>
            </w:r>
          </w:p>
          <w:p w14:paraId="4084F6DC" w14:textId="77777777" w:rsidR="000C6C4F" w:rsidRPr="002A412F" w:rsidRDefault="000C6C4F" w:rsidP="000C6C4F">
            <w:pPr>
              <w:spacing w:after="0" w:line="240" w:lineRule="auto"/>
              <w:jc w:val="both"/>
              <w:rPr>
                <w:rFonts w:asciiTheme="majorHAnsi" w:hAnsiTheme="majorHAnsi"/>
                <w:b w:val="0"/>
              </w:rPr>
            </w:pPr>
          </w:p>
        </w:tc>
      </w:tr>
      <w:tr w:rsidR="000C6C4F" w:rsidRPr="002A412F" w14:paraId="36B8CAF0" w14:textId="77777777" w:rsidTr="002B4DA1">
        <w:trPr>
          <w:trHeight w:val="567"/>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2E5" w:themeColor="accent1" w:themeTint="99"/>
              <w:left w:val="nil"/>
              <w:bottom w:val="single" w:sz="4" w:space="0" w:color="9CC2E5" w:themeColor="accent1" w:themeTint="99"/>
              <w:right w:val="nil"/>
            </w:tcBorders>
            <w:vAlign w:val="center"/>
          </w:tcPr>
          <w:p w14:paraId="24FA7074" w14:textId="77777777" w:rsidR="000C6C4F" w:rsidRPr="002A412F" w:rsidRDefault="000C6C4F" w:rsidP="002B4DA1">
            <w:pPr>
              <w:pStyle w:val="ListParagraph"/>
              <w:numPr>
                <w:ilvl w:val="0"/>
                <w:numId w:val="1"/>
              </w:numPr>
              <w:spacing w:after="0" w:line="240" w:lineRule="auto"/>
              <w:jc w:val="center"/>
              <w:rPr>
                <w:rFonts w:asciiTheme="majorHAnsi" w:hAnsiTheme="majorHAnsi"/>
              </w:rPr>
            </w:pPr>
            <w:r w:rsidRPr="002A412F">
              <w:rPr>
                <w:rFonts w:asciiTheme="majorHAnsi" w:hAnsiTheme="majorHAnsi"/>
              </w:rPr>
              <w:t>Hechos</w:t>
            </w:r>
          </w:p>
        </w:tc>
      </w:tr>
      <w:tr w:rsidR="000C6C4F" w:rsidRPr="002A412F" w14:paraId="25F90B2C" w14:textId="77777777" w:rsidTr="00894D87">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2E5" w:themeColor="accent1" w:themeTint="99"/>
              <w:left w:val="nil"/>
              <w:bottom w:val="single" w:sz="4" w:space="0" w:color="9CC2E5" w:themeColor="accent1" w:themeTint="99"/>
              <w:right w:val="nil"/>
            </w:tcBorders>
          </w:tcPr>
          <w:p w14:paraId="6A4E26E3" w14:textId="77777777" w:rsidR="000C6C4F" w:rsidRPr="002A412F" w:rsidRDefault="000C6C4F" w:rsidP="000C6C4F">
            <w:pPr>
              <w:spacing w:after="0" w:line="240" w:lineRule="auto"/>
              <w:jc w:val="both"/>
              <w:rPr>
                <w:rFonts w:asciiTheme="majorHAnsi" w:hAnsiTheme="majorHAnsi"/>
                <w:bCs w:val="0"/>
              </w:rPr>
            </w:pPr>
          </w:p>
          <w:p w14:paraId="5336BA2A" w14:textId="1BB820B3" w:rsidR="00FF4E33" w:rsidRPr="002A412F" w:rsidRDefault="003E2B0C" w:rsidP="00942174">
            <w:pPr>
              <w:spacing w:line="240" w:lineRule="auto"/>
              <w:jc w:val="both"/>
              <w:rPr>
                <w:rFonts w:asciiTheme="majorHAnsi" w:hAnsiTheme="majorHAnsi"/>
                <w:b w:val="0"/>
              </w:rPr>
            </w:pPr>
            <w:r w:rsidRPr="002A412F">
              <w:rPr>
                <w:rFonts w:asciiTheme="majorHAnsi" w:hAnsiTheme="majorHAnsi"/>
                <w:b w:val="0"/>
              </w:rPr>
              <w:t xml:space="preserve">En febrero de 1989, José Luis Hernández </w:t>
            </w:r>
            <w:r w:rsidR="00DB067F" w:rsidRPr="002A412F">
              <w:rPr>
                <w:rFonts w:asciiTheme="majorHAnsi" w:hAnsiTheme="majorHAnsi"/>
                <w:b w:val="0"/>
              </w:rPr>
              <w:t>fue detenido por el delito de robo calificado por el uso de arma de fuego en el grado de tentativa. Tras su detención, fue llevado a la Comisaría de la localidad de Monte Grande</w:t>
            </w:r>
            <w:r w:rsidR="002A412F">
              <w:rPr>
                <w:rFonts w:asciiTheme="majorHAnsi" w:hAnsiTheme="majorHAnsi"/>
                <w:b w:val="0"/>
              </w:rPr>
              <w:t xml:space="preserve"> (en adelante, la Comisaría</w:t>
            </w:r>
            <w:r w:rsidR="009F2EED" w:rsidRPr="002A412F">
              <w:rPr>
                <w:rFonts w:asciiTheme="majorHAnsi" w:hAnsiTheme="majorHAnsi"/>
                <w:b w:val="0"/>
              </w:rPr>
              <w:t>)</w:t>
            </w:r>
            <w:r w:rsidR="00DB067F" w:rsidRPr="002A412F">
              <w:rPr>
                <w:rFonts w:asciiTheme="majorHAnsi" w:hAnsiTheme="majorHAnsi"/>
                <w:b w:val="0"/>
              </w:rPr>
              <w:t xml:space="preserve">, provincia </w:t>
            </w:r>
            <w:r w:rsidR="00E51E95" w:rsidRPr="002A412F">
              <w:rPr>
                <w:rFonts w:asciiTheme="majorHAnsi" w:hAnsiTheme="majorHAnsi"/>
                <w:b w:val="0"/>
              </w:rPr>
              <w:t xml:space="preserve">de Buenos Aires, </w:t>
            </w:r>
            <w:r w:rsidR="00E51E95" w:rsidRPr="002A412F">
              <w:rPr>
                <w:rFonts w:asciiTheme="majorHAnsi" w:hAnsiTheme="majorHAnsi"/>
                <w:b w:val="0"/>
              </w:rPr>
              <w:lastRenderedPageBreak/>
              <w:t xml:space="preserve">donde se le realizó un examen físico que determinó que se encontraba en buen estado de salud. </w:t>
            </w:r>
            <w:r w:rsidR="007E40E2" w:rsidRPr="002A412F">
              <w:rPr>
                <w:rFonts w:asciiTheme="majorHAnsi" w:hAnsiTheme="majorHAnsi"/>
                <w:b w:val="0"/>
              </w:rPr>
              <w:t>Por su detención, se inició la causa penal N</w:t>
            </w:r>
            <w:r w:rsidR="00976074">
              <w:rPr>
                <w:rFonts w:asciiTheme="majorHAnsi" w:hAnsiTheme="majorHAnsi"/>
                <w:b w:val="0"/>
              </w:rPr>
              <w:t>o.</w:t>
            </w:r>
            <w:r w:rsidR="007E40E2" w:rsidRPr="002A412F">
              <w:rPr>
                <w:rFonts w:asciiTheme="majorHAnsi" w:hAnsiTheme="majorHAnsi"/>
                <w:b w:val="0"/>
              </w:rPr>
              <w:t xml:space="preserve"> 24.498 y se decretó su prisión prev</w:t>
            </w:r>
            <w:r w:rsidR="00B67F0B" w:rsidRPr="002A412F">
              <w:rPr>
                <w:rFonts w:asciiTheme="majorHAnsi" w:hAnsiTheme="majorHAnsi"/>
                <w:b w:val="0"/>
              </w:rPr>
              <w:t>entiva.</w:t>
            </w:r>
            <w:r w:rsidR="001F6023" w:rsidRPr="002A412F">
              <w:rPr>
                <w:rFonts w:asciiTheme="majorHAnsi" w:hAnsiTheme="majorHAnsi"/>
                <w:b w:val="0"/>
              </w:rPr>
              <w:t xml:space="preserve"> </w:t>
            </w:r>
            <w:r w:rsidR="002E66E4" w:rsidRPr="002A412F">
              <w:rPr>
                <w:rFonts w:asciiTheme="majorHAnsi" w:hAnsiTheme="majorHAnsi"/>
                <w:b w:val="0"/>
              </w:rPr>
              <w:t>De acuerdo al artículo 1 de la Ley No. 10.484, Ley de Excarcelación, los detenidos por delitos con penas mayores a seis años de prisión no podían ser excarcelados durante el proceso.</w:t>
            </w:r>
          </w:p>
          <w:p w14:paraId="7590C614" w14:textId="7B4C170D" w:rsidR="00B63462" w:rsidRPr="002A412F" w:rsidRDefault="00B63462" w:rsidP="00942174">
            <w:pPr>
              <w:spacing w:line="240" w:lineRule="auto"/>
              <w:jc w:val="both"/>
              <w:rPr>
                <w:rFonts w:asciiTheme="majorHAnsi" w:hAnsiTheme="majorHAnsi"/>
                <w:b w:val="0"/>
              </w:rPr>
            </w:pPr>
            <w:r w:rsidRPr="002A412F">
              <w:rPr>
                <w:rFonts w:asciiTheme="majorHAnsi" w:hAnsiTheme="majorHAnsi"/>
                <w:b w:val="0"/>
              </w:rPr>
              <w:t>El señor Hernández permaneció detenido en la Comisaría de Monte Grande entre febrero de 1989 y agosto de 1990, pese a que por lo menos en dos ocasiones el Jefe de la Policía de la Provincia de Buenos Aires solicitó su envío a una unidad carcelaria</w:t>
            </w:r>
            <w:r w:rsidR="00422CD5" w:rsidRPr="002A412F">
              <w:rPr>
                <w:rFonts w:asciiTheme="majorHAnsi" w:hAnsiTheme="majorHAnsi"/>
                <w:b w:val="0"/>
              </w:rPr>
              <w:t>,</w:t>
            </w:r>
            <w:r w:rsidRPr="002A412F">
              <w:rPr>
                <w:rFonts w:asciiTheme="majorHAnsi" w:hAnsiTheme="majorHAnsi"/>
                <w:b w:val="0"/>
              </w:rPr>
              <w:t xml:space="preserve"> ya que la Comisaría tenía una gran cantidad de detenidos y carecía de espacio físico para su alojamiento. Aunque en atención al primer pedido el Juez de la causa ordenó el traslado del señor Hernández a la Unidad Carcelaria No. 1 del Servicio Penitenciario de la Provincia de Buenos Aires</w:t>
            </w:r>
            <w:r w:rsidR="00AA5B1A" w:rsidRPr="002A412F">
              <w:rPr>
                <w:rFonts w:asciiTheme="majorHAnsi" w:hAnsiTheme="majorHAnsi"/>
                <w:b w:val="0"/>
              </w:rPr>
              <w:t xml:space="preserve"> (en adelante, </w:t>
            </w:r>
            <w:r w:rsidR="009F2EED" w:rsidRPr="002A412F">
              <w:rPr>
                <w:rFonts w:asciiTheme="majorHAnsi" w:hAnsiTheme="majorHAnsi"/>
                <w:b w:val="0"/>
              </w:rPr>
              <w:t>“</w:t>
            </w:r>
            <w:r w:rsidR="00772260" w:rsidRPr="002A412F">
              <w:rPr>
                <w:rFonts w:asciiTheme="majorHAnsi" w:hAnsiTheme="majorHAnsi"/>
                <w:b w:val="0"/>
              </w:rPr>
              <w:t>Unidad</w:t>
            </w:r>
            <w:r w:rsidR="009F2EED" w:rsidRPr="002A412F">
              <w:rPr>
                <w:rFonts w:asciiTheme="majorHAnsi" w:hAnsiTheme="majorHAnsi"/>
                <w:b w:val="0"/>
              </w:rPr>
              <w:t xml:space="preserve"> No. 1”)</w:t>
            </w:r>
            <w:r w:rsidRPr="002A412F">
              <w:rPr>
                <w:rFonts w:asciiTheme="majorHAnsi" w:hAnsiTheme="majorHAnsi"/>
                <w:b w:val="0"/>
              </w:rPr>
              <w:t xml:space="preserve">, este no llegó a concretarse. </w:t>
            </w:r>
            <w:r w:rsidR="00422CD5" w:rsidRPr="002A412F">
              <w:rPr>
                <w:rFonts w:asciiTheme="majorHAnsi" w:hAnsiTheme="majorHAnsi"/>
                <w:b w:val="0"/>
              </w:rPr>
              <w:t>Recién en</w:t>
            </w:r>
            <w:r w:rsidRPr="002A412F">
              <w:rPr>
                <w:rFonts w:asciiTheme="majorHAnsi" w:hAnsiTheme="majorHAnsi"/>
                <w:b w:val="0"/>
              </w:rPr>
              <w:t xml:space="preserve"> junio de 1990</w:t>
            </w:r>
            <w:r w:rsidR="00422CD5" w:rsidRPr="002A412F">
              <w:rPr>
                <w:rFonts w:asciiTheme="majorHAnsi" w:hAnsiTheme="majorHAnsi"/>
                <w:b w:val="0"/>
              </w:rPr>
              <w:t>,</w:t>
            </w:r>
            <w:r w:rsidRPr="002A412F">
              <w:rPr>
                <w:rFonts w:asciiTheme="majorHAnsi" w:hAnsiTheme="majorHAnsi"/>
                <w:b w:val="0"/>
              </w:rPr>
              <w:t xml:space="preserve"> un segundo pedido de traslado fue autorizado, y se llevó a cabo en agosto de ese mismo año.</w:t>
            </w:r>
          </w:p>
          <w:p w14:paraId="4E0BF1E3" w14:textId="648B2F60" w:rsidR="00C53725" w:rsidRPr="002A412F" w:rsidRDefault="009F2EED" w:rsidP="00942174">
            <w:pPr>
              <w:spacing w:line="240" w:lineRule="auto"/>
              <w:jc w:val="both"/>
              <w:rPr>
                <w:rFonts w:asciiTheme="majorHAnsi" w:hAnsiTheme="majorHAnsi"/>
                <w:b w:val="0"/>
              </w:rPr>
            </w:pPr>
            <w:r w:rsidRPr="002A412F">
              <w:rPr>
                <w:rFonts w:asciiTheme="majorHAnsi" w:hAnsiTheme="majorHAnsi"/>
                <w:b w:val="0"/>
              </w:rPr>
              <w:t>En julio de 1989, mientras se encontraba detenid</w:t>
            </w:r>
            <w:r w:rsidR="001004A9" w:rsidRPr="002A412F">
              <w:rPr>
                <w:rFonts w:asciiTheme="majorHAnsi" w:hAnsiTheme="majorHAnsi"/>
                <w:b w:val="0"/>
              </w:rPr>
              <w:t xml:space="preserve">o en la Comisaría, </w:t>
            </w:r>
            <w:r w:rsidR="003A5648" w:rsidRPr="002A412F">
              <w:rPr>
                <w:rFonts w:asciiTheme="majorHAnsi" w:hAnsiTheme="majorHAnsi"/>
                <w:b w:val="0"/>
              </w:rPr>
              <w:t xml:space="preserve">el señor Hernández </w:t>
            </w:r>
            <w:r w:rsidR="00422CD5" w:rsidRPr="002A412F">
              <w:rPr>
                <w:rFonts w:asciiTheme="majorHAnsi" w:hAnsiTheme="majorHAnsi"/>
                <w:b w:val="0"/>
              </w:rPr>
              <w:t xml:space="preserve">tuvo </w:t>
            </w:r>
            <w:r w:rsidR="003A5648" w:rsidRPr="002A412F">
              <w:rPr>
                <w:rFonts w:asciiTheme="majorHAnsi" w:hAnsiTheme="majorHAnsi"/>
                <w:b w:val="0"/>
              </w:rPr>
              <w:t>un cuadro de gripe y una afección al oído que, de acuerdo a la denuncia de su madre, no recibió la atención médica adecuada.</w:t>
            </w:r>
            <w:r w:rsidR="00385CF8" w:rsidRPr="002A412F">
              <w:rPr>
                <w:rFonts w:asciiTheme="majorHAnsi" w:hAnsiTheme="majorHAnsi"/>
                <w:b w:val="0"/>
              </w:rPr>
              <w:t xml:space="preserve"> </w:t>
            </w:r>
            <w:r w:rsidR="00422CD5" w:rsidRPr="002A412F">
              <w:rPr>
                <w:rFonts w:asciiTheme="majorHAnsi" w:hAnsiTheme="majorHAnsi"/>
                <w:b w:val="0"/>
              </w:rPr>
              <w:t>Posteriormente</w:t>
            </w:r>
            <w:r w:rsidR="00280882" w:rsidRPr="002A412F">
              <w:rPr>
                <w:rFonts w:asciiTheme="majorHAnsi" w:hAnsiTheme="majorHAnsi"/>
                <w:b w:val="0"/>
              </w:rPr>
              <w:t>, en agosto de 1990</w:t>
            </w:r>
            <w:r w:rsidR="009C080A" w:rsidRPr="002A412F">
              <w:rPr>
                <w:rFonts w:asciiTheme="majorHAnsi" w:hAnsiTheme="majorHAnsi"/>
                <w:b w:val="0"/>
              </w:rPr>
              <w:t>, mientras aún se encontraba recluido en la Comisaría,</w:t>
            </w:r>
            <w:r w:rsidR="00AA5B1A" w:rsidRPr="002A412F">
              <w:rPr>
                <w:rFonts w:asciiTheme="majorHAnsi" w:hAnsiTheme="majorHAnsi"/>
                <w:b w:val="0"/>
              </w:rPr>
              <w:t xml:space="preserve"> </w:t>
            </w:r>
            <w:r w:rsidR="00280882" w:rsidRPr="002A412F">
              <w:rPr>
                <w:rFonts w:asciiTheme="majorHAnsi" w:hAnsiTheme="majorHAnsi"/>
                <w:b w:val="0"/>
              </w:rPr>
              <w:t xml:space="preserve">el señor Hernández manifestó sufrir serios dolores encefálicos por varios días. Aunque se solicitó un examen médico y una verificación de las condiciones sanitarias de la Comisaría, no consta en el expediente </w:t>
            </w:r>
            <w:r w:rsidR="00631AD7" w:rsidRPr="002A412F">
              <w:rPr>
                <w:rFonts w:asciiTheme="majorHAnsi" w:hAnsiTheme="majorHAnsi"/>
                <w:b w:val="0"/>
              </w:rPr>
              <w:t xml:space="preserve">del caso </w:t>
            </w:r>
            <w:r w:rsidR="00280882" w:rsidRPr="002A412F">
              <w:rPr>
                <w:rFonts w:asciiTheme="majorHAnsi" w:hAnsiTheme="majorHAnsi"/>
                <w:b w:val="0"/>
              </w:rPr>
              <w:t>que se hubiera</w:t>
            </w:r>
            <w:r w:rsidR="001148AD" w:rsidRPr="002A412F">
              <w:rPr>
                <w:rFonts w:asciiTheme="majorHAnsi" w:hAnsiTheme="majorHAnsi"/>
                <w:b w:val="0"/>
              </w:rPr>
              <w:t>n</w:t>
            </w:r>
            <w:r w:rsidR="00280882" w:rsidRPr="002A412F">
              <w:rPr>
                <w:rFonts w:asciiTheme="majorHAnsi" w:hAnsiTheme="majorHAnsi"/>
                <w:b w:val="0"/>
              </w:rPr>
              <w:t xml:space="preserve"> realizado. </w:t>
            </w:r>
            <w:r w:rsidR="00092606" w:rsidRPr="002A412F">
              <w:rPr>
                <w:rFonts w:asciiTheme="majorHAnsi" w:hAnsiTheme="majorHAnsi"/>
                <w:b w:val="0"/>
              </w:rPr>
              <w:t xml:space="preserve">Ese mismo mes, </w:t>
            </w:r>
            <w:r w:rsidR="00422CD5" w:rsidRPr="002A412F">
              <w:rPr>
                <w:rFonts w:asciiTheme="majorHAnsi" w:hAnsiTheme="majorHAnsi"/>
                <w:b w:val="0"/>
              </w:rPr>
              <w:t xml:space="preserve">debido a que la Unidad No. 1 no contaba con los medios para atender adecuadamente al señor Hernández, este </w:t>
            </w:r>
            <w:r w:rsidR="00092606" w:rsidRPr="002A412F">
              <w:rPr>
                <w:rFonts w:asciiTheme="majorHAnsi" w:hAnsiTheme="majorHAnsi"/>
                <w:b w:val="0"/>
              </w:rPr>
              <w:t>fue internado en el Hospital San Juan de Dios don</w:t>
            </w:r>
            <w:r w:rsidR="00C53725" w:rsidRPr="002A412F">
              <w:rPr>
                <w:rFonts w:asciiTheme="majorHAnsi" w:hAnsiTheme="majorHAnsi"/>
                <w:b w:val="0"/>
              </w:rPr>
              <w:t>de se le diagnosticó “meningitis</w:t>
            </w:r>
            <w:r w:rsidR="00F94889" w:rsidRPr="002A412F">
              <w:rPr>
                <w:rFonts w:asciiTheme="majorHAnsi" w:hAnsiTheme="majorHAnsi"/>
                <w:b w:val="0"/>
              </w:rPr>
              <w:t xml:space="preserve"> de probable etiología T.B.C.”</w:t>
            </w:r>
            <w:r w:rsidR="00E330A8" w:rsidRPr="002A412F">
              <w:rPr>
                <w:rFonts w:asciiTheme="majorHAnsi" w:hAnsiTheme="majorHAnsi"/>
                <w:b w:val="0"/>
              </w:rPr>
              <w:t>, la cual habría adquirido dura</w:t>
            </w:r>
            <w:r w:rsidR="006B258D" w:rsidRPr="002A412F">
              <w:rPr>
                <w:rFonts w:asciiTheme="majorHAnsi" w:hAnsiTheme="majorHAnsi"/>
                <w:b w:val="0"/>
              </w:rPr>
              <w:t>nte su tiempo de reclusión</w:t>
            </w:r>
            <w:r w:rsidR="00F94889" w:rsidRPr="002A412F">
              <w:rPr>
                <w:rFonts w:asciiTheme="majorHAnsi" w:hAnsiTheme="majorHAnsi"/>
                <w:b w:val="0"/>
              </w:rPr>
              <w:t>.</w:t>
            </w:r>
          </w:p>
          <w:p w14:paraId="3B4B7EC9" w14:textId="0F11515C" w:rsidR="0064712C" w:rsidRPr="002A412F" w:rsidRDefault="004A43A5" w:rsidP="00942174">
            <w:pPr>
              <w:spacing w:line="240" w:lineRule="auto"/>
              <w:jc w:val="both"/>
              <w:rPr>
                <w:rFonts w:asciiTheme="majorHAnsi" w:hAnsiTheme="majorHAnsi"/>
                <w:b w:val="0"/>
              </w:rPr>
            </w:pPr>
            <w:r w:rsidRPr="002A412F">
              <w:rPr>
                <w:rFonts w:asciiTheme="majorHAnsi" w:hAnsiTheme="majorHAnsi"/>
                <w:b w:val="0"/>
              </w:rPr>
              <w:t>Días después</w:t>
            </w:r>
            <w:r w:rsidR="00F743A6" w:rsidRPr="002A412F">
              <w:rPr>
                <w:rFonts w:asciiTheme="majorHAnsi" w:hAnsiTheme="majorHAnsi"/>
                <w:b w:val="0"/>
              </w:rPr>
              <w:t xml:space="preserve">, </w:t>
            </w:r>
            <w:r w:rsidR="0087587D" w:rsidRPr="002A412F">
              <w:rPr>
                <w:rFonts w:asciiTheme="majorHAnsi" w:hAnsiTheme="majorHAnsi"/>
                <w:b w:val="0"/>
              </w:rPr>
              <w:t>fue trasladado a la Sala Neuropsiquiátrica del Hospital A</w:t>
            </w:r>
            <w:r w:rsidR="00772260" w:rsidRPr="002A412F">
              <w:rPr>
                <w:rFonts w:asciiTheme="majorHAnsi" w:hAnsiTheme="majorHAnsi"/>
                <w:b w:val="0"/>
              </w:rPr>
              <w:t>lejandro Korn de Melchor Romero para ser atendido debido a la falta de disponibilidad de camas en el Hospital San Juan de Dios. E</w:t>
            </w:r>
            <w:r w:rsidR="00422CD5" w:rsidRPr="002A412F">
              <w:rPr>
                <w:rFonts w:asciiTheme="majorHAnsi" w:hAnsiTheme="majorHAnsi"/>
                <w:b w:val="0"/>
              </w:rPr>
              <w:t>n</w:t>
            </w:r>
            <w:r w:rsidR="00772260" w:rsidRPr="002A412F">
              <w:rPr>
                <w:rFonts w:asciiTheme="majorHAnsi" w:hAnsiTheme="majorHAnsi"/>
                <w:b w:val="0"/>
              </w:rPr>
              <w:t xml:space="preserve"> septiembre de 1990, dada su evolución favorable, </w:t>
            </w:r>
            <w:r w:rsidR="00772260" w:rsidRPr="003E0F3B">
              <w:rPr>
                <w:rFonts w:asciiTheme="majorHAnsi" w:hAnsiTheme="majorHAnsi"/>
                <w:b w:val="0"/>
              </w:rPr>
              <w:t>reingresó</w:t>
            </w:r>
            <w:r w:rsidR="00772260" w:rsidRPr="002A412F">
              <w:rPr>
                <w:rFonts w:asciiTheme="majorHAnsi" w:hAnsiTheme="majorHAnsi"/>
                <w:b w:val="0"/>
              </w:rPr>
              <w:t xml:space="preserve"> a la Unidad No. 1</w:t>
            </w:r>
            <w:r w:rsidR="006E4641" w:rsidRPr="002A412F">
              <w:rPr>
                <w:rFonts w:asciiTheme="majorHAnsi" w:hAnsiTheme="majorHAnsi"/>
                <w:b w:val="0"/>
              </w:rPr>
              <w:t xml:space="preserve">. </w:t>
            </w:r>
            <w:r w:rsidR="00D95A57" w:rsidRPr="002A412F">
              <w:rPr>
                <w:rFonts w:asciiTheme="majorHAnsi" w:hAnsiTheme="majorHAnsi"/>
                <w:b w:val="0"/>
              </w:rPr>
              <w:t xml:space="preserve">Algunos días después de su reingreso a la Unidad No. 1, fue condenado a cinco años de prisión, sentencia que fue confirmada en mayo de 1991 tras los recursos de apelación interpuestos </w:t>
            </w:r>
            <w:r w:rsidR="003E0F3B">
              <w:rPr>
                <w:rFonts w:asciiTheme="majorHAnsi" w:hAnsiTheme="majorHAnsi"/>
                <w:b w:val="0"/>
              </w:rPr>
              <w:t>a</w:t>
            </w:r>
            <w:r w:rsidR="00D95A57" w:rsidRPr="002A412F">
              <w:rPr>
                <w:rFonts w:asciiTheme="majorHAnsi" w:hAnsiTheme="majorHAnsi"/>
                <w:b w:val="0"/>
              </w:rPr>
              <w:t xml:space="preserve"> su favor.</w:t>
            </w:r>
            <w:r w:rsidR="0064712C" w:rsidRPr="002A412F">
              <w:rPr>
                <w:rFonts w:asciiTheme="majorHAnsi" w:hAnsiTheme="majorHAnsi"/>
                <w:b w:val="0"/>
              </w:rPr>
              <w:t xml:space="preserve"> </w:t>
            </w:r>
            <w:r w:rsidR="00084490" w:rsidRPr="002A412F">
              <w:rPr>
                <w:rFonts w:asciiTheme="majorHAnsi" w:hAnsiTheme="majorHAnsi"/>
                <w:b w:val="0"/>
              </w:rPr>
              <w:t xml:space="preserve">En octubre de </w:t>
            </w:r>
            <w:r w:rsidR="00422CD5" w:rsidRPr="002A412F">
              <w:rPr>
                <w:rFonts w:asciiTheme="majorHAnsi" w:hAnsiTheme="majorHAnsi"/>
                <w:b w:val="0"/>
              </w:rPr>
              <w:t>1990</w:t>
            </w:r>
            <w:r w:rsidR="00084490" w:rsidRPr="002A412F">
              <w:rPr>
                <w:rFonts w:asciiTheme="majorHAnsi" w:hAnsiTheme="majorHAnsi"/>
                <w:b w:val="0"/>
              </w:rPr>
              <w:t>, el Director del Hospital San Juan de Dios se negó en dos ocasiones a internar al señor Hernández a pesar que este requería la atención</w:t>
            </w:r>
            <w:r w:rsidR="0064712C" w:rsidRPr="002A412F">
              <w:rPr>
                <w:rFonts w:asciiTheme="majorHAnsi" w:hAnsiTheme="majorHAnsi"/>
                <w:b w:val="0"/>
              </w:rPr>
              <w:t xml:space="preserve">, </w:t>
            </w:r>
            <w:r w:rsidR="00A84250" w:rsidRPr="002A412F">
              <w:rPr>
                <w:rFonts w:asciiTheme="majorHAnsi" w:hAnsiTheme="majorHAnsi"/>
                <w:b w:val="0"/>
              </w:rPr>
              <w:t>argumentando</w:t>
            </w:r>
            <w:r w:rsidR="0064712C" w:rsidRPr="002A412F">
              <w:rPr>
                <w:rFonts w:asciiTheme="majorHAnsi" w:hAnsiTheme="majorHAnsi"/>
                <w:b w:val="0"/>
              </w:rPr>
              <w:t xml:space="preserve"> que</w:t>
            </w:r>
            <w:r w:rsidR="00A84250" w:rsidRPr="002A412F">
              <w:rPr>
                <w:rFonts w:asciiTheme="majorHAnsi" w:hAnsiTheme="majorHAnsi"/>
                <w:b w:val="0"/>
              </w:rPr>
              <w:t xml:space="preserve"> e</w:t>
            </w:r>
            <w:r w:rsidR="002E542C" w:rsidRPr="002A412F">
              <w:rPr>
                <w:rFonts w:asciiTheme="majorHAnsi" w:hAnsiTheme="majorHAnsi"/>
                <w:b w:val="0"/>
              </w:rPr>
              <w:t>ste</w:t>
            </w:r>
            <w:r w:rsidR="00084490" w:rsidRPr="002A412F">
              <w:rPr>
                <w:rFonts w:asciiTheme="majorHAnsi" w:hAnsiTheme="majorHAnsi"/>
                <w:b w:val="0"/>
              </w:rPr>
              <w:t xml:space="preserve"> debía pasar pr</w:t>
            </w:r>
            <w:r w:rsidR="0064712C" w:rsidRPr="002A412F">
              <w:rPr>
                <w:rFonts w:asciiTheme="majorHAnsi" w:hAnsiTheme="majorHAnsi"/>
                <w:b w:val="0"/>
              </w:rPr>
              <w:t>imero por consultorios externos</w:t>
            </w:r>
            <w:r w:rsidR="00A84250" w:rsidRPr="002A412F">
              <w:rPr>
                <w:rFonts w:asciiTheme="majorHAnsi" w:hAnsiTheme="majorHAnsi"/>
                <w:b w:val="0"/>
              </w:rPr>
              <w:t xml:space="preserve"> y</w:t>
            </w:r>
            <w:r w:rsidR="00084490" w:rsidRPr="002A412F">
              <w:rPr>
                <w:rFonts w:asciiTheme="majorHAnsi" w:hAnsiTheme="majorHAnsi"/>
                <w:b w:val="0"/>
              </w:rPr>
              <w:t xml:space="preserve"> que no </w:t>
            </w:r>
            <w:r w:rsidR="00914FDF" w:rsidRPr="002A412F">
              <w:rPr>
                <w:rFonts w:asciiTheme="majorHAnsi" w:hAnsiTheme="majorHAnsi"/>
                <w:b w:val="0"/>
              </w:rPr>
              <w:t>había</w:t>
            </w:r>
            <w:r w:rsidR="00084490" w:rsidRPr="002A412F">
              <w:rPr>
                <w:rFonts w:asciiTheme="majorHAnsi" w:hAnsiTheme="majorHAnsi"/>
                <w:b w:val="0"/>
              </w:rPr>
              <w:t xml:space="preserve"> camas disponibles</w:t>
            </w:r>
            <w:r w:rsidR="00A84250" w:rsidRPr="002A412F">
              <w:rPr>
                <w:rFonts w:asciiTheme="majorHAnsi" w:hAnsiTheme="majorHAnsi"/>
                <w:b w:val="0"/>
              </w:rPr>
              <w:t xml:space="preserve"> en el hospital</w:t>
            </w:r>
            <w:r w:rsidR="00084490" w:rsidRPr="002A412F">
              <w:rPr>
                <w:rFonts w:asciiTheme="majorHAnsi" w:hAnsiTheme="majorHAnsi"/>
                <w:b w:val="0"/>
              </w:rPr>
              <w:t>.</w:t>
            </w:r>
            <w:r w:rsidR="00A2584A" w:rsidRPr="002A412F">
              <w:rPr>
                <w:rFonts w:asciiTheme="majorHAnsi" w:hAnsiTheme="majorHAnsi"/>
                <w:b w:val="0"/>
              </w:rPr>
              <w:t xml:space="preserve"> </w:t>
            </w:r>
          </w:p>
          <w:p w14:paraId="5A4BBF62" w14:textId="266AE7F4" w:rsidR="008B294B" w:rsidRPr="002A412F" w:rsidRDefault="00A84250" w:rsidP="00942174">
            <w:pPr>
              <w:spacing w:line="240" w:lineRule="auto"/>
              <w:jc w:val="both"/>
              <w:rPr>
                <w:rFonts w:asciiTheme="majorHAnsi" w:hAnsiTheme="majorHAnsi"/>
                <w:b w:val="0"/>
              </w:rPr>
            </w:pPr>
            <w:r w:rsidRPr="002A412F">
              <w:rPr>
                <w:rFonts w:asciiTheme="majorHAnsi" w:hAnsiTheme="majorHAnsi"/>
                <w:b w:val="0"/>
              </w:rPr>
              <w:t>En vista de estos hechos, l</w:t>
            </w:r>
            <w:r w:rsidR="00A2584A" w:rsidRPr="002A412F">
              <w:rPr>
                <w:rFonts w:asciiTheme="majorHAnsi" w:hAnsiTheme="majorHAnsi"/>
                <w:b w:val="0"/>
              </w:rPr>
              <w:t>a defensa del señor Hernández solicitó su excarcelación extraordinaria</w:t>
            </w:r>
            <w:r w:rsidRPr="002A412F">
              <w:rPr>
                <w:rFonts w:asciiTheme="majorHAnsi" w:hAnsiTheme="majorHAnsi"/>
                <w:b w:val="0"/>
              </w:rPr>
              <w:t>. Sin embargo</w:t>
            </w:r>
            <w:r w:rsidR="00A2584A" w:rsidRPr="002A412F">
              <w:rPr>
                <w:rFonts w:asciiTheme="majorHAnsi" w:hAnsiTheme="majorHAnsi"/>
                <w:b w:val="0"/>
              </w:rPr>
              <w:t>, la s</w:t>
            </w:r>
            <w:r w:rsidR="00866DC2" w:rsidRPr="002A412F">
              <w:rPr>
                <w:rFonts w:asciiTheme="majorHAnsi" w:hAnsiTheme="majorHAnsi"/>
                <w:b w:val="0"/>
              </w:rPr>
              <w:t xml:space="preserve">olicitud fue negada sosteniendo, entre otros argumentos, que se le estaba brindando asistencia médica adecuada. </w:t>
            </w:r>
            <w:r w:rsidR="00CA51CB" w:rsidRPr="002A412F">
              <w:rPr>
                <w:rFonts w:asciiTheme="majorHAnsi" w:hAnsiTheme="majorHAnsi"/>
                <w:b w:val="0"/>
              </w:rPr>
              <w:t>En noviembre de 1990</w:t>
            </w:r>
            <w:r w:rsidR="002E542C" w:rsidRPr="002A412F">
              <w:rPr>
                <w:rFonts w:asciiTheme="majorHAnsi" w:hAnsiTheme="majorHAnsi"/>
                <w:b w:val="0"/>
              </w:rPr>
              <w:t>,</w:t>
            </w:r>
            <w:r w:rsidR="00CA51CB" w:rsidRPr="002A412F">
              <w:rPr>
                <w:rFonts w:asciiTheme="majorHAnsi" w:hAnsiTheme="majorHAnsi"/>
                <w:b w:val="0"/>
              </w:rPr>
              <w:t xml:space="preserve"> el señor Hernández fue trasladado al Hospital San Martín de la Plata</w:t>
            </w:r>
            <w:r w:rsidR="0064712C" w:rsidRPr="002A412F">
              <w:rPr>
                <w:rFonts w:asciiTheme="majorHAnsi" w:hAnsiTheme="majorHAnsi"/>
                <w:b w:val="0"/>
              </w:rPr>
              <w:t xml:space="preserve"> para tratarse</w:t>
            </w:r>
            <w:r w:rsidR="00CA51CB" w:rsidRPr="002A412F">
              <w:rPr>
                <w:rFonts w:asciiTheme="majorHAnsi" w:hAnsiTheme="majorHAnsi"/>
                <w:b w:val="0"/>
              </w:rPr>
              <w:t xml:space="preserve">, pero nuevamente </w:t>
            </w:r>
            <w:r w:rsidR="00855776" w:rsidRPr="002A412F">
              <w:rPr>
                <w:rFonts w:asciiTheme="majorHAnsi" w:hAnsiTheme="majorHAnsi"/>
                <w:b w:val="0"/>
              </w:rPr>
              <w:t xml:space="preserve">regresó </w:t>
            </w:r>
            <w:r w:rsidR="00CA51CB" w:rsidRPr="002A412F">
              <w:rPr>
                <w:rFonts w:asciiTheme="majorHAnsi" w:hAnsiTheme="majorHAnsi"/>
                <w:b w:val="0"/>
              </w:rPr>
              <w:t>días después a la Unidad No. 1 sin autorización del juez.</w:t>
            </w:r>
            <w:r w:rsidR="0064712C" w:rsidRPr="002A412F">
              <w:rPr>
                <w:rFonts w:asciiTheme="majorHAnsi" w:hAnsiTheme="majorHAnsi"/>
                <w:b w:val="0"/>
              </w:rPr>
              <w:t xml:space="preserve"> </w:t>
            </w:r>
            <w:r w:rsidR="003605A2" w:rsidRPr="002A412F">
              <w:rPr>
                <w:rFonts w:asciiTheme="majorHAnsi" w:hAnsiTheme="majorHAnsi"/>
                <w:b w:val="0"/>
              </w:rPr>
              <w:t xml:space="preserve">En abril de 1991, un informe del Servicio Penitenciario Provincial dio cuenta de las diversas secuelas que la falta de atención adecuada de las enfermedades padecidas por el señor Hernández </w:t>
            </w:r>
            <w:r w:rsidRPr="002A412F">
              <w:rPr>
                <w:rFonts w:asciiTheme="majorHAnsi" w:hAnsiTheme="majorHAnsi"/>
                <w:b w:val="0"/>
              </w:rPr>
              <w:t>había dejado</w:t>
            </w:r>
            <w:r w:rsidR="003605A2" w:rsidRPr="002A412F">
              <w:rPr>
                <w:rFonts w:asciiTheme="majorHAnsi" w:hAnsiTheme="majorHAnsi"/>
                <w:b w:val="0"/>
              </w:rPr>
              <w:t xml:space="preserve">. En mayo de 1991, el señor Hernández obtuvo la libertad condicional. Entre las consecuencias de la meningitis que padeció, </w:t>
            </w:r>
            <w:r w:rsidRPr="002A412F">
              <w:rPr>
                <w:rFonts w:asciiTheme="majorHAnsi" w:hAnsiTheme="majorHAnsi"/>
                <w:b w:val="0"/>
              </w:rPr>
              <w:t>estuvieron</w:t>
            </w:r>
            <w:r w:rsidR="003605A2" w:rsidRPr="002A412F">
              <w:rPr>
                <w:rFonts w:asciiTheme="majorHAnsi" w:hAnsiTheme="majorHAnsi"/>
                <w:b w:val="0"/>
              </w:rPr>
              <w:t xml:space="preserve"> la</w:t>
            </w:r>
            <w:r w:rsidR="0064712C" w:rsidRPr="002A412F">
              <w:rPr>
                <w:rFonts w:asciiTheme="majorHAnsi" w:hAnsiTheme="majorHAnsi"/>
                <w:b w:val="0"/>
              </w:rPr>
              <w:t xml:space="preserve"> pérdida absoluta de la visión en un ojo, incapacidad parcial y </w:t>
            </w:r>
            <w:r w:rsidR="00AE6E28" w:rsidRPr="002A412F">
              <w:rPr>
                <w:rFonts w:asciiTheme="majorHAnsi" w:hAnsiTheme="majorHAnsi"/>
                <w:b w:val="0"/>
              </w:rPr>
              <w:t xml:space="preserve">miembro superior </w:t>
            </w:r>
            <w:r w:rsidR="00F94889" w:rsidRPr="002A412F">
              <w:rPr>
                <w:rFonts w:asciiTheme="majorHAnsi" w:hAnsiTheme="majorHAnsi"/>
                <w:b w:val="0"/>
              </w:rPr>
              <w:t>izquierdo</w:t>
            </w:r>
            <w:r w:rsidR="00B5375C" w:rsidRPr="002A412F">
              <w:rPr>
                <w:rFonts w:asciiTheme="majorHAnsi" w:hAnsiTheme="majorHAnsi"/>
                <w:b w:val="0"/>
              </w:rPr>
              <w:t>,</w:t>
            </w:r>
            <w:r w:rsidR="0064712C" w:rsidRPr="002A412F">
              <w:rPr>
                <w:rFonts w:asciiTheme="majorHAnsi" w:hAnsiTheme="majorHAnsi"/>
                <w:b w:val="0"/>
              </w:rPr>
              <w:t xml:space="preserve"> pérdida de memoria y daño psíquico</w:t>
            </w:r>
            <w:r w:rsidR="003605A2" w:rsidRPr="002A412F">
              <w:rPr>
                <w:rFonts w:asciiTheme="majorHAnsi" w:hAnsiTheme="majorHAnsi"/>
                <w:b w:val="0"/>
              </w:rPr>
              <w:t>.</w:t>
            </w:r>
          </w:p>
          <w:p w14:paraId="26F9EEB1" w14:textId="1F38C9E7" w:rsidR="009A070D" w:rsidRPr="002A412F" w:rsidRDefault="002C3584" w:rsidP="00942174">
            <w:pPr>
              <w:spacing w:line="240" w:lineRule="auto"/>
              <w:jc w:val="both"/>
              <w:rPr>
                <w:rFonts w:asciiTheme="majorHAnsi" w:hAnsiTheme="majorHAnsi"/>
                <w:b w:val="0"/>
              </w:rPr>
            </w:pPr>
            <w:r w:rsidRPr="002A412F">
              <w:rPr>
                <w:rFonts w:asciiTheme="majorHAnsi" w:hAnsiTheme="majorHAnsi"/>
                <w:b w:val="0"/>
              </w:rPr>
              <w:t xml:space="preserve">En abril de 1993, el señor Hernández presentó una demanda civil de daños y perjuicios contra la Jefatura de la Policía de la Provincia de Buenos Aires por la enfermedad que contrajo mientras se encontraba detenido, la falta de atención adecuada y las secuelas de la misma. Su demanda </w:t>
            </w:r>
            <w:r w:rsidR="00DB6911" w:rsidRPr="002A412F">
              <w:rPr>
                <w:rFonts w:asciiTheme="majorHAnsi" w:hAnsiTheme="majorHAnsi"/>
                <w:b w:val="0"/>
              </w:rPr>
              <w:t xml:space="preserve">fue rechazada con base en el artículo 4037 del Código Civil vigente, </w:t>
            </w:r>
            <w:r w:rsidR="00252861" w:rsidRPr="002A412F">
              <w:rPr>
                <w:rFonts w:asciiTheme="majorHAnsi" w:hAnsiTheme="majorHAnsi"/>
                <w:b w:val="0"/>
              </w:rPr>
              <w:t xml:space="preserve">que determinaba la prescripción de la acción por responsabilidad extracontractual contra el Estado </w:t>
            </w:r>
            <w:r w:rsidR="009A070D" w:rsidRPr="002A412F">
              <w:rPr>
                <w:rFonts w:asciiTheme="majorHAnsi" w:hAnsiTheme="majorHAnsi"/>
                <w:b w:val="0"/>
              </w:rPr>
              <w:t xml:space="preserve">tras dos años. Así, se argumentó que la producción del daño se dio en octubre de 1990, por lo que para el momento del planteamiento de la demanda ya había prescrito. La </w:t>
            </w:r>
            <w:r w:rsidR="009A070D" w:rsidRPr="002A412F">
              <w:rPr>
                <w:rFonts w:asciiTheme="majorHAnsi" w:hAnsiTheme="majorHAnsi"/>
                <w:b w:val="0"/>
              </w:rPr>
              <w:lastRenderedPageBreak/>
              <w:t>defensa del señor Hernández planteó un recurso de apelación, pero la Sala Primera de la Cámara 1° de Apelación confirmó la sentencia en septiembre de 1996.</w:t>
            </w:r>
          </w:p>
          <w:p w14:paraId="5D46B8D7" w14:textId="380B84A2" w:rsidR="00590D72" w:rsidRPr="002A412F" w:rsidRDefault="001877A6" w:rsidP="00942174">
            <w:pPr>
              <w:spacing w:line="240" w:lineRule="auto"/>
              <w:jc w:val="both"/>
              <w:rPr>
                <w:rFonts w:asciiTheme="majorHAnsi" w:hAnsiTheme="majorHAnsi"/>
                <w:b w:val="0"/>
              </w:rPr>
            </w:pPr>
            <w:r w:rsidRPr="002A412F">
              <w:rPr>
                <w:rFonts w:asciiTheme="majorHAnsi" w:hAnsiTheme="majorHAnsi"/>
                <w:b w:val="0"/>
              </w:rPr>
              <w:t xml:space="preserve">En octubre de </w:t>
            </w:r>
            <w:r w:rsidR="00415475" w:rsidRPr="002A412F">
              <w:rPr>
                <w:rFonts w:asciiTheme="majorHAnsi" w:hAnsiTheme="majorHAnsi"/>
                <w:b w:val="0"/>
              </w:rPr>
              <w:t>1996</w:t>
            </w:r>
            <w:r w:rsidRPr="002A412F">
              <w:rPr>
                <w:rFonts w:asciiTheme="majorHAnsi" w:hAnsiTheme="majorHAnsi"/>
                <w:b w:val="0"/>
              </w:rPr>
              <w:t xml:space="preserve">, </w:t>
            </w:r>
            <w:r w:rsidR="00855776" w:rsidRPr="002A412F">
              <w:rPr>
                <w:rFonts w:asciiTheme="majorHAnsi" w:hAnsiTheme="majorHAnsi"/>
                <w:b w:val="0"/>
              </w:rPr>
              <w:t xml:space="preserve">el señor Hernández </w:t>
            </w:r>
            <w:r w:rsidRPr="002A412F">
              <w:rPr>
                <w:rFonts w:asciiTheme="majorHAnsi" w:hAnsiTheme="majorHAnsi"/>
                <w:b w:val="0"/>
              </w:rPr>
              <w:t xml:space="preserve">interpuso ante la Suprema Corte de Justicia de la Provincia de Buenos Aires un recurso extraordinario de inaplicabilidad </w:t>
            </w:r>
            <w:r w:rsidR="00D7699E" w:rsidRPr="002A412F">
              <w:rPr>
                <w:rFonts w:asciiTheme="majorHAnsi" w:hAnsiTheme="majorHAnsi"/>
                <w:b w:val="0"/>
              </w:rPr>
              <w:t xml:space="preserve">de la ley, </w:t>
            </w:r>
            <w:r w:rsidR="00855776" w:rsidRPr="002A412F">
              <w:rPr>
                <w:rFonts w:asciiTheme="majorHAnsi" w:hAnsiTheme="majorHAnsi"/>
                <w:b w:val="0"/>
              </w:rPr>
              <w:t>que</w:t>
            </w:r>
            <w:r w:rsidR="00D7699E" w:rsidRPr="002A412F">
              <w:rPr>
                <w:rFonts w:asciiTheme="majorHAnsi" w:hAnsiTheme="majorHAnsi"/>
                <w:b w:val="0"/>
              </w:rPr>
              <w:t xml:space="preserve"> fue declarado mal concedido por incumplir los requisitos de ley</w:t>
            </w:r>
            <w:r w:rsidR="00855776" w:rsidRPr="002A412F">
              <w:rPr>
                <w:rFonts w:asciiTheme="majorHAnsi" w:hAnsiTheme="majorHAnsi"/>
                <w:b w:val="0"/>
              </w:rPr>
              <w:t>. Asimismo, presentó</w:t>
            </w:r>
            <w:r w:rsidRPr="002A412F">
              <w:rPr>
                <w:rFonts w:asciiTheme="majorHAnsi" w:hAnsiTheme="majorHAnsi"/>
                <w:b w:val="0"/>
              </w:rPr>
              <w:t xml:space="preserve"> un recurso extraordinario de nulidad</w:t>
            </w:r>
            <w:r w:rsidR="00415475" w:rsidRPr="002A412F">
              <w:rPr>
                <w:rFonts w:asciiTheme="majorHAnsi" w:hAnsiTheme="majorHAnsi"/>
                <w:b w:val="0"/>
              </w:rPr>
              <w:t xml:space="preserve"> en la misma fecha</w:t>
            </w:r>
            <w:r w:rsidRPr="002A412F">
              <w:rPr>
                <w:rFonts w:asciiTheme="majorHAnsi" w:hAnsiTheme="majorHAnsi"/>
                <w:b w:val="0"/>
              </w:rPr>
              <w:t xml:space="preserve">, </w:t>
            </w:r>
            <w:r w:rsidR="00855776" w:rsidRPr="002A412F">
              <w:rPr>
                <w:rFonts w:asciiTheme="majorHAnsi" w:hAnsiTheme="majorHAnsi"/>
                <w:b w:val="0"/>
              </w:rPr>
              <w:t>que</w:t>
            </w:r>
            <w:r w:rsidR="00D7699E" w:rsidRPr="002A412F">
              <w:rPr>
                <w:rFonts w:asciiTheme="majorHAnsi" w:hAnsiTheme="majorHAnsi"/>
                <w:b w:val="0"/>
              </w:rPr>
              <w:t xml:space="preserve"> fue desestimado. </w:t>
            </w:r>
            <w:r w:rsidR="00DC7FAF" w:rsidRPr="002A412F">
              <w:rPr>
                <w:rFonts w:asciiTheme="majorHAnsi" w:hAnsiTheme="majorHAnsi"/>
                <w:b w:val="0"/>
              </w:rPr>
              <w:t>Tras el rechazo de ambos recursos,</w:t>
            </w:r>
            <w:r w:rsidR="00530986" w:rsidRPr="002A412F">
              <w:rPr>
                <w:rFonts w:asciiTheme="majorHAnsi" w:hAnsiTheme="majorHAnsi"/>
                <w:b w:val="0"/>
              </w:rPr>
              <w:t xml:space="preserve"> </w:t>
            </w:r>
            <w:r w:rsidR="00DC7FAF" w:rsidRPr="002A412F">
              <w:rPr>
                <w:rFonts w:asciiTheme="majorHAnsi" w:hAnsiTheme="majorHAnsi"/>
                <w:b w:val="0"/>
              </w:rPr>
              <w:t>el señor Hernández solicitó a esta</w:t>
            </w:r>
            <w:r w:rsidR="00530986" w:rsidRPr="002A412F">
              <w:rPr>
                <w:rFonts w:asciiTheme="majorHAnsi" w:hAnsiTheme="majorHAnsi"/>
                <w:b w:val="0"/>
              </w:rPr>
              <w:t xml:space="preserve"> </w:t>
            </w:r>
            <w:r w:rsidR="00EA3D73">
              <w:rPr>
                <w:rFonts w:asciiTheme="majorHAnsi" w:hAnsiTheme="majorHAnsi"/>
                <w:b w:val="0"/>
              </w:rPr>
              <w:t>instancia</w:t>
            </w:r>
            <w:r w:rsidR="00530986" w:rsidRPr="002A412F">
              <w:rPr>
                <w:rFonts w:asciiTheme="majorHAnsi" w:hAnsiTheme="majorHAnsi"/>
                <w:b w:val="0"/>
              </w:rPr>
              <w:t xml:space="preserve"> la apertura de un recurso extraordinario Federal ante la Corte Suprema de Justicia de la Nación, </w:t>
            </w:r>
            <w:r w:rsidR="00DC7FAF" w:rsidRPr="002A412F">
              <w:rPr>
                <w:rFonts w:asciiTheme="majorHAnsi" w:hAnsiTheme="majorHAnsi"/>
                <w:b w:val="0"/>
              </w:rPr>
              <w:t xml:space="preserve">pero </w:t>
            </w:r>
            <w:r w:rsidR="00530986" w:rsidRPr="002A412F">
              <w:rPr>
                <w:rFonts w:asciiTheme="majorHAnsi" w:hAnsiTheme="majorHAnsi"/>
                <w:b w:val="0"/>
              </w:rPr>
              <w:t>este pedido fue rechazado en abril de 1997. De forma posterior, también fue rechazado el recurso de queja planteado ante la Corte Suprema de Justicia.</w:t>
            </w:r>
          </w:p>
          <w:p w14:paraId="7D2E0750" w14:textId="12FB3C03" w:rsidR="000106A2" w:rsidRPr="002A412F" w:rsidRDefault="00590D72" w:rsidP="00E33459">
            <w:pPr>
              <w:spacing w:after="0" w:line="240" w:lineRule="auto"/>
              <w:jc w:val="both"/>
              <w:rPr>
                <w:rFonts w:asciiTheme="majorHAnsi" w:hAnsiTheme="majorHAnsi"/>
                <w:b w:val="0"/>
              </w:rPr>
            </w:pPr>
            <w:r w:rsidRPr="002A412F">
              <w:rPr>
                <w:rFonts w:asciiTheme="majorHAnsi" w:hAnsiTheme="majorHAnsi"/>
                <w:b w:val="0"/>
              </w:rPr>
              <w:t xml:space="preserve">Frente </w:t>
            </w:r>
            <w:r w:rsidR="00D737CF" w:rsidRPr="002A412F">
              <w:rPr>
                <w:rFonts w:asciiTheme="majorHAnsi" w:hAnsiTheme="majorHAnsi"/>
                <w:b w:val="0"/>
              </w:rPr>
              <w:t xml:space="preserve">a tales hechos, Ciro V. Annicchiarico, Tomás Ojea Quintana y Rodolfo Ojea Quintana Loreto presentaron una petición ante la CIDH, denunciando que el Estado de Argentina había </w:t>
            </w:r>
            <w:r w:rsidR="00F172EF" w:rsidRPr="002A412F">
              <w:rPr>
                <w:rFonts w:asciiTheme="majorHAnsi" w:hAnsiTheme="majorHAnsi"/>
                <w:b w:val="0"/>
              </w:rPr>
              <w:t xml:space="preserve">violado </w:t>
            </w:r>
            <w:r w:rsidR="002C614B" w:rsidRPr="002A412F">
              <w:rPr>
                <w:rFonts w:asciiTheme="majorHAnsi" w:hAnsiTheme="majorHAnsi"/>
                <w:b w:val="0"/>
              </w:rPr>
              <w:t>los derechos a la integridad (artículo 5), a la libertad personal (artículo 7), a las garantías judiciales (artículo 8), a la protección de la honra y la dignidad (artículo 11), a la protección a la familia (artículo 17), a la igualdad ante la ley (artículo 24) y la protección judicial (artículo 25)</w:t>
            </w:r>
            <w:r w:rsidR="00F172EF" w:rsidRPr="002A412F">
              <w:rPr>
                <w:rFonts w:asciiTheme="majorHAnsi" w:hAnsiTheme="majorHAnsi"/>
                <w:b w:val="0"/>
              </w:rPr>
              <w:t xml:space="preserve"> de la Convención Americana sobre Derechos Humanos (en adelante, CADH)</w:t>
            </w:r>
            <w:r w:rsidR="00783518" w:rsidRPr="002A412F">
              <w:rPr>
                <w:rFonts w:asciiTheme="majorHAnsi" w:hAnsiTheme="majorHAnsi"/>
                <w:b w:val="0"/>
              </w:rPr>
              <w:t>, y el artículo 7 de la convención Interamericana para Prevenir y Sancionar la Tortura (en adelante, CIPST)</w:t>
            </w:r>
            <w:r w:rsidR="00EA3D73">
              <w:rPr>
                <w:rFonts w:asciiTheme="majorHAnsi" w:hAnsiTheme="majorHAnsi"/>
                <w:b w:val="0"/>
              </w:rPr>
              <w:t>,</w:t>
            </w:r>
            <w:r w:rsidR="00F172EF" w:rsidRPr="002A412F">
              <w:rPr>
                <w:rFonts w:asciiTheme="majorHAnsi" w:hAnsiTheme="majorHAnsi"/>
                <w:b w:val="0"/>
              </w:rPr>
              <w:t xml:space="preserve"> en perjuicio de J</w:t>
            </w:r>
            <w:r w:rsidR="008D708D" w:rsidRPr="002A412F">
              <w:rPr>
                <w:rFonts w:asciiTheme="majorHAnsi" w:hAnsiTheme="majorHAnsi"/>
                <w:b w:val="0"/>
              </w:rPr>
              <w:t xml:space="preserve">osé Luis Hernández. </w:t>
            </w:r>
            <w:r w:rsidR="00EA3D73">
              <w:rPr>
                <w:rFonts w:asciiTheme="majorHAnsi" w:hAnsiTheme="majorHAnsi"/>
                <w:b w:val="0"/>
              </w:rPr>
              <w:t>En  su Informe de Admisibilidad, l</w:t>
            </w:r>
            <w:r w:rsidR="00F172EF" w:rsidRPr="002A412F">
              <w:rPr>
                <w:rFonts w:asciiTheme="majorHAnsi" w:hAnsiTheme="majorHAnsi"/>
                <w:b w:val="0"/>
              </w:rPr>
              <w:t xml:space="preserve">a CIDH </w:t>
            </w:r>
            <w:r w:rsidR="00EA3D73">
              <w:rPr>
                <w:rFonts w:asciiTheme="majorHAnsi" w:hAnsiTheme="majorHAnsi"/>
                <w:b w:val="0"/>
              </w:rPr>
              <w:t xml:space="preserve">declaró </w:t>
            </w:r>
            <w:r w:rsidR="00F172EF" w:rsidRPr="002A412F">
              <w:rPr>
                <w:rFonts w:asciiTheme="majorHAnsi" w:hAnsiTheme="majorHAnsi"/>
                <w:b w:val="0"/>
              </w:rPr>
              <w:t xml:space="preserve">admisible la petición </w:t>
            </w:r>
            <w:r w:rsidR="00EA3D73" w:rsidRPr="002A412F">
              <w:rPr>
                <w:rFonts w:asciiTheme="majorHAnsi" w:hAnsiTheme="majorHAnsi"/>
                <w:b w:val="0"/>
              </w:rPr>
              <w:t xml:space="preserve">solo </w:t>
            </w:r>
            <w:r w:rsidR="00F172EF" w:rsidRPr="002A412F">
              <w:rPr>
                <w:rFonts w:asciiTheme="majorHAnsi" w:hAnsiTheme="majorHAnsi"/>
                <w:b w:val="0"/>
              </w:rPr>
              <w:t>respecto a los artículos 5, 7, 8 y 25</w:t>
            </w:r>
            <w:r w:rsidR="008D708D" w:rsidRPr="002A412F">
              <w:rPr>
                <w:rFonts w:asciiTheme="majorHAnsi" w:hAnsiTheme="majorHAnsi"/>
                <w:b w:val="0"/>
              </w:rPr>
              <w:t xml:space="preserve"> de la CADH. </w:t>
            </w:r>
            <w:r w:rsidR="00EA3D73">
              <w:rPr>
                <w:rFonts w:asciiTheme="majorHAnsi" w:hAnsiTheme="majorHAnsi"/>
                <w:b w:val="0"/>
              </w:rPr>
              <w:t>Si bien</w:t>
            </w:r>
            <w:r w:rsidR="008D708D" w:rsidRPr="002A412F">
              <w:rPr>
                <w:rFonts w:asciiTheme="majorHAnsi" w:hAnsiTheme="majorHAnsi"/>
                <w:b w:val="0"/>
              </w:rPr>
              <w:t xml:space="preserve"> declaró admisible la petición respecto al</w:t>
            </w:r>
            <w:r w:rsidR="00F172EF" w:rsidRPr="002A412F">
              <w:rPr>
                <w:rFonts w:asciiTheme="majorHAnsi" w:hAnsiTheme="majorHAnsi"/>
                <w:b w:val="0"/>
              </w:rPr>
              <w:t xml:space="preserve"> artículo 7 de </w:t>
            </w:r>
            <w:r w:rsidR="00681B0C" w:rsidRPr="002A412F">
              <w:rPr>
                <w:rFonts w:asciiTheme="majorHAnsi" w:hAnsiTheme="majorHAnsi"/>
                <w:b w:val="0"/>
              </w:rPr>
              <w:t>la CIPST</w:t>
            </w:r>
            <w:r w:rsidR="008D708D" w:rsidRPr="002A412F">
              <w:rPr>
                <w:rFonts w:asciiTheme="majorHAnsi" w:hAnsiTheme="majorHAnsi"/>
                <w:b w:val="0"/>
              </w:rPr>
              <w:t xml:space="preserve">, no se pronunció </w:t>
            </w:r>
            <w:r w:rsidR="00EA3D73" w:rsidRPr="002A412F">
              <w:rPr>
                <w:rFonts w:asciiTheme="majorHAnsi" w:hAnsiTheme="majorHAnsi"/>
                <w:b w:val="0"/>
              </w:rPr>
              <w:t xml:space="preserve">sobre este </w:t>
            </w:r>
            <w:r w:rsidR="00EA3D73">
              <w:rPr>
                <w:rFonts w:asciiTheme="majorHAnsi" w:hAnsiTheme="majorHAnsi"/>
                <w:b w:val="0"/>
              </w:rPr>
              <w:t>en el Informe de F</w:t>
            </w:r>
            <w:r w:rsidR="008D708D" w:rsidRPr="002A412F">
              <w:rPr>
                <w:rFonts w:asciiTheme="majorHAnsi" w:hAnsiTheme="majorHAnsi"/>
                <w:b w:val="0"/>
              </w:rPr>
              <w:t>ondo.</w:t>
            </w:r>
          </w:p>
          <w:p w14:paraId="69DB87E3" w14:textId="77777777" w:rsidR="000106A2" w:rsidRPr="002A412F" w:rsidRDefault="000106A2" w:rsidP="003A5648">
            <w:pPr>
              <w:spacing w:after="0" w:line="240" w:lineRule="auto"/>
              <w:jc w:val="both"/>
              <w:rPr>
                <w:rFonts w:asciiTheme="majorHAnsi" w:hAnsiTheme="majorHAnsi"/>
                <w:b w:val="0"/>
              </w:rPr>
            </w:pPr>
          </w:p>
        </w:tc>
      </w:tr>
      <w:tr w:rsidR="000C6C4F" w:rsidRPr="002A412F" w14:paraId="360747B2" w14:textId="77777777" w:rsidTr="002B4DA1">
        <w:trPr>
          <w:trHeight w:val="567"/>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2E5" w:themeColor="accent1" w:themeTint="99"/>
              <w:left w:val="nil"/>
              <w:bottom w:val="single" w:sz="4" w:space="0" w:color="9CC2E5" w:themeColor="accent1" w:themeTint="99"/>
              <w:right w:val="nil"/>
            </w:tcBorders>
            <w:vAlign w:val="center"/>
          </w:tcPr>
          <w:p w14:paraId="093B14EE" w14:textId="77777777" w:rsidR="00EA3D73" w:rsidRDefault="00EA3D73" w:rsidP="00EA3D73">
            <w:pPr>
              <w:pStyle w:val="ListParagraph"/>
              <w:spacing w:after="0" w:line="240" w:lineRule="auto"/>
              <w:rPr>
                <w:rFonts w:asciiTheme="majorHAnsi" w:hAnsiTheme="majorHAnsi"/>
              </w:rPr>
            </w:pPr>
          </w:p>
          <w:p w14:paraId="4B39F364" w14:textId="77777777" w:rsidR="002B4DA1" w:rsidRDefault="002B4DA1" w:rsidP="002B4DA1">
            <w:pPr>
              <w:pStyle w:val="ListParagraph"/>
              <w:numPr>
                <w:ilvl w:val="0"/>
                <w:numId w:val="1"/>
              </w:numPr>
              <w:spacing w:after="0" w:line="240" w:lineRule="auto"/>
              <w:jc w:val="center"/>
              <w:rPr>
                <w:rFonts w:asciiTheme="majorHAnsi" w:hAnsiTheme="majorHAnsi"/>
              </w:rPr>
            </w:pPr>
            <w:r w:rsidRPr="002A412F">
              <w:rPr>
                <w:rFonts w:asciiTheme="majorHAnsi" w:hAnsiTheme="majorHAnsi"/>
              </w:rPr>
              <w:t>Análisis jurídico</w:t>
            </w:r>
          </w:p>
          <w:p w14:paraId="5E2E6C8D" w14:textId="77777777" w:rsidR="00EA3D73" w:rsidRPr="002A412F" w:rsidRDefault="00EA3D73" w:rsidP="00EA3D73">
            <w:pPr>
              <w:pStyle w:val="ListParagraph"/>
              <w:spacing w:after="0" w:line="240" w:lineRule="auto"/>
              <w:rPr>
                <w:rFonts w:asciiTheme="majorHAnsi" w:hAnsiTheme="majorHAnsi"/>
              </w:rPr>
            </w:pPr>
          </w:p>
        </w:tc>
      </w:tr>
      <w:tr w:rsidR="000C6C4F" w:rsidRPr="002A412F" w14:paraId="6A323497" w14:textId="77777777" w:rsidTr="0049154C">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2E5" w:themeColor="accent1" w:themeTint="99"/>
              <w:left w:val="nil"/>
              <w:bottom w:val="single" w:sz="4" w:space="0" w:color="9CC2E5" w:themeColor="accent1" w:themeTint="99"/>
              <w:right w:val="nil"/>
            </w:tcBorders>
          </w:tcPr>
          <w:p w14:paraId="505655C6" w14:textId="77777777" w:rsidR="000C6C4F" w:rsidRPr="002A412F" w:rsidRDefault="000C6C4F" w:rsidP="000C6C4F">
            <w:pPr>
              <w:spacing w:after="0" w:line="240" w:lineRule="auto"/>
              <w:jc w:val="both"/>
              <w:rPr>
                <w:rFonts w:asciiTheme="majorHAnsi" w:hAnsiTheme="majorHAnsi"/>
                <w:b w:val="0"/>
              </w:rPr>
            </w:pPr>
          </w:p>
          <w:p w14:paraId="1B256C2B" w14:textId="74CACA1A" w:rsidR="00893C01" w:rsidRPr="002A412F" w:rsidRDefault="00BD4B6F" w:rsidP="00B1764A">
            <w:pPr>
              <w:spacing w:line="240" w:lineRule="auto"/>
              <w:jc w:val="both"/>
              <w:rPr>
                <w:rFonts w:asciiTheme="majorHAnsi" w:hAnsiTheme="majorHAnsi"/>
              </w:rPr>
            </w:pPr>
            <w:r w:rsidRPr="002A412F">
              <w:rPr>
                <w:rFonts w:asciiTheme="majorHAnsi" w:hAnsiTheme="majorHAnsi"/>
              </w:rPr>
              <w:t>Derecho</w:t>
            </w:r>
            <w:r w:rsidR="00EA3D73">
              <w:rPr>
                <w:rFonts w:asciiTheme="majorHAnsi" w:hAnsiTheme="majorHAnsi"/>
              </w:rPr>
              <w:t>s</w:t>
            </w:r>
            <w:r w:rsidRPr="002A412F">
              <w:rPr>
                <w:rFonts w:asciiTheme="majorHAnsi" w:hAnsiTheme="majorHAnsi"/>
              </w:rPr>
              <w:t xml:space="preserve"> a la integri</w:t>
            </w:r>
            <w:r w:rsidR="00893C01" w:rsidRPr="002A412F">
              <w:rPr>
                <w:rFonts w:asciiTheme="majorHAnsi" w:hAnsiTheme="majorHAnsi"/>
              </w:rPr>
              <w:t>dad personal</w:t>
            </w:r>
            <w:r w:rsidR="00EA3D73">
              <w:rPr>
                <w:rFonts w:asciiTheme="majorHAnsi" w:hAnsiTheme="majorHAnsi"/>
              </w:rPr>
              <w:t>,</w:t>
            </w:r>
            <w:r w:rsidR="00110269" w:rsidRPr="002A412F">
              <w:rPr>
                <w:rFonts w:asciiTheme="majorHAnsi" w:hAnsiTheme="majorHAnsi"/>
              </w:rPr>
              <w:t xml:space="preserve"> </w:t>
            </w:r>
            <w:r w:rsidRPr="002A412F">
              <w:rPr>
                <w:rFonts w:asciiTheme="majorHAnsi" w:hAnsiTheme="majorHAnsi"/>
              </w:rPr>
              <w:t>las garantías judiciales y la protección judicial de</w:t>
            </w:r>
            <w:r w:rsidR="00EA3D73">
              <w:rPr>
                <w:rFonts w:asciiTheme="majorHAnsi" w:hAnsiTheme="majorHAnsi"/>
              </w:rPr>
              <w:t xml:space="preserve">l señor </w:t>
            </w:r>
            <w:r w:rsidRPr="002A412F">
              <w:rPr>
                <w:rFonts w:asciiTheme="majorHAnsi" w:hAnsiTheme="majorHAnsi"/>
              </w:rPr>
              <w:t>Hernández (artículo</w:t>
            </w:r>
            <w:r w:rsidR="00B96AFA" w:rsidRPr="002A412F">
              <w:rPr>
                <w:rFonts w:asciiTheme="majorHAnsi" w:hAnsiTheme="majorHAnsi"/>
              </w:rPr>
              <w:t>s</w:t>
            </w:r>
            <w:r w:rsidRPr="002A412F">
              <w:rPr>
                <w:rFonts w:asciiTheme="majorHAnsi" w:hAnsiTheme="majorHAnsi"/>
              </w:rPr>
              <w:t xml:space="preserve"> 5, 8 y 25 de la CADH)</w:t>
            </w:r>
          </w:p>
          <w:p w14:paraId="05B35BEE" w14:textId="1B9BBDFF" w:rsidR="00B1764A" w:rsidRPr="002A412F" w:rsidRDefault="002F715B" w:rsidP="002F715B">
            <w:pPr>
              <w:spacing w:line="240" w:lineRule="auto"/>
              <w:jc w:val="both"/>
              <w:rPr>
                <w:rFonts w:asciiTheme="majorHAnsi" w:hAnsiTheme="majorHAnsi"/>
              </w:rPr>
            </w:pPr>
            <w:r w:rsidRPr="002A412F">
              <w:rPr>
                <w:rFonts w:asciiTheme="majorHAnsi" w:hAnsiTheme="majorHAnsi"/>
              </w:rPr>
              <w:t>i) Consideraciones generales sobre el derecho a la integridad</w:t>
            </w:r>
          </w:p>
          <w:p w14:paraId="11FEC07A" w14:textId="47201DD0" w:rsidR="0091095A" w:rsidRPr="002A412F" w:rsidRDefault="00E41719" w:rsidP="0091095A">
            <w:pPr>
              <w:spacing w:line="240" w:lineRule="auto"/>
              <w:jc w:val="both"/>
              <w:rPr>
                <w:rFonts w:asciiTheme="majorHAnsi" w:hAnsiTheme="majorHAnsi"/>
                <w:b w:val="0"/>
              </w:rPr>
            </w:pPr>
            <w:r w:rsidRPr="002A412F">
              <w:rPr>
                <w:rFonts w:asciiTheme="majorHAnsi" w:hAnsiTheme="majorHAnsi"/>
                <w:b w:val="0"/>
              </w:rPr>
              <w:t xml:space="preserve">La Corte IDH ha establecido </w:t>
            </w:r>
            <w:r w:rsidR="00281825" w:rsidRPr="002A412F">
              <w:rPr>
                <w:rFonts w:asciiTheme="majorHAnsi" w:hAnsiTheme="majorHAnsi"/>
                <w:b w:val="0"/>
              </w:rPr>
              <w:t xml:space="preserve">que </w:t>
            </w:r>
            <w:r w:rsidRPr="002A412F">
              <w:rPr>
                <w:rFonts w:asciiTheme="majorHAnsi" w:hAnsiTheme="majorHAnsi"/>
                <w:b w:val="0"/>
              </w:rPr>
              <w:t>el cumplimiento de las obligaciones generales de respetar y garantizar implica para los Estados el nacimiento de deberes especiales de protección en función de las necesidades particulares de cada sujeto, ya sea por su condición personal o por la situación específica en que se encuentren.</w:t>
            </w:r>
            <w:r w:rsidR="00184B78" w:rsidRPr="002A412F">
              <w:rPr>
                <w:rFonts w:asciiTheme="majorHAnsi" w:hAnsiTheme="majorHAnsi"/>
                <w:b w:val="0"/>
              </w:rPr>
              <w:t xml:space="preserve"> En el caso de las personas privadas de la libertad</w:t>
            </w:r>
            <w:r w:rsidR="00550638" w:rsidRPr="002A412F">
              <w:rPr>
                <w:rFonts w:asciiTheme="majorHAnsi" w:hAnsiTheme="majorHAnsi"/>
                <w:b w:val="0"/>
              </w:rPr>
              <w:t xml:space="preserve">, </w:t>
            </w:r>
            <w:r w:rsidR="0091095A" w:rsidRPr="002A412F">
              <w:rPr>
                <w:rFonts w:asciiTheme="majorHAnsi" w:hAnsiTheme="majorHAnsi"/>
                <w:b w:val="0"/>
              </w:rPr>
              <w:t xml:space="preserve">la jurisprudencia del Sistema Interamericano de Derechos Humanos (en adelante, SIDH) ha indicado que la falta de atención médica adecuada, dependiendo de circunstancias como el tipo de padecimiento de la persona, el lapso transcurrido sin atención, y las secuelas físicas y mentales de ello, puede llegar a constituir una violación del derecho a la integridad de la persona. </w:t>
            </w:r>
          </w:p>
          <w:p w14:paraId="3406FE0A" w14:textId="6EA7E67A" w:rsidR="00DB3648" w:rsidRPr="002A412F" w:rsidRDefault="00DB3648" w:rsidP="002F715B">
            <w:pPr>
              <w:spacing w:line="240" w:lineRule="auto"/>
              <w:jc w:val="both"/>
              <w:rPr>
                <w:rFonts w:asciiTheme="majorHAnsi" w:hAnsiTheme="majorHAnsi"/>
                <w:b w:val="0"/>
              </w:rPr>
            </w:pPr>
            <w:r w:rsidRPr="002A412F">
              <w:rPr>
                <w:rFonts w:asciiTheme="majorHAnsi" w:hAnsiTheme="majorHAnsi"/>
                <w:b w:val="0"/>
              </w:rPr>
              <w:t>En esa línea</w:t>
            </w:r>
            <w:r w:rsidR="0091095A" w:rsidRPr="002A412F">
              <w:rPr>
                <w:rFonts w:asciiTheme="majorHAnsi" w:hAnsiTheme="majorHAnsi"/>
                <w:b w:val="0"/>
              </w:rPr>
              <w:t xml:space="preserve">, y dada </w:t>
            </w:r>
            <w:r w:rsidR="003A7C55">
              <w:rPr>
                <w:rFonts w:asciiTheme="majorHAnsi" w:hAnsiTheme="majorHAnsi"/>
                <w:b w:val="0"/>
              </w:rPr>
              <w:t>la</w:t>
            </w:r>
            <w:r w:rsidR="0091095A" w:rsidRPr="002A412F">
              <w:rPr>
                <w:rFonts w:asciiTheme="majorHAnsi" w:hAnsiTheme="majorHAnsi"/>
                <w:b w:val="0"/>
              </w:rPr>
              <w:t xml:space="preserve"> posición de garante </w:t>
            </w:r>
            <w:r w:rsidR="003A7C55">
              <w:rPr>
                <w:rFonts w:asciiTheme="majorHAnsi" w:hAnsiTheme="majorHAnsi"/>
                <w:b w:val="0"/>
              </w:rPr>
              <w:t xml:space="preserve">que tiene el Estado </w:t>
            </w:r>
            <w:r w:rsidR="0091095A" w:rsidRPr="002A412F">
              <w:rPr>
                <w:rFonts w:asciiTheme="majorHAnsi" w:hAnsiTheme="majorHAnsi"/>
                <w:b w:val="0"/>
              </w:rPr>
              <w:t xml:space="preserve">frente a </w:t>
            </w:r>
            <w:r w:rsidR="003A7C55">
              <w:rPr>
                <w:rFonts w:asciiTheme="majorHAnsi" w:hAnsiTheme="majorHAnsi"/>
                <w:b w:val="0"/>
              </w:rPr>
              <w:t>las</w:t>
            </w:r>
            <w:r w:rsidR="00387AC9" w:rsidRPr="002A412F">
              <w:rPr>
                <w:rFonts w:asciiTheme="majorHAnsi" w:hAnsiTheme="majorHAnsi"/>
                <w:b w:val="0"/>
              </w:rPr>
              <w:t xml:space="preserve"> personas</w:t>
            </w:r>
            <w:r w:rsidR="0091095A" w:rsidRPr="002A412F">
              <w:rPr>
                <w:rFonts w:asciiTheme="majorHAnsi" w:hAnsiTheme="majorHAnsi"/>
                <w:b w:val="0"/>
              </w:rPr>
              <w:t xml:space="preserve"> </w:t>
            </w:r>
            <w:r w:rsidR="00281825" w:rsidRPr="002A412F">
              <w:rPr>
                <w:rFonts w:asciiTheme="majorHAnsi" w:hAnsiTheme="majorHAnsi"/>
                <w:b w:val="0"/>
              </w:rPr>
              <w:t xml:space="preserve">privadas de la libertad </w:t>
            </w:r>
            <w:r w:rsidR="0091095A" w:rsidRPr="002A412F">
              <w:rPr>
                <w:rFonts w:asciiTheme="majorHAnsi" w:hAnsiTheme="majorHAnsi"/>
                <w:b w:val="0"/>
              </w:rPr>
              <w:t xml:space="preserve">por la condición </w:t>
            </w:r>
            <w:r w:rsidR="003A7C55">
              <w:rPr>
                <w:rFonts w:asciiTheme="majorHAnsi" w:hAnsiTheme="majorHAnsi"/>
                <w:b w:val="0"/>
              </w:rPr>
              <w:t xml:space="preserve">de sujeción </w:t>
            </w:r>
            <w:r w:rsidR="00281825" w:rsidRPr="002A412F">
              <w:rPr>
                <w:rFonts w:asciiTheme="majorHAnsi" w:hAnsiTheme="majorHAnsi"/>
                <w:b w:val="0"/>
              </w:rPr>
              <w:t>en la que se encuentran</w:t>
            </w:r>
            <w:r w:rsidR="0091095A" w:rsidRPr="002A412F">
              <w:rPr>
                <w:rFonts w:asciiTheme="majorHAnsi" w:hAnsiTheme="majorHAnsi"/>
                <w:b w:val="0"/>
              </w:rPr>
              <w:t xml:space="preserve">, los Estados deben adoptar disposiciones de derecho interno, incluyendo prácticas adecuadas, para velar por </w:t>
            </w:r>
            <w:r w:rsidR="00387AC9" w:rsidRPr="002A412F">
              <w:rPr>
                <w:rFonts w:asciiTheme="majorHAnsi" w:hAnsiTheme="majorHAnsi"/>
                <w:b w:val="0"/>
              </w:rPr>
              <w:t xml:space="preserve">su </w:t>
            </w:r>
            <w:r w:rsidR="0091095A" w:rsidRPr="002A412F">
              <w:rPr>
                <w:rFonts w:asciiTheme="majorHAnsi" w:hAnsiTheme="majorHAnsi"/>
                <w:b w:val="0"/>
              </w:rPr>
              <w:t>acceso igualitario a la atención de la salud, así como por la disponibilidad, accesibilidad, aceptabilidad y calidad de tales servicios</w:t>
            </w:r>
            <w:r w:rsidR="00730644" w:rsidRPr="002A412F">
              <w:rPr>
                <w:rFonts w:asciiTheme="majorHAnsi" w:hAnsiTheme="majorHAnsi"/>
                <w:b w:val="0"/>
              </w:rPr>
              <w:t xml:space="preserve">. </w:t>
            </w:r>
            <w:r w:rsidR="00500114" w:rsidRPr="002A412F">
              <w:rPr>
                <w:rFonts w:asciiTheme="majorHAnsi" w:hAnsiTheme="majorHAnsi"/>
                <w:b w:val="0"/>
              </w:rPr>
              <w:t>En particular</w:t>
            </w:r>
            <w:r w:rsidR="00387AC9" w:rsidRPr="002A412F">
              <w:rPr>
                <w:rFonts w:asciiTheme="majorHAnsi" w:hAnsiTheme="majorHAnsi"/>
                <w:b w:val="0"/>
              </w:rPr>
              <w:t>,</w:t>
            </w:r>
            <w:r w:rsidR="00500114" w:rsidRPr="002A412F">
              <w:rPr>
                <w:rFonts w:asciiTheme="majorHAnsi" w:hAnsiTheme="majorHAnsi"/>
                <w:b w:val="0"/>
              </w:rPr>
              <w:t xml:space="preserve"> para garantizar el cumplimiento de estas obligaciones en línea con el principio de no discriminación, se ha desarrollado en el </w:t>
            </w:r>
            <w:r w:rsidR="00387AC9" w:rsidRPr="002A412F">
              <w:rPr>
                <w:rFonts w:asciiTheme="majorHAnsi" w:hAnsiTheme="majorHAnsi"/>
                <w:b w:val="0"/>
              </w:rPr>
              <w:t>D</w:t>
            </w:r>
            <w:r w:rsidR="00500114" w:rsidRPr="002A412F">
              <w:rPr>
                <w:rFonts w:asciiTheme="majorHAnsi" w:hAnsiTheme="majorHAnsi"/>
                <w:b w:val="0"/>
              </w:rPr>
              <w:t xml:space="preserve">erecho </w:t>
            </w:r>
            <w:r w:rsidR="00387AC9" w:rsidRPr="002A412F">
              <w:rPr>
                <w:rFonts w:asciiTheme="majorHAnsi" w:hAnsiTheme="majorHAnsi"/>
                <w:b w:val="0"/>
              </w:rPr>
              <w:t>I</w:t>
            </w:r>
            <w:r w:rsidR="00500114" w:rsidRPr="002A412F">
              <w:rPr>
                <w:rFonts w:asciiTheme="majorHAnsi" w:hAnsiTheme="majorHAnsi"/>
                <w:b w:val="0"/>
              </w:rPr>
              <w:t xml:space="preserve">nternacional el principio de equivalencia en el tratamiento médico de personas privadas de la libertad, </w:t>
            </w:r>
            <w:r w:rsidR="00111862" w:rsidRPr="002A412F">
              <w:rPr>
                <w:rFonts w:asciiTheme="majorHAnsi" w:hAnsiTheme="majorHAnsi"/>
                <w:b w:val="0"/>
              </w:rPr>
              <w:t>que consiste en que dentro de los recintos de privación de libertad los servicios de salud ofrecidos han de ser comparables con aquellos a los que tienen acceso</w:t>
            </w:r>
            <w:r w:rsidR="00EF1DB2" w:rsidRPr="002A412F">
              <w:rPr>
                <w:rFonts w:asciiTheme="majorHAnsi" w:hAnsiTheme="majorHAnsi"/>
                <w:b w:val="0"/>
              </w:rPr>
              <w:t xml:space="preserve"> los</w:t>
            </w:r>
            <w:r w:rsidR="00111862" w:rsidRPr="002A412F">
              <w:rPr>
                <w:rFonts w:asciiTheme="majorHAnsi" w:hAnsiTheme="majorHAnsi"/>
                <w:b w:val="0"/>
              </w:rPr>
              <w:t xml:space="preserve"> </w:t>
            </w:r>
            <w:r w:rsidR="00111862" w:rsidRPr="002A412F">
              <w:rPr>
                <w:rFonts w:asciiTheme="majorHAnsi" w:hAnsiTheme="majorHAnsi"/>
                <w:b w:val="0"/>
              </w:rPr>
              <w:lastRenderedPageBreak/>
              <w:t>pacientes de la comunidad exterior.</w:t>
            </w:r>
            <w:r w:rsidR="006C2E83" w:rsidRPr="002A412F">
              <w:rPr>
                <w:rFonts w:asciiTheme="majorHAnsi" w:hAnsiTheme="majorHAnsi"/>
                <w:b w:val="0"/>
              </w:rPr>
              <w:t xml:space="preserve"> </w:t>
            </w:r>
          </w:p>
          <w:p w14:paraId="0C5A57BC" w14:textId="3E93F5E6" w:rsidR="00DB3648" w:rsidRPr="002A412F" w:rsidRDefault="000133C2" w:rsidP="002F715B">
            <w:pPr>
              <w:spacing w:line="240" w:lineRule="auto"/>
              <w:jc w:val="both"/>
              <w:rPr>
                <w:rFonts w:asciiTheme="majorHAnsi" w:hAnsiTheme="majorHAnsi"/>
                <w:b w:val="0"/>
              </w:rPr>
            </w:pPr>
            <w:r w:rsidRPr="002A412F">
              <w:rPr>
                <w:rFonts w:asciiTheme="majorHAnsi" w:hAnsiTheme="majorHAnsi"/>
                <w:b w:val="0"/>
              </w:rPr>
              <w:t xml:space="preserve">Asimismo, </w:t>
            </w:r>
            <w:r w:rsidR="009E36FB" w:rsidRPr="002A412F">
              <w:rPr>
                <w:rFonts w:asciiTheme="majorHAnsi" w:hAnsiTheme="majorHAnsi"/>
                <w:b w:val="0"/>
              </w:rPr>
              <w:t>estos</w:t>
            </w:r>
            <w:r w:rsidR="00187AF0" w:rsidRPr="002A412F">
              <w:rPr>
                <w:rFonts w:asciiTheme="majorHAnsi" w:hAnsiTheme="majorHAnsi"/>
                <w:b w:val="0"/>
              </w:rPr>
              <w:t xml:space="preserve"> recintos</w:t>
            </w:r>
            <w:r w:rsidR="009E36FB" w:rsidRPr="002A412F">
              <w:rPr>
                <w:rFonts w:asciiTheme="majorHAnsi" w:hAnsiTheme="majorHAnsi"/>
                <w:b w:val="0"/>
              </w:rPr>
              <w:t xml:space="preserve"> deben </w:t>
            </w:r>
            <w:r w:rsidR="004531A3" w:rsidRPr="002A412F">
              <w:rPr>
                <w:rFonts w:asciiTheme="majorHAnsi" w:hAnsiTheme="majorHAnsi"/>
                <w:b w:val="0"/>
              </w:rPr>
              <w:t xml:space="preserve">estar coordinados y organizados con la administración general del servicio de atención en salud general, lo que implica establecer procedimientos adecuados y expeditos para el diagnóstico y tratamiento de los enfermos, así como para su traslado cuando su estado de salud requiera cuidados especiales en establecimientos penitenciarios especializados o en hospitales civiles. Los parámetros citados han sido, a su vez, </w:t>
            </w:r>
            <w:r w:rsidR="00081446" w:rsidRPr="002A412F">
              <w:rPr>
                <w:rFonts w:asciiTheme="majorHAnsi" w:hAnsiTheme="majorHAnsi"/>
                <w:b w:val="0"/>
              </w:rPr>
              <w:t xml:space="preserve">recogidos y </w:t>
            </w:r>
            <w:r w:rsidR="004531A3" w:rsidRPr="002A412F">
              <w:rPr>
                <w:rFonts w:asciiTheme="majorHAnsi" w:hAnsiTheme="majorHAnsi"/>
                <w:b w:val="0"/>
              </w:rPr>
              <w:t xml:space="preserve">desarrollados a través de los Principios Básicos de Naciones Unidas para el Tratamiento de los Reclusos (Principio 9), los </w:t>
            </w:r>
            <w:r w:rsidR="00111DC2" w:rsidRPr="002A412F">
              <w:rPr>
                <w:rFonts w:asciiTheme="majorHAnsi" w:hAnsiTheme="majorHAnsi"/>
                <w:b w:val="0"/>
                <w:lang w:val="es-PE"/>
              </w:rPr>
              <w:t>Principios y Buenas Prácticas sobre la Protección de las Personas Privadas de Libertad en las Américas</w:t>
            </w:r>
            <w:r w:rsidR="004531A3" w:rsidRPr="002A412F">
              <w:rPr>
                <w:rFonts w:asciiTheme="majorHAnsi" w:hAnsiTheme="majorHAnsi"/>
                <w:b w:val="0"/>
              </w:rPr>
              <w:t xml:space="preserve"> de la CIDH (Principio X) y </w:t>
            </w:r>
            <w:r w:rsidR="00387AC9" w:rsidRPr="002A412F">
              <w:rPr>
                <w:rFonts w:asciiTheme="majorHAnsi" w:hAnsiTheme="majorHAnsi"/>
                <w:b w:val="0"/>
              </w:rPr>
              <w:t>pronunciamiento</w:t>
            </w:r>
            <w:r w:rsidR="00307088" w:rsidRPr="002A412F">
              <w:rPr>
                <w:rFonts w:asciiTheme="majorHAnsi" w:hAnsiTheme="majorHAnsi"/>
                <w:b w:val="0"/>
              </w:rPr>
              <w:t>s</w:t>
            </w:r>
            <w:r w:rsidR="00387AC9" w:rsidRPr="002A412F">
              <w:rPr>
                <w:rFonts w:asciiTheme="majorHAnsi" w:hAnsiTheme="majorHAnsi"/>
                <w:b w:val="0"/>
              </w:rPr>
              <w:t xml:space="preserve"> d</w:t>
            </w:r>
            <w:r w:rsidR="004531A3" w:rsidRPr="002A412F">
              <w:rPr>
                <w:rFonts w:asciiTheme="majorHAnsi" w:hAnsiTheme="majorHAnsi"/>
                <w:b w:val="0"/>
              </w:rPr>
              <w:t xml:space="preserve">el </w:t>
            </w:r>
            <w:r w:rsidR="00307088" w:rsidRPr="002A412F">
              <w:rPr>
                <w:rFonts w:asciiTheme="majorHAnsi" w:hAnsiTheme="majorHAnsi"/>
                <w:b w:val="0"/>
              </w:rPr>
              <w:t xml:space="preserve">Relator Especial sobre la tortura y otros tratos o penas crueles, inhumanos o degradantes </w:t>
            </w:r>
            <w:r w:rsidR="004531A3" w:rsidRPr="002A412F">
              <w:rPr>
                <w:rFonts w:asciiTheme="majorHAnsi" w:hAnsiTheme="majorHAnsi"/>
                <w:b w:val="0"/>
              </w:rPr>
              <w:t>de Naciones Unidas.</w:t>
            </w:r>
            <w:r w:rsidRPr="002A412F">
              <w:rPr>
                <w:rFonts w:asciiTheme="majorHAnsi" w:hAnsiTheme="majorHAnsi"/>
                <w:b w:val="0"/>
              </w:rPr>
              <w:t xml:space="preserve"> </w:t>
            </w:r>
            <w:r w:rsidR="00305795" w:rsidRPr="002A412F">
              <w:rPr>
                <w:rFonts w:asciiTheme="majorHAnsi" w:hAnsiTheme="majorHAnsi"/>
                <w:b w:val="0"/>
              </w:rPr>
              <w:t>Por</w:t>
            </w:r>
            <w:r w:rsidR="00522583" w:rsidRPr="002A412F">
              <w:rPr>
                <w:rFonts w:asciiTheme="majorHAnsi" w:hAnsiTheme="majorHAnsi"/>
                <w:b w:val="0"/>
              </w:rPr>
              <w:t xml:space="preserve"> otro lado</w:t>
            </w:r>
            <w:r w:rsidR="00305795" w:rsidRPr="002A412F">
              <w:rPr>
                <w:rFonts w:asciiTheme="majorHAnsi" w:hAnsiTheme="majorHAnsi"/>
                <w:b w:val="0"/>
              </w:rPr>
              <w:t xml:space="preserve">, el Tribunal Europeo de Derechos Humanos </w:t>
            </w:r>
            <w:r w:rsidR="004D3453" w:rsidRPr="002A412F">
              <w:rPr>
                <w:rFonts w:asciiTheme="majorHAnsi" w:hAnsiTheme="majorHAnsi"/>
                <w:b w:val="0"/>
              </w:rPr>
              <w:t xml:space="preserve">ha indicado que la falta de tratamiento médico adecuado, puede </w:t>
            </w:r>
            <w:r w:rsidR="00387AC9" w:rsidRPr="002A412F">
              <w:rPr>
                <w:rFonts w:asciiTheme="majorHAnsi" w:hAnsiTheme="majorHAnsi"/>
                <w:b w:val="0"/>
              </w:rPr>
              <w:t xml:space="preserve">ser considerada </w:t>
            </w:r>
            <w:r w:rsidR="004D3453" w:rsidRPr="002A412F">
              <w:rPr>
                <w:rFonts w:asciiTheme="majorHAnsi" w:hAnsiTheme="majorHAnsi"/>
                <w:b w:val="0"/>
              </w:rPr>
              <w:t>como un trato cruel, inhumano o degradante</w:t>
            </w:r>
            <w:r w:rsidR="007F423D" w:rsidRPr="002A412F">
              <w:rPr>
                <w:rFonts w:asciiTheme="majorHAnsi" w:hAnsiTheme="majorHAnsi"/>
                <w:b w:val="0"/>
              </w:rPr>
              <w:t>,</w:t>
            </w:r>
            <w:r w:rsidR="004D3453" w:rsidRPr="002A412F">
              <w:rPr>
                <w:rFonts w:asciiTheme="majorHAnsi" w:hAnsiTheme="majorHAnsi"/>
                <w:b w:val="0"/>
              </w:rPr>
              <w:t xml:space="preserve"> </w:t>
            </w:r>
            <w:r w:rsidR="007F423D" w:rsidRPr="002A412F">
              <w:rPr>
                <w:rFonts w:asciiTheme="majorHAnsi" w:hAnsiTheme="majorHAnsi"/>
                <w:b w:val="0"/>
              </w:rPr>
              <w:t>tomando</w:t>
            </w:r>
            <w:r w:rsidR="004D3453" w:rsidRPr="002A412F">
              <w:rPr>
                <w:rFonts w:asciiTheme="majorHAnsi" w:hAnsiTheme="majorHAnsi"/>
                <w:b w:val="0"/>
              </w:rPr>
              <w:t xml:space="preserve"> en cuenta los padecimientos, la urgencia de asistencia médica de emergencia</w:t>
            </w:r>
            <w:r w:rsidR="007F423D" w:rsidRPr="002A412F">
              <w:rPr>
                <w:rFonts w:asciiTheme="majorHAnsi" w:hAnsiTheme="majorHAnsi"/>
                <w:b w:val="0"/>
              </w:rPr>
              <w:t xml:space="preserve"> y </w:t>
            </w:r>
            <w:r w:rsidR="004D3453" w:rsidRPr="002A412F">
              <w:rPr>
                <w:rFonts w:asciiTheme="majorHAnsi" w:hAnsiTheme="majorHAnsi"/>
                <w:b w:val="0"/>
              </w:rPr>
              <w:t>el deterioro que la falta de atención puede provocar en la salud física y mental de la persona.</w:t>
            </w:r>
          </w:p>
          <w:p w14:paraId="7416AD20" w14:textId="41929FC2" w:rsidR="000133C2" w:rsidRPr="002A412F" w:rsidRDefault="000133C2" w:rsidP="002F715B">
            <w:pPr>
              <w:spacing w:line="240" w:lineRule="auto"/>
              <w:jc w:val="both"/>
              <w:rPr>
                <w:rFonts w:asciiTheme="majorHAnsi" w:hAnsiTheme="majorHAnsi"/>
              </w:rPr>
            </w:pPr>
            <w:r w:rsidRPr="002A412F">
              <w:rPr>
                <w:rFonts w:asciiTheme="majorHAnsi" w:hAnsiTheme="majorHAnsi"/>
              </w:rPr>
              <w:t>ii) Consideraciones generales sobre garantías judiciales y protección judicial</w:t>
            </w:r>
          </w:p>
          <w:p w14:paraId="2791BDBC" w14:textId="2B373A89" w:rsidR="00FD0A5D" w:rsidRPr="002A412F" w:rsidRDefault="00D02481" w:rsidP="002F715B">
            <w:pPr>
              <w:spacing w:line="240" w:lineRule="auto"/>
              <w:jc w:val="both"/>
              <w:rPr>
                <w:rFonts w:asciiTheme="majorHAnsi" w:hAnsiTheme="majorHAnsi"/>
                <w:b w:val="0"/>
              </w:rPr>
            </w:pPr>
            <w:r w:rsidRPr="002A412F">
              <w:rPr>
                <w:rFonts w:asciiTheme="majorHAnsi" w:hAnsiTheme="majorHAnsi"/>
                <w:b w:val="0"/>
              </w:rPr>
              <w:t>El derecho a la protección judicial</w:t>
            </w:r>
            <w:r w:rsidR="007F423D" w:rsidRPr="002A412F">
              <w:rPr>
                <w:rFonts w:asciiTheme="majorHAnsi" w:hAnsiTheme="majorHAnsi"/>
                <w:b w:val="0"/>
              </w:rPr>
              <w:t xml:space="preserve"> </w:t>
            </w:r>
            <w:r w:rsidRPr="002A412F">
              <w:rPr>
                <w:rFonts w:asciiTheme="majorHAnsi" w:hAnsiTheme="majorHAnsi"/>
                <w:b w:val="0"/>
              </w:rPr>
              <w:t xml:space="preserve">consiste en la obligación que tienen los Estados de proveer recursos judiciales que cumplan </w:t>
            </w:r>
            <w:r w:rsidR="00EF10D1" w:rsidRPr="002A412F">
              <w:rPr>
                <w:rFonts w:asciiTheme="majorHAnsi" w:hAnsiTheme="majorHAnsi"/>
                <w:b w:val="0"/>
              </w:rPr>
              <w:t>con ser adecuados y efectivos</w:t>
            </w:r>
            <w:r w:rsidR="007F423D" w:rsidRPr="002A412F">
              <w:rPr>
                <w:rFonts w:asciiTheme="majorHAnsi" w:hAnsiTheme="majorHAnsi"/>
                <w:b w:val="0"/>
              </w:rPr>
              <w:t>. Además, deben respetar</w:t>
            </w:r>
            <w:r w:rsidR="008E1F70" w:rsidRPr="002A412F">
              <w:rPr>
                <w:rFonts w:asciiTheme="majorHAnsi" w:hAnsiTheme="majorHAnsi"/>
                <w:b w:val="0"/>
              </w:rPr>
              <w:t xml:space="preserve"> las reglas del debido proceso legal en atención al derecho a las garantías judiciales. En el caso de personas privadas de la libertad, </w:t>
            </w:r>
            <w:r w:rsidR="0063719A" w:rsidRPr="002A412F">
              <w:rPr>
                <w:rFonts w:asciiTheme="majorHAnsi" w:hAnsiTheme="majorHAnsi"/>
                <w:b w:val="0"/>
              </w:rPr>
              <w:t xml:space="preserve">el deber del Estado se </w:t>
            </w:r>
            <w:r w:rsidR="00C6375E">
              <w:rPr>
                <w:rFonts w:asciiTheme="majorHAnsi" w:hAnsiTheme="majorHAnsi"/>
                <w:b w:val="0"/>
              </w:rPr>
              <w:t xml:space="preserve">encuentra </w:t>
            </w:r>
            <w:r w:rsidR="0063719A" w:rsidRPr="002A412F">
              <w:rPr>
                <w:rFonts w:asciiTheme="majorHAnsi" w:hAnsiTheme="majorHAnsi"/>
                <w:b w:val="0"/>
              </w:rPr>
              <w:t>ref</w:t>
            </w:r>
            <w:r w:rsidR="00C6375E">
              <w:rPr>
                <w:rFonts w:asciiTheme="majorHAnsi" w:hAnsiTheme="majorHAnsi"/>
                <w:b w:val="0"/>
              </w:rPr>
              <w:t xml:space="preserve">orzado </w:t>
            </w:r>
            <w:r w:rsidR="00E460BA" w:rsidRPr="002A412F">
              <w:rPr>
                <w:rFonts w:asciiTheme="majorHAnsi" w:hAnsiTheme="majorHAnsi"/>
                <w:b w:val="0"/>
              </w:rPr>
              <w:t xml:space="preserve">ya que las autoridades judiciales deben garantizar </w:t>
            </w:r>
            <w:r w:rsidR="00C6375E">
              <w:rPr>
                <w:rFonts w:asciiTheme="majorHAnsi" w:hAnsiTheme="majorHAnsi"/>
                <w:b w:val="0"/>
              </w:rPr>
              <w:t xml:space="preserve">que </w:t>
            </w:r>
            <w:r w:rsidR="00E460BA" w:rsidRPr="002A412F">
              <w:rPr>
                <w:rFonts w:asciiTheme="majorHAnsi" w:hAnsiTheme="majorHAnsi"/>
                <w:b w:val="0"/>
              </w:rPr>
              <w:t xml:space="preserve">las condiciones de detención sean adecuadas, para lo cual los recursos judiciales disponibles habrán de ser, además, </w:t>
            </w:r>
            <w:r w:rsidR="00FD0A5D" w:rsidRPr="002A412F">
              <w:rPr>
                <w:rFonts w:asciiTheme="majorHAnsi" w:hAnsiTheme="majorHAnsi"/>
                <w:b w:val="0"/>
              </w:rPr>
              <w:t>expeditos</w:t>
            </w:r>
            <w:r w:rsidR="00E460BA" w:rsidRPr="002A412F">
              <w:rPr>
                <w:rFonts w:asciiTheme="majorHAnsi" w:hAnsiTheme="majorHAnsi"/>
                <w:b w:val="0"/>
              </w:rPr>
              <w:t>.</w:t>
            </w:r>
            <w:r w:rsidR="00C6375E">
              <w:rPr>
                <w:rFonts w:asciiTheme="majorHAnsi" w:hAnsiTheme="majorHAnsi"/>
                <w:b w:val="0"/>
              </w:rPr>
              <w:t xml:space="preserve"> </w:t>
            </w:r>
            <w:r w:rsidR="009C7603" w:rsidRPr="002A412F">
              <w:rPr>
                <w:rFonts w:asciiTheme="majorHAnsi" w:hAnsiTheme="majorHAnsi"/>
                <w:b w:val="0"/>
              </w:rPr>
              <w:t>Cuando los casos sometidos a su conocimiento involucren a personas privadas de la libertad que requieran atención médica, las autoridades judiciales deberán actuar con diligencia, independencia y humanidad, sobre todo frente a casos en los que se haya acreditado la existencia de un riesgo inminente para la vida de la persona debido al deterioro de su salud física o mental.</w:t>
            </w:r>
          </w:p>
          <w:p w14:paraId="54844661" w14:textId="1D915970" w:rsidR="009C7603" w:rsidRPr="002A412F" w:rsidRDefault="009C7603" w:rsidP="002F715B">
            <w:pPr>
              <w:spacing w:line="240" w:lineRule="auto"/>
              <w:jc w:val="both"/>
              <w:rPr>
                <w:rFonts w:asciiTheme="majorHAnsi" w:hAnsiTheme="majorHAnsi"/>
              </w:rPr>
            </w:pPr>
            <w:r w:rsidRPr="002A412F">
              <w:rPr>
                <w:rFonts w:asciiTheme="majorHAnsi" w:hAnsiTheme="majorHAnsi"/>
              </w:rPr>
              <w:t>iii) Análisis del caso concreto</w:t>
            </w:r>
          </w:p>
          <w:p w14:paraId="7959F531" w14:textId="138D4FC0" w:rsidR="009C7603" w:rsidRPr="002A412F" w:rsidRDefault="00233974" w:rsidP="002F715B">
            <w:pPr>
              <w:spacing w:line="240" w:lineRule="auto"/>
              <w:jc w:val="both"/>
              <w:rPr>
                <w:rFonts w:asciiTheme="majorHAnsi" w:hAnsiTheme="majorHAnsi"/>
                <w:b w:val="0"/>
              </w:rPr>
            </w:pPr>
            <w:r w:rsidRPr="002A412F">
              <w:rPr>
                <w:rFonts w:asciiTheme="majorHAnsi" w:hAnsiTheme="majorHAnsi"/>
                <w:b w:val="0"/>
              </w:rPr>
              <w:t>La CIDH valoró los hechos del caso en base al cumplimiento de dos obligaciones esenciales que se desprenden de los pa</w:t>
            </w:r>
            <w:r w:rsidR="00A62B70" w:rsidRPr="002A412F">
              <w:rPr>
                <w:rFonts w:asciiTheme="majorHAnsi" w:hAnsiTheme="majorHAnsi"/>
                <w:b w:val="0"/>
              </w:rPr>
              <w:t xml:space="preserve">rámetros citados anteriormente: i) brindar atención médica oportuna en aras de la realización de un diagnóstico médico integral; y ii) </w:t>
            </w:r>
            <w:r w:rsidR="00C6375E">
              <w:rPr>
                <w:rFonts w:asciiTheme="majorHAnsi" w:hAnsiTheme="majorHAnsi"/>
                <w:b w:val="0"/>
              </w:rPr>
              <w:t xml:space="preserve">brindar </w:t>
            </w:r>
            <w:r w:rsidR="00A62B70" w:rsidRPr="002A412F">
              <w:rPr>
                <w:rFonts w:asciiTheme="majorHAnsi" w:hAnsiTheme="majorHAnsi"/>
                <w:b w:val="0"/>
              </w:rPr>
              <w:t>un tratamiento adecuado de conformidad con el principio de equivalencia.</w:t>
            </w:r>
            <w:r w:rsidR="005A4AEF" w:rsidRPr="002A412F">
              <w:rPr>
                <w:rFonts w:asciiTheme="majorHAnsi" w:hAnsiTheme="majorHAnsi"/>
                <w:b w:val="0"/>
              </w:rPr>
              <w:t xml:space="preserve"> Respecto a la primera</w:t>
            </w:r>
            <w:r w:rsidR="00C02361" w:rsidRPr="002A412F">
              <w:rPr>
                <w:rFonts w:asciiTheme="majorHAnsi" w:hAnsiTheme="majorHAnsi"/>
                <w:b w:val="0"/>
              </w:rPr>
              <w:t xml:space="preserve"> obligación</w:t>
            </w:r>
            <w:r w:rsidR="005A4AEF" w:rsidRPr="002A412F">
              <w:rPr>
                <w:rFonts w:asciiTheme="majorHAnsi" w:hAnsiTheme="majorHAnsi"/>
                <w:b w:val="0"/>
              </w:rPr>
              <w:t xml:space="preserve">, la CIDH notó las continuas omisiones de las autoridades </w:t>
            </w:r>
            <w:r w:rsidR="00C6375E">
              <w:rPr>
                <w:rFonts w:asciiTheme="majorHAnsi" w:hAnsiTheme="majorHAnsi"/>
                <w:b w:val="0"/>
              </w:rPr>
              <w:t xml:space="preserve">para </w:t>
            </w:r>
            <w:r w:rsidR="00C02361" w:rsidRPr="002A412F">
              <w:rPr>
                <w:rFonts w:asciiTheme="majorHAnsi" w:hAnsiTheme="majorHAnsi"/>
                <w:b w:val="0"/>
              </w:rPr>
              <w:t>proveer</w:t>
            </w:r>
            <w:r w:rsidR="005A4AEF" w:rsidRPr="002A412F">
              <w:rPr>
                <w:rFonts w:asciiTheme="majorHAnsi" w:hAnsiTheme="majorHAnsi"/>
                <w:b w:val="0"/>
              </w:rPr>
              <w:t xml:space="preserve"> </w:t>
            </w:r>
            <w:r w:rsidR="00C02361" w:rsidRPr="002A412F">
              <w:rPr>
                <w:rFonts w:asciiTheme="majorHAnsi" w:hAnsiTheme="majorHAnsi"/>
                <w:b w:val="0"/>
              </w:rPr>
              <w:t xml:space="preserve">una </w:t>
            </w:r>
            <w:r w:rsidR="005A4AEF" w:rsidRPr="002A412F">
              <w:rPr>
                <w:rFonts w:asciiTheme="majorHAnsi" w:hAnsiTheme="majorHAnsi"/>
                <w:b w:val="0"/>
              </w:rPr>
              <w:t>atención médica que permitiera diagnosticar de forma oportuna los padecimientos del señor Hernández. En particular</w:t>
            </w:r>
            <w:r w:rsidR="00C6375E">
              <w:rPr>
                <w:rFonts w:asciiTheme="majorHAnsi" w:hAnsiTheme="majorHAnsi"/>
                <w:b w:val="0"/>
              </w:rPr>
              <w:t>,</w:t>
            </w:r>
            <w:r w:rsidR="005A4AEF" w:rsidRPr="002A412F">
              <w:rPr>
                <w:rFonts w:asciiTheme="majorHAnsi" w:hAnsiTheme="majorHAnsi"/>
                <w:b w:val="0"/>
              </w:rPr>
              <w:t xml:space="preserve"> </w:t>
            </w:r>
            <w:r w:rsidR="00C6375E">
              <w:rPr>
                <w:rFonts w:asciiTheme="majorHAnsi" w:hAnsiTheme="majorHAnsi"/>
                <w:b w:val="0"/>
              </w:rPr>
              <w:t>sobre</w:t>
            </w:r>
            <w:r w:rsidR="005A4AEF" w:rsidRPr="002A412F">
              <w:rPr>
                <w:rFonts w:asciiTheme="majorHAnsi" w:hAnsiTheme="majorHAnsi"/>
                <w:b w:val="0"/>
              </w:rPr>
              <w:t xml:space="preserve"> la falta de diagnóstico oportuno que derivó en el agravamiento de su meningitis, es de notar que la Organización Mundial de la Salud (</w:t>
            </w:r>
            <w:r w:rsidR="00C02361" w:rsidRPr="002A412F">
              <w:rPr>
                <w:rFonts w:asciiTheme="majorHAnsi" w:hAnsiTheme="majorHAnsi"/>
                <w:b w:val="0"/>
              </w:rPr>
              <w:t xml:space="preserve">en adelante, </w:t>
            </w:r>
            <w:r w:rsidR="005A4AEF" w:rsidRPr="002A412F">
              <w:rPr>
                <w:rFonts w:asciiTheme="majorHAnsi" w:hAnsiTheme="majorHAnsi"/>
                <w:b w:val="0"/>
              </w:rPr>
              <w:t>OMS) ha manifestado que esta enfermedad puede ser mortal, y que es vital que se brinde el tratamiento antibiótico apropiado para re</w:t>
            </w:r>
            <w:r w:rsidR="00E247F9" w:rsidRPr="002A412F">
              <w:rPr>
                <w:rFonts w:asciiTheme="majorHAnsi" w:hAnsiTheme="majorHAnsi"/>
                <w:b w:val="0"/>
              </w:rPr>
              <w:t>ducir</w:t>
            </w:r>
            <w:r w:rsidR="005A4AEF" w:rsidRPr="002A412F">
              <w:rPr>
                <w:rFonts w:asciiTheme="majorHAnsi" w:hAnsiTheme="majorHAnsi"/>
                <w:b w:val="0"/>
              </w:rPr>
              <w:t xml:space="preserve"> dicho riesgo</w:t>
            </w:r>
            <w:r w:rsidR="00EF1617" w:rsidRPr="002A412F">
              <w:rPr>
                <w:rFonts w:asciiTheme="majorHAnsi" w:hAnsiTheme="majorHAnsi"/>
                <w:b w:val="0"/>
              </w:rPr>
              <w:t xml:space="preserve"> y prevenir las secuelas neurológicas que pueda dejar.</w:t>
            </w:r>
          </w:p>
          <w:p w14:paraId="31715110" w14:textId="46002C2B" w:rsidR="005A4AEF" w:rsidRPr="002A412F" w:rsidRDefault="005A4AEF" w:rsidP="002F715B">
            <w:pPr>
              <w:spacing w:line="240" w:lineRule="auto"/>
              <w:jc w:val="both"/>
              <w:rPr>
                <w:rFonts w:asciiTheme="majorHAnsi" w:hAnsiTheme="majorHAnsi"/>
                <w:b w:val="0"/>
              </w:rPr>
            </w:pPr>
            <w:r w:rsidRPr="002A412F">
              <w:rPr>
                <w:rFonts w:asciiTheme="majorHAnsi" w:hAnsiTheme="majorHAnsi"/>
                <w:b w:val="0"/>
              </w:rPr>
              <w:t>En cuanto a la segunda obligación,</w:t>
            </w:r>
            <w:r w:rsidR="00D955F3" w:rsidRPr="002A412F">
              <w:rPr>
                <w:rFonts w:asciiTheme="majorHAnsi" w:hAnsiTheme="majorHAnsi"/>
                <w:b w:val="0"/>
              </w:rPr>
              <w:t xml:space="preserve"> a pesar que no constaba en el expediente información específica sobre el tratamiento recibido por el señor Hernández,</w:t>
            </w:r>
            <w:r w:rsidRPr="002A412F">
              <w:rPr>
                <w:rFonts w:asciiTheme="majorHAnsi" w:hAnsiTheme="majorHAnsi"/>
                <w:b w:val="0"/>
              </w:rPr>
              <w:t xml:space="preserve"> </w:t>
            </w:r>
            <w:r w:rsidR="00025238" w:rsidRPr="002A412F">
              <w:rPr>
                <w:rFonts w:asciiTheme="majorHAnsi" w:hAnsiTheme="majorHAnsi"/>
                <w:b w:val="0"/>
              </w:rPr>
              <w:t>la CIDH consideró</w:t>
            </w:r>
            <w:r w:rsidR="00EF1617" w:rsidRPr="002A412F">
              <w:rPr>
                <w:rFonts w:asciiTheme="majorHAnsi" w:hAnsiTheme="majorHAnsi"/>
                <w:b w:val="0"/>
              </w:rPr>
              <w:t xml:space="preserve"> </w:t>
            </w:r>
            <w:r w:rsidR="00025238" w:rsidRPr="002A412F">
              <w:rPr>
                <w:rFonts w:asciiTheme="majorHAnsi" w:hAnsiTheme="majorHAnsi"/>
                <w:b w:val="0"/>
              </w:rPr>
              <w:t>que,</w:t>
            </w:r>
            <w:r w:rsidR="00EF1617" w:rsidRPr="002A412F">
              <w:rPr>
                <w:rFonts w:asciiTheme="majorHAnsi" w:hAnsiTheme="majorHAnsi"/>
                <w:b w:val="0"/>
              </w:rPr>
              <w:t xml:space="preserve"> </w:t>
            </w:r>
            <w:r w:rsidR="00D955F3" w:rsidRPr="002A412F">
              <w:rPr>
                <w:rFonts w:asciiTheme="majorHAnsi" w:hAnsiTheme="majorHAnsi"/>
                <w:b w:val="0"/>
              </w:rPr>
              <w:t xml:space="preserve">de los continuos traslados entre hospitales, principalmente aquellos producidos por la carencia de camas, los periodos </w:t>
            </w:r>
            <w:r w:rsidR="00C02361" w:rsidRPr="002A412F">
              <w:rPr>
                <w:rFonts w:asciiTheme="majorHAnsi" w:hAnsiTheme="majorHAnsi"/>
                <w:b w:val="0"/>
              </w:rPr>
              <w:t xml:space="preserve">en </w:t>
            </w:r>
            <w:r w:rsidR="00D955F3" w:rsidRPr="002A412F">
              <w:rPr>
                <w:rFonts w:asciiTheme="majorHAnsi" w:hAnsiTheme="majorHAnsi"/>
                <w:b w:val="0"/>
              </w:rPr>
              <w:t>que el señor Hernández tuvo que permanecer privado de tratamiento por ello,</w:t>
            </w:r>
            <w:r w:rsidR="00025238" w:rsidRPr="002A412F">
              <w:rPr>
                <w:rFonts w:asciiTheme="majorHAnsi" w:hAnsiTheme="majorHAnsi"/>
                <w:b w:val="0"/>
              </w:rPr>
              <w:t xml:space="preserve"> y su retiro de uno de los hospitales sin autorización del juez o explicación alguna sobre su evolución favorable, era posible determinar que el Estado no cumplió con brindar un tratamiento adecuado al señor Hernández.</w:t>
            </w:r>
          </w:p>
          <w:p w14:paraId="60C46CDF" w14:textId="05374D75" w:rsidR="00025238" w:rsidRPr="002A412F" w:rsidRDefault="00025238" w:rsidP="002F715B">
            <w:pPr>
              <w:spacing w:line="240" w:lineRule="auto"/>
              <w:jc w:val="both"/>
              <w:rPr>
                <w:rFonts w:asciiTheme="majorHAnsi" w:hAnsiTheme="majorHAnsi"/>
                <w:b w:val="0"/>
              </w:rPr>
            </w:pPr>
            <w:r w:rsidRPr="002A412F">
              <w:rPr>
                <w:rFonts w:asciiTheme="majorHAnsi" w:hAnsiTheme="majorHAnsi"/>
                <w:b w:val="0"/>
              </w:rPr>
              <w:lastRenderedPageBreak/>
              <w:t xml:space="preserve">Asimismo, ello se vio agravado porque el juez de la causa no cumplió con velar porque el señor Hernández contara con la atención adecuada durante su detención en el momento oportuno, </w:t>
            </w:r>
            <w:r w:rsidR="00C02361" w:rsidRPr="002A412F">
              <w:rPr>
                <w:rFonts w:asciiTheme="majorHAnsi" w:hAnsiTheme="majorHAnsi"/>
                <w:b w:val="0"/>
              </w:rPr>
              <w:t>aun cuando</w:t>
            </w:r>
            <w:r w:rsidRPr="002A412F">
              <w:rPr>
                <w:rFonts w:asciiTheme="majorHAnsi" w:hAnsiTheme="majorHAnsi"/>
                <w:b w:val="0"/>
              </w:rPr>
              <w:t xml:space="preserve"> en numerosas ocasiones le fueron comunicados los padecimientos que sufría el señor Hernández. Por ello, la CIDH </w:t>
            </w:r>
            <w:r w:rsidR="002B2BB6" w:rsidRPr="002A412F">
              <w:rPr>
                <w:rFonts w:asciiTheme="majorHAnsi" w:hAnsiTheme="majorHAnsi"/>
                <w:b w:val="0"/>
              </w:rPr>
              <w:t xml:space="preserve">declaró que al Estado argentino como responsable de la violación de los artículos 5.1, 5.2, 8.1 y 25.1, en relación con el artículo 1.1, en perjuicio </w:t>
            </w:r>
            <w:r w:rsidR="00C02361" w:rsidRPr="002A412F">
              <w:rPr>
                <w:rFonts w:asciiTheme="majorHAnsi" w:hAnsiTheme="majorHAnsi"/>
                <w:b w:val="0"/>
              </w:rPr>
              <w:t>del señor</w:t>
            </w:r>
            <w:r w:rsidR="002B2BB6" w:rsidRPr="002A412F">
              <w:rPr>
                <w:rFonts w:asciiTheme="majorHAnsi" w:hAnsiTheme="majorHAnsi"/>
                <w:b w:val="0"/>
              </w:rPr>
              <w:t xml:space="preserve"> Hernández.</w:t>
            </w:r>
          </w:p>
          <w:p w14:paraId="6876B2D2" w14:textId="35A32CD0" w:rsidR="00446836" w:rsidRPr="002A412F" w:rsidRDefault="00893C01" w:rsidP="00B1764A">
            <w:pPr>
              <w:spacing w:line="240" w:lineRule="auto"/>
              <w:jc w:val="both"/>
              <w:rPr>
                <w:rFonts w:asciiTheme="majorHAnsi" w:hAnsiTheme="majorHAnsi"/>
              </w:rPr>
            </w:pPr>
            <w:r w:rsidRPr="002A412F">
              <w:rPr>
                <w:rFonts w:asciiTheme="majorHAnsi" w:hAnsiTheme="majorHAnsi"/>
              </w:rPr>
              <w:t>Derechos a la libertad personal y a la presunción de inocencia (</w:t>
            </w:r>
            <w:r w:rsidR="00B1764A" w:rsidRPr="002A412F">
              <w:rPr>
                <w:rFonts w:asciiTheme="majorHAnsi" w:hAnsiTheme="majorHAnsi"/>
              </w:rPr>
              <w:t>artículos 7 y 8 de la CADH)</w:t>
            </w:r>
          </w:p>
          <w:p w14:paraId="2CB7214B" w14:textId="3AF472F2" w:rsidR="00416257" w:rsidRPr="002A412F" w:rsidRDefault="00416257" w:rsidP="00B1764A">
            <w:pPr>
              <w:spacing w:line="240" w:lineRule="auto"/>
              <w:jc w:val="both"/>
              <w:rPr>
                <w:rFonts w:asciiTheme="majorHAnsi" w:hAnsiTheme="majorHAnsi"/>
                <w:b w:val="0"/>
              </w:rPr>
            </w:pPr>
            <w:r w:rsidRPr="002A412F">
              <w:rPr>
                <w:rFonts w:asciiTheme="majorHAnsi" w:hAnsiTheme="majorHAnsi"/>
                <w:b w:val="0"/>
              </w:rPr>
              <w:t xml:space="preserve">De acuerdo a los parámetros del SIDH, la detención preventiva es una medida cautelar, no punitiva, que se encuentra limitada por </w:t>
            </w:r>
            <w:r w:rsidR="00C6375E">
              <w:rPr>
                <w:rFonts w:asciiTheme="majorHAnsi" w:hAnsiTheme="majorHAnsi"/>
                <w:b w:val="0"/>
              </w:rPr>
              <w:t>los principios de</w:t>
            </w:r>
            <w:r w:rsidR="00C02361" w:rsidRPr="002A412F">
              <w:rPr>
                <w:rFonts w:asciiTheme="majorHAnsi" w:hAnsiTheme="majorHAnsi"/>
                <w:b w:val="0"/>
              </w:rPr>
              <w:t xml:space="preserve"> </w:t>
            </w:r>
            <w:r w:rsidRPr="002A412F">
              <w:rPr>
                <w:rFonts w:asciiTheme="majorHAnsi" w:hAnsiTheme="majorHAnsi"/>
                <w:b w:val="0"/>
              </w:rPr>
              <w:t xml:space="preserve">legalidad, presunción de inocencia, necesidad y proporcionalidad. </w:t>
            </w:r>
            <w:r w:rsidR="00670CA2" w:rsidRPr="002A412F">
              <w:rPr>
                <w:rFonts w:asciiTheme="majorHAnsi" w:hAnsiTheme="majorHAnsi"/>
                <w:b w:val="0"/>
              </w:rPr>
              <w:t xml:space="preserve">La regla en el seguimiento de un proceso debe ser la libertad del procesado, por lo que la imposición de la prisión </w:t>
            </w:r>
            <w:r w:rsidR="001A5AE4" w:rsidRPr="002A412F">
              <w:rPr>
                <w:rFonts w:asciiTheme="majorHAnsi" w:hAnsiTheme="majorHAnsi"/>
                <w:b w:val="0"/>
              </w:rPr>
              <w:t>preventiva</w:t>
            </w:r>
            <w:r w:rsidR="005670BC" w:rsidRPr="002A412F">
              <w:rPr>
                <w:rFonts w:asciiTheme="majorHAnsi" w:hAnsiTheme="majorHAnsi"/>
                <w:b w:val="0"/>
              </w:rPr>
              <w:t xml:space="preserve"> debe responder a un fin legítimo</w:t>
            </w:r>
            <w:r w:rsidR="00C02361" w:rsidRPr="002A412F">
              <w:rPr>
                <w:rFonts w:asciiTheme="majorHAnsi" w:hAnsiTheme="majorHAnsi"/>
                <w:b w:val="0"/>
              </w:rPr>
              <w:t>, como</w:t>
            </w:r>
            <w:r w:rsidR="005670BC" w:rsidRPr="002A412F">
              <w:rPr>
                <w:rFonts w:asciiTheme="majorHAnsi" w:hAnsiTheme="majorHAnsi"/>
                <w:b w:val="0"/>
              </w:rPr>
              <w:t xml:space="preserve"> asegurar que el acusado no </w:t>
            </w:r>
            <w:r w:rsidR="00C02361" w:rsidRPr="002A412F">
              <w:rPr>
                <w:rFonts w:asciiTheme="majorHAnsi" w:hAnsiTheme="majorHAnsi"/>
                <w:b w:val="0"/>
              </w:rPr>
              <w:t xml:space="preserve">impida </w:t>
            </w:r>
            <w:r w:rsidR="005670BC" w:rsidRPr="002A412F">
              <w:rPr>
                <w:rFonts w:asciiTheme="majorHAnsi" w:hAnsiTheme="majorHAnsi"/>
                <w:b w:val="0"/>
              </w:rPr>
              <w:t xml:space="preserve">el desarrollo del procedimiento ni </w:t>
            </w:r>
            <w:r w:rsidR="00C02361" w:rsidRPr="002A412F">
              <w:rPr>
                <w:rFonts w:asciiTheme="majorHAnsi" w:hAnsiTheme="majorHAnsi"/>
                <w:b w:val="0"/>
              </w:rPr>
              <w:t xml:space="preserve">eluda </w:t>
            </w:r>
            <w:r w:rsidR="005670BC" w:rsidRPr="002A412F">
              <w:rPr>
                <w:rFonts w:asciiTheme="majorHAnsi" w:hAnsiTheme="majorHAnsi"/>
                <w:b w:val="0"/>
              </w:rPr>
              <w:t xml:space="preserve">la acción de justicia, y ha de encontrarse basada en indicios suficientes que permitan suponer razonablemente que la persona sometida a proceso ha participado en el ilícito que se investiga. </w:t>
            </w:r>
            <w:r w:rsidR="00AE40A3" w:rsidRPr="002A412F">
              <w:rPr>
                <w:rFonts w:asciiTheme="majorHAnsi" w:hAnsiTheme="majorHAnsi"/>
                <w:b w:val="0"/>
              </w:rPr>
              <w:t>En ese sentido, las características personales del supuesto autor y la gravedad del delito que s</w:t>
            </w:r>
            <w:r w:rsidR="00C6375E">
              <w:rPr>
                <w:rFonts w:asciiTheme="majorHAnsi" w:hAnsiTheme="majorHAnsi"/>
                <w:b w:val="0"/>
              </w:rPr>
              <w:t>e le imputa no son, por sí misma</w:t>
            </w:r>
            <w:r w:rsidR="00AE40A3" w:rsidRPr="002A412F">
              <w:rPr>
                <w:rFonts w:asciiTheme="majorHAnsi" w:hAnsiTheme="majorHAnsi"/>
                <w:b w:val="0"/>
              </w:rPr>
              <w:t>s, justificación suficiente de la prisión preventiva.</w:t>
            </w:r>
            <w:r w:rsidR="00AE3635" w:rsidRPr="002A412F">
              <w:rPr>
                <w:rFonts w:asciiTheme="majorHAnsi" w:hAnsiTheme="majorHAnsi"/>
                <w:b w:val="0"/>
              </w:rPr>
              <w:t xml:space="preserve"> Una imposición arbitraria de la prisión preventiva vulnera la presunción de inocencia.</w:t>
            </w:r>
          </w:p>
          <w:p w14:paraId="08850F85" w14:textId="732F0B56" w:rsidR="00EB4A40" w:rsidRPr="002A412F" w:rsidRDefault="00604AD7" w:rsidP="00B1764A">
            <w:pPr>
              <w:spacing w:line="240" w:lineRule="auto"/>
              <w:jc w:val="both"/>
              <w:rPr>
                <w:rFonts w:asciiTheme="majorHAnsi" w:hAnsiTheme="majorHAnsi"/>
                <w:b w:val="0"/>
              </w:rPr>
            </w:pPr>
            <w:r>
              <w:rPr>
                <w:rFonts w:asciiTheme="majorHAnsi" w:hAnsiTheme="majorHAnsi"/>
                <w:b w:val="0"/>
              </w:rPr>
              <w:t>En este caso, s</w:t>
            </w:r>
            <w:r w:rsidR="003701B9" w:rsidRPr="002A412F">
              <w:rPr>
                <w:rFonts w:asciiTheme="majorHAnsi" w:hAnsiTheme="majorHAnsi"/>
                <w:b w:val="0"/>
              </w:rPr>
              <w:t xml:space="preserve">i bien </w:t>
            </w:r>
            <w:r w:rsidR="00AE3635" w:rsidRPr="002A412F">
              <w:rPr>
                <w:rFonts w:asciiTheme="majorHAnsi" w:hAnsiTheme="majorHAnsi"/>
                <w:b w:val="0"/>
              </w:rPr>
              <w:t xml:space="preserve">la CIDH no contaba con la decisión que decretó la prisión preventiva, observó </w:t>
            </w:r>
            <w:r w:rsidR="000C4699" w:rsidRPr="002A412F">
              <w:rPr>
                <w:rFonts w:asciiTheme="majorHAnsi" w:hAnsiTheme="majorHAnsi"/>
                <w:b w:val="0"/>
              </w:rPr>
              <w:t xml:space="preserve">que el artículo 1 de la Ley No. 10.484, </w:t>
            </w:r>
            <w:r w:rsidR="00BA7E7C" w:rsidRPr="002A412F">
              <w:rPr>
                <w:rFonts w:asciiTheme="majorHAnsi" w:hAnsiTheme="majorHAnsi"/>
                <w:b w:val="0"/>
              </w:rPr>
              <w:t>cuya aplicación a</w:t>
            </w:r>
            <w:r>
              <w:rPr>
                <w:rFonts w:asciiTheme="majorHAnsi" w:hAnsiTheme="majorHAnsi"/>
                <w:b w:val="0"/>
              </w:rPr>
              <w:t>l</w:t>
            </w:r>
            <w:r w:rsidR="00BA7E7C" w:rsidRPr="002A412F">
              <w:rPr>
                <w:rFonts w:asciiTheme="majorHAnsi" w:hAnsiTheme="majorHAnsi"/>
                <w:b w:val="0"/>
              </w:rPr>
              <w:t xml:space="preserve"> caso se infiere del delito que se le imputaba al señor Hernández y la presentación del recurso de excarcelación extraordinaria por su defensa, </w:t>
            </w:r>
            <w:r w:rsidR="000C4699" w:rsidRPr="002A412F">
              <w:rPr>
                <w:rFonts w:asciiTheme="majorHAnsi" w:hAnsiTheme="majorHAnsi"/>
                <w:b w:val="0"/>
              </w:rPr>
              <w:t>disponía que los imputados con penas mayores a seis años no podían ser excarcelados</w:t>
            </w:r>
            <w:r>
              <w:rPr>
                <w:rFonts w:asciiTheme="majorHAnsi" w:hAnsiTheme="majorHAnsi"/>
                <w:b w:val="0"/>
              </w:rPr>
              <w:t>. Esta norma no cumplía</w:t>
            </w:r>
            <w:r w:rsidR="00107981" w:rsidRPr="002A412F">
              <w:rPr>
                <w:rFonts w:asciiTheme="majorHAnsi" w:hAnsiTheme="majorHAnsi"/>
                <w:b w:val="0"/>
              </w:rPr>
              <w:t xml:space="preserve"> con los estándares </w:t>
            </w:r>
            <w:r w:rsidR="00BA7E7C" w:rsidRPr="002A412F">
              <w:rPr>
                <w:rFonts w:asciiTheme="majorHAnsi" w:hAnsiTheme="majorHAnsi"/>
                <w:b w:val="0"/>
              </w:rPr>
              <w:t>citados en el párrafo anterior ya que</w:t>
            </w:r>
            <w:r w:rsidR="0020741B" w:rsidRPr="002A412F">
              <w:rPr>
                <w:rFonts w:asciiTheme="majorHAnsi" w:hAnsiTheme="majorHAnsi"/>
                <w:b w:val="0"/>
              </w:rPr>
              <w:t xml:space="preserve">: i) </w:t>
            </w:r>
            <w:r w:rsidR="00412CFD" w:rsidRPr="002A412F">
              <w:rPr>
                <w:rFonts w:asciiTheme="majorHAnsi" w:hAnsiTheme="majorHAnsi"/>
                <w:b w:val="0"/>
              </w:rPr>
              <w:t>para la imposición de la encarcelación solo se tomaba en cuenta la duración de la pena sin que existiera un fin legítimo de por medio,</w:t>
            </w:r>
            <w:r w:rsidR="004D5817" w:rsidRPr="002A412F">
              <w:rPr>
                <w:rFonts w:asciiTheme="majorHAnsi" w:hAnsiTheme="majorHAnsi"/>
                <w:b w:val="0"/>
              </w:rPr>
              <w:t xml:space="preserve"> ii) suponía una inversión de</w:t>
            </w:r>
            <w:r w:rsidR="00DD39EE" w:rsidRPr="002A412F">
              <w:rPr>
                <w:rFonts w:asciiTheme="majorHAnsi" w:hAnsiTheme="majorHAnsi"/>
                <w:b w:val="0"/>
              </w:rPr>
              <w:t xml:space="preserve"> la carga de la prueba sobre los fines procesales</w:t>
            </w:r>
            <w:r w:rsidR="00412CFD" w:rsidRPr="002A412F">
              <w:rPr>
                <w:rFonts w:asciiTheme="majorHAnsi" w:hAnsiTheme="majorHAnsi"/>
                <w:b w:val="0"/>
              </w:rPr>
              <w:t>,</w:t>
            </w:r>
            <w:r w:rsidR="00DD39EE" w:rsidRPr="002A412F">
              <w:rPr>
                <w:rFonts w:asciiTheme="majorHAnsi" w:hAnsiTheme="majorHAnsi"/>
                <w:b w:val="0"/>
              </w:rPr>
              <w:t xml:space="preserve"> y </w:t>
            </w:r>
            <w:r w:rsidR="00412CFD" w:rsidRPr="002A412F">
              <w:rPr>
                <w:rFonts w:asciiTheme="majorHAnsi" w:hAnsiTheme="majorHAnsi"/>
                <w:b w:val="0"/>
              </w:rPr>
              <w:t xml:space="preserve">iii) </w:t>
            </w:r>
            <w:r w:rsidR="00DD39EE" w:rsidRPr="002A412F">
              <w:rPr>
                <w:rFonts w:asciiTheme="majorHAnsi" w:hAnsiTheme="majorHAnsi"/>
                <w:b w:val="0"/>
              </w:rPr>
              <w:t>revertía la regla de la libertad para convertirla en excepción.</w:t>
            </w:r>
            <w:r w:rsidR="00BA7E7C" w:rsidRPr="002A412F">
              <w:rPr>
                <w:rFonts w:asciiTheme="majorHAnsi" w:hAnsiTheme="majorHAnsi"/>
                <w:b w:val="0"/>
              </w:rPr>
              <w:t xml:space="preserve"> </w:t>
            </w:r>
          </w:p>
          <w:p w14:paraId="69C854D1" w14:textId="4A5D1FB5" w:rsidR="00626B88" w:rsidRPr="002A412F" w:rsidRDefault="000264C3" w:rsidP="00B1764A">
            <w:pPr>
              <w:spacing w:line="240" w:lineRule="auto"/>
              <w:jc w:val="both"/>
              <w:rPr>
                <w:rFonts w:asciiTheme="majorHAnsi" w:hAnsiTheme="majorHAnsi"/>
                <w:b w:val="0"/>
              </w:rPr>
            </w:pPr>
            <w:r w:rsidRPr="002A412F">
              <w:rPr>
                <w:rFonts w:asciiTheme="majorHAnsi" w:hAnsiTheme="majorHAnsi"/>
                <w:b w:val="0"/>
              </w:rPr>
              <w:t>Por otro lado, respecto</w:t>
            </w:r>
            <w:r w:rsidR="001A59E0" w:rsidRPr="002A412F">
              <w:rPr>
                <w:rFonts w:asciiTheme="majorHAnsi" w:hAnsiTheme="majorHAnsi"/>
                <w:b w:val="0"/>
              </w:rPr>
              <w:t xml:space="preserve"> a la permanencia por un año y seis meses del señor Hernández en la Comisaría de Monte Grande</w:t>
            </w:r>
            <w:r w:rsidRPr="002A412F">
              <w:rPr>
                <w:rFonts w:asciiTheme="majorHAnsi" w:hAnsiTheme="majorHAnsi"/>
                <w:b w:val="0"/>
              </w:rPr>
              <w:t xml:space="preserve">, </w:t>
            </w:r>
            <w:r w:rsidR="001A59E0" w:rsidRPr="002A412F">
              <w:rPr>
                <w:rFonts w:asciiTheme="majorHAnsi" w:hAnsiTheme="majorHAnsi"/>
                <w:b w:val="0"/>
              </w:rPr>
              <w:t xml:space="preserve">la CIDH </w:t>
            </w:r>
            <w:r w:rsidR="00604AD7">
              <w:rPr>
                <w:rFonts w:asciiTheme="majorHAnsi" w:hAnsiTheme="majorHAnsi"/>
                <w:b w:val="0"/>
              </w:rPr>
              <w:t>indicó</w:t>
            </w:r>
            <w:r w:rsidR="001A59E0" w:rsidRPr="002A412F">
              <w:rPr>
                <w:rFonts w:asciiTheme="majorHAnsi" w:hAnsiTheme="majorHAnsi"/>
                <w:b w:val="0"/>
              </w:rPr>
              <w:t xml:space="preserve"> </w:t>
            </w:r>
            <w:r w:rsidR="00137E7A" w:rsidRPr="002A412F">
              <w:rPr>
                <w:rFonts w:asciiTheme="majorHAnsi" w:hAnsiTheme="majorHAnsi"/>
                <w:b w:val="0"/>
              </w:rPr>
              <w:t xml:space="preserve">que </w:t>
            </w:r>
            <w:r w:rsidR="00725920" w:rsidRPr="002A412F">
              <w:rPr>
                <w:rFonts w:asciiTheme="majorHAnsi" w:hAnsiTheme="majorHAnsi"/>
                <w:b w:val="0"/>
              </w:rPr>
              <w:t xml:space="preserve">estos lugares no están diseñados para al alojamiento de personas procesadas, y su personal no está capacitado para ejercer las funciones </w:t>
            </w:r>
            <w:r w:rsidR="009613B9" w:rsidRPr="002A412F">
              <w:rPr>
                <w:rFonts w:asciiTheme="majorHAnsi" w:hAnsiTheme="majorHAnsi"/>
                <w:b w:val="0"/>
              </w:rPr>
              <w:t xml:space="preserve">de una unidad penitenciaria. </w:t>
            </w:r>
            <w:r w:rsidR="00604AD7">
              <w:rPr>
                <w:rFonts w:asciiTheme="majorHAnsi" w:hAnsiTheme="majorHAnsi"/>
                <w:b w:val="0"/>
              </w:rPr>
              <w:t>En el presente caso, observó que</w:t>
            </w:r>
            <w:r w:rsidR="00823C13" w:rsidRPr="002A412F">
              <w:rPr>
                <w:rFonts w:asciiTheme="majorHAnsi" w:hAnsiTheme="majorHAnsi"/>
                <w:b w:val="0"/>
              </w:rPr>
              <w:t xml:space="preserve"> exis</w:t>
            </w:r>
            <w:r w:rsidR="009613B9" w:rsidRPr="002A412F">
              <w:rPr>
                <w:rFonts w:asciiTheme="majorHAnsi" w:hAnsiTheme="majorHAnsi"/>
                <w:b w:val="0"/>
              </w:rPr>
              <w:t>tía una orden traslado a la Unidad No. 1</w:t>
            </w:r>
            <w:r w:rsidR="00823C13" w:rsidRPr="002A412F">
              <w:rPr>
                <w:rFonts w:asciiTheme="majorHAnsi" w:hAnsiTheme="majorHAnsi"/>
                <w:b w:val="0"/>
              </w:rPr>
              <w:t xml:space="preserve"> para el señor Hernández, pero no se adoptaron las medidas necesarias para su ejecución</w:t>
            </w:r>
            <w:r w:rsidR="00494ED7" w:rsidRPr="002A412F">
              <w:rPr>
                <w:rFonts w:asciiTheme="majorHAnsi" w:hAnsiTheme="majorHAnsi"/>
                <w:b w:val="0"/>
              </w:rPr>
              <w:t>. En vista de ello</w:t>
            </w:r>
            <w:r w:rsidR="00823C13" w:rsidRPr="002A412F">
              <w:rPr>
                <w:rFonts w:asciiTheme="majorHAnsi" w:hAnsiTheme="majorHAnsi"/>
                <w:b w:val="0"/>
              </w:rPr>
              <w:t xml:space="preserve">, </w:t>
            </w:r>
            <w:r w:rsidR="005C5D5D" w:rsidRPr="002A412F">
              <w:rPr>
                <w:rFonts w:asciiTheme="majorHAnsi" w:hAnsiTheme="majorHAnsi"/>
                <w:b w:val="0"/>
              </w:rPr>
              <w:t xml:space="preserve">el Estado no cumplió con su posición de garante al no asegurar </w:t>
            </w:r>
            <w:r w:rsidR="00626B88" w:rsidRPr="002A412F">
              <w:rPr>
                <w:rFonts w:asciiTheme="majorHAnsi" w:hAnsiTheme="majorHAnsi"/>
                <w:b w:val="0"/>
              </w:rPr>
              <w:t>que la privación de libertad del señor Hernández tuviera lugar en un centro adecuado.</w:t>
            </w:r>
            <w:r w:rsidR="00604AD7">
              <w:rPr>
                <w:rFonts w:asciiTheme="majorHAnsi" w:hAnsiTheme="majorHAnsi"/>
                <w:b w:val="0"/>
              </w:rPr>
              <w:t xml:space="preserve"> </w:t>
            </w:r>
            <w:r w:rsidR="00626B88" w:rsidRPr="002A412F">
              <w:rPr>
                <w:rFonts w:asciiTheme="majorHAnsi" w:hAnsiTheme="majorHAnsi"/>
                <w:b w:val="0"/>
              </w:rPr>
              <w:t>En razón de lo expuesto, la CIDH declaró al Estado argentino responsable de la violación de los artículos 7.1, 7.3, y 8.2 de la CADH, en relación con los artículos 1.1 y 2, en perjuicio d</w:t>
            </w:r>
            <w:r w:rsidR="00494ED7" w:rsidRPr="002A412F">
              <w:rPr>
                <w:rFonts w:asciiTheme="majorHAnsi" w:hAnsiTheme="majorHAnsi"/>
                <w:b w:val="0"/>
              </w:rPr>
              <w:t>el señor</w:t>
            </w:r>
            <w:r w:rsidR="00137E7A" w:rsidRPr="002A412F">
              <w:rPr>
                <w:rFonts w:asciiTheme="majorHAnsi" w:hAnsiTheme="majorHAnsi"/>
                <w:b w:val="0"/>
              </w:rPr>
              <w:t xml:space="preserve"> </w:t>
            </w:r>
            <w:r w:rsidR="00626B88" w:rsidRPr="002A412F">
              <w:rPr>
                <w:rFonts w:asciiTheme="majorHAnsi" w:hAnsiTheme="majorHAnsi"/>
                <w:b w:val="0"/>
              </w:rPr>
              <w:t>Hernández.</w:t>
            </w:r>
          </w:p>
          <w:p w14:paraId="456AB3A9" w14:textId="14A99DB0" w:rsidR="00224E55" w:rsidRPr="002A412F" w:rsidRDefault="00893C01" w:rsidP="00B1764A">
            <w:pPr>
              <w:spacing w:line="240" w:lineRule="auto"/>
              <w:jc w:val="both"/>
              <w:rPr>
                <w:rFonts w:asciiTheme="majorHAnsi" w:hAnsiTheme="majorHAnsi"/>
              </w:rPr>
            </w:pPr>
            <w:r w:rsidRPr="002A412F">
              <w:rPr>
                <w:rFonts w:asciiTheme="majorHAnsi" w:hAnsiTheme="majorHAnsi"/>
              </w:rPr>
              <w:t xml:space="preserve">Derecho a las garantías judiciales y a la protección judicial </w:t>
            </w:r>
            <w:r w:rsidR="00110269" w:rsidRPr="002A412F">
              <w:rPr>
                <w:rFonts w:asciiTheme="majorHAnsi" w:hAnsiTheme="majorHAnsi"/>
              </w:rPr>
              <w:t xml:space="preserve">respecto a la demanda civil de daños y perjuicios </w:t>
            </w:r>
            <w:r w:rsidRPr="002A412F">
              <w:rPr>
                <w:rFonts w:asciiTheme="majorHAnsi" w:hAnsiTheme="majorHAnsi"/>
              </w:rPr>
              <w:t>(artículos 8 y 25 de la CADH)</w:t>
            </w:r>
          </w:p>
          <w:p w14:paraId="297B3D27" w14:textId="7D96BBDE" w:rsidR="00F46924" w:rsidRPr="002A412F" w:rsidRDefault="00F46924" w:rsidP="00B1764A">
            <w:pPr>
              <w:spacing w:line="240" w:lineRule="auto"/>
              <w:jc w:val="both"/>
              <w:rPr>
                <w:rFonts w:asciiTheme="majorHAnsi" w:hAnsiTheme="majorHAnsi"/>
                <w:b w:val="0"/>
              </w:rPr>
            </w:pPr>
            <w:r w:rsidRPr="002A412F">
              <w:rPr>
                <w:rFonts w:asciiTheme="majorHAnsi" w:hAnsiTheme="majorHAnsi"/>
                <w:b w:val="0"/>
              </w:rPr>
              <w:t>La Corte IDH ha indicado que parte de las garantías judiciales aplicables a todo proceso o procedimiento son las formalidades que deben observarse para gar</w:t>
            </w:r>
            <w:r w:rsidR="00325479" w:rsidRPr="002A412F">
              <w:rPr>
                <w:rFonts w:asciiTheme="majorHAnsi" w:hAnsiTheme="majorHAnsi"/>
                <w:b w:val="0"/>
              </w:rPr>
              <w:t xml:space="preserve">antizar el acceso a los mismos, lo que coadyuva a preservar la seguridad jurídica. En ese sentido, los Estados pueden y deben establecer </w:t>
            </w:r>
            <w:r w:rsidR="007072E9" w:rsidRPr="002A412F">
              <w:rPr>
                <w:rFonts w:asciiTheme="majorHAnsi" w:hAnsiTheme="majorHAnsi"/>
                <w:b w:val="0"/>
              </w:rPr>
              <w:t xml:space="preserve">los </w:t>
            </w:r>
            <w:r w:rsidR="00325479" w:rsidRPr="002A412F">
              <w:rPr>
                <w:rFonts w:asciiTheme="majorHAnsi" w:hAnsiTheme="majorHAnsi"/>
                <w:b w:val="0"/>
              </w:rPr>
              <w:t>presupuestos y criterios de admisibilidad de los recursos internos</w:t>
            </w:r>
            <w:r w:rsidR="00862099" w:rsidRPr="002A412F">
              <w:rPr>
                <w:rFonts w:asciiTheme="majorHAnsi" w:hAnsiTheme="majorHAnsi"/>
                <w:b w:val="0"/>
              </w:rPr>
              <w:t xml:space="preserve"> sea cual sea su naturaleza. </w:t>
            </w:r>
            <w:r w:rsidR="003A7A65" w:rsidRPr="002A412F">
              <w:rPr>
                <w:rFonts w:asciiTheme="majorHAnsi" w:hAnsiTheme="majorHAnsi"/>
                <w:b w:val="0"/>
              </w:rPr>
              <w:t>La Corte y la CIDH coinciden en que l</w:t>
            </w:r>
            <w:r w:rsidR="006D73AE" w:rsidRPr="002A412F">
              <w:rPr>
                <w:rFonts w:asciiTheme="majorHAnsi" w:hAnsiTheme="majorHAnsi"/>
                <w:b w:val="0"/>
              </w:rPr>
              <w:t>a disponibilidad de los recursos para tutelar posibles violaciones de derechos humanos no implica el desconocer la verificación de los presupuestos formales de admisibilidad y procedencia del particular recurso intentado, los cuales precisamente han de obedecer a criterios metodológicos</w:t>
            </w:r>
            <w:r w:rsidR="007072E9" w:rsidRPr="002A412F">
              <w:rPr>
                <w:rFonts w:asciiTheme="majorHAnsi" w:hAnsiTheme="majorHAnsi"/>
                <w:b w:val="0"/>
              </w:rPr>
              <w:t>,</w:t>
            </w:r>
            <w:r w:rsidR="006D73AE" w:rsidRPr="002A412F">
              <w:rPr>
                <w:rFonts w:asciiTheme="majorHAnsi" w:hAnsiTheme="majorHAnsi"/>
                <w:b w:val="0"/>
              </w:rPr>
              <w:t xml:space="preserve"> </w:t>
            </w:r>
            <w:r w:rsidR="006D73AE" w:rsidRPr="002A412F">
              <w:rPr>
                <w:rFonts w:asciiTheme="majorHAnsi" w:hAnsiTheme="majorHAnsi"/>
                <w:b w:val="0"/>
              </w:rPr>
              <w:lastRenderedPageBreak/>
              <w:t xml:space="preserve">orientados a ordenar la utilización de las acciones y hacer más efectivo el trabajo judicial. </w:t>
            </w:r>
          </w:p>
          <w:p w14:paraId="77E5C413" w14:textId="4B98674E" w:rsidR="00E977D8" w:rsidRPr="002A412F" w:rsidRDefault="00167F72" w:rsidP="00B1764A">
            <w:pPr>
              <w:spacing w:line="240" w:lineRule="auto"/>
              <w:jc w:val="both"/>
              <w:rPr>
                <w:rFonts w:asciiTheme="majorHAnsi" w:hAnsiTheme="majorHAnsi"/>
                <w:b w:val="0"/>
              </w:rPr>
            </w:pPr>
            <w:r w:rsidRPr="002A412F">
              <w:rPr>
                <w:rFonts w:asciiTheme="majorHAnsi" w:hAnsiTheme="majorHAnsi"/>
                <w:b w:val="0"/>
              </w:rPr>
              <w:t>En el caso, la alegada violación de las garantías</w:t>
            </w:r>
            <w:r w:rsidR="009B5ADC" w:rsidRPr="002A412F">
              <w:rPr>
                <w:rFonts w:asciiTheme="majorHAnsi" w:hAnsiTheme="majorHAnsi"/>
                <w:b w:val="0"/>
              </w:rPr>
              <w:t xml:space="preserve"> judiciales y la protección judicial en perjui</w:t>
            </w:r>
            <w:r w:rsidRPr="002A412F">
              <w:rPr>
                <w:rFonts w:asciiTheme="majorHAnsi" w:hAnsiTheme="majorHAnsi"/>
                <w:b w:val="0"/>
              </w:rPr>
              <w:t xml:space="preserve">cio del señor Hernández se </w:t>
            </w:r>
            <w:r w:rsidR="007072E9" w:rsidRPr="002A412F">
              <w:rPr>
                <w:rFonts w:asciiTheme="majorHAnsi" w:hAnsiTheme="majorHAnsi"/>
                <w:b w:val="0"/>
              </w:rPr>
              <w:t xml:space="preserve">basó </w:t>
            </w:r>
            <w:r w:rsidRPr="002A412F">
              <w:rPr>
                <w:rFonts w:asciiTheme="majorHAnsi" w:hAnsiTheme="majorHAnsi"/>
                <w:b w:val="0"/>
              </w:rPr>
              <w:t>en el supuesto</w:t>
            </w:r>
            <w:r w:rsidR="009B5ADC" w:rsidRPr="002A412F">
              <w:rPr>
                <w:rFonts w:asciiTheme="majorHAnsi" w:hAnsiTheme="majorHAnsi"/>
                <w:b w:val="0"/>
              </w:rPr>
              <w:t xml:space="preserve"> cómputo equivocado del término de prescripción de dos años de la acción</w:t>
            </w:r>
            <w:r w:rsidRPr="002A412F">
              <w:rPr>
                <w:rFonts w:asciiTheme="majorHAnsi" w:hAnsiTheme="majorHAnsi"/>
                <w:b w:val="0"/>
              </w:rPr>
              <w:t xml:space="preserve"> civil por daños y perjuicios</w:t>
            </w:r>
            <w:r w:rsidR="007072E9" w:rsidRPr="002A412F">
              <w:rPr>
                <w:rFonts w:asciiTheme="majorHAnsi" w:hAnsiTheme="majorHAnsi"/>
                <w:b w:val="0"/>
              </w:rPr>
              <w:t>.</w:t>
            </w:r>
            <w:r w:rsidRPr="002A412F">
              <w:rPr>
                <w:rFonts w:asciiTheme="majorHAnsi" w:hAnsiTheme="majorHAnsi"/>
                <w:b w:val="0"/>
              </w:rPr>
              <w:t xml:space="preserve"> </w:t>
            </w:r>
            <w:r w:rsidR="007072E9" w:rsidRPr="002A412F">
              <w:rPr>
                <w:rFonts w:asciiTheme="majorHAnsi" w:hAnsiTheme="majorHAnsi"/>
                <w:b w:val="0"/>
              </w:rPr>
              <w:t>L</w:t>
            </w:r>
            <w:r w:rsidRPr="002A412F">
              <w:rPr>
                <w:rFonts w:asciiTheme="majorHAnsi" w:hAnsiTheme="majorHAnsi"/>
                <w:b w:val="0"/>
              </w:rPr>
              <w:t>a CIDH observó que los fallos desfavorables tuvieron como sustento las normas procesales del Estado sobre l</w:t>
            </w:r>
            <w:r w:rsidR="00FB2E2E" w:rsidRPr="002A412F">
              <w:rPr>
                <w:rFonts w:asciiTheme="majorHAnsi" w:hAnsiTheme="majorHAnsi"/>
                <w:b w:val="0"/>
              </w:rPr>
              <w:t>a prescripción, cuya aplicación</w:t>
            </w:r>
            <w:r w:rsidR="006712EE" w:rsidRPr="002A412F">
              <w:rPr>
                <w:rFonts w:asciiTheme="majorHAnsi" w:hAnsiTheme="majorHAnsi"/>
                <w:b w:val="0"/>
              </w:rPr>
              <w:t xml:space="preserve"> </w:t>
            </w:r>
            <w:r w:rsidRPr="002A412F">
              <w:rPr>
                <w:rFonts w:asciiTheme="majorHAnsi" w:hAnsiTheme="majorHAnsi"/>
                <w:b w:val="0"/>
              </w:rPr>
              <w:t>no está p</w:t>
            </w:r>
            <w:r w:rsidR="007F54DD" w:rsidRPr="002A412F">
              <w:rPr>
                <w:rFonts w:asciiTheme="majorHAnsi" w:hAnsiTheme="majorHAnsi"/>
                <w:b w:val="0"/>
              </w:rPr>
              <w:t>ermitida en el ámbito civil</w:t>
            </w:r>
            <w:r w:rsidRPr="002A412F">
              <w:rPr>
                <w:rFonts w:asciiTheme="majorHAnsi" w:hAnsiTheme="majorHAnsi"/>
                <w:b w:val="0"/>
              </w:rPr>
              <w:t xml:space="preserve"> </w:t>
            </w:r>
            <w:r w:rsidR="00FB2E2E" w:rsidRPr="002A412F">
              <w:rPr>
                <w:rFonts w:asciiTheme="majorHAnsi" w:hAnsiTheme="majorHAnsi"/>
                <w:b w:val="0"/>
              </w:rPr>
              <w:t xml:space="preserve">solo </w:t>
            </w:r>
            <w:r w:rsidRPr="002A412F">
              <w:rPr>
                <w:rFonts w:asciiTheme="majorHAnsi" w:hAnsiTheme="majorHAnsi"/>
                <w:b w:val="0"/>
              </w:rPr>
              <w:t>cuando se trat</w:t>
            </w:r>
            <w:r w:rsidR="00D346C0" w:rsidRPr="002A412F">
              <w:rPr>
                <w:rFonts w:asciiTheme="majorHAnsi" w:hAnsiTheme="majorHAnsi"/>
                <w:b w:val="0"/>
              </w:rPr>
              <w:t>e</w:t>
            </w:r>
            <w:r w:rsidR="008D188F" w:rsidRPr="002A412F">
              <w:rPr>
                <w:rFonts w:asciiTheme="majorHAnsi" w:hAnsiTheme="majorHAnsi"/>
                <w:b w:val="0"/>
              </w:rPr>
              <w:t xml:space="preserve"> de crímenes de lesa humanidad, excepción no aplicable al presente caso, </w:t>
            </w:r>
            <w:r w:rsidR="00FB2E2E" w:rsidRPr="002A412F">
              <w:rPr>
                <w:rFonts w:asciiTheme="majorHAnsi" w:hAnsiTheme="majorHAnsi"/>
                <w:b w:val="0"/>
              </w:rPr>
              <w:t>por lo que</w:t>
            </w:r>
            <w:r w:rsidR="00D346C0" w:rsidRPr="002A412F">
              <w:rPr>
                <w:rFonts w:asciiTheme="majorHAnsi" w:hAnsiTheme="majorHAnsi"/>
                <w:b w:val="0"/>
              </w:rPr>
              <w:t xml:space="preserve"> d</w:t>
            </w:r>
            <w:r w:rsidRPr="002A412F">
              <w:rPr>
                <w:rFonts w:asciiTheme="majorHAnsi" w:hAnsiTheme="majorHAnsi"/>
                <w:b w:val="0"/>
              </w:rPr>
              <w:t xml:space="preserve">e las circunstancias del caso </w:t>
            </w:r>
            <w:r w:rsidR="007072E9" w:rsidRPr="002A412F">
              <w:rPr>
                <w:rFonts w:asciiTheme="majorHAnsi" w:hAnsiTheme="majorHAnsi"/>
                <w:b w:val="0"/>
              </w:rPr>
              <w:t>n</w:t>
            </w:r>
            <w:r w:rsidRPr="002A412F">
              <w:rPr>
                <w:rFonts w:asciiTheme="majorHAnsi" w:hAnsiTheme="majorHAnsi"/>
                <w:b w:val="0"/>
              </w:rPr>
              <w:t xml:space="preserve">o era posible determinar que resultaran violatorias de la CADH. Asimismo, consideró que </w:t>
            </w:r>
            <w:r w:rsidR="003345FA" w:rsidRPr="002A412F">
              <w:rPr>
                <w:rFonts w:asciiTheme="majorHAnsi" w:hAnsiTheme="majorHAnsi"/>
                <w:b w:val="0"/>
              </w:rPr>
              <w:t>no le correspondía a la CIDH el determinar el momento a partir del cual debía computarse el plazo de prescripción.</w:t>
            </w:r>
            <w:r w:rsidR="00E977D8" w:rsidRPr="002A412F">
              <w:rPr>
                <w:rFonts w:asciiTheme="majorHAnsi" w:hAnsiTheme="majorHAnsi"/>
                <w:b w:val="0"/>
              </w:rPr>
              <w:t xml:space="preserve"> Por ello, declaró que el Estado argentino no era responsable por la violación de los artículos 8.1 y 25.1 de la CADH.</w:t>
            </w:r>
          </w:p>
          <w:p w14:paraId="44A014F9" w14:textId="3E03FA20" w:rsidR="00224E55" w:rsidRPr="002A412F" w:rsidRDefault="00224E55" w:rsidP="00B1764A">
            <w:pPr>
              <w:spacing w:line="240" w:lineRule="auto"/>
              <w:jc w:val="both"/>
              <w:rPr>
                <w:rFonts w:asciiTheme="majorHAnsi" w:hAnsiTheme="majorHAnsi"/>
                <w:b w:val="0"/>
              </w:rPr>
            </w:pPr>
            <w:r w:rsidRPr="002A412F">
              <w:rPr>
                <w:rFonts w:asciiTheme="majorHAnsi" w:hAnsiTheme="majorHAnsi"/>
              </w:rPr>
              <w:t>Derecho a la integridad personal de la madre de José Luis Hernández (artículo 5 de la CADH)</w:t>
            </w:r>
          </w:p>
          <w:p w14:paraId="01773D9F" w14:textId="7944ECA6" w:rsidR="00B1764A" w:rsidRPr="002A412F" w:rsidRDefault="00A07708" w:rsidP="0049154C">
            <w:pPr>
              <w:spacing w:after="0" w:line="240" w:lineRule="auto"/>
              <w:jc w:val="both"/>
              <w:rPr>
                <w:rFonts w:asciiTheme="majorHAnsi" w:hAnsiTheme="majorHAnsi"/>
                <w:b w:val="0"/>
              </w:rPr>
            </w:pPr>
            <w:r w:rsidRPr="002A412F">
              <w:rPr>
                <w:rFonts w:asciiTheme="majorHAnsi" w:hAnsiTheme="majorHAnsi"/>
                <w:b w:val="0"/>
              </w:rPr>
              <w:t>La jurisprudencia del SIDH ha establecido que los familiares de las víctimas de ciertas violaciones de derechos humanos pueden ser, a su vez, víctimas</w:t>
            </w:r>
            <w:r w:rsidR="0041666E">
              <w:rPr>
                <w:rFonts w:asciiTheme="majorHAnsi" w:hAnsiTheme="majorHAnsi"/>
                <w:b w:val="0"/>
              </w:rPr>
              <w:t xml:space="preserve"> en ciertas ocasiones</w:t>
            </w:r>
            <w:r w:rsidRPr="002A412F">
              <w:rPr>
                <w:rFonts w:asciiTheme="majorHAnsi" w:hAnsiTheme="majorHAnsi"/>
                <w:b w:val="0"/>
              </w:rPr>
              <w:t xml:space="preserve">. En ese sentido, su integridad psíquica y moral puede verse afectada como consecuencia de las situaciones particulares que padecieron sus seres queridos, y de las posteriores actuaciones u omisiones de las autoridades. </w:t>
            </w:r>
            <w:r w:rsidR="007755BA" w:rsidRPr="002A412F">
              <w:rPr>
                <w:rFonts w:asciiTheme="majorHAnsi" w:hAnsiTheme="majorHAnsi"/>
                <w:b w:val="0"/>
              </w:rPr>
              <w:t xml:space="preserve">En el caso concreto, la CIDH determinó que la angustia generada en la madre del señor Hernández </w:t>
            </w:r>
            <w:r w:rsidR="00AD5311" w:rsidRPr="002A412F">
              <w:rPr>
                <w:rFonts w:asciiTheme="majorHAnsi" w:hAnsiTheme="majorHAnsi"/>
                <w:b w:val="0"/>
              </w:rPr>
              <w:t>por</w:t>
            </w:r>
            <w:r w:rsidR="007755BA" w:rsidRPr="002A412F">
              <w:rPr>
                <w:rFonts w:asciiTheme="majorHAnsi" w:hAnsiTheme="majorHAnsi"/>
                <w:b w:val="0"/>
              </w:rPr>
              <w:t xml:space="preserve"> la falta de acceso al tratamiento médico </w:t>
            </w:r>
            <w:r w:rsidR="00AD5311" w:rsidRPr="002A412F">
              <w:rPr>
                <w:rFonts w:asciiTheme="majorHAnsi" w:hAnsiTheme="majorHAnsi"/>
                <w:b w:val="0"/>
              </w:rPr>
              <w:t>que su hijo requería para su enfermedad mientras se encontraba p</w:t>
            </w:r>
            <w:r w:rsidR="00BC4F53" w:rsidRPr="002A412F">
              <w:rPr>
                <w:rFonts w:asciiTheme="majorHAnsi" w:hAnsiTheme="majorHAnsi"/>
                <w:b w:val="0"/>
              </w:rPr>
              <w:t>rivado de la libertad</w:t>
            </w:r>
            <w:r w:rsidR="00AD5311" w:rsidRPr="002A412F">
              <w:rPr>
                <w:rFonts w:asciiTheme="majorHAnsi" w:hAnsiTheme="majorHAnsi"/>
                <w:b w:val="0"/>
              </w:rPr>
              <w:t xml:space="preserve"> constituyó una violación de su integridad psíquica y moral.</w:t>
            </w:r>
            <w:r w:rsidR="00E977D8" w:rsidRPr="002A412F">
              <w:rPr>
                <w:rFonts w:asciiTheme="majorHAnsi" w:hAnsiTheme="majorHAnsi"/>
                <w:b w:val="0"/>
              </w:rPr>
              <w:t xml:space="preserve"> Por ello, declaró</w:t>
            </w:r>
            <w:r w:rsidR="00BC4F53" w:rsidRPr="002A412F">
              <w:rPr>
                <w:rFonts w:asciiTheme="majorHAnsi" w:hAnsiTheme="majorHAnsi"/>
                <w:b w:val="0"/>
              </w:rPr>
              <w:t xml:space="preserve"> que el Estado argentino violó el artículo 5.1 de la CADH, en relación con el artículo 1.1, en perjuicio de Raquel San Martín, madre de</w:t>
            </w:r>
            <w:r w:rsidR="0041666E">
              <w:rPr>
                <w:rFonts w:asciiTheme="majorHAnsi" w:hAnsiTheme="majorHAnsi"/>
                <w:b w:val="0"/>
              </w:rPr>
              <w:t xml:space="preserve">l señor </w:t>
            </w:r>
            <w:r w:rsidR="00BC4F53" w:rsidRPr="002A412F">
              <w:rPr>
                <w:rFonts w:asciiTheme="majorHAnsi" w:hAnsiTheme="majorHAnsi"/>
                <w:b w:val="0"/>
              </w:rPr>
              <w:t>Hernández.</w:t>
            </w:r>
          </w:p>
          <w:p w14:paraId="4C5168E7" w14:textId="65D6EE0C" w:rsidR="00E33459" w:rsidRPr="002A412F" w:rsidRDefault="00E33459" w:rsidP="0049154C">
            <w:pPr>
              <w:spacing w:after="0" w:line="240" w:lineRule="auto"/>
              <w:jc w:val="both"/>
              <w:rPr>
                <w:rFonts w:asciiTheme="majorHAnsi" w:hAnsiTheme="majorHAnsi"/>
                <w:b w:val="0"/>
              </w:rPr>
            </w:pPr>
          </w:p>
        </w:tc>
      </w:tr>
      <w:tr w:rsidR="000C6C4F" w:rsidRPr="002A412F" w14:paraId="7D1D347B" w14:textId="77777777" w:rsidTr="002B4DA1">
        <w:trPr>
          <w:trHeight w:val="567"/>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2E5" w:themeColor="accent1" w:themeTint="99"/>
              <w:left w:val="nil"/>
              <w:bottom w:val="single" w:sz="4" w:space="0" w:color="9CC2E5" w:themeColor="accent1" w:themeTint="99"/>
              <w:right w:val="nil"/>
            </w:tcBorders>
            <w:vAlign w:val="center"/>
          </w:tcPr>
          <w:p w14:paraId="23187A6C" w14:textId="77777777" w:rsidR="000C6C4F" w:rsidRPr="002A412F" w:rsidRDefault="002B4DA1" w:rsidP="002B4DA1">
            <w:pPr>
              <w:pStyle w:val="ListParagraph"/>
              <w:numPr>
                <w:ilvl w:val="0"/>
                <w:numId w:val="1"/>
              </w:numPr>
              <w:spacing w:after="0" w:line="240" w:lineRule="auto"/>
              <w:jc w:val="center"/>
              <w:rPr>
                <w:rFonts w:asciiTheme="majorHAnsi" w:hAnsiTheme="majorHAnsi"/>
              </w:rPr>
            </w:pPr>
            <w:r w:rsidRPr="002A412F">
              <w:rPr>
                <w:rFonts w:asciiTheme="majorHAnsi" w:hAnsiTheme="majorHAnsi"/>
              </w:rPr>
              <w:lastRenderedPageBreak/>
              <w:t>Recomendaciones de la CIDH al Estado</w:t>
            </w:r>
          </w:p>
        </w:tc>
      </w:tr>
      <w:tr w:rsidR="000C6C4F" w:rsidRPr="002A412F" w14:paraId="1E71A4ED" w14:textId="77777777" w:rsidTr="00894D87">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2E5" w:themeColor="accent1" w:themeTint="99"/>
              <w:left w:val="nil"/>
              <w:bottom w:val="single" w:sz="4" w:space="0" w:color="9CC2E5" w:themeColor="accent1" w:themeTint="99"/>
              <w:right w:val="nil"/>
            </w:tcBorders>
          </w:tcPr>
          <w:p w14:paraId="64735C2D" w14:textId="77777777" w:rsidR="000C6C4F" w:rsidRPr="002A412F" w:rsidRDefault="000C6C4F" w:rsidP="000C6C4F">
            <w:pPr>
              <w:spacing w:after="0" w:line="240" w:lineRule="auto"/>
              <w:jc w:val="both"/>
              <w:rPr>
                <w:rFonts w:asciiTheme="majorHAnsi" w:hAnsiTheme="majorHAnsi"/>
              </w:rPr>
            </w:pPr>
          </w:p>
          <w:p w14:paraId="401A0A57" w14:textId="64378979" w:rsidR="00247775" w:rsidRPr="002A412F" w:rsidRDefault="00EB2D88" w:rsidP="00247775">
            <w:pPr>
              <w:pStyle w:val="ListParagraph"/>
              <w:numPr>
                <w:ilvl w:val="0"/>
                <w:numId w:val="5"/>
              </w:numPr>
              <w:spacing w:after="0" w:line="240" w:lineRule="auto"/>
              <w:jc w:val="both"/>
              <w:rPr>
                <w:rFonts w:asciiTheme="majorHAnsi" w:hAnsiTheme="majorHAnsi"/>
              </w:rPr>
            </w:pPr>
            <w:r w:rsidRPr="002A412F">
              <w:rPr>
                <w:rFonts w:asciiTheme="majorHAnsi" w:hAnsiTheme="majorHAnsi"/>
                <w:b w:val="0"/>
              </w:rPr>
              <w:t xml:space="preserve">Reparar integralmente </w:t>
            </w:r>
            <w:r w:rsidR="006A07C9" w:rsidRPr="002A412F">
              <w:rPr>
                <w:rFonts w:asciiTheme="majorHAnsi" w:hAnsiTheme="majorHAnsi"/>
                <w:b w:val="0"/>
              </w:rPr>
              <w:t>al señor Hernández mediante medidas de compensación pecuniaria y de satisfacción</w:t>
            </w:r>
            <w:r w:rsidR="0041666E">
              <w:rPr>
                <w:rFonts w:asciiTheme="majorHAnsi" w:hAnsiTheme="majorHAnsi"/>
                <w:b w:val="0"/>
              </w:rPr>
              <w:t>, que incluyan el daño material e inmaterial,</w:t>
            </w:r>
            <w:r w:rsidR="00FA0B45" w:rsidRPr="002A412F">
              <w:rPr>
                <w:rFonts w:asciiTheme="majorHAnsi" w:hAnsiTheme="majorHAnsi"/>
                <w:b w:val="0"/>
              </w:rPr>
              <w:t xml:space="preserve"> por las violaciones a derechos declaradas en el informe de fondo.</w:t>
            </w:r>
          </w:p>
          <w:p w14:paraId="36932E0F" w14:textId="77777777" w:rsidR="00247775" w:rsidRPr="002A412F" w:rsidRDefault="00247775" w:rsidP="00247775">
            <w:pPr>
              <w:pStyle w:val="ListParagraph"/>
              <w:spacing w:after="0" w:line="240" w:lineRule="auto"/>
              <w:ind w:left="360"/>
              <w:jc w:val="both"/>
              <w:rPr>
                <w:rFonts w:asciiTheme="majorHAnsi" w:hAnsiTheme="majorHAnsi"/>
              </w:rPr>
            </w:pPr>
          </w:p>
          <w:p w14:paraId="69B6EFF6" w14:textId="77777777" w:rsidR="0041666E" w:rsidRDefault="00FA0B45" w:rsidP="0041666E">
            <w:pPr>
              <w:pStyle w:val="ListParagraph"/>
              <w:numPr>
                <w:ilvl w:val="0"/>
                <w:numId w:val="5"/>
              </w:numPr>
              <w:spacing w:after="0" w:line="240" w:lineRule="auto"/>
              <w:jc w:val="both"/>
              <w:rPr>
                <w:rFonts w:asciiTheme="majorHAnsi" w:hAnsiTheme="majorHAnsi"/>
                <w:b w:val="0"/>
              </w:rPr>
            </w:pPr>
            <w:r w:rsidRPr="002A412F">
              <w:rPr>
                <w:rFonts w:asciiTheme="majorHAnsi" w:hAnsiTheme="majorHAnsi"/>
                <w:b w:val="0"/>
              </w:rPr>
              <w:t>Brindar de forma gratuita, inmediata y por el tiempo que sea necesaria, el tratamiento de salud física o mental que requiera el señor Hernández, siempre que así lo solicite él.</w:t>
            </w:r>
          </w:p>
          <w:p w14:paraId="40DDFCD6" w14:textId="77777777" w:rsidR="0041666E" w:rsidRPr="0041666E" w:rsidRDefault="0041666E" w:rsidP="0041666E">
            <w:pPr>
              <w:pStyle w:val="ListParagraph"/>
              <w:rPr>
                <w:rFonts w:asciiTheme="majorHAnsi" w:hAnsiTheme="majorHAnsi"/>
              </w:rPr>
            </w:pPr>
          </w:p>
          <w:p w14:paraId="02980F7A" w14:textId="2A20A170" w:rsidR="003C3E17" w:rsidRPr="0041666E" w:rsidRDefault="00FA0B45" w:rsidP="0041666E">
            <w:pPr>
              <w:pStyle w:val="ListParagraph"/>
              <w:numPr>
                <w:ilvl w:val="0"/>
                <w:numId w:val="5"/>
              </w:numPr>
              <w:spacing w:after="0" w:line="240" w:lineRule="auto"/>
              <w:jc w:val="both"/>
              <w:rPr>
                <w:rFonts w:asciiTheme="majorHAnsi" w:hAnsiTheme="majorHAnsi"/>
                <w:b w:val="0"/>
              </w:rPr>
            </w:pPr>
            <w:r w:rsidRPr="0041666E">
              <w:rPr>
                <w:rFonts w:asciiTheme="majorHAnsi" w:hAnsiTheme="majorHAnsi"/>
                <w:b w:val="0"/>
              </w:rPr>
              <w:t xml:space="preserve">Disponer las medidas de no repetición necesarias </w:t>
            </w:r>
            <w:r w:rsidR="003C3E17" w:rsidRPr="0041666E">
              <w:rPr>
                <w:rFonts w:asciiTheme="majorHAnsi" w:hAnsiTheme="majorHAnsi"/>
                <w:b w:val="0"/>
              </w:rPr>
              <w:t xml:space="preserve">para asegurar que las personas privadas de la libertad en la Provincia de Buenos Aires </w:t>
            </w:r>
            <w:r w:rsidR="0041666E" w:rsidRPr="0041666E">
              <w:rPr>
                <w:rFonts w:asciiTheme="majorHAnsi" w:hAnsiTheme="majorHAnsi"/>
                <w:b w:val="0"/>
              </w:rPr>
              <w:t>cuenten con diagnósticos oportunos de su situación de salud, así como los tratamientos y atención especializada que requieran, conforme a los estándares establecidos en el presente informe, en particular, el principio de equivalencia.</w:t>
            </w:r>
          </w:p>
          <w:p w14:paraId="57E8F0FB" w14:textId="3114B608" w:rsidR="0041666E" w:rsidRPr="0041666E" w:rsidRDefault="0041666E" w:rsidP="0041666E">
            <w:pPr>
              <w:spacing w:after="0" w:line="240" w:lineRule="auto"/>
              <w:jc w:val="both"/>
              <w:rPr>
                <w:rFonts w:asciiTheme="majorHAnsi" w:hAnsiTheme="majorHAnsi"/>
              </w:rPr>
            </w:pPr>
          </w:p>
        </w:tc>
      </w:tr>
      <w:tr w:rsidR="000C6C4F" w:rsidRPr="002A412F" w14:paraId="512689A5" w14:textId="77777777" w:rsidTr="002B4DA1">
        <w:trPr>
          <w:trHeight w:val="567"/>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2E5" w:themeColor="accent1" w:themeTint="99"/>
              <w:left w:val="nil"/>
              <w:bottom w:val="single" w:sz="4" w:space="0" w:color="9CC2E5" w:themeColor="accent1" w:themeTint="99"/>
              <w:right w:val="nil"/>
            </w:tcBorders>
            <w:vAlign w:val="center"/>
          </w:tcPr>
          <w:p w14:paraId="08D0E67A" w14:textId="77777777" w:rsidR="000C6C4F" w:rsidRPr="002A412F" w:rsidRDefault="002B4DA1" w:rsidP="002B4DA1">
            <w:pPr>
              <w:pStyle w:val="ListParagraph"/>
              <w:numPr>
                <w:ilvl w:val="0"/>
                <w:numId w:val="1"/>
              </w:numPr>
              <w:spacing w:after="0" w:line="240" w:lineRule="auto"/>
              <w:jc w:val="center"/>
              <w:rPr>
                <w:rFonts w:asciiTheme="majorHAnsi" w:hAnsiTheme="majorHAnsi"/>
              </w:rPr>
            </w:pPr>
            <w:r w:rsidRPr="002A412F">
              <w:rPr>
                <w:rFonts w:asciiTheme="majorHAnsi" w:hAnsiTheme="majorHAnsi"/>
              </w:rPr>
              <w:t>Análisis de cumplimiento de las recomendaciones</w:t>
            </w:r>
          </w:p>
        </w:tc>
      </w:tr>
      <w:tr w:rsidR="000C6C4F" w:rsidRPr="002A412F" w14:paraId="147A33A9" w14:textId="77777777" w:rsidTr="00894D87">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8504" w:type="dxa"/>
            <w:gridSpan w:val="3"/>
            <w:tcBorders>
              <w:top w:val="single" w:sz="4" w:space="0" w:color="9CC2E5" w:themeColor="accent1" w:themeTint="99"/>
              <w:left w:val="nil"/>
              <w:bottom w:val="single" w:sz="4" w:space="0" w:color="9CC2E5" w:themeColor="accent1" w:themeTint="99"/>
              <w:right w:val="nil"/>
            </w:tcBorders>
          </w:tcPr>
          <w:p w14:paraId="4E7B690A" w14:textId="77777777" w:rsidR="000C6C4F" w:rsidRPr="002A412F" w:rsidRDefault="000C6C4F" w:rsidP="000C6C4F">
            <w:pPr>
              <w:pStyle w:val="ListParagraph"/>
              <w:spacing w:after="0" w:line="240" w:lineRule="auto"/>
              <w:ind w:left="0"/>
              <w:jc w:val="center"/>
              <w:rPr>
                <w:rFonts w:asciiTheme="majorHAnsi" w:hAnsiTheme="majorHAnsi"/>
                <w:b w:val="0"/>
              </w:rPr>
            </w:pPr>
          </w:p>
          <w:p w14:paraId="6F798643" w14:textId="77777777" w:rsidR="00A06CBF" w:rsidRPr="002A412F" w:rsidRDefault="00A06CBF" w:rsidP="000C6C4F">
            <w:pPr>
              <w:pStyle w:val="ListParagraph"/>
              <w:spacing w:after="0" w:line="240" w:lineRule="auto"/>
              <w:ind w:left="0"/>
              <w:jc w:val="center"/>
              <w:rPr>
                <w:rFonts w:asciiTheme="majorHAnsi" w:hAnsiTheme="majorHAnsi"/>
                <w:b w:val="0"/>
              </w:rPr>
            </w:pPr>
            <w:r w:rsidRPr="002A412F">
              <w:rPr>
                <w:rFonts w:asciiTheme="majorHAnsi" w:hAnsiTheme="majorHAnsi"/>
                <w:b w:val="0"/>
              </w:rPr>
              <w:t>-</w:t>
            </w:r>
          </w:p>
          <w:p w14:paraId="2420AC2E" w14:textId="77777777" w:rsidR="00A06CBF" w:rsidRPr="002A412F" w:rsidRDefault="00A06CBF" w:rsidP="000C6C4F">
            <w:pPr>
              <w:pStyle w:val="ListParagraph"/>
              <w:spacing w:after="0" w:line="240" w:lineRule="auto"/>
              <w:ind w:left="0"/>
              <w:jc w:val="center"/>
              <w:rPr>
                <w:rFonts w:asciiTheme="majorHAnsi" w:hAnsiTheme="majorHAnsi"/>
                <w:b w:val="0"/>
              </w:rPr>
            </w:pPr>
          </w:p>
        </w:tc>
      </w:tr>
    </w:tbl>
    <w:p w14:paraId="75EB90A3" w14:textId="020F9505" w:rsidR="00410C92" w:rsidRPr="002A412F" w:rsidRDefault="00410C92">
      <w:pPr>
        <w:rPr>
          <w:rFonts w:asciiTheme="majorHAnsi" w:hAnsiTheme="majorHAnsi"/>
        </w:rPr>
      </w:pPr>
    </w:p>
    <w:sectPr w:rsidR="00410C92" w:rsidRPr="002A412F">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4E9F8" w14:textId="77777777" w:rsidR="00803EA3" w:rsidRDefault="00803EA3" w:rsidP="006B5F30">
      <w:pPr>
        <w:spacing w:after="0" w:line="240" w:lineRule="auto"/>
      </w:pPr>
      <w:r>
        <w:separator/>
      </w:r>
    </w:p>
  </w:endnote>
  <w:endnote w:type="continuationSeparator" w:id="0">
    <w:p w14:paraId="6288E7D6" w14:textId="77777777" w:rsidR="00803EA3" w:rsidRDefault="00803EA3" w:rsidP="006B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rPr>
      <w:id w:val="448439010"/>
      <w:docPartObj>
        <w:docPartGallery w:val="Page Numbers (Bottom of Page)"/>
        <w:docPartUnique/>
      </w:docPartObj>
    </w:sdtPr>
    <w:sdtEndPr/>
    <w:sdtContent>
      <w:p w14:paraId="58EE1940" w14:textId="0BAE57A6" w:rsidR="006B5F30" w:rsidRPr="006B5F30" w:rsidRDefault="006B5F30">
        <w:pPr>
          <w:pStyle w:val="Footer"/>
          <w:jc w:val="right"/>
          <w:rPr>
            <w:rFonts w:asciiTheme="majorHAnsi" w:hAnsiTheme="majorHAnsi"/>
          </w:rPr>
        </w:pPr>
        <w:r w:rsidRPr="006B5F30">
          <w:rPr>
            <w:rFonts w:asciiTheme="majorHAnsi" w:hAnsiTheme="majorHAnsi"/>
          </w:rPr>
          <w:fldChar w:fldCharType="begin"/>
        </w:r>
        <w:r w:rsidRPr="006B5F30">
          <w:rPr>
            <w:rFonts w:asciiTheme="majorHAnsi" w:hAnsiTheme="majorHAnsi"/>
          </w:rPr>
          <w:instrText>PAGE   \* MERGEFORMAT</w:instrText>
        </w:r>
        <w:r w:rsidRPr="006B5F30">
          <w:rPr>
            <w:rFonts w:asciiTheme="majorHAnsi" w:hAnsiTheme="majorHAnsi"/>
          </w:rPr>
          <w:fldChar w:fldCharType="separate"/>
        </w:r>
        <w:r w:rsidR="00482C67" w:rsidRPr="00482C67">
          <w:rPr>
            <w:rFonts w:asciiTheme="majorHAnsi" w:hAnsiTheme="majorHAnsi"/>
            <w:noProof/>
            <w:lang w:val="es-ES"/>
          </w:rPr>
          <w:t>6</w:t>
        </w:r>
        <w:r w:rsidRPr="006B5F30">
          <w:rPr>
            <w:rFonts w:asciiTheme="majorHAnsi" w:hAnsiTheme="majorHAnsi"/>
          </w:rPr>
          <w:fldChar w:fldCharType="end"/>
        </w:r>
      </w:p>
    </w:sdtContent>
  </w:sdt>
  <w:p w14:paraId="7143BBA6" w14:textId="77777777" w:rsidR="006B5F30" w:rsidRPr="006B5F30" w:rsidRDefault="006B5F30">
    <w:pPr>
      <w:pStyle w:val="Footer"/>
      <w:rPr>
        <w:rFonts w:asciiTheme="majorHAnsi" w:hAnsi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F948E" w14:textId="77777777" w:rsidR="00803EA3" w:rsidRDefault="00803EA3" w:rsidP="006B5F30">
      <w:pPr>
        <w:spacing w:after="0" w:line="240" w:lineRule="auto"/>
      </w:pPr>
      <w:r>
        <w:separator/>
      </w:r>
    </w:p>
  </w:footnote>
  <w:footnote w:type="continuationSeparator" w:id="0">
    <w:p w14:paraId="1B56CE55" w14:textId="77777777" w:rsidR="00803EA3" w:rsidRDefault="00803EA3" w:rsidP="006B5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A5EBA"/>
    <w:multiLevelType w:val="hybridMultilevel"/>
    <w:tmpl w:val="EB50DC4A"/>
    <w:lvl w:ilvl="0" w:tplc="ABEC1556">
      <w:start w:val="1"/>
      <w:numFmt w:val="decimal"/>
      <w:lvlText w:val="%1."/>
      <w:lvlJc w:val="left"/>
      <w:pPr>
        <w:ind w:left="360" w:hanging="360"/>
      </w:pPr>
      <w:rPr>
        <w:rFonts w:ascii="Calibri Light" w:hAnsi="Calibri Light" w:hint="default"/>
        <w:b/>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 w15:restartNumberingAfterBreak="0">
    <w:nsid w:val="3D81334F"/>
    <w:multiLevelType w:val="hybridMultilevel"/>
    <w:tmpl w:val="0F7EAE6A"/>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6AEE6C63"/>
    <w:multiLevelType w:val="hybridMultilevel"/>
    <w:tmpl w:val="C600A3B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C4F"/>
    <w:rsid w:val="000106A2"/>
    <w:rsid w:val="000133C2"/>
    <w:rsid w:val="00025238"/>
    <w:rsid w:val="000264C3"/>
    <w:rsid w:val="000431CF"/>
    <w:rsid w:val="00081446"/>
    <w:rsid w:val="00084490"/>
    <w:rsid w:val="00092606"/>
    <w:rsid w:val="000A6A7D"/>
    <w:rsid w:val="000B0B4D"/>
    <w:rsid w:val="000C1961"/>
    <w:rsid w:val="000C4699"/>
    <w:rsid w:val="000C6992"/>
    <w:rsid w:val="000C6C4F"/>
    <w:rsid w:val="000F2F41"/>
    <w:rsid w:val="001004A9"/>
    <w:rsid w:val="00102F68"/>
    <w:rsid w:val="00104EC3"/>
    <w:rsid w:val="00107981"/>
    <w:rsid w:val="00110269"/>
    <w:rsid w:val="00111862"/>
    <w:rsid w:val="00111DC2"/>
    <w:rsid w:val="001148AD"/>
    <w:rsid w:val="00116D4F"/>
    <w:rsid w:val="00120D5B"/>
    <w:rsid w:val="00137E7A"/>
    <w:rsid w:val="001452FA"/>
    <w:rsid w:val="00167F72"/>
    <w:rsid w:val="001834B4"/>
    <w:rsid w:val="00184B78"/>
    <w:rsid w:val="001877A6"/>
    <w:rsid w:val="00187AF0"/>
    <w:rsid w:val="001A59E0"/>
    <w:rsid w:val="001A5AE4"/>
    <w:rsid w:val="001B12CC"/>
    <w:rsid w:val="001B2734"/>
    <w:rsid w:val="001C6E11"/>
    <w:rsid w:val="001F6023"/>
    <w:rsid w:val="0020741B"/>
    <w:rsid w:val="002110E2"/>
    <w:rsid w:val="0022231F"/>
    <w:rsid w:val="00224E55"/>
    <w:rsid w:val="00233974"/>
    <w:rsid w:val="0024476D"/>
    <w:rsid w:val="00247775"/>
    <w:rsid w:val="0025197A"/>
    <w:rsid w:val="00252861"/>
    <w:rsid w:val="00256652"/>
    <w:rsid w:val="00267CAF"/>
    <w:rsid w:val="00270633"/>
    <w:rsid w:val="00275E6F"/>
    <w:rsid w:val="00280882"/>
    <w:rsid w:val="00280BF2"/>
    <w:rsid w:val="00281825"/>
    <w:rsid w:val="002A412F"/>
    <w:rsid w:val="002B2BB6"/>
    <w:rsid w:val="002B4DA1"/>
    <w:rsid w:val="002C3584"/>
    <w:rsid w:val="002C614B"/>
    <w:rsid w:val="002C7B9B"/>
    <w:rsid w:val="002E3F78"/>
    <w:rsid w:val="002E542C"/>
    <w:rsid w:val="002E66E4"/>
    <w:rsid w:val="002F2189"/>
    <w:rsid w:val="002F715B"/>
    <w:rsid w:val="0030147A"/>
    <w:rsid w:val="00305795"/>
    <w:rsid w:val="00307088"/>
    <w:rsid w:val="00311E18"/>
    <w:rsid w:val="00323578"/>
    <w:rsid w:val="00325479"/>
    <w:rsid w:val="00325B1B"/>
    <w:rsid w:val="003345FA"/>
    <w:rsid w:val="00341CFF"/>
    <w:rsid w:val="003605A2"/>
    <w:rsid w:val="003701B9"/>
    <w:rsid w:val="00385CF8"/>
    <w:rsid w:val="00387AC9"/>
    <w:rsid w:val="003A5648"/>
    <w:rsid w:val="003A7A65"/>
    <w:rsid w:val="003A7C55"/>
    <w:rsid w:val="003C3E17"/>
    <w:rsid w:val="003E0F3B"/>
    <w:rsid w:val="003E2B0C"/>
    <w:rsid w:val="003F7A01"/>
    <w:rsid w:val="00410C92"/>
    <w:rsid w:val="00412CFD"/>
    <w:rsid w:val="00415475"/>
    <w:rsid w:val="00416257"/>
    <w:rsid w:val="0041666E"/>
    <w:rsid w:val="00422CD5"/>
    <w:rsid w:val="00427825"/>
    <w:rsid w:val="00446836"/>
    <w:rsid w:val="00450903"/>
    <w:rsid w:val="004531A3"/>
    <w:rsid w:val="004637EE"/>
    <w:rsid w:val="00471E2B"/>
    <w:rsid w:val="0047487E"/>
    <w:rsid w:val="00482C67"/>
    <w:rsid w:val="00486B7E"/>
    <w:rsid w:val="0049154C"/>
    <w:rsid w:val="00494ED7"/>
    <w:rsid w:val="004A43A5"/>
    <w:rsid w:val="004D3453"/>
    <w:rsid w:val="004D5817"/>
    <w:rsid w:val="004F604A"/>
    <w:rsid w:val="00500114"/>
    <w:rsid w:val="00504FD3"/>
    <w:rsid w:val="005050F1"/>
    <w:rsid w:val="00520FB2"/>
    <w:rsid w:val="00522583"/>
    <w:rsid w:val="00523351"/>
    <w:rsid w:val="00530986"/>
    <w:rsid w:val="00550638"/>
    <w:rsid w:val="005670BC"/>
    <w:rsid w:val="00586BD4"/>
    <w:rsid w:val="00590D72"/>
    <w:rsid w:val="00597536"/>
    <w:rsid w:val="005A3777"/>
    <w:rsid w:val="005A401C"/>
    <w:rsid w:val="005A4AEF"/>
    <w:rsid w:val="005B3785"/>
    <w:rsid w:val="005C5D5D"/>
    <w:rsid w:val="005F5691"/>
    <w:rsid w:val="00604AD7"/>
    <w:rsid w:val="00626B88"/>
    <w:rsid w:val="00631AD7"/>
    <w:rsid w:val="0063719A"/>
    <w:rsid w:val="0064712C"/>
    <w:rsid w:val="00651FB8"/>
    <w:rsid w:val="00655509"/>
    <w:rsid w:val="00670CA2"/>
    <w:rsid w:val="006712EE"/>
    <w:rsid w:val="00681B0C"/>
    <w:rsid w:val="00686D7D"/>
    <w:rsid w:val="006A07C9"/>
    <w:rsid w:val="006B258D"/>
    <w:rsid w:val="006B5F30"/>
    <w:rsid w:val="006C0BB0"/>
    <w:rsid w:val="006C2E83"/>
    <w:rsid w:val="006D51B5"/>
    <w:rsid w:val="006D73AE"/>
    <w:rsid w:val="006E147A"/>
    <w:rsid w:val="006E20F2"/>
    <w:rsid w:val="006E4641"/>
    <w:rsid w:val="006F0229"/>
    <w:rsid w:val="006F4677"/>
    <w:rsid w:val="007072E9"/>
    <w:rsid w:val="00722F80"/>
    <w:rsid w:val="00724353"/>
    <w:rsid w:val="00725920"/>
    <w:rsid w:val="00730317"/>
    <w:rsid w:val="00730644"/>
    <w:rsid w:val="00770EE6"/>
    <w:rsid w:val="00772260"/>
    <w:rsid w:val="00772338"/>
    <w:rsid w:val="007755BA"/>
    <w:rsid w:val="00781CD4"/>
    <w:rsid w:val="00783518"/>
    <w:rsid w:val="00787E6E"/>
    <w:rsid w:val="007A1424"/>
    <w:rsid w:val="007C3A3D"/>
    <w:rsid w:val="007D6A8B"/>
    <w:rsid w:val="007E1B02"/>
    <w:rsid w:val="007E40E2"/>
    <w:rsid w:val="007F0953"/>
    <w:rsid w:val="007F423D"/>
    <w:rsid w:val="007F54DD"/>
    <w:rsid w:val="008018DC"/>
    <w:rsid w:val="00802472"/>
    <w:rsid w:val="00803EA3"/>
    <w:rsid w:val="00823C13"/>
    <w:rsid w:val="00846BC3"/>
    <w:rsid w:val="00855776"/>
    <w:rsid w:val="00857AD2"/>
    <w:rsid w:val="00862099"/>
    <w:rsid w:val="00866DC2"/>
    <w:rsid w:val="0087587D"/>
    <w:rsid w:val="008855D6"/>
    <w:rsid w:val="008912F9"/>
    <w:rsid w:val="00893C01"/>
    <w:rsid w:val="008B294B"/>
    <w:rsid w:val="008B786F"/>
    <w:rsid w:val="008C274B"/>
    <w:rsid w:val="008C3116"/>
    <w:rsid w:val="008D08C7"/>
    <w:rsid w:val="008D188F"/>
    <w:rsid w:val="008D708D"/>
    <w:rsid w:val="008E1F70"/>
    <w:rsid w:val="008E25C2"/>
    <w:rsid w:val="0091095A"/>
    <w:rsid w:val="00914FDF"/>
    <w:rsid w:val="00942174"/>
    <w:rsid w:val="00947ED7"/>
    <w:rsid w:val="009613B9"/>
    <w:rsid w:val="00976074"/>
    <w:rsid w:val="009831F1"/>
    <w:rsid w:val="00983341"/>
    <w:rsid w:val="009A070D"/>
    <w:rsid w:val="009B330E"/>
    <w:rsid w:val="009B5ADC"/>
    <w:rsid w:val="009C080A"/>
    <w:rsid w:val="009C338B"/>
    <w:rsid w:val="009C6E14"/>
    <w:rsid w:val="009C7603"/>
    <w:rsid w:val="009D4385"/>
    <w:rsid w:val="009E3578"/>
    <w:rsid w:val="009E36FB"/>
    <w:rsid w:val="009F2EED"/>
    <w:rsid w:val="00A06CBF"/>
    <w:rsid w:val="00A07708"/>
    <w:rsid w:val="00A14035"/>
    <w:rsid w:val="00A2584A"/>
    <w:rsid w:val="00A34004"/>
    <w:rsid w:val="00A5097A"/>
    <w:rsid w:val="00A62B70"/>
    <w:rsid w:val="00A634EE"/>
    <w:rsid w:val="00A66E29"/>
    <w:rsid w:val="00A67C81"/>
    <w:rsid w:val="00A84250"/>
    <w:rsid w:val="00A94838"/>
    <w:rsid w:val="00A97FD3"/>
    <w:rsid w:val="00AA5B1A"/>
    <w:rsid w:val="00AC74BE"/>
    <w:rsid w:val="00AC7D3E"/>
    <w:rsid w:val="00AD5311"/>
    <w:rsid w:val="00AE3635"/>
    <w:rsid w:val="00AE40A3"/>
    <w:rsid w:val="00AE6E28"/>
    <w:rsid w:val="00AF128C"/>
    <w:rsid w:val="00B1764A"/>
    <w:rsid w:val="00B2440A"/>
    <w:rsid w:val="00B405DF"/>
    <w:rsid w:val="00B40A1F"/>
    <w:rsid w:val="00B41AAB"/>
    <w:rsid w:val="00B42362"/>
    <w:rsid w:val="00B5375C"/>
    <w:rsid w:val="00B63462"/>
    <w:rsid w:val="00B660CB"/>
    <w:rsid w:val="00B67F0B"/>
    <w:rsid w:val="00B828BD"/>
    <w:rsid w:val="00B96AFA"/>
    <w:rsid w:val="00BA7E7C"/>
    <w:rsid w:val="00BC4F53"/>
    <w:rsid w:val="00BD4B6F"/>
    <w:rsid w:val="00BE291A"/>
    <w:rsid w:val="00BE6F79"/>
    <w:rsid w:val="00C02361"/>
    <w:rsid w:val="00C12C0A"/>
    <w:rsid w:val="00C200BB"/>
    <w:rsid w:val="00C22896"/>
    <w:rsid w:val="00C44AC4"/>
    <w:rsid w:val="00C53725"/>
    <w:rsid w:val="00C61695"/>
    <w:rsid w:val="00C6375E"/>
    <w:rsid w:val="00C778A2"/>
    <w:rsid w:val="00C80BB0"/>
    <w:rsid w:val="00CA2F6A"/>
    <w:rsid w:val="00CA51CB"/>
    <w:rsid w:val="00CB58D3"/>
    <w:rsid w:val="00CD2053"/>
    <w:rsid w:val="00CD36AB"/>
    <w:rsid w:val="00D001E8"/>
    <w:rsid w:val="00D02481"/>
    <w:rsid w:val="00D07DDC"/>
    <w:rsid w:val="00D30031"/>
    <w:rsid w:val="00D346C0"/>
    <w:rsid w:val="00D44679"/>
    <w:rsid w:val="00D52720"/>
    <w:rsid w:val="00D663D4"/>
    <w:rsid w:val="00D737CF"/>
    <w:rsid w:val="00D7699E"/>
    <w:rsid w:val="00D813DA"/>
    <w:rsid w:val="00D955F3"/>
    <w:rsid w:val="00D95A57"/>
    <w:rsid w:val="00DA42F1"/>
    <w:rsid w:val="00DB067F"/>
    <w:rsid w:val="00DB3648"/>
    <w:rsid w:val="00DB6911"/>
    <w:rsid w:val="00DC0620"/>
    <w:rsid w:val="00DC7FAF"/>
    <w:rsid w:val="00DD0489"/>
    <w:rsid w:val="00DD39EE"/>
    <w:rsid w:val="00DD796A"/>
    <w:rsid w:val="00E0037B"/>
    <w:rsid w:val="00E16007"/>
    <w:rsid w:val="00E247F9"/>
    <w:rsid w:val="00E330A8"/>
    <w:rsid w:val="00E33459"/>
    <w:rsid w:val="00E41719"/>
    <w:rsid w:val="00E460BA"/>
    <w:rsid w:val="00E51E95"/>
    <w:rsid w:val="00E977D8"/>
    <w:rsid w:val="00EA3D73"/>
    <w:rsid w:val="00EB2D88"/>
    <w:rsid w:val="00EB4A40"/>
    <w:rsid w:val="00EC15F3"/>
    <w:rsid w:val="00ED0E98"/>
    <w:rsid w:val="00ED4C58"/>
    <w:rsid w:val="00EE1342"/>
    <w:rsid w:val="00EE4696"/>
    <w:rsid w:val="00EF10D1"/>
    <w:rsid w:val="00EF1617"/>
    <w:rsid w:val="00EF1DB2"/>
    <w:rsid w:val="00EF4050"/>
    <w:rsid w:val="00F004F8"/>
    <w:rsid w:val="00F00C25"/>
    <w:rsid w:val="00F172EF"/>
    <w:rsid w:val="00F20511"/>
    <w:rsid w:val="00F4626C"/>
    <w:rsid w:val="00F46924"/>
    <w:rsid w:val="00F52983"/>
    <w:rsid w:val="00F6368A"/>
    <w:rsid w:val="00F743A6"/>
    <w:rsid w:val="00F94889"/>
    <w:rsid w:val="00FA0B45"/>
    <w:rsid w:val="00FB1681"/>
    <w:rsid w:val="00FB2E2E"/>
    <w:rsid w:val="00FD0A5D"/>
    <w:rsid w:val="00FE46E4"/>
    <w:rsid w:val="00FF1BA7"/>
    <w:rsid w:val="00FF4E3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D8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C4F"/>
    <w:pPr>
      <w:spacing w:after="200" w:line="276" w:lineRule="auto"/>
    </w:pPr>
    <w:rPr>
      <w:rFonts w:ascii="Calibri" w:eastAsia="Calibri" w:hAnsi="Calibri" w:cs="Times New Roman"/>
      <w:lang w:val="es-MX"/>
    </w:rPr>
  </w:style>
  <w:style w:type="paragraph" w:styleId="Heading2">
    <w:name w:val="heading 2"/>
    <w:basedOn w:val="Normal"/>
    <w:next w:val="Normal"/>
    <w:link w:val="Heading2Char"/>
    <w:uiPriority w:val="9"/>
    <w:semiHidden/>
    <w:unhideWhenUsed/>
    <w:qFormat/>
    <w:rsid w:val="00111D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C4F"/>
    <w:rPr>
      <w:color w:val="0563C1" w:themeColor="hyperlink"/>
      <w:u w:val="single"/>
    </w:rPr>
  </w:style>
  <w:style w:type="paragraph" w:styleId="Header">
    <w:name w:val="header"/>
    <w:basedOn w:val="Normal"/>
    <w:link w:val="HeaderChar"/>
    <w:uiPriority w:val="99"/>
    <w:unhideWhenUsed/>
    <w:rsid w:val="000C6C4F"/>
    <w:pPr>
      <w:tabs>
        <w:tab w:val="center" w:pos="4419"/>
        <w:tab w:val="right" w:pos="8838"/>
      </w:tabs>
      <w:spacing w:after="0" w:line="240" w:lineRule="auto"/>
    </w:pPr>
  </w:style>
  <w:style w:type="character" w:customStyle="1" w:styleId="HeaderChar">
    <w:name w:val="Header Char"/>
    <w:basedOn w:val="DefaultParagraphFont"/>
    <w:link w:val="Header"/>
    <w:uiPriority w:val="99"/>
    <w:rsid w:val="000C6C4F"/>
    <w:rPr>
      <w:rFonts w:ascii="Calibri" w:eastAsia="Calibri" w:hAnsi="Calibri" w:cs="Times New Roman"/>
      <w:lang w:val="es-MX"/>
    </w:rPr>
  </w:style>
  <w:style w:type="paragraph" w:styleId="ListParagraph">
    <w:name w:val="List Paragraph"/>
    <w:basedOn w:val="Normal"/>
    <w:uiPriority w:val="34"/>
    <w:qFormat/>
    <w:rsid w:val="000C6C4F"/>
    <w:pPr>
      <w:ind w:left="720"/>
      <w:contextualSpacing/>
    </w:pPr>
  </w:style>
  <w:style w:type="table" w:customStyle="1" w:styleId="Tabladelista2-nfasis11">
    <w:name w:val="Tabla de lista 2 - Énfasis 11"/>
    <w:basedOn w:val="TableNormal"/>
    <w:uiPriority w:val="47"/>
    <w:rsid w:val="000C6C4F"/>
    <w:pPr>
      <w:spacing w:after="0" w:line="240" w:lineRule="auto"/>
    </w:pPr>
    <w:tblPr>
      <w:tblStyleRowBandSize w:val="1"/>
      <w:tblStyleColBandSize w:val="1"/>
      <w:tblInd w:w="0" w:type="nil"/>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F172EF"/>
    <w:rPr>
      <w:color w:val="954F72" w:themeColor="followedHyperlink"/>
      <w:u w:val="single"/>
    </w:rPr>
  </w:style>
  <w:style w:type="character" w:styleId="CommentReference">
    <w:name w:val="annotation reference"/>
    <w:basedOn w:val="DefaultParagraphFont"/>
    <w:uiPriority w:val="99"/>
    <w:semiHidden/>
    <w:unhideWhenUsed/>
    <w:rsid w:val="00C44AC4"/>
    <w:rPr>
      <w:sz w:val="16"/>
      <w:szCs w:val="16"/>
    </w:rPr>
  </w:style>
  <w:style w:type="paragraph" w:styleId="CommentText">
    <w:name w:val="annotation text"/>
    <w:basedOn w:val="Normal"/>
    <w:link w:val="CommentTextChar"/>
    <w:uiPriority w:val="99"/>
    <w:semiHidden/>
    <w:unhideWhenUsed/>
    <w:rsid w:val="00C44AC4"/>
    <w:pPr>
      <w:spacing w:line="240" w:lineRule="auto"/>
    </w:pPr>
    <w:rPr>
      <w:sz w:val="20"/>
      <w:szCs w:val="20"/>
    </w:rPr>
  </w:style>
  <w:style w:type="character" w:customStyle="1" w:styleId="CommentTextChar">
    <w:name w:val="Comment Text Char"/>
    <w:basedOn w:val="DefaultParagraphFont"/>
    <w:link w:val="CommentText"/>
    <w:uiPriority w:val="99"/>
    <w:semiHidden/>
    <w:rsid w:val="00C44AC4"/>
    <w:rPr>
      <w:rFonts w:ascii="Calibri" w:eastAsia="Calibri" w:hAnsi="Calibri" w:cs="Times New Roman"/>
      <w:sz w:val="20"/>
      <w:szCs w:val="20"/>
      <w:lang w:val="es-MX"/>
    </w:rPr>
  </w:style>
  <w:style w:type="paragraph" w:styleId="CommentSubject">
    <w:name w:val="annotation subject"/>
    <w:basedOn w:val="CommentText"/>
    <w:next w:val="CommentText"/>
    <w:link w:val="CommentSubjectChar"/>
    <w:uiPriority w:val="99"/>
    <w:semiHidden/>
    <w:unhideWhenUsed/>
    <w:rsid w:val="00C44AC4"/>
    <w:rPr>
      <w:b/>
      <w:bCs/>
    </w:rPr>
  </w:style>
  <w:style w:type="character" w:customStyle="1" w:styleId="CommentSubjectChar">
    <w:name w:val="Comment Subject Char"/>
    <w:basedOn w:val="CommentTextChar"/>
    <w:link w:val="CommentSubject"/>
    <w:uiPriority w:val="99"/>
    <w:semiHidden/>
    <w:rsid w:val="00C44AC4"/>
    <w:rPr>
      <w:rFonts w:ascii="Calibri" w:eastAsia="Calibri" w:hAnsi="Calibri" w:cs="Times New Roman"/>
      <w:b/>
      <w:bCs/>
      <w:sz w:val="20"/>
      <w:szCs w:val="20"/>
      <w:lang w:val="es-MX"/>
    </w:rPr>
  </w:style>
  <w:style w:type="paragraph" w:styleId="BalloonText">
    <w:name w:val="Balloon Text"/>
    <w:basedOn w:val="Normal"/>
    <w:link w:val="BalloonTextChar"/>
    <w:uiPriority w:val="99"/>
    <w:semiHidden/>
    <w:unhideWhenUsed/>
    <w:rsid w:val="00C44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AC4"/>
    <w:rPr>
      <w:rFonts w:ascii="Segoe UI" w:eastAsia="Calibri" w:hAnsi="Segoe UI" w:cs="Segoe UI"/>
      <w:sz w:val="18"/>
      <w:szCs w:val="18"/>
      <w:lang w:val="es-MX"/>
    </w:rPr>
  </w:style>
  <w:style w:type="character" w:customStyle="1" w:styleId="Heading2Char">
    <w:name w:val="Heading 2 Char"/>
    <w:basedOn w:val="DefaultParagraphFont"/>
    <w:link w:val="Heading2"/>
    <w:uiPriority w:val="9"/>
    <w:semiHidden/>
    <w:rsid w:val="00111DC2"/>
    <w:rPr>
      <w:rFonts w:asciiTheme="majorHAnsi" w:eastAsiaTheme="majorEastAsia" w:hAnsiTheme="majorHAnsi" w:cstheme="majorBidi"/>
      <w:color w:val="2E74B5" w:themeColor="accent1" w:themeShade="BF"/>
      <w:sz w:val="26"/>
      <w:szCs w:val="26"/>
      <w:lang w:val="es-MX"/>
    </w:rPr>
  </w:style>
  <w:style w:type="paragraph" w:styleId="Footer">
    <w:name w:val="footer"/>
    <w:basedOn w:val="Normal"/>
    <w:link w:val="FooterChar"/>
    <w:uiPriority w:val="99"/>
    <w:unhideWhenUsed/>
    <w:rsid w:val="006B5F30"/>
    <w:pPr>
      <w:tabs>
        <w:tab w:val="center" w:pos="4419"/>
        <w:tab w:val="right" w:pos="8838"/>
      </w:tabs>
      <w:spacing w:after="0" w:line="240" w:lineRule="auto"/>
    </w:pPr>
  </w:style>
  <w:style w:type="character" w:customStyle="1" w:styleId="FooterChar">
    <w:name w:val="Footer Char"/>
    <w:basedOn w:val="DefaultParagraphFont"/>
    <w:link w:val="Footer"/>
    <w:uiPriority w:val="99"/>
    <w:rsid w:val="006B5F30"/>
    <w:rPr>
      <w:rFonts w:ascii="Calibri" w:eastAsia="Calibri" w:hAnsi="Calibri" w:cs="Times New Roman"/>
      <w:lang w:val="es-MX"/>
    </w:rPr>
  </w:style>
  <w:style w:type="character" w:styleId="UnresolvedMention">
    <w:name w:val="Unresolved Mention"/>
    <w:basedOn w:val="DefaultParagraphFont"/>
    <w:uiPriority w:val="99"/>
    <w:semiHidden/>
    <w:unhideWhenUsed/>
    <w:rsid w:val="00323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848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as.org/es/cidh/decisiones/2011/ARAD616-98ES.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s.org/es/cidh/decisiones/corte/2018/12818FondoE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dpp.graduateinstitute.ch/files/live/sites/dpp/files/shared/images/IDEHPUCP%20%20color.jpg" TargetMode="External"/><Relationship Id="rId14" Type="http://schemas.openxmlformats.org/officeDocument/2006/relationships/hyperlink" Target="https://www.corteidh.or.cr/docs/casos/articulos/seriec_395_esp.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50685-56AD-4F12-9AF5-93EC777E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3041</Words>
  <Characters>17334</Characters>
  <Application>Microsoft Office Word</Application>
  <DocSecurity>0</DocSecurity>
  <Lines>144</Lines>
  <Paragraphs>40</Paragraphs>
  <ScaleCrop>false</ScaleCrop>
  <Company/>
  <LinksUpToDate>false</LinksUpToDate>
  <CharactersWithSpaces>20335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2021-02-11T09:49:00Z</dcterms:created>
  <dcterms:modified xsi:type="dcterms:W3CDTF">2021-02-11T09:49:00Z</dcterms:modified>
</cp:coreProperties>
</file>