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3CF29" w14:textId="77777777" w:rsidR="00FF781C" w:rsidRDefault="00FF781C" w:rsidP="00FF781C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763EB4A9" wp14:editId="5EA5A949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145C32F5" wp14:editId="301BA7E3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300482DD" wp14:editId="381D1221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F21D9" w14:textId="77777777" w:rsidR="00FF781C" w:rsidRPr="00411A74" w:rsidRDefault="00FF781C" w:rsidP="00FF781C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49A26663" w14:textId="77777777" w:rsidR="00FF781C" w:rsidRDefault="00FF781C" w:rsidP="00FF781C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14:paraId="3004AE53" w14:textId="77777777" w:rsidR="00827DDC" w:rsidRPr="004533E5" w:rsidRDefault="00827DDC" w:rsidP="006621EC">
      <w:pPr>
        <w:spacing w:after="0" w:line="240" w:lineRule="auto"/>
        <w:jc w:val="center"/>
        <w:outlineLvl w:val="0"/>
        <w:rPr>
          <w:rFonts w:ascii="Calibri Light" w:hAnsi="Calibri Light"/>
          <w:sz w:val="16"/>
          <w:szCs w:val="16"/>
          <w:lang w:val="es-PE"/>
        </w:rPr>
      </w:pP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678"/>
        <w:gridCol w:w="2490"/>
        <w:gridCol w:w="2553"/>
      </w:tblGrid>
      <w:tr w:rsidR="005173CF" w:rsidRPr="004533E5" w14:paraId="01A2F61A" w14:textId="77777777" w:rsidTr="00A94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7609204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4533E5" w14:paraId="275AD1EA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3C7EFE0" w14:textId="77777777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tcW w:w="5043" w:type="dxa"/>
            <w:gridSpan w:val="2"/>
          </w:tcPr>
          <w:p w14:paraId="084A5991" w14:textId="541CAB33" w:rsidR="005173CF" w:rsidRPr="005A1DB6" w:rsidRDefault="00AC1C41" w:rsidP="00A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highlight w:val="yellow"/>
              </w:rPr>
            </w:pPr>
            <w:r w:rsidRPr="00AC1C41">
              <w:rPr>
                <w:rFonts w:ascii="Calibri Light" w:hAnsi="Calibri Light"/>
              </w:rPr>
              <w:t>Vicente Ariel Noguera</w:t>
            </w:r>
            <w:r>
              <w:rPr>
                <w:rFonts w:ascii="Calibri Light" w:hAnsi="Calibri Light"/>
              </w:rPr>
              <w:t xml:space="preserve"> y familia</w:t>
            </w:r>
            <w:r w:rsidR="00813AD2">
              <w:rPr>
                <w:rFonts w:ascii="Calibri Light" w:hAnsi="Calibri Light"/>
              </w:rPr>
              <w:t>,</w:t>
            </w:r>
            <w:r w:rsidR="00061E2D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Paraguay </w:t>
            </w:r>
          </w:p>
        </w:tc>
      </w:tr>
      <w:tr w:rsidR="00F464EC" w:rsidRPr="004533E5" w14:paraId="59A6A8A1" w14:textId="77777777" w:rsidTr="00A94EE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7FA9FC90" w14:textId="51BECC34" w:rsidR="00F464EC" w:rsidRPr="00295E72" w:rsidRDefault="00813AD2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Parte peticionaria</w:t>
            </w:r>
          </w:p>
        </w:tc>
        <w:tc>
          <w:tcPr>
            <w:tcW w:w="5043" w:type="dxa"/>
            <w:gridSpan w:val="2"/>
          </w:tcPr>
          <w:p w14:paraId="374B2A68" w14:textId="47F00893" w:rsidR="005F0F4F" w:rsidRPr="00295E72" w:rsidRDefault="00AC1C41" w:rsidP="005F0F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AC1C41">
              <w:rPr>
                <w:rFonts w:ascii="Calibri Light" w:hAnsi="Calibri Light"/>
              </w:rPr>
              <w:t>María Noguera</w:t>
            </w:r>
          </w:p>
        </w:tc>
      </w:tr>
      <w:tr w:rsidR="005173CF" w:rsidRPr="004533E5" w14:paraId="3A483B4F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233C75C" w14:textId="777AC7F4" w:rsidR="005173CF" w:rsidRPr="004533E5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5043" w:type="dxa"/>
            <w:gridSpan w:val="2"/>
          </w:tcPr>
          <w:p w14:paraId="77740DF4" w14:textId="613CAE8A" w:rsidR="005173CF" w:rsidRPr="00295E72" w:rsidRDefault="00E3017E" w:rsidP="00AC1C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CF2D40" w:rsidRPr="005F0F4F">
                <w:rPr>
                  <w:rStyle w:val="Hyperlink"/>
                  <w:rFonts w:ascii="Calibri Light" w:hAnsi="Calibri Light"/>
                </w:rPr>
                <w:t xml:space="preserve">Informe No. </w:t>
              </w:r>
              <w:r w:rsidR="00AC1C41">
                <w:rPr>
                  <w:rStyle w:val="Hyperlink"/>
                  <w:rFonts w:ascii="Calibri Light" w:hAnsi="Calibri Light"/>
                </w:rPr>
                <w:t>23/18</w:t>
              </w:r>
            </w:hyperlink>
          </w:p>
        </w:tc>
      </w:tr>
      <w:tr w:rsidR="004533E5" w:rsidRPr="004533E5" w14:paraId="5EC10F5F" w14:textId="77777777" w:rsidTr="00A94EE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00180E4F" w14:textId="77777777" w:rsidR="005173CF" w:rsidRPr="00F725A5" w:rsidRDefault="00954E20" w:rsidP="00954E20">
            <w:pPr>
              <w:pStyle w:val="ListParagraph"/>
              <w:numPr>
                <w:ilvl w:val="0"/>
                <w:numId w:val="3"/>
              </w:numPr>
            </w:pPr>
            <w:r w:rsidRPr="004533E5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tcW w:w="5043" w:type="dxa"/>
            <w:gridSpan w:val="2"/>
          </w:tcPr>
          <w:p w14:paraId="35E9A08D" w14:textId="255D4274" w:rsidR="005173CF" w:rsidRPr="00295E72" w:rsidRDefault="001077C9" w:rsidP="00F07C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95E72">
              <w:rPr>
                <w:rFonts w:ascii="Calibri Light" w:hAnsi="Calibri Light"/>
              </w:rPr>
              <w:t>Informe de Fondo</w:t>
            </w:r>
            <w:r w:rsidR="00243C42" w:rsidRPr="00295E72">
              <w:rPr>
                <w:rFonts w:ascii="Calibri Light" w:hAnsi="Calibri Light"/>
              </w:rPr>
              <w:t xml:space="preserve"> </w:t>
            </w:r>
            <w:r w:rsidR="00F07CF4" w:rsidRPr="00295E72">
              <w:rPr>
                <w:rFonts w:ascii="Calibri Light" w:hAnsi="Calibri Light"/>
              </w:rPr>
              <w:t>(Caso en la Corte IDH)</w:t>
            </w:r>
          </w:p>
        </w:tc>
      </w:tr>
      <w:tr w:rsidR="005173CF" w:rsidRPr="004533E5" w14:paraId="7ED5AB61" w14:textId="77777777" w:rsidTr="00606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2F77A84C" w14:textId="77777777" w:rsidR="005173CF" w:rsidRPr="004533E5" w:rsidRDefault="00954E2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043" w:type="dxa"/>
            <w:gridSpan w:val="2"/>
          </w:tcPr>
          <w:p w14:paraId="1C803DF5" w14:textId="2D5F77FB" w:rsidR="005173CF" w:rsidRPr="005A1DB6" w:rsidRDefault="005F0F4F" w:rsidP="00AC1C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highlight w:val="yellow"/>
              </w:rPr>
            </w:pPr>
            <w:r>
              <w:rPr>
                <w:rFonts w:ascii="Calibri Light" w:hAnsi="Calibri Light"/>
              </w:rPr>
              <w:t>2</w:t>
            </w:r>
            <w:r w:rsidR="00AC1C41">
              <w:rPr>
                <w:rFonts w:ascii="Calibri Light" w:hAnsi="Calibri Light"/>
              </w:rPr>
              <w:t>4</w:t>
            </w:r>
            <w:r w:rsidR="00295E72" w:rsidRPr="00295E72">
              <w:rPr>
                <w:rFonts w:ascii="Calibri Light" w:hAnsi="Calibri Light"/>
              </w:rPr>
              <w:t xml:space="preserve"> de </w:t>
            </w:r>
            <w:r w:rsidR="00AC1C41">
              <w:rPr>
                <w:rFonts w:ascii="Calibri Light" w:hAnsi="Calibri Light"/>
              </w:rPr>
              <w:t>febrero</w:t>
            </w:r>
            <w:r w:rsidR="00295E72" w:rsidRPr="00295E72">
              <w:rPr>
                <w:rFonts w:ascii="Calibri Light" w:hAnsi="Calibri Light"/>
              </w:rPr>
              <w:t xml:space="preserve"> de </w:t>
            </w:r>
            <w:r w:rsidR="00061E2D">
              <w:rPr>
                <w:rFonts w:ascii="Calibri Light" w:hAnsi="Calibri Light"/>
              </w:rPr>
              <w:t>201</w:t>
            </w:r>
            <w:r w:rsidR="00AC1C41">
              <w:rPr>
                <w:rFonts w:ascii="Calibri Light" w:hAnsi="Calibri Light"/>
              </w:rPr>
              <w:t>8</w:t>
            </w:r>
          </w:p>
        </w:tc>
      </w:tr>
      <w:tr w:rsidR="004533E5" w:rsidRPr="004533E5" w14:paraId="1A0D058F" w14:textId="77777777" w:rsidTr="00E70716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14:paraId="661C9E19" w14:textId="1119002C" w:rsidR="005173CF" w:rsidRPr="004533E5" w:rsidRDefault="00BB61C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  <w:r w:rsidR="00DD3C7C">
              <w:rPr>
                <w:rFonts w:ascii="Calibri Light" w:hAnsi="Calibri Light"/>
              </w:rPr>
              <w:t xml:space="preserve">y/o la Corte IDH, </w:t>
            </w:r>
            <w:r w:rsidR="007A6C56"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tcW w:w="5043" w:type="dxa"/>
            <w:gridSpan w:val="2"/>
            <w:vAlign w:val="center"/>
          </w:tcPr>
          <w:p w14:paraId="750DE042" w14:textId="72BC25E3" w:rsidR="0042581C" w:rsidRDefault="00243C42" w:rsidP="00AC1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95E72">
              <w:rPr>
                <w:rFonts w:ascii="Calibri Light" w:hAnsi="Calibri Light"/>
              </w:rPr>
              <w:t xml:space="preserve">Informe </w:t>
            </w:r>
            <w:r w:rsidR="0042581C" w:rsidRPr="00295E72">
              <w:rPr>
                <w:rFonts w:ascii="Calibri Light" w:hAnsi="Calibri Light"/>
              </w:rPr>
              <w:t xml:space="preserve">No. </w:t>
            </w:r>
            <w:r w:rsidR="00AC1C41">
              <w:rPr>
                <w:rFonts w:ascii="Calibri Light" w:hAnsi="Calibri Light"/>
              </w:rPr>
              <w:t>10</w:t>
            </w:r>
            <w:r w:rsidRPr="00295E72">
              <w:rPr>
                <w:rFonts w:ascii="Calibri Light" w:hAnsi="Calibri Light"/>
              </w:rPr>
              <w:t>/</w:t>
            </w:r>
            <w:r w:rsidR="00AC1C41">
              <w:rPr>
                <w:rFonts w:ascii="Calibri Light" w:hAnsi="Calibri Light"/>
              </w:rPr>
              <w:t>11</w:t>
            </w:r>
            <w:r w:rsidRPr="00295E72">
              <w:rPr>
                <w:rFonts w:ascii="Calibri Light" w:hAnsi="Calibri Light"/>
              </w:rPr>
              <w:t xml:space="preserve"> (</w:t>
            </w:r>
            <w:hyperlink r:id="rId13" w:history="1">
              <w:r w:rsidRPr="00295E72">
                <w:rPr>
                  <w:rStyle w:val="Hyperlink"/>
                  <w:rFonts w:ascii="Calibri Light" w:hAnsi="Calibri Light"/>
                </w:rPr>
                <w:t>Admisibilidad</w:t>
              </w:r>
            </w:hyperlink>
            <w:r w:rsidRPr="00295E72">
              <w:rPr>
                <w:rFonts w:ascii="Calibri Light" w:hAnsi="Calibri Light"/>
              </w:rPr>
              <w:t>)</w:t>
            </w:r>
          </w:p>
          <w:p w14:paraId="72EA1AA4" w14:textId="51F2EBE5" w:rsidR="00FF781C" w:rsidRPr="00295E72" w:rsidRDefault="00FF781C" w:rsidP="00FF78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Caso Noguera y otra vs. Paraguay (</w:t>
            </w:r>
            <w:hyperlink r:id="rId14" w:history="1">
              <w:r w:rsidRPr="00FF781C">
                <w:rPr>
                  <w:rStyle w:val="Hyperlink"/>
                  <w:rFonts w:ascii="Calibri Light" w:hAnsi="Calibri Light"/>
                </w:rPr>
                <w:t>Sentencia de 9 de marzo de 2020</w:t>
              </w:r>
            </w:hyperlink>
            <w:r>
              <w:rPr>
                <w:rFonts w:ascii="Calibri Light" w:hAnsi="Calibri Light"/>
              </w:rPr>
              <w:t>)</w:t>
            </w:r>
          </w:p>
        </w:tc>
      </w:tr>
      <w:tr w:rsidR="004C2E50" w:rsidRPr="004533E5" w14:paraId="570485B4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</w:tcPr>
          <w:p w14:paraId="3FCF8D6E" w14:textId="568477D0" w:rsidR="004C2E50" w:rsidRDefault="004C2E5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3" w:type="dxa"/>
            <w:gridSpan w:val="2"/>
          </w:tcPr>
          <w:p w14:paraId="18718B95" w14:textId="44612EDF" w:rsidR="004C2E50" w:rsidRPr="00295E72" w:rsidRDefault="004C2E50" w:rsidP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95E72">
              <w:rPr>
                <w:rFonts w:ascii="Calibri Light" w:hAnsi="Calibri Light"/>
              </w:rPr>
              <w:t>Convención Americana sobre Derechos Humanos</w:t>
            </w:r>
          </w:p>
        </w:tc>
      </w:tr>
      <w:tr w:rsidR="004C2E50" w:rsidRPr="004533E5" w14:paraId="59D19EAD" w14:textId="3753DE07" w:rsidTr="00A94E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17BB3A97" w14:textId="77777777" w:rsidR="004C2E50" w:rsidRDefault="004C2E5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490" w:type="dxa"/>
          </w:tcPr>
          <w:p w14:paraId="04C377A5" w14:textId="03DDDCE4" w:rsidR="004C2E50" w:rsidRPr="00295E72" w:rsidRDefault="004C2E50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95E72">
              <w:rPr>
                <w:rFonts w:ascii="Calibri Light" w:hAnsi="Calibri Light"/>
              </w:rPr>
              <w:t>Artículos analizados declarados violados</w:t>
            </w:r>
          </w:p>
        </w:tc>
        <w:tc>
          <w:tcPr>
            <w:tcW w:w="2553" w:type="dxa"/>
          </w:tcPr>
          <w:p w14:paraId="277975FB" w14:textId="56CF35CB" w:rsidR="004C2E50" w:rsidRPr="00295E72" w:rsidRDefault="004C2E50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95E72">
              <w:rPr>
                <w:rFonts w:ascii="Calibri Light" w:hAnsi="Calibri Light"/>
              </w:rPr>
              <w:t>Artículos analizados no declarados violados</w:t>
            </w:r>
          </w:p>
        </w:tc>
      </w:tr>
      <w:tr w:rsidR="004C2E50" w:rsidRPr="00A94EE7" w14:paraId="4F41E916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</w:tcPr>
          <w:p w14:paraId="1D1C3694" w14:textId="77777777" w:rsidR="004C2E50" w:rsidRDefault="004C2E50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490" w:type="dxa"/>
          </w:tcPr>
          <w:p w14:paraId="5E6682FC" w14:textId="046C4255" w:rsidR="004C2E50" w:rsidRPr="00AC1C41" w:rsidRDefault="00732EDB" w:rsidP="00AC1C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highlight w:val="yellow"/>
                <w:lang w:val="en-US"/>
              </w:rPr>
            </w:pPr>
            <w:r w:rsidRPr="00AC1C41">
              <w:rPr>
                <w:rFonts w:ascii="Calibri Light" w:hAnsi="Calibri Light"/>
                <w:lang w:val="en-US"/>
              </w:rPr>
              <w:t>Art.</w:t>
            </w:r>
            <w:r w:rsidR="00A344C0" w:rsidRPr="00AC1C41">
              <w:rPr>
                <w:rFonts w:ascii="Calibri Light" w:hAnsi="Calibri Light"/>
                <w:lang w:val="en-US"/>
              </w:rPr>
              <w:t xml:space="preserve"> </w:t>
            </w:r>
            <w:r w:rsidRPr="00AC1C41">
              <w:rPr>
                <w:rFonts w:ascii="Calibri Light" w:hAnsi="Calibri Light"/>
                <w:lang w:val="en-US"/>
              </w:rPr>
              <w:t xml:space="preserve">1, </w:t>
            </w:r>
            <w:r w:rsidR="00BA0B2B" w:rsidRPr="00AC1C41">
              <w:rPr>
                <w:rFonts w:ascii="Calibri Light" w:hAnsi="Calibri Light"/>
                <w:lang w:val="en-US"/>
              </w:rPr>
              <w:t xml:space="preserve">art. 2, </w:t>
            </w:r>
            <w:r w:rsidRPr="00AC1C41">
              <w:rPr>
                <w:rFonts w:ascii="Calibri Light" w:hAnsi="Calibri Light"/>
                <w:lang w:val="en-US"/>
              </w:rPr>
              <w:t>a</w:t>
            </w:r>
            <w:r w:rsidR="00802D6A" w:rsidRPr="00AC1C41">
              <w:rPr>
                <w:rFonts w:ascii="Calibri Light" w:hAnsi="Calibri Light"/>
                <w:lang w:val="en-US"/>
              </w:rPr>
              <w:t xml:space="preserve">rt. </w:t>
            </w:r>
            <w:r w:rsidR="00AC1C41" w:rsidRPr="00AC1C41">
              <w:rPr>
                <w:rFonts w:ascii="Calibri Light" w:hAnsi="Calibri Light"/>
                <w:lang w:val="en-US"/>
              </w:rPr>
              <w:t>4</w:t>
            </w:r>
            <w:r w:rsidR="004C2E50" w:rsidRPr="00AC1C41">
              <w:rPr>
                <w:rFonts w:ascii="Calibri Light" w:hAnsi="Calibri Light"/>
                <w:lang w:val="en-US"/>
              </w:rPr>
              <w:t xml:space="preserve">, art. </w:t>
            </w:r>
            <w:r w:rsidR="00AC1C41" w:rsidRPr="00AC1C41">
              <w:rPr>
                <w:rFonts w:ascii="Calibri Light" w:hAnsi="Calibri Light"/>
                <w:lang w:val="en-US"/>
              </w:rPr>
              <w:t>5</w:t>
            </w:r>
            <w:r w:rsidR="004C2E50" w:rsidRPr="00AC1C41">
              <w:rPr>
                <w:rFonts w:ascii="Calibri Light" w:hAnsi="Calibri Light"/>
                <w:lang w:val="en-US"/>
              </w:rPr>
              <w:t xml:space="preserve">, art. </w:t>
            </w:r>
            <w:r w:rsidR="00AC1C41" w:rsidRPr="00AC1C41">
              <w:rPr>
                <w:rFonts w:ascii="Calibri Light" w:hAnsi="Calibri Light"/>
                <w:lang w:val="en-US"/>
              </w:rPr>
              <w:t>8</w:t>
            </w:r>
            <w:r w:rsidR="00802D6A" w:rsidRPr="00AC1C41">
              <w:rPr>
                <w:rFonts w:ascii="Calibri Light" w:hAnsi="Calibri Light"/>
                <w:lang w:val="en-US"/>
              </w:rPr>
              <w:t xml:space="preserve">, art. </w:t>
            </w:r>
            <w:r w:rsidR="00AC1C41" w:rsidRPr="00AC1C41">
              <w:rPr>
                <w:rFonts w:ascii="Calibri Light" w:hAnsi="Calibri Light"/>
                <w:lang w:val="en-US"/>
              </w:rPr>
              <w:t>19, art. 25</w:t>
            </w:r>
          </w:p>
        </w:tc>
        <w:tc>
          <w:tcPr>
            <w:tcW w:w="2553" w:type="dxa"/>
            <w:vAlign w:val="center"/>
          </w:tcPr>
          <w:p w14:paraId="1DBBF8BB" w14:textId="2D7D4AB9" w:rsidR="004C2E50" w:rsidRPr="005A1DB6" w:rsidRDefault="004C2E50" w:rsidP="00A94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highlight w:val="yellow"/>
                <w:lang w:val="es-PE"/>
              </w:rPr>
            </w:pPr>
            <w:r w:rsidRPr="004E58DE">
              <w:rPr>
                <w:rFonts w:ascii="Calibri Light" w:hAnsi="Calibri Light"/>
                <w:lang w:val="es-PE"/>
              </w:rPr>
              <w:t>-</w:t>
            </w:r>
          </w:p>
        </w:tc>
      </w:tr>
      <w:tr w:rsidR="004C2E50" w:rsidRPr="004533E5" w14:paraId="54B7813B" w14:textId="77777777" w:rsidTr="00A94E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D4895DD" w14:textId="33F046F3" w:rsidR="004C2E50" w:rsidRPr="00E70716" w:rsidRDefault="004C2E50" w:rsidP="00AC6F31">
            <w:pPr>
              <w:pStyle w:val="ListParagraph"/>
              <w:rPr>
                <w:rFonts w:ascii="Calibri Light" w:hAnsi="Calibri Light"/>
                <w:lang w:val="es-PE"/>
              </w:rPr>
            </w:pPr>
          </w:p>
          <w:p w14:paraId="1ECE5967" w14:textId="77777777" w:rsidR="004C2E50" w:rsidRDefault="004C2E50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Sumilla</w:t>
            </w:r>
          </w:p>
          <w:p w14:paraId="009AFBB8" w14:textId="77777777" w:rsidR="004C2E50" w:rsidRPr="004533E5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C2E50" w:rsidRPr="004533E5" w14:paraId="6B670455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5C62C63C" w14:textId="7FC43BEB" w:rsidR="004C2E50" w:rsidRDefault="004C2E50" w:rsidP="00243C42">
            <w:pPr>
              <w:jc w:val="both"/>
              <w:rPr>
                <w:rFonts w:ascii="Calibri Light" w:hAnsi="Calibri Light"/>
                <w:b w:val="0"/>
              </w:rPr>
            </w:pPr>
          </w:p>
          <w:p w14:paraId="7D931345" w14:textId="603FDB7C" w:rsidR="00792D6B" w:rsidRDefault="00D3729B" w:rsidP="00AC1C41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El caso trata sobre la muerte de</w:t>
            </w:r>
            <w:r w:rsidR="001F174C">
              <w:rPr>
                <w:rFonts w:ascii="Calibri Light" w:hAnsi="Calibri Light"/>
                <w:b w:val="0"/>
              </w:rPr>
              <w:t>l</w:t>
            </w:r>
            <w:r>
              <w:rPr>
                <w:rFonts w:ascii="Calibri Light" w:hAnsi="Calibri Light"/>
                <w:b w:val="0"/>
              </w:rPr>
              <w:t xml:space="preserve"> niño </w:t>
            </w:r>
            <w:r w:rsidR="001F174C">
              <w:rPr>
                <w:rFonts w:ascii="Calibri Light" w:hAnsi="Calibri Light"/>
                <w:b w:val="0"/>
              </w:rPr>
              <w:t xml:space="preserve">Vicente Ariel Noguera mientras prestaba </w:t>
            </w:r>
            <w:r>
              <w:rPr>
                <w:rFonts w:ascii="Calibri Light" w:hAnsi="Calibri Light"/>
                <w:b w:val="0"/>
              </w:rPr>
              <w:t xml:space="preserve">servicio militar bajo custodia del Estado. Las autoridades militares y judiciales </w:t>
            </w:r>
            <w:r w:rsidR="00C06A7B">
              <w:rPr>
                <w:rFonts w:ascii="Calibri Light" w:hAnsi="Calibri Light"/>
                <w:b w:val="0"/>
              </w:rPr>
              <w:t>concluyeron</w:t>
            </w:r>
            <w:r>
              <w:rPr>
                <w:rFonts w:ascii="Calibri Light" w:hAnsi="Calibri Light"/>
                <w:b w:val="0"/>
              </w:rPr>
              <w:t xml:space="preserve"> que </w:t>
            </w:r>
            <w:r w:rsidR="0002263A">
              <w:rPr>
                <w:rFonts w:ascii="Calibri Light" w:hAnsi="Calibri Light"/>
                <w:b w:val="0"/>
              </w:rPr>
              <w:t>su</w:t>
            </w:r>
            <w:r>
              <w:rPr>
                <w:rFonts w:ascii="Calibri Light" w:hAnsi="Calibri Light"/>
                <w:b w:val="0"/>
              </w:rPr>
              <w:t xml:space="preserve"> fallecimiento se produjo por una </w:t>
            </w:r>
            <w:r w:rsidR="00C06A7B">
              <w:rPr>
                <w:rFonts w:ascii="Calibri Light" w:hAnsi="Calibri Light"/>
                <w:b w:val="0"/>
              </w:rPr>
              <w:t xml:space="preserve">supuesta </w:t>
            </w:r>
            <w:r>
              <w:rPr>
                <w:rFonts w:ascii="Calibri Light" w:hAnsi="Calibri Light"/>
                <w:b w:val="0"/>
              </w:rPr>
              <w:t>infección</w:t>
            </w:r>
            <w:r w:rsidR="00C06A7B">
              <w:rPr>
                <w:rFonts w:ascii="Calibri Light" w:hAnsi="Calibri Light"/>
                <w:b w:val="0"/>
              </w:rPr>
              <w:t xml:space="preserve"> pulmonar. No obstante, la madre de la víctima presentó testimonios e indicios que sustentaban que el niño habría sufrido castigos físicos por parte de sus superiores antes de su muerte. Luego de casi seis años de investigación</w:t>
            </w:r>
            <w:r w:rsidR="009A2031">
              <w:rPr>
                <w:rFonts w:ascii="Calibri Light" w:hAnsi="Calibri Light"/>
                <w:b w:val="0"/>
              </w:rPr>
              <w:t>, realizada con faltas a la debida diligencia</w:t>
            </w:r>
            <w:r w:rsidR="00C06A7B">
              <w:rPr>
                <w:rFonts w:ascii="Calibri Light" w:hAnsi="Calibri Light"/>
                <w:b w:val="0"/>
              </w:rPr>
              <w:t>, se archivó el caso.</w:t>
            </w:r>
          </w:p>
          <w:p w14:paraId="1EE5A7E7" w14:textId="31D7B33B" w:rsidR="007018BC" w:rsidRPr="004533E5" w:rsidRDefault="007018BC" w:rsidP="00AC1C41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C2E50" w:rsidRPr="004533E5" w14:paraId="238A2196" w14:textId="77777777" w:rsidTr="00A94E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76D9AAF2" w14:textId="77777777" w:rsidR="004C2E50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4C2E50" w:rsidRDefault="004C2E50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Palabras clave</w:t>
            </w:r>
          </w:p>
          <w:p w14:paraId="6A1E32A7" w14:textId="77777777" w:rsidR="004C2E50" w:rsidRPr="004533E5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C2E50" w:rsidRPr="004533E5" w14:paraId="34AE2D45" w14:textId="77777777" w:rsidTr="00E70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22670832" w14:textId="77777777" w:rsidR="004C2E50" w:rsidRDefault="004C2E50" w:rsidP="00C20AC7">
            <w:pPr>
              <w:jc w:val="both"/>
              <w:rPr>
                <w:rFonts w:ascii="Calibri Light" w:hAnsi="Calibri Light"/>
                <w:b w:val="0"/>
              </w:rPr>
            </w:pPr>
          </w:p>
          <w:p w14:paraId="4E310185" w14:textId="67722D84" w:rsidR="00481C2F" w:rsidRDefault="000A3F12" w:rsidP="00AC1C41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Integridad personal, </w:t>
            </w:r>
            <w:r w:rsidR="001340E4">
              <w:rPr>
                <w:rFonts w:ascii="Calibri Light" w:hAnsi="Calibri Light"/>
                <w:b w:val="0"/>
              </w:rPr>
              <w:t>J</w:t>
            </w:r>
            <w:r>
              <w:rPr>
                <w:rFonts w:ascii="Calibri Light" w:hAnsi="Calibri Light"/>
                <w:b w:val="0"/>
              </w:rPr>
              <w:t xml:space="preserve">usticia militar, </w:t>
            </w:r>
            <w:r w:rsidR="001340E4">
              <w:rPr>
                <w:rFonts w:ascii="Calibri Light" w:hAnsi="Calibri Light"/>
                <w:b w:val="0"/>
              </w:rPr>
              <w:t>N</w:t>
            </w:r>
            <w:r>
              <w:rPr>
                <w:rFonts w:ascii="Calibri Light" w:hAnsi="Calibri Light"/>
                <w:b w:val="0"/>
              </w:rPr>
              <w:t xml:space="preserve">iños niñas y adolescentes, </w:t>
            </w:r>
            <w:r w:rsidR="001340E4">
              <w:rPr>
                <w:rFonts w:ascii="Calibri Light" w:hAnsi="Calibri Light"/>
                <w:b w:val="0"/>
              </w:rPr>
              <w:t>P</w:t>
            </w:r>
            <w:r>
              <w:rPr>
                <w:rFonts w:ascii="Calibri Light" w:hAnsi="Calibri Light"/>
                <w:b w:val="0"/>
              </w:rPr>
              <w:t xml:space="preserve">rotección judicial y garantías judiciales, </w:t>
            </w:r>
            <w:r w:rsidR="001340E4">
              <w:rPr>
                <w:rFonts w:ascii="Calibri Light" w:hAnsi="Calibri Light"/>
                <w:b w:val="0"/>
              </w:rPr>
              <w:t>V</w:t>
            </w:r>
            <w:r>
              <w:rPr>
                <w:rFonts w:ascii="Calibri Light" w:hAnsi="Calibri Light"/>
                <w:b w:val="0"/>
              </w:rPr>
              <w:t>ida</w:t>
            </w:r>
          </w:p>
          <w:p w14:paraId="05374712" w14:textId="226973D3" w:rsidR="000A3F12" w:rsidRPr="004533E5" w:rsidRDefault="000A3F12" w:rsidP="00AC1C41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C2E50" w:rsidRPr="004533E5" w14:paraId="69044E7B" w14:textId="77777777" w:rsidTr="00A94E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3949460" w14:textId="77777777" w:rsidR="004C2E50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4C2E50" w:rsidRDefault="004C2E50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Hechos</w:t>
            </w:r>
          </w:p>
          <w:p w14:paraId="190B7E98" w14:textId="77777777" w:rsidR="004C2E50" w:rsidRPr="004533E5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C2E50" w:rsidRPr="004533E5" w14:paraId="6F58DE83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70EC13D" w14:textId="52A0134B" w:rsidR="004C2E50" w:rsidRDefault="004C2E50" w:rsidP="008036E7">
            <w:pPr>
              <w:jc w:val="both"/>
              <w:rPr>
                <w:rFonts w:ascii="Calibri Light" w:hAnsi="Calibri Light"/>
                <w:b w:val="0"/>
              </w:rPr>
            </w:pPr>
          </w:p>
          <w:p w14:paraId="21A6D6B1" w14:textId="0D4425C1" w:rsidR="00FA402C" w:rsidRDefault="00FA402C" w:rsidP="00B5402E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En Paraguay, </w:t>
            </w:r>
            <w:r w:rsidR="001340E4">
              <w:rPr>
                <w:rFonts w:ascii="Calibri Light" w:hAnsi="Calibri Light"/>
                <w:b w:val="0"/>
              </w:rPr>
              <w:t xml:space="preserve">desde 1989 hasta 2012, </w:t>
            </w:r>
            <w:r w:rsidR="00444C2F">
              <w:rPr>
                <w:rFonts w:ascii="Calibri Light" w:hAnsi="Calibri Light"/>
                <w:b w:val="0"/>
              </w:rPr>
              <w:t>la Asociación de Familiares de Víctimas del Servicio Militar (AFAVISEM)</w:t>
            </w:r>
            <w:r w:rsidR="001340E4">
              <w:rPr>
                <w:rFonts w:ascii="Calibri Light" w:hAnsi="Calibri Light"/>
                <w:b w:val="0"/>
              </w:rPr>
              <w:t xml:space="preserve"> registró</w:t>
            </w:r>
            <w:r w:rsidR="00444C2F">
              <w:rPr>
                <w:rFonts w:ascii="Calibri Light" w:hAnsi="Calibri Light"/>
                <w:b w:val="0"/>
              </w:rPr>
              <w:t xml:space="preserve"> </w:t>
            </w:r>
            <w:r w:rsidR="00B40B37">
              <w:rPr>
                <w:rFonts w:ascii="Calibri Light" w:hAnsi="Calibri Light"/>
                <w:b w:val="0"/>
              </w:rPr>
              <w:t>156</w:t>
            </w:r>
            <w:r w:rsidR="00444C2F">
              <w:rPr>
                <w:rFonts w:ascii="Calibri Light" w:hAnsi="Calibri Light"/>
                <w:b w:val="0"/>
              </w:rPr>
              <w:t xml:space="preserve"> </w:t>
            </w:r>
            <w:r w:rsidR="00C54D99">
              <w:rPr>
                <w:rFonts w:ascii="Calibri Light" w:hAnsi="Calibri Light"/>
                <w:b w:val="0"/>
              </w:rPr>
              <w:t>muertes</w:t>
            </w:r>
            <w:r w:rsidR="00444C2F">
              <w:rPr>
                <w:rFonts w:ascii="Calibri Light" w:hAnsi="Calibri Light"/>
                <w:b w:val="0"/>
              </w:rPr>
              <w:t xml:space="preserve"> de niños soldados en </w:t>
            </w:r>
            <w:r w:rsidR="00B40B37">
              <w:rPr>
                <w:rFonts w:ascii="Calibri Light" w:hAnsi="Calibri Light"/>
                <w:b w:val="0"/>
              </w:rPr>
              <w:t>cuarteles de la Fuerzas Armadas</w:t>
            </w:r>
            <w:r w:rsidR="00855451">
              <w:rPr>
                <w:rFonts w:ascii="Calibri Light" w:hAnsi="Calibri Light"/>
                <w:b w:val="0"/>
              </w:rPr>
              <w:t xml:space="preserve"> y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B40B37">
              <w:rPr>
                <w:rFonts w:ascii="Calibri Light" w:hAnsi="Calibri Light"/>
                <w:b w:val="0"/>
              </w:rPr>
              <w:t xml:space="preserve">400 víctimas </w:t>
            </w:r>
            <w:r w:rsidR="007B2DB7">
              <w:rPr>
                <w:rFonts w:ascii="Calibri Light" w:hAnsi="Calibri Light"/>
                <w:b w:val="0"/>
              </w:rPr>
              <w:t>por</w:t>
            </w:r>
            <w:r w:rsidR="00B40B37">
              <w:rPr>
                <w:rFonts w:ascii="Calibri Light" w:hAnsi="Calibri Light"/>
                <w:b w:val="0"/>
              </w:rPr>
              <w:t xml:space="preserve"> </w:t>
            </w:r>
            <w:r w:rsidR="00C23A92">
              <w:rPr>
                <w:rFonts w:ascii="Calibri Light" w:hAnsi="Calibri Light"/>
                <w:b w:val="0"/>
              </w:rPr>
              <w:t xml:space="preserve">distintas </w:t>
            </w:r>
            <w:r w:rsidR="009A2031">
              <w:rPr>
                <w:rFonts w:ascii="Calibri Light" w:hAnsi="Calibri Light"/>
                <w:b w:val="0"/>
              </w:rPr>
              <w:t>afectaciones a</w:t>
            </w:r>
            <w:r w:rsidR="00AB5C85">
              <w:rPr>
                <w:rFonts w:ascii="Calibri Light" w:hAnsi="Calibri Light"/>
                <w:b w:val="0"/>
              </w:rPr>
              <w:t>l derecho a la</w:t>
            </w:r>
            <w:r w:rsidR="009A2031">
              <w:rPr>
                <w:rFonts w:ascii="Calibri Light" w:hAnsi="Calibri Light"/>
                <w:b w:val="0"/>
              </w:rPr>
              <w:t xml:space="preserve"> integridad</w:t>
            </w:r>
            <w:r w:rsidR="00B40B37">
              <w:rPr>
                <w:rFonts w:ascii="Calibri Light" w:hAnsi="Calibri Light"/>
                <w:b w:val="0"/>
              </w:rPr>
              <w:t>.</w:t>
            </w:r>
            <w:r w:rsidR="00B5402E">
              <w:rPr>
                <w:rFonts w:ascii="Calibri Light" w:hAnsi="Calibri Light"/>
                <w:b w:val="0"/>
              </w:rPr>
              <w:t xml:space="preserve"> En </w:t>
            </w:r>
            <w:r w:rsidR="001340E4">
              <w:rPr>
                <w:rFonts w:ascii="Calibri Light" w:hAnsi="Calibri Light"/>
                <w:b w:val="0"/>
              </w:rPr>
              <w:t>ese</w:t>
            </w:r>
            <w:r w:rsidR="00B5402E">
              <w:rPr>
                <w:rFonts w:ascii="Calibri Light" w:hAnsi="Calibri Light"/>
                <w:b w:val="0"/>
              </w:rPr>
              <w:t xml:space="preserve"> contexto, el 1 de diciembre de 1994, Vicente Ariel </w:t>
            </w:r>
            <w:r w:rsidR="00170F52">
              <w:rPr>
                <w:rFonts w:ascii="Calibri Light" w:hAnsi="Calibri Light"/>
                <w:b w:val="0"/>
              </w:rPr>
              <w:t>Noguera</w:t>
            </w:r>
            <w:r w:rsidR="00C23A92">
              <w:rPr>
                <w:rFonts w:ascii="Calibri Light" w:hAnsi="Calibri Light"/>
                <w:b w:val="0"/>
              </w:rPr>
              <w:t>,</w:t>
            </w:r>
            <w:r w:rsidR="00170F52">
              <w:rPr>
                <w:rFonts w:ascii="Calibri Light" w:hAnsi="Calibri Light"/>
                <w:b w:val="0"/>
              </w:rPr>
              <w:t xml:space="preserve"> </w:t>
            </w:r>
            <w:r w:rsidR="00A40452">
              <w:rPr>
                <w:rFonts w:ascii="Calibri Light" w:hAnsi="Calibri Light"/>
                <w:b w:val="0"/>
              </w:rPr>
              <w:t xml:space="preserve">de </w:t>
            </w:r>
            <w:r>
              <w:rPr>
                <w:rFonts w:ascii="Calibri Light" w:hAnsi="Calibri Light"/>
                <w:b w:val="0"/>
              </w:rPr>
              <w:t>15 años de edad</w:t>
            </w:r>
            <w:r w:rsidR="00C23A92">
              <w:rPr>
                <w:rFonts w:ascii="Calibri Light" w:hAnsi="Calibri Light"/>
                <w:b w:val="0"/>
              </w:rPr>
              <w:t>,</w:t>
            </w:r>
            <w:r>
              <w:rPr>
                <w:rFonts w:ascii="Calibri Light" w:hAnsi="Calibri Light"/>
                <w:b w:val="0"/>
              </w:rPr>
              <w:t xml:space="preserve"> fue incorporado </w:t>
            </w:r>
            <w:r w:rsidR="00B5402E">
              <w:rPr>
                <w:rFonts w:ascii="Calibri Light" w:hAnsi="Calibri Light"/>
                <w:b w:val="0"/>
              </w:rPr>
              <w:t xml:space="preserve">al </w:t>
            </w:r>
            <w:r>
              <w:rPr>
                <w:rFonts w:ascii="Calibri Light" w:hAnsi="Calibri Light"/>
                <w:b w:val="0"/>
              </w:rPr>
              <w:t>Centro</w:t>
            </w:r>
            <w:r w:rsidR="00B5402E" w:rsidRPr="00B5402E">
              <w:rPr>
                <w:rFonts w:ascii="Calibri Light" w:hAnsi="Calibri Light"/>
                <w:b w:val="0"/>
              </w:rPr>
              <w:t xml:space="preserve"> de Instrucción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B5402E" w:rsidRPr="00B5402E">
              <w:rPr>
                <w:rFonts w:ascii="Calibri Light" w:hAnsi="Calibri Light"/>
                <w:b w:val="0"/>
              </w:rPr>
              <w:t>Militar de Estudiantes para Formación de Oficiales de Reserva</w:t>
            </w:r>
            <w:r w:rsidR="00B5402E">
              <w:rPr>
                <w:rFonts w:ascii="Calibri Light" w:hAnsi="Calibri Light"/>
                <w:b w:val="0"/>
              </w:rPr>
              <w:t xml:space="preserve"> (CIMEFOR) </w:t>
            </w:r>
            <w:r>
              <w:rPr>
                <w:rFonts w:ascii="Calibri Light" w:hAnsi="Calibri Light"/>
                <w:b w:val="0"/>
              </w:rPr>
              <w:t xml:space="preserve">tras ser declarado apto y </w:t>
            </w:r>
            <w:r w:rsidR="00AB5C85">
              <w:rPr>
                <w:rFonts w:ascii="Calibri Light" w:hAnsi="Calibri Light"/>
                <w:b w:val="0"/>
              </w:rPr>
              <w:t>haber recibido la autorización</w:t>
            </w:r>
            <w:r>
              <w:rPr>
                <w:rFonts w:ascii="Calibri Light" w:hAnsi="Calibri Light"/>
                <w:b w:val="0"/>
              </w:rPr>
              <w:t xml:space="preserve"> de su madre, María Noguera Domínguez. Los inf</w:t>
            </w:r>
            <w:r w:rsidR="0065378D">
              <w:rPr>
                <w:rFonts w:ascii="Calibri Light" w:hAnsi="Calibri Light"/>
                <w:b w:val="0"/>
              </w:rPr>
              <w:t xml:space="preserve">ormes de </w:t>
            </w:r>
            <w:r w:rsidR="0065378D">
              <w:rPr>
                <w:rFonts w:ascii="Calibri Light" w:hAnsi="Calibri Light"/>
                <w:b w:val="0"/>
              </w:rPr>
              <w:lastRenderedPageBreak/>
              <w:t>sus superiores describieron</w:t>
            </w:r>
            <w:r>
              <w:rPr>
                <w:rFonts w:ascii="Calibri Light" w:hAnsi="Calibri Light"/>
                <w:b w:val="0"/>
              </w:rPr>
              <w:t xml:space="preserve"> al niño </w:t>
            </w:r>
            <w:r w:rsidR="001340E4">
              <w:rPr>
                <w:rFonts w:ascii="Calibri Light" w:hAnsi="Calibri Light"/>
                <w:b w:val="0"/>
              </w:rPr>
              <w:t>Noguera</w:t>
            </w:r>
            <w:r>
              <w:rPr>
                <w:rFonts w:ascii="Calibri Light" w:hAnsi="Calibri Light"/>
                <w:b w:val="0"/>
              </w:rPr>
              <w:t xml:space="preserve"> como dedicado al aprendizaje</w:t>
            </w:r>
            <w:r w:rsidR="00D965D1">
              <w:rPr>
                <w:rFonts w:ascii="Calibri Light" w:hAnsi="Calibri Light"/>
                <w:b w:val="0"/>
              </w:rPr>
              <w:t>,</w:t>
            </w:r>
            <w:r w:rsidR="006E4A6C">
              <w:rPr>
                <w:rFonts w:ascii="Calibri Light" w:hAnsi="Calibri Light"/>
                <w:b w:val="0"/>
              </w:rPr>
              <w:t xml:space="preserve"> y</w:t>
            </w:r>
            <w:r w:rsidR="00C54D99">
              <w:rPr>
                <w:rFonts w:ascii="Calibri Light" w:hAnsi="Calibri Light"/>
                <w:b w:val="0"/>
              </w:rPr>
              <w:t xml:space="preserve"> sin síntomas</w:t>
            </w:r>
            <w:r w:rsidR="006E4A6C">
              <w:rPr>
                <w:rFonts w:ascii="Calibri Light" w:hAnsi="Calibri Light"/>
                <w:b w:val="0"/>
              </w:rPr>
              <w:t xml:space="preserve"> de afección o bajo rendimiento</w:t>
            </w:r>
            <w:r w:rsidR="003B287C">
              <w:rPr>
                <w:rFonts w:ascii="Calibri Light" w:hAnsi="Calibri Light"/>
                <w:b w:val="0"/>
              </w:rPr>
              <w:t xml:space="preserve"> durante su estancia en las</w:t>
            </w:r>
            <w:r w:rsidR="003B287C" w:rsidRPr="003B287C">
              <w:rPr>
                <w:rFonts w:ascii="Calibri Light" w:hAnsi="Calibri Light"/>
                <w:b w:val="0"/>
              </w:rPr>
              <w:t xml:space="preserve"> dependencias del Tercer Cuerpo del Ejército, en Mariscal Estigarribia</w:t>
            </w:r>
            <w:r w:rsidR="006E4A6C">
              <w:rPr>
                <w:rFonts w:ascii="Calibri Light" w:hAnsi="Calibri Light"/>
                <w:b w:val="0"/>
              </w:rPr>
              <w:t>.</w:t>
            </w:r>
          </w:p>
          <w:p w14:paraId="0EA2A18A" w14:textId="77777777" w:rsidR="00FA402C" w:rsidRDefault="00FA402C" w:rsidP="00B5402E">
            <w:pPr>
              <w:jc w:val="both"/>
              <w:rPr>
                <w:rFonts w:ascii="Calibri Light" w:hAnsi="Calibri Light"/>
                <w:b w:val="0"/>
              </w:rPr>
            </w:pPr>
          </w:p>
          <w:p w14:paraId="516E6F8F" w14:textId="0AE269C6" w:rsidR="00A47DA7" w:rsidRPr="00170F52" w:rsidRDefault="00D310F8" w:rsidP="00A47DA7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El</w:t>
            </w:r>
            <w:r w:rsidR="003B287C">
              <w:rPr>
                <w:rFonts w:ascii="Calibri Light" w:hAnsi="Calibri Light"/>
                <w:b w:val="0"/>
              </w:rPr>
              <w:t xml:space="preserve"> 11 de enero</w:t>
            </w:r>
            <w:r w:rsidR="00EC2647">
              <w:rPr>
                <w:rFonts w:ascii="Calibri Light" w:hAnsi="Calibri Light"/>
                <w:b w:val="0"/>
              </w:rPr>
              <w:t xml:space="preserve"> de 1996</w:t>
            </w:r>
            <w:r w:rsidR="003B287C">
              <w:rPr>
                <w:rFonts w:ascii="Calibri Light" w:hAnsi="Calibri Light"/>
                <w:b w:val="0"/>
              </w:rPr>
              <w:t xml:space="preserve">, el niño Noguera </w:t>
            </w:r>
            <w:r w:rsidR="00A40452">
              <w:rPr>
                <w:rFonts w:ascii="Calibri Light" w:hAnsi="Calibri Light"/>
                <w:b w:val="0"/>
              </w:rPr>
              <w:t>falleció</w:t>
            </w:r>
            <w:r w:rsidR="003B287C">
              <w:rPr>
                <w:rFonts w:ascii="Calibri Light" w:hAnsi="Calibri Light"/>
                <w:b w:val="0"/>
              </w:rPr>
              <w:t>. Según el informe del Teniente Alcaraz, la presunta víctima se acostó el día anterior sin mayor novedad y</w:t>
            </w:r>
            <w:r w:rsidR="003A36F8">
              <w:rPr>
                <w:rFonts w:ascii="Calibri Light" w:hAnsi="Calibri Light"/>
                <w:b w:val="0"/>
              </w:rPr>
              <w:t>,</w:t>
            </w:r>
            <w:r w:rsidR="00EC2647">
              <w:rPr>
                <w:rFonts w:ascii="Calibri Light" w:hAnsi="Calibri Light"/>
                <w:b w:val="0"/>
              </w:rPr>
              <w:t xml:space="preserve"> a</w:t>
            </w:r>
            <w:r w:rsidR="003B287C">
              <w:rPr>
                <w:rFonts w:ascii="Calibri Light" w:hAnsi="Calibri Light"/>
                <w:b w:val="0"/>
              </w:rPr>
              <w:t xml:space="preserve"> las 05:00 horas, sus camaradas trata</w:t>
            </w:r>
            <w:r w:rsidR="00C06A7B">
              <w:rPr>
                <w:rFonts w:ascii="Calibri Light" w:hAnsi="Calibri Light"/>
                <w:b w:val="0"/>
              </w:rPr>
              <w:t>ron de despertarlo sin éxito</w:t>
            </w:r>
            <w:r w:rsidR="00C23A92">
              <w:rPr>
                <w:rFonts w:ascii="Calibri Light" w:hAnsi="Calibri Light"/>
                <w:b w:val="0"/>
              </w:rPr>
              <w:t>;</w:t>
            </w:r>
            <w:r>
              <w:rPr>
                <w:rFonts w:ascii="Calibri Light" w:hAnsi="Calibri Light"/>
                <w:b w:val="0"/>
              </w:rPr>
              <w:t xml:space="preserve"> por lo cual </w:t>
            </w:r>
            <w:r w:rsidR="003A36F8">
              <w:rPr>
                <w:rFonts w:ascii="Calibri Light" w:hAnsi="Calibri Light"/>
                <w:b w:val="0"/>
              </w:rPr>
              <w:t>llamaron a</w:t>
            </w:r>
            <w:r w:rsidR="00F97DC0">
              <w:rPr>
                <w:rFonts w:ascii="Calibri Light" w:hAnsi="Calibri Light"/>
                <w:b w:val="0"/>
              </w:rPr>
              <w:t xml:space="preserve"> un</w:t>
            </w:r>
            <w:r w:rsidR="00722282">
              <w:rPr>
                <w:rFonts w:ascii="Calibri Light" w:hAnsi="Calibri Light"/>
                <w:b w:val="0"/>
              </w:rPr>
              <w:t xml:space="preserve"> </w:t>
            </w:r>
            <w:r w:rsidR="003B287C">
              <w:rPr>
                <w:rFonts w:ascii="Calibri Light" w:hAnsi="Calibri Light"/>
                <w:b w:val="0"/>
              </w:rPr>
              <w:t>paramédico</w:t>
            </w:r>
            <w:r w:rsidR="003A36F8">
              <w:rPr>
                <w:rFonts w:ascii="Calibri Light" w:hAnsi="Calibri Light"/>
                <w:b w:val="0"/>
              </w:rPr>
              <w:t>, quien</w:t>
            </w:r>
            <w:r w:rsidR="003B287C">
              <w:rPr>
                <w:rFonts w:ascii="Calibri Light" w:hAnsi="Calibri Light"/>
                <w:b w:val="0"/>
              </w:rPr>
              <w:t xml:space="preserve"> constató que</w:t>
            </w:r>
            <w:r w:rsidR="00BF147B">
              <w:rPr>
                <w:rFonts w:ascii="Calibri Light" w:hAnsi="Calibri Light"/>
                <w:b w:val="0"/>
              </w:rPr>
              <w:t xml:space="preserve"> </w:t>
            </w:r>
            <w:r w:rsidR="003B287C">
              <w:rPr>
                <w:rFonts w:ascii="Calibri Light" w:hAnsi="Calibri Light"/>
                <w:b w:val="0"/>
              </w:rPr>
              <w:t xml:space="preserve">no presentaba signos vitales. </w:t>
            </w:r>
            <w:r w:rsidR="00F97DC0">
              <w:rPr>
                <w:rFonts w:ascii="Calibri Light" w:hAnsi="Calibri Light"/>
                <w:b w:val="0"/>
              </w:rPr>
              <w:t>Sin embargo</w:t>
            </w:r>
            <w:r w:rsidR="003B287C" w:rsidRPr="00170F52">
              <w:rPr>
                <w:rFonts w:ascii="Calibri Light" w:hAnsi="Calibri Light"/>
                <w:b w:val="0"/>
              </w:rPr>
              <w:t xml:space="preserve">, </w:t>
            </w:r>
            <w:r w:rsidR="00F97DC0">
              <w:rPr>
                <w:rFonts w:ascii="Calibri Light" w:hAnsi="Calibri Light"/>
                <w:b w:val="0"/>
              </w:rPr>
              <w:t>de acuerdo a</w:t>
            </w:r>
            <w:r w:rsidR="00C23A92">
              <w:rPr>
                <w:rFonts w:ascii="Calibri Light" w:hAnsi="Calibri Light"/>
                <w:b w:val="0"/>
              </w:rPr>
              <w:t xml:space="preserve"> los</w:t>
            </w:r>
            <w:r w:rsidR="00F97DC0">
              <w:rPr>
                <w:rFonts w:ascii="Calibri Light" w:hAnsi="Calibri Light"/>
                <w:b w:val="0"/>
              </w:rPr>
              <w:t xml:space="preserve"> testimonios </w:t>
            </w:r>
            <w:r w:rsidR="00126BD6">
              <w:rPr>
                <w:rFonts w:ascii="Calibri Light" w:hAnsi="Calibri Light"/>
                <w:b w:val="0"/>
              </w:rPr>
              <w:t xml:space="preserve">de sus camaradas </w:t>
            </w:r>
            <w:r w:rsidR="00F97DC0">
              <w:rPr>
                <w:rFonts w:ascii="Calibri Light" w:hAnsi="Calibri Light"/>
                <w:b w:val="0"/>
              </w:rPr>
              <w:t xml:space="preserve">que recogió </w:t>
            </w:r>
            <w:r w:rsidR="003B287C">
              <w:rPr>
                <w:rFonts w:ascii="Calibri Light" w:hAnsi="Calibri Light"/>
                <w:b w:val="0"/>
              </w:rPr>
              <w:t>la señora Noguera</w:t>
            </w:r>
            <w:r w:rsidR="00F97DC0">
              <w:rPr>
                <w:rFonts w:ascii="Calibri Light" w:hAnsi="Calibri Light"/>
                <w:b w:val="0"/>
              </w:rPr>
              <w:t>,</w:t>
            </w:r>
            <w:r w:rsidR="003B287C">
              <w:rPr>
                <w:rFonts w:ascii="Calibri Light" w:hAnsi="Calibri Light"/>
                <w:b w:val="0"/>
              </w:rPr>
              <w:t xml:space="preserve"> el Teniente Alcaraz y el Subteniente Mosqueda </w:t>
            </w:r>
            <w:r w:rsidR="00F97DC0">
              <w:rPr>
                <w:rFonts w:ascii="Calibri Light" w:hAnsi="Calibri Light"/>
                <w:b w:val="0"/>
              </w:rPr>
              <w:t xml:space="preserve">habían castigado </w:t>
            </w:r>
            <w:r w:rsidR="003B287C">
              <w:rPr>
                <w:rFonts w:ascii="Calibri Light" w:hAnsi="Calibri Light"/>
                <w:b w:val="0"/>
              </w:rPr>
              <w:t>a la presunta víctima durante varias horas el día anterior</w:t>
            </w:r>
            <w:r w:rsidR="00845807">
              <w:rPr>
                <w:rFonts w:ascii="Calibri Light" w:hAnsi="Calibri Light"/>
                <w:b w:val="0"/>
              </w:rPr>
              <w:t xml:space="preserve"> </w:t>
            </w:r>
            <w:r w:rsidR="00C23A92">
              <w:rPr>
                <w:rFonts w:ascii="Calibri Light" w:hAnsi="Calibri Light"/>
                <w:b w:val="0"/>
              </w:rPr>
              <w:t>haciéndolo realizar</w:t>
            </w:r>
            <w:r w:rsidR="00845807">
              <w:rPr>
                <w:rFonts w:ascii="Calibri Light" w:hAnsi="Calibri Light"/>
                <w:b w:val="0"/>
              </w:rPr>
              <w:t xml:space="preserve"> </w:t>
            </w:r>
            <w:r w:rsidR="00126BD6">
              <w:rPr>
                <w:rFonts w:ascii="Calibri Light" w:hAnsi="Calibri Light"/>
                <w:b w:val="0"/>
              </w:rPr>
              <w:t xml:space="preserve">ejercicios físicos extremos, </w:t>
            </w:r>
            <w:r w:rsidR="00C23A92">
              <w:rPr>
                <w:rFonts w:ascii="Calibri Light" w:hAnsi="Calibri Light"/>
                <w:b w:val="0"/>
              </w:rPr>
              <w:t>conocidos</w:t>
            </w:r>
            <w:r w:rsidR="00B20243">
              <w:rPr>
                <w:rFonts w:ascii="Calibri Light" w:hAnsi="Calibri Light"/>
                <w:b w:val="0"/>
              </w:rPr>
              <w:t xml:space="preserve"> como</w:t>
            </w:r>
            <w:r w:rsidR="00126BD6">
              <w:rPr>
                <w:rFonts w:ascii="Calibri Light" w:hAnsi="Calibri Light"/>
                <w:b w:val="0"/>
              </w:rPr>
              <w:t xml:space="preserve"> </w:t>
            </w:r>
            <w:r w:rsidR="00845807">
              <w:rPr>
                <w:rFonts w:ascii="Calibri Light" w:hAnsi="Calibri Light"/>
                <w:b w:val="0"/>
              </w:rPr>
              <w:t>“descuereo”</w:t>
            </w:r>
            <w:r w:rsidR="003B287C">
              <w:rPr>
                <w:rFonts w:ascii="Calibri Light" w:hAnsi="Calibri Light"/>
                <w:b w:val="0"/>
              </w:rPr>
              <w:t xml:space="preserve">. Según </w:t>
            </w:r>
            <w:r w:rsidR="00126BD6">
              <w:rPr>
                <w:rFonts w:ascii="Calibri Light" w:hAnsi="Calibri Light"/>
                <w:b w:val="0"/>
              </w:rPr>
              <w:t>los testigos</w:t>
            </w:r>
            <w:r w:rsidR="003B287C">
              <w:rPr>
                <w:rFonts w:ascii="Calibri Light" w:hAnsi="Calibri Light"/>
                <w:b w:val="0"/>
              </w:rPr>
              <w:t xml:space="preserve">, el </w:t>
            </w:r>
            <w:r w:rsidR="00722282">
              <w:rPr>
                <w:rFonts w:ascii="Calibri Light" w:hAnsi="Calibri Light"/>
                <w:b w:val="0"/>
              </w:rPr>
              <w:t>castigo se les fue de las manos</w:t>
            </w:r>
            <w:r w:rsidR="00126BD6">
              <w:rPr>
                <w:rFonts w:ascii="Calibri Light" w:hAnsi="Calibri Light"/>
                <w:b w:val="0"/>
              </w:rPr>
              <w:t xml:space="preserve"> </w:t>
            </w:r>
            <w:r w:rsidR="00B20243">
              <w:rPr>
                <w:rFonts w:ascii="Calibri Light" w:hAnsi="Calibri Light"/>
                <w:b w:val="0"/>
              </w:rPr>
              <w:t xml:space="preserve">causándole </w:t>
            </w:r>
            <w:r w:rsidR="00126BD6">
              <w:rPr>
                <w:rFonts w:ascii="Calibri Light" w:hAnsi="Calibri Light"/>
                <w:b w:val="0"/>
              </w:rPr>
              <w:t>la muerte</w:t>
            </w:r>
            <w:r w:rsidR="003B287C">
              <w:rPr>
                <w:rFonts w:ascii="Calibri Light" w:hAnsi="Calibri Light"/>
                <w:b w:val="0"/>
              </w:rPr>
              <w:t xml:space="preserve">. </w:t>
            </w:r>
            <w:r w:rsidR="00C23A92">
              <w:rPr>
                <w:rFonts w:ascii="Calibri Light" w:hAnsi="Calibri Light"/>
                <w:b w:val="0"/>
              </w:rPr>
              <w:t>L</w:t>
            </w:r>
            <w:r w:rsidR="003B287C">
              <w:rPr>
                <w:rFonts w:ascii="Calibri Light" w:hAnsi="Calibri Light"/>
                <w:b w:val="0"/>
              </w:rPr>
              <w:t xml:space="preserve">a señora Noguera </w:t>
            </w:r>
            <w:r w:rsidR="00BF147B">
              <w:rPr>
                <w:rFonts w:ascii="Calibri Light" w:hAnsi="Calibri Light"/>
                <w:b w:val="0"/>
              </w:rPr>
              <w:t xml:space="preserve">señaló </w:t>
            </w:r>
            <w:r w:rsidR="00C23A92">
              <w:rPr>
                <w:rFonts w:ascii="Calibri Light" w:hAnsi="Calibri Light"/>
                <w:b w:val="0"/>
              </w:rPr>
              <w:t xml:space="preserve">además </w:t>
            </w:r>
            <w:r w:rsidR="00BF147B">
              <w:rPr>
                <w:rFonts w:ascii="Calibri Light" w:hAnsi="Calibri Light"/>
                <w:b w:val="0"/>
              </w:rPr>
              <w:t>que</w:t>
            </w:r>
            <w:r w:rsidR="003B287C">
              <w:rPr>
                <w:rFonts w:ascii="Calibri Light" w:hAnsi="Calibri Light"/>
                <w:b w:val="0"/>
              </w:rPr>
              <w:t xml:space="preserve"> el cuerpo de su hijo</w:t>
            </w:r>
            <w:r w:rsidR="00722282">
              <w:rPr>
                <w:rFonts w:ascii="Calibri Light" w:hAnsi="Calibri Light"/>
                <w:b w:val="0"/>
              </w:rPr>
              <w:t xml:space="preserve"> presentaba</w:t>
            </w:r>
            <w:r w:rsidR="003B287C">
              <w:rPr>
                <w:rFonts w:ascii="Calibri Light" w:hAnsi="Calibri Light"/>
                <w:b w:val="0"/>
              </w:rPr>
              <w:t xml:space="preserve"> lesiones y </w:t>
            </w:r>
            <w:r w:rsidR="00722282">
              <w:rPr>
                <w:rFonts w:ascii="Calibri Light" w:hAnsi="Calibri Light"/>
                <w:b w:val="0"/>
              </w:rPr>
              <w:t>su</w:t>
            </w:r>
            <w:r w:rsidR="003B287C">
              <w:rPr>
                <w:rFonts w:ascii="Calibri Light" w:hAnsi="Calibri Light"/>
                <w:b w:val="0"/>
              </w:rPr>
              <w:t xml:space="preserve"> ropa interior </w:t>
            </w:r>
            <w:r w:rsidR="00722282">
              <w:rPr>
                <w:rFonts w:ascii="Calibri Light" w:hAnsi="Calibri Light"/>
                <w:b w:val="0"/>
              </w:rPr>
              <w:t xml:space="preserve">estaba </w:t>
            </w:r>
            <w:r w:rsidR="00BF147B">
              <w:rPr>
                <w:rFonts w:ascii="Calibri Light" w:hAnsi="Calibri Light"/>
                <w:b w:val="0"/>
              </w:rPr>
              <w:t>con</w:t>
            </w:r>
            <w:r w:rsidR="003B287C">
              <w:rPr>
                <w:rFonts w:ascii="Calibri Light" w:hAnsi="Calibri Light"/>
                <w:b w:val="0"/>
              </w:rPr>
              <w:t xml:space="preserve"> sangre</w:t>
            </w:r>
            <w:r w:rsidR="00722282">
              <w:rPr>
                <w:rFonts w:ascii="Calibri Light" w:hAnsi="Calibri Light"/>
                <w:b w:val="0"/>
              </w:rPr>
              <w:t xml:space="preserve">, </w:t>
            </w:r>
            <w:r w:rsidR="00F97DC0">
              <w:rPr>
                <w:rFonts w:ascii="Calibri Light" w:hAnsi="Calibri Light"/>
                <w:b w:val="0"/>
              </w:rPr>
              <w:t>lo cual podía ser indicio</w:t>
            </w:r>
            <w:r w:rsidR="00C06A7B">
              <w:rPr>
                <w:rFonts w:ascii="Calibri Light" w:hAnsi="Calibri Light"/>
                <w:b w:val="0"/>
              </w:rPr>
              <w:t xml:space="preserve"> de haber sufrido</w:t>
            </w:r>
            <w:r w:rsidR="00722282">
              <w:rPr>
                <w:rFonts w:ascii="Calibri Light" w:hAnsi="Calibri Light"/>
                <w:b w:val="0"/>
              </w:rPr>
              <w:t xml:space="preserve"> abuso sexual</w:t>
            </w:r>
            <w:r w:rsidR="003B287C">
              <w:rPr>
                <w:rFonts w:ascii="Calibri Light" w:hAnsi="Calibri Light"/>
                <w:b w:val="0"/>
              </w:rPr>
              <w:t xml:space="preserve">. </w:t>
            </w:r>
            <w:r w:rsidR="00A47DA7">
              <w:rPr>
                <w:rFonts w:ascii="Calibri Light" w:hAnsi="Calibri Light"/>
                <w:b w:val="0"/>
              </w:rPr>
              <w:t xml:space="preserve">Posteriormente, varios de </w:t>
            </w:r>
            <w:r w:rsidR="00F97DC0">
              <w:rPr>
                <w:rFonts w:ascii="Calibri Light" w:hAnsi="Calibri Light"/>
                <w:b w:val="0"/>
              </w:rPr>
              <w:t>los testigos habrían cambiado</w:t>
            </w:r>
            <w:r w:rsidR="00D965D1">
              <w:rPr>
                <w:rFonts w:ascii="Calibri Light" w:hAnsi="Calibri Light"/>
                <w:b w:val="0"/>
              </w:rPr>
              <w:t>,</w:t>
            </w:r>
            <w:r w:rsidR="00F97DC0">
              <w:rPr>
                <w:rFonts w:ascii="Calibri Light" w:hAnsi="Calibri Light"/>
                <w:b w:val="0"/>
              </w:rPr>
              <w:t xml:space="preserve"> </w:t>
            </w:r>
            <w:r w:rsidR="00C23A92">
              <w:rPr>
                <w:rFonts w:ascii="Calibri Light" w:hAnsi="Calibri Light"/>
                <w:b w:val="0"/>
              </w:rPr>
              <w:t>por temor a represalias</w:t>
            </w:r>
            <w:r w:rsidR="00D965D1">
              <w:rPr>
                <w:rFonts w:ascii="Calibri Light" w:hAnsi="Calibri Light"/>
                <w:b w:val="0"/>
              </w:rPr>
              <w:t>,</w:t>
            </w:r>
            <w:r w:rsidR="00C23A92">
              <w:rPr>
                <w:rFonts w:ascii="Calibri Light" w:hAnsi="Calibri Light"/>
                <w:b w:val="0"/>
              </w:rPr>
              <w:t xml:space="preserve"> </w:t>
            </w:r>
            <w:r w:rsidR="00A47DA7">
              <w:rPr>
                <w:rFonts w:ascii="Calibri Light" w:hAnsi="Calibri Light"/>
                <w:b w:val="0"/>
              </w:rPr>
              <w:t xml:space="preserve">su versión </w:t>
            </w:r>
            <w:r w:rsidR="00C23A92">
              <w:rPr>
                <w:rFonts w:ascii="Calibri Light" w:hAnsi="Calibri Light"/>
                <w:b w:val="0"/>
              </w:rPr>
              <w:t xml:space="preserve">a </w:t>
            </w:r>
            <w:r w:rsidR="00A47DA7">
              <w:rPr>
                <w:rFonts w:ascii="Calibri Light" w:hAnsi="Calibri Light"/>
                <w:b w:val="0"/>
              </w:rPr>
              <w:t>una narrativa muy similar</w:t>
            </w:r>
            <w:r w:rsidR="00126BD6">
              <w:rPr>
                <w:rFonts w:ascii="Calibri Light" w:hAnsi="Calibri Light"/>
                <w:b w:val="0"/>
              </w:rPr>
              <w:t xml:space="preserve"> a la del Teniente</w:t>
            </w:r>
            <w:r w:rsidR="00A47DA7">
              <w:rPr>
                <w:rFonts w:ascii="Calibri Light" w:hAnsi="Calibri Light"/>
                <w:b w:val="0"/>
              </w:rPr>
              <w:t>, indicando que no hubo castigo.</w:t>
            </w:r>
          </w:p>
          <w:p w14:paraId="4BDFBBA0" w14:textId="4417DF45" w:rsidR="003B287C" w:rsidRDefault="003B287C" w:rsidP="005D687D">
            <w:pPr>
              <w:jc w:val="both"/>
              <w:rPr>
                <w:rFonts w:ascii="Calibri Light" w:hAnsi="Calibri Light"/>
                <w:b w:val="0"/>
              </w:rPr>
            </w:pPr>
          </w:p>
          <w:p w14:paraId="71C70B45" w14:textId="7E72688F" w:rsidR="006C490B" w:rsidRDefault="00C23A92" w:rsidP="00FC7EF9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El mismo día </w:t>
            </w:r>
            <w:r w:rsidR="00AB5C85">
              <w:rPr>
                <w:rFonts w:ascii="Calibri Light" w:hAnsi="Calibri Light"/>
                <w:b w:val="0"/>
              </w:rPr>
              <w:t>de</w:t>
            </w:r>
            <w:r w:rsidR="00D965D1">
              <w:rPr>
                <w:rFonts w:ascii="Calibri Light" w:hAnsi="Calibri Light"/>
                <w:b w:val="0"/>
              </w:rPr>
              <w:t>l</w:t>
            </w:r>
            <w:r w:rsidR="00AB5C85">
              <w:rPr>
                <w:rFonts w:ascii="Calibri Light" w:hAnsi="Calibri Light"/>
                <w:b w:val="0"/>
              </w:rPr>
              <w:t xml:space="preserve"> fallecimiento</w:t>
            </w:r>
            <w:r w:rsidR="003807C2">
              <w:rPr>
                <w:rFonts w:ascii="Calibri Light" w:hAnsi="Calibri Light"/>
                <w:b w:val="0"/>
              </w:rPr>
              <w:t xml:space="preserve">, el Juzgado de Instrucción Militar del Primer Turno emitió auto de apertura de instrucción </w:t>
            </w:r>
            <w:r w:rsidR="004A6AD9">
              <w:rPr>
                <w:rFonts w:ascii="Calibri Light" w:hAnsi="Calibri Light"/>
                <w:b w:val="0"/>
              </w:rPr>
              <w:t>y</w:t>
            </w:r>
            <w:r w:rsidR="00E01DD4">
              <w:rPr>
                <w:rFonts w:ascii="Calibri Light" w:hAnsi="Calibri Light"/>
                <w:b w:val="0"/>
              </w:rPr>
              <w:t xml:space="preserve"> </w:t>
            </w:r>
            <w:r w:rsidR="003A36F8">
              <w:rPr>
                <w:rFonts w:ascii="Calibri Light" w:hAnsi="Calibri Light"/>
                <w:b w:val="0"/>
              </w:rPr>
              <w:t xml:space="preserve">ordenó </w:t>
            </w:r>
            <w:r w:rsidR="00587800">
              <w:rPr>
                <w:rFonts w:ascii="Calibri Light" w:hAnsi="Calibri Light"/>
                <w:b w:val="0"/>
              </w:rPr>
              <w:t xml:space="preserve">una </w:t>
            </w:r>
            <w:r w:rsidR="003A36F8">
              <w:rPr>
                <w:rFonts w:ascii="Calibri Light" w:hAnsi="Calibri Light"/>
                <w:b w:val="0"/>
              </w:rPr>
              <w:t>autopsia</w:t>
            </w:r>
            <w:r w:rsidR="006C490B">
              <w:rPr>
                <w:rFonts w:ascii="Calibri Light" w:hAnsi="Calibri Light"/>
                <w:b w:val="0"/>
              </w:rPr>
              <w:t xml:space="preserve">, </w:t>
            </w:r>
            <w:r w:rsidR="004A6AD9">
              <w:rPr>
                <w:rFonts w:ascii="Calibri Light" w:hAnsi="Calibri Light"/>
                <w:b w:val="0"/>
              </w:rPr>
              <w:t>que</w:t>
            </w:r>
            <w:r w:rsidR="00E01DD4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 xml:space="preserve">determinó como causa de muerte </w:t>
            </w:r>
            <w:r w:rsidR="00AB5C85">
              <w:rPr>
                <w:rFonts w:ascii="Calibri Light" w:hAnsi="Calibri Light"/>
                <w:b w:val="0"/>
              </w:rPr>
              <w:t xml:space="preserve"> del niño </w:t>
            </w:r>
            <w:r>
              <w:rPr>
                <w:rFonts w:ascii="Calibri Light" w:hAnsi="Calibri Light"/>
                <w:b w:val="0"/>
              </w:rPr>
              <w:t>a</w:t>
            </w:r>
            <w:r w:rsidR="00587800">
              <w:rPr>
                <w:rFonts w:ascii="Calibri Light" w:hAnsi="Calibri Light"/>
                <w:b w:val="0"/>
              </w:rPr>
              <w:t xml:space="preserve"> </w:t>
            </w:r>
            <w:r w:rsidR="00C63CF4">
              <w:rPr>
                <w:rFonts w:ascii="Calibri Light" w:hAnsi="Calibri Light"/>
                <w:b w:val="0"/>
              </w:rPr>
              <w:t xml:space="preserve">una </w:t>
            </w:r>
            <w:r w:rsidR="007B2DB7">
              <w:rPr>
                <w:rFonts w:ascii="Calibri Light" w:hAnsi="Calibri Light"/>
                <w:b w:val="0"/>
              </w:rPr>
              <w:t xml:space="preserve">neumonitis intersticial con edema alveolar. </w:t>
            </w:r>
            <w:r w:rsidR="00587800">
              <w:rPr>
                <w:rFonts w:ascii="Calibri Light" w:hAnsi="Calibri Light"/>
                <w:b w:val="0"/>
              </w:rPr>
              <w:t>Consecuentemente, e</w:t>
            </w:r>
            <w:r w:rsidR="00C06A7B">
              <w:rPr>
                <w:rFonts w:ascii="Calibri Light" w:hAnsi="Calibri Light"/>
                <w:b w:val="0"/>
              </w:rPr>
              <w:t xml:space="preserve">l 21 de octubre de 1997, </w:t>
            </w:r>
            <w:r w:rsidR="00C06A7B" w:rsidRPr="00577EC9">
              <w:rPr>
                <w:rFonts w:ascii="Calibri Light" w:hAnsi="Calibri Light"/>
                <w:b w:val="0"/>
              </w:rPr>
              <w:t>el Juzgado de Primera Instancia Militar emitió</w:t>
            </w:r>
            <w:r w:rsidR="00C06A7B">
              <w:rPr>
                <w:rFonts w:ascii="Calibri Light" w:hAnsi="Calibri Light"/>
                <w:b w:val="0"/>
              </w:rPr>
              <w:t xml:space="preserve"> </w:t>
            </w:r>
            <w:r w:rsidR="00C06A7B" w:rsidRPr="00577EC9">
              <w:rPr>
                <w:rFonts w:ascii="Calibri Light" w:hAnsi="Calibri Light"/>
                <w:b w:val="0"/>
              </w:rPr>
              <w:t>auto de sobreseimiento, por no existir delito que investigar.</w:t>
            </w:r>
            <w:r w:rsidR="00C06A7B">
              <w:rPr>
                <w:rFonts w:ascii="Calibri Light" w:hAnsi="Calibri Light"/>
                <w:b w:val="0"/>
              </w:rPr>
              <w:t xml:space="preserve"> Por su parte, e</w:t>
            </w:r>
            <w:r w:rsidR="00257E97">
              <w:rPr>
                <w:rFonts w:ascii="Calibri Light" w:hAnsi="Calibri Light"/>
                <w:b w:val="0"/>
              </w:rPr>
              <w:t>n enero y julio de 1996, la señora Noguera envió dos cartas al Fiscal General</w:t>
            </w:r>
            <w:r w:rsidR="00722282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denunciando</w:t>
            </w:r>
            <w:r w:rsidR="00722282">
              <w:rPr>
                <w:rFonts w:ascii="Calibri Light" w:hAnsi="Calibri Light"/>
                <w:b w:val="0"/>
              </w:rPr>
              <w:t xml:space="preserve"> que la muerte de su hijo no </w:t>
            </w:r>
            <w:r w:rsidR="00587800">
              <w:rPr>
                <w:rFonts w:ascii="Calibri Light" w:hAnsi="Calibri Light"/>
                <w:b w:val="0"/>
              </w:rPr>
              <w:t xml:space="preserve">había sido </w:t>
            </w:r>
            <w:r w:rsidR="00722282">
              <w:rPr>
                <w:rFonts w:ascii="Calibri Light" w:hAnsi="Calibri Light"/>
                <w:b w:val="0"/>
              </w:rPr>
              <w:t xml:space="preserve">accidental y </w:t>
            </w:r>
            <w:r w:rsidR="00587800">
              <w:rPr>
                <w:rFonts w:ascii="Calibri Light" w:hAnsi="Calibri Light"/>
                <w:b w:val="0"/>
              </w:rPr>
              <w:t>solicitando</w:t>
            </w:r>
            <w:r w:rsidR="007823C3">
              <w:rPr>
                <w:rFonts w:ascii="Calibri Light" w:hAnsi="Calibri Light"/>
                <w:b w:val="0"/>
              </w:rPr>
              <w:t xml:space="preserve"> su intervención</w:t>
            </w:r>
            <w:r w:rsidR="00257E97">
              <w:rPr>
                <w:rFonts w:ascii="Calibri Light" w:hAnsi="Calibri Light"/>
                <w:b w:val="0"/>
              </w:rPr>
              <w:t xml:space="preserve">. </w:t>
            </w:r>
            <w:r w:rsidR="00587800">
              <w:rPr>
                <w:rFonts w:ascii="Calibri Light" w:hAnsi="Calibri Light"/>
                <w:b w:val="0"/>
              </w:rPr>
              <w:t>En esa línea, e</w:t>
            </w:r>
            <w:r w:rsidR="00257E97">
              <w:rPr>
                <w:rFonts w:ascii="Calibri Light" w:hAnsi="Calibri Light"/>
                <w:b w:val="0"/>
              </w:rPr>
              <w:t xml:space="preserve">l 6 de septiembre de </w:t>
            </w:r>
            <w:r w:rsidR="00D9185C">
              <w:rPr>
                <w:rFonts w:ascii="Calibri Light" w:hAnsi="Calibri Light"/>
                <w:b w:val="0"/>
              </w:rPr>
              <w:t>ese</w:t>
            </w:r>
            <w:r w:rsidR="00257E97">
              <w:rPr>
                <w:rFonts w:ascii="Calibri Light" w:hAnsi="Calibri Light"/>
                <w:b w:val="0"/>
              </w:rPr>
              <w:t xml:space="preserve"> año, presentó una querella criminal por homicidio ante </w:t>
            </w:r>
            <w:r w:rsidR="00257E97" w:rsidRPr="00D97E54">
              <w:rPr>
                <w:rFonts w:ascii="Calibri Light" w:hAnsi="Calibri Light"/>
                <w:b w:val="0"/>
              </w:rPr>
              <w:t>el Juzgado de Primera Instancia en lo Criminal del 11º Turno</w:t>
            </w:r>
            <w:r w:rsidR="00587800">
              <w:rPr>
                <w:rFonts w:ascii="Calibri Light" w:hAnsi="Calibri Light"/>
                <w:b w:val="0"/>
              </w:rPr>
              <w:t xml:space="preserve"> (Juzgado de Primera Instancia), el cual </w:t>
            </w:r>
            <w:r w:rsidR="00257E97">
              <w:rPr>
                <w:rFonts w:ascii="Calibri Light" w:hAnsi="Calibri Light"/>
                <w:b w:val="0"/>
              </w:rPr>
              <w:t xml:space="preserve">ordenó </w:t>
            </w:r>
            <w:r w:rsidR="00587800">
              <w:rPr>
                <w:rFonts w:ascii="Calibri Light" w:hAnsi="Calibri Light"/>
                <w:b w:val="0"/>
              </w:rPr>
              <w:t xml:space="preserve">otra </w:t>
            </w:r>
            <w:r w:rsidR="00257E97">
              <w:rPr>
                <w:rFonts w:ascii="Calibri Light" w:hAnsi="Calibri Light"/>
                <w:b w:val="0"/>
              </w:rPr>
              <w:t>autopsia</w:t>
            </w:r>
            <w:r w:rsidR="00587800">
              <w:rPr>
                <w:rFonts w:ascii="Calibri Light" w:hAnsi="Calibri Light"/>
                <w:b w:val="0"/>
              </w:rPr>
              <w:t>. Esta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concluyó que no existían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257E97" w:rsidRPr="007A0B8D">
              <w:rPr>
                <w:rFonts w:ascii="Calibri Light" w:hAnsi="Calibri Light"/>
                <w:b w:val="0"/>
              </w:rPr>
              <w:t>lesiones de evidencia traumática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D965D1">
              <w:rPr>
                <w:rFonts w:ascii="Calibri Light" w:hAnsi="Calibri Light"/>
                <w:b w:val="0"/>
              </w:rPr>
              <w:t>y coincidió con</w:t>
            </w:r>
            <w:r w:rsidR="00AB5C85">
              <w:rPr>
                <w:rFonts w:ascii="Calibri Light" w:hAnsi="Calibri Light"/>
                <w:b w:val="0"/>
              </w:rPr>
              <w:t xml:space="preserve"> que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257E97" w:rsidRPr="007A0B8D">
              <w:rPr>
                <w:rFonts w:ascii="Calibri Light" w:hAnsi="Calibri Light"/>
                <w:b w:val="0"/>
              </w:rPr>
              <w:t>la causa d</w:t>
            </w:r>
            <w:r w:rsidR="00257E97">
              <w:rPr>
                <w:rFonts w:ascii="Calibri Light" w:hAnsi="Calibri Light"/>
                <w:b w:val="0"/>
              </w:rPr>
              <w:t xml:space="preserve">e la muerte </w:t>
            </w:r>
            <w:r w:rsidR="00587800">
              <w:rPr>
                <w:rFonts w:ascii="Calibri Light" w:hAnsi="Calibri Light"/>
                <w:b w:val="0"/>
              </w:rPr>
              <w:t>había sido</w:t>
            </w:r>
            <w:r w:rsidR="00257E97" w:rsidRPr="007A0B8D">
              <w:rPr>
                <w:rFonts w:ascii="Calibri Light" w:hAnsi="Calibri Light"/>
                <w:b w:val="0"/>
              </w:rPr>
              <w:t xml:space="preserve"> una neumonitis intersticial con edema alveolar y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257E97" w:rsidRPr="007A0B8D">
              <w:rPr>
                <w:rFonts w:ascii="Calibri Light" w:hAnsi="Calibri Light"/>
                <w:b w:val="0"/>
              </w:rPr>
              <w:t>hemorragia.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No obstante, l</w:t>
            </w:r>
            <w:r w:rsidR="00257E97">
              <w:rPr>
                <w:rFonts w:ascii="Calibri Light" w:hAnsi="Calibri Light"/>
                <w:b w:val="0"/>
              </w:rPr>
              <w:t xml:space="preserve">a señora Noguera </w:t>
            </w:r>
            <w:r w:rsidR="00722282">
              <w:rPr>
                <w:rFonts w:ascii="Calibri Light" w:hAnsi="Calibri Light"/>
                <w:b w:val="0"/>
              </w:rPr>
              <w:t>advirtió</w:t>
            </w:r>
            <w:r w:rsidR="008406EC">
              <w:rPr>
                <w:rFonts w:ascii="Calibri Light" w:hAnsi="Calibri Light"/>
                <w:b w:val="0"/>
              </w:rPr>
              <w:t xml:space="preserve"> ante la CIDH </w:t>
            </w:r>
            <w:r w:rsidR="00257E97">
              <w:rPr>
                <w:rFonts w:ascii="Calibri Light" w:hAnsi="Calibri Light"/>
                <w:b w:val="0"/>
              </w:rPr>
              <w:t>que</w:t>
            </w:r>
            <w:r w:rsidR="00257E97" w:rsidRPr="007A0B8D">
              <w:rPr>
                <w:rFonts w:ascii="Calibri Light" w:hAnsi="Calibri Light"/>
                <w:b w:val="0"/>
              </w:rPr>
              <w:t xml:space="preserve"> las</w:t>
            </w:r>
            <w:r w:rsidR="00257E97">
              <w:rPr>
                <w:rFonts w:ascii="Calibri Light" w:hAnsi="Calibri Light"/>
                <w:b w:val="0"/>
              </w:rPr>
              <w:t xml:space="preserve"> </w:t>
            </w:r>
            <w:r w:rsidR="00257E97" w:rsidRPr="007A0B8D">
              <w:rPr>
                <w:rFonts w:ascii="Calibri Light" w:hAnsi="Calibri Light"/>
                <w:b w:val="0"/>
              </w:rPr>
              <w:t>foto</w:t>
            </w:r>
            <w:r w:rsidR="005E3100">
              <w:rPr>
                <w:rFonts w:ascii="Calibri Light" w:hAnsi="Calibri Light"/>
                <w:b w:val="0"/>
              </w:rPr>
              <w:t>s</w:t>
            </w:r>
            <w:r w:rsidR="00257E97" w:rsidRPr="007A0B8D">
              <w:rPr>
                <w:rFonts w:ascii="Calibri Light" w:hAnsi="Calibri Light"/>
                <w:b w:val="0"/>
              </w:rPr>
              <w:t xml:space="preserve"> y video de la primera autopsia </w:t>
            </w:r>
            <w:r w:rsidR="00722282">
              <w:rPr>
                <w:rFonts w:ascii="Calibri Light" w:hAnsi="Calibri Light"/>
                <w:b w:val="0"/>
              </w:rPr>
              <w:t>evidencia</w:t>
            </w:r>
            <w:r w:rsidR="005E3100">
              <w:rPr>
                <w:rFonts w:ascii="Calibri Light" w:hAnsi="Calibri Light"/>
                <w:b w:val="0"/>
              </w:rPr>
              <w:t>ban</w:t>
            </w:r>
            <w:r w:rsidR="00257E97">
              <w:rPr>
                <w:rFonts w:ascii="Calibri Light" w:hAnsi="Calibri Light"/>
                <w:b w:val="0"/>
              </w:rPr>
              <w:t xml:space="preserve"> golpes </w:t>
            </w:r>
            <w:r w:rsidR="005E3100">
              <w:rPr>
                <w:rFonts w:ascii="Calibri Light" w:hAnsi="Calibri Light"/>
                <w:b w:val="0"/>
              </w:rPr>
              <w:t xml:space="preserve">en el cadáver, lo que no </w:t>
            </w:r>
            <w:r w:rsidR="00257E97">
              <w:rPr>
                <w:rFonts w:ascii="Calibri Light" w:hAnsi="Calibri Light"/>
                <w:b w:val="0"/>
              </w:rPr>
              <w:t xml:space="preserve">coincidía </w:t>
            </w:r>
            <w:r w:rsidR="00257E97" w:rsidRPr="007A0B8D">
              <w:rPr>
                <w:rFonts w:ascii="Calibri Light" w:hAnsi="Calibri Light"/>
                <w:b w:val="0"/>
              </w:rPr>
              <w:t xml:space="preserve">con </w:t>
            </w:r>
            <w:r w:rsidR="00257E97">
              <w:rPr>
                <w:rFonts w:ascii="Calibri Light" w:hAnsi="Calibri Light"/>
                <w:b w:val="0"/>
              </w:rPr>
              <w:t>dicho</w:t>
            </w:r>
            <w:r w:rsidR="00257E97" w:rsidRPr="007A0B8D">
              <w:rPr>
                <w:rFonts w:ascii="Calibri Light" w:hAnsi="Calibri Light"/>
                <w:b w:val="0"/>
              </w:rPr>
              <w:t xml:space="preserve"> informe</w:t>
            </w:r>
            <w:r w:rsidR="00257E97">
              <w:rPr>
                <w:rFonts w:ascii="Calibri Light" w:hAnsi="Calibri Light"/>
                <w:b w:val="0"/>
              </w:rPr>
              <w:t>.</w:t>
            </w:r>
            <w:r w:rsidR="006C490B">
              <w:rPr>
                <w:rFonts w:ascii="Calibri Light" w:hAnsi="Calibri Light"/>
                <w:b w:val="0"/>
              </w:rPr>
              <w:t xml:space="preserve"> </w:t>
            </w:r>
          </w:p>
          <w:p w14:paraId="745B08DA" w14:textId="77777777" w:rsidR="00C06A7B" w:rsidRDefault="00C06A7B" w:rsidP="00FC7EF9">
            <w:pPr>
              <w:jc w:val="both"/>
              <w:rPr>
                <w:rFonts w:ascii="Calibri Light" w:hAnsi="Calibri Light"/>
                <w:b w:val="0"/>
              </w:rPr>
            </w:pPr>
          </w:p>
          <w:p w14:paraId="5341396A" w14:textId="592130EE" w:rsidR="00FC7EF9" w:rsidRDefault="00F40937" w:rsidP="00FC7EF9">
            <w:pPr>
              <w:jc w:val="both"/>
              <w:rPr>
                <w:rFonts w:ascii="Calibri Light" w:hAnsi="Calibri Light"/>
                <w:b w:val="0"/>
              </w:rPr>
            </w:pPr>
            <w:r w:rsidRPr="00F40937">
              <w:rPr>
                <w:rFonts w:ascii="Calibri Light" w:hAnsi="Calibri Light"/>
                <w:b w:val="0"/>
              </w:rPr>
              <w:t>Durante el trámite</w:t>
            </w:r>
            <w:r w:rsidR="00AB5C85">
              <w:rPr>
                <w:rFonts w:ascii="Calibri Light" w:hAnsi="Calibri Light"/>
                <w:b w:val="0"/>
              </w:rPr>
              <w:t xml:space="preserve"> </w:t>
            </w:r>
            <w:r w:rsidR="001743A6">
              <w:rPr>
                <w:rFonts w:ascii="Calibri Light" w:hAnsi="Calibri Light"/>
                <w:b w:val="0"/>
              </w:rPr>
              <w:t>de este último proceso</w:t>
            </w:r>
            <w:r w:rsidRPr="00F40937">
              <w:rPr>
                <w:rFonts w:ascii="Calibri Light" w:hAnsi="Calibri Light"/>
                <w:b w:val="0"/>
              </w:rPr>
              <w:t xml:space="preserve">, </w:t>
            </w:r>
            <w:r w:rsidR="00FC7EF9" w:rsidRPr="00587800">
              <w:rPr>
                <w:rFonts w:ascii="Calibri Light" w:hAnsi="Calibri Light"/>
                <w:b w:val="0"/>
              </w:rPr>
              <w:t xml:space="preserve">el </w:t>
            </w:r>
            <w:r w:rsidR="00FC7EF9" w:rsidRPr="00B20243">
              <w:rPr>
                <w:rFonts w:ascii="Calibri Light" w:hAnsi="Calibri Light"/>
                <w:b w:val="0"/>
              </w:rPr>
              <w:t xml:space="preserve">Juzgado </w:t>
            </w:r>
            <w:r w:rsidR="00587800" w:rsidRPr="00B20243">
              <w:rPr>
                <w:rFonts w:ascii="Calibri Light" w:hAnsi="Calibri Light"/>
                <w:b w:val="0"/>
              </w:rPr>
              <w:t>de Primera Instancia</w:t>
            </w:r>
            <w:r w:rsidRPr="00B20243">
              <w:rPr>
                <w:rFonts w:ascii="Calibri Light" w:hAnsi="Calibri Light"/>
                <w:b w:val="0"/>
              </w:rPr>
              <w:t xml:space="preserve"> </w:t>
            </w:r>
            <w:r w:rsidR="00FC7EF9" w:rsidRPr="00B20243">
              <w:rPr>
                <w:rFonts w:ascii="Calibri Light" w:hAnsi="Calibri Light"/>
                <w:b w:val="0"/>
              </w:rPr>
              <w:t>notó</w:t>
            </w:r>
            <w:r w:rsidR="00FC7EF9" w:rsidRPr="00FC7EF9">
              <w:rPr>
                <w:rFonts w:ascii="Calibri Light" w:hAnsi="Calibri Light"/>
                <w:b w:val="0"/>
              </w:rPr>
              <w:t xml:space="preserve"> que </w:t>
            </w:r>
            <w:r w:rsidR="006C490B">
              <w:rPr>
                <w:rFonts w:ascii="Calibri Light" w:hAnsi="Calibri Light"/>
                <w:b w:val="0"/>
              </w:rPr>
              <w:t>el</w:t>
            </w:r>
            <w:r w:rsidR="00FC7EF9" w:rsidRPr="00FC7EF9">
              <w:rPr>
                <w:rFonts w:ascii="Calibri Light" w:hAnsi="Calibri Light"/>
                <w:b w:val="0"/>
              </w:rPr>
              <w:t xml:space="preserve"> Juzgado de Instrucción</w:t>
            </w:r>
            <w:r w:rsidR="006C490B">
              <w:rPr>
                <w:rFonts w:ascii="Calibri Light" w:hAnsi="Calibri Light"/>
                <w:b w:val="0"/>
              </w:rPr>
              <w:t xml:space="preserve"> de </w:t>
            </w:r>
            <w:r w:rsidR="006C490B" w:rsidRPr="00FC7EF9">
              <w:rPr>
                <w:rFonts w:ascii="Calibri Light" w:hAnsi="Calibri Light"/>
                <w:b w:val="0"/>
              </w:rPr>
              <w:t>Mariscal Estigarribia</w:t>
            </w:r>
            <w:r w:rsidR="00FC7EF9" w:rsidRPr="00FC7EF9">
              <w:rPr>
                <w:rFonts w:ascii="Calibri Light" w:hAnsi="Calibri Light"/>
                <w:b w:val="0"/>
              </w:rPr>
              <w:t xml:space="preserve"> debía conocer la causa</w:t>
            </w:r>
            <w:r w:rsidR="006C490B">
              <w:rPr>
                <w:rFonts w:ascii="Calibri Light" w:hAnsi="Calibri Light"/>
                <w:b w:val="0"/>
              </w:rPr>
              <w:t>,</w:t>
            </w:r>
            <w:r w:rsidR="00FC7EF9" w:rsidRPr="00FC7EF9">
              <w:rPr>
                <w:rFonts w:ascii="Calibri Light" w:hAnsi="Calibri Light"/>
                <w:b w:val="0"/>
              </w:rPr>
              <w:t xml:space="preserve"> por lo que remitió los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>actuados a dicha jurisdicción el 19 de septiembre de 1996.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Ello</w:t>
            </w:r>
            <w:r w:rsidR="00FC7EF9" w:rsidRPr="00FC7EF9">
              <w:rPr>
                <w:rFonts w:ascii="Calibri Light" w:hAnsi="Calibri Light"/>
                <w:b w:val="0"/>
              </w:rPr>
              <w:t xml:space="preserve"> originó una contienda negativa de competencia </w:t>
            </w:r>
            <w:r w:rsidR="004A6AD9">
              <w:rPr>
                <w:rFonts w:ascii="Calibri Light" w:hAnsi="Calibri Light"/>
                <w:b w:val="0"/>
              </w:rPr>
              <w:t xml:space="preserve">entre jueces </w:t>
            </w:r>
            <w:r w:rsidR="00CE0FD4">
              <w:rPr>
                <w:rFonts w:ascii="Calibri Light" w:hAnsi="Calibri Light"/>
                <w:b w:val="0"/>
              </w:rPr>
              <w:t xml:space="preserve">que </w:t>
            </w:r>
            <w:r w:rsidR="009F5AC8">
              <w:rPr>
                <w:rFonts w:ascii="Calibri Light" w:hAnsi="Calibri Light"/>
                <w:b w:val="0"/>
              </w:rPr>
              <w:t>fue resuelta</w:t>
            </w:r>
            <w:r>
              <w:rPr>
                <w:rFonts w:ascii="Calibri Light" w:hAnsi="Calibri Light"/>
                <w:b w:val="0"/>
              </w:rPr>
              <w:t>, el 26 de febrero de 1999,</w:t>
            </w:r>
            <w:r w:rsidR="00FC7EF9" w:rsidRPr="00FC7EF9">
              <w:rPr>
                <w:rFonts w:ascii="Calibri Light" w:hAnsi="Calibri Light"/>
                <w:b w:val="0"/>
              </w:rPr>
              <w:t xml:space="preserve"> </w:t>
            </w:r>
            <w:r w:rsidR="00D0479F">
              <w:rPr>
                <w:rFonts w:ascii="Calibri Light" w:hAnsi="Calibri Light"/>
                <w:b w:val="0"/>
              </w:rPr>
              <w:t>a favor de</w:t>
            </w:r>
            <w:r w:rsidR="00A5753B">
              <w:rPr>
                <w:rFonts w:ascii="Calibri Light" w:hAnsi="Calibri Light"/>
                <w:b w:val="0"/>
              </w:rPr>
              <w:t xml:space="preserve"> </w:t>
            </w:r>
            <w:r w:rsidR="009F5AC8">
              <w:rPr>
                <w:rFonts w:ascii="Calibri Light" w:hAnsi="Calibri Light"/>
                <w:b w:val="0"/>
              </w:rPr>
              <w:t>otro</w:t>
            </w:r>
            <w:r w:rsidR="00A5753B">
              <w:rPr>
                <w:rFonts w:ascii="Calibri Light" w:hAnsi="Calibri Light"/>
                <w:b w:val="0"/>
              </w:rPr>
              <w:t xml:space="preserve"> juzgado de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D9185C">
              <w:rPr>
                <w:rFonts w:ascii="Calibri Light" w:hAnsi="Calibri Light"/>
                <w:b w:val="0"/>
              </w:rPr>
              <w:t>la jurisdicción</w:t>
            </w:r>
            <w:r w:rsidR="00FC7EF9" w:rsidRPr="00FC7EF9">
              <w:rPr>
                <w:rFonts w:ascii="Calibri Light" w:hAnsi="Calibri Light"/>
                <w:b w:val="0"/>
              </w:rPr>
              <w:t xml:space="preserve"> de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>Mariscal Estiga</w:t>
            </w:r>
            <w:r>
              <w:rPr>
                <w:rFonts w:ascii="Calibri Light" w:hAnsi="Calibri Light"/>
                <w:b w:val="0"/>
              </w:rPr>
              <w:t xml:space="preserve">rribia. </w:t>
            </w:r>
            <w:r w:rsidR="001743A6">
              <w:rPr>
                <w:rFonts w:ascii="Calibri Light" w:hAnsi="Calibri Light"/>
                <w:b w:val="0"/>
              </w:rPr>
              <w:t xml:space="preserve">Asimismo, en este proceso, la Fiscalía requirió a la señora Noguera que entregara las direcciones de los cabos para que brindaran su testimonio. Si bien el 31 de </w:t>
            </w:r>
            <w:r w:rsidR="00FC7EF9" w:rsidRPr="00FC7EF9">
              <w:rPr>
                <w:rFonts w:ascii="Calibri Light" w:hAnsi="Calibri Light"/>
                <w:b w:val="0"/>
              </w:rPr>
              <w:t>agosto de 2001</w:t>
            </w:r>
            <w:r w:rsidR="00A47DA7">
              <w:rPr>
                <w:rFonts w:ascii="Calibri Light" w:hAnsi="Calibri Light"/>
                <w:b w:val="0"/>
              </w:rPr>
              <w:t>,</w:t>
            </w:r>
            <w:r w:rsidR="00FC7EF9" w:rsidRPr="00FC7EF9">
              <w:rPr>
                <w:rFonts w:ascii="Calibri Light" w:hAnsi="Calibri Light"/>
                <w:b w:val="0"/>
              </w:rPr>
              <w:t xml:space="preserve"> la Corte Suprema de Justicia Militar remitió las direcciones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9D7702">
              <w:rPr>
                <w:rFonts w:ascii="Calibri Light" w:hAnsi="Calibri Light"/>
                <w:b w:val="0"/>
              </w:rPr>
              <w:t xml:space="preserve">de </w:t>
            </w:r>
            <w:r w:rsidR="001447F4">
              <w:rPr>
                <w:rFonts w:ascii="Calibri Light" w:hAnsi="Calibri Light"/>
                <w:b w:val="0"/>
              </w:rPr>
              <w:t>una veintena</w:t>
            </w:r>
            <w:r w:rsidR="00587800">
              <w:rPr>
                <w:rFonts w:ascii="Calibri Light" w:hAnsi="Calibri Light"/>
                <w:b w:val="0"/>
              </w:rPr>
              <w:t xml:space="preserve"> de</w:t>
            </w:r>
            <w:r w:rsidR="009D7702">
              <w:rPr>
                <w:rFonts w:ascii="Calibri Light" w:hAnsi="Calibri Light"/>
                <w:b w:val="0"/>
              </w:rPr>
              <w:t xml:space="preserve"> cabos aspirantes </w:t>
            </w:r>
            <w:r w:rsidR="00587800">
              <w:rPr>
                <w:rFonts w:ascii="Calibri Light" w:hAnsi="Calibri Light"/>
                <w:b w:val="0"/>
              </w:rPr>
              <w:t>para que brindaran</w:t>
            </w:r>
            <w:r w:rsidR="009D7702">
              <w:rPr>
                <w:rFonts w:ascii="Calibri Light" w:hAnsi="Calibri Light"/>
                <w:b w:val="0"/>
              </w:rPr>
              <w:t xml:space="preserve"> testimonio</w:t>
            </w:r>
            <w:r w:rsidR="00587800">
              <w:rPr>
                <w:rFonts w:ascii="Calibri Light" w:hAnsi="Calibri Light"/>
                <w:b w:val="0"/>
              </w:rPr>
              <w:t xml:space="preserve"> en el proceso</w:t>
            </w:r>
            <w:r w:rsidR="009F5AC8">
              <w:rPr>
                <w:rFonts w:ascii="Calibri Light" w:hAnsi="Calibri Light"/>
                <w:b w:val="0"/>
              </w:rPr>
              <w:t xml:space="preserve"> ordinario</w:t>
            </w:r>
            <w:r w:rsidR="00606FDD">
              <w:rPr>
                <w:rFonts w:ascii="Calibri Light" w:hAnsi="Calibri Light"/>
                <w:b w:val="0"/>
              </w:rPr>
              <w:t>,</w:t>
            </w:r>
            <w:r w:rsidR="001447F4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solo dos de ellos</w:t>
            </w:r>
            <w:r w:rsidR="001447F4">
              <w:rPr>
                <w:rFonts w:ascii="Calibri Light" w:hAnsi="Calibri Light"/>
                <w:b w:val="0"/>
              </w:rPr>
              <w:t xml:space="preserve"> </w:t>
            </w:r>
            <w:r w:rsidR="001743A6">
              <w:rPr>
                <w:rFonts w:ascii="Calibri Light" w:hAnsi="Calibri Light"/>
                <w:b w:val="0"/>
              </w:rPr>
              <w:t xml:space="preserve">terminaron siendo </w:t>
            </w:r>
            <w:r w:rsidR="001447F4">
              <w:rPr>
                <w:rFonts w:ascii="Calibri Light" w:hAnsi="Calibri Light"/>
                <w:b w:val="0"/>
              </w:rPr>
              <w:t>entrevistados</w:t>
            </w:r>
            <w:r w:rsidR="00FC7EF9" w:rsidRPr="00FC7EF9">
              <w:rPr>
                <w:rFonts w:ascii="Calibri Light" w:hAnsi="Calibri Light"/>
                <w:b w:val="0"/>
              </w:rPr>
              <w:t>.</w:t>
            </w:r>
            <w:r w:rsidR="00A47DA7">
              <w:rPr>
                <w:rFonts w:ascii="Calibri Light" w:hAnsi="Calibri Light"/>
                <w:b w:val="0"/>
              </w:rPr>
              <w:t xml:space="preserve"> </w:t>
            </w:r>
            <w:r w:rsidR="00587800">
              <w:rPr>
                <w:rFonts w:ascii="Calibri Light" w:hAnsi="Calibri Light"/>
                <w:b w:val="0"/>
              </w:rPr>
              <w:t>Finalmente, e</w:t>
            </w:r>
            <w:r w:rsidR="00FC7EF9" w:rsidRPr="00FC7EF9">
              <w:rPr>
                <w:rFonts w:ascii="Calibri Light" w:hAnsi="Calibri Light"/>
                <w:b w:val="0"/>
              </w:rPr>
              <w:t xml:space="preserve">l 6 de noviembre </w:t>
            </w:r>
            <w:r w:rsidR="00A47DA7">
              <w:rPr>
                <w:rFonts w:ascii="Calibri Light" w:hAnsi="Calibri Light"/>
                <w:b w:val="0"/>
              </w:rPr>
              <w:t>de</w:t>
            </w:r>
            <w:r w:rsidR="006C490B">
              <w:rPr>
                <w:rFonts w:ascii="Calibri Light" w:hAnsi="Calibri Light"/>
                <w:b w:val="0"/>
              </w:rPr>
              <w:t xml:space="preserve"> 2002</w:t>
            </w:r>
            <w:r w:rsidR="00A47DA7">
              <w:rPr>
                <w:rFonts w:ascii="Calibri Light" w:hAnsi="Calibri Light"/>
                <w:b w:val="0"/>
              </w:rPr>
              <w:t>,</w:t>
            </w:r>
            <w:r w:rsidR="00FC7EF9" w:rsidRPr="00FC7EF9">
              <w:rPr>
                <w:rFonts w:ascii="Calibri Light" w:hAnsi="Calibri Light"/>
                <w:b w:val="0"/>
              </w:rPr>
              <w:t xml:space="preserve"> el Juez Penal de Liquidación y Sentencia No. 7 archivó </w:t>
            </w:r>
            <w:r w:rsidR="00187E1A">
              <w:rPr>
                <w:rFonts w:ascii="Calibri Light" w:hAnsi="Calibri Light"/>
                <w:b w:val="0"/>
              </w:rPr>
              <w:t>la</w:t>
            </w:r>
            <w:r w:rsidR="00A47DA7">
              <w:rPr>
                <w:rFonts w:ascii="Calibri Light" w:hAnsi="Calibri Light"/>
                <w:b w:val="0"/>
              </w:rPr>
              <w:t xml:space="preserve"> investigación</w:t>
            </w:r>
            <w:r w:rsidR="006C490B">
              <w:rPr>
                <w:rFonts w:ascii="Calibri Light" w:hAnsi="Calibri Light"/>
                <w:b w:val="0"/>
              </w:rPr>
              <w:t xml:space="preserve">, amparándose en la </w:t>
            </w:r>
            <w:r w:rsidR="00FC7EF9" w:rsidRPr="00FC7EF9">
              <w:rPr>
                <w:rFonts w:ascii="Calibri Light" w:hAnsi="Calibri Light"/>
                <w:b w:val="0"/>
              </w:rPr>
              <w:t>Ley</w:t>
            </w:r>
            <w:r w:rsidR="00FC7EF9">
              <w:rPr>
                <w:rFonts w:ascii="Calibri Light" w:hAnsi="Calibri Light"/>
                <w:b w:val="0"/>
              </w:rPr>
              <w:t xml:space="preserve"> </w:t>
            </w:r>
            <w:r w:rsidR="007823C3">
              <w:rPr>
                <w:rFonts w:ascii="Calibri Light" w:hAnsi="Calibri Light"/>
                <w:b w:val="0"/>
              </w:rPr>
              <w:t>No</w:t>
            </w:r>
            <w:r w:rsidR="00587800">
              <w:rPr>
                <w:rFonts w:ascii="Calibri Light" w:hAnsi="Calibri Light"/>
                <w:b w:val="0"/>
              </w:rPr>
              <w:t>.</w:t>
            </w:r>
            <w:r w:rsidR="007823C3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>1444/99</w:t>
            </w:r>
            <w:r w:rsidR="00587800">
              <w:rPr>
                <w:rFonts w:ascii="Calibri Light" w:hAnsi="Calibri Light"/>
                <w:b w:val="0"/>
              </w:rPr>
              <w:t xml:space="preserve">, </w:t>
            </w:r>
            <w:r w:rsidR="007823C3">
              <w:rPr>
                <w:rFonts w:ascii="Calibri Light" w:hAnsi="Calibri Light"/>
                <w:b w:val="0"/>
              </w:rPr>
              <w:t>que</w:t>
            </w:r>
            <w:r w:rsidR="00587800">
              <w:rPr>
                <w:rFonts w:ascii="Calibri Light" w:hAnsi="Calibri Light"/>
                <w:b w:val="0"/>
              </w:rPr>
              <w:t xml:space="preserve"> disponía que </w:t>
            </w:r>
            <w:r w:rsidR="00FC7EF9" w:rsidRPr="00FC7EF9">
              <w:rPr>
                <w:rFonts w:ascii="Calibri Light" w:hAnsi="Calibri Light"/>
                <w:b w:val="0"/>
              </w:rPr>
              <w:t>en proceso</w:t>
            </w:r>
            <w:r w:rsidR="00A47DA7">
              <w:rPr>
                <w:rFonts w:ascii="Calibri Light" w:hAnsi="Calibri Light"/>
                <w:b w:val="0"/>
              </w:rPr>
              <w:t>s</w:t>
            </w:r>
            <w:r w:rsidR="00FC7EF9" w:rsidRPr="00FC7EF9">
              <w:rPr>
                <w:rFonts w:ascii="Calibri Light" w:hAnsi="Calibri Light"/>
                <w:b w:val="0"/>
              </w:rPr>
              <w:t xml:space="preserve"> co</w:t>
            </w:r>
            <w:r w:rsidR="00400792">
              <w:rPr>
                <w:rFonts w:ascii="Calibri Light" w:hAnsi="Calibri Light"/>
                <w:b w:val="0"/>
              </w:rPr>
              <w:t>n imputados no individualizados</w:t>
            </w:r>
            <w:r w:rsidR="007823C3">
              <w:rPr>
                <w:rFonts w:ascii="Calibri Light" w:hAnsi="Calibri Light"/>
                <w:b w:val="0"/>
              </w:rPr>
              <w:t xml:space="preserve">, </w:t>
            </w:r>
            <w:r w:rsidR="00400792">
              <w:rPr>
                <w:rFonts w:ascii="Calibri Light" w:hAnsi="Calibri Light"/>
                <w:b w:val="0"/>
              </w:rPr>
              <w:t>se</w:t>
            </w:r>
            <w:r w:rsidR="00FC7EF9" w:rsidRPr="00FC7EF9">
              <w:rPr>
                <w:rFonts w:ascii="Calibri Light" w:hAnsi="Calibri Light"/>
                <w:b w:val="0"/>
              </w:rPr>
              <w:t xml:space="preserve"> </w:t>
            </w:r>
            <w:r w:rsidR="00587800" w:rsidRPr="00FC7EF9">
              <w:rPr>
                <w:rFonts w:ascii="Calibri Light" w:hAnsi="Calibri Light"/>
                <w:b w:val="0"/>
              </w:rPr>
              <w:t>decretar</w:t>
            </w:r>
            <w:r w:rsidR="00587800">
              <w:rPr>
                <w:rFonts w:ascii="Calibri Light" w:hAnsi="Calibri Light"/>
                <w:b w:val="0"/>
              </w:rPr>
              <w:t>ía</w:t>
            </w:r>
            <w:r w:rsidR="00587800" w:rsidRPr="00FC7EF9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>el</w:t>
            </w:r>
            <w:r w:rsidR="00012E86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>archivamiento del expediente</w:t>
            </w:r>
            <w:r w:rsidR="004A6AD9">
              <w:rPr>
                <w:rFonts w:ascii="Calibri Light" w:hAnsi="Calibri Light"/>
                <w:b w:val="0"/>
              </w:rPr>
              <w:t xml:space="preserve"> cuando</w:t>
            </w:r>
            <w:r w:rsidR="00FC7EF9" w:rsidRPr="00FC7EF9">
              <w:rPr>
                <w:rFonts w:ascii="Calibri Light" w:hAnsi="Calibri Light"/>
                <w:b w:val="0"/>
              </w:rPr>
              <w:t xml:space="preserve"> </w:t>
            </w:r>
            <w:r w:rsidR="00C06A7B">
              <w:rPr>
                <w:rFonts w:ascii="Calibri Light" w:hAnsi="Calibri Light"/>
                <w:b w:val="0"/>
              </w:rPr>
              <w:t xml:space="preserve">las partes </w:t>
            </w:r>
            <w:r w:rsidR="00FC7EF9" w:rsidRPr="00FC7EF9">
              <w:rPr>
                <w:rFonts w:ascii="Calibri Light" w:hAnsi="Calibri Light"/>
                <w:b w:val="0"/>
              </w:rPr>
              <w:t>no</w:t>
            </w:r>
            <w:r w:rsidR="00012E86">
              <w:rPr>
                <w:rFonts w:ascii="Calibri Light" w:hAnsi="Calibri Light"/>
                <w:b w:val="0"/>
              </w:rPr>
              <w:t xml:space="preserve"> </w:t>
            </w:r>
            <w:r w:rsidR="00FC7EF9" w:rsidRPr="00FC7EF9">
              <w:rPr>
                <w:rFonts w:ascii="Calibri Light" w:hAnsi="Calibri Light"/>
                <w:b w:val="0"/>
              </w:rPr>
              <w:t xml:space="preserve">hubiesen formulado </w:t>
            </w:r>
            <w:r w:rsidR="00C06A7B">
              <w:rPr>
                <w:rFonts w:ascii="Calibri Light" w:hAnsi="Calibri Light"/>
                <w:b w:val="0"/>
              </w:rPr>
              <w:t>actos, peticiones o diligencias para continuar la causa,</w:t>
            </w:r>
            <w:r w:rsidR="004A6AD9" w:rsidRPr="00FC7EF9">
              <w:rPr>
                <w:rFonts w:ascii="Calibri Light" w:hAnsi="Calibri Light"/>
                <w:b w:val="0"/>
              </w:rPr>
              <w:t xml:space="preserve"> </w:t>
            </w:r>
            <w:r w:rsidR="004A6AD9">
              <w:rPr>
                <w:rFonts w:ascii="Calibri Light" w:hAnsi="Calibri Light"/>
                <w:b w:val="0"/>
              </w:rPr>
              <w:t>dentro de seis meses</w:t>
            </w:r>
            <w:r w:rsidR="00C06A7B">
              <w:rPr>
                <w:rFonts w:ascii="Calibri Light" w:hAnsi="Calibri Light"/>
                <w:b w:val="0"/>
              </w:rPr>
              <w:t>.</w:t>
            </w:r>
          </w:p>
          <w:p w14:paraId="20E63D92" w14:textId="77777777" w:rsidR="009D7702" w:rsidRDefault="009D7702" w:rsidP="00FC7EF9">
            <w:pPr>
              <w:jc w:val="both"/>
              <w:rPr>
                <w:rFonts w:ascii="Calibri Light" w:hAnsi="Calibri Light"/>
                <w:b w:val="0"/>
              </w:rPr>
            </w:pPr>
          </w:p>
          <w:p w14:paraId="228D1D90" w14:textId="4297C4E9" w:rsidR="001340E4" w:rsidRDefault="005C7F1E" w:rsidP="006C490B">
            <w:pPr>
              <w:jc w:val="both"/>
              <w:rPr>
                <w:rFonts w:ascii="Calibri Light" w:hAnsi="Calibri Light"/>
                <w:b w:val="0"/>
              </w:rPr>
            </w:pPr>
            <w:r w:rsidRPr="00012E86">
              <w:rPr>
                <w:rFonts w:ascii="Calibri Light" w:hAnsi="Calibri Light"/>
                <w:b w:val="0"/>
              </w:rPr>
              <w:t xml:space="preserve">Frente a tales hechos, </w:t>
            </w:r>
            <w:r w:rsidR="00012E86">
              <w:rPr>
                <w:rFonts w:ascii="Calibri Light" w:hAnsi="Calibri Light"/>
                <w:b w:val="0"/>
              </w:rPr>
              <w:t xml:space="preserve">la señora </w:t>
            </w:r>
            <w:r w:rsidR="00012E86" w:rsidRPr="00012E86">
              <w:rPr>
                <w:rFonts w:ascii="Calibri Light" w:hAnsi="Calibri Light"/>
                <w:b w:val="0"/>
              </w:rPr>
              <w:t>Noguera presentó</w:t>
            </w:r>
            <w:r w:rsidR="001C5F86" w:rsidRPr="00012E86">
              <w:rPr>
                <w:rFonts w:ascii="Calibri Light" w:hAnsi="Calibri Light"/>
                <w:b w:val="0"/>
              </w:rPr>
              <w:t xml:space="preserve"> </w:t>
            </w:r>
            <w:r w:rsidR="00A3105E" w:rsidRPr="00012E86">
              <w:rPr>
                <w:rFonts w:ascii="Calibri Light" w:hAnsi="Calibri Light"/>
                <w:b w:val="0"/>
              </w:rPr>
              <w:t>una</w:t>
            </w:r>
            <w:r w:rsidRPr="00012E86">
              <w:rPr>
                <w:rFonts w:ascii="Calibri Light" w:hAnsi="Calibri Light"/>
                <w:b w:val="0"/>
              </w:rPr>
              <w:t xml:space="preserve"> petición ante la CIDH, denunciando que el Estado de </w:t>
            </w:r>
            <w:r w:rsidR="00012E86" w:rsidRPr="00012E86">
              <w:rPr>
                <w:rFonts w:ascii="Calibri Light" w:hAnsi="Calibri Light"/>
                <w:b w:val="0"/>
              </w:rPr>
              <w:t>Paraguay</w:t>
            </w:r>
            <w:r w:rsidRPr="00012E86">
              <w:rPr>
                <w:rFonts w:ascii="Calibri Light" w:hAnsi="Calibri Light"/>
                <w:b w:val="0"/>
              </w:rPr>
              <w:t xml:space="preserve"> había vulnerado </w:t>
            </w:r>
            <w:r w:rsidR="00D965D1">
              <w:rPr>
                <w:rFonts w:ascii="Calibri Light" w:hAnsi="Calibri Light"/>
                <w:b w:val="0"/>
              </w:rPr>
              <w:t xml:space="preserve">los derechos de su hijo </w:t>
            </w:r>
            <w:r w:rsidR="00012E86" w:rsidRPr="00012E86">
              <w:rPr>
                <w:rFonts w:ascii="Calibri Light" w:hAnsi="Calibri Light"/>
                <w:b w:val="0"/>
              </w:rPr>
              <w:t>a la vida, a la integridad personal, a las garantías judiciales, a los derechos del niño y a la protección judicial</w:t>
            </w:r>
            <w:r w:rsidR="00E525D1" w:rsidRPr="00012E86">
              <w:rPr>
                <w:rFonts w:ascii="Calibri Light" w:hAnsi="Calibri Light"/>
                <w:b w:val="0"/>
              </w:rPr>
              <w:t>,</w:t>
            </w:r>
            <w:r w:rsidR="00111A5A" w:rsidRPr="00012E86">
              <w:rPr>
                <w:rFonts w:ascii="Calibri Light" w:hAnsi="Calibri Light"/>
                <w:b w:val="0"/>
              </w:rPr>
              <w:t xml:space="preserve"> </w:t>
            </w:r>
            <w:r w:rsidRPr="00012E86">
              <w:rPr>
                <w:rFonts w:ascii="Calibri Light" w:hAnsi="Calibri Light"/>
                <w:b w:val="0"/>
              </w:rPr>
              <w:t>reconocidos en la Convención Americana sobre Derechos Humanos</w:t>
            </w:r>
            <w:r w:rsidR="00050512" w:rsidRPr="00012E86">
              <w:rPr>
                <w:rFonts w:ascii="Calibri Light" w:hAnsi="Calibri Light"/>
                <w:b w:val="0"/>
              </w:rPr>
              <w:t xml:space="preserve"> </w:t>
            </w:r>
            <w:r w:rsidRPr="00012E86">
              <w:rPr>
                <w:rFonts w:ascii="Calibri Light" w:hAnsi="Calibri Light"/>
                <w:b w:val="0"/>
              </w:rPr>
              <w:t>(en adelante, CADH).</w:t>
            </w:r>
          </w:p>
          <w:p w14:paraId="6543A68A" w14:textId="7626A2F4" w:rsidR="00D50F45" w:rsidRPr="004533E5" w:rsidRDefault="00D50F45" w:rsidP="006C490B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C2E50" w:rsidRPr="004533E5" w14:paraId="7B81A2F3" w14:textId="77777777" w:rsidTr="00A94E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B448BEC" w14:textId="77777777" w:rsidR="004C2E50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  <w:p w14:paraId="1FB8AB09" w14:textId="77777777" w:rsidR="004C2E50" w:rsidRDefault="004C2E50" w:rsidP="003E6A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Análisis jurídico</w:t>
            </w:r>
          </w:p>
          <w:p w14:paraId="158A739A" w14:textId="77777777" w:rsidR="004C2E50" w:rsidRPr="004533E5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C2E50" w:rsidRPr="004533E5" w14:paraId="71AB3B44" w14:textId="77777777" w:rsidTr="001A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C3AFF68" w14:textId="3A7CB0A1" w:rsidR="00FF34AE" w:rsidRDefault="00FF34AE" w:rsidP="00FF34AE">
            <w:pPr>
              <w:jc w:val="both"/>
              <w:rPr>
                <w:rFonts w:ascii="Calibri Light" w:hAnsi="Calibri Light"/>
                <w:b w:val="0"/>
              </w:rPr>
            </w:pPr>
          </w:p>
          <w:p w14:paraId="0E651C97" w14:textId="78A2559C" w:rsidR="00310836" w:rsidRPr="00C9116C" w:rsidRDefault="00C9116C" w:rsidP="00FF34AE">
            <w:pPr>
              <w:jc w:val="both"/>
              <w:rPr>
                <w:rFonts w:ascii="Calibri Light" w:hAnsi="Calibri Light"/>
              </w:rPr>
            </w:pPr>
            <w:r w:rsidRPr="00C9116C">
              <w:rPr>
                <w:rFonts w:ascii="Calibri Light" w:hAnsi="Calibri Light"/>
              </w:rPr>
              <w:t>Derecho a la vida, derecho a la integridad y derechos del niño (artículos 4, 5 y 19 de la CADH</w:t>
            </w:r>
            <w:r w:rsidR="00CD7158" w:rsidRPr="00C9116C">
              <w:rPr>
                <w:rFonts w:ascii="Calibri Light" w:hAnsi="Calibri Light"/>
              </w:rPr>
              <w:t>)</w:t>
            </w:r>
          </w:p>
          <w:p w14:paraId="5A5096F9" w14:textId="77777777" w:rsidR="00620BB4" w:rsidRPr="00AC1C41" w:rsidRDefault="00620BB4" w:rsidP="00142A41">
            <w:pPr>
              <w:jc w:val="both"/>
              <w:rPr>
                <w:rFonts w:ascii="Calibri Light" w:hAnsi="Calibri Light"/>
                <w:b w:val="0"/>
                <w:highlight w:val="yellow"/>
              </w:rPr>
            </w:pPr>
          </w:p>
          <w:p w14:paraId="38670926" w14:textId="1BA771A3" w:rsidR="0068614D" w:rsidRDefault="002E4FA0" w:rsidP="00354A82">
            <w:pPr>
              <w:jc w:val="both"/>
              <w:rPr>
                <w:rFonts w:ascii="Calibri Light" w:hAnsi="Calibri Light" w:cs="Calibri Light"/>
                <w:b w:val="0"/>
              </w:rPr>
            </w:pPr>
            <w:r w:rsidRPr="00173E0E">
              <w:rPr>
                <w:rFonts w:ascii="Calibri Light" w:hAnsi="Calibri Light" w:cs="Calibri Light"/>
                <w:b w:val="0"/>
              </w:rPr>
              <w:t xml:space="preserve">La </w:t>
            </w:r>
            <w:r w:rsidR="00012E86" w:rsidRPr="00173E0E">
              <w:rPr>
                <w:rFonts w:ascii="Calibri Light" w:hAnsi="Calibri Light" w:cs="Calibri Light"/>
                <w:b w:val="0"/>
              </w:rPr>
              <w:t>CIDH</w:t>
            </w:r>
            <w:r w:rsidR="00012E86">
              <w:rPr>
                <w:rFonts w:ascii="Calibri Light" w:hAnsi="Calibri Light" w:cs="Calibri Light"/>
                <w:b w:val="0"/>
              </w:rPr>
              <w:t xml:space="preserve"> </w:t>
            </w:r>
            <w:r w:rsidR="005579E1">
              <w:rPr>
                <w:rFonts w:ascii="Calibri Light" w:hAnsi="Calibri Light" w:cs="Calibri Light"/>
                <w:b w:val="0"/>
              </w:rPr>
              <w:t>reiteró</w:t>
            </w:r>
            <w:r w:rsidR="00012E86">
              <w:rPr>
                <w:rFonts w:ascii="Calibri Light" w:hAnsi="Calibri Light" w:cs="Calibri Light"/>
                <w:b w:val="0"/>
              </w:rPr>
              <w:t xml:space="preserve"> que el </w:t>
            </w:r>
            <w:r w:rsidR="00012E86" w:rsidRPr="00951CBD">
              <w:rPr>
                <w:rFonts w:ascii="Calibri Light" w:hAnsi="Calibri Light" w:cs="Calibri Light"/>
                <w:b w:val="0"/>
              </w:rPr>
              <w:t xml:space="preserve">derecho a la vida </w:t>
            </w:r>
            <w:r w:rsidR="00BF147B">
              <w:rPr>
                <w:rFonts w:ascii="Calibri Light" w:hAnsi="Calibri Light" w:cs="Calibri Light"/>
                <w:b w:val="0"/>
              </w:rPr>
              <w:t>p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resupone que ninguna persona sea privada </w:t>
            </w:r>
            <w:r w:rsidR="00BF147B" w:rsidRPr="00951CBD">
              <w:rPr>
                <w:rFonts w:ascii="Calibri Light" w:hAnsi="Calibri Light" w:cs="Calibri Light"/>
                <w:b w:val="0"/>
              </w:rPr>
              <w:t xml:space="preserve">arbitrariamente 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de </w:t>
            </w:r>
            <w:r w:rsidR="000F1515">
              <w:rPr>
                <w:rFonts w:ascii="Calibri Light" w:hAnsi="Calibri Light" w:cs="Calibri Light"/>
                <w:b w:val="0"/>
              </w:rPr>
              <w:t>ella</w:t>
            </w:r>
            <w:r w:rsidR="00BF147B">
              <w:rPr>
                <w:rFonts w:ascii="Calibri Light" w:hAnsi="Calibri Light" w:cs="Calibri Light"/>
                <w:b w:val="0"/>
              </w:rPr>
              <w:t xml:space="preserve"> y que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 los Estados tomen todas las medidas apropiadas para proteger</w:t>
            </w:r>
            <w:r w:rsidR="001705B4" w:rsidRPr="00951CBD">
              <w:rPr>
                <w:rFonts w:ascii="Calibri Light" w:hAnsi="Calibri Light" w:cs="Calibri Light"/>
                <w:b w:val="0"/>
              </w:rPr>
              <w:t>la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 y preservar</w:t>
            </w:r>
            <w:r w:rsidR="001705B4" w:rsidRPr="00951CBD">
              <w:rPr>
                <w:rFonts w:ascii="Calibri Light" w:hAnsi="Calibri Light" w:cs="Calibri Light"/>
                <w:b w:val="0"/>
              </w:rPr>
              <w:t>la</w:t>
            </w:r>
            <w:r w:rsidR="00187E1A">
              <w:rPr>
                <w:rFonts w:ascii="Calibri Light" w:hAnsi="Calibri Light" w:cs="Calibri Light"/>
                <w:b w:val="0"/>
              </w:rPr>
              <w:t xml:space="preserve">. 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En </w:t>
            </w:r>
            <w:r w:rsidR="005579E1">
              <w:rPr>
                <w:rFonts w:ascii="Calibri Light" w:hAnsi="Calibri Light" w:cs="Calibri Light"/>
                <w:b w:val="0"/>
              </w:rPr>
              <w:t xml:space="preserve">el </w:t>
            </w:r>
            <w:r w:rsidR="00BF147B" w:rsidRPr="00951CBD">
              <w:rPr>
                <w:rFonts w:ascii="Calibri Light" w:hAnsi="Calibri Light" w:cs="Calibri Light"/>
                <w:b w:val="0"/>
              </w:rPr>
              <w:t xml:space="preserve">caso </w:t>
            </w:r>
            <w:r w:rsidR="005579E1">
              <w:rPr>
                <w:rFonts w:ascii="Calibri Light" w:hAnsi="Calibri Light" w:cs="Calibri Light"/>
                <w:b w:val="0"/>
              </w:rPr>
              <w:t>de</w:t>
            </w:r>
            <w:r w:rsidR="00BF147B" w:rsidRPr="00951CBD">
              <w:rPr>
                <w:rFonts w:ascii="Calibri Light" w:hAnsi="Calibri Light" w:cs="Calibri Light"/>
                <w:b w:val="0"/>
              </w:rPr>
              <w:t xml:space="preserve"> niños bajo custodia </w:t>
            </w:r>
            <w:r w:rsidR="00AB712E">
              <w:rPr>
                <w:rFonts w:ascii="Calibri Light" w:hAnsi="Calibri Light" w:cs="Calibri Light"/>
                <w:b w:val="0"/>
              </w:rPr>
              <w:t xml:space="preserve">del Estado </w:t>
            </w:r>
            <w:r w:rsidR="00BF147B" w:rsidRPr="00951CBD">
              <w:rPr>
                <w:rFonts w:ascii="Calibri Light" w:hAnsi="Calibri Light" w:cs="Calibri Light"/>
                <w:b w:val="0"/>
              </w:rPr>
              <w:t>por privación</w:t>
            </w:r>
            <w:r w:rsidR="00BF147B" w:rsidRPr="00173E0E">
              <w:rPr>
                <w:rFonts w:ascii="Calibri Light" w:hAnsi="Calibri Light" w:cs="Calibri Light"/>
                <w:b w:val="0"/>
              </w:rPr>
              <w:t xml:space="preserve"> de libertad</w:t>
            </w:r>
            <w:r w:rsidR="00BF147B">
              <w:rPr>
                <w:rFonts w:ascii="Calibri Light" w:hAnsi="Calibri Light" w:cs="Calibri Light"/>
                <w:b w:val="0"/>
              </w:rPr>
              <w:t xml:space="preserve"> o por</w:t>
            </w:r>
            <w:r w:rsidR="00BF147B" w:rsidRPr="00365E2F">
              <w:rPr>
                <w:rFonts w:ascii="Calibri Light" w:hAnsi="Calibri Light" w:cs="Calibri Light"/>
                <w:b w:val="0"/>
              </w:rPr>
              <w:t xml:space="preserve"> servicio militar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, </w:t>
            </w:r>
            <w:r w:rsidR="00BF147B">
              <w:rPr>
                <w:rFonts w:ascii="Calibri Light" w:hAnsi="Calibri Light" w:cs="Calibri Light"/>
                <w:b w:val="0"/>
              </w:rPr>
              <w:t>l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a Corte IDH </w:t>
            </w:r>
            <w:r w:rsidR="001705B4" w:rsidRPr="00951CBD">
              <w:rPr>
                <w:rFonts w:ascii="Calibri Light" w:hAnsi="Calibri Light" w:cs="Calibri Light"/>
                <w:b w:val="0"/>
              </w:rPr>
              <w:t xml:space="preserve">ha </w:t>
            </w:r>
            <w:r w:rsidR="000F1515">
              <w:rPr>
                <w:rFonts w:ascii="Calibri Light" w:hAnsi="Calibri Light" w:cs="Calibri Light"/>
                <w:b w:val="0"/>
              </w:rPr>
              <w:t>indicado</w:t>
            </w:r>
            <w:r w:rsidR="00173E0E" w:rsidRPr="00951CBD">
              <w:rPr>
                <w:rFonts w:ascii="Calibri Light" w:hAnsi="Calibri Light" w:cs="Calibri Light"/>
                <w:b w:val="0"/>
              </w:rPr>
              <w:t xml:space="preserve"> </w:t>
            </w:r>
            <w:r w:rsidR="00BF147B">
              <w:rPr>
                <w:rFonts w:ascii="Calibri Light" w:hAnsi="Calibri Light" w:cs="Calibri Light"/>
                <w:b w:val="0"/>
              </w:rPr>
              <w:t xml:space="preserve">que </w:t>
            </w:r>
            <w:r w:rsidR="005579E1">
              <w:rPr>
                <w:rFonts w:ascii="Calibri Light" w:hAnsi="Calibri Light" w:cs="Calibri Light"/>
                <w:b w:val="0"/>
              </w:rPr>
              <w:t>este</w:t>
            </w:r>
            <w:r w:rsidR="00173E0E" w:rsidRPr="00173E0E">
              <w:rPr>
                <w:rFonts w:ascii="Calibri Light" w:hAnsi="Calibri Light" w:cs="Calibri Light"/>
                <w:b w:val="0"/>
              </w:rPr>
              <w:t xml:space="preserve"> debe asumir una posición especial de garante</w:t>
            </w:r>
            <w:r w:rsidR="00173E0E">
              <w:rPr>
                <w:rFonts w:ascii="Calibri Light" w:hAnsi="Calibri Light" w:cs="Calibri Light"/>
                <w:b w:val="0"/>
              </w:rPr>
              <w:t xml:space="preserve"> </w:t>
            </w:r>
            <w:r w:rsidR="00173E0E" w:rsidRPr="00173E0E">
              <w:rPr>
                <w:rFonts w:ascii="Calibri Light" w:hAnsi="Calibri Light" w:cs="Calibri Light"/>
                <w:b w:val="0"/>
              </w:rPr>
              <w:t xml:space="preserve">con mayor cuidado y responsabilidad, y tomar medidas especiales orientadas </w:t>
            </w:r>
            <w:r w:rsidR="0055723A">
              <w:rPr>
                <w:rFonts w:ascii="Calibri Light" w:hAnsi="Calibri Light" w:cs="Calibri Light"/>
                <w:b w:val="0"/>
              </w:rPr>
              <w:t>al</w:t>
            </w:r>
            <w:r w:rsidR="00173E0E" w:rsidRPr="00173E0E">
              <w:rPr>
                <w:rFonts w:ascii="Calibri Light" w:hAnsi="Calibri Light" w:cs="Calibri Light"/>
                <w:b w:val="0"/>
              </w:rPr>
              <w:t xml:space="preserve"> interés</w:t>
            </w:r>
            <w:r w:rsidR="00173E0E">
              <w:rPr>
                <w:rFonts w:ascii="Calibri Light" w:hAnsi="Calibri Light" w:cs="Calibri Light"/>
                <w:b w:val="0"/>
              </w:rPr>
              <w:t xml:space="preserve"> </w:t>
            </w:r>
            <w:r w:rsidR="001705B4">
              <w:rPr>
                <w:rFonts w:ascii="Calibri Light" w:hAnsi="Calibri Light" w:cs="Calibri Light"/>
                <w:b w:val="0"/>
              </w:rPr>
              <w:t>superior del niño.</w:t>
            </w:r>
            <w:r w:rsidR="0068614D">
              <w:rPr>
                <w:rFonts w:ascii="Calibri Light" w:hAnsi="Calibri Light" w:cs="Calibri Light"/>
                <w:b w:val="0"/>
              </w:rPr>
              <w:t xml:space="preserve"> En esa línea, </w:t>
            </w:r>
            <w:r w:rsidR="0068614D" w:rsidRPr="0068614D">
              <w:rPr>
                <w:rFonts w:ascii="Calibri Light" w:hAnsi="Calibri Light" w:cs="Calibri Light"/>
                <w:b w:val="0"/>
              </w:rPr>
              <w:t>tiene un deber particular de</w:t>
            </w:r>
            <w:r w:rsidR="0068614D">
              <w:rPr>
                <w:rFonts w:ascii="Calibri Light" w:hAnsi="Calibri Light" w:cs="Calibri Light"/>
                <w:b w:val="0"/>
              </w:rPr>
              <w:t xml:space="preserve"> </w:t>
            </w:r>
            <w:r w:rsidR="0068614D" w:rsidRPr="0068614D">
              <w:rPr>
                <w:rFonts w:ascii="Calibri Light" w:hAnsi="Calibri Light" w:cs="Calibri Light"/>
                <w:b w:val="0"/>
              </w:rPr>
              <w:t>salvaguardar la vida e integridad de los reclutas militares</w:t>
            </w:r>
            <w:r w:rsidR="0068614D">
              <w:rPr>
                <w:rFonts w:ascii="Calibri Light" w:hAnsi="Calibri Light" w:cs="Calibri Light"/>
                <w:b w:val="0"/>
              </w:rPr>
              <w:t>.</w:t>
            </w:r>
            <w:r w:rsidR="00093CB8">
              <w:rPr>
                <w:rFonts w:ascii="Calibri Light" w:hAnsi="Calibri Light" w:cs="Calibri Light"/>
                <w:b w:val="0"/>
              </w:rPr>
              <w:t xml:space="preserve"> L</w:t>
            </w:r>
            <w:r w:rsidR="001705B4">
              <w:rPr>
                <w:rFonts w:ascii="Calibri Light" w:hAnsi="Calibri Light" w:cs="Calibri Light"/>
                <w:b w:val="0"/>
              </w:rPr>
              <w:t>as o</w:t>
            </w:r>
            <w:r w:rsidR="00354A82">
              <w:rPr>
                <w:rFonts w:ascii="Calibri Light" w:hAnsi="Calibri Light" w:cs="Calibri Light"/>
                <w:b w:val="0"/>
              </w:rPr>
              <w:t>bligaciones estatales frente a</w:t>
            </w:r>
            <w:r w:rsidR="00187E1A">
              <w:rPr>
                <w:rFonts w:ascii="Calibri Light" w:hAnsi="Calibri Light" w:cs="Calibri Light"/>
                <w:b w:val="0"/>
              </w:rPr>
              <w:t xml:space="preserve"> </w:t>
            </w:r>
            <w:r w:rsidR="00BF147B">
              <w:rPr>
                <w:rFonts w:ascii="Calibri Light" w:hAnsi="Calibri Light" w:cs="Calibri Light"/>
                <w:b w:val="0"/>
              </w:rPr>
              <w:t>ellos</w:t>
            </w:r>
            <w:r w:rsidR="00354A82" w:rsidRPr="001705B4">
              <w:rPr>
                <w:rFonts w:ascii="Calibri Light" w:hAnsi="Calibri Light" w:cs="Calibri Light"/>
                <w:b w:val="0"/>
              </w:rPr>
              <w:t xml:space="preserve"> </w:t>
            </w:r>
            <w:r w:rsidR="00093CB8">
              <w:rPr>
                <w:rFonts w:ascii="Calibri Light" w:hAnsi="Calibri Light" w:cs="Calibri Light"/>
                <w:b w:val="0"/>
              </w:rPr>
              <w:t>son</w:t>
            </w:r>
            <w:r w:rsidR="00354A82">
              <w:rPr>
                <w:rFonts w:ascii="Calibri Light" w:hAnsi="Calibri Light" w:cs="Calibri Light"/>
                <w:b w:val="0"/>
              </w:rPr>
              <w:t>: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 i) salvaguardar la salud y bienestar de </w:t>
            </w:r>
            <w:r w:rsidR="00AB712E">
              <w:rPr>
                <w:rFonts w:ascii="Calibri Light" w:hAnsi="Calibri Light" w:cs="Calibri Light"/>
                <w:b w:val="0"/>
              </w:rPr>
              <w:t xml:space="preserve">los </w:t>
            </w:r>
            <w:r w:rsidR="00354A82" w:rsidRPr="00354A82">
              <w:rPr>
                <w:rFonts w:ascii="Calibri Light" w:hAnsi="Calibri Light" w:cs="Calibri Light"/>
                <w:b w:val="0"/>
              </w:rPr>
              <w:t>militares en</w:t>
            </w:r>
            <w:r w:rsid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servicio activo; ii) garantizar que </w:t>
            </w:r>
            <w:r w:rsidR="001705B4">
              <w:rPr>
                <w:rFonts w:ascii="Calibri Light" w:hAnsi="Calibri Light" w:cs="Calibri Light"/>
                <w:b w:val="0"/>
              </w:rPr>
              <w:t>el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 entrenamiento no exceda el</w:t>
            </w:r>
            <w:r w:rsid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nivel </w:t>
            </w:r>
            <w:r w:rsidR="00AB712E" w:rsidRPr="00354A82">
              <w:rPr>
                <w:rFonts w:ascii="Calibri Light" w:hAnsi="Calibri Light" w:cs="Calibri Light"/>
                <w:b w:val="0"/>
              </w:rPr>
              <w:t xml:space="preserve">inherente </w:t>
            </w:r>
            <w:r w:rsidR="00354A82" w:rsidRPr="00354A82">
              <w:rPr>
                <w:rFonts w:ascii="Calibri Light" w:hAnsi="Calibri Light" w:cs="Calibri Light"/>
                <w:b w:val="0"/>
              </w:rPr>
              <w:t>de sufrimiento a esa condición</w:t>
            </w:r>
            <w:r w:rsidR="00354A82">
              <w:rPr>
                <w:rFonts w:ascii="Calibri Light" w:hAnsi="Calibri Light" w:cs="Calibri Light"/>
                <w:b w:val="0"/>
              </w:rPr>
              <w:t xml:space="preserve">, y iii) </w:t>
            </w:r>
            <w:r w:rsidR="00354A82" w:rsidRPr="00354A82">
              <w:rPr>
                <w:rFonts w:ascii="Calibri Light" w:hAnsi="Calibri Light" w:cs="Calibri Light"/>
                <w:b w:val="0"/>
              </w:rPr>
              <w:t>proveer una explicación</w:t>
            </w:r>
            <w:r w:rsid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satisfactoria y convincente sobre afectaciones a </w:t>
            </w:r>
            <w:r w:rsidR="00AB712E">
              <w:rPr>
                <w:rFonts w:ascii="Calibri Light" w:hAnsi="Calibri Light" w:cs="Calibri Light"/>
                <w:b w:val="0"/>
              </w:rPr>
              <w:t xml:space="preserve">su </w:t>
            </w:r>
            <w:r w:rsidR="00354A82" w:rsidRPr="00354A82">
              <w:rPr>
                <w:rFonts w:ascii="Calibri Light" w:hAnsi="Calibri Light" w:cs="Calibri Light"/>
                <w:b w:val="0"/>
              </w:rPr>
              <w:t>salud y vida</w:t>
            </w:r>
            <w:r w:rsidR="00354A82">
              <w:rPr>
                <w:rFonts w:ascii="Calibri Light" w:hAnsi="Calibri Light" w:cs="Calibri Light"/>
                <w:b w:val="0"/>
              </w:rPr>
              <w:t>.</w:t>
            </w:r>
            <w:r w:rsidR="008E3DCB">
              <w:rPr>
                <w:rFonts w:ascii="Calibri Light" w:hAnsi="Calibri Light" w:cs="Calibri Light"/>
                <w:b w:val="0"/>
              </w:rPr>
              <w:t xml:space="preserve"> Además, en situaciones de especial vulnerabilidad, el Estado tiene un deber de debida diligencia reforzado en el marco de las investigaciones cuando hay afectaciones a derechos.</w:t>
            </w:r>
            <w:r w:rsid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354A82" w:rsidRPr="00354A82">
              <w:rPr>
                <w:rFonts w:ascii="Calibri Light" w:hAnsi="Calibri Light" w:cs="Calibri Light"/>
                <w:b w:val="0"/>
              </w:rPr>
              <w:t>En consecuencia</w:t>
            </w:r>
            <w:r w:rsidR="001705B4">
              <w:rPr>
                <w:rFonts w:ascii="Calibri Light" w:hAnsi="Calibri Light" w:cs="Calibri Light"/>
                <w:b w:val="0"/>
              </w:rPr>
              <w:t>,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4E0007">
              <w:rPr>
                <w:rFonts w:ascii="Calibri Light" w:hAnsi="Calibri Light" w:cs="Calibri Light"/>
                <w:b w:val="0"/>
              </w:rPr>
              <w:t>se presume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 responsable</w:t>
            </w:r>
            <w:r w:rsidR="00354A82">
              <w:rPr>
                <w:rFonts w:ascii="Calibri Light" w:hAnsi="Calibri Light" w:cs="Calibri Light"/>
                <w:b w:val="0"/>
              </w:rPr>
              <w:t xml:space="preserve"> </w:t>
            </w:r>
            <w:r w:rsidR="00354A82" w:rsidRPr="00354A82">
              <w:rPr>
                <w:rFonts w:ascii="Calibri Light" w:hAnsi="Calibri Light" w:cs="Calibri Light"/>
                <w:b w:val="0"/>
              </w:rPr>
              <w:t xml:space="preserve">al Estado por las afectaciones a la integridad personal y a la vida </w:t>
            </w:r>
            <w:r w:rsidR="000F1515">
              <w:rPr>
                <w:rFonts w:ascii="Calibri Light" w:hAnsi="Calibri Light" w:cs="Calibri Light"/>
                <w:b w:val="0"/>
              </w:rPr>
              <w:t>en estos casos</w:t>
            </w:r>
            <w:r w:rsidR="00354A82">
              <w:rPr>
                <w:rFonts w:ascii="Calibri Light" w:hAnsi="Calibri Light" w:cs="Calibri Light"/>
                <w:b w:val="0"/>
              </w:rPr>
              <w:t>.</w:t>
            </w:r>
            <w:r w:rsidR="00BF147B">
              <w:rPr>
                <w:rFonts w:ascii="Calibri Light" w:hAnsi="Calibri Light" w:cs="Calibri Light"/>
                <w:b w:val="0"/>
              </w:rPr>
              <w:t xml:space="preserve"> </w:t>
            </w:r>
          </w:p>
          <w:p w14:paraId="0A22239E" w14:textId="77777777" w:rsidR="00365E2F" w:rsidRDefault="00365E2F" w:rsidP="00365E2F">
            <w:pPr>
              <w:jc w:val="both"/>
              <w:rPr>
                <w:rFonts w:ascii="Calibri Light" w:hAnsi="Calibri Light" w:cs="Calibri Light"/>
                <w:b w:val="0"/>
              </w:rPr>
            </w:pPr>
          </w:p>
          <w:p w14:paraId="3D41B1C4" w14:textId="685522BE" w:rsidR="00A62115" w:rsidRPr="0068614D" w:rsidRDefault="00C84B05" w:rsidP="0068614D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 xml:space="preserve">En el presente caso, la CIDH observó que el Estado </w:t>
            </w:r>
            <w:r w:rsidR="00AB712E">
              <w:rPr>
                <w:rFonts w:ascii="Calibri Light" w:hAnsi="Calibri Light" w:cs="Calibri Light"/>
                <w:b w:val="0"/>
              </w:rPr>
              <w:t>brindó</w:t>
            </w:r>
            <w:r>
              <w:rPr>
                <w:rFonts w:ascii="Calibri Light" w:hAnsi="Calibri Light" w:cs="Calibri Light"/>
                <w:b w:val="0"/>
              </w:rPr>
              <w:t xml:space="preserve"> una </w:t>
            </w:r>
            <w:r w:rsidR="00350260" w:rsidRPr="00350260">
              <w:rPr>
                <w:rFonts w:ascii="Calibri Light" w:hAnsi="Calibri Light" w:cs="Calibri Light"/>
                <w:b w:val="0"/>
              </w:rPr>
              <w:t>explicación insuficiente basada</w:t>
            </w:r>
            <w:r w:rsidR="008E3DCB">
              <w:rPr>
                <w:rFonts w:ascii="Calibri Light" w:hAnsi="Calibri Light" w:cs="Calibri Light"/>
                <w:b w:val="0"/>
              </w:rPr>
              <w:t xml:space="preserve"> únicamente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en informes de</w:t>
            </w:r>
            <w:r w:rsidR="00350260">
              <w:rPr>
                <w:rFonts w:ascii="Calibri Light" w:hAnsi="Calibri Light" w:cs="Calibri Light"/>
                <w:b w:val="0"/>
              </w:rPr>
              <w:t xml:space="preserve"> </w:t>
            </w:r>
            <w:r w:rsidR="00350260" w:rsidRPr="00350260">
              <w:rPr>
                <w:rFonts w:ascii="Calibri Light" w:hAnsi="Calibri Light" w:cs="Calibri Light"/>
                <w:b w:val="0"/>
              </w:rPr>
              <w:t>autopsia</w:t>
            </w:r>
            <w:r w:rsidR="008E3DCB">
              <w:rPr>
                <w:rFonts w:ascii="Calibri Light" w:hAnsi="Calibri Light" w:cs="Calibri Light"/>
                <w:b w:val="0"/>
              </w:rPr>
              <w:t xml:space="preserve">, sin haberse </w:t>
            </w:r>
            <w:r w:rsidR="00643A52">
              <w:rPr>
                <w:rFonts w:ascii="Calibri Light" w:hAnsi="Calibri Light" w:cs="Calibri Light"/>
                <w:b w:val="0"/>
              </w:rPr>
              <w:t>esclarecido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las</w:t>
            </w:r>
            <w:r w:rsidR="00350260">
              <w:rPr>
                <w:rFonts w:ascii="Calibri Light" w:hAnsi="Calibri Light" w:cs="Calibri Light"/>
                <w:b w:val="0"/>
              </w:rPr>
              <w:t xml:space="preserve"> </w:t>
            </w:r>
            <w:r>
              <w:rPr>
                <w:rFonts w:ascii="Calibri Light" w:hAnsi="Calibri Light" w:cs="Calibri Light"/>
                <w:b w:val="0"/>
              </w:rPr>
              <w:t xml:space="preserve">circunstancias </w:t>
            </w:r>
            <w:r w:rsidR="008E3DCB">
              <w:rPr>
                <w:rFonts w:ascii="Calibri Light" w:hAnsi="Calibri Light" w:cs="Calibri Light"/>
                <w:b w:val="0"/>
              </w:rPr>
              <w:t xml:space="preserve">de modo, tiempo y lugar </w:t>
            </w:r>
            <w:r>
              <w:rPr>
                <w:rFonts w:ascii="Calibri Light" w:hAnsi="Calibri Light" w:cs="Calibri Light"/>
                <w:b w:val="0"/>
              </w:rPr>
              <w:t xml:space="preserve">de la muerte del niño </w:t>
            </w:r>
            <w:r w:rsidR="00350260" w:rsidRPr="00350260">
              <w:rPr>
                <w:rFonts w:ascii="Calibri Light" w:hAnsi="Calibri Light" w:cs="Calibri Light"/>
                <w:b w:val="0"/>
              </w:rPr>
              <w:t>Noguera.</w:t>
            </w:r>
            <w:r w:rsidR="00350260">
              <w:rPr>
                <w:rFonts w:ascii="Calibri Light" w:hAnsi="Calibri Light" w:cs="Calibri Light"/>
                <w:b w:val="0"/>
              </w:rPr>
              <w:t xml:space="preserve"> </w:t>
            </w:r>
            <w:r w:rsidR="000F1515">
              <w:rPr>
                <w:rFonts w:ascii="Calibri Light" w:hAnsi="Calibri Light" w:cs="Calibri Light"/>
                <w:b w:val="0"/>
              </w:rPr>
              <w:t xml:space="preserve">Esta insuficiencia </w:t>
            </w:r>
            <w:r w:rsidR="005579E1">
              <w:rPr>
                <w:rFonts w:ascii="Calibri Light" w:hAnsi="Calibri Light" w:cs="Calibri Light"/>
                <w:b w:val="0"/>
              </w:rPr>
              <w:t>hizo que la muerte del niño Noguera</w:t>
            </w:r>
            <w:r w:rsidR="000F1515">
              <w:rPr>
                <w:rFonts w:ascii="Calibri Light" w:hAnsi="Calibri Light" w:cs="Calibri Light"/>
                <w:b w:val="0"/>
              </w:rPr>
              <w:t xml:space="preserve"> le resulte atribuible. </w:t>
            </w:r>
            <w:r w:rsidR="00187E1A">
              <w:rPr>
                <w:rFonts w:ascii="Calibri Light" w:hAnsi="Calibri Light" w:cs="Calibri Light"/>
                <w:b w:val="0"/>
              </w:rPr>
              <w:t>También</w:t>
            </w:r>
            <w:r>
              <w:rPr>
                <w:rFonts w:ascii="Calibri Light" w:hAnsi="Calibri Light" w:cs="Calibri Light"/>
                <w:b w:val="0"/>
              </w:rPr>
              <w:t xml:space="preserve"> notó 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otros indicios </w:t>
            </w:r>
            <w:r w:rsidR="000F1515">
              <w:rPr>
                <w:rFonts w:ascii="Calibri Light" w:hAnsi="Calibri Light" w:cs="Calibri Light"/>
                <w:b w:val="0"/>
              </w:rPr>
              <w:t>de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la</w:t>
            </w:r>
            <w:r w:rsidR="00350260">
              <w:rPr>
                <w:rFonts w:ascii="Calibri Light" w:hAnsi="Calibri Light" w:cs="Calibri Light"/>
                <w:b w:val="0"/>
              </w:rPr>
              <w:t xml:space="preserve"> 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responsabilidad </w:t>
            </w:r>
            <w:r w:rsidR="00187E1A">
              <w:rPr>
                <w:rFonts w:ascii="Calibri Light" w:hAnsi="Calibri Light" w:cs="Calibri Light"/>
                <w:b w:val="0"/>
              </w:rPr>
              <w:t>estatal</w:t>
            </w:r>
            <w:r w:rsidR="005B011C">
              <w:rPr>
                <w:rFonts w:ascii="Calibri Light" w:hAnsi="Calibri Light" w:cs="Calibri Light"/>
                <w:b w:val="0"/>
              </w:rPr>
              <w:t xml:space="preserve"> </w:t>
            </w:r>
            <w:r w:rsidR="00093CB8">
              <w:rPr>
                <w:rFonts w:ascii="Calibri Light" w:hAnsi="Calibri Light" w:cs="Calibri Light"/>
                <w:b w:val="0"/>
              </w:rPr>
              <w:t>en razón de</w:t>
            </w:r>
            <w:r w:rsidR="005B011C">
              <w:rPr>
                <w:rFonts w:ascii="Calibri Light" w:hAnsi="Calibri Light" w:cs="Calibri Light"/>
                <w:b w:val="0"/>
              </w:rPr>
              <w:t xml:space="preserve"> su deber de diligencia reforzado</w:t>
            </w:r>
            <w:r w:rsidR="00350260">
              <w:rPr>
                <w:rFonts w:ascii="Calibri Light" w:hAnsi="Calibri Light" w:cs="Calibri Light"/>
                <w:b w:val="0"/>
              </w:rPr>
              <w:t xml:space="preserve">. Primero, </w:t>
            </w:r>
            <w:r w:rsidR="00350260" w:rsidRPr="00350260">
              <w:rPr>
                <w:rFonts w:ascii="Calibri Light" w:hAnsi="Calibri Light" w:cs="Calibri Light"/>
                <w:b w:val="0"/>
              </w:rPr>
              <w:t>existía un</w:t>
            </w:r>
            <w:r w:rsidR="00350260">
              <w:rPr>
                <w:rFonts w:ascii="Calibri Light" w:hAnsi="Calibri Light" w:cs="Calibri Light"/>
                <w:b w:val="0"/>
              </w:rPr>
              <w:t xml:space="preserve"> 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contexto de afectaciones a la vida e integridad de </w:t>
            </w:r>
            <w:r w:rsidR="000F1515">
              <w:rPr>
                <w:rFonts w:ascii="Calibri Light" w:hAnsi="Calibri Light" w:cs="Calibri Light"/>
                <w:b w:val="0"/>
              </w:rPr>
              <w:t>quienes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prestaban el servicio militar</w:t>
            </w:r>
            <w:r>
              <w:rPr>
                <w:rFonts w:ascii="Calibri Light" w:hAnsi="Calibri Light" w:cs="Calibri Light"/>
                <w:b w:val="0"/>
              </w:rPr>
              <w:t xml:space="preserve"> y, </w:t>
            </w:r>
            <w:r w:rsidR="00187E1A">
              <w:rPr>
                <w:rFonts w:ascii="Calibri Light" w:hAnsi="Calibri Light" w:cs="Calibri Light"/>
                <w:b w:val="0"/>
              </w:rPr>
              <w:t>por ende</w:t>
            </w:r>
            <w:r>
              <w:rPr>
                <w:rFonts w:ascii="Calibri Light" w:hAnsi="Calibri Light" w:cs="Calibri Light"/>
                <w:b w:val="0"/>
              </w:rPr>
              <w:t xml:space="preserve">, </w:t>
            </w:r>
            <w:r w:rsidR="005579E1">
              <w:rPr>
                <w:rFonts w:ascii="Calibri Light" w:hAnsi="Calibri Light" w:cs="Calibri Light"/>
                <w:b w:val="0"/>
              </w:rPr>
              <w:t xml:space="preserve">la 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muerte </w:t>
            </w:r>
            <w:r w:rsidR="005579E1">
              <w:rPr>
                <w:rFonts w:ascii="Calibri Light" w:hAnsi="Calibri Light" w:cs="Calibri Light"/>
                <w:b w:val="0"/>
              </w:rPr>
              <w:t xml:space="preserve">del menor </w:t>
            </w:r>
            <w:r w:rsidR="00350260" w:rsidRPr="00350260">
              <w:rPr>
                <w:rFonts w:ascii="Calibri Light" w:hAnsi="Calibri Light" w:cs="Calibri Light"/>
                <w:b w:val="0"/>
              </w:rPr>
              <w:t>no p</w:t>
            </w:r>
            <w:r w:rsidR="005579E1">
              <w:rPr>
                <w:rFonts w:ascii="Calibri Light" w:hAnsi="Calibri Light" w:cs="Calibri Light"/>
                <w:b w:val="0"/>
              </w:rPr>
              <w:t>odía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ser considerad</w:t>
            </w:r>
            <w:r w:rsidR="005B011C">
              <w:rPr>
                <w:rFonts w:ascii="Calibri Light" w:hAnsi="Calibri Light" w:cs="Calibri Light"/>
                <w:b w:val="0"/>
              </w:rPr>
              <w:t>a</w:t>
            </w:r>
            <w:r w:rsidR="00350260" w:rsidRPr="00350260">
              <w:rPr>
                <w:rFonts w:ascii="Calibri Light" w:hAnsi="Calibri Light" w:cs="Calibri Light"/>
                <w:b w:val="0"/>
              </w:rPr>
              <w:t xml:space="preserve"> </w:t>
            </w:r>
            <w:r w:rsidR="005579E1">
              <w:rPr>
                <w:rFonts w:ascii="Calibri Light" w:hAnsi="Calibri Light" w:cs="Calibri Light"/>
                <w:b w:val="0"/>
              </w:rPr>
              <w:t xml:space="preserve">de manera </w:t>
            </w:r>
            <w:r w:rsidR="005B011C">
              <w:rPr>
                <w:rFonts w:ascii="Calibri Light" w:hAnsi="Calibri Light" w:cs="Calibri Light"/>
                <w:b w:val="0"/>
              </w:rPr>
              <w:t>aislad</w:t>
            </w:r>
            <w:r w:rsidR="00187E1A">
              <w:rPr>
                <w:rFonts w:ascii="Calibri Light" w:hAnsi="Calibri Light" w:cs="Calibri Light"/>
                <w:b w:val="0"/>
              </w:rPr>
              <w:t>a</w:t>
            </w:r>
            <w:r w:rsidR="005B011C">
              <w:rPr>
                <w:rFonts w:ascii="Calibri Light" w:hAnsi="Calibri Light" w:cs="Calibri Light"/>
                <w:b w:val="0"/>
              </w:rPr>
              <w:t>.</w:t>
            </w:r>
            <w:r w:rsidR="00A62115">
              <w:rPr>
                <w:rFonts w:ascii="Calibri Light" w:hAnsi="Calibri Light" w:cs="Calibri Light"/>
                <w:b w:val="0"/>
              </w:rPr>
              <w:t xml:space="preserve"> Segundo, </w:t>
            </w:r>
            <w:r w:rsidR="00A62115" w:rsidRPr="00A62115">
              <w:rPr>
                <w:rFonts w:ascii="Calibri Light" w:hAnsi="Calibri Light" w:cs="Calibri Light"/>
                <w:b w:val="0"/>
              </w:rPr>
              <w:t>la presunta víctima gozaba de buena salud</w:t>
            </w:r>
            <w:r>
              <w:rPr>
                <w:rFonts w:ascii="Calibri Light" w:hAnsi="Calibri Light" w:cs="Calibri Light"/>
                <w:b w:val="0"/>
              </w:rPr>
              <w:t xml:space="preserve"> y </w:t>
            </w:r>
            <w:r w:rsidR="008E3DCB">
              <w:rPr>
                <w:rFonts w:ascii="Calibri Light" w:hAnsi="Calibri Light" w:cs="Calibri Light"/>
                <w:b w:val="0"/>
              </w:rPr>
              <w:t xml:space="preserve">este hecho </w:t>
            </w:r>
            <w:r w:rsidR="000F1515">
              <w:rPr>
                <w:rFonts w:ascii="Calibri Light" w:hAnsi="Calibri Light" w:cs="Calibri Light"/>
                <w:b w:val="0"/>
              </w:rPr>
              <w:t xml:space="preserve">cuestiona </w:t>
            </w:r>
            <w:r w:rsidR="008E3DCB">
              <w:rPr>
                <w:rFonts w:ascii="Calibri Light" w:hAnsi="Calibri Light" w:cs="Calibri Light"/>
                <w:b w:val="0"/>
              </w:rPr>
              <w:t>la información sobre un supuesto</w:t>
            </w:r>
            <w:r w:rsidR="00A62115" w:rsidRPr="00A62115">
              <w:rPr>
                <w:rFonts w:ascii="Calibri Light" w:hAnsi="Calibri Light" w:cs="Calibri Light"/>
                <w:b w:val="0"/>
              </w:rPr>
              <w:t xml:space="preserve"> proceso infeccioso</w:t>
            </w:r>
            <w:r w:rsidR="005B011C">
              <w:rPr>
                <w:rFonts w:ascii="Calibri Light" w:hAnsi="Calibri Light" w:cs="Calibri Light"/>
                <w:b w:val="0"/>
              </w:rPr>
              <w:t>; además, el E</w:t>
            </w:r>
            <w:r w:rsidR="00093CB8">
              <w:rPr>
                <w:rFonts w:ascii="Calibri Light" w:hAnsi="Calibri Light" w:cs="Calibri Light"/>
                <w:b w:val="0"/>
              </w:rPr>
              <w:t>stado tuvo la capaci</w:t>
            </w:r>
            <w:r w:rsidR="005B011C">
              <w:rPr>
                <w:rFonts w:ascii="Calibri Light" w:hAnsi="Calibri Light" w:cs="Calibri Light"/>
                <w:b w:val="0"/>
              </w:rPr>
              <w:t>dad de conocer su real estado de salud</w:t>
            </w:r>
            <w:r w:rsidR="005B011C" w:rsidRPr="006C490B">
              <w:rPr>
                <w:rFonts w:ascii="Calibri Light" w:hAnsi="Calibri Light" w:cs="Calibri Light"/>
                <w:b w:val="0"/>
              </w:rPr>
              <w:t>.</w:t>
            </w:r>
            <w:r w:rsidR="00093CB8" w:rsidRPr="006C490B">
              <w:rPr>
                <w:rFonts w:ascii="Calibri Light" w:hAnsi="Calibri Light" w:cs="Calibri Light"/>
                <w:b w:val="0"/>
              </w:rPr>
              <w:t xml:space="preserve"> Tercero, </w:t>
            </w:r>
            <w:r w:rsidR="00066D0A" w:rsidRPr="006C490B">
              <w:rPr>
                <w:rFonts w:ascii="Calibri Light" w:hAnsi="Calibri Light" w:cs="Calibri Light"/>
                <w:b w:val="0"/>
              </w:rPr>
              <w:t>el alegato de castigos físicos no fue investigado</w:t>
            </w:r>
            <w:r w:rsidR="00093CB8" w:rsidRPr="006C490B">
              <w:rPr>
                <w:rFonts w:ascii="Calibri Light" w:hAnsi="Calibri Light" w:cs="Calibri Light"/>
                <w:b w:val="0"/>
              </w:rPr>
              <w:t xml:space="preserve"> y el auto de apertura de instrucción </w:t>
            </w:r>
            <w:r w:rsidR="000F1515">
              <w:rPr>
                <w:rFonts w:ascii="Calibri Light" w:hAnsi="Calibri Light" w:cs="Calibri Light"/>
                <w:b w:val="0"/>
              </w:rPr>
              <w:t>ignoró</w:t>
            </w:r>
            <w:r w:rsidR="00093CB8" w:rsidRPr="006C490B">
              <w:rPr>
                <w:rFonts w:ascii="Calibri Light" w:hAnsi="Calibri Light" w:cs="Calibri Light"/>
                <w:b w:val="0"/>
              </w:rPr>
              <w:t xml:space="preserve"> la posible violencia sexual</w:t>
            </w:r>
            <w:r w:rsidR="005579E1">
              <w:rPr>
                <w:rFonts w:ascii="Calibri Light" w:hAnsi="Calibri Light" w:cs="Calibri Light"/>
                <w:b w:val="0"/>
              </w:rPr>
              <w:t>.</w:t>
            </w:r>
            <w:r w:rsidR="00093CB8">
              <w:rPr>
                <w:rFonts w:ascii="Calibri Light" w:hAnsi="Calibri Light" w:cs="Calibri Light"/>
                <w:b w:val="0"/>
              </w:rPr>
              <w:t xml:space="preserve"> </w:t>
            </w:r>
            <w:r w:rsidR="005579E1">
              <w:rPr>
                <w:rFonts w:ascii="Calibri Light" w:hAnsi="Calibri Light" w:cs="Calibri Light"/>
                <w:b w:val="0"/>
              </w:rPr>
              <w:t>A</w:t>
            </w:r>
            <w:r w:rsidR="00093CB8">
              <w:rPr>
                <w:rFonts w:ascii="Calibri Light" w:hAnsi="Calibri Light" w:cs="Calibri Light"/>
                <w:b w:val="0"/>
              </w:rPr>
              <w:t>simismo, el Estado no cumplió con</w:t>
            </w:r>
            <w:r w:rsidR="00093CB8" w:rsidRPr="00093CB8">
              <w:rPr>
                <w:rFonts w:ascii="Calibri Light" w:hAnsi="Calibri Light" w:cs="Calibri Light"/>
                <w:b w:val="0"/>
              </w:rPr>
              <w:t xml:space="preserve"> </w:t>
            </w:r>
            <w:r w:rsidR="0068614D" w:rsidRPr="00093CB8">
              <w:rPr>
                <w:rFonts w:ascii="Calibri Light" w:hAnsi="Calibri Light" w:cs="Calibri Light"/>
                <w:b w:val="0"/>
              </w:rPr>
              <w:t>diseñar y agotar una línea de investigación</w:t>
            </w:r>
            <w:r w:rsidR="00A1663E">
              <w:rPr>
                <w:rFonts w:ascii="Calibri Light" w:hAnsi="Calibri Light" w:cs="Calibri Light"/>
                <w:b w:val="0"/>
              </w:rPr>
              <w:t xml:space="preserve"> sobre una posible muerte violenta</w:t>
            </w:r>
            <w:r w:rsidR="0068614D" w:rsidRPr="00093CB8">
              <w:rPr>
                <w:rFonts w:ascii="Calibri Light" w:hAnsi="Calibri Light" w:cs="Calibri Light"/>
                <w:b w:val="0"/>
              </w:rPr>
              <w:t>, incluyendo salvaguardas para los testigos</w:t>
            </w:r>
            <w:r w:rsidR="00093CB8">
              <w:rPr>
                <w:rFonts w:ascii="Calibri Light" w:hAnsi="Calibri Light" w:cs="Calibri Light"/>
                <w:b w:val="0"/>
              </w:rPr>
              <w:t>.</w:t>
            </w:r>
          </w:p>
          <w:p w14:paraId="5E4ABF4C" w14:textId="77777777" w:rsidR="00012E86" w:rsidRPr="0068614D" w:rsidRDefault="00012E86" w:rsidP="00012E86">
            <w:pPr>
              <w:jc w:val="both"/>
              <w:rPr>
                <w:rFonts w:ascii="Calibri Light" w:hAnsi="Calibri Light"/>
                <w:bCs w:val="0"/>
              </w:rPr>
            </w:pPr>
          </w:p>
          <w:p w14:paraId="0DEEC79C" w14:textId="7003B640" w:rsidR="0068614D" w:rsidRDefault="007F6B36" w:rsidP="0068614D">
            <w:pPr>
              <w:jc w:val="both"/>
              <w:rPr>
                <w:rFonts w:ascii="Calibri Light" w:hAnsi="Calibri Light" w:cs="Calibri Light"/>
                <w:b w:val="0"/>
                <w:highlight w:val="yellow"/>
              </w:rPr>
            </w:pPr>
            <w:r>
              <w:rPr>
                <w:rFonts w:ascii="Calibri Light" w:hAnsi="Calibri Light"/>
                <w:b w:val="0"/>
              </w:rPr>
              <w:t xml:space="preserve">En </w:t>
            </w:r>
            <w:r w:rsidR="00D87189">
              <w:rPr>
                <w:rFonts w:ascii="Calibri Light" w:hAnsi="Calibri Light"/>
                <w:b w:val="0"/>
              </w:rPr>
              <w:t>vista</w:t>
            </w:r>
            <w:r>
              <w:rPr>
                <w:rFonts w:ascii="Calibri Light" w:hAnsi="Calibri Light"/>
                <w:b w:val="0"/>
              </w:rPr>
              <w:t xml:space="preserve"> de lo anterior</w:t>
            </w:r>
            <w:r w:rsidR="00F845A6" w:rsidRPr="0068614D">
              <w:rPr>
                <w:rFonts w:ascii="Calibri Light" w:hAnsi="Calibri Light"/>
                <w:b w:val="0"/>
              </w:rPr>
              <w:t>, la CIDH</w:t>
            </w:r>
            <w:r w:rsidR="00142A41" w:rsidRPr="0068614D">
              <w:rPr>
                <w:rFonts w:ascii="Calibri Light" w:hAnsi="Calibri Light" w:cs="Calibri Light"/>
                <w:b w:val="0"/>
              </w:rPr>
              <w:t xml:space="preserve"> </w:t>
            </w:r>
            <w:r w:rsidR="0068614D" w:rsidRPr="0068614D">
              <w:rPr>
                <w:rFonts w:ascii="Calibri Light" w:hAnsi="Calibri Light" w:cs="Calibri Light"/>
                <w:b w:val="0"/>
              </w:rPr>
              <w:t>concluyó</w:t>
            </w:r>
            <w:r w:rsidR="00142A41" w:rsidRPr="0068614D">
              <w:rPr>
                <w:rFonts w:ascii="Calibri Light" w:hAnsi="Calibri Light" w:cs="Calibri Light"/>
                <w:b w:val="0"/>
              </w:rPr>
              <w:t xml:space="preserve"> que el Estado de </w:t>
            </w:r>
            <w:r w:rsidR="0068614D" w:rsidRPr="0068614D">
              <w:rPr>
                <w:rFonts w:ascii="Calibri Light" w:hAnsi="Calibri Light" w:cs="Calibri Light"/>
                <w:b w:val="0"/>
              </w:rPr>
              <w:t>Paragua</w:t>
            </w:r>
            <w:r w:rsidR="0068614D">
              <w:rPr>
                <w:rFonts w:ascii="Calibri Light" w:hAnsi="Calibri Light" w:cs="Calibri Light"/>
                <w:b w:val="0"/>
              </w:rPr>
              <w:t>y</w:t>
            </w:r>
            <w:r w:rsidR="0068614D" w:rsidRPr="0068614D">
              <w:rPr>
                <w:rFonts w:ascii="Calibri Light" w:hAnsi="Calibri Light" w:cs="Calibri Light"/>
                <w:b w:val="0"/>
              </w:rPr>
              <w:t xml:space="preserve"> no</w:t>
            </w:r>
            <w:r>
              <w:rPr>
                <w:rFonts w:ascii="Calibri Light" w:hAnsi="Calibri Light" w:cs="Calibri Light"/>
                <w:b w:val="0"/>
              </w:rPr>
              <w:t xml:space="preserve"> había aportado u</w:t>
            </w:r>
            <w:r w:rsidR="0068614D" w:rsidRPr="0068614D">
              <w:rPr>
                <w:rFonts w:ascii="Calibri Light" w:hAnsi="Calibri Light" w:cs="Calibri Light"/>
                <w:b w:val="0"/>
              </w:rPr>
              <w:t>na explicación satisfactoria sobre la muerte del niño Noguera</w:t>
            </w:r>
            <w:r w:rsidR="00D87189">
              <w:rPr>
                <w:rFonts w:ascii="Calibri Light" w:hAnsi="Calibri Light" w:cs="Calibri Light"/>
                <w:b w:val="0"/>
              </w:rPr>
              <w:t xml:space="preserve"> y, por ende,</w:t>
            </w:r>
            <w:r w:rsidR="0068614D" w:rsidRPr="0068614D">
              <w:rPr>
                <w:rFonts w:ascii="Calibri Light" w:hAnsi="Calibri Light" w:cs="Calibri Light"/>
                <w:b w:val="0"/>
              </w:rPr>
              <w:t xml:space="preserve"> no </w:t>
            </w:r>
            <w:r>
              <w:rPr>
                <w:rFonts w:ascii="Calibri Light" w:hAnsi="Calibri Light" w:cs="Calibri Light"/>
                <w:b w:val="0"/>
              </w:rPr>
              <w:t>había logrado</w:t>
            </w:r>
            <w:r w:rsidR="0068614D" w:rsidRPr="0068614D">
              <w:rPr>
                <w:rFonts w:ascii="Calibri Light" w:hAnsi="Calibri Light" w:cs="Calibri Light"/>
                <w:b w:val="0"/>
              </w:rPr>
              <w:t xml:space="preserve"> desvirtuar </w:t>
            </w:r>
            <w:r w:rsidR="00D87189">
              <w:rPr>
                <w:rFonts w:ascii="Calibri Light" w:hAnsi="Calibri Light" w:cs="Calibri Light"/>
                <w:b w:val="0"/>
              </w:rPr>
              <w:t>su</w:t>
            </w:r>
            <w:r w:rsidR="0068614D" w:rsidRPr="0068614D">
              <w:rPr>
                <w:rFonts w:ascii="Calibri Light" w:hAnsi="Calibri Light" w:cs="Calibri Light"/>
                <w:b w:val="0"/>
              </w:rPr>
              <w:t xml:space="preserve"> presunción de responsabilidad. Por ello, declaró que </w:t>
            </w:r>
            <w:r w:rsidR="00142A41" w:rsidRPr="0068614D">
              <w:rPr>
                <w:rFonts w:ascii="Calibri Light" w:hAnsi="Calibri Light" w:cs="Calibri Light"/>
                <w:b w:val="0"/>
              </w:rPr>
              <w:t xml:space="preserve">había violado </w:t>
            </w:r>
            <w:r w:rsidR="00C542EC" w:rsidRPr="0068614D">
              <w:rPr>
                <w:rFonts w:ascii="Calibri Light" w:hAnsi="Calibri Light" w:cs="Calibri Light"/>
                <w:b w:val="0"/>
              </w:rPr>
              <w:t>los</w:t>
            </w:r>
            <w:r w:rsidR="00142A41" w:rsidRPr="0068614D">
              <w:rPr>
                <w:rFonts w:ascii="Calibri Light" w:hAnsi="Calibri Light" w:cs="Calibri Light"/>
                <w:b w:val="0"/>
              </w:rPr>
              <w:t xml:space="preserve"> artículo</w:t>
            </w:r>
            <w:r w:rsidR="00C542EC" w:rsidRPr="0068614D">
              <w:rPr>
                <w:rFonts w:ascii="Calibri Light" w:hAnsi="Calibri Light" w:cs="Calibri Light"/>
                <w:b w:val="0"/>
              </w:rPr>
              <w:t xml:space="preserve">s </w:t>
            </w:r>
            <w:r w:rsidR="0068614D" w:rsidRPr="0068614D">
              <w:rPr>
                <w:rFonts w:ascii="Calibri Light" w:hAnsi="Calibri Light" w:cs="Calibri Light"/>
                <w:b w:val="0"/>
              </w:rPr>
              <w:t>4.1, 5.2 y 19</w:t>
            </w:r>
            <w:r w:rsidR="00142A41" w:rsidRPr="0068614D">
              <w:rPr>
                <w:rFonts w:ascii="Calibri Light" w:hAnsi="Calibri Light" w:cs="Calibri Light"/>
                <w:b w:val="0"/>
              </w:rPr>
              <w:t xml:space="preserve"> de la CADH, </w:t>
            </w:r>
            <w:r w:rsidR="00732EDB" w:rsidRPr="0068614D">
              <w:rPr>
                <w:rFonts w:ascii="Calibri Light" w:hAnsi="Calibri Light" w:cs="Calibri Light"/>
                <w:b w:val="0"/>
              </w:rPr>
              <w:t xml:space="preserve">en relación </w:t>
            </w:r>
            <w:r w:rsidR="00D012DC" w:rsidRPr="0068614D">
              <w:rPr>
                <w:rFonts w:ascii="Calibri Light" w:hAnsi="Calibri Light" w:cs="Calibri Light"/>
                <w:b w:val="0"/>
              </w:rPr>
              <w:t xml:space="preserve">con </w:t>
            </w:r>
            <w:r w:rsidR="0068614D" w:rsidRPr="0068614D">
              <w:rPr>
                <w:rFonts w:ascii="Calibri Light" w:hAnsi="Calibri Light" w:cs="Calibri Light"/>
                <w:b w:val="0"/>
              </w:rPr>
              <w:t xml:space="preserve">el artículo </w:t>
            </w:r>
            <w:r w:rsidR="00732EDB" w:rsidRPr="0068614D">
              <w:rPr>
                <w:rFonts w:ascii="Calibri Light" w:hAnsi="Calibri Light" w:cs="Calibri Light"/>
                <w:b w:val="0"/>
              </w:rPr>
              <w:t xml:space="preserve">1.1, </w:t>
            </w:r>
            <w:r w:rsidR="00142A41" w:rsidRPr="0068614D">
              <w:rPr>
                <w:rFonts w:ascii="Calibri Light" w:hAnsi="Calibri Light" w:cs="Calibri Light"/>
                <w:b w:val="0"/>
              </w:rPr>
              <w:t>en</w:t>
            </w:r>
            <w:r w:rsidR="00C542EC" w:rsidRPr="0068614D">
              <w:rPr>
                <w:rFonts w:ascii="Calibri Light" w:hAnsi="Calibri Light" w:cs="Calibri Light"/>
                <w:b w:val="0"/>
              </w:rPr>
              <w:t xml:space="preserve"> perjuicio </w:t>
            </w:r>
            <w:r w:rsidR="00620BB4" w:rsidRPr="0068614D">
              <w:rPr>
                <w:rFonts w:ascii="Calibri Light" w:hAnsi="Calibri Light" w:cs="Calibri Light"/>
                <w:b w:val="0"/>
              </w:rPr>
              <w:t xml:space="preserve">del </w:t>
            </w:r>
            <w:r w:rsidR="0068614D" w:rsidRPr="0068614D">
              <w:rPr>
                <w:rFonts w:ascii="Calibri Light" w:hAnsi="Calibri Light" w:cs="Calibri Light"/>
                <w:b w:val="0"/>
              </w:rPr>
              <w:t>niño Noguera</w:t>
            </w:r>
            <w:r w:rsidR="00142A41" w:rsidRPr="0068614D">
              <w:rPr>
                <w:rFonts w:ascii="Calibri Light" w:hAnsi="Calibri Light" w:cs="Calibri Light"/>
                <w:b w:val="0"/>
              </w:rPr>
              <w:t>.</w:t>
            </w:r>
          </w:p>
          <w:p w14:paraId="057F5B7D" w14:textId="77777777" w:rsidR="0068614D" w:rsidRDefault="0068614D" w:rsidP="0068614D">
            <w:pPr>
              <w:jc w:val="both"/>
              <w:rPr>
                <w:rFonts w:ascii="Calibri Light" w:hAnsi="Calibri Light" w:cs="Calibri Light"/>
                <w:b w:val="0"/>
                <w:highlight w:val="yellow"/>
              </w:rPr>
            </w:pPr>
          </w:p>
          <w:p w14:paraId="08331F27" w14:textId="167EB5D1" w:rsidR="00FF34AE" w:rsidRPr="00C9116C" w:rsidRDefault="00FE2DC6" w:rsidP="00FF34AE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El d</w:t>
            </w:r>
            <w:r w:rsidR="00CD7158" w:rsidRPr="00C9116C">
              <w:rPr>
                <w:rFonts w:ascii="Calibri Light" w:hAnsi="Calibri Light"/>
              </w:rPr>
              <w:t xml:space="preserve">erecho a las garantías judiciales y </w:t>
            </w:r>
            <w:r>
              <w:rPr>
                <w:rFonts w:ascii="Calibri Light" w:hAnsi="Calibri Light"/>
              </w:rPr>
              <w:t xml:space="preserve">la </w:t>
            </w:r>
            <w:r w:rsidR="00CD7158" w:rsidRPr="00C9116C">
              <w:rPr>
                <w:rFonts w:ascii="Calibri Light" w:hAnsi="Calibri Light"/>
              </w:rPr>
              <w:t>protección judicial</w:t>
            </w:r>
            <w:r w:rsidR="00987DF7" w:rsidRPr="00C9116C">
              <w:rPr>
                <w:rFonts w:ascii="Calibri Light" w:hAnsi="Calibri Light"/>
              </w:rPr>
              <w:t xml:space="preserve"> (artículos </w:t>
            </w:r>
            <w:r w:rsidR="00CD7158" w:rsidRPr="00C9116C">
              <w:rPr>
                <w:rFonts w:ascii="Calibri Light" w:hAnsi="Calibri Light"/>
              </w:rPr>
              <w:t>8 y 25 d</w:t>
            </w:r>
            <w:r w:rsidR="00FF34AE" w:rsidRPr="00C9116C">
              <w:rPr>
                <w:rFonts w:ascii="Calibri Light" w:hAnsi="Calibri Light"/>
              </w:rPr>
              <w:t>e la CADH)</w:t>
            </w:r>
          </w:p>
          <w:p w14:paraId="2C3EDC5B" w14:textId="77777777" w:rsidR="00FF34AE" w:rsidRPr="00AC1C41" w:rsidRDefault="00FF34AE" w:rsidP="00FF34AE">
            <w:pPr>
              <w:jc w:val="both"/>
              <w:rPr>
                <w:rFonts w:ascii="Calibri Light" w:hAnsi="Calibri Light"/>
                <w:b w:val="0"/>
                <w:highlight w:val="yellow"/>
              </w:rPr>
            </w:pPr>
          </w:p>
          <w:p w14:paraId="4BAE69C2" w14:textId="2522D39A" w:rsidR="00E36B8B" w:rsidRDefault="00B86573" w:rsidP="00E36B8B">
            <w:pPr>
              <w:jc w:val="both"/>
              <w:rPr>
                <w:rFonts w:ascii="Calibri Light" w:hAnsi="Calibri Light"/>
                <w:b w:val="0"/>
              </w:rPr>
            </w:pPr>
            <w:r w:rsidRPr="00FE2DC6">
              <w:rPr>
                <w:rFonts w:ascii="Calibri Light" w:hAnsi="Calibri Light"/>
                <w:b w:val="0"/>
              </w:rPr>
              <w:t xml:space="preserve">La </w:t>
            </w:r>
            <w:r w:rsidR="00354A82" w:rsidRPr="00FE2DC6">
              <w:rPr>
                <w:rFonts w:ascii="Calibri Light" w:hAnsi="Calibri Light"/>
                <w:b w:val="0"/>
              </w:rPr>
              <w:t xml:space="preserve">CIDH ha </w:t>
            </w:r>
            <w:r w:rsidR="00FE2DC6" w:rsidRPr="00FE2DC6">
              <w:rPr>
                <w:rFonts w:ascii="Calibri Light" w:hAnsi="Calibri Light"/>
                <w:b w:val="0"/>
              </w:rPr>
              <w:t>señalado</w:t>
            </w:r>
            <w:r w:rsidR="00FE2DC6">
              <w:rPr>
                <w:rFonts w:ascii="Calibri Light" w:hAnsi="Calibri Light"/>
                <w:b w:val="0"/>
              </w:rPr>
              <w:t xml:space="preserve"> q</w:t>
            </w:r>
            <w:r w:rsidR="00FE2DC6" w:rsidRPr="00FE2DC6">
              <w:rPr>
                <w:rFonts w:ascii="Calibri Light" w:hAnsi="Calibri Light"/>
                <w:b w:val="0"/>
              </w:rPr>
              <w:t xml:space="preserve">ue </w:t>
            </w:r>
            <w:r w:rsidR="00FE2DC6" w:rsidRPr="00951CBD">
              <w:rPr>
                <w:rFonts w:ascii="Calibri Light" w:hAnsi="Calibri Light"/>
                <w:b w:val="0"/>
              </w:rPr>
              <w:t>los fueros especiales</w:t>
            </w:r>
            <w:r w:rsidR="00AB712E">
              <w:rPr>
                <w:rFonts w:ascii="Calibri Light" w:hAnsi="Calibri Light"/>
                <w:b w:val="0"/>
              </w:rPr>
              <w:t xml:space="preserve">, </w:t>
            </w:r>
            <w:r w:rsidR="00FE2DC6" w:rsidRPr="00951CBD">
              <w:rPr>
                <w:rFonts w:ascii="Calibri Light" w:hAnsi="Calibri Light"/>
                <w:b w:val="0"/>
              </w:rPr>
              <w:t>como la justicia penal militar</w:t>
            </w:r>
            <w:r w:rsidR="00AB712E">
              <w:rPr>
                <w:rFonts w:ascii="Calibri Light" w:hAnsi="Calibri Light"/>
                <w:b w:val="0"/>
              </w:rPr>
              <w:t>,</w:t>
            </w:r>
            <w:r w:rsidR="00FE2DC6" w:rsidRPr="00951CBD">
              <w:rPr>
                <w:rFonts w:ascii="Calibri Light" w:hAnsi="Calibri Light"/>
                <w:b w:val="0"/>
              </w:rPr>
              <w:t xml:space="preserve"> deben tener un alcance restrictivo y excepcional</w:t>
            </w:r>
            <w:r w:rsidR="00D87189" w:rsidRPr="00951CBD">
              <w:rPr>
                <w:rFonts w:ascii="Calibri Light" w:hAnsi="Calibri Light"/>
                <w:b w:val="0"/>
              </w:rPr>
              <w:t>,</w:t>
            </w:r>
            <w:r w:rsidR="00FE2DC6" w:rsidRPr="00951CBD">
              <w:rPr>
                <w:rFonts w:ascii="Calibri Light" w:hAnsi="Calibri Light"/>
                <w:b w:val="0"/>
              </w:rPr>
              <w:t xml:space="preserve"> y estar encaminados a la protección de intereses jurídicos vinculados a la propia entidad. </w:t>
            </w:r>
            <w:r w:rsidR="00E36B8B">
              <w:rPr>
                <w:rFonts w:ascii="Calibri Light" w:hAnsi="Calibri Light"/>
                <w:b w:val="0"/>
              </w:rPr>
              <w:t>En el caso de la</w:t>
            </w:r>
            <w:r w:rsidR="00D87189" w:rsidRPr="00951CBD">
              <w:rPr>
                <w:rFonts w:ascii="Calibri Light" w:hAnsi="Calibri Light"/>
                <w:b w:val="0"/>
              </w:rPr>
              <w:t xml:space="preserve"> jurisdicción</w:t>
            </w:r>
            <w:r w:rsidR="00E36B8B">
              <w:rPr>
                <w:rFonts w:ascii="Calibri Light" w:hAnsi="Calibri Light"/>
                <w:b w:val="0"/>
              </w:rPr>
              <w:t xml:space="preserve"> militar, esta</w:t>
            </w:r>
            <w:r w:rsidR="00D87189" w:rsidRPr="00951CBD">
              <w:rPr>
                <w:rFonts w:ascii="Calibri Light" w:hAnsi="Calibri Light"/>
                <w:b w:val="0"/>
              </w:rPr>
              <w:t xml:space="preserve"> so</w:t>
            </w:r>
            <w:r w:rsidR="00FE2DC6" w:rsidRPr="00951CBD">
              <w:rPr>
                <w:rFonts w:ascii="Calibri Light" w:hAnsi="Calibri Light"/>
                <w:b w:val="0"/>
              </w:rPr>
              <w:t>lo debe ju</w:t>
            </w:r>
            <w:r w:rsidR="00D87189" w:rsidRPr="00951CBD">
              <w:rPr>
                <w:rFonts w:ascii="Calibri Light" w:hAnsi="Calibri Light"/>
                <w:b w:val="0"/>
              </w:rPr>
              <w:t xml:space="preserve">zgar a personal militar activo </w:t>
            </w:r>
            <w:r w:rsidR="00FE2DC6" w:rsidRPr="00951CBD">
              <w:rPr>
                <w:rFonts w:ascii="Calibri Light" w:hAnsi="Calibri Light"/>
                <w:b w:val="0"/>
              </w:rPr>
              <w:t>por la comisión de delitos o alegadas faltas que atenten contra bienes jurídicos propios del orden militar.</w:t>
            </w:r>
            <w:r w:rsidR="00DD387A" w:rsidRPr="00951CBD">
              <w:rPr>
                <w:rFonts w:ascii="Calibri Light" w:hAnsi="Calibri Light"/>
                <w:b w:val="0"/>
              </w:rPr>
              <w:t xml:space="preserve"> </w:t>
            </w:r>
            <w:r w:rsidR="00A1663E">
              <w:rPr>
                <w:rFonts w:ascii="Calibri Light" w:hAnsi="Calibri Light"/>
                <w:b w:val="0"/>
              </w:rPr>
              <w:t>Asimismo</w:t>
            </w:r>
            <w:r w:rsidR="00951CBD">
              <w:rPr>
                <w:rFonts w:ascii="Calibri Light" w:hAnsi="Calibri Light"/>
                <w:b w:val="0"/>
              </w:rPr>
              <w:t>,</w:t>
            </w:r>
            <w:r w:rsidR="00A1663E">
              <w:rPr>
                <w:rFonts w:ascii="Calibri Light" w:hAnsi="Calibri Light"/>
                <w:b w:val="0"/>
              </w:rPr>
              <w:t xml:space="preserve"> esta</w:t>
            </w:r>
            <w:r w:rsidR="00951CBD">
              <w:rPr>
                <w:rFonts w:ascii="Calibri Light" w:hAnsi="Calibri Light"/>
                <w:b w:val="0"/>
              </w:rPr>
              <w:t xml:space="preserve"> </w:t>
            </w:r>
            <w:r w:rsidR="00951CBD" w:rsidRPr="003C05E0">
              <w:rPr>
                <w:rFonts w:ascii="Calibri Light" w:hAnsi="Calibri Light"/>
                <w:b w:val="0"/>
              </w:rPr>
              <w:t>carece de</w:t>
            </w:r>
            <w:r w:rsidR="00951CBD">
              <w:rPr>
                <w:rFonts w:ascii="Calibri Light" w:hAnsi="Calibri Light"/>
                <w:b w:val="0"/>
              </w:rPr>
              <w:t xml:space="preserve"> </w:t>
            </w:r>
            <w:r w:rsidR="00951CBD" w:rsidRPr="003C05E0">
              <w:rPr>
                <w:rFonts w:ascii="Calibri Light" w:hAnsi="Calibri Light"/>
                <w:b w:val="0"/>
              </w:rPr>
              <w:t>independencia e imparcialidad para conocer de potenciales violaciones de derechos humanos relativas a</w:t>
            </w:r>
            <w:r w:rsidR="00951CBD">
              <w:rPr>
                <w:rFonts w:ascii="Calibri Light" w:hAnsi="Calibri Light"/>
                <w:b w:val="0"/>
              </w:rPr>
              <w:t xml:space="preserve"> </w:t>
            </w:r>
            <w:r w:rsidR="00951CBD" w:rsidRPr="003C05E0">
              <w:rPr>
                <w:rFonts w:ascii="Calibri Light" w:hAnsi="Calibri Light"/>
                <w:b w:val="0"/>
              </w:rPr>
              <w:t>bienes jurídicos que no pueden</w:t>
            </w:r>
            <w:r w:rsidR="00951CBD">
              <w:rPr>
                <w:rFonts w:ascii="Calibri Light" w:hAnsi="Calibri Light"/>
                <w:b w:val="0"/>
              </w:rPr>
              <w:t xml:space="preserve"> ser entendidos como militares. </w:t>
            </w:r>
            <w:r w:rsidR="00DD387A" w:rsidRPr="00951CBD">
              <w:rPr>
                <w:rFonts w:ascii="Calibri Light" w:hAnsi="Calibri Light"/>
                <w:b w:val="0"/>
              </w:rPr>
              <w:t>En suma, las violaciones a los derechos humanos deben ser investigadas, juzgadas y sancionadas conforme a la ley, por los tribunales penales ordinarios</w:t>
            </w:r>
            <w:r w:rsidR="00951CBD">
              <w:rPr>
                <w:rFonts w:ascii="Calibri Light" w:hAnsi="Calibri Light"/>
                <w:b w:val="0"/>
              </w:rPr>
              <w:t>.</w:t>
            </w:r>
            <w:r w:rsidR="00E36B8B">
              <w:rPr>
                <w:rFonts w:ascii="Calibri Light" w:hAnsi="Calibri Light"/>
                <w:b w:val="0"/>
              </w:rPr>
              <w:t xml:space="preserve"> C</w:t>
            </w:r>
            <w:r w:rsidR="00E36B8B" w:rsidRPr="00DD387A">
              <w:rPr>
                <w:rFonts w:ascii="Calibri Light" w:hAnsi="Calibri Light"/>
                <w:b w:val="0"/>
              </w:rPr>
              <w:t xml:space="preserve">on respecto al </w:t>
            </w:r>
            <w:r w:rsidR="00E36B8B" w:rsidRPr="00951CBD">
              <w:rPr>
                <w:rFonts w:ascii="Calibri Light" w:hAnsi="Calibri Light"/>
                <w:b w:val="0"/>
              </w:rPr>
              <w:t>principio de plazo razonable, la</w:t>
            </w:r>
            <w:r w:rsidR="00E36B8B" w:rsidRPr="00DD387A">
              <w:rPr>
                <w:rFonts w:ascii="Calibri Light" w:hAnsi="Calibri Light"/>
                <w:b w:val="0"/>
              </w:rPr>
              <w:t xml:space="preserve"> Corte </w:t>
            </w:r>
            <w:r w:rsidR="00E36B8B">
              <w:rPr>
                <w:rFonts w:ascii="Calibri Light" w:hAnsi="Calibri Light"/>
                <w:b w:val="0"/>
              </w:rPr>
              <w:t>IDH</w:t>
            </w:r>
            <w:r w:rsidR="00E36B8B" w:rsidRPr="00DD387A">
              <w:rPr>
                <w:rFonts w:ascii="Calibri Light" w:hAnsi="Calibri Light"/>
                <w:b w:val="0"/>
              </w:rPr>
              <w:t xml:space="preserve"> ha establecido </w:t>
            </w:r>
            <w:r w:rsidR="00E36B8B">
              <w:rPr>
                <w:rFonts w:ascii="Calibri Light" w:hAnsi="Calibri Light"/>
                <w:b w:val="0"/>
              </w:rPr>
              <w:t>considerar</w:t>
            </w:r>
            <w:r w:rsidR="00E36B8B" w:rsidRPr="00DD387A">
              <w:rPr>
                <w:rFonts w:ascii="Calibri Light" w:hAnsi="Calibri Light"/>
                <w:b w:val="0"/>
              </w:rPr>
              <w:t xml:space="preserve"> tres elementos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DD387A">
              <w:rPr>
                <w:rFonts w:ascii="Calibri Light" w:hAnsi="Calibri Light"/>
                <w:b w:val="0"/>
              </w:rPr>
              <w:t xml:space="preserve">para determinar la razonabilidad del plazo </w:t>
            </w:r>
            <w:r w:rsidR="00E36B8B">
              <w:rPr>
                <w:rFonts w:ascii="Calibri Light" w:hAnsi="Calibri Light"/>
                <w:b w:val="0"/>
              </w:rPr>
              <w:t>de</w:t>
            </w:r>
            <w:r w:rsidR="00E36B8B" w:rsidRPr="00DD387A">
              <w:rPr>
                <w:rFonts w:ascii="Calibri Light" w:hAnsi="Calibri Light"/>
                <w:b w:val="0"/>
              </w:rPr>
              <w:t xml:space="preserve"> un proceso: </w:t>
            </w:r>
            <w:r w:rsidR="00E36B8B">
              <w:rPr>
                <w:rFonts w:ascii="Calibri Light" w:hAnsi="Calibri Light"/>
                <w:b w:val="0"/>
              </w:rPr>
              <w:t xml:space="preserve">i) la complejidad del asunto, ii) </w:t>
            </w:r>
            <w:r w:rsidR="00E36B8B" w:rsidRPr="00DD387A">
              <w:rPr>
                <w:rFonts w:ascii="Calibri Light" w:hAnsi="Calibri Light"/>
                <w:b w:val="0"/>
              </w:rPr>
              <w:t xml:space="preserve">la actividad procesal del interesado, y </w:t>
            </w:r>
            <w:r w:rsidR="00E36B8B">
              <w:rPr>
                <w:rFonts w:ascii="Calibri Light" w:hAnsi="Calibri Light"/>
                <w:b w:val="0"/>
              </w:rPr>
              <w:t>iii</w:t>
            </w:r>
            <w:r w:rsidR="00E36B8B" w:rsidRPr="00DD387A">
              <w:rPr>
                <w:rFonts w:ascii="Calibri Light" w:hAnsi="Calibri Light"/>
                <w:b w:val="0"/>
              </w:rPr>
              <w:t>) la conducta de las autoridades judiciales</w:t>
            </w:r>
            <w:r w:rsidR="00E36B8B">
              <w:rPr>
                <w:rFonts w:ascii="Calibri Light" w:hAnsi="Calibri Light"/>
                <w:b w:val="0"/>
              </w:rPr>
              <w:t>.</w:t>
            </w:r>
          </w:p>
          <w:p w14:paraId="6FE883DA" w14:textId="77777777" w:rsidR="00DD387A" w:rsidRPr="00951CBD" w:rsidRDefault="00DD387A" w:rsidP="00DD387A">
            <w:pPr>
              <w:jc w:val="both"/>
              <w:rPr>
                <w:rFonts w:ascii="Calibri Light" w:hAnsi="Calibri Light"/>
                <w:b w:val="0"/>
              </w:rPr>
            </w:pPr>
          </w:p>
          <w:p w14:paraId="291AFB7A" w14:textId="4901A8D1" w:rsidR="00DD387A" w:rsidRDefault="00D87189" w:rsidP="00DD387A">
            <w:pPr>
              <w:jc w:val="both"/>
              <w:rPr>
                <w:rFonts w:ascii="Calibri Light" w:hAnsi="Calibri Light"/>
                <w:b w:val="0"/>
              </w:rPr>
            </w:pPr>
            <w:r w:rsidRPr="00951CBD">
              <w:rPr>
                <w:rFonts w:ascii="Calibri Light" w:hAnsi="Calibri Light"/>
                <w:b w:val="0"/>
              </w:rPr>
              <w:t>L</w:t>
            </w:r>
            <w:r w:rsidR="00DD387A" w:rsidRPr="00951CBD">
              <w:rPr>
                <w:rFonts w:ascii="Calibri Light" w:hAnsi="Calibri Light"/>
                <w:b w:val="0"/>
              </w:rPr>
              <w:t xml:space="preserve">a Corte </w:t>
            </w:r>
            <w:r w:rsidRPr="00951CBD">
              <w:rPr>
                <w:rFonts w:ascii="Calibri Light" w:hAnsi="Calibri Light"/>
                <w:b w:val="0"/>
              </w:rPr>
              <w:t>IDH</w:t>
            </w:r>
            <w:r w:rsidR="00DD387A" w:rsidRPr="00951CBD">
              <w:rPr>
                <w:rFonts w:ascii="Calibri Light" w:hAnsi="Calibri Light"/>
                <w:b w:val="0"/>
              </w:rPr>
              <w:t xml:space="preserve"> ha establecido que </w:t>
            </w:r>
            <w:r w:rsidR="00C81723" w:rsidRPr="00951CBD">
              <w:rPr>
                <w:rFonts w:ascii="Calibri Light" w:hAnsi="Calibri Light"/>
                <w:b w:val="0"/>
              </w:rPr>
              <w:t>para</w:t>
            </w:r>
            <w:r w:rsidR="00DD387A" w:rsidRPr="00951CBD">
              <w:rPr>
                <w:rFonts w:ascii="Calibri Light" w:hAnsi="Calibri Light"/>
                <w:b w:val="0"/>
              </w:rPr>
              <w:t xml:space="preserve"> la investigación de la muerte de una persona que se encontraba bajo custodia del Estado, las autoridades tienen el deber de iniciar</w:t>
            </w:r>
            <w:r w:rsidRPr="00951CBD">
              <w:rPr>
                <w:rFonts w:ascii="Calibri Light" w:hAnsi="Calibri Light"/>
                <w:b w:val="0"/>
              </w:rPr>
              <w:t xml:space="preserve"> una investigación</w:t>
            </w:r>
            <w:r w:rsidR="00DD387A" w:rsidRPr="00951CBD">
              <w:rPr>
                <w:rFonts w:ascii="Calibri Light" w:hAnsi="Calibri Light"/>
                <w:b w:val="0"/>
              </w:rPr>
              <w:t xml:space="preserve"> </w:t>
            </w:r>
            <w:r w:rsidR="00DD387A" w:rsidRPr="00951CBD">
              <w:rPr>
                <w:rFonts w:ascii="Calibri Light" w:hAnsi="Calibri Light"/>
                <w:b w:val="0"/>
                <w:i/>
              </w:rPr>
              <w:t>ex officio</w:t>
            </w:r>
            <w:r w:rsidR="00C81723" w:rsidRPr="00951CBD">
              <w:rPr>
                <w:rFonts w:ascii="Calibri Light" w:hAnsi="Calibri Light"/>
                <w:b w:val="0"/>
              </w:rPr>
              <w:t xml:space="preserve">, </w:t>
            </w:r>
            <w:r w:rsidR="00951CBD" w:rsidRPr="00951CBD">
              <w:rPr>
                <w:rFonts w:ascii="Calibri Light" w:hAnsi="Calibri Light"/>
                <w:b w:val="0"/>
              </w:rPr>
              <w:t>seria, sin dilación</w:t>
            </w:r>
            <w:r w:rsidR="00DD387A" w:rsidRPr="00951CBD">
              <w:rPr>
                <w:rFonts w:ascii="Calibri Light" w:hAnsi="Calibri Light"/>
                <w:b w:val="0"/>
              </w:rPr>
              <w:t xml:space="preserve"> y no como una simple formalidad condenada a ser infructuosa.</w:t>
            </w:r>
            <w:r w:rsidRPr="00951CBD">
              <w:rPr>
                <w:rFonts w:ascii="Calibri Light" w:hAnsi="Calibri Light"/>
                <w:b w:val="0"/>
              </w:rPr>
              <w:t xml:space="preserve"> </w:t>
            </w:r>
            <w:r w:rsidR="00951CBD" w:rsidRPr="00951CBD">
              <w:rPr>
                <w:rFonts w:ascii="Calibri Light" w:hAnsi="Calibri Light"/>
                <w:b w:val="0"/>
              </w:rPr>
              <w:t xml:space="preserve">En </w:t>
            </w:r>
            <w:r w:rsidR="00951CBD" w:rsidRPr="00951CBD">
              <w:rPr>
                <w:rFonts w:ascii="Calibri Light" w:hAnsi="Calibri Light"/>
                <w:b w:val="0"/>
              </w:rPr>
              <w:lastRenderedPageBreak/>
              <w:t xml:space="preserve">aras </w:t>
            </w:r>
            <w:r w:rsidRPr="00951CBD">
              <w:rPr>
                <w:rFonts w:ascii="Calibri Light" w:hAnsi="Calibri Light"/>
                <w:b w:val="0"/>
              </w:rPr>
              <w:t xml:space="preserve">de garantizar la debida diligencia en este proceso, la CIDH </w:t>
            </w:r>
            <w:r w:rsidR="00AB712E">
              <w:rPr>
                <w:rFonts w:ascii="Calibri Light" w:hAnsi="Calibri Light"/>
                <w:b w:val="0"/>
              </w:rPr>
              <w:t>destacó</w:t>
            </w:r>
            <w:r w:rsidR="00DD387A" w:rsidRPr="00951CBD">
              <w:rPr>
                <w:rFonts w:ascii="Calibri Light" w:hAnsi="Calibri Light"/>
                <w:b w:val="0"/>
              </w:rPr>
              <w:t xml:space="preserve"> </w:t>
            </w:r>
            <w:r w:rsidR="00643A52">
              <w:rPr>
                <w:rFonts w:ascii="Calibri Light" w:hAnsi="Calibri Light"/>
                <w:b w:val="0"/>
              </w:rPr>
              <w:t>los siguientes</w:t>
            </w:r>
            <w:r w:rsidR="00643A52" w:rsidRPr="00951CBD">
              <w:rPr>
                <w:rFonts w:ascii="Calibri Light" w:hAnsi="Calibri Light"/>
                <w:b w:val="0"/>
              </w:rPr>
              <w:t xml:space="preserve"> </w:t>
            </w:r>
            <w:r w:rsidR="00DD387A" w:rsidRPr="00951CBD">
              <w:rPr>
                <w:rFonts w:ascii="Calibri Light" w:hAnsi="Calibri Light"/>
                <w:b w:val="0"/>
              </w:rPr>
              <w:t>estándares del Protocolo de Minnesota</w:t>
            </w:r>
            <w:r w:rsidR="00C81723" w:rsidRPr="00951CBD">
              <w:rPr>
                <w:rFonts w:ascii="Calibri Light" w:hAnsi="Calibri Light"/>
                <w:b w:val="0"/>
              </w:rPr>
              <w:t>: i)</w:t>
            </w:r>
            <w:r w:rsidR="00DD387A" w:rsidRPr="00DD387A">
              <w:rPr>
                <w:rFonts w:ascii="Calibri Light" w:hAnsi="Calibri Light"/>
                <w:b w:val="0"/>
              </w:rPr>
              <w:t xml:space="preserve"> </w:t>
            </w:r>
            <w:r w:rsidR="00E311F4">
              <w:rPr>
                <w:rFonts w:ascii="Calibri Light" w:hAnsi="Calibri Light"/>
                <w:b w:val="0"/>
              </w:rPr>
              <w:t xml:space="preserve">el </w:t>
            </w:r>
            <w:r w:rsidR="00DD387A" w:rsidRPr="00951CBD">
              <w:rPr>
                <w:rFonts w:ascii="Calibri Light" w:hAnsi="Calibri Light"/>
                <w:b w:val="0"/>
              </w:rPr>
              <w:t>personal forense</w:t>
            </w:r>
            <w:r w:rsidR="00C1745B">
              <w:rPr>
                <w:rFonts w:ascii="Calibri Light" w:hAnsi="Calibri Light"/>
                <w:b w:val="0"/>
              </w:rPr>
              <w:t xml:space="preserve"> de las autopsias debe</w:t>
            </w:r>
            <w:r w:rsidR="00C1745B" w:rsidRPr="00951CBD">
              <w:rPr>
                <w:rFonts w:ascii="Calibri Light" w:hAnsi="Calibri Light"/>
                <w:b w:val="0"/>
              </w:rPr>
              <w:t xml:space="preserve"> </w:t>
            </w:r>
            <w:r w:rsidR="00951CBD">
              <w:rPr>
                <w:rFonts w:ascii="Calibri Light" w:hAnsi="Calibri Light"/>
                <w:b w:val="0"/>
              </w:rPr>
              <w:t>asegur</w:t>
            </w:r>
            <w:r w:rsidR="00C1745B">
              <w:rPr>
                <w:rFonts w:ascii="Calibri Light" w:hAnsi="Calibri Light"/>
                <w:b w:val="0"/>
              </w:rPr>
              <w:t>ar</w:t>
            </w:r>
            <w:r w:rsidR="00DD387A" w:rsidRPr="00951CBD">
              <w:rPr>
                <w:rFonts w:ascii="Calibri Light" w:hAnsi="Calibri Light"/>
                <w:b w:val="0"/>
              </w:rPr>
              <w:t xml:space="preserve"> que las causas y circunstancias de la muerte sean reveladas</w:t>
            </w:r>
            <w:r w:rsidR="00951CBD">
              <w:rPr>
                <w:rFonts w:ascii="Calibri Light" w:hAnsi="Calibri Light"/>
                <w:b w:val="0"/>
              </w:rPr>
              <w:t>,</w:t>
            </w:r>
            <w:r w:rsidR="00DD387A" w:rsidRPr="00951CBD">
              <w:rPr>
                <w:rFonts w:ascii="Calibri Light" w:hAnsi="Calibri Light"/>
                <w:b w:val="0"/>
              </w:rPr>
              <w:t xml:space="preserve"> </w:t>
            </w:r>
            <w:r w:rsidR="00C81723" w:rsidRPr="00951CBD">
              <w:rPr>
                <w:rFonts w:ascii="Calibri Light" w:hAnsi="Calibri Light"/>
                <w:b w:val="0"/>
              </w:rPr>
              <w:t xml:space="preserve">y </w:t>
            </w:r>
            <w:r w:rsidR="00951CBD">
              <w:rPr>
                <w:rFonts w:ascii="Calibri Light" w:hAnsi="Calibri Light"/>
                <w:b w:val="0"/>
              </w:rPr>
              <w:t>presenten</w:t>
            </w:r>
            <w:r w:rsidR="00DD387A" w:rsidRPr="00951CBD">
              <w:rPr>
                <w:rFonts w:ascii="Calibri Light" w:hAnsi="Calibri Light"/>
                <w:b w:val="0"/>
              </w:rPr>
              <w:t xml:space="preserve"> conclusiones</w:t>
            </w:r>
            <w:r w:rsidR="00C81723">
              <w:rPr>
                <w:rFonts w:ascii="Calibri Light" w:hAnsi="Calibri Light"/>
                <w:b w:val="0"/>
              </w:rPr>
              <w:t>; ii)</w:t>
            </w:r>
            <w:r w:rsidR="00DD387A" w:rsidRPr="00DD387A">
              <w:rPr>
                <w:rFonts w:ascii="Calibri Light" w:hAnsi="Calibri Light"/>
                <w:b w:val="0"/>
              </w:rPr>
              <w:t xml:space="preserve"> son pocos los casos </w:t>
            </w:r>
            <w:r w:rsidR="00AB712E">
              <w:rPr>
                <w:rFonts w:ascii="Calibri Light" w:hAnsi="Calibri Light"/>
                <w:b w:val="0"/>
              </w:rPr>
              <w:t xml:space="preserve">en los que </w:t>
            </w:r>
            <w:r w:rsidR="00DD387A" w:rsidRPr="00DD387A">
              <w:rPr>
                <w:rFonts w:ascii="Calibri Light" w:hAnsi="Calibri Light"/>
                <w:b w:val="0"/>
              </w:rPr>
              <w:t>la causa de la muerte puede ser determinada</w:t>
            </w:r>
            <w:r w:rsidR="00DD387A">
              <w:rPr>
                <w:rFonts w:ascii="Calibri Light" w:hAnsi="Calibri Light"/>
                <w:b w:val="0"/>
              </w:rPr>
              <w:t xml:space="preserve"> </w:t>
            </w:r>
            <w:r w:rsidR="00DD387A" w:rsidRPr="00DD387A">
              <w:rPr>
                <w:rFonts w:ascii="Calibri Light" w:hAnsi="Calibri Light"/>
                <w:b w:val="0"/>
              </w:rPr>
              <w:t>solamente a partir de la autopsia sin otra información adicional sobre la muerte, por lo que el reporte de</w:t>
            </w:r>
            <w:r w:rsidR="00DD387A">
              <w:rPr>
                <w:rFonts w:ascii="Calibri Light" w:hAnsi="Calibri Light"/>
                <w:b w:val="0"/>
              </w:rPr>
              <w:t xml:space="preserve"> </w:t>
            </w:r>
            <w:r w:rsidR="00DD387A" w:rsidRPr="00DD387A">
              <w:rPr>
                <w:rFonts w:ascii="Calibri Light" w:hAnsi="Calibri Light"/>
                <w:b w:val="0"/>
              </w:rPr>
              <w:t xml:space="preserve">autopsia debe contener hallazgos </w:t>
            </w:r>
            <w:r w:rsidR="00951CBD">
              <w:rPr>
                <w:rFonts w:ascii="Calibri Light" w:hAnsi="Calibri Light"/>
                <w:b w:val="0"/>
              </w:rPr>
              <w:t xml:space="preserve">e interpretación </w:t>
            </w:r>
            <w:r w:rsidR="00DD387A" w:rsidRPr="00DD387A">
              <w:rPr>
                <w:rFonts w:ascii="Calibri Light" w:hAnsi="Calibri Light"/>
                <w:b w:val="0"/>
              </w:rPr>
              <w:t>de las lesiones</w:t>
            </w:r>
            <w:r w:rsidR="00C81723">
              <w:rPr>
                <w:rFonts w:ascii="Calibri Light" w:hAnsi="Calibri Light"/>
                <w:b w:val="0"/>
              </w:rPr>
              <w:t xml:space="preserve">; y iii) </w:t>
            </w:r>
            <w:r w:rsidR="00E311F4">
              <w:rPr>
                <w:rFonts w:ascii="Calibri Light" w:hAnsi="Calibri Light"/>
                <w:b w:val="0"/>
              </w:rPr>
              <w:t>en las</w:t>
            </w:r>
            <w:r w:rsidR="00E311F4" w:rsidRPr="00DD387A">
              <w:rPr>
                <w:rFonts w:ascii="Calibri Light" w:hAnsi="Calibri Light"/>
                <w:b w:val="0"/>
              </w:rPr>
              <w:t xml:space="preserve"> </w:t>
            </w:r>
            <w:r w:rsidR="00DD387A" w:rsidRPr="00DD387A">
              <w:rPr>
                <w:rFonts w:ascii="Calibri Light" w:hAnsi="Calibri Light"/>
                <w:b w:val="0"/>
              </w:rPr>
              <w:t xml:space="preserve">autopsias </w:t>
            </w:r>
            <w:r w:rsidR="00E311F4">
              <w:rPr>
                <w:rFonts w:ascii="Calibri Light" w:hAnsi="Calibri Light"/>
                <w:b w:val="0"/>
              </w:rPr>
              <w:t>por</w:t>
            </w:r>
            <w:r w:rsidR="00C1745B">
              <w:rPr>
                <w:rFonts w:ascii="Calibri Light" w:hAnsi="Calibri Light"/>
                <w:b w:val="0"/>
              </w:rPr>
              <w:t xml:space="preserve"> muertes sospech</w:t>
            </w:r>
            <w:r w:rsidR="00E311F4">
              <w:rPr>
                <w:rFonts w:ascii="Calibri Light" w:hAnsi="Calibri Light"/>
                <w:b w:val="0"/>
              </w:rPr>
              <w:t>os</w:t>
            </w:r>
            <w:r w:rsidR="00C1745B">
              <w:rPr>
                <w:rFonts w:ascii="Calibri Light" w:hAnsi="Calibri Light"/>
                <w:b w:val="0"/>
              </w:rPr>
              <w:t xml:space="preserve">as </w:t>
            </w:r>
            <w:r w:rsidR="00E311F4">
              <w:rPr>
                <w:rFonts w:ascii="Calibri Light" w:hAnsi="Calibri Light"/>
                <w:b w:val="0"/>
              </w:rPr>
              <w:t xml:space="preserve">resulta importante </w:t>
            </w:r>
            <w:r w:rsidR="00DD387A" w:rsidRPr="00DD387A">
              <w:rPr>
                <w:rFonts w:ascii="Calibri Light" w:hAnsi="Calibri Light"/>
                <w:b w:val="0"/>
              </w:rPr>
              <w:t>la</w:t>
            </w:r>
            <w:r w:rsidR="00DD387A">
              <w:rPr>
                <w:rFonts w:ascii="Calibri Light" w:hAnsi="Calibri Light"/>
                <w:b w:val="0"/>
              </w:rPr>
              <w:t xml:space="preserve"> </w:t>
            </w:r>
            <w:r w:rsidR="00DD387A" w:rsidRPr="00DD387A">
              <w:rPr>
                <w:rFonts w:ascii="Calibri Light" w:hAnsi="Calibri Light"/>
                <w:b w:val="0"/>
              </w:rPr>
              <w:t>conformación de un registro en imágenes de la misma</w:t>
            </w:r>
            <w:r w:rsidR="00DD387A">
              <w:rPr>
                <w:rFonts w:ascii="Calibri Light" w:hAnsi="Calibri Light"/>
                <w:b w:val="0"/>
              </w:rPr>
              <w:t>.</w:t>
            </w:r>
            <w:r w:rsidR="001447F4">
              <w:rPr>
                <w:rFonts w:ascii="Calibri Light" w:hAnsi="Calibri Light"/>
                <w:b w:val="0"/>
              </w:rPr>
              <w:t xml:space="preserve"> Por último, la </w:t>
            </w:r>
            <w:r w:rsidR="00E311F4">
              <w:rPr>
                <w:rFonts w:ascii="Calibri Light" w:hAnsi="Calibri Light"/>
                <w:b w:val="0"/>
              </w:rPr>
              <w:t>reiteró</w:t>
            </w:r>
            <w:r w:rsidR="001447F4">
              <w:rPr>
                <w:rFonts w:ascii="Calibri Light" w:hAnsi="Calibri Light"/>
                <w:b w:val="0"/>
              </w:rPr>
              <w:t xml:space="preserve"> que </w:t>
            </w:r>
            <w:r w:rsidR="001447F4" w:rsidRPr="002B0BDC">
              <w:rPr>
                <w:rFonts w:ascii="Calibri Light" w:hAnsi="Calibri Light"/>
                <w:b w:val="0"/>
              </w:rPr>
              <w:t xml:space="preserve">las </w:t>
            </w:r>
            <w:r w:rsidR="001447F4" w:rsidRPr="001447F4">
              <w:rPr>
                <w:rFonts w:ascii="Calibri Light" w:hAnsi="Calibri Light"/>
                <w:b w:val="0"/>
              </w:rPr>
              <w:t>investigaciones de violaciones de derechos humanos no pueden depender de la iniciativa procesal de los familiares de las víctimas.</w:t>
            </w:r>
          </w:p>
          <w:p w14:paraId="2735EE7E" w14:textId="77777777" w:rsidR="003C05E0" w:rsidRDefault="003C05E0" w:rsidP="003C05E0">
            <w:pPr>
              <w:jc w:val="both"/>
              <w:rPr>
                <w:rFonts w:ascii="Calibri Light" w:hAnsi="Calibri Light"/>
                <w:b w:val="0"/>
              </w:rPr>
            </w:pPr>
          </w:p>
          <w:p w14:paraId="1F415890" w14:textId="5B4EADCB" w:rsidR="001F6D29" w:rsidRDefault="00951CBD" w:rsidP="00E36B8B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En el presente caso, la CIDH </w:t>
            </w:r>
            <w:r w:rsidR="00E311F4">
              <w:rPr>
                <w:rFonts w:ascii="Calibri Light" w:hAnsi="Calibri Light"/>
                <w:b w:val="0"/>
              </w:rPr>
              <w:t xml:space="preserve">observó </w:t>
            </w:r>
            <w:r>
              <w:rPr>
                <w:rFonts w:ascii="Calibri Light" w:hAnsi="Calibri Light"/>
                <w:b w:val="0"/>
              </w:rPr>
              <w:t xml:space="preserve">que </w:t>
            </w:r>
            <w:r w:rsidR="003C05E0" w:rsidRPr="003C05E0">
              <w:rPr>
                <w:rFonts w:ascii="Calibri Light" w:hAnsi="Calibri Light"/>
                <w:b w:val="0"/>
              </w:rPr>
              <w:t xml:space="preserve">la única investigación </w:t>
            </w:r>
            <w:r>
              <w:rPr>
                <w:rFonts w:ascii="Calibri Light" w:hAnsi="Calibri Light"/>
                <w:b w:val="0"/>
              </w:rPr>
              <w:t>iniciada</w:t>
            </w:r>
            <w:r w:rsidR="003C05E0" w:rsidRPr="003C05E0">
              <w:rPr>
                <w:rFonts w:ascii="Calibri Light" w:hAnsi="Calibri Light"/>
                <w:b w:val="0"/>
              </w:rPr>
              <w:t xml:space="preserve"> </w:t>
            </w:r>
            <w:r w:rsidR="003C05E0" w:rsidRPr="00951CBD">
              <w:rPr>
                <w:rFonts w:ascii="Calibri Light" w:hAnsi="Calibri Light"/>
                <w:b w:val="0"/>
                <w:i/>
              </w:rPr>
              <w:t>ex officio</w:t>
            </w:r>
            <w:r w:rsidR="003C05E0" w:rsidRPr="003C05E0">
              <w:rPr>
                <w:rFonts w:ascii="Calibri Light" w:hAnsi="Calibri Light"/>
                <w:b w:val="0"/>
              </w:rPr>
              <w:t xml:space="preserve"> se dio en el marco de la jurisdicción militar, el mismo día de </w:t>
            </w:r>
            <w:r>
              <w:rPr>
                <w:rFonts w:ascii="Calibri Light" w:hAnsi="Calibri Light"/>
                <w:b w:val="0"/>
              </w:rPr>
              <w:t>la</w:t>
            </w:r>
            <w:r w:rsidR="003C05E0">
              <w:rPr>
                <w:rFonts w:ascii="Calibri Light" w:hAnsi="Calibri Light"/>
                <w:b w:val="0"/>
              </w:rPr>
              <w:t xml:space="preserve"> </w:t>
            </w:r>
            <w:r w:rsidR="003C05E0" w:rsidRPr="003C05E0">
              <w:rPr>
                <w:rFonts w:ascii="Calibri Light" w:hAnsi="Calibri Light"/>
                <w:b w:val="0"/>
              </w:rPr>
              <w:t>muerte.</w:t>
            </w:r>
            <w:r w:rsidR="003C05E0">
              <w:rPr>
                <w:rFonts w:ascii="Calibri Light" w:hAnsi="Calibri Light"/>
                <w:b w:val="0"/>
              </w:rPr>
              <w:t xml:space="preserve"> </w:t>
            </w:r>
            <w:r w:rsidR="00E311F4">
              <w:rPr>
                <w:rFonts w:ascii="Calibri Light" w:hAnsi="Calibri Light"/>
                <w:b w:val="0"/>
              </w:rPr>
              <w:t>Sin embargo, en base a los estándares ante señalados, c</w:t>
            </w:r>
            <w:r>
              <w:rPr>
                <w:rFonts w:ascii="Calibri Light" w:hAnsi="Calibri Light"/>
                <w:b w:val="0"/>
              </w:rPr>
              <w:t>onsideró</w:t>
            </w:r>
            <w:r w:rsidR="003C05E0" w:rsidRPr="003C05E0">
              <w:rPr>
                <w:rFonts w:ascii="Calibri Light" w:hAnsi="Calibri Light"/>
                <w:b w:val="0"/>
              </w:rPr>
              <w:t xml:space="preserve"> que </w:t>
            </w:r>
            <w:r w:rsidR="00E311F4">
              <w:rPr>
                <w:rFonts w:ascii="Calibri Light" w:hAnsi="Calibri Light"/>
                <w:b w:val="0"/>
              </w:rPr>
              <w:t>esta</w:t>
            </w:r>
            <w:r w:rsidR="003C05E0" w:rsidRPr="003C05E0">
              <w:rPr>
                <w:rFonts w:ascii="Calibri Light" w:hAnsi="Calibri Light"/>
                <w:b w:val="0"/>
              </w:rPr>
              <w:t xml:space="preserve"> constituyó una violación del derecho a contar con autoridad</w:t>
            </w:r>
            <w:r w:rsidR="003C05E0">
              <w:rPr>
                <w:rFonts w:ascii="Calibri Light" w:hAnsi="Calibri Light"/>
                <w:b w:val="0"/>
              </w:rPr>
              <w:t xml:space="preserve"> </w:t>
            </w:r>
            <w:r w:rsidR="003C05E0" w:rsidRPr="003C05E0">
              <w:rPr>
                <w:rFonts w:ascii="Calibri Light" w:hAnsi="Calibri Light"/>
                <w:b w:val="0"/>
              </w:rPr>
              <w:t>competente, independiente e imparcial.</w:t>
            </w:r>
            <w:r w:rsidR="009D7702">
              <w:rPr>
                <w:rFonts w:ascii="Calibri Light" w:hAnsi="Calibri Light"/>
                <w:b w:val="0"/>
              </w:rPr>
              <w:t xml:space="preserve"> </w:t>
            </w:r>
          </w:p>
          <w:p w14:paraId="7F7462C6" w14:textId="77777777" w:rsidR="001F6D29" w:rsidRDefault="001F6D29" w:rsidP="00E36B8B">
            <w:pPr>
              <w:jc w:val="both"/>
              <w:rPr>
                <w:rFonts w:ascii="Calibri Light" w:hAnsi="Calibri Light"/>
                <w:b w:val="0"/>
              </w:rPr>
            </w:pPr>
          </w:p>
          <w:p w14:paraId="2E59A77E" w14:textId="0F081349" w:rsidR="00E36B8B" w:rsidRDefault="009D7702" w:rsidP="00E36B8B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Respecto al plazo razonable, la CIDH</w:t>
            </w:r>
            <w:r w:rsidR="00E36B8B" w:rsidRPr="00336DF8">
              <w:rPr>
                <w:rFonts w:ascii="Calibri Light" w:hAnsi="Calibri Light"/>
                <w:b w:val="0"/>
              </w:rPr>
              <w:t xml:space="preserve"> </w:t>
            </w:r>
            <w:r w:rsidR="00E36B8B">
              <w:rPr>
                <w:rFonts w:ascii="Calibri Light" w:hAnsi="Calibri Light"/>
                <w:b w:val="0"/>
              </w:rPr>
              <w:t xml:space="preserve">notó </w:t>
            </w:r>
            <w:r w:rsidR="00E36B8B" w:rsidRPr="00336DF8">
              <w:rPr>
                <w:rFonts w:ascii="Calibri Light" w:hAnsi="Calibri Light"/>
                <w:b w:val="0"/>
              </w:rPr>
              <w:t xml:space="preserve">que la investigación </w:t>
            </w:r>
            <w:r w:rsidR="00C1745B">
              <w:rPr>
                <w:rFonts w:ascii="Calibri Light" w:hAnsi="Calibri Light"/>
                <w:b w:val="0"/>
              </w:rPr>
              <w:t xml:space="preserve">judicial </w:t>
            </w:r>
            <w:r w:rsidR="00E36B8B" w:rsidRPr="00336DF8">
              <w:rPr>
                <w:rFonts w:ascii="Calibri Light" w:hAnsi="Calibri Light"/>
                <w:b w:val="0"/>
              </w:rPr>
              <w:t>se desarrolló por casi seis años (1996 - 2002)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>antes de su archivo</w:t>
            </w:r>
            <w:r w:rsidR="00E36B8B">
              <w:rPr>
                <w:rFonts w:ascii="Calibri Light" w:hAnsi="Calibri Light"/>
                <w:b w:val="0"/>
              </w:rPr>
              <w:t xml:space="preserve">. </w:t>
            </w:r>
            <w:r w:rsidR="00E36B8B" w:rsidRPr="00336DF8">
              <w:rPr>
                <w:rFonts w:ascii="Calibri Light" w:hAnsi="Calibri Light"/>
                <w:b w:val="0"/>
              </w:rPr>
              <w:t xml:space="preserve">En </w:t>
            </w:r>
            <w:r w:rsidR="00E36B8B" w:rsidRPr="006877B2">
              <w:rPr>
                <w:rFonts w:ascii="Calibri Light" w:hAnsi="Calibri Light"/>
                <w:b w:val="0"/>
              </w:rPr>
              <w:t>cuanto a la complejidad del</w:t>
            </w:r>
            <w:r w:rsidR="00E36B8B" w:rsidRPr="00336DF8">
              <w:rPr>
                <w:rFonts w:ascii="Calibri Light" w:hAnsi="Calibri Light"/>
                <w:b w:val="0"/>
              </w:rPr>
              <w:t xml:space="preserve"> asunto,</w:t>
            </w:r>
            <w:r w:rsidR="00E36B8B">
              <w:rPr>
                <w:rFonts w:ascii="Calibri Light" w:hAnsi="Calibri Light"/>
                <w:b w:val="0"/>
              </w:rPr>
              <w:t xml:space="preserve"> consideró que</w:t>
            </w:r>
            <w:r w:rsidR="00E36B8B" w:rsidRPr="00336DF8">
              <w:rPr>
                <w:rFonts w:ascii="Calibri Light" w:hAnsi="Calibri Light"/>
                <w:b w:val="0"/>
              </w:rPr>
              <w:t xml:space="preserve"> no se trataba de un hecho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>complejo</w:t>
            </w:r>
            <w:r w:rsidR="00C1745B">
              <w:rPr>
                <w:rFonts w:ascii="Calibri Light" w:hAnsi="Calibri Light"/>
                <w:b w:val="0"/>
              </w:rPr>
              <w:t xml:space="preserve"> -al tratarse de la muerte de una única persona-</w:t>
            </w:r>
            <w:r>
              <w:rPr>
                <w:rFonts w:ascii="Calibri Light" w:hAnsi="Calibri Light"/>
                <w:b w:val="0"/>
              </w:rPr>
              <w:t xml:space="preserve"> y que el</w:t>
            </w:r>
            <w:r w:rsidR="00E36B8B" w:rsidRPr="00336DF8">
              <w:rPr>
                <w:rFonts w:ascii="Calibri Light" w:hAnsi="Calibri Light"/>
                <w:b w:val="0"/>
              </w:rPr>
              <w:t xml:space="preserve"> Estado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 xml:space="preserve">no argumentó </w:t>
            </w:r>
            <w:r w:rsidR="00E311F4">
              <w:rPr>
                <w:rFonts w:ascii="Calibri Light" w:hAnsi="Calibri Light"/>
                <w:b w:val="0"/>
              </w:rPr>
              <w:t>lo contrario</w:t>
            </w:r>
            <w:r w:rsidR="00E36B8B">
              <w:rPr>
                <w:rFonts w:ascii="Calibri Light" w:hAnsi="Calibri Light"/>
                <w:b w:val="0"/>
              </w:rPr>
              <w:t>. Sobre la actuación de</w:t>
            </w:r>
            <w:r>
              <w:rPr>
                <w:rFonts w:ascii="Calibri Light" w:hAnsi="Calibri Light"/>
                <w:b w:val="0"/>
              </w:rPr>
              <w:t xml:space="preserve"> la</w:t>
            </w:r>
            <w:r w:rsidR="00E36B8B">
              <w:rPr>
                <w:rFonts w:ascii="Calibri Light" w:hAnsi="Calibri Light"/>
                <w:b w:val="0"/>
              </w:rPr>
              <w:t xml:space="preserve"> parte interesada</w:t>
            </w:r>
            <w:r w:rsidR="00E36B8B" w:rsidRPr="00336DF8">
              <w:rPr>
                <w:rFonts w:ascii="Calibri Light" w:hAnsi="Calibri Light"/>
                <w:b w:val="0"/>
              </w:rPr>
              <w:t xml:space="preserve">, </w:t>
            </w:r>
            <w:r w:rsidR="00E36B8B">
              <w:rPr>
                <w:rFonts w:ascii="Calibri Light" w:hAnsi="Calibri Light"/>
                <w:b w:val="0"/>
              </w:rPr>
              <w:t>observó</w:t>
            </w:r>
            <w:r w:rsidR="00E36B8B" w:rsidRPr="00336DF8">
              <w:rPr>
                <w:rFonts w:ascii="Calibri Light" w:hAnsi="Calibri Light"/>
                <w:b w:val="0"/>
              </w:rPr>
              <w:t xml:space="preserve"> que la madre de la víctima</w:t>
            </w:r>
            <w:r w:rsidR="00E36B8B">
              <w:rPr>
                <w:rFonts w:ascii="Calibri Light" w:hAnsi="Calibri Light"/>
                <w:b w:val="0"/>
              </w:rPr>
              <w:t xml:space="preserve"> no</w:t>
            </w:r>
            <w:r w:rsidR="00E36B8B" w:rsidRPr="00336DF8">
              <w:rPr>
                <w:rFonts w:ascii="Calibri Light" w:hAnsi="Calibri Light"/>
                <w:b w:val="0"/>
              </w:rPr>
              <w:t xml:space="preserve"> obstaculizó las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>investigaciones</w:t>
            </w:r>
            <w:r w:rsidR="00E36B8B">
              <w:rPr>
                <w:rFonts w:ascii="Calibri Light" w:hAnsi="Calibri Light"/>
                <w:b w:val="0"/>
              </w:rPr>
              <w:t>; po</w:t>
            </w:r>
            <w:r w:rsidR="00E36B8B" w:rsidRPr="00336DF8">
              <w:rPr>
                <w:rFonts w:ascii="Calibri Light" w:hAnsi="Calibri Light"/>
                <w:b w:val="0"/>
              </w:rPr>
              <w:t xml:space="preserve">r el contrario, las mismas </w:t>
            </w:r>
            <w:r w:rsidR="00E36B8B">
              <w:rPr>
                <w:rFonts w:ascii="Calibri Light" w:hAnsi="Calibri Light"/>
                <w:b w:val="0"/>
              </w:rPr>
              <w:t>se dieron</w:t>
            </w:r>
            <w:r w:rsidR="00E36B8B" w:rsidRPr="00336DF8">
              <w:rPr>
                <w:rFonts w:ascii="Calibri Light" w:hAnsi="Calibri Light"/>
                <w:b w:val="0"/>
              </w:rPr>
              <w:t xml:space="preserve"> a iniciativa suya.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 xml:space="preserve">Respecto de la conducta del Estado, </w:t>
            </w:r>
            <w:r>
              <w:rPr>
                <w:rFonts w:ascii="Calibri Light" w:hAnsi="Calibri Light"/>
                <w:b w:val="0"/>
              </w:rPr>
              <w:t>identificó</w:t>
            </w:r>
            <w:r w:rsidR="00E36B8B" w:rsidRPr="00336DF8">
              <w:rPr>
                <w:rFonts w:ascii="Calibri Light" w:hAnsi="Calibri Light"/>
                <w:b w:val="0"/>
              </w:rPr>
              <w:t xml:space="preserve"> elementos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>de</w:t>
            </w:r>
            <w:r w:rsidR="00E36B8B" w:rsidRPr="00336DF8">
              <w:rPr>
                <w:rFonts w:ascii="Calibri Light" w:hAnsi="Calibri Light"/>
                <w:b w:val="0"/>
              </w:rPr>
              <w:t xml:space="preserve"> demora</w:t>
            </w:r>
            <w:r w:rsidR="00F74E56">
              <w:rPr>
                <w:rFonts w:ascii="Calibri Light" w:hAnsi="Calibri Light"/>
                <w:b w:val="0"/>
              </w:rPr>
              <w:t xml:space="preserve"> como</w:t>
            </w:r>
            <w:r w:rsidR="00E36B8B" w:rsidRPr="00336DF8">
              <w:rPr>
                <w:rFonts w:ascii="Calibri Light" w:hAnsi="Calibri Light"/>
                <w:b w:val="0"/>
              </w:rPr>
              <w:t xml:space="preserve"> la </w:t>
            </w:r>
            <w:r>
              <w:rPr>
                <w:rFonts w:ascii="Calibri Light" w:hAnsi="Calibri Light"/>
                <w:b w:val="0"/>
              </w:rPr>
              <w:t>convocatoria de los declarantes</w:t>
            </w:r>
            <w:r w:rsidR="00E36B8B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>y la contienda de competencia</w:t>
            </w:r>
            <w:r w:rsidR="00E36B8B">
              <w:rPr>
                <w:rFonts w:ascii="Calibri Light" w:hAnsi="Calibri Light"/>
                <w:b w:val="0"/>
              </w:rPr>
              <w:t xml:space="preserve">. </w:t>
            </w:r>
            <w:r w:rsidR="00B34409">
              <w:rPr>
                <w:rFonts w:ascii="Calibri Light" w:hAnsi="Calibri Light"/>
                <w:b w:val="0"/>
              </w:rPr>
              <w:t>Por todo ello</w:t>
            </w:r>
            <w:r w:rsidR="00E36B8B" w:rsidRPr="00336DF8">
              <w:rPr>
                <w:rFonts w:ascii="Calibri Light" w:hAnsi="Calibri Light"/>
                <w:b w:val="0"/>
              </w:rPr>
              <w:t>, consider</w:t>
            </w:r>
            <w:r w:rsidR="00E36B8B">
              <w:rPr>
                <w:rFonts w:ascii="Calibri Light" w:hAnsi="Calibri Light"/>
                <w:b w:val="0"/>
              </w:rPr>
              <w:t>ó</w:t>
            </w:r>
            <w:r w:rsidR="00E36B8B" w:rsidRPr="00336DF8">
              <w:rPr>
                <w:rFonts w:ascii="Calibri Light" w:hAnsi="Calibri Light"/>
                <w:b w:val="0"/>
              </w:rPr>
              <w:t xml:space="preserve"> que se </w:t>
            </w:r>
            <w:r w:rsidR="00E36B8B">
              <w:rPr>
                <w:rFonts w:ascii="Calibri Light" w:hAnsi="Calibri Light"/>
                <w:b w:val="0"/>
              </w:rPr>
              <w:t>había vulnerado</w:t>
            </w:r>
            <w:r w:rsidR="00E36B8B" w:rsidRPr="00336DF8">
              <w:rPr>
                <w:rFonts w:ascii="Calibri Light" w:hAnsi="Calibri Light"/>
                <w:b w:val="0"/>
              </w:rPr>
              <w:t xml:space="preserve"> </w:t>
            </w:r>
            <w:r w:rsidR="00B34409">
              <w:rPr>
                <w:rFonts w:ascii="Calibri Light" w:hAnsi="Calibri Light"/>
                <w:b w:val="0"/>
              </w:rPr>
              <w:t>este</w:t>
            </w:r>
            <w:r w:rsidR="00B34409" w:rsidRPr="00336DF8">
              <w:rPr>
                <w:rFonts w:ascii="Calibri Light" w:hAnsi="Calibri Light"/>
                <w:b w:val="0"/>
              </w:rPr>
              <w:t xml:space="preserve"> </w:t>
            </w:r>
            <w:r w:rsidR="00E36B8B" w:rsidRPr="00336DF8">
              <w:rPr>
                <w:rFonts w:ascii="Calibri Light" w:hAnsi="Calibri Light"/>
                <w:b w:val="0"/>
              </w:rPr>
              <w:t>principio.</w:t>
            </w:r>
          </w:p>
          <w:p w14:paraId="4F6D476B" w14:textId="77777777" w:rsidR="00E36B8B" w:rsidRDefault="00E36B8B" w:rsidP="003C05E0">
            <w:pPr>
              <w:jc w:val="both"/>
              <w:rPr>
                <w:rFonts w:ascii="Calibri Light" w:hAnsi="Calibri Light"/>
                <w:b w:val="0"/>
              </w:rPr>
            </w:pPr>
          </w:p>
          <w:p w14:paraId="3CB883F2" w14:textId="1D65D57D" w:rsidR="00197CAE" w:rsidRDefault="009D7702" w:rsidP="00197CAE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Por otra parte, l</w:t>
            </w:r>
            <w:r w:rsidR="00D3729B">
              <w:rPr>
                <w:rFonts w:ascii="Calibri Light" w:hAnsi="Calibri Light"/>
                <w:b w:val="0"/>
              </w:rPr>
              <w:t xml:space="preserve">a CIDH </w:t>
            </w:r>
            <w:r w:rsidR="00606FDD">
              <w:rPr>
                <w:rFonts w:ascii="Calibri Light" w:hAnsi="Calibri Light"/>
                <w:b w:val="0"/>
              </w:rPr>
              <w:t>identificó una serie de faltas del Estado a su deber de investigar con debida diligencia los casos de muerte bajo su custodia</w:t>
            </w:r>
            <w:r w:rsidR="00944960">
              <w:rPr>
                <w:rFonts w:ascii="Calibri Light" w:hAnsi="Calibri Light"/>
                <w:b w:val="0"/>
              </w:rPr>
              <w:t>, entre las cuales se encontraba que</w:t>
            </w:r>
            <w:r w:rsidR="00606FDD">
              <w:rPr>
                <w:rFonts w:ascii="Calibri Light" w:hAnsi="Calibri Light"/>
                <w:b w:val="0"/>
              </w:rPr>
              <w:t>: i)</w:t>
            </w:r>
            <w:r w:rsidR="002B0BDC" w:rsidRPr="002B0BDC">
              <w:rPr>
                <w:rFonts w:ascii="Calibri Light" w:hAnsi="Calibri Light"/>
                <w:b w:val="0"/>
              </w:rPr>
              <w:t xml:space="preserve"> la primera acción judicial en la jurisdicción penal ordinaria </w:t>
            </w:r>
            <w:r w:rsidR="00400792">
              <w:rPr>
                <w:rFonts w:ascii="Calibri Light" w:hAnsi="Calibri Light"/>
                <w:b w:val="0"/>
              </w:rPr>
              <w:t>ocurrió casi siete meses después de la muerte</w:t>
            </w:r>
            <w:r w:rsidR="00606FDD">
              <w:rPr>
                <w:rFonts w:ascii="Calibri Light" w:hAnsi="Calibri Light"/>
                <w:b w:val="0"/>
              </w:rPr>
              <w:t>; ii)</w:t>
            </w:r>
            <w:r w:rsidR="002B0BDC">
              <w:rPr>
                <w:rFonts w:ascii="Calibri Light" w:hAnsi="Calibri Light"/>
                <w:b w:val="0"/>
              </w:rPr>
              <w:t xml:space="preserve"> </w:t>
            </w:r>
            <w:r w:rsidR="002B0BDC" w:rsidRPr="002B0BDC">
              <w:rPr>
                <w:rFonts w:ascii="Calibri Light" w:hAnsi="Calibri Light"/>
                <w:b w:val="0"/>
              </w:rPr>
              <w:t xml:space="preserve">en relación con la práctica </w:t>
            </w:r>
            <w:r w:rsidR="002B0BDC" w:rsidRPr="001447F4">
              <w:rPr>
                <w:rFonts w:ascii="Calibri Light" w:hAnsi="Calibri Light"/>
                <w:b w:val="0"/>
              </w:rPr>
              <w:t xml:space="preserve">de pruebas testimoniales, </w:t>
            </w:r>
            <w:r w:rsidR="002B0BDC" w:rsidRPr="002B0BDC">
              <w:rPr>
                <w:rFonts w:ascii="Calibri Light" w:hAnsi="Calibri Light"/>
                <w:b w:val="0"/>
              </w:rPr>
              <w:t>s</w:t>
            </w:r>
            <w:r w:rsidR="001447F4">
              <w:rPr>
                <w:rFonts w:ascii="Calibri Light" w:hAnsi="Calibri Light"/>
                <w:b w:val="0"/>
              </w:rPr>
              <w:t>o</w:t>
            </w:r>
            <w:r w:rsidR="002B0BDC" w:rsidRPr="002B0BDC">
              <w:rPr>
                <w:rFonts w:ascii="Calibri Light" w:hAnsi="Calibri Light"/>
                <w:b w:val="0"/>
              </w:rPr>
              <w:t>lo se concretaron dos</w:t>
            </w:r>
            <w:r w:rsidR="002B0BDC">
              <w:rPr>
                <w:rFonts w:ascii="Calibri Light" w:hAnsi="Calibri Light"/>
                <w:b w:val="0"/>
              </w:rPr>
              <w:t xml:space="preserve"> </w:t>
            </w:r>
            <w:r w:rsidR="002B0BDC" w:rsidRPr="002B0BDC">
              <w:rPr>
                <w:rFonts w:ascii="Calibri Light" w:hAnsi="Calibri Light"/>
                <w:b w:val="0"/>
              </w:rPr>
              <w:t>entrevistas</w:t>
            </w:r>
            <w:r w:rsidR="00400792">
              <w:rPr>
                <w:rFonts w:ascii="Calibri Light" w:hAnsi="Calibri Light"/>
                <w:b w:val="0"/>
              </w:rPr>
              <w:t xml:space="preserve"> y</w:t>
            </w:r>
            <w:r w:rsidR="001447F4">
              <w:rPr>
                <w:rFonts w:ascii="Calibri Light" w:hAnsi="Calibri Light"/>
                <w:b w:val="0"/>
              </w:rPr>
              <w:t xml:space="preserve"> la Fiscalía volcó sobre la señora Noguera la obligación de proveer las direcciones de estos testigos</w:t>
            </w:r>
            <w:r w:rsidR="00606FDD">
              <w:rPr>
                <w:rFonts w:ascii="Calibri Light" w:hAnsi="Calibri Light"/>
                <w:b w:val="0"/>
              </w:rPr>
              <w:t>; iii)</w:t>
            </w:r>
            <w:r w:rsidR="00C8378E">
              <w:rPr>
                <w:rFonts w:ascii="Calibri Light" w:hAnsi="Calibri Light"/>
                <w:b w:val="0"/>
              </w:rPr>
              <w:t xml:space="preserve"> </w:t>
            </w:r>
            <w:r w:rsidR="00C8378E" w:rsidRPr="00C8378E">
              <w:rPr>
                <w:rFonts w:ascii="Calibri Light" w:hAnsi="Calibri Light"/>
                <w:b w:val="0"/>
              </w:rPr>
              <w:t xml:space="preserve">respecto de la </w:t>
            </w:r>
            <w:r w:rsidR="00C8378E" w:rsidRPr="001447F4">
              <w:rPr>
                <w:rFonts w:ascii="Calibri Light" w:hAnsi="Calibri Light"/>
                <w:b w:val="0"/>
              </w:rPr>
              <w:t>conducción de las autopsias</w:t>
            </w:r>
            <w:r w:rsidR="00C8378E" w:rsidRPr="00C8378E">
              <w:rPr>
                <w:rFonts w:ascii="Calibri Light" w:hAnsi="Calibri Light"/>
                <w:b w:val="0"/>
              </w:rPr>
              <w:t>, la causa de la muerte está expresada y atribuida</w:t>
            </w:r>
            <w:r w:rsidR="00C8378E">
              <w:rPr>
                <w:rFonts w:ascii="Calibri Light" w:hAnsi="Calibri Light"/>
                <w:b w:val="0"/>
              </w:rPr>
              <w:t xml:space="preserve"> </w:t>
            </w:r>
            <w:r w:rsidR="00C8378E" w:rsidRPr="00C8378E">
              <w:rPr>
                <w:rFonts w:ascii="Calibri Light" w:hAnsi="Calibri Light"/>
                <w:b w:val="0"/>
              </w:rPr>
              <w:t xml:space="preserve">únicamente a una infección pulmonar, </w:t>
            </w:r>
            <w:r w:rsidR="00400792">
              <w:rPr>
                <w:rFonts w:ascii="Calibri Light" w:hAnsi="Calibri Light"/>
                <w:b w:val="0"/>
              </w:rPr>
              <w:t>sin</w:t>
            </w:r>
            <w:r w:rsidR="00C8378E" w:rsidRPr="00C8378E">
              <w:rPr>
                <w:rFonts w:ascii="Calibri Light" w:hAnsi="Calibri Light"/>
                <w:b w:val="0"/>
              </w:rPr>
              <w:t xml:space="preserve"> ningún análisis que relacione la enfermedad con el</w:t>
            </w:r>
            <w:r w:rsidR="00C8378E">
              <w:rPr>
                <w:rFonts w:ascii="Calibri Light" w:hAnsi="Calibri Light"/>
                <w:b w:val="0"/>
              </w:rPr>
              <w:t xml:space="preserve"> </w:t>
            </w:r>
            <w:r w:rsidR="00C8378E" w:rsidRPr="00C8378E">
              <w:rPr>
                <w:rFonts w:ascii="Calibri Light" w:hAnsi="Calibri Light"/>
                <w:b w:val="0"/>
              </w:rPr>
              <w:t xml:space="preserve">entorno contextual y condiciones </w:t>
            </w:r>
            <w:r w:rsidR="00400792">
              <w:rPr>
                <w:rFonts w:ascii="Calibri Light" w:hAnsi="Calibri Light"/>
                <w:b w:val="0"/>
              </w:rPr>
              <w:t>de</w:t>
            </w:r>
            <w:r w:rsidR="00606FDD">
              <w:rPr>
                <w:rFonts w:ascii="Calibri Light" w:hAnsi="Calibri Light"/>
                <w:b w:val="0"/>
              </w:rPr>
              <w:t xml:space="preserve"> vida; iv)</w:t>
            </w:r>
            <w:r w:rsidR="000E6005">
              <w:rPr>
                <w:rFonts w:ascii="Calibri Light" w:hAnsi="Calibri Light"/>
                <w:b w:val="0"/>
              </w:rPr>
              <w:t xml:space="preserve"> </w:t>
            </w:r>
            <w:r w:rsidR="005778FF" w:rsidRPr="005778FF">
              <w:rPr>
                <w:rFonts w:ascii="Calibri Light" w:hAnsi="Calibri Light"/>
                <w:b w:val="0"/>
              </w:rPr>
              <w:t xml:space="preserve">la </w:t>
            </w:r>
            <w:r w:rsidR="001447F4">
              <w:rPr>
                <w:rFonts w:ascii="Calibri Light" w:hAnsi="Calibri Light"/>
                <w:b w:val="0"/>
              </w:rPr>
              <w:t>señora Noguera</w:t>
            </w:r>
            <w:r w:rsidR="005778FF" w:rsidRPr="005778FF">
              <w:rPr>
                <w:rFonts w:ascii="Calibri Light" w:hAnsi="Calibri Light"/>
                <w:b w:val="0"/>
              </w:rPr>
              <w:t xml:space="preserve"> mencionó la existencia de declaraciones que </w:t>
            </w:r>
            <w:r w:rsidR="00400792">
              <w:rPr>
                <w:rFonts w:ascii="Calibri Light" w:hAnsi="Calibri Light"/>
                <w:b w:val="0"/>
              </w:rPr>
              <w:t>describieron que</w:t>
            </w:r>
            <w:r w:rsidR="005778FF" w:rsidRPr="005778FF">
              <w:rPr>
                <w:rFonts w:ascii="Calibri Light" w:hAnsi="Calibri Light"/>
                <w:b w:val="0"/>
              </w:rPr>
              <w:t xml:space="preserve"> </w:t>
            </w:r>
            <w:r w:rsidR="001447F4">
              <w:rPr>
                <w:rFonts w:ascii="Calibri Light" w:hAnsi="Calibri Light"/>
                <w:b w:val="0"/>
              </w:rPr>
              <w:t>la</w:t>
            </w:r>
            <w:r w:rsidR="005778FF" w:rsidRPr="005778FF">
              <w:rPr>
                <w:rFonts w:ascii="Calibri Light" w:hAnsi="Calibri Light"/>
                <w:b w:val="0"/>
              </w:rPr>
              <w:t xml:space="preserve"> muerte no fue un hecho accidental, lo que sumado a</w:t>
            </w:r>
            <w:r w:rsidR="001447F4">
              <w:rPr>
                <w:rFonts w:ascii="Calibri Light" w:hAnsi="Calibri Light"/>
                <w:b w:val="0"/>
              </w:rPr>
              <w:t>l</w:t>
            </w:r>
            <w:r w:rsidR="005778FF" w:rsidRPr="005778FF">
              <w:rPr>
                <w:rFonts w:ascii="Calibri Light" w:hAnsi="Calibri Light"/>
                <w:b w:val="0"/>
              </w:rPr>
              <w:t xml:space="preserve"> contexto de abusos</w:t>
            </w:r>
            <w:r w:rsidR="005778FF">
              <w:rPr>
                <w:rFonts w:ascii="Calibri Light" w:hAnsi="Calibri Light"/>
                <w:b w:val="0"/>
              </w:rPr>
              <w:t xml:space="preserve"> </w:t>
            </w:r>
            <w:r w:rsidR="005778FF" w:rsidRPr="005778FF">
              <w:rPr>
                <w:rFonts w:ascii="Calibri Light" w:hAnsi="Calibri Light"/>
                <w:b w:val="0"/>
              </w:rPr>
              <w:t>en el servicio militar, debió activar una</w:t>
            </w:r>
            <w:r w:rsidR="005778FF">
              <w:rPr>
                <w:rFonts w:ascii="Calibri Light" w:hAnsi="Calibri Light"/>
                <w:b w:val="0"/>
              </w:rPr>
              <w:t xml:space="preserve"> </w:t>
            </w:r>
            <w:r w:rsidR="005778FF" w:rsidRPr="005778FF">
              <w:rPr>
                <w:rFonts w:ascii="Calibri Light" w:hAnsi="Calibri Light"/>
                <w:b w:val="0"/>
              </w:rPr>
              <w:t>línea lógica de investigación</w:t>
            </w:r>
            <w:r w:rsidR="00B34409">
              <w:rPr>
                <w:rFonts w:ascii="Calibri Light" w:hAnsi="Calibri Light"/>
                <w:b w:val="0"/>
              </w:rPr>
              <w:t xml:space="preserve"> al respecto</w:t>
            </w:r>
            <w:r w:rsidR="00606FDD">
              <w:rPr>
                <w:rFonts w:ascii="Calibri Light" w:hAnsi="Calibri Light"/>
                <w:b w:val="0"/>
              </w:rPr>
              <w:t>; v)</w:t>
            </w:r>
            <w:r w:rsidR="005778FF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la inactividad procesal de las partes era un motivo legalmente establecido para el archivo</w:t>
            </w:r>
            <w:r w:rsidR="001447F4">
              <w:rPr>
                <w:rFonts w:ascii="Calibri Light" w:hAnsi="Calibri Light"/>
                <w:b w:val="0"/>
              </w:rPr>
              <w:t>, pero l</w:t>
            </w:r>
            <w:r w:rsidR="00197CAE" w:rsidRPr="00197CAE">
              <w:rPr>
                <w:rFonts w:ascii="Calibri Light" w:hAnsi="Calibri Light"/>
                <w:b w:val="0"/>
              </w:rPr>
              <w:t xml:space="preserve">a inactividad de la madre no podía ser motivo para que </w:t>
            </w:r>
            <w:r w:rsidR="00400792">
              <w:rPr>
                <w:rFonts w:ascii="Calibri Light" w:hAnsi="Calibri Light"/>
                <w:b w:val="0"/>
              </w:rPr>
              <w:t>se</w:t>
            </w:r>
            <w:r w:rsidR="00197CAE" w:rsidRPr="00197CAE">
              <w:rPr>
                <w:rFonts w:ascii="Calibri Light" w:hAnsi="Calibri Light"/>
                <w:b w:val="0"/>
              </w:rPr>
              <w:t xml:space="preserve"> archivase una</w:t>
            </w:r>
            <w:r w:rsidR="00197CAE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causa penal cuyo impulso procesal</w:t>
            </w:r>
            <w:r w:rsidR="001447F4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recae en las autoridades</w:t>
            </w:r>
            <w:r w:rsidR="00197CAE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estatales</w:t>
            </w:r>
            <w:r w:rsidR="00606FDD">
              <w:rPr>
                <w:rFonts w:ascii="Calibri Light" w:hAnsi="Calibri Light"/>
                <w:b w:val="0"/>
              </w:rPr>
              <w:t>; y vi)</w:t>
            </w:r>
            <w:r w:rsidR="00197CAE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en un período de seis años, el ejercicio</w:t>
            </w:r>
            <w:r w:rsidR="00197CAE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 xml:space="preserve">probatorio construido </w:t>
            </w:r>
            <w:r w:rsidR="00B34409">
              <w:rPr>
                <w:rFonts w:ascii="Calibri Light" w:hAnsi="Calibri Light"/>
                <w:b w:val="0"/>
              </w:rPr>
              <w:t>fue</w:t>
            </w:r>
            <w:r w:rsidR="00B34409" w:rsidRPr="00197CAE">
              <w:rPr>
                <w:rFonts w:ascii="Calibri Light" w:hAnsi="Calibri Light"/>
                <w:b w:val="0"/>
              </w:rPr>
              <w:t xml:space="preserve"> </w:t>
            </w:r>
            <w:r w:rsidR="00197CAE" w:rsidRPr="00197CAE">
              <w:rPr>
                <w:rFonts w:ascii="Calibri Light" w:hAnsi="Calibri Light"/>
                <w:b w:val="0"/>
              </w:rPr>
              <w:t>sumamente limitado</w:t>
            </w:r>
            <w:r w:rsidR="00400792">
              <w:rPr>
                <w:rFonts w:ascii="Calibri Light" w:hAnsi="Calibri Light"/>
                <w:b w:val="0"/>
              </w:rPr>
              <w:t xml:space="preserve">, ya que solo se tomaron dos declaraciones y </w:t>
            </w:r>
            <w:r w:rsidR="00606FDD">
              <w:rPr>
                <w:rFonts w:ascii="Calibri Light" w:hAnsi="Calibri Light"/>
                <w:b w:val="0"/>
              </w:rPr>
              <w:t xml:space="preserve">la </w:t>
            </w:r>
            <w:r w:rsidR="00400792">
              <w:rPr>
                <w:rFonts w:ascii="Calibri Light" w:hAnsi="Calibri Light"/>
                <w:b w:val="0"/>
              </w:rPr>
              <w:t>poca prueba fotográfica de la primera autopsia</w:t>
            </w:r>
            <w:r w:rsidR="00606FDD">
              <w:rPr>
                <w:rFonts w:ascii="Calibri Light" w:hAnsi="Calibri Light"/>
                <w:b w:val="0"/>
              </w:rPr>
              <w:t xml:space="preserve"> </w:t>
            </w:r>
            <w:r w:rsidR="00944960">
              <w:rPr>
                <w:rFonts w:ascii="Calibri Light" w:hAnsi="Calibri Light"/>
                <w:b w:val="0"/>
              </w:rPr>
              <w:t>tuvo que ser solicitada</w:t>
            </w:r>
            <w:r w:rsidR="00606FDD">
              <w:rPr>
                <w:rFonts w:ascii="Calibri Light" w:hAnsi="Calibri Light"/>
                <w:b w:val="0"/>
              </w:rPr>
              <w:t xml:space="preserve"> a un medio de prensa</w:t>
            </w:r>
            <w:r w:rsidR="00197CAE" w:rsidRPr="00197CAE">
              <w:rPr>
                <w:rFonts w:ascii="Calibri Light" w:hAnsi="Calibri Light"/>
                <w:b w:val="0"/>
              </w:rPr>
              <w:t xml:space="preserve">. </w:t>
            </w:r>
          </w:p>
          <w:p w14:paraId="48CE0BC8" w14:textId="77777777" w:rsidR="00336DF8" w:rsidRDefault="00336DF8" w:rsidP="00197CAE">
            <w:pPr>
              <w:jc w:val="both"/>
              <w:rPr>
                <w:rFonts w:ascii="Calibri Light" w:hAnsi="Calibri Light"/>
                <w:b w:val="0"/>
              </w:rPr>
            </w:pPr>
          </w:p>
          <w:p w14:paraId="30921248" w14:textId="7F270D92" w:rsidR="00BA2B50" w:rsidRPr="00336DF8" w:rsidRDefault="00394D84" w:rsidP="00FF34AE">
            <w:pPr>
              <w:jc w:val="both"/>
              <w:rPr>
                <w:rFonts w:ascii="Calibri Light" w:hAnsi="Calibri Light"/>
                <w:b w:val="0"/>
              </w:rPr>
            </w:pPr>
            <w:r w:rsidRPr="00336DF8">
              <w:rPr>
                <w:rFonts w:ascii="Calibri Light" w:hAnsi="Calibri Light"/>
                <w:b w:val="0"/>
              </w:rPr>
              <w:t>En virtud de</w:t>
            </w:r>
            <w:r w:rsidR="000A45F9">
              <w:rPr>
                <w:rFonts w:ascii="Calibri Light" w:hAnsi="Calibri Light"/>
                <w:b w:val="0"/>
              </w:rPr>
              <w:t xml:space="preserve"> lo anterior</w:t>
            </w:r>
            <w:r w:rsidR="00A5781A" w:rsidRPr="00336DF8">
              <w:rPr>
                <w:rFonts w:ascii="Calibri Light" w:hAnsi="Calibri Light"/>
                <w:b w:val="0"/>
              </w:rPr>
              <w:t>,</w:t>
            </w:r>
            <w:r w:rsidR="00BA2B50" w:rsidRPr="00336DF8">
              <w:rPr>
                <w:rFonts w:ascii="Calibri Light" w:hAnsi="Calibri Light"/>
                <w:b w:val="0"/>
              </w:rPr>
              <w:t xml:space="preserve"> la CIDH</w:t>
            </w:r>
            <w:r w:rsidR="00400792">
              <w:rPr>
                <w:rFonts w:ascii="Calibri Light" w:hAnsi="Calibri Light"/>
                <w:b w:val="0"/>
              </w:rPr>
              <w:t xml:space="preserve"> consideró que el Estado </w:t>
            </w:r>
            <w:r w:rsidR="00400792" w:rsidRPr="00336DF8">
              <w:rPr>
                <w:rFonts w:ascii="Calibri Light" w:hAnsi="Calibri Light"/>
                <w:b w:val="0"/>
              </w:rPr>
              <w:t xml:space="preserve">de Paraguay </w:t>
            </w:r>
            <w:r w:rsidR="00400792">
              <w:rPr>
                <w:rFonts w:ascii="Calibri Light" w:hAnsi="Calibri Light"/>
                <w:b w:val="0"/>
              </w:rPr>
              <w:t>incumplió su deber de debida diligencia en la investigación de una violación de derechos humanos, así como el plazo razonable. Por ello,</w:t>
            </w:r>
            <w:r w:rsidR="00BA2B50" w:rsidRPr="00336DF8">
              <w:rPr>
                <w:rFonts w:ascii="Calibri Light" w:hAnsi="Calibri Light"/>
                <w:b w:val="0"/>
              </w:rPr>
              <w:t xml:space="preserve"> </w:t>
            </w:r>
            <w:r w:rsidR="00A5781A" w:rsidRPr="00336DF8">
              <w:rPr>
                <w:rFonts w:ascii="Calibri Light" w:hAnsi="Calibri Light"/>
                <w:b w:val="0"/>
              </w:rPr>
              <w:t>concluyó</w:t>
            </w:r>
            <w:r w:rsidR="00400792">
              <w:rPr>
                <w:rFonts w:ascii="Calibri Light" w:hAnsi="Calibri Light"/>
                <w:b w:val="0"/>
              </w:rPr>
              <w:t xml:space="preserve"> que</w:t>
            </w:r>
            <w:r w:rsidR="00BA2B50" w:rsidRPr="00336DF8">
              <w:rPr>
                <w:rFonts w:ascii="Calibri Light" w:hAnsi="Calibri Light"/>
                <w:b w:val="0"/>
              </w:rPr>
              <w:t xml:space="preserve"> </w:t>
            </w:r>
            <w:r w:rsidR="00620BB4" w:rsidRPr="00336DF8">
              <w:rPr>
                <w:rFonts w:ascii="Calibri Light" w:hAnsi="Calibri Light"/>
                <w:b w:val="0"/>
              </w:rPr>
              <w:t xml:space="preserve">había violado </w:t>
            </w:r>
            <w:r w:rsidR="00382199" w:rsidRPr="00336DF8">
              <w:rPr>
                <w:rFonts w:ascii="Calibri Light" w:hAnsi="Calibri Light"/>
                <w:b w:val="0"/>
              </w:rPr>
              <w:t>los</w:t>
            </w:r>
            <w:r w:rsidR="00620BB4" w:rsidRPr="00336DF8">
              <w:rPr>
                <w:rFonts w:ascii="Calibri Light" w:hAnsi="Calibri Light"/>
                <w:b w:val="0"/>
              </w:rPr>
              <w:t xml:space="preserve"> artículo</w:t>
            </w:r>
            <w:r w:rsidR="00382199" w:rsidRPr="00336DF8">
              <w:rPr>
                <w:rFonts w:ascii="Calibri Light" w:hAnsi="Calibri Light"/>
                <w:b w:val="0"/>
              </w:rPr>
              <w:t>s</w:t>
            </w:r>
            <w:r w:rsidR="00336DF8" w:rsidRPr="00336DF8">
              <w:rPr>
                <w:rFonts w:ascii="Calibri Light" w:hAnsi="Calibri Light"/>
                <w:b w:val="0"/>
              </w:rPr>
              <w:t xml:space="preserve"> 8.1</w:t>
            </w:r>
            <w:r w:rsidR="00E255EC" w:rsidRPr="00336DF8">
              <w:rPr>
                <w:rFonts w:ascii="Calibri Light" w:hAnsi="Calibri Light"/>
                <w:b w:val="0"/>
              </w:rPr>
              <w:t xml:space="preserve"> y 25.1 de la CADH,</w:t>
            </w:r>
            <w:r w:rsidR="00E255EC" w:rsidRPr="00336DF8">
              <w:rPr>
                <w:rFonts w:ascii="Calibri Light" w:hAnsi="Calibri Light" w:cs="Calibri Light"/>
                <w:b w:val="0"/>
              </w:rPr>
              <w:t xml:space="preserve"> en relación con </w:t>
            </w:r>
            <w:r w:rsidR="00336DF8" w:rsidRPr="00336DF8">
              <w:rPr>
                <w:rFonts w:ascii="Calibri Light" w:hAnsi="Calibri Light" w:cs="Calibri Light"/>
                <w:b w:val="0"/>
              </w:rPr>
              <w:t>el artículo 1.1</w:t>
            </w:r>
            <w:r w:rsidR="00E255EC" w:rsidRPr="00336DF8">
              <w:rPr>
                <w:rFonts w:ascii="Calibri Light" w:hAnsi="Calibri Light" w:cs="Calibri Light"/>
                <w:b w:val="0"/>
              </w:rPr>
              <w:t xml:space="preserve">, en perjuicio </w:t>
            </w:r>
            <w:r w:rsidR="00336DF8" w:rsidRPr="00336DF8">
              <w:rPr>
                <w:rFonts w:ascii="Calibri Light" w:hAnsi="Calibri Light" w:cs="Calibri Light"/>
                <w:b w:val="0"/>
              </w:rPr>
              <w:t>de la señora Noguera</w:t>
            </w:r>
            <w:r w:rsidR="00E255EC" w:rsidRPr="00336DF8">
              <w:rPr>
                <w:rFonts w:ascii="Calibri Light" w:hAnsi="Calibri Light" w:cs="Calibri Light"/>
                <w:b w:val="0"/>
              </w:rPr>
              <w:t xml:space="preserve">. </w:t>
            </w:r>
          </w:p>
          <w:p w14:paraId="6D7DCD28" w14:textId="77777777" w:rsidR="002F7136" w:rsidRPr="00AC1C41" w:rsidRDefault="002F7136" w:rsidP="00FF34AE">
            <w:pPr>
              <w:jc w:val="both"/>
              <w:rPr>
                <w:rFonts w:ascii="Calibri Light" w:hAnsi="Calibri Light"/>
                <w:b w:val="0"/>
                <w:highlight w:val="yellow"/>
              </w:rPr>
            </w:pPr>
          </w:p>
          <w:p w14:paraId="0B44150C" w14:textId="3209D8DE" w:rsidR="00FF34AE" w:rsidRPr="00C9116C" w:rsidRDefault="00C9116C" w:rsidP="00FF34AE">
            <w:pPr>
              <w:jc w:val="both"/>
              <w:rPr>
                <w:rFonts w:ascii="Calibri Light" w:hAnsi="Calibri Light"/>
              </w:rPr>
            </w:pPr>
            <w:r w:rsidRPr="00C9116C">
              <w:rPr>
                <w:rFonts w:ascii="Calibri Light" w:hAnsi="Calibri Light"/>
              </w:rPr>
              <w:t>La prestación del servicio militar por menores de edad y los derechos del niño</w:t>
            </w:r>
            <w:r w:rsidR="00FF34AE" w:rsidRPr="00C9116C">
              <w:rPr>
                <w:rFonts w:ascii="Calibri Light" w:hAnsi="Calibri Light"/>
              </w:rPr>
              <w:t xml:space="preserve"> (artículo</w:t>
            </w:r>
            <w:r w:rsidR="00987DF7" w:rsidRPr="00C9116C">
              <w:rPr>
                <w:rFonts w:ascii="Calibri Light" w:hAnsi="Calibri Light"/>
              </w:rPr>
              <w:t xml:space="preserve"> </w:t>
            </w:r>
            <w:r w:rsidRPr="00C9116C">
              <w:rPr>
                <w:rFonts w:ascii="Calibri Light" w:hAnsi="Calibri Light"/>
              </w:rPr>
              <w:t>19</w:t>
            </w:r>
            <w:r w:rsidR="00FF34AE" w:rsidRPr="00C9116C">
              <w:rPr>
                <w:rFonts w:ascii="Calibri Light" w:hAnsi="Calibri Light"/>
              </w:rPr>
              <w:t xml:space="preserve"> de la CADH)</w:t>
            </w:r>
          </w:p>
          <w:p w14:paraId="4DE833DE" w14:textId="77777777" w:rsidR="00FF34AE" w:rsidRPr="00AC1C41" w:rsidRDefault="00FF34AE" w:rsidP="00FF34AE">
            <w:pPr>
              <w:jc w:val="both"/>
              <w:rPr>
                <w:rFonts w:ascii="Calibri Light" w:hAnsi="Calibri Light"/>
                <w:b w:val="0"/>
                <w:highlight w:val="yellow"/>
              </w:rPr>
            </w:pPr>
          </w:p>
          <w:p w14:paraId="2D423F28" w14:textId="3C4D7B46" w:rsidR="00354A82" w:rsidRDefault="00E255EC" w:rsidP="00BF66C3">
            <w:pPr>
              <w:jc w:val="both"/>
              <w:rPr>
                <w:rFonts w:ascii="Calibri Light" w:hAnsi="Calibri Light"/>
                <w:b w:val="0"/>
              </w:rPr>
            </w:pPr>
            <w:r w:rsidRPr="00336DF8">
              <w:rPr>
                <w:rFonts w:ascii="Calibri Light" w:hAnsi="Calibri Light"/>
                <w:b w:val="0"/>
              </w:rPr>
              <w:t xml:space="preserve">La </w:t>
            </w:r>
            <w:r w:rsidR="003529D0" w:rsidRPr="00336DF8">
              <w:rPr>
                <w:rFonts w:ascii="Calibri Light" w:hAnsi="Calibri Light"/>
                <w:b w:val="0"/>
              </w:rPr>
              <w:t>CIDH</w:t>
            </w:r>
            <w:r w:rsidRPr="00336DF8">
              <w:rPr>
                <w:rFonts w:ascii="Calibri Light" w:hAnsi="Calibri Light"/>
                <w:b w:val="0"/>
              </w:rPr>
              <w:t xml:space="preserve"> y la Corte </w:t>
            </w:r>
            <w:r w:rsidR="003529D0" w:rsidRPr="00336DF8">
              <w:rPr>
                <w:rFonts w:ascii="Calibri Light" w:hAnsi="Calibri Light"/>
                <w:b w:val="0"/>
              </w:rPr>
              <w:t>IDH</w:t>
            </w:r>
            <w:r w:rsidRPr="00336DF8">
              <w:rPr>
                <w:rFonts w:ascii="Calibri Light" w:hAnsi="Calibri Light"/>
                <w:b w:val="0"/>
              </w:rPr>
              <w:t xml:space="preserve"> han</w:t>
            </w:r>
            <w:r w:rsidR="00336DF8">
              <w:rPr>
                <w:rFonts w:ascii="Calibri Light" w:hAnsi="Calibri Light"/>
                <w:b w:val="0"/>
              </w:rPr>
              <w:t xml:space="preserve"> </w:t>
            </w:r>
            <w:r w:rsidR="00845807">
              <w:rPr>
                <w:rFonts w:ascii="Calibri Light" w:hAnsi="Calibri Light"/>
                <w:b w:val="0"/>
              </w:rPr>
              <w:t>recurrido</w:t>
            </w:r>
            <w:r w:rsidR="00336DF8" w:rsidRPr="00336DF8">
              <w:rPr>
                <w:rFonts w:ascii="Calibri Light" w:hAnsi="Calibri Light"/>
                <w:b w:val="0"/>
              </w:rPr>
              <w:t xml:space="preserve"> a otros instrumentos internacionales </w:t>
            </w:r>
            <w:r w:rsidR="00845807">
              <w:rPr>
                <w:rFonts w:ascii="Calibri Light" w:hAnsi="Calibri Light"/>
                <w:b w:val="0"/>
              </w:rPr>
              <w:t>sobre</w:t>
            </w:r>
            <w:r w:rsidR="00336DF8" w:rsidRPr="00336DF8">
              <w:rPr>
                <w:rFonts w:ascii="Calibri Light" w:hAnsi="Calibri Light"/>
                <w:b w:val="0"/>
              </w:rPr>
              <w:t xml:space="preserve"> la protección de la niñez, que conforman el </w:t>
            </w:r>
            <w:r w:rsidR="00336DF8" w:rsidRPr="00336DF8">
              <w:rPr>
                <w:rFonts w:ascii="Calibri Light" w:hAnsi="Calibri Light"/>
                <w:b w:val="0"/>
                <w:i/>
              </w:rPr>
              <w:t>corpus juris</w:t>
            </w:r>
            <w:r w:rsidR="00336DF8" w:rsidRPr="00336DF8">
              <w:rPr>
                <w:rFonts w:ascii="Calibri Light" w:hAnsi="Calibri Light"/>
                <w:b w:val="0"/>
              </w:rPr>
              <w:t xml:space="preserve"> de los</w:t>
            </w:r>
            <w:r w:rsidR="003C57B8">
              <w:rPr>
                <w:rFonts w:ascii="Calibri Light" w:hAnsi="Calibri Light"/>
                <w:b w:val="0"/>
              </w:rPr>
              <w:t xml:space="preserve"> </w:t>
            </w:r>
            <w:r w:rsidR="00336DF8" w:rsidRPr="00336DF8">
              <w:rPr>
                <w:rFonts w:ascii="Calibri Light" w:hAnsi="Calibri Light"/>
                <w:b w:val="0"/>
              </w:rPr>
              <w:t xml:space="preserve">derechos humanos de </w:t>
            </w:r>
            <w:r w:rsidR="00D50F45">
              <w:rPr>
                <w:rFonts w:ascii="Calibri Light" w:hAnsi="Calibri Light"/>
                <w:b w:val="0"/>
              </w:rPr>
              <w:t>este grupo</w:t>
            </w:r>
            <w:r w:rsidR="003C57B8">
              <w:rPr>
                <w:rFonts w:ascii="Calibri Light" w:hAnsi="Calibri Light"/>
                <w:b w:val="0"/>
              </w:rPr>
              <w:t xml:space="preserve">. </w:t>
            </w:r>
            <w:r w:rsidR="00845807">
              <w:rPr>
                <w:rFonts w:ascii="Calibri Light" w:hAnsi="Calibri Light"/>
                <w:b w:val="0"/>
              </w:rPr>
              <w:t>Así, e</w:t>
            </w:r>
            <w:r w:rsidR="003C57B8" w:rsidRPr="003C57B8">
              <w:rPr>
                <w:rFonts w:ascii="Calibri Light" w:hAnsi="Calibri Light"/>
                <w:b w:val="0"/>
              </w:rPr>
              <w:t xml:space="preserve">l </w:t>
            </w:r>
            <w:r w:rsidR="00F74E56">
              <w:rPr>
                <w:rFonts w:ascii="Calibri Light" w:hAnsi="Calibri Light"/>
                <w:b w:val="0"/>
              </w:rPr>
              <w:t>D</w:t>
            </w:r>
            <w:r w:rsidR="003C57B8" w:rsidRPr="003C57B8">
              <w:rPr>
                <w:rFonts w:ascii="Calibri Light" w:hAnsi="Calibri Light"/>
                <w:b w:val="0"/>
              </w:rPr>
              <w:t xml:space="preserve">erecho </w:t>
            </w:r>
            <w:r w:rsidR="00F74E56">
              <w:rPr>
                <w:rFonts w:ascii="Calibri Light" w:hAnsi="Calibri Light"/>
                <w:b w:val="0"/>
              </w:rPr>
              <w:t>I</w:t>
            </w:r>
            <w:r w:rsidR="003C57B8" w:rsidRPr="003C57B8">
              <w:rPr>
                <w:rFonts w:ascii="Calibri Light" w:hAnsi="Calibri Light"/>
                <w:b w:val="0"/>
              </w:rPr>
              <w:t xml:space="preserve">nternacional prohíbe </w:t>
            </w:r>
            <w:r w:rsidR="002F7466">
              <w:rPr>
                <w:rFonts w:ascii="Calibri Light" w:hAnsi="Calibri Light"/>
                <w:b w:val="0"/>
              </w:rPr>
              <w:t xml:space="preserve">de modo general </w:t>
            </w:r>
            <w:r w:rsidR="003C57B8" w:rsidRPr="003C57B8">
              <w:rPr>
                <w:rFonts w:ascii="Calibri Light" w:hAnsi="Calibri Light"/>
                <w:b w:val="0"/>
              </w:rPr>
              <w:t>el reclutamiento de menores de 15 años</w:t>
            </w:r>
            <w:r w:rsidR="003C57B8"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 xml:space="preserve">en el </w:t>
            </w:r>
            <w:r w:rsidR="007756D8">
              <w:rPr>
                <w:rFonts w:ascii="Calibri Light" w:hAnsi="Calibri Light"/>
                <w:b w:val="0"/>
              </w:rPr>
              <w:lastRenderedPageBreak/>
              <w:t>servicio militar</w:t>
            </w:r>
            <w:r w:rsidR="003C57B8" w:rsidRPr="003C57B8">
              <w:rPr>
                <w:rFonts w:ascii="Calibri Light" w:hAnsi="Calibri Light"/>
                <w:b w:val="0"/>
              </w:rPr>
              <w:t>, pero permite el reclutamiento voluntario de niños entre 15 y 18 años</w:t>
            </w:r>
            <w:r w:rsidR="00845807">
              <w:rPr>
                <w:rFonts w:ascii="Calibri Light" w:hAnsi="Calibri Light"/>
                <w:b w:val="0"/>
              </w:rPr>
              <w:t>,</w:t>
            </w:r>
            <w:r w:rsidR="003C57B8" w:rsidRPr="003C57B8">
              <w:rPr>
                <w:rFonts w:ascii="Calibri Light" w:hAnsi="Calibri Light"/>
                <w:b w:val="0"/>
              </w:rPr>
              <w:t xml:space="preserve"> cuando</w:t>
            </w:r>
            <w:r w:rsidR="003C57B8">
              <w:rPr>
                <w:rFonts w:ascii="Calibri Light" w:hAnsi="Calibri Light"/>
                <w:b w:val="0"/>
              </w:rPr>
              <w:t xml:space="preserve"> </w:t>
            </w:r>
            <w:r w:rsidR="003C57B8" w:rsidRPr="003C57B8">
              <w:rPr>
                <w:rFonts w:ascii="Calibri Light" w:hAnsi="Calibri Light"/>
                <w:b w:val="0"/>
              </w:rPr>
              <w:t>la regulación interna no indique lo contrario.</w:t>
            </w:r>
            <w:r w:rsidR="003C57B8">
              <w:rPr>
                <w:rFonts w:ascii="Calibri Light" w:hAnsi="Calibri Light"/>
                <w:b w:val="0"/>
              </w:rPr>
              <w:t xml:space="preserve"> </w:t>
            </w:r>
            <w:r w:rsidR="005E3C44">
              <w:rPr>
                <w:rFonts w:ascii="Calibri Light" w:hAnsi="Calibri Light"/>
                <w:b w:val="0"/>
              </w:rPr>
              <w:t>Por ello, l</w:t>
            </w:r>
            <w:r w:rsidR="007756D8" w:rsidRPr="003C57B8">
              <w:rPr>
                <w:rFonts w:ascii="Calibri Light" w:hAnsi="Calibri Light"/>
                <w:b w:val="0"/>
              </w:rPr>
              <w:t xml:space="preserve">a tendencia es no </w:t>
            </w:r>
            <w:r w:rsidR="00C81723">
              <w:rPr>
                <w:rFonts w:ascii="Calibri Light" w:hAnsi="Calibri Light"/>
                <w:b w:val="0"/>
              </w:rPr>
              <w:t>incorporar</w:t>
            </w:r>
            <w:r w:rsidR="007756D8" w:rsidRPr="003C57B8">
              <w:rPr>
                <w:rFonts w:ascii="Calibri Light" w:hAnsi="Calibri Light"/>
                <w:b w:val="0"/>
              </w:rPr>
              <w:t xml:space="preserve"> a menores d</w:t>
            </w:r>
            <w:r w:rsidR="007756D8">
              <w:rPr>
                <w:rFonts w:ascii="Calibri Light" w:hAnsi="Calibri Light"/>
                <w:b w:val="0"/>
              </w:rPr>
              <w:t>e 18 años a las Fuerzas Armadas</w:t>
            </w:r>
            <w:r w:rsidR="007756D8" w:rsidRPr="003C57B8">
              <w:rPr>
                <w:rFonts w:ascii="Calibri Light" w:hAnsi="Calibri Light"/>
                <w:b w:val="0"/>
              </w:rPr>
              <w:t xml:space="preserve"> y, en todo caso, </w:t>
            </w:r>
            <w:r w:rsidR="00C81723">
              <w:rPr>
                <w:rFonts w:ascii="Calibri Light" w:hAnsi="Calibri Light"/>
                <w:b w:val="0"/>
              </w:rPr>
              <w:t xml:space="preserve">que </w:t>
            </w:r>
            <w:r w:rsidR="007756D8" w:rsidRPr="003C57B8">
              <w:rPr>
                <w:rFonts w:ascii="Calibri Light" w:hAnsi="Calibri Light"/>
                <w:b w:val="0"/>
              </w:rPr>
              <w:t>no</w:t>
            </w:r>
            <w:r w:rsidR="007756D8">
              <w:rPr>
                <w:rFonts w:ascii="Calibri Light" w:hAnsi="Calibri Light"/>
                <w:b w:val="0"/>
              </w:rPr>
              <w:t xml:space="preserve"> </w:t>
            </w:r>
            <w:r w:rsidR="007756D8" w:rsidRPr="003C57B8">
              <w:rPr>
                <w:rFonts w:ascii="Calibri Light" w:hAnsi="Calibri Light"/>
                <w:b w:val="0"/>
              </w:rPr>
              <w:t xml:space="preserve">participen directamente en hostilidades y reciban un tratamiento especial </w:t>
            </w:r>
            <w:r w:rsidR="00C81723">
              <w:rPr>
                <w:rFonts w:ascii="Calibri Light" w:hAnsi="Calibri Light"/>
                <w:b w:val="0"/>
              </w:rPr>
              <w:t xml:space="preserve">para </w:t>
            </w:r>
            <w:r w:rsidR="007756D8" w:rsidRPr="003C57B8">
              <w:rPr>
                <w:rFonts w:ascii="Calibri Light" w:hAnsi="Calibri Light"/>
                <w:b w:val="0"/>
              </w:rPr>
              <w:t>su edad y correspondientes necesidades</w:t>
            </w:r>
            <w:r w:rsidR="007756D8">
              <w:rPr>
                <w:rFonts w:ascii="Calibri Light" w:hAnsi="Calibri Light"/>
                <w:b w:val="0"/>
              </w:rPr>
              <w:t>.</w:t>
            </w:r>
            <w:r w:rsidR="003C57B8"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>Además</w:t>
            </w:r>
            <w:r w:rsidR="00BF66C3" w:rsidRPr="00BF66C3">
              <w:rPr>
                <w:rFonts w:ascii="Calibri Light" w:hAnsi="Calibri Light"/>
                <w:b w:val="0"/>
              </w:rPr>
              <w:t>, la posición especial de</w:t>
            </w:r>
            <w:r w:rsidR="00BF66C3">
              <w:rPr>
                <w:rFonts w:ascii="Calibri Light" w:hAnsi="Calibri Light"/>
                <w:b w:val="0"/>
              </w:rPr>
              <w:t xml:space="preserve"> </w:t>
            </w:r>
            <w:r w:rsidR="00BF66C3" w:rsidRPr="00BF66C3">
              <w:rPr>
                <w:rFonts w:ascii="Calibri Light" w:hAnsi="Calibri Light"/>
                <w:b w:val="0"/>
              </w:rPr>
              <w:t xml:space="preserve">garante contenida en </w:t>
            </w:r>
            <w:r w:rsidR="007756D8">
              <w:rPr>
                <w:rFonts w:ascii="Calibri Light" w:hAnsi="Calibri Light"/>
                <w:b w:val="0"/>
              </w:rPr>
              <w:t>la CADH</w:t>
            </w:r>
            <w:r w:rsidR="00BF66C3" w:rsidRPr="00BF66C3">
              <w:rPr>
                <w:rFonts w:ascii="Calibri Light" w:hAnsi="Calibri Light"/>
                <w:b w:val="0"/>
              </w:rPr>
              <w:t xml:space="preserve"> impone salvaguardas concretas a los Estados</w:t>
            </w:r>
            <w:r w:rsidR="00BF66C3">
              <w:rPr>
                <w:rFonts w:ascii="Calibri Light" w:hAnsi="Calibri Light"/>
                <w:b w:val="0"/>
              </w:rPr>
              <w:t xml:space="preserve"> </w:t>
            </w:r>
            <w:r w:rsidR="00BF66C3" w:rsidRPr="00BF66C3">
              <w:rPr>
                <w:rFonts w:ascii="Calibri Light" w:hAnsi="Calibri Light"/>
                <w:b w:val="0"/>
              </w:rPr>
              <w:t>para que el reclutamiento</w:t>
            </w:r>
            <w:r w:rsidR="00845807">
              <w:rPr>
                <w:rFonts w:ascii="Calibri Light" w:hAnsi="Calibri Light"/>
                <w:b w:val="0"/>
              </w:rPr>
              <w:t xml:space="preserve"> considere</w:t>
            </w:r>
            <w:r w:rsidR="00BF66C3" w:rsidRPr="00BF66C3">
              <w:rPr>
                <w:rFonts w:ascii="Calibri Light" w:hAnsi="Calibri Light"/>
                <w:b w:val="0"/>
              </w:rPr>
              <w:t xml:space="preserve"> </w:t>
            </w:r>
            <w:r w:rsidR="00671C39">
              <w:rPr>
                <w:rFonts w:ascii="Calibri Light" w:hAnsi="Calibri Light"/>
                <w:b w:val="0"/>
              </w:rPr>
              <w:t>la condición del niño, como su</w:t>
            </w:r>
            <w:r w:rsidR="00671C39" w:rsidRPr="00BF66C3">
              <w:rPr>
                <w:rFonts w:ascii="Calibri Light" w:hAnsi="Calibri Light"/>
                <w:b w:val="0"/>
              </w:rPr>
              <w:t xml:space="preserve"> </w:t>
            </w:r>
            <w:r w:rsidR="00BF66C3" w:rsidRPr="00BF66C3">
              <w:rPr>
                <w:rFonts w:ascii="Calibri Light" w:hAnsi="Calibri Light"/>
                <w:b w:val="0"/>
              </w:rPr>
              <w:t>grado del desarrollo y su</w:t>
            </w:r>
            <w:r w:rsidR="00BF66C3"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>autonomía progresiva</w:t>
            </w:r>
            <w:r w:rsidR="00BF66C3">
              <w:rPr>
                <w:rFonts w:ascii="Calibri Light" w:hAnsi="Calibri Light"/>
                <w:b w:val="0"/>
              </w:rPr>
              <w:t>.</w:t>
            </w:r>
          </w:p>
          <w:p w14:paraId="56838197" w14:textId="77777777" w:rsidR="0025010F" w:rsidRDefault="0025010F" w:rsidP="00BF66C3">
            <w:pPr>
              <w:jc w:val="both"/>
              <w:rPr>
                <w:rFonts w:ascii="Calibri Light" w:hAnsi="Calibri Light"/>
                <w:b w:val="0"/>
              </w:rPr>
            </w:pPr>
          </w:p>
          <w:p w14:paraId="2B0BD748" w14:textId="314F1205" w:rsidR="00FF34AE" w:rsidRDefault="0025010F" w:rsidP="001A2DF7">
            <w:pPr>
              <w:jc w:val="both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En el presente caso, el </w:t>
            </w:r>
            <w:r w:rsidRPr="0025010F">
              <w:rPr>
                <w:rFonts w:ascii="Calibri Light" w:hAnsi="Calibri Light"/>
                <w:b w:val="0"/>
              </w:rPr>
              <w:t xml:space="preserve">reclutamiento de </w:t>
            </w:r>
            <w:r w:rsidR="00F74E56">
              <w:rPr>
                <w:rFonts w:ascii="Calibri Light" w:hAnsi="Calibri Light"/>
                <w:b w:val="0"/>
              </w:rPr>
              <w:t>niños</w:t>
            </w:r>
            <w:r w:rsidR="00F74E56" w:rsidRPr="0025010F"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>de 15 a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>18 años en la época de los hechos era legal</w:t>
            </w:r>
            <w:r>
              <w:rPr>
                <w:rFonts w:ascii="Calibri Light" w:hAnsi="Calibri Light"/>
                <w:b w:val="0"/>
              </w:rPr>
              <w:t>.</w:t>
            </w:r>
            <w:r w:rsidR="007756D8">
              <w:rPr>
                <w:rFonts w:ascii="Calibri Light" w:hAnsi="Calibri Light"/>
                <w:b w:val="0"/>
              </w:rPr>
              <w:t xml:space="preserve"> </w:t>
            </w:r>
            <w:r w:rsidR="007F6B36">
              <w:rPr>
                <w:rFonts w:ascii="Calibri Light" w:hAnsi="Calibri Light"/>
                <w:b w:val="0"/>
              </w:rPr>
              <w:t>Por consiguiente</w:t>
            </w:r>
            <w:r w:rsidR="007756D8">
              <w:rPr>
                <w:rFonts w:ascii="Calibri Light" w:hAnsi="Calibri Light"/>
                <w:b w:val="0"/>
              </w:rPr>
              <w:t>, la CIDH consideró q</w:t>
            </w:r>
            <w:r w:rsidRPr="0025010F">
              <w:rPr>
                <w:rFonts w:ascii="Calibri Light" w:hAnsi="Calibri Light"/>
                <w:b w:val="0"/>
              </w:rPr>
              <w:t xml:space="preserve">ue el Estado </w:t>
            </w:r>
            <w:r w:rsidR="00F74E56">
              <w:rPr>
                <w:rFonts w:ascii="Calibri Light" w:hAnsi="Calibri Light"/>
                <w:b w:val="0"/>
              </w:rPr>
              <w:t xml:space="preserve">no </w:t>
            </w:r>
            <w:r w:rsidR="007756D8">
              <w:rPr>
                <w:rFonts w:ascii="Calibri Light" w:hAnsi="Calibri Light"/>
                <w:b w:val="0"/>
              </w:rPr>
              <w:t>había</w:t>
            </w:r>
            <w:r w:rsidRPr="0025010F">
              <w:rPr>
                <w:rFonts w:ascii="Calibri Light" w:hAnsi="Calibri Light"/>
                <w:b w:val="0"/>
              </w:rPr>
              <w:t xml:space="preserve"> vulner</w:t>
            </w:r>
            <w:r w:rsidR="007756D8">
              <w:rPr>
                <w:rFonts w:ascii="Calibri Light" w:hAnsi="Calibri Light"/>
                <w:b w:val="0"/>
              </w:rPr>
              <w:t>ado</w:t>
            </w:r>
            <w:r w:rsidRPr="0025010F">
              <w:rPr>
                <w:rFonts w:ascii="Calibri Light" w:hAnsi="Calibri Light"/>
                <w:b w:val="0"/>
              </w:rPr>
              <w:t xml:space="preserve"> la prohibición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 xml:space="preserve">general de enlistar </w:t>
            </w:r>
            <w:r w:rsidR="00F74E56">
              <w:rPr>
                <w:rFonts w:ascii="Calibri Light" w:hAnsi="Calibri Light"/>
                <w:b w:val="0"/>
              </w:rPr>
              <w:t xml:space="preserve">a niños </w:t>
            </w:r>
            <w:r w:rsidRPr="0025010F">
              <w:rPr>
                <w:rFonts w:ascii="Calibri Light" w:hAnsi="Calibri Light"/>
                <w:b w:val="0"/>
              </w:rPr>
              <w:t>menores de 15 años en el servicio militar ni que el enrolamiento de</w:t>
            </w:r>
            <w:r w:rsidR="007756D8">
              <w:rPr>
                <w:rFonts w:ascii="Calibri Light" w:hAnsi="Calibri Light"/>
                <w:b w:val="0"/>
              </w:rPr>
              <w:t>l niño</w:t>
            </w:r>
            <w:r w:rsidRPr="0025010F">
              <w:rPr>
                <w:rFonts w:ascii="Calibri Light" w:hAnsi="Calibri Light"/>
                <w:b w:val="0"/>
              </w:rPr>
              <w:t xml:space="preserve"> Noguera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 xml:space="preserve">fuera inconvencional. Sin embargo, no se </w:t>
            </w:r>
            <w:r w:rsidR="007756D8">
              <w:rPr>
                <w:rFonts w:ascii="Calibri Light" w:hAnsi="Calibri Light"/>
                <w:b w:val="0"/>
              </w:rPr>
              <w:t>evidenci</w:t>
            </w:r>
            <w:r w:rsidR="00F74E56">
              <w:rPr>
                <w:rFonts w:ascii="Calibri Light" w:hAnsi="Calibri Light"/>
                <w:b w:val="0"/>
              </w:rPr>
              <w:t>ó</w:t>
            </w:r>
            <w:r w:rsidRPr="0025010F">
              <w:rPr>
                <w:rFonts w:ascii="Calibri Light" w:hAnsi="Calibri Light"/>
                <w:b w:val="0"/>
              </w:rPr>
              <w:t xml:space="preserve"> la aplicación de medidas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>diferenciadas que permit</w:t>
            </w:r>
            <w:r w:rsidR="00F74E56">
              <w:rPr>
                <w:rFonts w:ascii="Calibri Light" w:hAnsi="Calibri Light"/>
                <w:b w:val="0"/>
              </w:rPr>
              <w:t>ier</w:t>
            </w:r>
            <w:r w:rsidRPr="0025010F">
              <w:rPr>
                <w:rFonts w:ascii="Calibri Light" w:hAnsi="Calibri Light"/>
                <w:b w:val="0"/>
              </w:rPr>
              <w:t>an concluir que el Estado</w:t>
            </w:r>
            <w:r w:rsidR="00F74E56">
              <w:rPr>
                <w:rFonts w:ascii="Calibri Light" w:hAnsi="Calibri Light"/>
                <w:b w:val="0"/>
              </w:rPr>
              <w:t xml:space="preserve">, </w:t>
            </w:r>
            <w:r w:rsidRPr="0025010F">
              <w:rPr>
                <w:rFonts w:ascii="Calibri Light" w:hAnsi="Calibri Light"/>
                <w:b w:val="0"/>
              </w:rPr>
              <w:t>en su función especial de garante</w:t>
            </w:r>
            <w:r w:rsidR="00F74E56">
              <w:rPr>
                <w:rFonts w:ascii="Calibri Light" w:hAnsi="Calibri Light"/>
                <w:b w:val="0"/>
              </w:rPr>
              <w:t>,</w:t>
            </w:r>
            <w:r w:rsidRPr="0025010F">
              <w:rPr>
                <w:rFonts w:ascii="Calibri Light" w:hAnsi="Calibri Light"/>
                <w:b w:val="0"/>
              </w:rPr>
              <w:t xml:space="preserve"> tomó en consideración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>su</w:t>
            </w:r>
            <w:r w:rsidRPr="0025010F">
              <w:rPr>
                <w:rFonts w:ascii="Calibri Light" w:hAnsi="Calibri Light"/>
                <w:b w:val="0"/>
              </w:rPr>
              <w:t xml:space="preserve"> condición de niño ni que desplegó acciones especiales,</w:t>
            </w:r>
            <w:r w:rsidR="00845807">
              <w:rPr>
                <w:rFonts w:ascii="Calibri Light" w:hAnsi="Calibri Light"/>
                <w:b w:val="0"/>
              </w:rPr>
              <w:t xml:space="preserve"> considerando que el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 xml:space="preserve">“descuereo” era </w:t>
            </w:r>
            <w:r w:rsidR="00845807">
              <w:rPr>
                <w:rFonts w:ascii="Calibri Light" w:hAnsi="Calibri Light"/>
                <w:b w:val="0"/>
              </w:rPr>
              <w:t xml:space="preserve">una práctica </w:t>
            </w:r>
            <w:r w:rsidRPr="0025010F">
              <w:rPr>
                <w:rFonts w:ascii="Calibri Light" w:hAnsi="Calibri Light"/>
                <w:b w:val="0"/>
              </w:rPr>
              <w:t>prevalente en el cuartel.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25010F">
              <w:rPr>
                <w:rFonts w:ascii="Calibri Light" w:hAnsi="Calibri Light"/>
                <w:b w:val="0"/>
              </w:rPr>
              <w:t>P</w:t>
            </w:r>
            <w:r w:rsidR="007532FD" w:rsidRPr="0025010F">
              <w:rPr>
                <w:rFonts w:ascii="Calibri Light" w:hAnsi="Calibri Light"/>
                <w:b w:val="0"/>
              </w:rPr>
              <w:t xml:space="preserve">or </w:t>
            </w:r>
            <w:r w:rsidR="00E255EC" w:rsidRPr="0025010F">
              <w:rPr>
                <w:rFonts w:ascii="Calibri Light" w:hAnsi="Calibri Light"/>
                <w:b w:val="0"/>
              </w:rPr>
              <w:t xml:space="preserve">ello, la CIDH </w:t>
            </w:r>
            <w:r w:rsidR="00845807">
              <w:rPr>
                <w:rFonts w:ascii="Calibri Light" w:hAnsi="Calibri Light"/>
                <w:b w:val="0"/>
              </w:rPr>
              <w:t>consideró</w:t>
            </w:r>
            <w:r w:rsidR="00E255EC" w:rsidRPr="0025010F">
              <w:rPr>
                <w:rFonts w:ascii="Calibri Light" w:hAnsi="Calibri Light"/>
                <w:b w:val="0"/>
              </w:rPr>
              <w:t xml:space="preserve"> que el Estado de </w:t>
            </w:r>
            <w:r w:rsidRPr="0025010F">
              <w:rPr>
                <w:rFonts w:ascii="Calibri Light" w:hAnsi="Calibri Light"/>
                <w:b w:val="0"/>
              </w:rPr>
              <w:t>Paraguay</w:t>
            </w:r>
            <w:r w:rsidR="00E255EC" w:rsidRPr="0025010F">
              <w:rPr>
                <w:rFonts w:ascii="Calibri Light" w:hAnsi="Calibri Light"/>
                <w:b w:val="0"/>
              </w:rPr>
              <w:t xml:space="preserve"> había violado el artículo </w:t>
            </w:r>
            <w:r w:rsidRPr="0025010F">
              <w:rPr>
                <w:rFonts w:ascii="Calibri Light" w:hAnsi="Calibri Light"/>
                <w:b w:val="0"/>
              </w:rPr>
              <w:t>19</w:t>
            </w:r>
            <w:r w:rsidR="00E255EC" w:rsidRPr="0025010F">
              <w:rPr>
                <w:rFonts w:ascii="Calibri Light" w:hAnsi="Calibri Light"/>
                <w:b w:val="0"/>
              </w:rPr>
              <w:t xml:space="preserve"> de la CADH,</w:t>
            </w:r>
            <w:r w:rsidR="00E255EC" w:rsidRPr="0025010F">
              <w:rPr>
                <w:rFonts w:ascii="Calibri Light" w:hAnsi="Calibri Light" w:cs="Calibri Light"/>
                <w:b w:val="0"/>
              </w:rPr>
              <w:t xml:space="preserve"> en relación con los artículos 1.1 y </w:t>
            </w:r>
            <w:r w:rsidRPr="0025010F">
              <w:rPr>
                <w:rFonts w:ascii="Calibri Light" w:hAnsi="Calibri Light" w:cs="Calibri Light"/>
                <w:b w:val="0"/>
              </w:rPr>
              <w:t>2, en perjuicio del niño Noguera</w:t>
            </w:r>
            <w:r w:rsidR="00E255EC" w:rsidRPr="0025010F">
              <w:rPr>
                <w:rFonts w:ascii="Calibri Light" w:hAnsi="Calibri Light" w:cs="Calibri Light"/>
                <w:b w:val="0"/>
              </w:rPr>
              <w:t>.</w:t>
            </w:r>
          </w:p>
          <w:p w14:paraId="068A6D7D" w14:textId="77777777" w:rsidR="00C9116C" w:rsidRDefault="00C9116C" w:rsidP="001A2DF7">
            <w:pPr>
              <w:jc w:val="both"/>
              <w:rPr>
                <w:rFonts w:ascii="Calibri Light" w:hAnsi="Calibri Light"/>
                <w:b w:val="0"/>
              </w:rPr>
            </w:pPr>
          </w:p>
          <w:p w14:paraId="7FF1A15D" w14:textId="2ACF2428" w:rsidR="00C9116C" w:rsidRPr="00C9116C" w:rsidRDefault="00C9116C" w:rsidP="00C9116C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El derecho a la integridad personal de la familia de Vicente Ariel Noguera</w:t>
            </w:r>
            <w:r w:rsidRPr="00C9116C">
              <w:rPr>
                <w:rFonts w:ascii="Calibri Light" w:hAnsi="Calibri Light"/>
              </w:rPr>
              <w:t xml:space="preserve"> (artículo </w:t>
            </w:r>
            <w:r>
              <w:rPr>
                <w:rFonts w:ascii="Calibri Light" w:hAnsi="Calibri Light"/>
              </w:rPr>
              <w:t>5</w:t>
            </w:r>
            <w:r w:rsidRPr="00C9116C">
              <w:rPr>
                <w:rFonts w:ascii="Calibri Light" w:hAnsi="Calibri Light"/>
              </w:rPr>
              <w:t xml:space="preserve"> de la CADH)</w:t>
            </w:r>
          </w:p>
          <w:p w14:paraId="1FFCAD99" w14:textId="77777777" w:rsidR="00C9116C" w:rsidRDefault="00C9116C" w:rsidP="001A2DF7">
            <w:pPr>
              <w:jc w:val="both"/>
              <w:rPr>
                <w:rFonts w:ascii="Calibri Light" w:hAnsi="Calibri Light"/>
                <w:b w:val="0"/>
              </w:rPr>
            </w:pPr>
          </w:p>
          <w:p w14:paraId="3B9C8D9D" w14:textId="316EA205" w:rsidR="00C9116C" w:rsidRDefault="006D3A05" w:rsidP="006D3A05">
            <w:pPr>
              <w:jc w:val="both"/>
              <w:rPr>
                <w:rFonts w:ascii="Calibri Light" w:hAnsi="Calibri Light"/>
                <w:b w:val="0"/>
              </w:rPr>
            </w:pPr>
            <w:r w:rsidRPr="006D3A05">
              <w:rPr>
                <w:rFonts w:ascii="Calibri Light" w:hAnsi="Calibri Light"/>
                <w:b w:val="0"/>
              </w:rPr>
              <w:t>La CIDH y la Corte IDH han</w:t>
            </w:r>
            <w:r>
              <w:rPr>
                <w:rFonts w:ascii="Calibri Light" w:hAnsi="Calibri Light"/>
                <w:b w:val="0"/>
              </w:rPr>
              <w:t xml:space="preserve"> indicado que los familiares de las víctimas de violaciones de derechos humanos pueden ser considerados, a su vez, como víctimas. L</w:t>
            </w:r>
            <w:r w:rsidRPr="006D3A05">
              <w:rPr>
                <w:rFonts w:ascii="Calibri Light" w:hAnsi="Calibri Light"/>
                <w:b w:val="0"/>
              </w:rPr>
              <w:t xml:space="preserve">a Corte </w:t>
            </w:r>
            <w:r w:rsidR="00A47DA7">
              <w:rPr>
                <w:rFonts w:ascii="Calibri Light" w:hAnsi="Calibri Light"/>
                <w:b w:val="0"/>
              </w:rPr>
              <w:t xml:space="preserve">IDH </w:t>
            </w:r>
            <w:r w:rsidRPr="006D3A05">
              <w:rPr>
                <w:rFonts w:ascii="Calibri Light" w:hAnsi="Calibri Light"/>
                <w:b w:val="0"/>
              </w:rPr>
              <w:t xml:space="preserve">ha dispuesto </w:t>
            </w:r>
            <w:r w:rsidR="00944960">
              <w:rPr>
                <w:rFonts w:ascii="Calibri Light" w:hAnsi="Calibri Light"/>
                <w:b w:val="0"/>
              </w:rPr>
              <w:t xml:space="preserve">que </w:t>
            </w:r>
            <w:r w:rsidR="00D50F45">
              <w:rPr>
                <w:rFonts w:ascii="Calibri Light" w:hAnsi="Calibri Light"/>
                <w:b w:val="0"/>
              </w:rPr>
              <w:t>puede afectarse</w:t>
            </w:r>
            <w:r w:rsidRPr="006D3A05">
              <w:rPr>
                <w:rFonts w:ascii="Calibri Light" w:hAnsi="Calibri Light"/>
                <w:b w:val="0"/>
              </w:rPr>
              <w:t xml:space="preserve"> su integridad psíquica y moral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como consecuencia de las situaciones particulares que padecieron las víctimas, así como de las posteriores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actuaciones u omisiones de las autoridades frente a estos hechos</w:t>
            </w:r>
            <w:r>
              <w:rPr>
                <w:rFonts w:ascii="Calibri Light" w:hAnsi="Calibri Light"/>
                <w:b w:val="0"/>
              </w:rPr>
              <w:t xml:space="preserve">. </w:t>
            </w:r>
            <w:r w:rsidRPr="006D3A05">
              <w:rPr>
                <w:rFonts w:ascii="Calibri Light" w:hAnsi="Calibri Light"/>
                <w:b w:val="0"/>
              </w:rPr>
              <w:t>En es</w:t>
            </w:r>
            <w:r w:rsidR="00D50F45">
              <w:rPr>
                <w:rFonts w:ascii="Calibri Light" w:hAnsi="Calibri Light"/>
                <w:b w:val="0"/>
              </w:rPr>
              <w:t>tas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circunstancias, ha indicado que</w:t>
            </w:r>
            <w:r w:rsidR="007756D8"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la ausencia de una investigación completa y efectiva sobre los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hechos constituye una fuente de sufrimiento y angustia adicional para las víctimas y sus familiares, quienes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tienen el derecho de co</w:t>
            </w:r>
            <w:r w:rsidR="007756D8">
              <w:rPr>
                <w:rFonts w:ascii="Calibri Light" w:hAnsi="Calibri Light"/>
                <w:b w:val="0"/>
              </w:rPr>
              <w:t>nocer la verdad de lo ocurrido.</w:t>
            </w:r>
          </w:p>
          <w:p w14:paraId="36D9F246" w14:textId="77777777" w:rsidR="006D3A05" w:rsidRDefault="006D3A05" w:rsidP="006D3A05">
            <w:pPr>
              <w:jc w:val="both"/>
              <w:rPr>
                <w:rFonts w:ascii="Calibri Light" w:hAnsi="Calibri Light"/>
                <w:b w:val="0"/>
              </w:rPr>
            </w:pPr>
          </w:p>
          <w:p w14:paraId="62303E45" w14:textId="503D02E0" w:rsidR="006D3A05" w:rsidRDefault="006D3A05" w:rsidP="006D3A05">
            <w:pPr>
              <w:jc w:val="both"/>
              <w:rPr>
                <w:rFonts w:ascii="Calibri Light" w:hAnsi="Calibri Light"/>
                <w:b w:val="0"/>
              </w:rPr>
            </w:pPr>
            <w:r w:rsidRPr="006D3A05">
              <w:rPr>
                <w:rFonts w:ascii="Calibri Light" w:hAnsi="Calibri Light"/>
                <w:b w:val="0"/>
              </w:rPr>
              <w:t>En el presente caso</w:t>
            </w:r>
            <w:r w:rsidR="007756D8">
              <w:rPr>
                <w:rFonts w:ascii="Calibri Light" w:hAnsi="Calibri Light"/>
                <w:b w:val="0"/>
              </w:rPr>
              <w:t>,</w:t>
            </w:r>
            <w:r w:rsidRPr="006D3A05">
              <w:rPr>
                <w:rFonts w:ascii="Calibri Light" w:hAnsi="Calibri Light"/>
                <w:b w:val="0"/>
              </w:rPr>
              <w:t xml:space="preserve"> la </w:t>
            </w:r>
            <w:r w:rsidR="007756D8">
              <w:rPr>
                <w:rFonts w:ascii="Calibri Light" w:hAnsi="Calibri Light"/>
                <w:b w:val="0"/>
              </w:rPr>
              <w:t>CIDH</w:t>
            </w:r>
            <w:r w:rsidRPr="006D3A05">
              <w:rPr>
                <w:rFonts w:ascii="Calibri Light" w:hAnsi="Calibri Light"/>
                <w:b w:val="0"/>
              </w:rPr>
              <w:t xml:space="preserve"> </w:t>
            </w:r>
            <w:r w:rsidR="00D50F45">
              <w:rPr>
                <w:rFonts w:ascii="Calibri Light" w:hAnsi="Calibri Light"/>
                <w:b w:val="0"/>
              </w:rPr>
              <w:t>estableció</w:t>
            </w:r>
            <w:r w:rsidRPr="006D3A05">
              <w:rPr>
                <w:rFonts w:ascii="Calibri Light" w:hAnsi="Calibri Light"/>
                <w:b w:val="0"/>
              </w:rPr>
              <w:t xml:space="preserve"> que </w:t>
            </w:r>
            <w:r w:rsidR="007756D8">
              <w:rPr>
                <w:rFonts w:ascii="Calibri Light" w:hAnsi="Calibri Light"/>
                <w:b w:val="0"/>
              </w:rPr>
              <w:t>el niño</w:t>
            </w:r>
            <w:r w:rsidRPr="006D3A05">
              <w:rPr>
                <w:rFonts w:ascii="Calibri Light" w:hAnsi="Calibri Light"/>
                <w:b w:val="0"/>
              </w:rPr>
              <w:t xml:space="preserve"> Noguera </w:t>
            </w:r>
            <w:r w:rsidR="00D50F45">
              <w:rPr>
                <w:rFonts w:ascii="Calibri Light" w:hAnsi="Calibri Light"/>
                <w:b w:val="0"/>
              </w:rPr>
              <w:t>había perdido</w:t>
            </w:r>
            <w:r w:rsidRPr="006D3A05">
              <w:rPr>
                <w:rFonts w:ascii="Calibri Light" w:hAnsi="Calibri Light"/>
                <w:b w:val="0"/>
              </w:rPr>
              <w:t xml:space="preserve"> la vida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 xml:space="preserve">bajo la custodia del </w:t>
            </w:r>
            <w:r w:rsidR="007756D8">
              <w:rPr>
                <w:rFonts w:ascii="Calibri Light" w:hAnsi="Calibri Light"/>
                <w:b w:val="0"/>
              </w:rPr>
              <w:t>E</w:t>
            </w:r>
            <w:r w:rsidRPr="006D3A05">
              <w:rPr>
                <w:rFonts w:ascii="Calibri Light" w:hAnsi="Calibri Light"/>
                <w:b w:val="0"/>
              </w:rPr>
              <w:t>stado en circunstancias no esclarecidas ni investigadas con la debida diligencia. Estas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constituyen de modo autónomo una fuente de sufrimiento e impotencia para sus familiares,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 xml:space="preserve">quienes a la fecha no tienen certeza de la causa y circunstancias de </w:t>
            </w:r>
            <w:r w:rsidR="007756D8">
              <w:rPr>
                <w:rFonts w:ascii="Calibri Light" w:hAnsi="Calibri Light"/>
                <w:b w:val="0"/>
              </w:rPr>
              <w:t>s</w:t>
            </w:r>
            <w:r w:rsidRPr="006D3A05">
              <w:rPr>
                <w:rFonts w:ascii="Calibri Light" w:hAnsi="Calibri Light"/>
                <w:b w:val="0"/>
              </w:rPr>
              <w:t>u muerte.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>En esa línea, consideró</w:t>
            </w:r>
            <w:r w:rsidRPr="006D3A05">
              <w:rPr>
                <w:rFonts w:ascii="Calibri Light" w:hAnsi="Calibri Light"/>
                <w:b w:val="0"/>
              </w:rPr>
              <w:t xml:space="preserve"> que la pérdida de su ser querido en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7756D8">
              <w:rPr>
                <w:rFonts w:ascii="Calibri Light" w:hAnsi="Calibri Light"/>
                <w:b w:val="0"/>
              </w:rPr>
              <w:t>circunstancias como las descritas</w:t>
            </w:r>
            <w:r w:rsidRPr="006D3A05">
              <w:rPr>
                <w:rFonts w:ascii="Calibri Light" w:hAnsi="Calibri Light"/>
                <w:b w:val="0"/>
              </w:rPr>
              <w:t>, así como la ausencia de verdad y justicia,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D3A05">
              <w:rPr>
                <w:rFonts w:ascii="Calibri Light" w:hAnsi="Calibri Light"/>
                <w:b w:val="0"/>
              </w:rPr>
              <w:t>ocasionaron sufrimiento y angustia</w:t>
            </w:r>
            <w:r>
              <w:rPr>
                <w:rFonts w:ascii="Calibri Light" w:hAnsi="Calibri Light"/>
                <w:b w:val="0"/>
              </w:rPr>
              <w:t xml:space="preserve">. Por ello, </w:t>
            </w:r>
            <w:r w:rsidR="007756D8">
              <w:rPr>
                <w:rFonts w:ascii="Calibri Light" w:hAnsi="Calibri Light"/>
                <w:b w:val="0"/>
              </w:rPr>
              <w:t>concluyó</w:t>
            </w:r>
            <w:r>
              <w:rPr>
                <w:rFonts w:ascii="Calibri Light" w:hAnsi="Calibri Light"/>
                <w:b w:val="0"/>
              </w:rPr>
              <w:t xml:space="preserve"> que </w:t>
            </w:r>
            <w:r w:rsidRPr="0025010F">
              <w:rPr>
                <w:rFonts w:ascii="Calibri Light" w:hAnsi="Calibri Light"/>
                <w:b w:val="0"/>
              </w:rPr>
              <w:t xml:space="preserve">el Estado de Paraguay había violado el artículo </w:t>
            </w:r>
            <w:r>
              <w:rPr>
                <w:rFonts w:ascii="Calibri Light" w:hAnsi="Calibri Light"/>
                <w:b w:val="0"/>
              </w:rPr>
              <w:t>5.1</w:t>
            </w:r>
            <w:r w:rsidRPr="0025010F">
              <w:rPr>
                <w:rFonts w:ascii="Calibri Light" w:hAnsi="Calibri Light"/>
                <w:b w:val="0"/>
              </w:rPr>
              <w:t xml:space="preserve"> de la CADH,</w:t>
            </w:r>
            <w:r w:rsidRPr="0025010F">
              <w:rPr>
                <w:rFonts w:ascii="Calibri Light" w:hAnsi="Calibri Light" w:cs="Calibri Light"/>
                <w:b w:val="0"/>
              </w:rPr>
              <w:t xml:space="preserve"> en relación con </w:t>
            </w:r>
            <w:r>
              <w:rPr>
                <w:rFonts w:ascii="Calibri Light" w:hAnsi="Calibri Light" w:cs="Calibri Light"/>
                <w:b w:val="0"/>
              </w:rPr>
              <w:t>el artículo 1.1,</w:t>
            </w:r>
            <w:r w:rsidRPr="0025010F">
              <w:rPr>
                <w:rFonts w:ascii="Calibri Light" w:hAnsi="Calibri Light" w:cs="Calibri Light"/>
                <w:b w:val="0"/>
              </w:rPr>
              <w:t xml:space="preserve"> en</w:t>
            </w:r>
            <w:r>
              <w:rPr>
                <w:rFonts w:ascii="Calibri Light" w:hAnsi="Calibri Light" w:cs="Calibri Light"/>
                <w:b w:val="0"/>
              </w:rPr>
              <w:t xml:space="preserve"> perjuicio de los familiares del</w:t>
            </w:r>
            <w:r w:rsidRPr="0025010F">
              <w:rPr>
                <w:rFonts w:ascii="Calibri Light" w:hAnsi="Calibri Light" w:cs="Calibri Light"/>
                <w:b w:val="0"/>
              </w:rPr>
              <w:t xml:space="preserve"> niño Noguera.</w:t>
            </w:r>
          </w:p>
          <w:p w14:paraId="5AA471B6" w14:textId="071E28B2" w:rsidR="001A2DF7" w:rsidRPr="00FF34AE" w:rsidRDefault="001A2DF7" w:rsidP="001A2DF7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C2E50" w:rsidRPr="004533E5" w14:paraId="0FBFBB6F" w14:textId="77777777" w:rsidTr="00A94EE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A864AFE" w14:textId="77777777" w:rsidR="004C2E50" w:rsidRPr="00310836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  <w:p w14:paraId="5CF7BA21" w14:textId="072CDB28" w:rsidR="004C2E50" w:rsidRPr="00310836" w:rsidRDefault="004C2E50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310836">
              <w:rPr>
                <w:rFonts w:ascii="Calibri Light" w:hAnsi="Calibri Light"/>
              </w:rPr>
              <w:t>Recomendaciones</w:t>
            </w:r>
            <w:r w:rsidR="00C6011B">
              <w:rPr>
                <w:rFonts w:ascii="Calibri Light" w:hAnsi="Calibri Light"/>
              </w:rPr>
              <w:t xml:space="preserve"> de la CIDH al Estado</w:t>
            </w:r>
          </w:p>
          <w:p w14:paraId="510D8BF9" w14:textId="77777777" w:rsidR="004C2E50" w:rsidRPr="00310836" w:rsidRDefault="004C2E50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C2E50" w:rsidRPr="004533E5" w14:paraId="3D91AF16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F086D22" w14:textId="77777777" w:rsidR="004C2E50" w:rsidRPr="000F12DB" w:rsidRDefault="004C2E50" w:rsidP="004B1311">
            <w:pPr>
              <w:pStyle w:val="ListParagraph"/>
              <w:ind w:left="0"/>
              <w:jc w:val="both"/>
              <w:rPr>
                <w:rFonts w:ascii="Calibri Light" w:hAnsi="Calibri Light" w:cs="Calibri Light"/>
                <w:b w:val="0"/>
              </w:rPr>
            </w:pPr>
          </w:p>
          <w:p w14:paraId="4AC0CF90" w14:textId="59E426E3" w:rsidR="00103C4C" w:rsidRPr="00C9116C" w:rsidRDefault="00C9116C" w:rsidP="00C911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</w:rPr>
            </w:pPr>
            <w:r w:rsidRPr="00C9116C">
              <w:rPr>
                <w:rFonts w:ascii="Calibri Light" w:hAnsi="Calibri Light" w:cs="Calibri Light"/>
                <w:b w:val="0"/>
              </w:rPr>
              <w:t xml:space="preserve">Reparar integralmente las violaciones </w:t>
            </w:r>
            <w:r w:rsidR="00AD100C">
              <w:rPr>
                <w:rFonts w:ascii="Calibri Light" w:hAnsi="Calibri Light" w:cs="Calibri Light"/>
                <w:b w:val="0"/>
              </w:rPr>
              <w:t>de derechos humanos declaradas</w:t>
            </w:r>
            <w:r w:rsidRPr="00C9116C">
              <w:rPr>
                <w:rFonts w:ascii="Calibri Light" w:hAnsi="Calibri Light" w:cs="Calibri Light"/>
                <w:b w:val="0"/>
              </w:rPr>
              <w:t xml:space="preserve"> tanto en el aspecto material como inmaterial. </w:t>
            </w:r>
            <w:r w:rsidR="00AD100C">
              <w:rPr>
                <w:rFonts w:ascii="Calibri Light" w:hAnsi="Calibri Light" w:cs="Calibri Light"/>
                <w:b w:val="0"/>
              </w:rPr>
              <w:t>D</w:t>
            </w:r>
            <w:r w:rsidRPr="00C9116C">
              <w:rPr>
                <w:rFonts w:ascii="Calibri Light" w:hAnsi="Calibri Light" w:cs="Calibri Light"/>
                <w:b w:val="0"/>
              </w:rPr>
              <w:t>eberá adoptar las medidas de compensación</w:t>
            </w:r>
            <w:r w:rsidRPr="00C9116C">
              <w:rPr>
                <w:rFonts w:ascii="Calibri Light" w:hAnsi="Calibri Light" w:cs="Calibri Light"/>
              </w:rPr>
              <w:t xml:space="preserve"> </w:t>
            </w:r>
            <w:r w:rsidRPr="00C9116C">
              <w:rPr>
                <w:rFonts w:ascii="Calibri Light" w:hAnsi="Calibri Light" w:cs="Calibri Light"/>
                <w:b w:val="0"/>
              </w:rPr>
              <w:t xml:space="preserve">económicas y de satisfacción. Al momento de evaluar el cumplimiento de las recomendaciones, la </w:t>
            </w:r>
            <w:r w:rsidR="00AD100C">
              <w:rPr>
                <w:rFonts w:ascii="Calibri Light" w:hAnsi="Calibri Light" w:cs="Calibri Light"/>
                <w:b w:val="0"/>
              </w:rPr>
              <w:t>CIDH</w:t>
            </w:r>
            <w:r w:rsidRPr="00C9116C">
              <w:rPr>
                <w:rFonts w:ascii="Calibri Light" w:hAnsi="Calibri Light" w:cs="Calibri Light"/>
                <w:b w:val="0"/>
              </w:rPr>
              <w:t xml:space="preserve"> tomará en cuenta las medidas efectivamente implementadas en el marco de las</w:t>
            </w:r>
            <w:r w:rsidRPr="00C9116C">
              <w:rPr>
                <w:rFonts w:ascii="Calibri Light" w:hAnsi="Calibri Light" w:cs="Calibri Light"/>
              </w:rPr>
              <w:t xml:space="preserve"> </w:t>
            </w:r>
            <w:r w:rsidRPr="00C9116C">
              <w:rPr>
                <w:rFonts w:ascii="Calibri Light" w:hAnsi="Calibri Light" w:cs="Calibri Light"/>
                <w:b w:val="0"/>
              </w:rPr>
              <w:t>negociaciones hacia una solución amistosa, sin perjuicio de las medidas complementarias que deban</w:t>
            </w:r>
            <w:r>
              <w:rPr>
                <w:rFonts w:ascii="Calibri Light" w:hAnsi="Calibri Light" w:cs="Calibri Light"/>
                <w:b w:val="0"/>
              </w:rPr>
              <w:t xml:space="preserve"> </w:t>
            </w:r>
            <w:r w:rsidRPr="00C9116C">
              <w:rPr>
                <w:rFonts w:ascii="Calibri Light" w:hAnsi="Calibri Light" w:cs="Calibri Light"/>
                <w:b w:val="0"/>
              </w:rPr>
              <w:t>adoptarse para satisfacer el estándar de reparación integral.</w:t>
            </w:r>
          </w:p>
          <w:p w14:paraId="1E6F6312" w14:textId="77777777" w:rsidR="004C2E50" w:rsidRPr="000F12DB" w:rsidRDefault="004C2E50" w:rsidP="00E70716">
            <w:pPr>
              <w:pStyle w:val="ListParagraph"/>
              <w:ind w:left="360"/>
              <w:jc w:val="both"/>
              <w:rPr>
                <w:rFonts w:ascii="Calibri Light" w:hAnsi="Calibri Light" w:cs="Calibri Light"/>
                <w:b w:val="0"/>
              </w:rPr>
            </w:pPr>
          </w:p>
          <w:p w14:paraId="38CDC32F" w14:textId="241D18B3" w:rsidR="004C2E50" w:rsidRPr="00AD100C" w:rsidRDefault="00AD100C" w:rsidP="00AD10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 Light" w:hAnsi="Calibri Light" w:cs="Calibri Light"/>
              </w:rPr>
            </w:pPr>
            <w:r w:rsidRPr="00AD100C">
              <w:rPr>
                <w:rFonts w:ascii="Calibri Light" w:hAnsi="Calibri Light" w:cs="Calibri Light"/>
                <w:b w:val="0"/>
              </w:rPr>
              <w:t>Disponer las medidas de atención en salud física y mental necesarias para la rehabilitación</w:t>
            </w:r>
            <w:r>
              <w:rPr>
                <w:rFonts w:ascii="Calibri Light" w:hAnsi="Calibri Light" w:cs="Calibri Light"/>
                <w:b w:val="0"/>
              </w:rPr>
              <w:t xml:space="preserve"> </w:t>
            </w:r>
            <w:r w:rsidRPr="00AD100C">
              <w:rPr>
                <w:rFonts w:ascii="Calibri Light" w:hAnsi="Calibri Light" w:cs="Calibri Light"/>
                <w:b w:val="0"/>
              </w:rPr>
              <w:t xml:space="preserve">de </w:t>
            </w:r>
            <w:r>
              <w:rPr>
                <w:rFonts w:ascii="Calibri Light" w:hAnsi="Calibri Light" w:cs="Calibri Light"/>
                <w:b w:val="0"/>
              </w:rPr>
              <w:t>la señora</w:t>
            </w:r>
            <w:r w:rsidRPr="00AD100C">
              <w:rPr>
                <w:rFonts w:ascii="Calibri Light" w:hAnsi="Calibri Light" w:cs="Calibri Light"/>
                <w:b w:val="0"/>
              </w:rPr>
              <w:t xml:space="preserve"> Noguera, de ser su voluntad y de manera concertada.</w:t>
            </w:r>
          </w:p>
          <w:p w14:paraId="644B373D" w14:textId="77777777" w:rsidR="004C2E50" w:rsidRPr="000F12DB" w:rsidRDefault="004C2E50" w:rsidP="00E70716">
            <w:pPr>
              <w:pStyle w:val="ListParagraph"/>
              <w:rPr>
                <w:rFonts w:ascii="Calibri Light" w:hAnsi="Calibri Light" w:cs="Calibri Light"/>
                <w:b w:val="0"/>
              </w:rPr>
            </w:pPr>
          </w:p>
          <w:p w14:paraId="26F4F147" w14:textId="733DA1A5" w:rsidR="00CD7158" w:rsidRPr="00AD100C" w:rsidRDefault="00AD100C" w:rsidP="00CD715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 Light" w:hAnsi="Calibri Light"/>
              </w:rPr>
            </w:pPr>
            <w:r w:rsidRPr="00AD100C">
              <w:rPr>
                <w:rFonts w:ascii="Calibri Light" w:hAnsi="Calibri Light" w:cs="Calibri Light"/>
                <w:b w:val="0"/>
              </w:rPr>
              <w:t xml:space="preserve">Impulsar y concluir la investigación penal -que el Estado informó a la </w:t>
            </w:r>
            <w:r>
              <w:rPr>
                <w:rFonts w:ascii="Calibri Light" w:hAnsi="Calibri Light" w:cs="Calibri Light"/>
                <w:b w:val="0"/>
              </w:rPr>
              <w:t>CIDH</w:t>
            </w:r>
            <w:r w:rsidRPr="00AD100C">
              <w:rPr>
                <w:rFonts w:ascii="Calibri Light" w:hAnsi="Calibri Light" w:cs="Calibri Light"/>
                <w:b w:val="0"/>
              </w:rPr>
              <w:t xml:space="preserve"> durante el</w:t>
            </w:r>
            <w:r>
              <w:rPr>
                <w:rFonts w:ascii="Calibri Light" w:hAnsi="Calibri Light" w:cs="Calibri Light"/>
                <w:b w:val="0"/>
              </w:rPr>
              <w:t xml:space="preserve"> </w:t>
            </w:r>
            <w:r w:rsidRPr="00AD100C">
              <w:rPr>
                <w:rFonts w:ascii="Calibri Light" w:hAnsi="Calibri Light" w:cs="Calibri Light"/>
                <w:b w:val="0"/>
              </w:rPr>
              <w:t>trámite del caso que fue reabierta el 28 de mayo de 2012- de manera diligente, efectiva y dentro de un plazo</w:t>
            </w:r>
            <w:r w:rsidRPr="00AD100C">
              <w:rPr>
                <w:rFonts w:ascii="Calibri Light" w:hAnsi="Calibri Light" w:cs="Calibri Light"/>
              </w:rPr>
              <w:t xml:space="preserve"> </w:t>
            </w:r>
            <w:r w:rsidRPr="00AD100C">
              <w:rPr>
                <w:rFonts w:ascii="Calibri Light" w:hAnsi="Calibri Light" w:cs="Calibri Light"/>
                <w:b w:val="0"/>
              </w:rPr>
              <w:t>razonable con el objeto de esclarecer los hechos en forma completa, identificar todas las posibles</w:t>
            </w:r>
            <w:r w:rsidRPr="00AD100C">
              <w:rPr>
                <w:rFonts w:ascii="Calibri Light" w:hAnsi="Calibri Light" w:cs="Calibri Light"/>
              </w:rPr>
              <w:t xml:space="preserve"> </w:t>
            </w:r>
            <w:r w:rsidRPr="00AD100C">
              <w:rPr>
                <w:rFonts w:ascii="Calibri Light" w:hAnsi="Calibri Light" w:cs="Calibri Light"/>
                <w:b w:val="0"/>
              </w:rPr>
              <w:t>responsabilidades e imponer las sanciones que correspondan respecto de las violaciones de derechos</w:t>
            </w:r>
            <w:r w:rsidRPr="00AD100C">
              <w:rPr>
                <w:rFonts w:ascii="Calibri Light" w:hAnsi="Calibri Light" w:cs="Calibri Light"/>
              </w:rPr>
              <w:t xml:space="preserve"> </w:t>
            </w:r>
            <w:r w:rsidRPr="00AD100C">
              <w:rPr>
                <w:rFonts w:ascii="Calibri Light" w:hAnsi="Calibri Light" w:cs="Calibri Light"/>
                <w:b w:val="0"/>
              </w:rPr>
              <w:t>humanos declaradas en el presente informe</w:t>
            </w:r>
            <w:r w:rsidRPr="00AD100C">
              <w:rPr>
                <w:rFonts w:ascii="Calibri Light" w:hAnsi="Calibri Light" w:cs="Calibri Light"/>
              </w:rPr>
              <w:t>.</w:t>
            </w:r>
          </w:p>
          <w:p w14:paraId="6EE4258F" w14:textId="77777777" w:rsidR="00AD100C" w:rsidRPr="00AD100C" w:rsidRDefault="00AD100C" w:rsidP="00AD100C">
            <w:pPr>
              <w:pStyle w:val="ListParagraph"/>
              <w:ind w:left="360"/>
              <w:jc w:val="both"/>
              <w:rPr>
                <w:rFonts w:ascii="Calibri Light" w:hAnsi="Calibri Light"/>
              </w:rPr>
            </w:pPr>
          </w:p>
          <w:p w14:paraId="3C8A2BBD" w14:textId="0C0D7ADC" w:rsidR="00CD7158" w:rsidRPr="00AD100C" w:rsidRDefault="00AD100C" w:rsidP="00AD10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 Light" w:hAnsi="Calibri Light"/>
              </w:rPr>
            </w:pPr>
            <w:r w:rsidRPr="00AD100C">
              <w:rPr>
                <w:rFonts w:ascii="Calibri Light" w:hAnsi="Calibri Light"/>
                <w:b w:val="0"/>
              </w:rPr>
              <w:t>Disponer las medidas necesarias para evitar la repetición de las violaciones de derechos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humanos declaradas, incluyendo: i) la capacitación de miembros de las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fuerzas armadas a cargo de las personas que prestan el servicio militar, específicamente en cuando a los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estándares internacionales sobre su posición especial de garante frente a dichas personas, y sobre los límites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 xml:space="preserve">que el </w:t>
            </w:r>
            <w:r w:rsidR="00944960">
              <w:rPr>
                <w:rFonts w:ascii="Calibri Light" w:hAnsi="Calibri Light"/>
                <w:b w:val="0"/>
              </w:rPr>
              <w:t>D</w:t>
            </w:r>
            <w:r w:rsidRPr="00AD100C">
              <w:rPr>
                <w:rFonts w:ascii="Calibri Light" w:hAnsi="Calibri Light"/>
                <w:b w:val="0"/>
              </w:rPr>
              <w:t xml:space="preserve">erecho </w:t>
            </w:r>
            <w:r w:rsidR="00944960">
              <w:rPr>
                <w:rFonts w:ascii="Calibri Light" w:hAnsi="Calibri Light"/>
                <w:b w:val="0"/>
              </w:rPr>
              <w:t>I</w:t>
            </w:r>
            <w:r w:rsidRPr="00AD100C">
              <w:rPr>
                <w:rFonts w:ascii="Calibri Light" w:hAnsi="Calibri Light"/>
                <w:b w:val="0"/>
              </w:rPr>
              <w:t xml:space="preserve">nternacional de los </w:t>
            </w:r>
            <w:r w:rsidR="00944960">
              <w:rPr>
                <w:rFonts w:ascii="Calibri Light" w:hAnsi="Calibri Light"/>
                <w:b w:val="0"/>
              </w:rPr>
              <w:t>D</w:t>
            </w:r>
            <w:r w:rsidRPr="00AD100C">
              <w:rPr>
                <w:rFonts w:ascii="Calibri Light" w:hAnsi="Calibri Light"/>
                <w:b w:val="0"/>
              </w:rPr>
              <w:t xml:space="preserve">erechos </w:t>
            </w:r>
            <w:r w:rsidR="00944960">
              <w:rPr>
                <w:rFonts w:ascii="Calibri Light" w:hAnsi="Calibri Light"/>
                <w:b w:val="0"/>
              </w:rPr>
              <w:t>H</w:t>
            </w:r>
            <w:r w:rsidRPr="00AD100C">
              <w:rPr>
                <w:rFonts w:ascii="Calibri Light" w:hAnsi="Calibri Light"/>
                <w:b w:val="0"/>
              </w:rPr>
              <w:t>umanos impone a los métodos de disciplina militar; ii) la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creación de mecanismos independientes, idóneos y efectivos de rendición de cuentas sobre abusos en el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ámbito de la prestación del servicio militar; y iii) la eliminación del uso de la justicia militar y el</w:t>
            </w:r>
            <w:r w:rsidRPr="00AD100C">
              <w:rPr>
                <w:rFonts w:ascii="Calibri Light" w:hAnsi="Calibri Light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fortalecimiento de las capacidades investigativas frente a muertes y otros abusos que tengan lugar bajo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AD100C">
              <w:rPr>
                <w:rFonts w:ascii="Calibri Light" w:hAnsi="Calibri Light"/>
                <w:b w:val="0"/>
              </w:rPr>
              <w:t>custodia del Estado en el marco de la prestación del servicio militar.</w:t>
            </w:r>
          </w:p>
          <w:p w14:paraId="49863AFC" w14:textId="5EC05197" w:rsidR="00CD7158" w:rsidRPr="00AD100C" w:rsidRDefault="00CD7158" w:rsidP="00AD100C">
            <w:pPr>
              <w:jc w:val="both"/>
              <w:rPr>
                <w:rFonts w:ascii="Calibri Light" w:hAnsi="Calibri Light"/>
              </w:rPr>
            </w:pPr>
          </w:p>
        </w:tc>
      </w:tr>
      <w:tr w:rsidR="004C2E50" w:rsidRPr="004533E5" w14:paraId="0B7CC98E" w14:textId="77777777" w:rsidTr="00A94EE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6CFB853" w14:textId="77777777" w:rsidR="004C2E50" w:rsidRPr="00310836" w:rsidRDefault="004C2E50" w:rsidP="00F464EC">
            <w:pPr>
              <w:pStyle w:val="ListParagraph"/>
              <w:spacing w:after="200" w:line="276" w:lineRule="auto"/>
              <w:rPr>
                <w:rFonts w:ascii="Calibri Light" w:hAnsi="Calibri Light"/>
              </w:rPr>
            </w:pPr>
          </w:p>
          <w:p w14:paraId="7B045F14" w14:textId="2270E615" w:rsidR="004C2E50" w:rsidRPr="00310836" w:rsidRDefault="004C2E50" w:rsidP="00F464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 Light" w:hAnsi="Calibri Light"/>
              </w:rPr>
            </w:pPr>
            <w:r w:rsidRPr="00310836">
              <w:rPr>
                <w:rFonts w:ascii="Calibri Light" w:hAnsi="Calibri Light"/>
              </w:rPr>
              <w:t>Análisis de cumplimiento de las recomendaciones</w:t>
            </w:r>
          </w:p>
          <w:p w14:paraId="3C93C1C0" w14:textId="77777777" w:rsidR="004C2E50" w:rsidRPr="00310836" w:rsidRDefault="004C2E50" w:rsidP="00F464EC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</w:p>
        </w:tc>
      </w:tr>
      <w:tr w:rsidR="004C2E50" w:rsidRPr="004533E5" w14:paraId="41FA15A1" w14:textId="77777777" w:rsidTr="00A94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AAFA1A0" w14:textId="77777777" w:rsidR="004C2E50" w:rsidRPr="00310836" w:rsidRDefault="004C2E50" w:rsidP="004B1311">
            <w:pPr>
              <w:pStyle w:val="ListParagraph"/>
              <w:ind w:left="0"/>
              <w:jc w:val="both"/>
              <w:rPr>
                <w:rFonts w:ascii="Calibri Light" w:hAnsi="Calibri Light"/>
                <w:b w:val="0"/>
              </w:rPr>
            </w:pPr>
          </w:p>
          <w:p w14:paraId="59C6DB00" w14:textId="77777777" w:rsidR="004C2E50" w:rsidRPr="00310836" w:rsidRDefault="004C2E50" w:rsidP="00826869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  <w:r w:rsidRPr="00310836">
              <w:rPr>
                <w:rFonts w:ascii="Calibri Light" w:hAnsi="Calibri Light"/>
                <w:b w:val="0"/>
              </w:rPr>
              <w:t>-</w:t>
            </w:r>
          </w:p>
          <w:p w14:paraId="1F3EA985" w14:textId="4ED84473" w:rsidR="004C2E50" w:rsidRPr="00310836" w:rsidRDefault="004C2E50" w:rsidP="00826869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</w:p>
        </w:tc>
      </w:tr>
    </w:tbl>
    <w:p w14:paraId="23A9A3C3" w14:textId="77777777" w:rsidR="00714E42" w:rsidRDefault="00714E42" w:rsidP="00A65231"/>
    <w:sectPr w:rsidR="00714E42" w:rsidSect="00A65231">
      <w:footerReference w:type="defaul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A9BF0" w14:textId="77777777" w:rsidR="004D6D89" w:rsidRDefault="004D6D89" w:rsidP="00A65231">
      <w:pPr>
        <w:spacing w:after="0" w:line="240" w:lineRule="auto"/>
      </w:pPr>
      <w:r>
        <w:separator/>
      </w:r>
    </w:p>
  </w:endnote>
  <w:endnote w:type="continuationSeparator" w:id="0">
    <w:p w14:paraId="168D5A36" w14:textId="77777777" w:rsidR="004D6D89" w:rsidRDefault="004D6D89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0CCE046E" w:rsidR="00606FDD" w:rsidRDefault="00606F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2D8" w:rsidRPr="00CD02D8">
          <w:rPr>
            <w:noProof/>
            <w:lang w:val="es-ES"/>
          </w:rPr>
          <w:t>6</w:t>
        </w:r>
        <w:r>
          <w:fldChar w:fldCharType="end"/>
        </w:r>
      </w:p>
    </w:sdtContent>
  </w:sdt>
  <w:p w14:paraId="6353BB13" w14:textId="77777777" w:rsidR="00606FDD" w:rsidRDefault="0060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AC1A5" w14:textId="77777777" w:rsidR="004D6D89" w:rsidRDefault="004D6D89" w:rsidP="00A65231">
      <w:pPr>
        <w:spacing w:after="0" w:line="240" w:lineRule="auto"/>
      </w:pPr>
      <w:r>
        <w:separator/>
      </w:r>
    </w:p>
  </w:footnote>
  <w:footnote w:type="continuationSeparator" w:id="0">
    <w:p w14:paraId="6156BB8D" w14:textId="77777777" w:rsidR="004D6D89" w:rsidRDefault="004D6D89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EBA"/>
    <w:multiLevelType w:val="hybridMultilevel"/>
    <w:tmpl w:val="39DE7A64"/>
    <w:lvl w:ilvl="0" w:tplc="F208B1F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234EA"/>
    <w:multiLevelType w:val="hybridMultilevel"/>
    <w:tmpl w:val="4C3AB1B8"/>
    <w:lvl w:ilvl="0" w:tplc="024672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010C"/>
    <w:multiLevelType w:val="hybridMultilevel"/>
    <w:tmpl w:val="F280DE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0125F"/>
    <w:multiLevelType w:val="hybridMultilevel"/>
    <w:tmpl w:val="14741F4E"/>
    <w:lvl w:ilvl="0" w:tplc="D794FB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6EF6"/>
    <w:multiLevelType w:val="hybridMultilevel"/>
    <w:tmpl w:val="56C8CD10"/>
    <w:lvl w:ilvl="0" w:tplc="0246725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38AD"/>
    <w:multiLevelType w:val="hybridMultilevel"/>
    <w:tmpl w:val="C068DABC"/>
    <w:lvl w:ilvl="0" w:tplc="A10A91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2C6C"/>
    <w:multiLevelType w:val="hybridMultilevel"/>
    <w:tmpl w:val="51F8012A"/>
    <w:lvl w:ilvl="0" w:tplc="1DEC52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59"/>
    <w:rsid w:val="00012E86"/>
    <w:rsid w:val="0002263A"/>
    <w:rsid w:val="00027257"/>
    <w:rsid w:val="00043817"/>
    <w:rsid w:val="00050512"/>
    <w:rsid w:val="00061E2D"/>
    <w:rsid w:val="00064F14"/>
    <w:rsid w:val="00066D0A"/>
    <w:rsid w:val="0008203A"/>
    <w:rsid w:val="00091F39"/>
    <w:rsid w:val="00093CB8"/>
    <w:rsid w:val="000A0C5C"/>
    <w:rsid w:val="000A3F12"/>
    <w:rsid w:val="000A45F9"/>
    <w:rsid w:val="000A4896"/>
    <w:rsid w:val="000C2623"/>
    <w:rsid w:val="000C2ED1"/>
    <w:rsid w:val="000C5A72"/>
    <w:rsid w:val="000D3CF2"/>
    <w:rsid w:val="000E6005"/>
    <w:rsid w:val="000E62FB"/>
    <w:rsid w:val="000F12DB"/>
    <w:rsid w:val="000F1515"/>
    <w:rsid w:val="000F2C70"/>
    <w:rsid w:val="000F3AF6"/>
    <w:rsid w:val="001026DE"/>
    <w:rsid w:val="00103C4C"/>
    <w:rsid w:val="001077C9"/>
    <w:rsid w:val="00111A5A"/>
    <w:rsid w:val="00117B5F"/>
    <w:rsid w:val="00126BD6"/>
    <w:rsid w:val="001307BE"/>
    <w:rsid w:val="001340E4"/>
    <w:rsid w:val="00136982"/>
    <w:rsid w:val="0014285D"/>
    <w:rsid w:val="00142A41"/>
    <w:rsid w:val="001447F4"/>
    <w:rsid w:val="00152901"/>
    <w:rsid w:val="001705B4"/>
    <w:rsid w:val="00170F52"/>
    <w:rsid w:val="00173E0E"/>
    <w:rsid w:val="001743A6"/>
    <w:rsid w:val="001754B7"/>
    <w:rsid w:val="001856BE"/>
    <w:rsid w:val="00187E1A"/>
    <w:rsid w:val="00197CAE"/>
    <w:rsid w:val="001A14F7"/>
    <w:rsid w:val="001A2DF7"/>
    <w:rsid w:val="001A6866"/>
    <w:rsid w:val="001C28EC"/>
    <w:rsid w:val="001C5F86"/>
    <w:rsid w:val="001D066F"/>
    <w:rsid w:val="001F174C"/>
    <w:rsid w:val="001F6D29"/>
    <w:rsid w:val="00212F62"/>
    <w:rsid w:val="00213757"/>
    <w:rsid w:val="00216A2A"/>
    <w:rsid w:val="002202F6"/>
    <w:rsid w:val="00220B75"/>
    <w:rsid w:val="0022426F"/>
    <w:rsid w:val="0022650A"/>
    <w:rsid w:val="00226BE9"/>
    <w:rsid w:val="00237E09"/>
    <w:rsid w:val="00243C42"/>
    <w:rsid w:val="0025010F"/>
    <w:rsid w:val="00252E50"/>
    <w:rsid w:val="00257E97"/>
    <w:rsid w:val="002720DA"/>
    <w:rsid w:val="00273EA6"/>
    <w:rsid w:val="00280835"/>
    <w:rsid w:val="00287BBC"/>
    <w:rsid w:val="0029049D"/>
    <w:rsid w:val="002938AF"/>
    <w:rsid w:val="00295E72"/>
    <w:rsid w:val="0029671B"/>
    <w:rsid w:val="002B0BDC"/>
    <w:rsid w:val="002B5637"/>
    <w:rsid w:val="002C4CED"/>
    <w:rsid w:val="002C67E8"/>
    <w:rsid w:val="002D1D2F"/>
    <w:rsid w:val="002D4A90"/>
    <w:rsid w:val="002D5158"/>
    <w:rsid w:val="002D7F8F"/>
    <w:rsid w:val="002E18A5"/>
    <w:rsid w:val="002E4FA0"/>
    <w:rsid w:val="002F4E35"/>
    <w:rsid w:val="002F7136"/>
    <w:rsid w:val="002F7466"/>
    <w:rsid w:val="00310250"/>
    <w:rsid w:val="00310836"/>
    <w:rsid w:val="003111DB"/>
    <w:rsid w:val="00317EE5"/>
    <w:rsid w:val="00336DF8"/>
    <w:rsid w:val="003501C8"/>
    <w:rsid w:val="00350260"/>
    <w:rsid w:val="0035067F"/>
    <w:rsid w:val="003529D0"/>
    <w:rsid w:val="00354A82"/>
    <w:rsid w:val="003570F3"/>
    <w:rsid w:val="00365121"/>
    <w:rsid w:val="00365E2F"/>
    <w:rsid w:val="003807C2"/>
    <w:rsid w:val="00382199"/>
    <w:rsid w:val="00390986"/>
    <w:rsid w:val="003920AF"/>
    <w:rsid w:val="00393029"/>
    <w:rsid w:val="00394D84"/>
    <w:rsid w:val="003A0CC7"/>
    <w:rsid w:val="003A36F8"/>
    <w:rsid w:val="003B0A2C"/>
    <w:rsid w:val="003B287C"/>
    <w:rsid w:val="003C05E0"/>
    <w:rsid w:val="003C57B8"/>
    <w:rsid w:val="003C7680"/>
    <w:rsid w:val="003E2B29"/>
    <w:rsid w:val="003E6AB8"/>
    <w:rsid w:val="00400792"/>
    <w:rsid w:val="00411A74"/>
    <w:rsid w:val="00414F2C"/>
    <w:rsid w:val="00416AE6"/>
    <w:rsid w:val="00421D6C"/>
    <w:rsid w:val="00423B23"/>
    <w:rsid w:val="0042581C"/>
    <w:rsid w:val="00436AB6"/>
    <w:rsid w:val="00441ADC"/>
    <w:rsid w:val="00443B9A"/>
    <w:rsid w:val="00444C2F"/>
    <w:rsid w:val="00450046"/>
    <w:rsid w:val="00451809"/>
    <w:rsid w:val="00452AA6"/>
    <w:rsid w:val="004533E5"/>
    <w:rsid w:val="00464CAC"/>
    <w:rsid w:val="00481C2F"/>
    <w:rsid w:val="004858A8"/>
    <w:rsid w:val="004861D8"/>
    <w:rsid w:val="0049298F"/>
    <w:rsid w:val="004A6AD9"/>
    <w:rsid w:val="004B1311"/>
    <w:rsid w:val="004B2686"/>
    <w:rsid w:val="004C0481"/>
    <w:rsid w:val="004C2246"/>
    <w:rsid w:val="004C2E50"/>
    <w:rsid w:val="004C5130"/>
    <w:rsid w:val="004D6D89"/>
    <w:rsid w:val="004D7550"/>
    <w:rsid w:val="004D7879"/>
    <w:rsid w:val="004E0007"/>
    <w:rsid w:val="004E58DE"/>
    <w:rsid w:val="004E678F"/>
    <w:rsid w:val="004F061A"/>
    <w:rsid w:val="004F2E56"/>
    <w:rsid w:val="004F4491"/>
    <w:rsid w:val="005000F5"/>
    <w:rsid w:val="0051197B"/>
    <w:rsid w:val="005173CF"/>
    <w:rsid w:val="00547279"/>
    <w:rsid w:val="005557C8"/>
    <w:rsid w:val="0055723A"/>
    <w:rsid w:val="005579E1"/>
    <w:rsid w:val="00557C90"/>
    <w:rsid w:val="00561359"/>
    <w:rsid w:val="005631C8"/>
    <w:rsid w:val="005679D2"/>
    <w:rsid w:val="005778FF"/>
    <w:rsid w:val="00577EC9"/>
    <w:rsid w:val="00580A2E"/>
    <w:rsid w:val="005819EE"/>
    <w:rsid w:val="00587800"/>
    <w:rsid w:val="005A1DB6"/>
    <w:rsid w:val="005A24C8"/>
    <w:rsid w:val="005A46E0"/>
    <w:rsid w:val="005B011C"/>
    <w:rsid w:val="005C3229"/>
    <w:rsid w:val="005C7F1E"/>
    <w:rsid w:val="005D2F3F"/>
    <w:rsid w:val="005D4FDF"/>
    <w:rsid w:val="005D687D"/>
    <w:rsid w:val="005E3100"/>
    <w:rsid w:val="005E3C44"/>
    <w:rsid w:val="005F0F4F"/>
    <w:rsid w:val="005F442D"/>
    <w:rsid w:val="005F7B1B"/>
    <w:rsid w:val="006007A4"/>
    <w:rsid w:val="006051D5"/>
    <w:rsid w:val="00606CDB"/>
    <w:rsid w:val="00606FDD"/>
    <w:rsid w:val="00613D24"/>
    <w:rsid w:val="00613F1D"/>
    <w:rsid w:val="00620BB4"/>
    <w:rsid w:val="00635D6E"/>
    <w:rsid w:val="00640787"/>
    <w:rsid w:val="006407DD"/>
    <w:rsid w:val="00643A52"/>
    <w:rsid w:val="00646D01"/>
    <w:rsid w:val="0065378D"/>
    <w:rsid w:val="006621EC"/>
    <w:rsid w:val="00662334"/>
    <w:rsid w:val="00671C39"/>
    <w:rsid w:val="00676230"/>
    <w:rsid w:val="0068228A"/>
    <w:rsid w:val="006853B3"/>
    <w:rsid w:val="00685F04"/>
    <w:rsid w:val="0068614D"/>
    <w:rsid w:val="006877B2"/>
    <w:rsid w:val="006A3F5E"/>
    <w:rsid w:val="006A4E40"/>
    <w:rsid w:val="006A6517"/>
    <w:rsid w:val="006B4F38"/>
    <w:rsid w:val="006B5FE5"/>
    <w:rsid w:val="006C490B"/>
    <w:rsid w:val="006D3A05"/>
    <w:rsid w:val="006D488A"/>
    <w:rsid w:val="006E4A6C"/>
    <w:rsid w:val="006F0396"/>
    <w:rsid w:val="00700883"/>
    <w:rsid w:val="007018BC"/>
    <w:rsid w:val="0070524A"/>
    <w:rsid w:val="00714E42"/>
    <w:rsid w:val="00722282"/>
    <w:rsid w:val="0073272E"/>
    <w:rsid w:val="00732BC0"/>
    <w:rsid w:val="00732EDB"/>
    <w:rsid w:val="00733E0F"/>
    <w:rsid w:val="00745A34"/>
    <w:rsid w:val="00747E22"/>
    <w:rsid w:val="007518FD"/>
    <w:rsid w:val="007532FD"/>
    <w:rsid w:val="007572E9"/>
    <w:rsid w:val="00762060"/>
    <w:rsid w:val="007756D8"/>
    <w:rsid w:val="007823C3"/>
    <w:rsid w:val="00790783"/>
    <w:rsid w:val="00792D6B"/>
    <w:rsid w:val="00794463"/>
    <w:rsid w:val="0079477F"/>
    <w:rsid w:val="007A0B8D"/>
    <w:rsid w:val="007A6C56"/>
    <w:rsid w:val="007B1131"/>
    <w:rsid w:val="007B2A0D"/>
    <w:rsid w:val="007B2DB7"/>
    <w:rsid w:val="007B39E9"/>
    <w:rsid w:val="007B7ED8"/>
    <w:rsid w:val="007C597B"/>
    <w:rsid w:val="007D1E30"/>
    <w:rsid w:val="007E382B"/>
    <w:rsid w:val="007F6B36"/>
    <w:rsid w:val="00802D6A"/>
    <w:rsid w:val="008036E7"/>
    <w:rsid w:val="00803879"/>
    <w:rsid w:val="00804F45"/>
    <w:rsid w:val="00807ABC"/>
    <w:rsid w:val="00813AD2"/>
    <w:rsid w:val="008231E5"/>
    <w:rsid w:val="00826869"/>
    <w:rsid w:val="00827DDC"/>
    <w:rsid w:val="008406EC"/>
    <w:rsid w:val="00841B0E"/>
    <w:rsid w:val="008446B0"/>
    <w:rsid w:val="00845807"/>
    <w:rsid w:val="00850A45"/>
    <w:rsid w:val="00855451"/>
    <w:rsid w:val="00865E7D"/>
    <w:rsid w:val="00866A4D"/>
    <w:rsid w:val="008704B9"/>
    <w:rsid w:val="00871226"/>
    <w:rsid w:val="00871530"/>
    <w:rsid w:val="008742D2"/>
    <w:rsid w:val="008A0F6C"/>
    <w:rsid w:val="008C6A12"/>
    <w:rsid w:val="008D1B19"/>
    <w:rsid w:val="008E3DCB"/>
    <w:rsid w:val="008E6CC6"/>
    <w:rsid w:val="008E73A6"/>
    <w:rsid w:val="008F0C5B"/>
    <w:rsid w:val="0090367F"/>
    <w:rsid w:val="0091764C"/>
    <w:rsid w:val="00921D52"/>
    <w:rsid w:val="009261E2"/>
    <w:rsid w:val="00931244"/>
    <w:rsid w:val="009363AD"/>
    <w:rsid w:val="00944960"/>
    <w:rsid w:val="00947225"/>
    <w:rsid w:val="00951CBD"/>
    <w:rsid w:val="00954E20"/>
    <w:rsid w:val="00970941"/>
    <w:rsid w:val="00975D0F"/>
    <w:rsid w:val="00984BBF"/>
    <w:rsid w:val="00987DF7"/>
    <w:rsid w:val="00996958"/>
    <w:rsid w:val="009978DE"/>
    <w:rsid w:val="009A2031"/>
    <w:rsid w:val="009B0A86"/>
    <w:rsid w:val="009C2C05"/>
    <w:rsid w:val="009C7EE7"/>
    <w:rsid w:val="009D24D2"/>
    <w:rsid w:val="009D3630"/>
    <w:rsid w:val="009D4CF6"/>
    <w:rsid w:val="009D4E29"/>
    <w:rsid w:val="009D7702"/>
    <w:rsid w:val="009E02C0"/>
    <w:rsid w:val="009E0805"/>
    <w:rsid w:val="009E6228"/>
    <w:rsid w:val="009F568B"/>
    <w:rsid w:val="009F5AC8"/>
    <w:rsid w:val="009F6931"/>
    <w:rsid w:val="00A01C9E"/>
    <w:rsid w:val="00A052BA"/>
    <w:rsid w:val="00A06F98"/>
    <w:rsid w:val="00A11E5C"/>
    <w:rsid w:val="00A125A9"/>
    <w:rsid w:val="00A133CC"/>
    <w:rsid w:val="00A1663E"/>
    <w:rsid w:val="00A208BC"/>
    <w:rsid w:val="00A271BF"/>
    <w:rsid w:val="00A3105E"/>
    <w:rsid w:val="00A344C0"/>
    <w:rsid w:val="00A40452"/>
    <w:rsid w:val="00A422A0"/>
    <w:rsid w:val="00A423CC"/>
    <w:rsid w:val="00A4435A"/>
    <w:rsid w:val="00A4615E"/>
    <w:rsid w:val="00A47DA7"/>
    <w:rsid w:val="00A5581A"/>
    <w:rsid w:val="00A5753B"/>
    <w:rsid w:val="00A5781A"/>
    <w:rsid w:val="00A60087"/>
    <w:rsid w:val="00A62115"/>
    <w:rsid w:val="00A65231"/>
    <w:rsid w:val="00A73FF0"/>
    <w:rsid w:val="00A85413"/>
    <w:rsid w:val="00A85DC9"/>
    <w:rsid w:val="00A91B24"/>
    <w:rsid w:val="00A94EE7"/>
    <w:rsid w:val="00A97934"/>
    <w:rsid w:val="00AB5C85"/>
    <w:rsid w:val="00AB712E"/>
    <w:rsid w:val="00AC1C41"/>
    <w:rsid w:val="00AC5A6A"/>
    <w:rsid w:val="00AC6F31"/>
    <w:rsid w:val="00AD100C"/>
    <w:rsid w:val="00AD36B4"/>
    <w:rsid w:val="00AE14ED"/>
    <w:rsid w:val="00AE31D9"/>
    <w:rsid w:val="00AF0F2A"/>
    <w:rsid w:val="00AF2E49"/>
    <w:rsid w:val="00B01938"/>
    <w:rsid w:val="00B07E72"/>
    <w:rsid w:val="00B1308C"/>
    <w:rsid w:val="00B15F5E"/>
    <w:rsid w:val="00B20243"/>
    <w:rsid w:val="00B34409"/>
    <w:rsid w:val="00B40B37"/>
    <w:rsid w:val="00B44EA1"/>
    <w:rsid w:val="00B535C2"/>
    <w:rsid w:val="00B5402E"/>
    <w:rsid w:val="00B55B40"/>
    <w:rsid w:val="00B6265F"/>
    <w:rsid w:val="00B71B8C"/>
    <w:rsid w:val="00B74514"/>
    <w:rsid w:val="00B771B5"/>
    <w:rsid w:val="00B86573"/>
    <w:rsid w:val="00B90050"/>
    <w:rsid w:val="00B93CB9"/>
    <w:rsid w:val="00BA0B2B"/>
    <w:rsid w:val="00BA2B50"/>
    <w:rsid w:val="00BA694D"/>
    <w:rsid w:val="00BA7DB9"/>
    <w:rsid w:val="00BB61C6"/>
    <w:rsid w:val="00BC543C"/>
    <w:rsid w:val="00BC6AC9"/>
    <w:rsid w:val="00BD48E5"/>
    <w:rsid w:val="00BD7173"/>
    <w:rsid w:val="00BE4AFD"/>
    <w:rsid w:val="00BE6FA1"/>
    <w:rsid w:val="00BF147B"/>
    <w:rsid w:val="00BF2A00"/>
    <w:rsid w:val="00BF35F4"/>
    <w:rsid w:val="00BF66C3"/>
    <w:rsid w:val="00C00160"/>
    <w:rsid w:val="00C03A78"/>
    <w:rsid w:val="00C06A7B"/>
    <w:rsid w:val="00C10BC5"/>
    <w:rsid w:val="00C1745B"/>
    <w:rsid w:val="00C20AC7"/>
    <w:rsid w:val="00C23A92"/>
    <w:rsid w:val="00C31DFF"/>
    <w:rsid w:val="00C37586"/>
    <w:rsid w:val="00C47FFC"/>
    <w:rsid w:val="00C5264E"/>
    <w:rsid w:val="00C542EC"/>
    <w:rsid w:val="00C54D99"/>
    <w:rsid w:val="00C6011B"/>
    <w:rsid w:val="00C61809"/>
    <w:rsid w:val="00C627BB"/>
    <w:rsid w:val="00C6385F"/>
    <w:rsid w:val="00C63B25"/>
    <w:rsid w:val="00C63CF4"/>
    <w:rsid w:val="00C72CF5"/>
    <w:rsid w:val="00C81723"/>
    <w:rsid w:val="00C81C09"/>
    <w:rsid w:val="00C8378E"/>
    <w:rsid w:val="00C84B05"/>
    <w:rsid w:val="00C86F65"/>
    <w:rsid w:val="00C9116C"/>
    <w:rsid w:val="00C9455E"/>
    <w:rsid w:val="00C94A17"/>
    <w:rsid w:val="00CB180B"/>
    <w:rsid w:val="00CC38D2"/>
    <w:rsid w:val="00CC717F"/>
    <w:rsid w:val="00CD02D8"/>
    <w:rsid w:val="00CD7158"/>
    <w:rsid w:val="00CE0FD4"/>
    <w:rsid w:val="00CF2D40"/>
    <w:rsid w:val="00D012DC"/>
    <w:rsid w:val="00D0479F"/>
    <w:rsid w:val="00D0696E"/>
    <w:rsid w:val="00D10449"/>
    <w:rsid w:val="00D310F8"/>
    <w:rsid w:val="00D3729B"/>
    <w:rsid w:val="00D50F45"/>
    <w:rsid w:val="00D51658"/>
    <w:rsid w:val="00D74DC7"/>
    <w:rsid w:val="00D87189"/>
    <w:rsid w:val="00D9185C"/>
    <w:rsid w:val="00D965D1"/>
    <w:rsid w:val="00D97E54"/>
    <w:rsid w:val="00DC299D"/>
    <w:rsid w:val="00DD387A"/>
    <w:rsid w:val="00DD3C7C"/>
    <w:rsid w:val="00DD4004"/>
    <w:rsid w:val="00DD4037"/>
    <w:rsid w:val="00DE2F05"/>
    <w:rsid w:val="00DE3223"/>
    <w:rsid w:val="00DF2AFB"/>
    <w:rsid w:val="00E01DD4"/>
    <w:rsid w:val="00E13FCE"/>
    <w:rsid w:val="00E255EC"/>
    <w:rsid w:val="00E3017E"/>
    <w:rsid w:val="00E311F4"/>
    <w:rsid w:val="00E35FF7"/>
    <w:rsid w:val="00E36B8B"/>
    <w:rsid w:val="00E374E5"/>
    <w:rsid w:val="00E43E28"/>
    <w:rsid w:val="00E50E4D"/>
    <w:rsid w:val="00E525D1"/>
    <w:rsid w:val="00E54D5F"/>
    <w:rsid w:val="00E6558E"/>
    <w:rsid w:val="00E70716"/>
    <w:rsid w:val="00E81F1D"/>
    <w:rsid w:val="00E82999"/>
    <w:rsid w:val="00E8797F"/>
    <w:rsid w:val="00E968E7"/>
    <w:rsid w:val="00EB47E0"/>
    <w:rsid w:val="00EC207D"/>
    <w:rsid w:val="00EC2647"/>
    <w:rsid w:val="00EC4E9F"/>
    <w:rsid w:val="00ED1B65"/>
    <w:rsid w:val="00EE6130"/>
    <w:rsid w:val="00EF5026"/>
    <w:rsid w:val="00F06184"/>
    <w:rsid w:val="00F07CF4"/>
    <w:rsid w:val="00F152BA"/>
    <w:rsid w:val="00F30F76"/>
    <w:rsid w:val="00F35633"/>
    <w:rsid w:val="00F40937"/>
    <w:rsid w:val="00F464EC"/>
    <w:rsid w:val="00F505FB"/>
    <w:rsid w:val="00F53444"/>
    <w:rsid w:val="00F55CD0"/>
    <w:rsid w:val="00F61401"/>
    <w:rsid w:val="00F64973"/>
    <w:rsid w:val="00F654E4"/>
    <w:rsid w:val="00F725A5"/>
    <w:rsid w:val="00F74E56"/>
    <w:rsid w:val="00F83405"/>
    <w:rsid w:val="00F845A6"/>
    <w:rsid w:val="00F97DC0"/>
    <w:rsid w:val="00FA402C"/>
    <w:rsid w:val="00FB0F60"/>
    <w:rsid w:val="00FB1A15"/>
    <w:rsid w:val="00FB1D17"/>
    <w:rsid w:val="00FC7EF9"/>
    <w:rsid w:val="00FE0200"/>
    <w:rsid w:val="00FE2BA4"/>
    <w:rsid w:val="00FE2DC6"/>
    <w:rsid w:val="00FE3FFE"/>
    <w:rsid w:val="00FE4E18"/>
    <w:rsid w:val="00FE6143"/>
    <w:rsid w:val="00FF0EB7"/>
    <w:rsid w:val="00FF34A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1077C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B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B2B"/>
    <w:rPr>
      <w:rFonts w:ascii="Calibri" w:eastAsia="Calibri" w:hAnsi="Calibri" w:cs="Times New Roman"/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BA0B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F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as.org/es/cidh/decisiones/2011/PYAD2329E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corte/2018/12329Fondo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hyperlink" Target="http://www.corteidh.or.cr/docs/casos/articulos/seriec_401_es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479F-7869-439A-9F5E-C12F39F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2864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2021-02-11T09:50:00Z</dcterms:created>
  <dcterms:modified xsi:type="dcterms:W3CDTF">2021-02-11T09:50:00Z</dcterms:modified>
</cp:coreProperties>
</file>