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C3A2" w14:textId="77777777" w:rsidR="0010560D" w:rsidRDefault="0010560D" w:rsidP="0010560D">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8347D4E" wp14:editId="40B80CF3">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FD5AA87" wp14:editId="72FBFE97">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4862E94E" wp14:editId="159D3852">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36C976" w14:textId="77777777" w:rsidR="0010560D" w:rsidRPr="00411A74" w:rsidRDefault="0010560D" w:rsidP="0010560D">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08DB82C5" w14:textId="77777777" w:rsidR="0010560D" w:rsidRDefault="0010560D" w:rsidP="0010560D">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B9FE1FE" w14:textId="77777777" w:rsidR="000A5609" w:rsidRDefault="000A5609" w:rsidP="000A5609">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545"/>
        <w:gridCol w:w="2498"/>
      </w:tblGrid>
      <w:tr w:rsidR="005173CF" w:rsidRPr="004533E5" w14:paraId="01A2F61A" w14:textId="77777777" w:rsidTr="005447F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5447F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1F3308E8" w:rsidR="005173CF" w:rsidRPr="004533E5" w:rsidRDefault="005445CB"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Ramón Rosendo Carranza Alarcón, Ecuador</w:t>
            </w:r>
          </w:p>
        </w:tc>
      </w:tr>
      <w:tr w:rsidR="00F464EC" w:rsidRPr="004533E5" w14:paraId="59A6A8A1" w14:textId="77777777" w:rsidTr="005447F1">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7352B6A1" w:rsidR="00F464EC" w:rsidRPr="004533E5" w:rsidRDefault="00254625"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2F5B357D" w:rsidR="00C113D2" w:rsidRDefault="005445CB"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José Leonardo Obando Laaz</w:t>
            </w:r>
          </w:p>
        </w:tc>
      </w:tr>
      <w:tr w:rsidR="005173CF" w:rsidRPr="004533E5" w14:paraId="3A483B4F" w14:textId="77777777" w:rsidTr="005447F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1A6D9519"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537639C4" w:rsidR="005173CF" w:rsidRPr="004533E5" w:rsidRDefault="009E1763" w:rsidP="00B07E7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5445CB" w:rsidRPr="005445CB">
                <w:rPr>
                  <w:rStyle w:val="Hyperlink"/>
                  <w:rFonts w:ascii="Calibri Light" w:hAnsi="Calibri Light"/>
                </w:rPr>
                <w:t>Informe No. 40/17</w:t>
              </w:r>
            </w:hyperlink>
          </w:p>
        </w:tc>
      </w:tr>
      <w:tr w:rsidR="004533E5" w:rsidRPr="004533E5" w14:paraId="5EC10F5F" w14:textId="77777777" w:rsidTr="005447F1">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41633728" w:rsidR="005173CF" w:rsidRPr="004533E5" w:rsidRDefault="00FA551D"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Fondo</w:t>
            </w:r>
            <w:r w:rsidR="00394369">
              <w:rPr>
                <w:rFonts w:ascii="Calibri Light" w:hAnsi="Calibri Light"/>
              </w:rPr>
              <w:t xml:space="preserve"> (Caso en la Corte IDH)</w:t>
            </w:r>
          </w:p>
        </w:tc>
      </w:tr>
      <w:tr w:rsidR="005173CF" w:rsidRPr="004533E5" w14:paraId="7ED5AB61" w14:textId="77777777" w:rsidTr="005447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7992EA38" w:rsidR="005173CF" w:rsidRPr="004533E5" w:rsidRDefault="005445CB"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23 de mayo de 2017</w:t>
            </w:r>
          </w:p>
        </w:tc>
      </w:tr>
      <w:tr w:rsidR="004533E5" w:rsidRPr="004533E5" w14:paraId="1A0D058F" w14:textId="77777777" w:rsidTr="005447F1">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6069909A" w14:textId="77777777" w:rsidR="00C113D2" w:rsidRDefault="005445CB"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154/11 (</w:t>
            </w:r>
            <w:hyperlink r:id="rId13" w:history="1">
              <w:r w:rsidRPr="005445CB">
                <w:rPr>
                  <w:rStyle w:val="Hyperlink"/>
                  <w:rFonts w:ascii="Calibri Light" w:hAnsi="Calibri Light"/>
                </w:rPr>
                <w:t>Admisibilidad</w:t>
              </w:r>
            </w:hyperlink>
            <w:r>
              <w:rPr>
                <w:rFonts w:ascii="Calibri Light" w:hAnsi="Calibri Light"/>
              </w:rPr>
              <w:t xml:space="preserve">) </w:t>
            </w:r>
          </w:p>
          <w:p w14:paraId="72EA1AA4" w14:textId="61568907" w:rsidR="0010560D" w:rsidRPr="004533E5" w:rsidRDefault="0010560D"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Carranza Alarcón vs. Ecuador (</w:t>
            </w:r>
            <w:hyperlink r:id="rId14" w:history="1">
              <w:r w:rsidRPr="0010560D">
                <w:rPr>
                  <w:rStyle w:val="Hyperlink"/>
                  <w:rFonts w:ascii="Calibri Light" w:hAnsi="Calibri Light"/>
                </w:rPr>
                <w:t>Sentencia de 3 de febrero de 2020</w:t>
              </w:r>
            </w:hyperlink>
            <w:r>
              <w:rPr>
                <w:rFonts w:ascii="Calibri Light" w:hAnsi="Calibri Light"/>
              </w:rPr>
              <w:t>)</w:t>
            </w:r>
          </w:p>
        </w:tc>
      </w:tr>
      <w:tr w:rsidR="005447F1" w:rsidRPr="004533E5" w14:paraId="570485B4" w14:textId="77777777" w:rsidTr="00806F83">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5447F1" w:rsidRDefault="005447F1"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2ED3ABB9" w:rsidR="005447F1" w:rsidRPr="004533E5" w:rsidRDefault="005447F1" w:rsidP="005447F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5447F1" w:rsidRPr="004533E5" w14:paraId="1B98DA54" w14:textId="71564EBD" w:rsidTr="005447F1">
        <w:trPr>
          <w:trHeight w:val="268"/>
        </w:trPr>
        <w:tc>
          <w:tcPr>
            <w:cnfStyle w:val="001000000000" w:firstRow="0" w:lastRow="0" w:firstColumn="1" w:lastColumn="0" w:oddVBand="0" w:evenVBand="0" w:oddHBand="0" w:evenHBand="0" w:firstRowFirstColumn="0" w:firstRowLastColumn="0" w:lastRowFirstColumn="0" w:lastRowLastColumn="0"/>
            <w:tcW w:w="3678" w:type="dxa"/>
            <w:vMerge/>
          </w:tcPr>
          <w:p w14:paraId="0BCD6C4F" w14:textId="77777777" w:rsidR="005447F1" w:rsidRDefault="005447F1" w:rsidP="00A65231">
            <w:pPr>
              <w:pStyle w:val="ListParagraph"/>
              <w:numPr>
                <w:ilvl w:val="0"/>
                <w:numId w:val="3"/>
              </w:numPr>
              <w:rPr>
                <w:rFonts w:ascii="Calibri Light" w:hAnsi="Calibri Light"/>
              </w:rPr>
            </w:pPr>
          </w:p>
        </w:tc>
        <w:tc>
          <w:tcPr>
            <w:tcW w:w="2545" w:type="dxa"/>
          </w:tcPr>
          <w:p w14:paraId="62C0DADA" w14:textId="06BF0BFA" w:rsidR="005447F1" w:rsidRPr="004533E5" w:rsidRDefault="005447F1" w:rsidP="005447F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498" w:type="dxa"/>
          </w:tcPr>
          <w:p w14:paraId="17179D67" w14:textId="2F9F4B14" w:rsidR="005447F1" w:rsidRPr="004533E5" w:rsidRDefault="005447F1" w:rsidP="005447F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5447F1" w:rsidRPr="004533E5" w14:paraId="57A17E44" w14:textId="3C5D98EB" w:rsidTr="00C6669F">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678" w:type="dxa"/>
            <w:vMerge/>
          </w:tcPr>
          <w:p w14:paraId="5FD4AA6B" w14:textId="77777777" w:rsidR="005447F1" w:rsidRDefault="005447F1" w:rsidP="00A65231">
            <w:pPr>
              <w:pStyle w:val="ListParagraph"/>
              <w:numPr>
                <w:ilvl w:val="0"/>
                <w:numId w:val="3"/>
              </w:numPr>
              <w:rPr>
                <w:rFonts w:ascii="Calibri Light" w:hAnsi="Calibri Light"/>
              </w:rPr>
            </w:pPr>
          </w:p>
        </w:tc>
        <w:tc>
          <w:tcPr>
            <w:tcW w:w="2545" w:type="dxa"/>
          </w:tcPr>
          <w:p w14:paraId="7C9ABF15" w14:textId="40DB0560" w:rsidR="00C6669F" w:rsidRPr="005445CB" w:rsidRDefault="005445CB" w:rsidP="005447F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Art. 1, art. 2, art. 7, art. 8</w:t>
            </w:r>
          </w:p>
        </w:tc>
        <w:tc>
          <w:tcPr>
            <w:tcW w:w="2498" w:type="dxa"/>
            <w:vAlign w:val="center"/>
          </w:tcPr>
          <w:p w14:paraId="6DC03E31" w14:textId="2D6A0254" w:rsidR="005447F1" w:rsidRDefault="005445CB" w:rsidP="005445CB">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w:t>
            </w:r>
          </w:p>
        </w:tc>
      </w:tr>
      <w:tr w:rsidR="005173CF" w:rsidRPr="004533E5" w14:paraId="54B7813B"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100EDC34"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5447F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5BDDDF0A" w14:textId="77777777" w:rsidR="00D97A7A" w:rsidRDefault="00D97A7A" w:rsidP="00931244">
            <w:pPr>
              <w:jc w:val="both"/>
              <w:rPr>
                <w:rFonts w:ascii="Calibri Light" w:hAnsi="Calibri Light" w:cs="Calibri Light"/>
                <w:b w:val="0"/>
                <w:sz w:val="23"/>
                <w:szCs w:val="23"/>
                <w:highlight w:val="yellow"/>
              </w:rPr>
            </w:pPr>
          </w:p>
          <w:p w14:paraId="793B2445" w14:textId="74EB2390" w:rsidR="00543193" w:rsidRDefault="001C3162" w:rsidP="00E56BAF">
            <w:pPr>
              <w:jc w:val="both"/>
              <w:rPr>
                <w:rFonts w:ascii="Calibri Light" w:hAnsi="Calibri Light"/>
                <w:b w:val="0"/>
              </w:rPr>
            </w:pPr>
            <w:r>
              <w:rPr>
                <w:rFonts w:ascii="Calibri Light" w:hAnsi="Calibri Light"/>
                <w:b w:val="0"/>
              </w:rPr>
              <w:t xml:space="preserve">El caso trata sobre la medida de prisión preventiva impuesta contra Ramón Rosendo Carranza Alarcón, en el marco de un proceso penal </w:t>
            </w:r>
            <w:r w:rsidR="00E56BAF">
              <w:rPr>
                <w:rFonts w:ascii="Calibri Light" w:hAnsi="Calibri Light"/>
                <w:b w:val="0"/>
              </w:rPr>
              <w:t xml:space="preserve">seguido en su contra </w:t>
            </w:r>
            <w:r>
              <w:rPr>
                <w:rFonts w:ascii="Calibri Light" w:hAnsi="Calibri Light"/>
                <w:b w:val="0"/>
              </w:rPr>
              <w:t xml:space="preserve">por el delito homicidio. </w:t>
            </w:r>
            <w:r w:rsidR="004E5A53">
              <w:rPr>
                <w:rFonts w:ascii="Calibri Light" w:hAnsi="Calibri Light"/>
                <w:b w:val="0"/>
              </w:rPr>
              <w:t xml:space="preserve">Esta medida fue impuesta en base al artículo 177 del Código de Procedimiento Penal de Ecuador que considera a la existencia de indicios de responsabilidad por el delito como argumento suficiente para la aplicación de prisión preventiva. </w:t>
            </w:r>
            <w:r w:rsidR="00F31E91">
              <w:rPr>
                <w:rFonts w:ascii="Calibri Light" w:hAnsi="Calibri Light"/>
                <w:b w:val="0"/>
              </w:rPr>
              <w:t xml:space="preserve">El señor Carranza permaneció detenido preventivamente durante cuatro años antes de ser condenado. </w:t>
            </w:r>
          </w:p>
          <w:p w14:paraId="1EE5A7E7" w14:textId="324AC382" w:rsidR="004E5A53" w:rsidRPr="004533E5" w:rsidRDefault="004E5A53" w:rsidP="00E56BAF">
            <w:pPr>
              <w:jc w:val="both"/>
              <w:rPr>
                <w:rFonts w:ascii="Calibri Light" w:hAnsi="Calibri Light"/>
                <w:b w:val="0"/>
              </w:rPr>
            </w:pPr>
          </w:p>
        </w:tc>
      </w:tr>
      <w:tr w:rsidR="007A6C56" w:rsidRPr="004533E5" w14:paraId="238A2196"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5447F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2C45CE7C" w14:textId="77777777" w:rsidR="00547A05" w:rsidRPr="00C848CC" w:rsidRDefault="00547A05" w:rsidP="005D4FDF">
            <w:pPr>
              <w:jc w:val="both"/>
              <w:rPr>
                <w:rFonts w:ascii="Calibri Light" w:hAnsi="Calibri Light"/>
                <w:b w:val="0"/>
              </w:rPr>
            </w:pPr>
          </w:p>
          <w:p w14:paraId="0D0F420B" w14:textId="73100453" w:rsidR="00C848CC" w:rsidRPr="00C848CC" w:rsidRDefault="00C848CC" w:rsidP="00C848CC">
            <w:pPr>
              <w:jc w:val="both"/>
              <w:rPr>
                <w:rFonts w:ascii="Calibri Light" w:hAnsi="Calibri Light" w:cs="Calibri Light"/>
                <w:b w:val="0"/>
                <w:sz w:val="23"/>
                <w:szCs w:val="23"/>
              </w:rPr>
            </w:pPr>
            <w:r w:rsidRPr="00C848CC">
              <w:rPr>
                <w:rFonts w:ascii="Calibri Light" w:hAnsi="Calibri Light" w:cs="Calibri Light"/>
                <w:b w:val="0"/>
                <w:sz w:val="23"/>
                <w:szCs w:val="23"/>
              </w:rPr>
              <w:t>Libertad personal, Prisión preventiva</w:t>
            </w:r>
            <w:r>
              <w:rPr>
                <w:rFonts w:ascii="Calibri Light" w:hAnsi="Calibri Light" w:cs="Calibri Light"/>
                <w:b w:val="0"/>
                <w:sz w:val="23"/>
                <w:szCs w:val="23"/>
              </w:rPr>
              <w:t>, Protección judicial y garantías judiciales</w:t>
            </w:r>
          </w:p>
          <w:p w14:paraId="05374712" w14:textId="5E29048E" w:rsidR="00C848CC" w:rsidRPr="004533E5" w:rsidRDefault="00C848CC" w:rsidP="005D4FDF">
            <w:pPr>
              <w:jc w:val="both"/>
              <w:rPr>
                <w:rFonts w:ascii="Calibri Light" w:hAnsi="Calibri Light"/>
                <w:b w:val="0"/>
              </w:rPr>
            </w:pPr>
          </w:p>
        </w:tc>
      </w:tr>
      <w:tr w:rsidR="005173CF" w:rsidRPr="004533E5" w14:paraId="69044E7B"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5447F1">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3C88AA5E" w:rsidR="00AC6F31" w:rsidRDefault="00AC6F31" w:rsidP="008036E7">
            <w:pPr>
              <w:jc w:val="both"/>
              <w:rPr>
                <w:rFonts w:ascii="Calibri Light" w:hAnsi="Calibri Light"/>
                <w:b w:val="0"/>
              </w:rPr>
            </w:pPr>
          </w:p>
          <w:p w14:paraId="0867C1B2" w14:textId="77777777" w:rsidR="0059192D" w:rsidRDefault="00EE27E1" w:rsidP="008A0E6D">
            <w:pPr>
              <w:jc w:val="both"/>
              <w:rPr>
                <w:rFonts w:ascii="Calibri Light" w:hAnsi="Calibri Light"/>
                <w:b w:val="0"/>
              </w:rPr>
            </w:pPr>
            <w:r>
              <w:rPr>
                <w:rFonts w:ascii="Calibri Light" w:hAnsi="Calibri Light"/>
                <w:b w:val="0"/>
              </w:rPr>
              <w:t xml:space="preserve">El 16 de agosto de 1993, Segundo Mariño Gamboa presentó una denuncia en la Comisaría de la Policía Nacional en el cantón Yaguachi contra Ramón Rosendo Carranza Alarcón y Alfredo Vargas Recalde, por el asesinato de su hermano. El 17 de agosto, </w:t>
            </w:r>
            <w:r w:rsidR="00A677AA">
              <w:rPr>
                <w:rFonts w:ascii="Calibri Light" w:hAnsi="Calibri Light"/>
                <w:b w:val="0"/>
              </w:rPr>
              <w:t xml:space="preserve">el Comisario a cargo ordenó, en base al artículo 177 del Código de Procedimiento Penal, la detención preventiva de ambos denunciados. Esta decisión fue confirmada en base a la misma norma por el Juzgado 11° de lo Penal de las Guayas el 28 de octubre de 1993. </w:t>
            </w:r>
            <w:r w:rsidR="0059192D">
              <w:rPr>
                <w:rFonts w:ascii="Calibri Light" w:hAnsi="Calibri Light"/>
                <w:b w:val="0"/>
              </w:rPr>
              <w:t>E</w:t>
            </w:r>
            <w:r w:rsidR="00A677AA">
              <w:rPr>
                <w:rFonts w:ascii="Calibri Light" w:hAnsi="Calibri Light"/>
                <w:b w:val="0"/>
              </w:rPr>
              <w:t>n noviembre de 1994, el señor Carranza fue detenido</w:t>
            </w:r>
            <w:r w:rsidR="0059192D">
              <w:rPr>
                <w:rFonts w:ascii="Calibri Light" w:hAnsi="Calibri Light"/>
                <w:b w:val="0"/>
              </w:rPr>
              <w:t xml:space="preserve"> e inició el proceso que llevó a su condena</w:t>
            </w:r>
            <w:r w:rsidR="00A677AA">
              <w:rPr>
                <w:rFonts w:ascii="Calibri Light" w:hAnsi="Calibri Light"/>
                <w:b w:val="0"/>
              </w:rPr>
              <w:t>.</w:t>
            </w:r>
          </w:p>
          <w:p w14:paraId="022664AB" w14:textId="77777777" w:rsidR="0059192D" w:rsidRDefault="0059192D" w:rsidP="008A0E6D">
            <w:pPr>
              <w:jc w:val="both"/>
              <w:rPr>
                <w:rFonts w:ascii="Calibri Light" w:hAnsi="Calibri Light"/>
                <w:b w:val="0"/>
              </w:rPr>
            </w:pPr>
          </w:p>
          <w:p w14:paraId="356658B7" w14:textId="77777777" w:rsidR="003963EB" w:rsidRDefault="0059192D" w:rsidP="008A0E6D">
            <w:pPr>
              <w:jc w:val="both"/>
              <w:rPr>
                <w:rFonts w:ascii="Calibri Light" w:hAnsi="Calibri Light"/>
                <w:b w:val="0"/>
              </w:rPr>
            </w:pPr>
            <w:r>
              <w:rPr>
                <w:rFonts w:ascii="Calibri Light" w:hAnsi="Calibri Light"/>
                <w:b w:val="0"/>
              </w:rPr>
              <w:lastRenderedPageBreak/>
              <w:t xml:space="preserve">En este, se presentaron una serie de demoras. Por ejemplo, a pesar de que el 23 de febrero de 1995 se </w:t>
            </w:r>
            <w:r w:rsidR="00685F10">
              <w:rPr>
                <w:rFonts w:ascii="Calibri Light" w:hAnsi="Calibri Light"/>
                <w:b w:val="0"/>
              </w:rPr>
              <w:t>ordenó el traslado de</w:t>
            </w:r>
            <w:r>
              <w:rPr>
                <w:rFonts w:ascii="Calibri Light" w:hAnsi="Calibri Light"/>
                <w:b w:val="0"/>
              </w:rPr>
              <w:t xml:space="preserve">l señor Carranza al Centro de Rehabilitación Social de Veranos de Guayaquil para rendir su testimonio, esto recién ocurrió el </w:t>
            </w:r>
            <w:r w:rsidR="00685F10">
              <w:rPr>
                <w:rFonts w:ascii="Calibri Light" w:hAnsi="Calibri Light"/>
                <w:b w:val="0"/>
              </w:rPr>
              <w:t>25 de agosto</w:t>
            </w:r>
            <w:r>
              <w:rPr>
                <w:rFonts w:ascii="Calibri Light" w:hAnsi="Calibri Light"/>
                <w:b w:val="0"/>
              </w:rPr>
              <w:t xml:space="preserve"> de 1995. Asimismo,</w:t>
            </w:r>
            <w:r w:rsidR="00827C0A">
              <w:rPr>
                <w:rFonts w:ascii="Calibri Light" w:hAnsi="Calibri Light"/>
                <w:b w:val="0"/>
              </w:rPr>
              <w:t xml:space="preserve"> </w:t>
            </w:r>
            <w:r>
              <w:rPr>
                <w:rFonts w:ascii="Calibri Light" w:hAnsi="Calibri Light"/>
                <w:b w:val="0"/>
              </w:rPr>
              <w:t xml:space="preserve">el </w:t>
            </w:r>
            <w:r w:rsidR="00F53F35">
              <w:rPr>
                <w:rFonts w:ascii="Calibri Light" w:hAnsi="Calibri Light"/>
                <w:b w:val="0"/>
              </w:rPr>
              <w:t xml:space="preserve">11 de septiembre </w:t>
            </w:r>
            <w:r w:rsidR="00827C0A">
              <w:rPr>
                <w:rFonts w:ascii="Calibri Light" w:hAnsi="Calibri Light"/>
                <w:b w:val="0"/>
              </w:rPr>
              <w:t>de ese año, el señor Carranza presentó un escrito cuestionando su detención que no habría sido respondido</w:t>
            </w:r>
            <w:r w:rsidR="00564C83">
              <w:rPr>
                <w:rFonts w:ascii="Calibri Light" w:hAnsi="Calibri Light"/>
                <w:b w:val="0"/>
              </w:rPr>
              <w:t xml:space="preserve"> y r</w:t>
            </w:r>
            <w:r w:rsidR="00827C0A">
              <w:rPr>
                <w:rFonts w:ascii="Calibri Light" w:hAnsi="Calibri Light"/>
                <w:b w:val="0"/>
              </w:rPr>
              <w:t xml:space="preserve">ecién el </w:t>
            </w:r>
            <w:r>
              <w:rPr>
                <w:rFonts w:ascii="Calibri Light" w:hAnsi="Calibri Light"/>
                <w:b w:val="0"/>
              </w:rPr>
              <w:t xml:space="preserve">30 de septiembre </w:t>
            </w:r>
            <w:r w:rsidR="003963EB">
              <w:rPr>
                <w:rFonts w:ascii="Calibri Light" w:hAnsi="Calibri Light"/>
                <w:b w:val="0"/>
              </w:rPr>
              <w:t>de ese año</w:t>
            </w:r>
            <w:r w:rsidR="00827C0A">
              <w:rPr>
                <w:rFonts w:ascii="Calibri Light" w:hAnsi="Calibri Light"/>
                <w:b w:val="0"/>
              </w:rPr>
              <w:t>,</w:t>
            </w:r>
            <w:r>
              <w:rPr>
                <w:rFonts w:ascii="Calibri Light" w:hAnsi="Calibri Light"/>
                <w:b w:val="0"/>
              </w:rPr>
              <w:t xml:space="preserve"> el Juzgado 11° de lo Penal en Guayas dispuso que los autos sean remitidos al Fiscal Séptimo de Tránsito para que emita su dictamen</w:t>
            </w:r>
            <w:r w:rsidR="00816E66">
              <w:rPr>
                <w:rFonts w:ascii="Calibri Light" w:hAnsi="Calibri Light"/>
                <w:b w:val="0"/>
              </w:rPr>
              <w:t xml:space="preserve">. </w:t>
            </w:r>
          </w:p>
          <w:p w14:paraId="1424877C" w14:textId="77777777" w:rsidR="003963EB" w:rsidRDefault="003963EB" w:rsidP="008A0E6D">
            <w:pPr>
              <w:jc w:val="both"/>
              <w:rPr>
                <w:rFonts w:ascii="Calibri Light" w:hAnsi="Calibri Light"/>
                <w:b w:val="0"/>
              </w:rPr>
            </w:pPr>
          </w:p>
          <w:p w14:paraId="579B0B24" w14:textId="3266284B" w:rsidR="00EE27E1" w:rsidRDefault="00564C83" w:rsidP="008A0E6D">
            <w:pPr>
              <w:jc w:val="both"/>
              <w:rPr>
                <w:rFonts w:ascii="Calibri Light" w:hAnsi="Calibri Light"/>
                <w:b w:val="0"/>
              </w:rPr>
            </w:pPr>
            <w:r>
              <w:rPr>
                <w:rFonts w:ascii="Calibri Light" w:hAnsi="Calibri Light"/>
                <w:b w:val="0"/>
              </w:rPr>
              <w:t>Este</w:t>
            </w:r>
            <w:r w:rsidR="0059192D">
              <w:rPr>
                <w:rFonts w:ascii="Calibri Light" w:hAnsi="Calibri Light"/>
                <w:b w:val="0"/>
              </w:rPr>
              <w:t xml:space="preserve"> emitió su dictamen el 4 de marzo de 1997, señalando que hab</w:t>
            </w:r>
            <w:r w:rsidR="00816E66">
              <w:rPr>
                <w:rFonts w:ascii="Calibri Light" w:hAnsi="Calibri Light"/>
                <w:b w:val="0"/>
              </w:rPr>
              <w:t>ía</w:t>
            </w:r>
            <w:r w:rsidR="0059192D">
              <w:rPr>
                <w:rFonts w:ascii="Calibri Light" w:hAnsi="Calibri Light"/>
                <w:b w:val="0"/>
              </w:rPr>
              <w:t xml:space="preserve"> elementos para considerar que el señor Carranza hab</w:t>
            </w:r>
            <w:r w:rsidR="00816E66">
              <w:rPr>
                <w:rFonts w:ascii="Calibri Light" w:hAnsi="Calibri Light"/>
                <w:b w:val="0"/>
              </w:rPr>
              <w:t>ía participado de</w:t>
            </w:r>
            <w:r w:rsidR="0059192D">
              <w:rPr>
                <w:rFonts w:ascii="Calibri Light" w:hAnsi="Calibri Light"/>
                <w:b w:val="0"/>
              </w:rPr>
              <w:t xml:space="preserve"> los hechos</w:t>
            </w:r>
            <w:r w:rsidR="00816E66">
              <w:rPr>
                <w:rFonts w:ascii="Calibri Light" w:hAnsi="Calibri Light"/>
                <w:b w:val="0"/>
              </w:rPr>
              <w:t xml:space="preserve">, mientras que no existían méritos suficientes respecto del señor Vargas. </w:t>
            </w:r>
            <w:r>
              <w:rPr>
                <w:rFonts w:ascii="Calibri Light" w:hAnsi="Calibri Light"/>
                <w:b w:val="0"/>
              </w:rPr>
              <w:t xml:space="preserve">Pese a ello, </w:t>
            </w:r>
            <w:r w:rsidR="00816E66">
              <w:rPr>
                <w:rFonts w:ascii="Calibri Light" w:hAnsi="Calibri Light"/>
                <w:b w:val="0"/>
              </w:rPr>
              <w:t>la audiencia pública del proceso se llevó a cabo recién el 1 de diciembre de 1998.</w:t>
            </w:r>
            <w:r>
              <w:rPr>
                <w:rFonts w:ascii="Calibri Light" w:hAnsi="Calibri Light"/>
                <w:b w:val="0"/>
              </w:rPr>
              <w:t xml:space="preserve"> E</w:t>
            </w:r>
            <w:r w:rsidR="00816E66">
              <w:rPr>
                <w:rFonts w:ascii="Calibri Light" w:hAnsi="Calibri Light"/>
                <w:b w:val="0"/>
              </w:rPr>
              <w:t xml:space="preserve">n esta </w:t>
            </w:r>
            <w:r>
              <w:rPr>
                <w:rFonts w:ascii="Calibri Light" w:hAnsi="Calibri Light"/>
                <w:b w:val="0"/>
              </w:rPr>
              <w:t>la defensa del señor Carranza cuestionó</w:t>
            </w:r>
            <w:r w:rsidR="00816E66">
              <w:rPr>
                <w:rFonts w:ascii="Calibri Light" w:hAnsi="Calibri Light"/>
                <w:b w:val="0"/>
              </w:rPr>
              <w:t xml:space="preserve"> el tiempo de su detención. Finalmente, el 15 de diciembre de 1998, el señor Carranza fue condenado por el Cuarto Tribunal de lo Penal de Guayas </w:t>
            </w:r>
            <w:r w:rsidR="00346844">
              <w:rPr>
                <w:rFonts w:ascii="Calibri Light" w:hAnsi="Calibri Light"/>
                <w:b w:val="0"/>
              </w:rPr>
              <w:t>a seis años de reclusión por el delito de homicidio</w:t>
            </w:r>
            <w:r w:rsidR="00C53A4A">
              <w:rPr>
                <w:rFonts w:ascii="Calibri Light" w:hAnsi="Calibri Light"/>
                <w:b w:val="0"/>
              </w:rPr>
              <w:t>, descontando el tiempo que había permanecido detenido</w:t>
            </w:r>
            <w:r w:rsidR="00346844">
              <w:rPr>
                <w:rFonts w:ascii="Calibri Light" w:hAnsi="Calibri Light"/>
                <w:b w:val="0"/>
              </w:rPr>
              <w:t xml:space="preserve">. </w:t>
            </w:r>
          </w:p>
          <w:p w14:paraId="7C525607" w14:textId="77777777" w:rsidR="0059192D" w:rsidRDefault="0059192D" w:rsidP="008A0E6D">
            <w:pPr>
              <w:jc w:val="both"/>
              <w:rPr>
                <w:rFonts w:ascii="Calibri Light" w:hAnsi="Calibri Light"/>
                <w:b w:val="0"/>
              </w:rPr>
            </w:pPr>
          </w:p>
          <w:p w14:paraId="2D4A9C09" w14:textId="0F913BF3" w:rsidR="008A0E6D" w:rsidRDefault="008A0E6D" w:rsidP="008A0E6D">
            <w:pPr>
              <w:jc w:val="both"/>
              <w:rPr>
                <w:rFonts w:ascii="Calibri Light" w:hAnsi="Calibri Light"/>
                <w:b w:val="0"/>
              </w:rPr>
            </w:pPr>
            <w:r w:rsidRPr="00007B7B">
              <w:rPr>
                <w:rFonts w:ascii="Calibri Light" w:hAnsi="Calibri Light"/>
                <w:b w:val="0"/>
              </w:rPr>
              <w:t xml:space="preserve">Frente a tales hechos, </w:t>
            </w:r>
            <w:r>
              <w:rPr>
                <w:rFonts w:ascii="Calibri Light" w:hAnsi="Calibri Light"/>
                <w:b w:val="0"/>
              </w:rPr>
              <w:t>José Leonardo Obando Laaz</w:t>
            </w:r>
            <w:r w:rsidRPr="00007B7B">
              <w:rPr>
                <w:rFonts w:ascii="Calibri Light" w:hAnsi="Calibri Light"/>
                <w:b w:val="0"/>
              </w:rPr>
              <w:t xml:space="preserve"> presentó una petición ante la CIDH, denunciando que el Estado de </w:t>
            </w:r>
            <w:r>
              <w:rPr>
                <w:rFonts w:ascii="Calibri Light" w:hAnsi="Calibri Light"/>
                <w:b w:val="0"/>
              </w:rPr>
              <w:t>Ecuador</w:t>
            </w:r>
            <w:r w:rsidRPr="00007B7B">
              <w:rPr>
                <w:rFonts w:ascii="Calibri Light" w:hAnsi="Calibri Light"/>
                <w:b w:val="0"/>
              </w:rPr>
              <w:t xml:space="preserve"> había vulnerado los derechos</w:t>
            </w:r>
            <w:r>
              <w:rPr>
                <w:rFonts w:ascii="Calibri Light" w:hAnsi="Calibri Light"/>
                <w:b w:val="0"/>
              </w:rPr>
              <w:t xml:space="preserve"> del señor </w:t>
            </w:r>
            <w:r w:rsidR="00EF7B3B">
              <w:rPr>
                <w:rFonts w:ascii="Calibri Light" w:hAnsi="Calibri Light"/>
                <w:b w:val="0"/>
              </w:rPr>
              <w:t xml:space="preserve">Carranza </w:t>
            </w:r>
            <w:r w:rsidRPr="00007B7B">
              <w:rPr>
                <w:rFonts w:ascii="Calibri Light" w:hAnsi="Calibri Light"/>
                <w:b w:val="0"/>
              </w:rPr>
              <w:t xml:space="preserve">a la integridad personal, </w:t>
            </w:r>
            <w:r w:rsidR="00EF7B3B">
              <w:rPr>
                <w:rFonts w:ascii="Calibri Light" w:hAnsi="Calibri Light"/>
                <w:b w:val="0"/>
              </w:rPr>
              <w:t>a la libertad personal, a las garantías judiciales y a la protección judicial</w:t>
            </w:r>
            <w:r w:rsidRPr="00007B7B">
              <w:rPr>
                <w:rFonts w:ascii="Calibri Light" w:hAnsi="Calibri Light"/>
                <w:b w:val="0"/>
              </w:rPr>
              <w:t>, reconocidos en la Convención Americana sobre Derechos Humanos (en adelante, CADH).</w:t>
            </w:r>
            <w:r>
              <w:rPr>
                <w:rFonts w:ascii="Calibri Light" w:hAnsi="Calibri Light"/>
                <w:b w:val="0"/>
              </w:rPr>
              <w:t xml:space="preserve"> </w:t>
            </w:r>
            <w:r w:rsidR="00EF7B3B">
              <w:rPr>
                <w:rFonts w:ascii="Calibri Light" w:hAnsi="Calibri Light"/>
                <w:b w:val="0"/>
              </w:rPr>
              <w:t xml:space="preserve">En su informe de admisibilidad, la CIDH declaró inadmisible la petición respecto del derecho a la integridad personal. </w:t>
            </w:r>
          </w:p>
          <w:p w14:paraId="6543A68A" w14:textId="2DC302AE" w:rsidR="008A0E6D" w:rsidRPr="004533E5" w:rsidRDefault="008A0E6D" w:rsidP="008A0E6D">
            <w:pPr>
              <w:jc w:val="both"/>
              <w:rPr>
                <w:rFonts w:ascii="Calibri Light" w:hAnsi="Calibri Light"/>
                <w:b w:val="0"/>
              </w:rPr>
            </w:pPr>
          </w:p>
        </w:tc>
      </w:tr>
      <w:tr w:rsidR="005173CF" w:rsidRPr="004533E5" w14:paraId="7B81A2F3"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Default="003E6AB8"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5447F1">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284571FC" w:rsidR="00AC6F31" w:rsidRDefault="00AC6F31" w:rsidP="008B12CE">
            <w:pPr>
              <w:jc w:val="both"/>
              <w:rPr>
                <w:rFonts w:ascii="Calibri Light" w:hAnsi="Calibri Light"/>
              </w:rPr>
            </w:pPr>
          </w:p>
          <w:p w14:paraId="569A5C6C" w14:textId="74455CE5" w:rsidR="008B12CE" w:rsidRDefault="008B12CE" w:rsidP="008B12CE">
            <w:pPr>
              <w:jc w:val="both"/>
              <w:rPr>
                <w:rFonts w:ascii="Calibri Light" w:hAnsi="Calibri Light"/>
              </w:rPr>
            </w:pPr>
            <w:r>
              <w:rPr>
                <w:rFonts w:ascii="Calibri Light" w:hAnsi="Calibri Light"/>
              </w:rPr>
              <w:t>Derecho a la libertad personal y a la presunción de inocencia (artículos 7 y 8 de la CADH)</w:t>
            </w:r>
          </w:p>
          <w:p w14:paraId="5F23F3A6" w14:textId="77777777" w:rsidR="008B12CE" w:rsidRDefault="008B12CE" w:rsidP="008B12CE">
            <w:pPr>
              <w:jc w:val="both"/>
              <w:rPr>
                <w:rFonts w:ascii="Calibri Light" w:hAnsi="Calibri Light"/>
              </w:rPr>
            </w:pPr>
          </w:p>
          <w:p w14:paraId="779B7B0B" w14:textId="77777777" w:rsidR="00E56BAF" w:rsidRDefault="00E56BAF" w:rsidP="00E56BAF">
            <w:pPr>
              <w:pStyle w:val="ListParagraph"/>
              <w:numPr>
                <w:ilvl w:val="0"/>
                <w:numId w:val="13"/>
              </w:numPr>
              <w:jc w:val="both"/>
              <w:rPr>
                <w:rFonts w:ascii="Calibri Light" w:hAnsi="Calibri Light"/>
              </w:rPr>
            </w:pPr>
            <w:r w:rsidRPr="00E56BAF">
              <w:rPr>
                <w:rFonts w:ascii="Calibri Light" w:hAnsi="Calibri Light"/>
              </w:rPr>
              <w:t>Consideraciones generales</w:t>
            </w:r>
          </w:p>
          <w:p w14:paraId="504E7CC2" w14:textId="77777777" w:rsidR="00E56BAF" w:rsidRDefault="00E56BAF" w:rsidP="00E56BAF">
            <w:pPr>
              <w:jc w:val="both"/>
              <w:rPr>
                <w:rFonts w:ascii="Calibri Light" w:hAnsi="Calibri Light"/>
              </w:rPr>
            </w:pPr>
          </w:p>
          <w:p w14:paraId="16EE46C1" w14:textId="04190B14" w:rsidR="00425C8B" w:rsidRDefault="00425C8B" w:rsidP="00E56BAF">
            <w:pPr>
              <w:jc w:val="both"/>
              <w:rPr>
                <w:rFonts w:ascii="Calibri Light" w:hAnsi="Calibri Light"/>
                <w:b w:val="0"/>
              </w:rPr>
            </w:pPr>
            <w:r w:rsidRPr="00425C8B">
              <w:rPr>
                <w:rFonts w:ascii="Calibri Light" w:hAnsi="Calibri Light"/>
                <w:b w:val="0"/>
              </w:rPr>
              <w:t>La CIDH r</w:t>
            </w:r>
            <w:r w:rsidR="00E56CCD">
              <w:rPr>
                <w:rFonts w:ascii="Calibri Light" w:hAnsi="Calibri Light"/>
                <w:b w:val="0"/>
              </w:rPr>
              <w:t>eiteró</w:t>
            </w:r>
            <w:r w:rsidRPr="00425C8B">
              <w:rPr>
                <w:rFonts w:ascii="Calibri Light" w:hAnsi="Calibri Light"/>
                <w:b w:val="0"/>
              </w:rPr>
              <w:t xml:space="preserve"> que la prisión preventiva debe ser una medida cautelar y no punitiva. Asimismo, señaló que al tratarse de la medida más severa, solo debe aplicarse de manera excepcional. En cuanto a las razones que </w:t>
            </w:r>
            <w:r w:rsidR="00E56CCD">
              <w:rPr>
                <w:rFonts w:ascii="Calibri Light" w:hAnsi="Calibri Light"/>
                <w:b w:val="0"/>
              </w:rPr>
              <w:t>justifican</w:t>
            </w:r>
            <w:r w:rsidRPr="00425C8B">
              <w:rPr>
                <w:rFonts w:ascii="Calibri Light" w:hAnsi="Calibri Light"/>
                <w:b w:val="0"/>
              </w:rPr>
              <w:t xml:space="preserve"> su aplicación</w:t>
            </w:r>
            <w:r w:rsidR="00E56CCD">
              <w:rPr>
                <w:rFonts w:ascii="Calibri Light" w:hAnsi="Calibri Light"/>
                <w:b w:val="0"/>
              </w:rPr>
              <w:t xml:space="preserve"> </w:t>
            </w:r>
            <w:r w:rsidR="00E56CCD" w:rsidRPr="008009BA">
              <w:rPr>
                <w:rFonts w:ascii="Calibri Light" w:hAnsi="Calibri Light"/>
                <w:b w:val="0"/>
              </w:rPr>
              <w:t>de acuerdo al artículo 7.3 de la CADH</w:t>
            </w:r>
            <w:r w:rsidRPr="008009BA">
              <w:rPr>
                <w:rFonts w:ascii="Calibri Light" w:hAnsi="Calibri Light"/>
                <w:b w:val="0"/>
              </w:rPr>
              <w:t>,</w:t>
            </w:r>
            <w:r w:rsidRPr="00425C8B">
              <w:rPr>
                <w:rFonts w:ascii="Calibri Light" w:hAnsi="Calibri Light"/>
                <w:b w:val="0"/>
              </w:rPr>
              <w:t xml:space="preserve"> </w:t>
            </w:r>
            <w:r w:rsidR="00E56CCD">
              <w:rPr>
                <w:rFonts w:ascii="Calibri Light" w:hAnsi="Calibri Light"/>
                <w:b w:val="0"/>
              </w:rPr>
              <w:t>señaló que de</w:t>
            </w:r>
            <w:r>
              <w:rPr>
                <w:rFonts w:ascii="Calibri Light" w:hAnsi="Calibri Light"/>
                <w:b w:val="0"/>
              </w:rPr>
              <w:t xml:space="preserve"> por sí, </w:t>
            </w:r>
            <w:r w:rsidR="00E56CCD">
              <w:rPr>
                <w:rFonts w:ascii="Calibri Light" w:hAnsi="Calibri Light"/>
                <w:b w:val="0"/>
              </w:rPr>
              <w:t xml:space="preserve">no son </w:t>
            </w:r>
            <w:r>
              <w:rPr>
                <w:rFonts w:ascii="Calibri Light" w:hAnsi="Calibri Light"/>
                <w:b w:val="0"/>
              </w:rPr>
              <w:t xml:space="preserve">suficientes para </w:t>
            </w:r>
            <w:r w:rsidR="00E56CCD">
              <w:rPr>
                <w:rFonts w:ascii="Calibri Light" w:hAnsi="Calibri Light"/>
                <w:b w:val="0"/>
              </w:rPr>
              <w:t>ello</w:t>
            </w:r>
            <w:r>
              <w:rPr>
                <w:rFonts w:ascii="Calibri Light" w:hAnsi="Calibri Light"/>
                <w:b w:val="0"/>
              </w:rPr>
              <w:t xml:space="preserve"> las características personales del presunto autor o la gravedad del delito que se le imputa.  </w:t>
            </w:r>
            <w:r w:rsidR="00E56CCD">
              <w:rPr>
                <w:rFonts w:ascii="Calibri Light" w:hAnsi="Calibri Light"/>
                <w:b w:val="0"/>
              </w:rPr>
              <w:t xml:space="preserve">Al respecto, recordó que la Corte IDH ha señalado que si bien los indicios de responsabilidad deben ser tomados en cuenta, la prisión preventiva solo se puede fundamentar en un fin legítimo, como evitar que el acusado impida el desarrollo del proceso o eluda la acción de la justicia. </w:t>
            </w:r>
          </w:p>
          <w:p w14:paraId="5F71C3C0" w14:textId="77777777" w:rsidR="00E56CCD" w:rsidRDefault="00E56CCD" w:rsidP="00E56BAF">
            <w:pPr>
              <w:jc w:val="both"/>
              <w:rPr>
                <w:rFonts w:ascii="Calibri Light" w:hAnsi="Calibri Light"/>
                <w:b w:val="0"/>
              </w:rPr>
            </w:pPr>
          </w:p>
          <w:p w14:paraId="2A6F84D4" w14:textId="359ADE22" w:rsidR="00E56CCD" w:rsidRDefault="008009BA" w:rsidP="00E56BAF">
            <w:pPr>
              <w:jc w:val="both"/>
              <w:rPr>
                <w:rFonts w:ascii="Calibri Light" w:hAnsi="Calibri Light"/>
                <w:b w:val="0"/>
              </w:rPr>
            </w:pPr>
            <w:r>
              <w:rPr>
                <w:rFonts w:ascii="Calibri Light" w:hAnsi="Calibri Light"/>
                <w:b w:val="0"/>
              </w:rPr>
              <w:t xml:space="preserve">De otra parte, señaló que de acuerdo al artículo 7.5 de la CADH, el plazo de aplicación de esta medida no debe exceder el límite de lo razonable, incluso cuando se mantengan las razones que justificaron las medidas, en cuyo caso se deberá optar por otras medidas menos lesivas. Además, sostuvo que la aplicación de la prisión preventiva debe ser revisada periódicamente para que no se prolongue en caso ya no existan los argumentos que llevaron a su adopción. </w:t>
            </w:r>
            <w:r w:rsidR="00C632E4">
              <w:rPr>
                <w:rFonts w:ascii="Calibri Light" w:hAnsi="Calibri Light"/>
                <w:b w:val="0"/>
              </w:rPr>
              <w:t xml:space="preserve">Por último, indicó que la prisión preventiva también </w:t>
            </w:r>
            <w:r w:rsidR="00500453">
              <w:rPr>
                <w:rFonts w:ascii="Calibri Light" w:hAnsi="Calibri Light"/>
                <w:b w:val="0"/>
              </w:rPr>
              <w:t>puede</w:t>
            </w:r>
            <w:r w:rsidR="00C632E4">
              <w:rPr>
                <w:rFonts w:ascii="Calibri Light" w:hAnsi="Calibri Light"/>
                <w:b w:val="0"/>
              </w:rPr>
              <w:t xml:space="preserve"> </w:t>
            </w:r>
            <w:r w:rsidR="00500453">
              <w:rPr>
                <w:rFonts w:ascii="Calibri Light" w:hAnsi="Calibri Light"/>
                <w:b w:val="0"/>
              </w:rPr>
              <w:t>afectar</w:t>
            </w:r>
            <w:r w:rsidR="00C632E4">
              <w:rPr>
                <w:rFonts w:ascii="Calibri Light" w:hAnsi="Calibri Light"/>
                <w:b w:val="0"/>
              </w:rPr>
              <w:t xml:space="preserve"> el principio de presunción de inocencia, reconocido en el artículo 8.2 de la CADH, pues mantener a una persona detenida por más tiempo del necesario para cumplir con los fines de la prisión preventiva equivale a una pena anticipada. </w:t>
            </w:r>
          </w:p>
          <w:p w14:paraId="37CD2DEE" w14:textId="77777777" w:rsidR="00E56CCD" w:rsidRPr="00425C8B" w:rsidRDefault="00E56CCD" w:rsidP="00E56BAF">
            <w:pPr>
              <w:jc w:val="both"/>
              <w:rPr>
                <w:rFonts w:ascii="Calibri Light" w:hAnsi="Calibri Light"/>
                <w:b w:val="0"/>
              </w:rPr>
            </w:pPr>
          </w:p>
          <w:p w14:paraId="4D83A1F7" w14:textId="44C10FD5" w:rsidR="00E56BAF" w:rsidRDefault="00E56BAF" w:rsidP="008B12CE">
            <w:pPr>
              <w:pStyle w:val="ListParagraph"/>
              <w:numPr>
                <w:ilvl w:val="0"/>
                <w:numId w:val="13"/>
              </w:numPr>
              <w:jc w:val="both"/>
              <w:rPr>
                <w:rFonts w:ascii="Calibri Light" w:hAnsi="Calibri Light"/>
              </w:rPr>
            </w:pPr>
            <w:r w:rsidRPr="00E56BAF">
              <w:rPr>
                <w:rFonts w:ascii="Calibri Light" w:hAnsi="Calibri Light"/>
              </w:rPr>
              <w:t xml:space="preserve">Análisis del caso </w:t>
            </w:r>
            <w:r w:rsidR="00553ED5">
              <w:rPr>
                <w:rFonts w:ascii="Calibri Light" w:hAnsi="Calibri Light"/>
              </w:rPr>
              <w:t xml:space="preserve">                                                                                                                                                                                          </w:t>
            </w:r>
          </w:p>
          <w:p w14:paraId="0B6FAE49" w14:textId="77777777" w:rsidR="00E56BAF" w:rsidRDefault="00E56BAF" w:rsidP="008B12CE">
            <w:pPr>
              <w:jc w:val="both"/>
              <w:rPr>
                <w:rFonts w:ascii="Calibri Light" w:hAnsi="Calibri Light"/>
                <w:b w:val="0"/>
                <w:u w:val="single"/>
              </w:rPr>
            </w:pPr>
          </w:p>
          <w:p w14:paraId="3BAF2CEC" w14:textId="77777777" w:rsidR="004E5A53" w:rsidRDefault="00553ED5" w:rsidP="008B12CE">
            <w:pPr>
              <w:jc w:val="both"/>
              <w:rPr>
                <w:rFonts w:ascii="Calibri Light" w:hAnsi="Calibri Light"/>
                <w:b w:val="0"/>
              </w:rPr>
            </w:pPr>
            <w:r>
              <w:rPr>
                <w:rFonts w:ascii="Calibri Light" w:hAnsi="Calibri Light"/>
                <w:b w:val="0"/>
              </w:rPr>
              <w:lastRenderedPageBreak/>
              <w:t>La</w:t>
            </w:r>
            <w:r w:rsidR="00BE1F70">
              <w:rPr>
                <w:rFonts w:ascii="Calibri Light" w:hAnsi="Calibri Light"/>
                <w:b w:val="0"/>
              </w:rPr>
              <w:t xml:space="preserve"> prisión preventiva en el caso del señor Carranza se sustentó en el artículo 177 del Código de Procedimiento Penal, el cual establece que </w:t>
            </w:r>
            <w:r w:rsidR="00406A86">
              <w:rPr>
                <w:rFonts w:ascii="Calibri Light" w:hAnsi="Calibri Light"/>
                <w:b w:val="0"/>
              </w:rPr>
              <w:t>esta medida</w:t>
            </w:r>
            <w:r w:rsidR="00BE1F70">
              <w:rPr>
                <w:rFonts w:ascii="Calibri Light" w:hAnsi="Calibri Light"/>
                <w:b w:val="0"/>
              </w:rPr>
              <w:t xml:space="preserve"> puede ser aplicada a consideración del juez, si existen indicios de la comisión de un delito e indicios de responsabilidad por </w:t>
            </w:r>
            <w:r w:rsidR="00406A86">
              <w:rPr>
                <w:rFonts w:ascii="Calibri Light" w:hAnsi="Calibri Light"/>
                <w:b w:val="0"/>
              </w:rPr>
              <w:t>este</w:t>
            </w:r>
            <w:r w:rsidR="00BE1F70">
              <w:rPr>
                <w:rFonts w:ascii="Calibri Light" w:hAnsi="Calibri Light"/>
                <w:b w:val="0"/>
              </w:rPr>
              <w:t>.</w:t>
            </w:r>
            <w:r w:rsidR="00406A86">
              <w:rPr>
                <w:rFonts w:ascii="Calibri Light" w:hAnsi="Calibri Light"/>
                <w:b w:val="0"/>
              </w:rPr>
              <w:t xml:space="preserve"> </w:t>
            </w:r>
            <w:r w:rsidR="00BE1F70">
              <w:rPr>
                <w:rFonts w:ascii="Calibri Light" w:hAnsi="Calibri Light"/>
                <w:b w:val="0"/>
              </w:rPr>
              <w:t xml:space="preserve"> </w:t>
            </w:r>
            <w:r>
              <w:rPr>
                <w:rFonts w:ascii="Calibri Light" w:hAnsi="Calibri Light"/>
                <w:b w:val="0"/>
              </w:rPr>
              <w:t>La CIDH observó que esta norma no exige la existencia de un fin legítimo para la aplicación de esta medida, siendo suficiente la existencia de indicios de responsabilidad y convirtiendo de esta manera, en regla general la aplicación de la prisión preventiva. Asimismo, señaló que la motivación de las decisiones que impusieron la medida se limitó a la existencia de indicios de responsabilidad</w:t>
            </w:r>
            <w:r w:rsidR="004E5A53">
              <w:rPr>
                <w:rFonts w:ascii="Calibri Light" w:hAnsi="Calibri Light"/>
                <w:b w:val="0"/>
              </w:rPr>
              <w:t>,</w:t>
            </w:r>
            <w:r>
              <w:rPr>
                <w:rFonts w:ascii="Calibri Light" w:hAnsi="Calibri Light"/>
                <w:b w:val="0"/>
              </w:rPr>
              <w:t xml:space="preserve"> y solo abordó el hecho de que el señor Carranza est</w:t>
            </w:r>
            <w:r w:rsidR="004E5A53">
              <w:rPr>
                <w:rFonts w:ascii="Calibri Light" w:hAnsi="Calibri Light"/>
                <w:b w:val="0"/>
              </w:rPr>
              <w:t xml:space="preserve">uviera </w:t>
            </w:r>
            <w:r>
              <w:rPr>
                <w:rFonts w:ascii="Calibri Light" w:hAnsi="Calibri Light"/>
                <w:b w:val="0"/>
              </w:rPr>
              <w:t xml:space="preserve">prófugo de la justicia para </w:t>
            </w:r>
            <w:r w:rsidR="004E5A53">
              <w:rPr>
                <w:rFonts w:ascii="Calibri Light" w:hAnsi="Calibri Light"/>
                <w:b w:val="0"/>
              </w:rPr>
              <w:t xml:space="preserve">ordenar </w:t>
            </w:r>
            <w:r>
              <w:rPr>
                <w:rFonts w:ascii="Calibri Light" w:hAnsi="Calibri Light"/>
                <w:b w:val="0"/>
              </w:rPr>
              <w:t>a la policía su detención</w:t>
            </w:r>
            <w:r w:rsidR="004E5A53">
              <w:rPr>
                <w:rFonts w:ascii="Calibri Light" w:hAnsi="Calibri Light"/>
                <w:b w:val="0"/>
              </w:rPr>
              <w:t xml:space="preserve">, mas no para justificar la medida. </w:t>
            </w:r>
          </w:p>
          <w:p w14:paraId="25A8B92A" w14:textId="77777777" w:rsidR="004E5A53" w:rsidRDefault="004E5A53" w:rsidP="008B12CE">
            <w:pPr>
              <w:jc w:val="both"/>
              <w:rPr>
                <w:rFonts w:ascii="Calibri Light" w:hAnsi="Calibri Light"/>
                <w:b w:val="0"/>
              </w:rPr>
            </w:pPr>
          </w:p>
          <w:p w14:paraId="14ED1BED" w14:textId="7EA6372C" w:rsidR="00BC1239" w:rsidRPr="00BC1239" w:rsidRDefault="004E5A53" w:rsidP="008B12CE">
            <w:pPr>
              <w:jc w:val="both"/>
              <w:rPr>
                <w:rFonts w:ascii="Calibri Light" w:hAnsi="Calibri Light"/>
                <w:b w:val="0"/>
              </w:rPr>
            </w:pPr>
            <w:r>
              <w:rPr>
                <w:rFonts w:ascii="Calibri Light" w:hAnsi="Calibri Light"/>
                <w:b w:val="0"/>
              </w:rPr>
              <w:t>Además, consideró que los cuatro años que estuvo detenido preventivamente excedieron el plazo razonable y observó que en este plazo, no se realizó una revisión periódica de la medida siguiendo la línea de lo dispuesto por el artículo mencionado del Código de Procedimiento Penal. En base a ello, la CIDH declaró que el Estado de Ecuador era responsable por la violación de los artículo</w:t>
            </w:r>
            <w:r w:rsidR="00F608A8">
              <w:rPr>
                <w:rFonts w:ascii="Calibri Light" w:hAnsi="Calibri Light"/>
                <w:b w:val="0"/>
              </w:rPr>
              <w:t>s</w:t>
            </w:r>
            <w:r>
              <w:rPr>
                <w:rFonts w:ascii="Calibri Light" w:hAnsi="Calibri Light"/>
                <w:b w:val="0"/>
              </w:rPr>
              <w:t xml:space="preserve"> 7.1, 7.3, 7.5 y 8.2 de la CADH, en relación a los artículos 1.1 y 2, en perjuicio del señor Carranza. </w:t>
            </w:r>
          </w:p>
          <w:p w14:paraId="67550440" w14:textId="77777777" w:rsidR="00BC1239" w:rsidRPr="00E56BAF" w:rsidRDefault="00BC1239" w:rsidP="008B12CE">
            <w:pPr>
              <w:jc w:val="both"/>
              <w:rPr>
                <w:rFonts w:ascii="Calibri Light" w:hAnsi="Calibri Light"/>
                <w:b w:val="0"/>
                <w:u w:val="single"/>
              </w:rPr>
            </w:pPr>
          </w:p>
          <w:p w14:paraId="1CB0325B" w14:textId="48D700FD" w:rsidR="008B12CE" w:rsidRDefault="008B12CE" w:rsidP="008B12CE">
            <w:pPr>
              <w:jc w:val="both"/>
              <w:rPr>
                <w:rFonts w:ascii="Calibri Light" w:hAnsi="Calibri Light"/>
              </w:rPr>
            </w:pPr>
            <w:r>
              <w:rPr>
                <w:rFonts w:ascii="Calibri Light" w:hAnsi="Calibri Light"/>
              </w:rPr>
              <w:t>Derecho a ser juzgado en un plazo razonable (artículo 8 de la CADH)</w:t>
            </w:r>
          </w:p>
          <w:p w14:paraId="4C1A6688" w14:textId="77777777" w:rsidR="00C53A4A" w:rsidRDefault="00C53A4A" w:rsidP="008B12CE">
            <w:pPr>
              <w:jc w:val="both"/>
              <w:rPr>
                <w:rFonts w:ascii="Calibri Light" w:hAnsi="Calibri Light"/>
              </w:rPr>
            </w:pPr>
          </w:p>
          <w:p w14:paraId="16353D1E" w14:textId="261C75C3" w:rsidR="005E2DB0" w:rsidRDefault="00C53A4A" w:rsidP="008B12CE">
            <w:pPr>
              <w:jc w:val="both"/>
              <w:rPr>
                <w:rFonts w:ascii="Calibri Light" w:hAnsi="Calibri Light"/>
                <w:b w:val="0"/>
              </w:rPr>
            </w:pPr>
            <w:r>
              <w:rPr>
                <w:rFonts w:ascii="Calibri Light" w:hAnsi="Calibri Light"/>
                <w:b w:val="0"/>
              </w:rPr>
              <w:t>La CIDH reiteró que existen cuatro criterios para evaluar el plazo razonable. Estos son: i) la complejidad del asunto, ii) la actividad procesal del interesado, iii) la conducta de las autoridades judiciales, y iv) la afectación generada en la situación de la persona involucrada en el proceso.</w:t>
            </w:r>
            <w:r w:rsidR="005E2DB0">
              <w:rPr>
                <w:rFonts w:ascii="Calibri Light" w:hAnsi="Calibri Light"/>
                <w:b w:val="0"/>
              </w:rPr>
              <w:t xml:space="preserve"> </w:t>
            </w:r>
            <w:r w:rsidR="00264BB8">
              <w:rPr>
                <w:rFonts w:ascii="Calibri Light" w:hAnsi="Calibri Light"/>
                <w:b w:val="0"/>
              </w:rPr>
              <w:t>En el caso en concreto, determinó que</w:t>
            </w:r>
            <w:r w:rsidR="00DE5176">
              <w:rPr>
                <w:rFonts w:ascii="Calibri Light" w:hAnsi="Calibri Light"/>
                <w:b w:val="0"/>
              </w:rPr>
              <w:t xml:space="preserve"> el proceso seguido en</w:t>
            </w:r>
            <w:r w:rsidR="005E2DB0">
              <w:rPr>
                <w:rFonts w:ascii="Calibri Light" w:hAnsi="Calibri Light"/>
                <w:b w:val="0"/>
              </w:rPr>
              <w:t xml:space="preserve"> contra </w:t>
            </w:r>
            <w:r w:rsidR="00DE5176">
              <w:rPr>
                <w:rFonts w:ascii="Calibri Light" w:hAnsi="Calibri Light"/>
                <w:b w:val="0"/>
              </w:rPr>
              <w:t xml:space="preserve">del señor Carranza </w:t>
            </w:r>
            <w:r w:rsidR="005E2DB0">
              <w:rPr>
                <w:rFonts w:ascii="Calibri Light" w:hAnsi="Calibri Light"/>
                <w:b w:val="0"/>
              </w:rPr>
              <w:t xml:space="preserve">tuvo una duración de cinco años y cuatro meses, </w:t>
            </w:r>
            <w:r w:rsidR="00DE5176">
              <w:rPr>
                <w:rFonts w:ascii="Calibri Light" w:hAnsi="Calibri Light"/>
                <w:b w:val="0"/>
              </w:rPr>
              <w:t xml:space="preserve">iniciando el 17 de agosto de 1993 y finalizando el 15 de diciembre de 1998 con su condena. </w:t>
            </w:r>
            <w:r w:rsidR="00264BB8">
              <w:rPr>
                <w:rFonts w:ascii="Calibri Light" w:hAnsi="Calibri Light"/>
                <w:b w:val="0"/>
              </w:rPr>
              <w:t xml:space="preserve">Seguidamente, realizó el análisis de los cuatro criterios. </w:t>
            </w:r>
          </w:p>
          <w:p w14:paraId="42427984" w14:textId="77777777" w:rsidR="005E2DB0" w:rsidRDefault="005E2DB0" w:rsidP="008B12CE">
            <w:pPr>
              <w:jc w:val="both"/>
              <w:rPr>
                <w:rFonts w:ascii="Calibri Light" w:hAnsi="Calibri Light"/>
                <w:b w:val="0"/>
              </w:rPr>
            </w:pPr>
          </w:p>
          <w:p w14:paraId="36DE070D" w14:textId="1ECE6797" w:rsidR="00E56BAF" w:rsidRDefault="005E2DB0" w:rsidP="00E56BAF">
            <w:pPr>
              <w:jc w:val="both"/>
              <w:rPr>
                <w:rFonts w:ascii="Calibri Light" w:hAnsi="Calibri Light"/>
                <w:b w:val="0"/>
              </w:rPr>
            </w:pPr>
            <w:r>
              <w:rPr>
                <w:rFonts w:ascii="Calibri Light" w:hAnsi="Calibri Light"/>
                <w:b w:val="0"/>
              </w:rPr>
              <w:t xml:space="preserve">En cuanto al </w:t>
            </w:r>
            <w:r w:rsidR="00264BB8">
              <w:rPr>
                <w:rFonts w:ascii="Calibri Light" w:hAnsi="Calibri Light"/>
                <w:b w:val="0"/>
              </w:rPr>
              <w:t>primero</w:t>
            </w:r>
            <w:r>
              <w:rPr>
                <w:rFonts w:ascii="Calibri Light" w:hAnsi="Calibri Light"/>
                <w:b w:val="0"/>
              </w:rPr>
              <w:t>, consideró que el caso del señor Carranza no era complejo, pues solo implicaba a una víctima y a dos imputados. Además, señaló que el Estado no había brindado argumentos sobre la complejidad del asunto que justificaran las demoras en el proceso.</w:t>
            </w:r>
            <w:r w:rsidR="00DE5176">
              <w:rPr>
                <w:rFonts w:ascii="Calibri Light" w:hAnsi="Calibri Light"/>
                <w:b w:val="0"/>
              </w:rPr>
              <w:t xml:space="preserve"> </w:t>
            </w:r>
            <w:r w:rsidR="00264BB8">
              <w:rPr>
                <w:rFonts w:ascii="Calibri Light" w:hAnsi="Calibri Light"/>
                <w:b w:val="0"/>
              </w:rPr>
              <w:t xml:space="preserve">En relación al </w:t>
            </w:r>
            <w:r w:rsidR="00CC550D">
              <w:rPr>
                <w:rFonts w:ascii="Calibri Light" w:hAnsi="Calibri Light"/>
                <w:b w:val="0"/>
              </w:rPr>
              <w:t>tercer</w:t>
            </w:r>
            <w:r w:rsidR="00264BB8">
              <w:rPr>
                <w:rFonts w:ascii="Calibri Light" w:hAnsi="Calibri Light"/>
                <w:b w:val="0"/>
              </w:rPr>
              <w:t xml:space="preserve"> elemento, estableció que existieron demoras significativas por parte de las autoridades. Por ejemplo, </w:t>
            </w:r>
            <w:r w:rsidR="00DD7550">
              <w:rPr>
                <w:rFonts w:ascii="Calibri Light" w:hAnsi="Calibri Light"/>
                <w:b w:val="0"/>
              </w:rPr>
              <w:t>el tiempo que transcurrió para que el señor Carranza prestara</w:t>
            </w:r>
            <w:r w:rsidR="00264BB8">
              <w:rPr>
                <w:rFonts w:ascii="Calibri Light" w:hAnsi="Calibri Light"/>
                <w:b w:val="0"/>
              </w:rPr>
              <w:t xml:space="preserve"> su testimonio</w:t>
            </w:r>
            <w:r w:rsidR="00DD7550">
              <w:rPr>
                <w:rFonts w:ascii="Calibri Light" w:hAnsi="Calibri Light"/>
                <w:b w:val="0"/>
              </w:rPr>
              <w:t>, se remitiera el proceso al fiscal para dictamen o iniciara la audiencia pública</w:t>
            </w:r>
            <w:r w:rsidR="00264BB8">
              <w:rPr>
                <w:rFonts w:ascii="Calibri Light" w:hAnsi="Calibri Light"/>
                <w:b w:val="0"/>
              </w:rPr>
              <w:t xml:space="preserve">. Respecto al </w:t>
            </w:r>
            <w:r w:rsidR="00CC550D">
              <w:rPr>
                <w:rFonts w:ascii="Calibri Light" w:hAnsi="Calibri Light"/>
                <w:b w:val="0"/>
              </w:rPr>
              <w:t>segundo</w:t>
            </w:r>
            <w:r w:rsidR="00264BB8">
              <w:rPr>
                <w:rFonts w:ascii="Calibri Light" w:hAnsi="Calibri Light"/>
                <w:b w:val="0"/>
              </w:rPr>
              <w:t xml:space="preserve"> criterio, señaló que pese a que el señor Carranza no compareció durante el primer año, las demoras antes mencionadas ocurrieron</w:t>
            </w:r>
            <w:r w:rsidR="00091B32">
              <w:rPr>
                <w:rFonts w:ascii="Calibri Light" w:hAnsi="Calibri Light"/>
                <w:b w:val="0"/>
              </w:rPr>
              <w:t xml:space="preserve"> de manera posterior, por lo cual no estaban relacionadas. Finalmente, indicó que la incertidumbre de tener un proceso penal en su contra tuvo un impacto en su derecho a la libertad personal. Por todo ello, concluyó que el Estado de Ecuador había violado el artículo 8.1 de la CADH, en relación al artículo 1.1, en perjuicio del señor Carranza. </w:t>
            </w:r>
          </w:p>
          <w:p w14:paraId="5AA471B6" w14:textId="4286CE02" w:rsidR="00BC1239" w:rsidRPr="00A715D5" w:rsidRDefault="00BC1239" w:rsidP="00E56BAF">
            <w:pPr>
              <w:jc w:val="both"/>
              <w:rPr>
                <w:rFonts w:ascii="Calibri Light" w:hAnsi="Calibri Light"/>
                <w:b w:val="0"/>
              </w:rPr>
            </w:pPr>
          </w:p>
        </w:tc>
      </w:tr>
      <w:tr w:rsidR="005173CF" w:rsidRPr="004533E5" w14:paraId="0FBFBB6F" w14:textId="77777777" w:rsidTr="005447F1">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47354609"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Recomendaciones</w:t>
            </w:r>
            <w:r w:rsidR="00254625">
              <w:rPr>
                <w:rFonts w:ascii="Calibri Light" w:hAnsi="Calibri Light"/>
              </w:rPr>
              <w:t xml:space="preserve"> de la CIDH al Estado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2C09FD">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721" w:type="dxa"/>
            <w:gridSpan w:val="3"/>
          </w:tcPr>
          <w:p w14:paraId="512719D7" w14:textId="77777777" w:rsidR="00872B70" w:rsidRPr="00C53A4A" w:rsidRDefault="00872B70" w:rsidP="00C53A4A">
            <w:pPr>
              <w:pStyle w:val="ListParagraph"/>
              <w:ind w:left="360"/>
              <w:jc w:val="both"/>
              <w:rPr>
                <w:rFonts w:ascii="Calibri Light" w:hAnsi="Calibri Light"/>
                <w:b w:val="0"/>
              </w:rPr>
            </w:pPr>
          </w:p>
          <w:p w14:paraId="4BD3D6BF" w14:textId="0E030F8A" w:rsidR="00C53A4A" w:rsidRPr="00C53A4A" w:rsidRDefault="00C53A4A" w:rsidP="00C53A4A">
            <w:pPr>
              <w:pStyle w:val="ListParagraph"/>
              <w:numPr>
                <w:ilvl w:val="0"/>
                <w:numId w:val="12"/>
              </w:numPr>
              <w:ind w:left="360"/>
              <w:jc w:val="both"/>
              <w:rPr>
                <w:rFonts w:ascii="Calibri Light" w:hAnsi="Calibri Light"/>
                <w:b w:val="0"/>
              </w:rPr>
            </w:pPr>
            <w:r w:rsidRPr="00C53A4A">
              <w:rPr>
                <w:rFonts w:ascii="Calibri Light" w:hAnsi="Calibri Light"/>
                <w:b w:val="0"/>
              </w:rPr>
              <w:t xml:space="preserve">Reparar integralmente al señor Carranza a través de medidas que incluyan el daño material e inmaterial ocasionado como consecuencia de las violaciones declaradas en </w:t>
            </w:r>
            <w:r>
              <w:rPr>
                <w:rFonts w:ascii="Calibri Light" w:hAnsi="Calibri Light"/>
                <w:b w:val="0"/>
              </w:rPr>
              <w:t>este</w:t>
            </w:r>
            <w:r w:rsidRPr="00C53A4A">
              <w:rPr>
                <w:rFonts w:ascii="Calibri Light" w:hAnsi="Calibri Light"/>
                <w:b w:val="0"/>
              </w:rPr>
              <w:t xml:space="preserve"> informe. </w:t>
            </w:r>
          </w:p>
          <w:p w14:paraId="391D015D" w14:textId="77777777" w:rsidR="00C53A4A" w:rsidRPr="00C53A4A" w:rsidRDefault="00C53A4A" w:rsidP="00C53A4A">
            <w:pPr>
              <w:pStyle w:val="ListParagraph"/>
              <w:ind w:left="0"/>
              <w:jc w:val="both"/>
              <w:rPr>
                <w:rFonts w:ascii="Calibri Light" w:hAnsi="Calibri Light"/>
                <w:b w:val="0"/>
              </w:rPr>
            </w:pPr>
          </w:p>
          <w:p w14:paraId="53191B35" w14:textId="77777777" w:rsidR="00676230" w:rsidRPr="00C53A4A" w:rsidRDefault="00C53A4A" w:rsidP="00C53A4A">
            <w:pPr>
              <w:pStyle w:val="ListParagraph"/>
              <w:numPr>
                <w:ilvl w:val="0"/>
                <w:numId w:val="12"/>
              </w:numPr>
              <w:ind w:left="360"/>
              <w:jc w:val="both"/>
              <w:rPr>
                <w:rFonts w:ascii="Calibri Light" w:hAnsi="Calibri Light"/>
              </w:rPr>
            </w:pPr>
            <w:r w:rsidRPr="00C53A4A">
              <w:rPr>
                <w:rFonts w:ascii="Calibri Light" w:hAnsi="Calibri Light"/>
                <w:b w:val="0"/>
              </w:rPr>
              <w:t>Disponer las medidas de no repetición necesarias para asegurar que tanto la normativa aplicable como las prácticas respectivas en materia de detención preventiva, sean compatibles con los estándares establecidos en el presente informe</w:t>
            </w:r>
            <w:r w:rsidRPr="00C53A4A">
              <w:rPr>
                <w:rFonts w:ascii="Calibri Light" w:hAnsi="Calibri Light"/>
              </w:rPr>
              <w:t>.</w:t>
            </w:r>
          </w:p>
          <w:p w14:paraId="49863AFC" w14:textId="59A96874" w:rsidR="00C53A4A" w:rsidRPr="004533E5" w:rsidRDefault="00C53A4A" w:rsidP="004B1311">
            <w:pPr>
              <w:pStyle w:val="ListParagraph"/>
              <w:ind w:left="0"/>
              <w:jc w:val="both"/>
              <w:rPr>
                <w:rFonts w:ascii="Calibri Light" w:hAnsi="Calibri Light"/>
                <w:b w:val="0"/>
              </w:rPr>
            </w:pPr>
          </w:p>
        </w:tc>
      </w:tr>
      <w:tr w:rsidR="00F464EC" w:rsidRPr="004533E5" w14:paraId="0B7CC98E" w14:textId="77777777" w:rsidTr="005447F1">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B045F14" w14:textId="2270E615" w:rsidR="00F464EC" w:rsidRDefault="00F464EC"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F464EC" w:rsidRDefault="00F464EC" w:rsidP="00F464EC">
            <w:pPr>
              <w:pStyle w:val="ListParagraph"/>
              <w:ind w:left="0"/>
              <w:jc w:val="center"/>
              <w:rPr>
                <w:rFonts w:ascii="Calibri Light" w:hAnsi="Calibri Light"/>
                <w:b w:val="0"/>
              </w:rPr>
            </w:pPr>
          </w:p>
        </w:tc>
      </w:tr>
      <w:tr w:rsidR="00F464EC" w:rsidRPr="004533E5" w14:paraId="41FA15A1" w14:textId="77777777" w:rsidTr="00B47B1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F3EA985" w14:textId="7284CC9B" w:rsidR="00F464EC" w:rsidRDefault="00872B70" w:rsidP="00872B70">
            <w:pPr>
              <w:pStyle w:val="ListParagraph"/>
              <w:ind w:left="0"/>
              <w:jc w:val="center"/>
              <w:rPr>
                <w:rFonts w:ascii="Calibri Light" w:hAnsi="Calibri Light"/>
                <w:b w:val="0"/>
              </w:rPr>
            </w:pPr>
            <w:r>
              <w:rPr>
                <w:rFonts w:ascii="Calibri Light" w:hAnsi="Calibri Light"/>
                <w:b w:val="0"/>
              </w:rPr>
              <w:t>-</w:t>
            </w:r>
          </w:p>
        </w:tc>
      </w:tr>
    </w:tbl>
    <w:p w14:paraId="23A9A3C3" w14:textId="77777777" w:rsidR="00714E42" w:rsidRDefault="00714E42" w:rsidP="00B47B16"/>
    <w:sectPr w:rsidR="00714E42"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12C4" w14:textId="77777777" w:rsidR="008F69C7" w:rsidRDefault="008F69C7" w:rsidP="00A65231">
      <w:pPr>
        <w:spacing w:after="0" w:line="240" w:lineRule="auto"/>
      </w:pPr>
      <w:r>
        <w:separator/>
      </w:r>
    </w:p>
  </w:endnote>
  <w:endnote w:type="continuationSeparator" w:id="0">
    <w:p w14:paraId="62C59B49" w14:textId="77777777" w:rsidR="008F69C7" w:rsidRDefault="008F69C7"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9230E4" w:rsidRDefault="009230E4">
        <w:pPr>
          <w:pStyle w:val="Footer"/>
          <w:jc w:val="right"/>
        </w:pPr>
        <w:r>
          <w:fldChar w:fldCharType="begin"/>
        </w:r>
        <w:r>
          <w:instrText>PAGE   \* MERGEFORMAT</w:instrText>
        </w:r>
        <w:r>
          <w:fldChar w:fldCharType="separate"/>
        </w:r>
        <w:r w:rsidR="00700626" w:rsidRPr="00700626">
          <w:rPr>
            <w:noProof/>
            <w:lang w:val="es-ES"/>
          </w:rPr>
          <w:t>4</w:t>
        </w:r>
        <w:r>
          <w:fldChar w:fldCharType="end"/>
        </w:r>
      </w:p>
    </w:sdtContent>
  </w:sdt>
  <w:p w14:paraId="6353BB13" w14:textId="77777777" w:rsidR="009230E4" w:rsidRDefault="0092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DDEE1" w14:textId="77777777" w:rsidR="008F69C7" w:rsidRDefault="008F69C7" w:rsidP="00A65231">
      <w:pPr>
        <w:spacing w:after="0" w:line="240" w:lineRule="auto"/>
      </w:pPr>
      <w:r>
        <w:separator/>
      </w:r>
    </w:p>
  </w:footnote>
  <w:footnote w:type="continuationSeparator" w:id="0">
    <w:p w14:paraId="0E177B04" w14:textId="77777777" w:rsidR="008F69C7" w:rsidRDefault="008F69C7"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B96"/>
    <w:multiLevelType w:val="hybridMultilevel"/>
    <w:tmpl w:val="2EA277C0"/>
    <w:lvl w:ilvl="0" w:tplc="89F2906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D1A5EBA"/>
    <w:multiLevelType w:val="hybridMultilevel"/>
    <w:tmpl w:val="78F2816E"/>
    <w:lvl w:ilvl="0" w:tplc="DAB620AA">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094330D"/>
    <w:multiLevelType w:val="hybridMultilevel"/>
    <w:tmpl w:val="3768D88C"/>
    <w:lvl w:ilvl="0" w:tplc="7D686DA2">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08B2FF9"/>
    <w:multiLevelType w:val="hybridMultilevel"/>
    <w:tmpl w:val="9BF0D788"/>
    <w:lvl w:ilvl="0" w:tplc="EA8E0CF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D0778B2"/>
    <w:multiLevelType w:val="hybridMultilevel"/>
    <w:tmpl w:val="27C625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BF41353"/>
    <w:multiLevelType w:val="hybridMultilevel"/>
    <w:tmpl w:val="4684A27A"/>
    <w:lvl w:ilvl="0" w:tplc="85709A56">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190E8B"/>
    <w:multiLevelType w:val="hybridMultilevel"/>
    <w:tmpl w:val="F9AE26EA"/>
    <w:lvl w:ilvl="0" w:tplc="CCFA0A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7BB406A"/>
    <w:multiLevelType w:val="hybridMultilevel"/>
    <w:tmpl w:val="C742A5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7"/>
  </w:num>
  <w:num w:numId="6">
    <w:abstractNumId w:val="12"/>
  </w:num>
  <w:num w:numId="7">
    <w:abstractNumId w:val="11"/>
  </w:num>
  <w:num w:numId="8">
    <w:abstractNumId w:val="0"/>
  </w:num>
  <w:num w:numId="9">
    <w:abstractNumId w:val="10"/>
  </w:num>
  <w:num w:numId="10">
    <w:abstractNumId w:val="3"/>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91B32"/>
    <w:rsid w:val="00096F69"/>
    <w:rsid w:val="000A5609"/>
    <w:rsid w:val="000C2ED1"/>
    <w:rsid w:val="000C5A72"/>
    <w:rsid w:val="000D3CF2"/>
    <w:rsid w:val="000D7F12"/>
    <w:rsid w:val="000F2C70"/>
    <w:rsid w:val="0010560D"/>
    <w:rsid w:val="0017369A"/>
    <w:rsid w:val="001917B2"/>
    <w:rsid w:val="001A14F7"/>
    <w:rsid w:val="001C28EC"/>
    <w:rsid w:val="001C3162"/>
    <w:rsid w:val="001D6D2A"/>
    <w:rsid w:val="00212F62"/>
    <w:rsid w:val="00213757"/>
    <w:rsid w:val="00220B75"/>
    <w:rsid w:val="00254625"/>
    <w:rsid w:val="00264BB8"/>
    <w:rsid w:val="0029671B"/>
    <w:rsid w:val="002A5725"/>
    <w:rsid w:val="002C09FD"/>
    <w:rsid w:val="002E2AC9"/>
    <w:rsid w:val="002F3FFA"/>
    <w:rsid w:val="00317EE5"/>
    <w:rsid w:val="00331CBC"/>
    <w:rsid w:val="00346844"/>
    <w:rsid w:val="00350990"/>
    <w:rsid w:val="00363395"/>
    <w:rsid w:val="00394369"/>
    <w:rsid w:val="003963EB"/>
    <w:rsid w:val="003C1363"/>
    <w:rsid w:val="003C7978"/>
    <w:rsid w:val="003E6AB8"/>
    <w:rsid w:val="00406A86"/>
    <w:rsid w:val="00411A74"/>
    <w:rsid w:val="00421D6C"/>
    <w:rsid w:val="00425C8B"/>
    <w:rsid w:val="00451809"/>
    <w:rsid w:val="00452AA6"/>
    <w:rsid w:val="004533E5"/>
    <w:rsid w:val="00464CAC"/>
    <w:rsid w:val="004858A8"/>
    <w:rsid w:val="004861D8"/>
    <w:rsid w:val="004A39C3"/>
    <w:rsid w:val="004B1311"/>
    <w:rsid w:val="004B4C3B"/>
    <w:rsid w:val="004E5A53"/>
    <w:rsid w:val="004E678F"/>
    <w:rsid w:val="004F061A"/>
    <w:rsid w:val="00500453"/>
    <w:rsid w:val="00510444"/>
    <w:rsid w:val="005173CF"/>
    <w:rsid w:val="00537606"/>
    <w:rsid w:val="00543193"/>
    <w:rsid w:val="005445CB"/>
    <w:rsid w:val="005447F1"/>
    <w:rsid w:val="00547A05"/>
    <w:rsid w:val="00553ED5"/>
    <w:rsid w:val="00557C90"/>
    <w:rsid w:val="00561359"/>
    <w:rsid w:val="00564C83"/>
    <w:rsid w:val="0059192D"/>
    <w:rsid w:val="005C3229"/>
    <w:rsid w:val="005D4FDF"/>
    <w:rsid w:val="005D4FF5"/>
    <w:rsid w:val="005E2DB0"/>
    <w:rsid w:val="006407DD"/>
    <w:rsid w:val="00662E59"/>
    <w:rsid w:val="00676230"/>
    <w:rsid w:val="00685F04"/>
    <w:rsid w:val="00685F10"/>
    <w:rsid w:val="006D488A"/>
    <w:rsid w:val="006F611E"/>
    <w:rsid w:val="00700626"/>
    <w:rsid w:val="00707389"/>
    <w:rsid w:val="00714E42"/>
    <w:rsid w:val="00747E22"/>
    <w:rsid w:val="0079477F"/>
    <w:rsid w:val="007A6C56"/>
    <w:rsid w:val="007B7ED8"/>
    <w:rsid w:val="007E382B"/>
    <w:rsid w:val="008009BA"/>
    <w:rsid w:val="008036E7"/>
    <w:rsid w:val="00806F83"/>
    <w:rsid w:val="00816E66"/>
    <w:rsid w:val="0082581A"/>
    <w:rsid w:val="00827C0A"/>
    <w:rsid w:val="0083689F"/>
    <w:rsid w:val="00841B0E"/>
    <w:rsid w:val="00863486"/>
    <w:rsid w:val="00865442"/>
    <w:rsid w:val="00866A4D"/>
    <w:rsid w:val="00871D69"/>
    <w:rsid w:val="00872B70"/>
    <w:rsid w:val="008A0E6D"/>
    <w:rsid w:val="008B12CE"/>
    <w:rsid w:val="008F69C7"/>
    <w:rsid w:val="0090367F"/>
    <w:rsid w:val="009230E4"/>
    <w:rsid w:val="00931244"/>
    <w:rsid w:val="0093791F"/>
    <w:rsid w:val="00954E20"/>
    <w:rsid w:val="009676F7"/>
    <w:rsid w:val="009E1763"/>
    <w:rsid w:val="00A00F22"/>
    <w:rsid w:val="00A133CC"/>
    <w:rsid w:val="00A271BF"/>
    <w:rsid w:val="00A4435A"/>
    <w:rsid w:val="00A65231"/>
    <w:rsid w:val="00A677AA"/>
    <w:rsid w:val="00A67DA5"/>
    <w:rsid w:val="00A715D5"/>
    <w:rsid w:val="00A76A73"/>
    <w:rsid w:val="00A91B24"/>
    <w:rsid w:val="00AC6F31"/>
    <w:rsid w:val="00AC71E9"/>
    <w:rsid w:val="00B07E72"/>
    <w:rsid w:val="00B241D9"/>
    <w:rsid w:val="00B3667B"/>
    <w:rsid w:val="00B42377"/>
    <w:rsid w:val="00B47B16"/>
    <w:rsid w:val="00B55951"/>
    <w:rsid w:val="00B71B8C"/>
    <w:rsid w:val="00B771B5"/>
    <w:rsid w:val="00B875CD"/>
    <w:rsid w:val="00B93CB9"/>
    <w:rsid w:val="00BA5B84"/>
    <w:rsid w:val="00BB61C6"/>
    <w:rsid w:val="00BC1239"/>
    <w:rsid w:val="00BD48E5"/>
    <w:rsid w:val="00BE1F70"/>
    <w:rsid w:val="00BE6FA1"/>
    <w:rsid w:val="00BF7DA3"/>
    <w:rsid w:val="00C113D2"/>
    <w:rsid w:val="00C1435F"/>
    <w:rsid w:val="00C31DFF"/>
    <w:rsid w:val="00C33A4B"/>
    <w:rsid w:val="00C53A4A"/>
    <w:rsid w:val="00C632E4"/>
    <w:rsid w:val="00C63B25"/>
    <w:rsid w:val="00C6669F"/>
    <w:rsid w:val="00C674AC"/>
    <w:rsid w:val="00C848CC"/>
    <w:rsid w:val="00CC550D"/>
    <w:rsid w:val="00CD2F92"/>
    <w:rsid w:val="00CD6A36"/>
    <w:rsid w:val="00D02FDF"/>
    <w:rsid w:val="00D0696E"/>
    <w:rsid w:val="00D7661D"/>
    <w:rsid w:val="00D945C3"/>
    <w:rsid w:val="00D97A7A"/>
    <w:rsid w:val="00DA5970"/>
    <w:rsid w:val="00DB185A"/>
    <w:rsid w:val="00DD3C7C"/>
    <w:rsid w:val="00DD7550"/>
    <w:rsid w:val="00DE4897"/>
    <w:rsid w:val="00DE5176"/>
    <w:rsid w:val="00DF2AFB"/>
    <w:rsid w:val="00E35FF7"/>
    <w:rsid w:val="00E56BAF"/>
    <w:rsid w:val="00E56CCD"/>
    <w:rsid w:val="00E61759"/>
    <w:rsid w:val="00E669D4"/>
    <w:rsid w:val="00E86B35"/>
    <w:rsid w:val="00ED296D"/>
    <w:rsid w:val="00EE27E1"/>
    <w:rsid w:val="00EF7B3B"/>
    <w:rsid w:val="00F06184"/>
    <w:rsid w:val="00F31E91"/>
    <w:rsid w:val="00F35633"/>
    <w:rsid w:val="00F464EC"/>
    <w:rsid w:val="00F53444"/>
    <w:rsid w:val="00F53F35"/>
    <w:rsid w:val="00F55CD0"/>
    <w:rsid w:val="00F608A8"/>
    <w:rsid w:val="00F725A5"/>
    <w:rsid w:val="00F72D77"/>
    <w:rsid w:val="00F83405"/>
    <w:rsid w:val="00FA551D"/>
    <w:rsid w:val="00FB0F60"/>
    <w:rsid w:val="00FB1D17"/>
    <w:rsid w:val="00FF3E2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FA551D"/>
    <w:rPr>
      <w:color w:val="0000FF" w:themeColor="hyperlink"/>
      <w:u w:val="single"/>
    </w:rPr>
  </w:style>
  <w:style w:type="character" w:styleId="FollowedHyperlink">
    <w:name w:val="FollowedHyperlink"/>
    <w:basedOn w:val="DefaultParagraphFont"/>
    <w:uiPriority w:val="99"/>
    <w:semiHidden/>
    <w:unhideWhenUsed/>
    <w:rsid w:val="00394369"/>
    <w:rPr>
      <w:color w:val="800080" w:themeColor="followedHyperlink"/>
      <w:u w:val="single"/>
    </w:rPr>
  </w:style>
  <w:style w:type="character" w:styleId="UnresolvedMention">
    <w:name w:val="Unresolved Mention"/>
    <w:basedOn w:val="DefaultParagraphFont"/>
    <w:uiPriority w:val="99"/>
    <w:semiHidden/>
    <w:unhideWhenUsed/>
    <w:rsid w:val="00105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1/ECAD12197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8/12197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s://www.corteidh.or.cr/docs/casos/articulos/seriec_399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8DEA-3584-471B-AEF4-21672B41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2021-02-11T09:50:00Z</dcterms:created>
  <dcterms:modified xsi:type="dcterms:W3CDTF">2021-02-11T09:50:00Z</dcterms:modified>
</cp:coreProperties>
</file>