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A1C45" w14:textId="77777777" w:rsidR="002C4DBD" w:rsidRDefault="002C4DBD" w:rsidP="002C4DBD">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1519D751" wp14:editId="1B65F307">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31291AA7" wp14:editId="10F03A9C">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6B052027" wp14:editId="3EAF5BD3">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B5F75" w14:textId="77777777" w:rsidR="002C4DBD" w:rsidRPr="00411A74" w:rsidRDefault="002C4DBD" w:rsidP="002C4DBD">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0FE9BD8F" w14:textId="77777777" w:rsidR="002C4DBD" w:rsidRDefault="002C4DBD" w:rsidP="002C4DBD">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33AF6FA7" w14:textId="52A5E79B" w:rsidR="00F725A5" w:rsidRPr="004533E5" w:rsidRDefault="00F725A5" w:rsidP="00B56E3A">
      <w:pPr>
        <w:pStyle w:val="Header"/>
        <w:jc w:val="center"/>
        <w:rPr>
          <w:rFonts w:ascii="Calibri Light" w:hAnsi="Calibri Light"/>
          <w:sz w:val="16"/>
          <w:szCs w:val="16"/>
          <w:lang w:val="es-PE"/>
        </w:rPr>
      </w:pPr>
    </w:p>
    <w:tbl>
      <w:tblPr>
        <w:tblStyle w:val="Tabladelista2-nfasis11"/>
        <w:tblW w:w="0" w:type="auto"/>
        <w:tblLook w:val="04A0" w:firstRow="1" w:lastRow="0" w:firstColumn="1" w:lastColumn="0" w:noHBand="0" w:noVBand="1"/>
      </w:tblPr>
      <w:tblGrid>
        <w:gridCol w:w="3678"/>
        <w:gridCol w:w="2490"/>
        <w:gridCol w:w="2553"/>
      </w:tblGrid>
      <w:tr w:rsidR="005173CF" w:rsidRPr="004533E5" w14:paraId="01A2F61A" w14:textId="77777777" w:rsidTr="00A94E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D95C84" w:rsidRPr="004533E5" w14:paraId="275AD1EA" w14:textId="77777777" w:rsidTr="00A94EE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D95C84" w:rsidRPr="004533E5" w:rsidRDefault="00D95C84" w:rsidP="00D95C84">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7C62DD82" w:rsidR="00D95C84" w:rsidRPr="005A1DB6" w:rsidRDefault="00A76CB4" w:rsidP="00D95C84">
            <w:pP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Pr>
                <w:rFonts w:ascii="Calibri Light" w:hAnsi="Calibri Light"/>
              </w:rPr>
              <w:t>Tirso Román Valenzuela Ávila y familiares</w:t>
            </w:r>
            <w:r w:rsidR="00D95C84">
              <w:rPr>
                <w:rFonts w:ascii="Calibri Light" w:hAnsi="Calibri Light"/>
              </w:rPr>
              <w:t>, Guatemala</w:t>
            </w:r>
          </w:p>
        </w:tc>
      </w:tr>
      <w:tr w:rsidR="00D95C84" w:rsidRPr="004533E5" w14:paraId="59A6A8A1" w14:textId="77777777" w:rsidTr="00A94EE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35CCDACA" w:rsidR="00D95C84" w:rsidRPr="00295E72" w:rsidRDefault="00D95C84" w:rsidP="00D95C84">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374B2A68" w14:textId="376F28DB" w:rsidR="00D95C84" w:rsidRPr="00295E72" w:rsidRDefault="00A76CB4" w:rsidP="00A76CB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A76CB4">
              <w:rPr>
                <w:rFonts w:ascii="Calibri Light" w:hAnsi="Calibri Light"/>
              </w:rPr>
              <w:t>Instituto de la</w:t>
            </w:r>
            <w:r>
              <w:rPr>
                <w:rFonts w:ascii="Calibri Light" w:hAnsi="Calibri Light"/>
              </w:rPr>
              <w:t xml:space="preserve"> </w:t>
            </w:r>
            <w:r w:rsidRPr="00A76CB4">
              <w:rPr>
                <w:rFonts w:ascii="Calibri Light" w:hAnsi="Calibri Light"/>
              </w:rPr>
              <w:t>Defensa Pública Penal de Guatemala</w:t>
            </w:r>
          </w:p>
        </w:tc>
      </w:tr>
      <w:tr w:rsidR="00D95C84" w:rsidRPr="004533E5" w14:paraId="3A483B4F" w14:textId="77777777" w:rsidTr="00A94EE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AC7F4" w:rsidR="00D95C84" w:rsidRPr="004533E5" w:rsidRDefault="00D95C84" w:rsidP="00D95C84">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6DE86E18" w:rsidR="00D95C84" w:rsidRPr="00295E72" w:rsidRDefault="00723CD7" w:rsidP="00A76CB4">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D95C84" w:rsidRPr="00061E2D">
                <w:rPr>
                  <w:rStyle w:val="Hyperlink"/>
                  <w:rFonts w:ascii="Calibri Light" w:hAnsi="Calibri Light"/>
                </w:rPr>
                <w:t xml:space="preserve">Informe No. </w:t>
              </w:r>
              <w:r w:rsidR="00A76CB4">
                <w:rPr>
                  <w:rStyle w:val="Hyperlink"/>
                  <w:rFonts w:ascii="Calibri Light" w:hAnsi="Calibri Light"/>
                </w:rPr>
                <w:t>132</w:t>
              </w:r>
              <w:r w:rsidR="00D95C84" w:rsidRPr="00061E2D">
                <w:rPr>
                  <w:rStyle w:val="Hyperlink"/>
                  <w:rFonts w:ascii="Calibri Light" w:hAnsi="Calibri Light"/>
                </w:rPr>
                <w:t>/</w:t>
              </w:r>
              <w:r w:rsidR="00D95C84">
                <w:rPr>
                  <w:rStyle w:val="Hyperlink"/>
                  <w:rFonts w:ascii="Calibri Light" w:hAnsi="Calibri Light"/>
                </w:rPr>
                <w:t>17</w:t>
              </w:r>
            </w:hyperlink>
          </w:p>
        </w:tc>
      </w:tr>
      <w:tr w:rsidR="00D95C84" w:rsidRPr="004533E5" w14:paraId="5EC10F5F" w14:textId="77777777" w:rsidTr="00A94EE7">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D95C84" w:rsidRPr="00F725A5" w:rsidRDefault="00D95C84" w:rsidP="00D95C84">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28414FD7" w:rsidR="00D95C84" w:rsidRPr="00295E72"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 xml:space="preserve">Informe de </w:t>
            </w:r>
            <w:r w:rsidR="00BC4EF8">
              <w:rPr>
                <w:rFonts w:ascii="Calibri Light" w:hAnsi="Calibri Light"/>
              </w:rPr>
              <w:t xml:space="preserve">Admisibilidad y </w:t>
            </w:r>
            <w:r w:rsidRPr="00295E72">
              <w:rPr>
                <w:rFonts w:ascii="Calibri Light" w:hAnsi="Calibri Light"/>
              </w:rPr>
              <w:t>Fondo (Caso en la Corte IDH)</w:t>
            </w:r>
          </w:p>
        </w:tc>
      </w:tr>
      <w:tr w:rsidR="00D95C84" w:rsidRPr="004533E5" w14:paraId="7ED5AB61" w14:textId="77777777" w:rsidTr="004F706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D95C84" w:rsidRPr="004533E5" w:rsidRDefault="00D95C84" w:rsidP="00D95C84">
            <w:pPr>
              <w:pStyle w:val="ListParagraph"/>
              <w:numPr>
                <w:ilvl w:val="0"/>
                <w:numId w:val="3"/>
              </w:numPr>
              <w:rPr>
                <w:rFonts w:ascii="Calibri Light" w:hAnsi="Calibri Light"/>
              </w:rPr>
            </w:pPr>
            <w:r>
              <w:rPr>
                <w:rFonts w:ascii="Calibri Light" w:hAnsi="Calibri Light"/>
              </w:rPr>
              <w:t>Fecha</w:t>
            </w:r>
            <w:r w:rsidRPr="004533E5">
              <w:rPr>
                <w:rFonts w:ascii="Calibri Light" w:hAnsi="Calibri Light"/>
              </w:rPr>
              <w:t xml:space="preserve"> </w:t>
            </w:r>
          </w:p>
        </w:tc>
        <w:tc>
          <w:tcPr>
            <w:tcW w:w="5043" w:type="dxa"/>
            <w:gridSpan w:val="2"/>
          </w:tcPr>
          <w:p w14:paraId="1C803DF5" w14:textId="75F41529" w:rsidR="00D95C84" w:rsidRPr="005A1DB6" w:rsidRDefault="00A76CB4" w:rsidP="00A76CB4">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Pr>
                <w:rFonts w:ascii="Calibri Light" w:hAnsi="Calibri Light"/>
              </w:rPr>
              <w:t>2</w:t>
            </w:r>
            <w:r w:rsidR="00D95C84">
              <w:rPr>
                <w:rFonts w:ascii="Calibri Light" w:hAnsi="Calibri Light"/>
              </w:rPr>
              <w:t>5</w:t>
            </w:r>
            <w:r w:rsidR="00D95C84" w:rsidRPr="00295E72">
              <w:rPr>
                <w:rFonts w:ascii="Calibri Light" w:hAnsi="Calibri Light"/>
              </w:rPr>
              <w:t xml:space="preserve"> de </w:t>
            </w:r>
            <w:r>
              <w:rPr>
                <w:rFonts w:ascii="Calibri Light" w:hAnsi="Calibri Light"/>
              </w:rPr>
              <w:t>octubre</w:t>
            </w:r>
            <w:r w:rsidR="00D95C84" w:rsidRPr="00295E72">
              <w:rPr>
                <w:rFonts w:ascii="Calibri Light" w:hAnsi="Calibri Light"/>
              </w:rPr>
              <w:t xml:space="preserve"> de </w:t>
            </w:r>
            <w:r w:rsidR="00D95C84">
              <w:rPr>
                <w:rFonts w:ascii="Calibri Light" w:hAnsi="Calibri Light"/>
              </w:rPr>
              <w:t>2017</w:t>
            </w:r>
          </w:p>
        </w:tc>
      </w:tr>
      <w:tr w:rsidR="00D95C84" w:rsidRPr="004533E5" w14:paraId="1A0D058F" w14:textId="77777777" w:rsidTr="00E70716">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D95C84" w:rsidRPr="004533E5" w:rsidRDefault="00D95C84" w:rsidP="00D95C84">
            <w:pPr>
              <w:pStyle w:val="ListParagraph"/>
              <w:numPr>
                <w:ilvl w:val="0"/>
                <w:numId w:val="3"/>
              </w:numPr>
              <w:rPr>
                <w:rFonts w:ascii="Calibri Light" w:hAnsi="Calibri Light"/>
              </w:rPr>
            </w:pPr>
            <w:r>
              <w:rPr>
                <w:rFonts w:ascii="Calibri Light" w:hAnsi="Calibri Light"/>
              </w:rPr>
              <w:t>Decisiones de la CIDH</w:t>
            </w:r>
            <w:r w:rsidRPr="004533E5">
              <w:rPr>
                <w:rFonts w:ascii="Calibri Light" w:hAnsi="Calibri Light"/>
              </w:rPr>
              <w:t xml:space="preserve"> </w:t>
            </w:r>
            <w:r>
              <w:rPr>
                <w:rFonts w:ascii="Calibri Light" w:hAnsi="Calibri Light"/>
              </w:rPr>
              <w:t xml:space="preserve">y/o la Corte IDH, </w:t>
            </w:r>
            <w:r w:rsidRPr="004533E5">
              <w:rPr>
                <w:rFonts w:ascii="Calibri Light" w:hAnsi="Calibri Light"/>
              </w:rPr>
              <w:t>relacionadas</w:t>
            </w:r>
          </w:p>
        </w:tc>
        <w:tc>
          <w:tcPr>
            <w:tcW w:w="5043" w:type="dxa"/>
            <w:gridSpan w:val="2"/>
            <w:vAlign w:val="center"/>
          </w:tcPr>
          <w:p w14:paraId="339BE613" w14:textId="77777777" w:rsidR="00D95C84" w:rsidRDefault="00D95C84" w:rsidP="002921C9">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 xml:space="preserve">Informe No. </w:t>
            </w:r>
            <w:r w:rsidR="002921C9">
              <w:rPr>
                <w:rFonts w:ascii="Calibri Light" w:hAnsi="Calibri Light"/>
              </w:rPr>
              <w:t>24</w:t>
            </w:r>
            <w:r>
              <w:rPr>
                <w:rFonts w:ascii="Calibri Light" w:hAnsi="Calibri Light"/>
              </w:rPr>
              <w:t>/</w:t>
            </w:r>
            <w:r w:rsidR="002921C9">
              <w:rPr>
                <w:rFonts w:ascii="Calibri Light" w:hAnsi="Calibri Light"/>
              </w:rPr>
              <w:t>04</w:t>
            </w:r>
            <w:r w:rsidR="002921C9" w:rsidRPr="00295E72">
              <w:rPr>
                <w:rFonts w:ascii="Calibri Light" w:hAnsi="Calibri Light"/>
              </w:rPr>
              <w:t xml:space="preserve"> </w:t>
            </w:r>
            <w:r w:rsidRPr="00295E72">
              <w:rPr>
                <w:rFonts w:ascii="Calibri Light" w:hAnsi="Calibri Light"/>
              </w:rPr>
              <w:t>(</w:t>
            </w:r>
            <w:hyperlink r:id="rId13" w:history="1">
              <w:r w:rsidRPr="00295E72">
                <w:rPr>
                  <w:rStyle w:val="Hyperlink"/>
                  <w:rFonts w:ascii="Calibri Light" w:hAnsi="Calibri Light"/>
                </w:rPr>
                <w:t>Admisibilidad</w:t>
              </w:r>
            </w:hyperlink>
            <w:r w:rsidRPr="00295E72">
              <w:rPr>
                <w:rFonts w:ascii="Calibri Light" w:hAnsi="Calibri Light"/>
              </w:rPr>
              <w:t>)</w:t>
            </w:r>
          </w:p>
          <w:p w14:paraId="72EA1AA4" w14:textId="757076C9" w:rsidR="002C4DBD" w:rsidRPr="00295E72" w:rsidRDefault="002C4DBD" w:rsidP="002C4DBD">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Valenzuela Ávila vs. Guatemala (</w:t>
            </w:r>
            <w:hyperlink r:id="rId14" w:history="1">
              <w:r w:rsidRPr="002C4DBD">
                <w:rPr>
                  <w:rStyle w:val="Hyperlink"/>
                  <w:rFonts w:ascii="Calibri Light" w:hAnsi="Calibri Light"/>
                </w:rPr>
                <w:t>Sentencia de 11 de octubre de 2019</w:t>
              </w:r>
            </w:hyperlink>
            <w:r>
              <w:rPr>
                <w:rFonts w:ascii="Calibri Light" w:hAnsi="Calibri Light"/>
              </w:rPr>
              <w:t>)</w:t>
            </w:r>
          </w:p>
        </w:tc>
      </w:tr>
      <w:tr w:rsidR="00D95C84" w:rsidRPr="004533E5" w14:paraId="570485B4" w14:textId="77777777" w:rsidTr="00A94E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D95C84" w:rsidRDefault="00D95C84" w:rsidP="00D95C84">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44612EDF" w:rsidR="00D95C84" w:rsidRPr="00295E72" w:rsidRDefault="00D95C84" w:rsidP="00D95C84">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295E72">
              <w:rPr>
                <w:rFonts w:ascii="Calibri Light" w:hAnsi="Calibri Light"/>
              </w:rPr>
              <w:t>Convención Americana sobre Derechos Humanos</w:t>
            </w:r>
          </w:p>
        </w:tc>
      </w:tr>
      <w:tr w:rsidR="00D95C84" w:rsidRPr="004533E5" w14:paraId="59D19EAD" w14:textId="3753DE07" w:rsidTr="00A94EE7">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7BB3A97" w14:textId="77777777" w:rsidR="00D95C84" w:rsidRDefault="00D95C84" w:rsidP="00D95C84">
            <w:pPr>
              <w:pStyle w:val="ListParagraph"/>
              <w:numPr>
                <w:ilvl w:val="0"/>
                <w:numId w:val="3"/>
              </w:numPr>
              <w:rPr>
                <w:rFonts w:ascii="Calibri Light" w:hAnsi="Calibri Light"/>
              </w:rPr>
            </w:pPr>
          </w:p>
        </w:tc>
        <w:tc>
          <w:tcPr>
            <w:tcW w:w="2490" w:type="dxa"/>
          </w:tcPr>
          <w:p w14:paraId="04C377A5" w14:textId="03DDDCE4" w:rsidR="00D95C84" w:rsidRPr="00295E72"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declarados violados</w:t>
            </w:r>
          </w:p>
        </w:tc>
        <w:tc>
          <w:tcPr>
            <w:tcW w:w="2553" w:type="dxa"/>
          </w:tcPr>
          <w:p w14:paraId="277975FB" w14:textId="56CF35CB" w:rsidR="00D95C84" w:rsidRPr="00295E72"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295E72">
              <w:rPr>
                <w:rFonts w:ascii="Calibri Light" w:hAnsi="Calibri Light"/>
              </w:rPr>
              <w:t>Artículos analizados no declarados violados</w:t>
            </w:r>
          </w:p>
        </w:tc>
      </w:tr>
      <w:tr w:rsidR="00D95C84" w:rsidRPr="00672538" w14:paraId="30E833B4" w14:textId="77777777" w:rsidTr="004F706B">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678" w:type="dxa"/>
            <w:vMerge/>
          </w:tcPr>
          <w:p w14:paraId="5B135955" w14:textId="77777777" w:rsidR="00D95C84" w:rsidRDefault="00D95C84" w:rsidP="00D95C84">
            <w:pPr>
              <w:pStyle w:val="ListParagraph"/>
              <w:numPr>
                <w:ilvl w:val="0"/>
                <w:numId w:val="3"/>
              </w:numPr>
              <w:rPr>
                <w:rFonts w:ascii="Calibri Light" w:hAnsi="Calibri Light"/>
              </w:rPr>
            </w:pPr>
          </w:p>
        </w:tc>
        <w:tc>
          <w:tcPr>
            <w:tcW w:w="2490" w:type="dxa"/>
          </w:tcPr>
          <w:p w14:paraId="1056E80D" w14:textId="4C98AB7B" w:rsidR="00D95C84" w:rsidRPr="00672538" w:rsidRDefault="00D95C84" w:rsidP="0094045D">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672538">
              <w:rPr>
                <w:rFonts w:ascii="Calibri Light" w:hAnsi="Calibri Light"/>
                <w:lang w:val="en-US"/>
              </w:rPr>
              <w:t>Art.</w:t>
            </w:r>
            <w:r w:rsidR="00C96CA0">
              <w:rPr>
                <w:rFonts w:ascii="Calibri Light" w:hAnsi="Calibri Light"/>
                <w:lang w:val="en-US"/>
              </w:rPr>
              <w:t xml:space="preserve"> </w:t>
            </w:r>
            <w:r w:rsidRPr="00672538">
              <w:rPr>
                <w:rFonts w:ascii="Calibri Light" w:hAnsi="Calibri Light"/>
                <w:lang w:val="en-US"/>
              </w:rPr>
              <w:t xml:space="preserve">1, art. 2, art. 4, </w:t>
            </w:r>
            <w:r w:rsidR="00D3271F">
              <w:rPr>
                <w:rFonts w:ascii="Calibri Light" w:hAnsi="Calibri Light"/>
                <w:lang w:val="en-US"/>
              </w:rPr>
              <w:t xml:space="preserve">art. 5, </w:t>
            </w:r>
            <w:r w:rsidRPr="00672538">
              <w:rPr>
                <w:rFonts w:ascii="Calibri Light" w:hAnsi="Calibri Light"/>
                <w:lang w:val="en-US"/>
              </w:rPr>
              <w:t xml:space="preserve">art. </w:t>
            </w:r>
            <w:r w:rsidR="0094045D">
              <w:rPr>
                <w:rFonts w:ascii="Calibri Light" w:hAnsi="Calibri Light"/>
                <w:lang w:val="en-US"/>
              </w:rPr>
              <w:t>8</w:t>
            </w:r>
            <w:r w:rsidRPr="00672538">
              <w:rPr>
                <w:rFonts w:ascii="Calibri Light" w:hAnsi="Calibri Light"/>
                <w:lang w:val="en-US"/>
              </w:rPr>
              <w:t>, art.</w:t>
            </w:r>
            <w:r>
              <w:rPr>
                <w:rFonts w:ascii="Calibri Light" w:hAnsi="Calibri Light"/>
                <w:lang w:val="en-US"/>
              </w:rPr>
              <w:t xml:space="preserve"> </w:t>
            </w:r>
            <w:r w:rsidR="0094045D">
              <w:rPr>
                <w:rFonts w:ascii="Calibri Light" w:hAnsi="Calibri Light"/>
                <w:lang w:val="en-US"/>
              </w:rPr>
              <w:t>9</w:t>
            </w:r>
            <w:r>
              <w:rPr>
                <w:rFonts w:ascii="Calibri Light" w:hAnsi="Calibri Light"/>
                <w:lang w:val="en-US"/>
              </w:rPr>
              <w:t xml:space="preserve">, </w:t>
            </w:r>
            <w:r w:rsidR="00A76CB4">
              <w:rPr>
                <w:rFonts w:ascii="Calibri Light" w:hAnsi="Calibri Light"/>
                <w:lang w:val="en-US"/>
              </w:rPr>
              <w:t xml:space="preserve">art. 11, </w:t>
            </w:r>
            <w:r>
              <w:rPr>
                <w:rFonts w:ascii="Calibri Light" w:hAnsi="Calibri Light"/>
                <w:lang w:val="en-US"/>
              </w:rPr>
              <w:t>art. 25</w:t>
            </w:r>
          </w:p>
        </w:tc>
        <w:tc>
          <w:tcPr>
            <w:tcW w:w="2553" w:type="dxa"/>
            <w:vAlign w:val="center"/>
          </w:tcPr>
          <w:p w14:paraId="7110E9DA" w14:textId="41E7F67E" w:rsidR="00D95C84" w:rsidRPr="00672538" w:rsidRDefault="00D95C84" w:rsidP="00D95C8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4E58DE">
              <w:rPr>
                <w:rFonts w:ascii="Calibri Light" w:hAnsi="Calibri Light"/>
                <w:lang w:val="es-PE"/>
              </w:rPr>
              <w:t>-</w:t>
            </w:r>
          </w:p>
        </w:tc>
      </w:tr>
      <w:tr w:rsidR="00D95C84" w:rsidRPr="00672538" w14:paraId="17192C94" w14:textId="77777777" w:rsidTr="00A438B0">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894C856" w14:textId="77777777" w:rsidR="00D95C84" w:rsidRPr="00672538" w:rsidRDefault="00D95C84" w:rsidP="00D95C84">
            <w:pPr>
              <w:pStyle w:val="ListParagraph"/>
              <w:numPr>
                <w:ilvl w:val="0"/>
                <w:numId w:val="3"/>
              </w:numPr>
              <w:rPr>
                <w:rFonts w:ascii="Calibri Light" w:hAnsi="Calibri Light"/>
                <w:lang w:val="en-US"/>
              </w:rPr>
            </w:pPr>
          </w:p>
        </w:tc>
        <w:tc>
          <w:tcPr>
            <w:tcW w:w="5043" w:type="dxa"/>
            <w:gridSpan w:val="2"/>
          </w:tcPr>
          <w:p w14:paraId="1FC30164" w14:textId="4AC22F72" w:rsidR="00D95C84" w:rsidRPr="00672538"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rPr>
              <w:t>Convención Interamericana para Prevenir y Sancionar la Tortura</w:t>
            </w:r>
          </w:p>
        </w:tc>
      </w:tr>
      <w:tr w:rsidR="00D95C84" w:rsidRPr="00672538" w14:paraId="07EE44DB" w14:textId="77777777" w:rsidTr="00A94EE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5495D90D" w14:textId="77777777" w:rsidR="00D95C84" w:rsidRPr="00672538" w:rsidRDefault="00D95C84" w:rsidP="00D95C84">
            <w:pPr>
              <w:pStyle w:val="ListParagraph"/>
              <w:numPr>
                <w:ilvl w:val="0"/>
                <w:numId w:val="3"/>
              </w:numPr>
              <w:rPr>
                <w:rFonts w:ascii="Calibri Light" w:hAnsi="Calibri Light"/>
                <w:lang w:val="es-PE"/>
              </w:rPr>
            </w:pPr>
          </w:p>
        </w:tc>
        <w:tc>
          <w:tcPr>
            <w:tcW w:w="2490" w:type="dxa"/>
          </w:tcPr>
          <w:p w14:paraId="13B4B0B3" w14:textId="309F656B" w:rsidR="00D95C84" w:rsidRPr="00672538" w:rsidRDefault="00D95C84" w:rsidP="00D95C84">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295E72">
              <w:rPr>
                <w:rFonts w:ascii="Calibri Light" w:hAnsi="Calibri Light"/>
              </w:rPr>
              <w:t>Artículos analizados declarados violados</w:t>
            </w:r>
          </w:p>
        </w:tc>
        <w:tc>
          <w:tcPr>
            <w:tcW w:w="2553" w:type="dxa"/>
          </w:tcPr>
          <w:p w14:paraId="15EB88DD" w14:textId="6E02889E" w:rsidR="00D95C84" w:rsidRPr="00672538" w:rsidRDefault="00D95C84" w:rsidP="00D95C84">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295E72">
              <w:rPr>
                <w:rFonts w:ascii="Calibri Light" w:hAnsi="Calibri Light"/>
              </w:rPr>
              <w:t>Artículos analizados no declarados violados</w:t>
            </w:r>
          </w:p>
        </w:tc>
      </w:tr>
      <w:tr w:rsidR="00D95C84" w:rsidRPr="00672538" w14:paraId="2B7909E5" w14:textId="77777777" w:rsidTr="00672538">
        <w:trPr>
          <w:trHeight w:val="254"/>
        </w:trPr>
        <w:tc>
          <w:tcPr>
            <w:cnfStyle w:val="001000000000" w:firstRow="0" w:lastRow="0" w:firstColumn="1" w:lastColumn="0" w:oddVBand="0" w:evenVBand="0" w:oddHBand="0" w:evenHBand="0" w:firstRowFirstColumn="0" w:firstRowLastColumn="0" w:lastRowFirstColumn="0" w:lastRowLastColumn="0"/>
            <w:tcW w:w="3678" w:type="dxa"/>
            <w:vMerge/>
          </w:tcPr>
          <w:p w14:paraId="1851F013" w14:textId="77777777" w:rsidR="00D95C84" w:rsidRPr="00672538" w:rsidRDefault="00D95C84" w:rsidP="00D95C84">
            <w:pPr>
              <w:rPr>
                <w:rFonts w:ascii="Calibri Light" w:hAnsi="Calibri Light"/>
                <w:lang w:val="es-PE"/>
              </w:rPr>
            </w:pPr>
          </w:p>
        </w:tc>
        <w:tc>
          <w:tcPr>
            <w:tcW w:w="2490" w:type="dxa"/>
          </w:tcPr>
          <w:p w14:paraId="1A73BB1B" w14:textId="48932F14" w:rsidR="00D95C84" w:rsidRPr="00295E72" w:rsidRDefault="00D95C84" w:rsidP="00D95C8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72538">
              <w:rPr>
                <w:rFonts w:ascii="Calibri Light" w:hAnsi="Calibri Light"/>
                <w:lang w:val="es-PE"/>
              </w:rPr>
              <w:t>Art. 1, art. 6, art. 8</w:t>
            </w:r>
            <w:r w:rsidR="00A76CB4">
              <w:rPr>
                <w:rFonts w:ascii="Calibri Light" w:hAnsi="Calibri Light"/>
                <w:lang w:val="es-PE"/>
              </w:rPr>
              <w:t>, art. 10</w:t>
            </w:r>
          </w:p>
        </w:tc>
        <w:tc>
          <w:tcPr>
            <w:tcW w:w="2553" w:type="dxa"/>
            <w:vAlign w:val="center"/>
          </w:tcPr>
          <w:p w14:paraId="64DDC91B" w14:textId="34FC2566" w:rsidR="00D95C84" w:rsidRPr="00295E72" w:rsidRDefault="00D95C84" w:rsidP="00D95C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00D95C84" w:rsidRPr="004533E5" w14:paraId="54B7813B" w14:textId="77777777" w:rsidTr="006725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04FCC5F0" w14:textId="77777777" w:rsidR="00D95C84" w:rsidRDefault="00D95C84" w:rsidP="00D95C84">
            <w:pPr>
              <w:pStyle w:val="ListParagraph"/>
              <w:rPr>
                <w:rFonts w:ascii="Calibri Light" w:hAnsi="Calibri Light"/>
              </w:rPr>
            </w:pPr>
          </w:p>
          <w:p w14:paraId="1ECE5967" w14:textId="77777777" w:rsidR="00D95C84" w:rsidRDefault="00D95C84" w:rsidP="00D95C84">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D95C84" w:rsidRPr="004533E5" w:rsidRDefault="00D95C84" w:rsidP="00D95C84">
            <w:pPr>
              <w:pStyle w:val="ListParagraph"/>
              <w:rPr>
                <w:rFonts w:ascii="Calibri Light" w:hAnsi="Calibri Light"/>
              </w:rPr>
            </w:pPr>
          </w:p>
        </w:tc>
      </w:tr>
      <w:tr w:rsidR="00D95C84" w:rsidRPr="004533E5" w14:paraId="6B670455" w14:textId="77777777" w:rsidTr="00BC4EF8">
        <w:trPr>
          <w:trHeight w:val="1892"/>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vAlign w:val="center"/>
          </w:tcPr>
          <w:p w14:paraId="1EE5A7E7" w14:textId="78E1EC9E" w:rsidR="006C2030" w:rsidRPr="004533E5" w:rsidRDefault="00B3492D" w:rsidP="00BC4EF8">
            <w:pPr>
              <w:jc w:val="both"/>
              <w:rPr>
                <w:rFonts w:ascii="Calibri Light" w:hAnsi="Calibri Light"/>
                <w:b w:val="0"/>
              </w:rPr>
            </w:pPr>
            <w:r>
              <w:rPr>
                <w:rFonts w:ascii="Calibri Light" w:hAnsi="Calibri Light"/>
                <w:b w:val="0"/>
              </w:rPr>
              <w:t xml:space="preserve">El caso trata sobre la aplicación de la pena de muerte </w:t>
            </w:r>
            <w:r w:rsidR="00C96CA0">
              <w:rPr>
                <w:rFonts w:ascii="Calibri Light" w:hAnsi="Calibri Light"/>
                <w:b w:val="0"/>
              </w:rPr>
              <w:t>a</w:t>
            </w:r>
            <w:r w:rsidR="00C96CA0" w:rsidRPr="000752B6">
              <w:rPr>
                <w:rFonts w:ascii="Calibri Light" w:hAnsi="Calibri Light"/>
                <w:b w:val="0"/>
              </w:rPr>
              <w:t xml:space="preserve"> </w:t>
            </w:r>
            <w:r w:rsidRPr="000752B6">
              <w:rPr>
                <w:rFonts w:ascii="Calibri Light" w:hAnsi="Calibri Light"/>
                <w:b w:val="0"/>
              </w:rPr>
              <w:t>Tirso Román Valenzuela Ávila</w:t>
            </w:r>
            <w:r>
              <w:rPr>
                <w:rFonts w:ascii="Calibri Light" w:hAnsi="Calibri Light"/>
                <w:b w:val="0"/>
              </w:rPr>
              <w:t xml:space="preserve">, condenado por el delito de asesinato. Desde su detención, fue víctima de tortura por agentes estatales hasta en tres ocasiones. Asimismo, sufrió una serie de violaciones al debido proceso en el marco del proceso penal </w:t>
            </w:r>
            <w:r w:rsidR="001650FF">
              <w:rPr>
                <w:rFonts w:ascii="Calibri Light" w:hAnsi="Calibri Light"/>
                <w:b w:val="0"/>
              </w:rPr>
              <w:t>por el que fue condenado</w:t>
            </w:r>
            <w:r>
              <w:rPr>
                <w:rFonts w:ascii="Calibri Light" w:hAnsi="Calibri Light"/>
                <w:b w:val="0"/>
              </w:rPr>
              <w:t xml:space="preserve">. Finalmente, a la espera de la ejecución de la pena de muerte, el señor </w:t>
            </w:r>
            <w:r w:rsidRPr="000752B6">
              <w:rPr>
                <w:rFonts w:ascii="Calibri Light" w:hAnsi="Calibri Light"/>
                <w:b w:val="0"/>
              </w:rPr>
              <w:t>Valenzuela Ávila</w:t>
            </w:r>
            <w:r>
              <w:rPr>
                <w:rFonts w:ascii="Calibri Light" w:hAnsi="Calibri Light"/>
                <w:b w:val="0"/>
              </w:rPr>
              <w:t xml:space="preserve"> se fugó del penal donde estaba privado de libertad y fue ejecutado extrajudicialmente meses después.</w:t>
            </w:r>
          </w:p>
        </w:tc>
      </w:tr>
      <w:tr w:rsidR="00D95C84" w:rsidRPr="004533E5" w14:paraId="238A2196" w14:textId="77777777" w:rsidTr="006725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76D9AAF2" w14:textId="77777777" w:rsidR="00D95C84" w:rsidRDefault="00D95C84" w:rsidP="00D95C84">
            <w:pPr>
              <w:pStyle w:val="ListParagraph"/>
              <w:rPr>
                <w:rFonts w:ascii="Calibri Light" w:hAnsi="Calibri Light"/>
              </w:rPr>
            </w:pPr>
          </w:p>
          <w:p w14:paraId="6E7AC4B8" w14:textId="77777777" w:rsidR="00D95C84" w:rsidRDefault="00D95C84" w:rsidP="00D95C84">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D95C84" w:rsidRPr="004533E5" w:rsidRDefault="00D95C84" w:rsidP="00D95C84">
            <w:pPr>
              <w:pStyle w:val="ListParagraph"/>
              <w:rPr>
                <w:rFonts w:ascii="Calibri Light" w:hAnsi="Calibri Light"/>
              </w:rPr>
            </w:pPr>
          </w:p>
        </w:tc>
      </w:tr>
      <w:tr w:rsidR="00D95C84" w:rsidRPr="004533E5" w14:paraId="34AE2D45" w14:textId="77777777" w:rsidTr="00BC4EF8">
        <w:trPr>
          <w:trHeight w:val="757"/>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vAlign w:val="center"/>
          </w:tcPr>
          <w:p w14:paraId="05374712" w14:textId="4BA340F9" w:rsidR="006C2030" w:rsidRPr="004533E5" w:rsidRDefault="00246F9C" w:rsidP="00BC4EF8">
            <w:pPr>
              <w:jc w:val="both"/>
              <w:rPr>
                <w:rFonts w:ascii="Calibri Light" w:hAnsi="Calibri Light"/>
                <w:b w:val="0"/>
              </w:rPr>
            </w:pPr>
            <w:r>
              <w:rPr>
                <w:rFonts w:ascii="Calibri Light" w:hAnsi="Calibri Light"/>
                <w:b w:val="0"/>
              </w:rPr>
              <w:t xml:space="preserve">CIPST, </w:t>
            </w:r>
            <w:r w:rsidR="006C2030" w:rsidRPr="006C2030">
              <w:rPr>
                <w:rFonts w:ascii="Calibri Light" w:hAnsi="Calibri Light"/>
                <w:b w:val="0"/>
              </w:rPr>
              <w:t>Ejecución extrajudicial</w:t>
            </w:r>
            <w:r w:rsidR="006C2030">
              <w:rPr>
                <w:rFonts w:ascii="Calibri Light" w:hAnsi="Calibri Light"/>
                <w:b w:val="0"/>
              </w:rPr>
              <w:t>,</w:t>
            </w:r>
            <w:r w:rsidR="006C2030" w:rsidRPr="006C2030">
              <w:rPr>
                <w:rFonts w:ascii="Calibri Light" w:hAnsi="Calibri Light"/>
                <w:b w:val="0"/>
              </w:rPr>
              <w:t xml:space="preserve"> Integridad personal, </w:t>
            </w:r>
            <w:r>
              <w:rPr>
                <w:rFonts w:ascii="Calibri Light" w:hAnsi="Calibri Light"/>
                <w:b w:val="0"/>
              </w:rPr>
              <w:t xml:space="preserve">Pena de muerte, </w:t>
            </w:r>
            <w:r w:rsidR="006C2030" w:rsidRPr="006C2030">
              <w:rPr>
                <w:rFonts w:ascii="Calibri Light" w:hAnsi="Calibri Light"/>
                <w:b w:val="0"/>
              </w:rPr>
              <w:t>Protección judicial y garantías judiciales</w:t>
            </w:r>
            <w:r w:rsidR="006C2030">
              <w:rPr>
                <w:rFonts w:ascii="Calibri Light" w:hAnsi="Calibri Light"/>
                <w:b w:val="0"/>
              </w:rPr>
              <w:t>,</w:t>
            </w:r>
            <w:r w:rsidR="006C2030" w:rsidRPr="006C2030">
              <w:rPr>
                <w:rFonts w:ascii="Calibri Light" w:hAnsi="Calibri Light"/>
                <w:b w:val="0"/>
              </w:rPr>
              <w:t xml:space="preserve"> Tortura tratos c</w:t>
            </w:r>
            <w:r w:rsidR="006C2030">
              <w:rPr>
                <w:rFonts w:ascii="Calibri Light" w:hAnsi="Calibri Light"/>
                <w:b w:val="0"/>
              </w:rPr>
              <w:t>rueles inhumanos o degradantes, Vida</w:t>
            </w:r>
          </w:p>
        </w:tc>
      </w:tr>
      <w:tr w:rsidR="00D95C84" w:rsidRPr="004533E5" w14:paraId="69044E7B" w14:textId="77777777" w:rsidTr="006725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23949460" w14:textId="77777777" w:rsidR="00D95C84" w:rsidRDefault="00D95C84" w:rsidP="00D95C84">
            <w:pPr>
              <w:pStyle w:val="ListParagraph"/>
              <w:rPr>
                <w:rFonts w:ascii="Calibri Light" w:hAnsi="Calibri Light"/>
              </w:rPr>
            </w:pPr>
          </w:p>
          <w:p w14:paraId="177FF988" w14:textId="77777777" w:rsidR="00D95C84" w:rsidRDefault="00D95C84" w:rsidP="00D95C84">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D95C84" w:rsidRPr="004533E5" w:rsidRDefault="00D95C84" w:rsidP="00D95C84">
            <w:pPr>
              <w:pStyle w:val="ListParagraph"/>
              <w:rPr>
                <w:rFonts w:ascii="Calibri Light" w:hAnsi="Calibri Light"/>
              </w:rPr>
            </w:pPr>
          </w:p>
        </w:tc>
      </w:tr>
      <w:tr w:rsidR="00D95C84" w:rsidRPr="004533E5" w14:paraId="6F58DE83" w14:textId="77777777" w:rsidTr="00672538">
        <w:trPr>
          <w:trHeight w:val="662"/>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tcPr>
          <w:p w14:paraId="470EC13D" w14:textId="4A7CA1F8" w:rsidR="00D95C84" w:rsidRPr="0094045D" w:rsidRDefault="00D95C84" w:rsidP="00D95C84">
            <w:pPr>
              <w:jc w:val="both"/>
              <w:rPr>
                <w:rFonts w:ascii="Calibri Light" w:hAnsi="Calibri Light"/>
                <w:b w:val="0"/>
                <w:highlight w:val="yellow"/>
              </w:rPr>
            </w:pPr>
          </w:p>
          <w:p w14:paraId="7A10449E" w14:textId="65E13242" w:rsidR="00046CA4" w:rsidRDefault="004933D5" w:rsidP="004933D5">
            <w:pPr>
              <w:jc w:val="both"/>
              <w:rPr>
                <w:rFonts w:ascii="Calibri Light" w:hAnsi="Calibri Light"/>
                <w:b w:val="0"/>
              </w:rPr>
            </w:pPr>
            <w:r w:rsidRPr="004933D5">
              <w:rPr>
                <w:rFonts w:ascii="Calibri Light" w:hAnsi="Calibri Light"/>
                <w:b w:val="0"/>
              </w:rPr>
              <w:t>El 27 de mayo de 1998,</w:t>
            </w:r>
            <w:r>
              <w:rPr>
                <w:rFonts w:ascii="Calibri Light" w:hAnsi="Calibri Light"/>
                <w:b w:val="0"/>
              </w:rPr>
              <w:t xml:space="preserve"> Tirso Román Valenzuela Ávila fue detenido por miembros de la policía cuando llegaba a su vivienda</w:t>
            </w:r>
            <w:r w:rsidR="00A5733A">
              <w:rPr>
                <w:rFonts w:ascii="Calibri Light" w:hAnsi="Calibri Light"/>
                <w:b w:val="0"/>
              </w:rPr>
              <w:t xml:space="preserve"> por supuestamente haber cometido</w:t>
            </w:r>
            <w:r w:rsidR="0080087E">
              <w:rPr>
                <w:rFonts w:ascii="Calibri Light" w:hAnsi="Calibri Light"/>
                <w:b w:val="0"/>
              </w:rPr>
              <w:t>, entre otros</w:t>
            </w:r>
            <w:r w:rsidR="00910F83">
              <w:rPr>
                <w:rFonts w:ascii="Calibri Light" w:hAnsi="Calibri Light"/>
                <w:b w:val="0"/>
              </w:rPr>
              <w:t xml:space="preserve"> delitos</w:t>
            </w:r>
            <w:r w:rsidR="0080087E">
              <w:rPr>
                <w:rFonts w:ascii="Calibri Light" w:hAnsi="Calibri Light"/>
                <w:b w:val="0"/>
              </w:rPr>
              <w:t>,</w:t>
            </w:r>
            <w:r w:rsidR="00A5733A">
              <w:rPr>
                <w:rFonts w:ascii="Calibri Light" w:hAnsi="Calibri Light"/>
                <w:b w:val="0"/>
              </w:rPr>
              <w:t xml:space="preserve"> </w:t>
            </w:r>
            <w:r w:rsidR="007839D3">
              <w:rPr>
                <w:rFonts w:ascii="Calibri Light" w:hAnsi="Calibri Light"/>
                <w:b w:val="0"/>
              </w:rPr>
              <w:t>secuestro</w:t>
            </w:r>
            <w:r>
              <w:rPr>
                <w:rFonts w:ascii="Calibri Light" w:hAnsi="Calibri Light"/>
                <w:b w:val="0"/>
              </w:rPr>
              <w:t xml:space="preserve">. </w:t>
            </w:r>
            <w:r w:rsidR="009D0980">
              <w:rPr>
                <w:rFonts w:ascii="Calibri Light" w:hAnsi="Calibri Light"/>
                <w:b w:val="0"/>
              </w:rPr>
              <w:t>E</w:t>
            </w:r>
            <w:r w:rsidR="00046CA4">
              <w:rPr>
                <w:rFonts w:ascii="Calibri Light" w:hAnsi="Calibri Light"/>
                <w:b w:val="0"/>
              </w:rPr>
              <w:t xml:space="preserve">ste </w:t>
            </w:r>
            <w:r>
              <w:rPr>
                <w:rFonts w:ascii="Calibri Light" w:hAnsi="Calibri Light"/>
                <w:b w:val="0"/>
              </w:rPr>
              <w:t>fue llevado a un vehículo</w:t>
            </w:r>
            <w:r w:rsidR="00C96CA0">
              <w:rPr>
                <w:rFonts w:ascii="Calibri Light" w:hAnsi="Calibri Light"/>
                <w:b w:val="0"/>
              </w:rPr>
              <w:t>, donde fue</w:t>
            </w:r>
            <w:r>
              <w:rPr>
                <w:rFonts w:ascii="Calibri Light" w:hAnsi="Calibri Light"/>
                <w:b w:val="0"/>
              </w:rPr>
              <w:t xml:space="preserve"> </w:t>
            </w:r>
            <w:r w:rsidR="00C96CA0">
              <w:rPr>
                <w:rFonts w:ascii="Calibri Light" w:hAnsi="Calibri Light"/>
                <w:b w:val="0"/>
              </w:rPr>
              <w:t>golpeado</w:t>
            </w:r>
            <w:r w:rsidR="00BC2CE4">
              <w:rPr>
                <w:rFonts w:ascii="Calibri Light" w:hAnsi="Calibri Light"/>
                <w:b w:val="0"/>
              </w:rPr>
              <w:t>,</w:t>
            </w:r>
            <w:r>
              <w:rPr>
                <w:rFonts w:ascii="Calibri Light" w:hAnsi="Calibri Light"/>
                <w:b w:val="0"/>
              </w:rPr>
              <w:t xml:space="preserve"> </w:t>
            </w:r>
            <w:r w:rsidR="00C96CA0">
              <w:rPr>
                <w:rFonts w:ascii="Calibri Light" w:hAnsi="Calibri Light"/>
                <w:b w:val="0"/>
              </w:rPr>
              <w:t xml:space="preserve">asfixiado </w:t>
            </w:r>
            <w:r w:rsidR="00BC2CE4">
              <w:rPr>
                <w:rFonts w:ascii="Calibri Light" w:hAnsi="Calibri Light"/>
                <w:b w:val="0"/>
              </w:rPr>
              <w:t xml:space="preserve">con veneno para ratas y </w:t>
            </w:r>
            <w:r w:rsidR="00C96CA0">
              <w:rPr>
                <w:rFonts w:ascii="Calibri Light" w:hAnsi="Calibri Light"/>
                <w:b w:val="0"/>
              </w:rPr>
              <w:t>violado</w:t>
            </w:r>
            <w:r w:rsidR="00BC2CE4">
              <w:rPr>
                <w:rFonts w:ascii="Calibri Light" w:hAnsi="Calibri Light"/>
                <w:b w:val="0"/>
              </w:rPr>
              <w:t xml:space="preserve"> sexualmente </w:t>
            </w:r>
            <w:r w:rsidR="00910F83">
              <w:rPr>
                <w:rFonts w:ascii="Calibri Light" w:hAnsi="Calibri Light"/>
                <w:b w:val="0"/>
              </w:rPr>
              <w:t xml:space="preserve">con </w:t>
            </w:r>
            <w:r w:rsidR="00BC2CE4">
              <w:rPr>
                <w:rFonts w:ascii="Calibri Light" w:hAnsi="Calibri Light"/>
                <w:b w:val="0"/>
              </w:rPr>
              <w:t xml:space="preserve">un bastón para que confesara </w:t>
            </w:r>
            <w:r w:rsidR="0080087E">
              <w:rPr>
                <w:rFonts w:ascii="Calibri Light" w:hAnsi="Calibri Light"/>
                <w:b w:val="0"/>
              </w:rPr>
              <w:t xml:space="preserve">los </w:t>
            </w:r>
            <w:r w:rsidR="00BC2CE4">
              <w:rPr>
                <w:rFonts w:ascii="Calibri Light" w:hAnsi="Calibri Light"/>
                <w:b w:val="0"/>
              </w:rPr>
              <w:t>secuestros que habría cometido</w:t>
            </w:r>
            <w:r w:rsidR="00C96CA0">
              <w:rPr>
                <w:rFonts w:ascii="Calibri Light" w:hAnsi="Calibri Light"/>
                <w:b w:val="0"/>
              </w:rPr>
              <w:t>.</w:t>
            </w:r>
            <w:r w:rsidR="00046CA4">
              <w:rPr>
                <w:rFonts w:ascii="Calibri Light" w:hAnsi="Calibri Light"/>
                <w:b w:val="0"/>
              </w:rPr>
              <w:t xml:space="preserve"> </w:t>
            </w:r>
            <w:r w:rsidR="00E94DC4">
              <w:rPr>
                <w:rFonts w:ascii="Calibri Light" w:hAnsi="Calibri Light"/>
                <w:b w:val="0"/>
              </w:rPr>
              <w:t>El 10 de abril de 1999, el señor Valenzuela fue nuevamente torturado</w:t>
            </w:r>
            <w:r w:rsidR="00A5733A">
              <w:rPr>
                <w:rFonts w:ascii="Calibri Light" w:hAnsi="Calibri Light"/>
                <w:b w:val="0"/>
              </w:rPr>
              <w:t xml:space="preserve"> mediante </w:t>
            </w:r>
            <w:r w:rsidR="001231B8">
              <w:rPr>
                <w:rFonts w:ascii="Calibri Light" w:hAnsi="Calibri Light"/>
                <w:b w:val="0"/>
              </w:rPr>
              <w:t xml:space="preserve">fuertes </w:t>
            </w:r>
            <w:r w:rsidR="00A5733A">
              <w:rPr>
                <w:rFonts w:ascii="Calibri Light" w:hAnsi="Calibri Light"/>
                <w:b w:val="0"/>
              </w:rPr>
              <w:t>golpes</w:t>
            </w:r>
            <w:r w:rsidR="00E94DC4">
              <w:rPr>
                <w:rFonts w:ascii="Calibri Light" w:hAnsi="Calibri Light"/>
                <w:b w:val="0"/>
              </w:rPr>
              <w:t>, tras ser recapturado después de su primera fuga en 1998</w:t>
            </w:r>
            <w:r w:rsidR="00B17785">
              <w:rPr>
                <w:rFonts w:ascii="Calibri Light" w:hAnsi="Calibri Light"/>
                <w:b w:val="0"/>
              </w:rPr>
              <w:t xml:space="preserve"> y, posteriormente</w:t>
            </w:r>
            <w:r w:rsidR="00E94DC4">
              <w:rPr>
                <w:rFonts w:ascii="Calibri Light" w:hAnsi="Calibri Light"/>
                <w:b w:val="0"/>
              </w:rPr>
              <w:t>, volvió a ser torturado</w:t>
            </w:r>
            <w:r w:rsidR="00A5733A">
              <w:rPr>
                <w:rFonts w:ascii="Calibri Light" w:hAnsi="Calibri Light"/>
                <w:b w:val="0"/>
              </w:rPr>
              <w:t xml:space="preserve"> del mismo modo</w:t>
            </w:r>
            <w:r w:rsidR="00E94DC4">
              <w:rPr>
                <w:rFonts w:ascii="Calibri Light" w:hAnsi="Calibri Light"/>
                <w:b w:val="0"/>
              </w:rPr>
              <w:t xml:space="preserve"> tras ser recapturado luego de su segunda fuga en 2001. F</w:t>
            </w:r>
            <w:r w:rsidR="00B17785">
              <w:rPr>
                <w:rFonts w:ascii="Calibri Light" w:hAnsi="Calibri Light"/>
                <w:b w:val="0"/>
              </w:rPr>
              <w:t>rente a ello, el señor Valenzuela interpuso recurso de exhibición personal</w:t>
            </w:r>
            <w:r w:rsidR="005A2A0C">
              <w:rPr>
                <w:rFonts w:ascii="Calibri Light" w:hAnsi="Calibri Light"/>
                <w:b w:val="0"/>
              </w:rPr>
              <w:t xml:space="preserve"> para que le realicen una evaluación médica</w:t>
            </w:r>
            <w:r w:rsidR="00B17785">
              <w:rPr>
                <w:rFonts w:ascii="Calibri Light" w:hAnsi="Calibri Light"/>
                <w:b w:val="0"/>
              </w:rPr>
              <w:t xml:space="preserve">, </w:t>
            </w:r>
            <w:r w:rsidR="005A2A0C">
              <w:rPr>
                <w:rFonts w:ascii="Calibri Light" w:hAnsi="Calibri Light"/>
                <w:b w:val="0"/>
              </w:rPr>
              <w:t xml:space="preserve">el cual </w:t>
            </w:r>
            <w:r w:rsidR="00B17785">
              <w:rPr>
                <w:rFonts w:ascii="Calibri Light" w:hAnsi="Calibri Light"/>
                <w:b w:val="0"/>
              </w:rPr>
              <w:t>fue rechazado en última instancia el 20 de julio de 2001. Asimismo, varios informes médicos indicaron que la presunta víctima había sufrido tortura y tenía secuelas psicológicas, pero el Estado no inició investigación al respecto.</w:t>
            </w:r>
          </w:p>
          <w:p w14:paraId="15DA4AD3" w14:textId="33FD0B85" w:rsidR="001650FF" w:rsidRDefault="001650FF" w:rsidP="004933D5">
            <w:pPr>
              <w:jc w:val="both"/>
              <w:rPr>
                <w:rFonts w:ascii="Calibri Light" w:hAnsi="Calibri Light"/>
                <w:b w:val="0"/>
              </w:rPr>
            </w:pPr>
          </w:p>
          <w:p w14:paraId="7BC8E1AD" w14:textId="16CDF1BE" w:rsidR="001650FF" w:rsidRDefault="00B17785" w:rsidP="001650FF">
            <w:pPr>
              <w:jc w:val="both"/>
              <w:rPr>
                <w:rFonts w:ascii="Calibri Light" w:hAnsi="Calibri Light"/>
                <w:b w:val="0"/>
              </w:rPr>
            </w:pPr>
            <w:r>
              <w:rPr>
                <w:rFonts w:ascii="Calibri Light" w:hAnsi="Calibri Light"/>
                <w:b w:val="0"/>
              </w:rPr>
              <w:t xml:space="preserve">Por otro lado, el 31 de mayo de 1999, el Ministerio Público formuló acusación en contra del señor Valenzuela por los delitos de tenencia ilegal de armas de fuego, asesinato, lesiones, secuestro, entre otros. El 21 de octubre del mismo año, </w:t>
            </w:r>
            <w:r w:rsidR="00C96CA0">
              <w:rPr>
                <w:rFonts w:ascii="Calibri Light" w:hAnsi="Calibri Light"/>
                <w:b w:val="0"/>
              </w:rPr>
              <w:t xml:space="preserve">el Tribunal de Sentencia del Departamento de Quetzaltenango (en adelante, el Tribunal) </w:t>
            </w:r>
            <w:r>
              <w:rPr>
                <w:rFonts w:ascii="Calibri Light" w:hAnsi="Calibri Light"/>
                <w:b w:val="0"/>
              </w:rPr>
              <w:t xml:space="preserve">condenó a este y otras personas por el delito de asesinato </w:t>
            </w:r>
            <w:r w:rsidR="004F46C9">
              <w:rPr>
                <w:rFonts w:ascii="Calibri Light" w:hAnsi="Calibri Light"/>
                <w:b w:val="0"/>
              </w:rPr>
              <w:t>en virtud del artículo 132 del Código Penal guatemalteco</w:t>
            </w:r>
            <w:r>
              <w:rPr>
                <w:rFonts w:ascii="Calibri Light" w:hAnsi="Calibri Light"/>
                <w:b w:val="0"/>
              </w:rPr>
              <w:t xml:space="preserve">. Este Tribunal señaló que se configuraba el requisito de peligrosidad social derivado de elementos como la utilización de armas de fuego y tener como móvil el cobrar venganza contra una funcionaria del Ministerio Público, así como causar zozobra e intranquilidad en la sociedad. </w:t>
            </w:r>
          </w:p>
          <w:p w14:paraId="1BDC4ED7" w14:textId="03C76F6E" w:rsidR="004F46C9" w:rsidRDefault="004F46C9" w:rsidP="001650FF">
            <w:pPr>
              <w:jc w:val="both"/>
              <w:rPr>
                <w:rFonts w:ascii="Calibri Light" w:hAnsi="Calibri Light"/>
                <w:b w:val="0"/>
              </w:rPr>
            </w:pPr>
          </w:p>
          <w:p w14:paraId="150A904D" w14:textId="6095EA54" w:rsidR="004F46C9" w:rsidRDefault="004F46C9" w:rsidP="004F46C9">
            <w:pPr>
              <w:jc w:val="both"/>
              <w:rPr>
                <w:rFonts w:ascii="Calibri Light" w:hAnsi="Calibri Light"/>
                <w:b w:val="0"/>
              </w:rPr>
            </w:pPr>
            <w:r>
              <w:rPr>
                <w:rFonts w:ascii="Calibri Light" w:hAnsi="Calibri Light"/>
                <w:b w:val="0"/>
              </w:rPr>
              <w:t xml:space="preserve">El 3 de noviembre de 1999, el señor Valenzuela </w:t>
            </w:r>
            <w:r w:rsidRPr="004F46C9">
              <w:rPr>
                <w:rFonts w:ascii="Calibri Light" w:hAnsi="Calibri Light"/>
                <w:b w:val="0"/>
              </w:rPr>
              <w:t>interpuso recurso de apelación especial</w:t>
            </w:r>
            <w:r>
              <w:rPr>
                <w:rFonts w:ascii="Calibri Light" w:hAnsi="Calibri Light"/>
                <w:b w:val="0"/>
              </w:rPr>
              <w:t xml:space="preserve"> contra la sentencia condenatoria. En dicho recurso, alegó </w:t>
            </w:r>
            <w:r w:rsidRPr="004F46C9">
              <w:rPr>
                <w:rFonts w:ascii="Calibri Light" w:hAnsi="Calibri Light"/>
                <w:b w:val="0"/>
              </w:rPr>
              <w:t>la falta de motivación adecuada</w:t>
            </w:r>
            <w:r w:rsidR="00C96CA0">
              <w:rPr>
                <w:rFonts w:ascii="Calibri Light" w:hAnsi="Calibri Light"/>
                <w:b w:val="0"/>
              </w:rPr>
              <w:t xml:space="preserve"> en la sentencia</w:t>
            </w:r>
            <w:r w:rsidRPr="004F46C9">
              <w:rPr>
                <w:rFonts w:ascii="Calibri Light" w:hAnsi="Calibri Light"/>
                <w:b w:val="0"/>
              </w:rPr>
              <w:t>,</w:t>
            </w:r>
            <w:r>
              <w:rPr>
                <w:rFonts w:ascii="Calibri Light" w:hAnsi="Calibri Light"/>
                <w:b w:val="0"/>
              </w:rPr>
              <w:t xml:space="preserve"> </w:t>
            </w:r>
            <w:r w:rsidRPr="004F46C9">
              <w:rPr>
                <w:rFonts w:ascii="Calibri Light" w:hAnsi="Calibri Light"/>
                <w:b w:val="0"/>
              </w:rPr>
              <w:t>refiriendo que el Tribunal se limitó a enumerar los medios de prueba producidos en el debate, sin indicar los</w:t>
            </w:r>
            <w:r>
              <w:rPr>
                <w:rFonts w:ascii="Calibri Light" w:hAnsi="Calibri Light"/>
                <w:b w:val="0"/>
              </w:rPr>
              <w:t xml:space="preserve"> </w:t>
            </w:r>
            <w:r w:rsidRPr="004F46C9">
              <w:rPr>
                <w:rFonts w:ascii="Calibri Light" w:hAnsi="Calibri Light"/>
                <w:b w:val="0"/>
              </w:rPr>
              <w:t xml:space="preserve">razonamientos que </w:t>
            </w:r>
            <w:r w:rsidR="00C96CA0">
              <w:rPr>
                <w:rFonts w:ascii="Calibri Light" w:hAnsi="Calibri Light"/>
                <w:b w:val="0"/>
              </w:rPr>
              <w:t xml:space="preserve">lo </w:t>
            </w:r>
            <w:r w:rsidR="005A2A0C">
              <w:rPr>
                <w:rFonts w:ascii="Calibri Light" w:hAnsi="Calibri Light"/>
                <w:b w:val="0"/>
              </w:rPr>
              <w:t>indujeron</w:t>
            </w:r>
            <w:r w:rsidRPr="004F46C9">
              <w:rPr>
                <w:rFonts w:ascii="Calibri Light" w:hAnsi="Calibri Light"/>
                <w:b w:val="0"/>
              </w:rPr>
              <w:t xml:space="preserve"> a condenar o absolver</w:t>
            </w:r>
            <w:r>
              <w:rPr>
                <w:rFonts w:ascii="Calibri Light" w:hAnsi="Calibri Light"/>
                <w:b w:val="0"/>
              </w:rPr>
              <w:t xml:space="preserve">. Asimismo, alegó la aplicación errónea del artículo que </w:t>
            </w:r>
            <w:r w:rsidRPr="004F46C9">
              <w:rPr>
                <w:rFonts w:ascii="Calibri Light" w:hAnsi="Calibri Light"/>
                <w:b w:val="0"/>
              </w:rPr>
              <w:t>establecía que</w:t>
            </w:r>
            <w:r>
              <w:rPr>
                <w:rFonts w:ascii="Calibri Light" w:hAnsi="Calibri Light"/>
                <w:b w:val="0"/>
              </w:rPr>
              <w:t xml:space="preserve"> </w:t>
            </w:r>
            <w:r w:rsidRPr="004F46C9">
              <w:rPr>
                <w:rFonts w:ascii="Calibri Light" w:hAnsi="Calibri Light"/>
                <w:b w:val="0"/>
              </w:rPr>
              <w:t xml:space="preserve">se impondrá la pena de muerte </w:t>
            </w:r>
            <w:r>
              <w:rPr>
                <w:rFonts w:ascii="Calibri Light" w:hAnsi="Calibri Light"/>
                <w:b w:val="0"/>
              </w:rPr>
              <w:t>por el delito de asesinato</w:t>
            </w:r>
            <w:r w:rsidR="00C96CA0">
              <w:rPr>
                <w:rFonts w:ascii="Calibri Light" w:hAnsi="Calibri Light"/>
                <w:b w:val="0"/>
              </w:rPr>
              <w:t xml:space="preserve"> en base a la</w:t>
            </w:r>
            <w:r w:rsidRPr="004F46C9">
              <w:rPr>
                <w:rFonts w:ascii="Calibri Light" w:hAnsi="Calibri Light"/>
                <w:b w:val="0"/>
              </w:rPr>
              <w:t xml:space="preserve"> peligrosidad del agente. </w:t>
            </w:r>
            <w:r>
              <w:rPr>
                <w:rFonts w:ascii="Calibri Light" w:hAnsi="Calibri Light"/>
                <w:b w:val="0"/>
              </w:rPr>
              <w:t>Por último</w:t>
            </w:r>
            <w:r w:rsidRPr="004F46C9">
              <w:rPr>
                <w:rFonts w:ascii="Calibri Light" w:hAnsi="Calibri Light"/>
                <w:b w:val="0"/>
              </w:rPr>
              <w:t>, indicó que el Tribunal utilizó índices de peligrosidad</w:t>
            </w:r>
            <w:r>
              <w:rPr>
                <w:rFonts w:ascii="Calibri Light" w:hAnsi="Calibri Light"/>
                <w:b w:val="0"/>
              </w:rPr>
              <w:t xml:space="preserve"> </w:t>
            </w:r>
            <w:r w:rsidRPr="004F46C9">
              <w:rPr>
                <w:rFonts w:ascii="Calibri Light" w:hAnsi="Calibri Light"/>
                <w:b w:val="0"/>
              </w:rPr>
              <w:t xml:space="preserve">social, y no utilizó pruebas directas para determinar la peligrosidad social </w:t>
            </w:r>
            <w:r>
              <w:rPr>
                <w:rFonts w:ascii="Calibri Light" w:hAnsi="Calibri Light"/>
                <w:b w:val="0"/>
              </w:rPr>
              <w:t>del señor Valenzuela. Este recurso fue rechazado en última instancia por la Cámara Penal de la Corte Suprema de Justicia</w:t>
            </w:r>
            <w:r w:rsidR="005A2A0C">
              <w:rPr>
                <w:rFonts w:ascii="Calibri Light" w:hAnsi="Calibri Light"/>
                <w:b w:val="0"/>
              </w:rPr>
              <w:t xml:space="preserve"> el 1 de diciembre de 2000</w:t>
            </w:r>
            <w:r>
              <w:rPr>
                <w:rFonts w:ascii="Calibri Light" w:hAnsi="Calibri Light"/>
                <w:b w:val="0"/>
              </w:rPr>
              <w:t>, alegando la improcedencia de las pruebas aportadas por la presunta víctima.</w:t>
            </w:r>
          </w:p>
          <w:p w14:paraId="72B77CBF" w14:textId="637BC632" w:rsidR="00B17785" w:rsidRDefault="00B17785" w:rsidP="001650FF">
            <w:pPr>
              <w:jc w:val="both"/>
              <w:rPr>
                <w:rFonts w:ascii="Calibri Light" w:hAnsi="Calibri Light"/>
                <w:b w:val="0"/>
              </w:rPr>
            </w:pPr>
          </w:p>
          <w:p w14:paraId="4C3F34DC" w14:textId="575E4C1E" w:rsidR="001650FF" w:rsidRDefault="001650FF" w:rsidP="001650FF">
            <w:pPr>
              <w:jc w:val="both"/>
              <w:rPr>
                <w:rFonts w:ascii="Calibri Light" w:hAnsi="Calibri Light"/>
                <w:b w:val="0"/>
              </w:rPr>
            </w:pPr>
            <w:r>
              <w:rPr>
                <w:rFonts w:ascii="Calibri Light" w:hAnsi="Calibri Light"/>
                <w:b w:val="0"/>
              </w:rPr>
              <w:t xml:space="preserve">El 22 de octubre de 2005, se produjo una fuga de 19 </w:t>
            </w:r>
            <w:r w:rsidR="005A2A0C">
              <w:rPr>
                <w:rFonts w:ascii="Calibri Light" w:hAnsi="Calibri Light"/>
                <w:b w:val="0"/>
              </w:rPr>
              <w:t xml:space="preserve">personas privadas </w:t>
            </w:r>
            <w:r>
              <w:rPr>
                <w:rFonts w:ascii="Calibri Light" w:hAnsi="Calibri Light"/>
                <w:b w:val="0"/>
              </w:rPr>
              <w:t>de libertad de la cárcel “El Infiernito”</w:t>
            </w:r>
            <w:r w:rsidR="004F706B">
              <w:rPr>
                <w:rFonts w:ascii="Calibri Light" w:hAnsi="Calibri Light"/>
                <w:b w:val="0"/>
              </w:rPr>
              <w:t xml:space="preserve">, entre ellas, el señor Valenzuela. </w:t>
            </w:r>
            <w:r>
              <w:rPr>
                <w:rFonts w:ascii="Calibri Light" w:hAnsi="Calibri Light"/>
                <w:b w:val="0"/>
              </w:rPr>
              <w:t xml:space="preserve">El Estado puso en marcha </w:t>
            </w:r>
            <w:r w:rsidR="004F46C9">
              <w:rPr>
                <w:rFonts w:ascii="Calibri Light" w:hAnsi="Calibri Light"/>
                <w:b w:val="0"/>
              </w:rPr>
              <w:t>el</w:t>
            </w:r>
            <w:r>
              <w:rPr>
                <w:rFonts w:ascii="Calibri Light" w:hAnsi="Calibri Light"/>
                <w:b w:val="0"/>
              </w:rPr>
              <w:t xml:space="preserve"> “</w:t>
            </w:r>
            <w:r w:rsidR="004F46C9">
              <w:rPr>
                <w:rFonts w:ascii="Calibri Light" w:hAnsi="Calibri Light"/>
                <w:b w:val="0"/>
              </w:rPr>
              <w:t>Plan</w:t>
            </w:r>
            <w:r>
              <w:rPr>
                <w:rFonts w:ascii="Calibri Light" w:hAnsi="Calibri Light"/>
                <w:b w:val="0"/>
              </w:rPr>
              <w:t xml:space="preserve"> Gavilán” para desarrollar </w:t>
            </w:r>
            <w:r w:rsidR="004F706B">
              <w:rPr>
                <w:rFonts w:ascii="Calibri Light" w:hAnsi="Calibri Light"/>
                <w:b w:val="0"/>
              </w:rPr>
              <w:t xml:space="preserve">su </w:t>
            </w:r>
            <w:r>
              <w:rPr>
                <w:rFonts w:ascii="Calibri Light" w:hAnsi="Calibri Light"/>
                <w:b w:val="0"/>
              </w:rPr>
              <w:t xml:space="preserve">búsqueda y recaptura. El </w:t>
            </w:r>
            <w:r w:rsidR="004F46C9">
              <w:rPr>
                <w:rFonts w:ascii="Calibri Light" w:hAnsi="Calibri Light"/>
                <w:b w:val="0"/>
              </w:rPr>
              <w:t>8</w:t>
            </w:r>
            <w:r>
              <w:rPr>
                <w:rFonts w:ascii="Calibri Light" w:hAnsi="Calibri Light"/>
                <w:b w:val="0"/>
              </w:rPr>
              <w:t xml:space="preserve"> de </w:t>
            </w:r>
            <w:r w:rsidR="004F46C9">
              <w:rPr>
                <w:rFonts w:ascii="Calibri Light" w:hAnsi="Calibri Light"/>
                <w:b w:val="0"/>
              </w:rPr>
              <w:t xml:space="preserve">diciembre de 2006, se encontró </w:t>
            </w:r>
            <w:r w:rsidR="00CE7C84">
              <w:rPr>
                <w:rFonts w:ascii="Calibri Light" w:hAnsi="Calibri Light"/>
                <w:b w:val="0"/>
              </w:rPr>
              <w:t xml:space="preserve">su </w:t>
            </w:r>
            <w:r w:rsidR="004F46C9">
              <w:rPr>
                <w:rFonts w:ascii="Calibri Light" w:hAnsi="Calibri Light"/>
                <w:b w:val="0"/>
              </w:rPr>
              <w:t>cuerpo sin vida</w:t>
            </w:r>
            <w:r w:rsidR="00CE7C84">
              <w:rPr>
                <w:rFonts w:ascii="Calibri Light" w:hAnsi="Calibri Light"/>
                <w:b w:val="0"/>
              </w:rPr>
              <w:t>. Este</w:t>
            </w:r>
            <w:r w:rsidR="00D26F2D">
              <w:rPr>
                <w:rFonts w:ascii="Calibri Light" w:hAnsi="Calibri Light"/>
                <w:b w:val="0"/>
              </w:rPr>
              <w:t xml:space="preserve"> no fue entregado a los familiares ni se produjo un acta de defunción. </w:t>
            </w:r>
            <w:r w:rsidR="002921C9">
              <w:rPr>
                <w:rFonts w:ascii="Calibri Light" w:hAnsi="Calibri Light"/>
                <w:b w:val="0"/>
              </w:rPr>
              <w:t>Dado que</w:t>
            </w:r>
            <w:r>
              <w:rPr>
                <w:rFonts w:ascii="Calibri Light" w:hAnsi="Calibri Light"/>
                <w:b w:val="0"/>
              </w:rPr>
              <w:t xml:space="preserve"> el Estado no pudo identificar a los autores de su muerte, </w:t>
            </w:r>
            <w:r w:rsidR="007839D3">
              <w:rPr>
                <w:rFonts w:ascii="Calibri Light" w:hAnsi="Calibri Light"/>
                <w:b w:val="0"/>
              </w:rPr>
              <w:t xml:space="preserve">sus representantes </w:t>
            </w:r>
            <w:r w:rsidR="002921C9">
              <w:rPr>
                <w:rFonts w:ascii="Calibri Light" w:hAnsi="Calibri Light"/>
                <w:b w:val="0"/>
              </w:rPr>
              <w:t>denunci</w:t>
            </w:r>
            <w:r w:rsidR="007839D3">
              <w:rPr>
                <w:rFonts w:ascii="Calibri Light" w:hAnsi="Calibri Light"/>
                <w:b w:val="0"/>
              </w:rPr>
              <w:t>aron</w:t>
            </w:r>
            <w:r w:rsidR="002921C9">
              <w:rPr>
                <w:rFonts w:ascii="Calibri Light" w:hAnsi="Calibri Light"/>
                <w:b w:val="0"/>
              </w:rPr>
              <w:t xml:space="preserve"> </w:t>
            </w:r>
            <w:r>
              <w:rPr>
                <w:rFonts w:ascii="Calibri Light" w:hAnsi="Calibri Light"/>
                <w:b w:val="0"/>
              </w:rPr>
              <w:t xml:space="preserve">que el señor </w:t>
            </w:r>
            <w:r w:rsidR="00D26F2D">
              <w:rPr>
                <w:rFonts w:ascii="Calibri Light" w:hAnsi="Calibri Light"/>
                <w:b w:val="0"/>
              </w:rPr>
              <w:t xml:space="preserve">Valenzuela </w:t>
            </w:r>
            <w:r w:rsidR="00CE7C84">
              <w:rPr>
                <w:rFonts w:ascii="Calibri Light" w:hAnsi="Calibri Light"/>
                <w:b w:val="0"/>
              </w:rPr>
              <w:t>había sido</w:t>
            </w:r>
            <w:r>
              <w:rPr>
                <w:rFonts w:ascii="Calibri Light" w:hAnsi="Calibri Light"/>
                <w:b w:val="0"/>
              </w:rPr>
              <w:t xml:space="preserve"> víctima de ejecución extrajudicial en el marco de la referida operación.</w:t>
            </w:r>
          </w:p>
          <w:p w14:paraId="03E5FE4D" w14:textId="77777777" w:rsidR="009D0980" w:rsidRPr="00D045D3" w:rsidRDefault="009D0980" w:rsidP="001650FF">
            <w:pPr>
              <w:jc w:val="both"/>
              <w:rPr>
                <w:rFonts w:ascii="Calibri Light" w:hAnsi="Calibri Light"/>
                <w:b w:val="0"/>
              </w:rPr>
            </w:pPr>
          </w:p>
          <w:p w14:paraId="31D633AD" w14:textId="611C5DA7" w:rsidR="001650FF" w:rsidRPr="000A0C5C" w:rsidRDefault="001650FF" w:rsidP="001650FF">
            <w:pPr>
              <w:jc w:val="both"/>
              <w:rPr>
                <w:rFonts w:ascii="Calibri Light" w:hAnsi="Calibri Light"/>
              </w:rPr>
            </w:pPr>
            <w:r w:rsidRPr="00AC56D8">
              <w:rPr>
                <w:rFonts w:ascii="Calibri Light" w:hAnsi="Calibri Light"/>
                <w:b w:val="0"/>
              </w:rPr>
              <w:t xml:space="preserve">Frente a tales hechos, </w:t>
            </w:r>
            <w:r w:rsidR="002921C9">
              <w:rPr>
                <w:rFonts w:ascii="Calibri Light" w:hAnsi="Calibri Light"/>
                <w:b w:val="0"/>
              </w:rPr>
              <w:t xml:space="preserve">el </w:t>
            </w:r>
            <w:r w:rsidR="002921C9" w:rsidRPr="002921C9">
              <w:rPr>
                <w:rFonts w:ascii="Calibri Light" w:hAnsi="Calibri Light"/>
                <w:b w:val="0"/>
              </w:rPr>
              <w:t>Instituto de la Defensa Pública Penal de Guatemala</w:t>
            </w:r>
            <w:r w:rsidR="002921C9">
              <w:rPr>
                <w:rFonts w:ascii="Calibri Light" w:hAnsi="Calibri Light"/>
                <w:b w:val="0"/>
              </w:rPr>
              <w:t xml:space="preserve">, en representación </w:t>
            </w:r>
            <w:r w:rsidRPr="00AC56D8">
              <w:rPr>
                <w:rFonts w:ascii="Calibri Light" w:hAnsi="Calibri Light"/>
                <w:b w:val="0"/>
              </w:rPr>
              <w:t xml:space="preserve"> del señor </w:t>
            </w:r>
            <w:r w:rsidR="009D0980">
              <w:rPr>
                <w:rFonts w:ascii="Calibri Light" w:hAnsi="Calibri Light"/>
                <w:b w:val="0"/>
              </w:rPr>
              <w:t>Valenzuela</w:t>
            </w:r>
            <w:r w:rsidR="002921C9">
              <w:rPr>
                <w:rFonts w:ascii="Calibri Light" w:hAnsi="Calibri Light"/>
                <w:b w:val="0"/>
              </w:rPr>
              <w:t>,</w:t>
            </w:r>
            <w:r w:rsidR="009D0980">
              <w:rPr>
                <w:rFonts w:ascii="Calibri Light" w:hAnsi="Calibri Light"/>
                <w:b w:val="0"/>
              </w:rPr>
              <w:t xml:space="preserve"> </w:t>
            </w:r>
            <w:r w:rsidR="002921C9" w:rsidRPr="00AC56D8">
              <w:rPr>
                <w:rFonts w:ascii="Calibri Light" w:hAnsi="Calibri Light"/>
                <w:b w:val="0"/>
              </w:rPr>
              <w:t>present</w:t>
            </w:r>
            <w:r w:rsidR="002921C9">
              <w:rPr>
                <w:rFonts w:ascii="Calibri Light" w:hAnsi="Calibri Light"/>
                <w:b w:val="0"/>
              </w:rPr>
              <w:t>ó</w:t>
            </w:r>
            <w:r w:rsidR="002921C9" w:rsidRPr="00AC56D8">
              <w:rPr>
                <w:rFonts w:ascii="Calibri Light" w:hAnsi="Calibri Light"/>
                <w:b w:val="0"/>
              </w:rPr>
              <w:t xml:space="preserve"> </w:t>
            </w:r>
            <w:r w:rsidRPr="00AC56D8">
              <w:rPr>
                <w:rFonts w:ascii="Calibri Light" w:hAnsi="Calibri Light"/>
                <w:b w:val="0"/>
              </w:rPr>
              <w:t xml:space="preserve">una petición ante la CIDH, denunciando que el Estado de Guatemala había vulnerado los derechos a la vida, a la integridad personal, a las garantías judiciales y a la protección judicial, reconocidos en la </w:t>
            </w:r>
            <w:r w:rsidR="002921C9">
              <w:rPr>
                <w:rFonts w:ascii="Calibri Light" w:hAnsi="Calibri Light"/>
                <w:b w:val="0"/>
              </w:rPr>
              <w:t xml:space="preserve">Convención Americana sobre Derechos Humanos (en adelante, </w:t>
            </w:r>
            <w:r w:rsidRPr="00AC56D8">
              <w:rPr>
                <w:rFonts w:ascii="Calibri Light" w:hAnsi="Calibri Light"/>
                <w:b w:val="0"/>
              </w:rPr>
              <w:t>CADH</w:t>
            </w:r>
            <w:r w:rsidR="002921C9">
              <w:rPr>
                <w:rFonts w:ascii="Calibri Light" w:hAnsi="Calibri Light"/>
                <w:b w:val="0"/>
              </w:rPr>
              <w:t>). Asimismo, alegaron que había violado los deberes de</w:t>
            </w:r>
            <w:r w:rsidR="00EF1844">
              <w:rPr>
                <w:rFonts w:ascii="Calibri Light" w:hAnsi="Calibri Light"/>
                <w:b w:val="0"/>
              </w:rPr>
              <w:t xml:space="preserve"> investigar y compensar a víctimas de tortura</w:t>
            </w:r>
            <w:r w:rsidR="002921C9">
              <w:rPr>
                <w:rFonts w:ascii="Calibri Light" w:hAnsi="Calibri Light"/>
                <w:b w:val="0"/>
              </w:rPr>
              <w:t>, reconocidos</w:t>
            </w:r>
            <w:r w:rsidRPr="00AC56D8">
              <w:rPr>
                <w:rFonts w:ascii="Calibri Light" w:hAnsi="Calibri Light"/>
                <w:b w:val="0"/>
              </w:rPr>
              <w:t xml:space="preserve"> en la Convención Interamericana para Prevenir y Sancionar la Tortura (en adelante, CIPST).</w:t>
            </w:r>
          </w:p>
          <w:p w14:paraId="6543A68A" w14:textId="6025D995" w:rsidR="00D95C84" w:rsidRPr="0094045D" w:rsidRDefault="00D95C84" w:rsidP="001650FF">
            <w:pPr>
              <w:jc w:val="both"/>
              <w:rPr>
                <w:rFonts w:ascii="Calibri Light" w:hAnsi="Calibri Light"/>
                <w:b w:val="0"/>
                <w:highlight w:val="yellow"/>
              </w:rPr>
            </w:pPr>
          </w:p>
        </w:tc>
      </w:tr>
      <w:tr w:rsidR="00D95C84" w:rsidRPr="004533E5" w14:paraId="7B81A2F3" w14:textId="77777777" w:rsidTr="0067253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4B448BEC" w14:textId="77777777" w:rsidR="00D95C84" w:rsidRDefault="00D95C84" w:rsidP="00D95C84">
            <w:pPr>
              <w:pStyle w:val="ListParagraph"/>
              <w:rPr>
                <w:rFonts w:ascii="Calibri Light" w:hAnsi="Calibri Light"/>
              </w:rPr>
            </w:pPr>
          </w:p>
          <w:p w14:paraId="1FB8AB09" w14:textId="77777777" w:rsidR="00D95C84" w:rsidRDefault="00D95C84" w:rsidP="00D95C84">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D95C84" w:rsidRPr="004533E5" w:rsidRDefault="00D95C84" w:rsidP="00D95C84">
            <w:pPr>
              <w:pStyle w:val="ListParagraph"/>
              <w:rPr>
                <w:rFonts w:ascii="Calibri Light" w:hAnsi="Calibri Light"/>
              </w:rPr>
            </w:pPr>
          </w:p>
        </w:tc>
      </w:tr>
      <w:tr w:rsidR="00D95C84" w:rsidRPr="004533E5" w14:paraId="71AB3B44" w14:textId="77777777" w:rsidTr="00672538">
        <w:trPr>
          <w:trHeight w:val="708"/>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tcPr>
          <w:p w14:paraId="4C3AFF68" w14:textId="7A5D18A8" w:rsidR="00D95C84" w:rsidRDefault="00D95C84" w:rsidP="00D95C84">
            <w:pPr>
              <w:jc w:val="both"/>
              <w:rPr>
                <w:rFonts w:ascii="Calibri Light" w:hAnsi="Calibri Light"/>
                <w:b w:val="0"/>
              </w:rPr>
            </w:pPr>
          </w:p>
          <w:p w14:paraId="0E651C97" w14:textId="37C8592A" w:rsidR="00D95C84" w:rsidRPr="00F3280D" w:rsidRDefault="006C2030" w:rsidP="006C2030">
            <w:pPr>
              <w:jc w:val="both"/>
              <w:rPr>
                <w:rFonts w:ascii="Calibri Light" w:hAnsi="Calibri Light"/>
              </w:rPr>
            </w:pPr>
            <w:r w:rsidRPr="006C2030">
              <w:rPr>
                <w:rFonts w:ascii="Calibri Light" w:hAnsi="Calibri Light"/>
              </w:rPr>
              <w:t>Derechos a la vida, principio de legalidad</w:t>
            </w:r>
            <w:r>
              <w:rPr>
                <w:rFonts w:ascii="Calibri Light" w:hAnsi="Calibri Light"/>
              </w:rPr>
              <w:t>, garantías judiciales</w:t>
            </w:r>
            <w:r w:rsidRPr="006C2030">
              <w:rPr>
                <w:rFonts w:ascii="Calibri Light" w:hAnsi="Calibri Light"/>
              </w:rPr>
              <w:t xml:space="preserve"> y protección judicial</w:t>
            </w:r>
            <w:r>
              <w:rPr>
                <w:rFonts w:ascii="Calibri Light" w:hAnsi="Calibri Light"/>
              </w:rPr>
              <w:t xml:space="preserve"> </w:t>
            </w:r>
            <w:r w:rsidRPr="006C2030">
              <w:rPr>
                <w:rFonts w:ascii="Calibri Light" w:hAnsi="Calibri Light"/>
              </w:rPr>
              <w:t>en el marco del proceso que culminó con la imposición de la pena de muerte</w:t>
            </w:r>
            <w:r>
              <w:rPr>
                <w:rFonts w:ascii="Calibri Light" w:hAnsi="Calibri Light"/>
              </w:rPr>
              <w:t xml:space="preserve"> (artículos 4, 9</w:t>
            </w:r>
            <w:r w:rsidR="00CE7C84">
              <w:rPr>
                <w:rFonts w:ascii="Calibri Light" w:hAnsi="Calibri Light"/>
              </w:rPr>
              <w:t>,</w:t>
            </w:r>
            <w:r>
              <w:rPr>
                <w:rFonts w:ascii="Calibri Light" w:hAnsi="Calibri Light"/>
              </w:rPr>
              <w:t xml:space="preserve"> </w:t>
            </w:r>
            <w:r w:rsidR="00CE7C84">
              <w:rPr>
                <w:rFonts w:ascii="Calibri Light" w:hAnsi="Calibri Light"/>
              </w:rPr>
              <w:t xml:space="preserve">8 </w:t>
            </w:r>
            <w:r>
              <w:rPr>
                <w:rFonts w:ascii="Calibri Light" w:hAnsi="Calibri Light"/>
              </w:rPr>
              <w:t>y 25 de la CADH)</w:t>
            </w:r>
          </w:p>
          <w:p w14:paraId="661A954F" w14:textId="77777777" w:rsidR="00DF479D" w:rsidRPr="00DF479D" w:rsidRDefault="00DF479D" w:rsidP="00DF479D">
            <w:pPr>
              <w:jc w:val="both"/>
              <w:rPr>
                <w:rFonts w:ascii="Calibri Light" w:hAnsi="Calibri Light"/>
                <w:b w:val="0"/>
              </w:rPr>
            </w:pPr>
          </w:p>
          <w:p w14:paraId="037B0883" w14:textId="1572E043" w:rsidR="0094045D" w:rsidRPr="0094045D" w:rsidRDefault="006C2030" w:rsidP="00D95C84">
            <w:pPr>
              <w:jc w:val="both"/>
              <w:rPr>
                <w:rFonts w:ascii="Calibri Light" w:hAnsi="Calibri Light"/>
                <w:i/>
              </w:rPr>
            </w:pPr>
            <w:r>
              <w:rPr>
                <w:rFonts w:ascii="Calibri Light" w:hAnsi="Calibri Light"/>
                <w:i/>
              </w:rPr>
              <w:t>Sobre la aplicación del concepto de peligrosidad para imponer la pena de muerte</w:t>
            </w:r>
          </w:p>
          <w:p w14:paraId="45E9A0E5" w14:textId="3B115890" w:rsidR="0094045D" w:rsidRDefault="0094045D" w:rsidP="00D95C84">
            <w:pPr>
              <w:jc w:val="both"/>
              <w:rPr>
                <w:rFonts w:ascii="Calibri Light" w:hAnsi="Calibri Light"/>
                <w:b w:val="0"/>
              </w:rPr>
            </w:pPr>
          </w:p>
          <w:p w14:paraId="5D34E99E" w14:textId="7376930A" w:rsidR="00DF479D" w:rsidRDefault="004A045B" w:rsidP="00D95C84">
            <w:pPr>
              <w:jc w:val="both"/>
              <w:rPr>
                <w:rFonts w:ascii="Calibri Light" w:hAnsi="Calibri Light"/>
                <w:b w:val="0"/>
              </w:rPr>
            </w:pPr>
            <w:r>
              <w:rPr>
                <w:rFonts w:ascii="Calibri Light" w:hAnsi="Calibri Light"/>
                <w:b w:val="0"/>
              </w:rPr>
              <w:t>La CIDH ha señalado que el uso de circunstancias agravantes de un delito calificado como grave para imponer la pena de muerte no es inconsistente con la CADH; no obstante, utilizar</w:t>
            </w:r>
            <w:r w:rsidR="00EE1E1D" w:rsidRPr="00EE1E1D">
              <w:rPr>
                <w:rFonts w:ascii="Calibri Light" w:hAnsi="Calibri Light"/>
                <w:b w:val="0"/>
              </w:rPr>
              <w:t xml:space="preserve"> el elemento de peligrosidad futura otorga un alto grado de discrecionalidad para establecer</w:t>
            </w:r>
            <w:r>
              <w:rPr>
                <w:rFonts w:ascii="Calibri Light" w:hAnsi="Calibri Light"/>
                <w:b w:val="0"/>
              </w:rPr>
              <w:t xml:space="preserve"> dicha pena</w:t>
            </w:r>
            <w:r w:rsidR="00EE1E1D" w:rsidRPr="00EE1E1D">
              <w:rPr>
                <w:rFonts w:ascii="Calibri Light" w:hAnsi="Calibri Light"/>
                <w:b w:val="0"/>
              </w:rPr>
              <w:t xml:space="preserve">, lo que puede resultar problemático al tratarse de la probabilidad </w:t>
            </w:r>
            <w:r w:rsidR="001B68A4">
              <w:rPr>
                <w:rFonts w:ascii="Calibri Light" w:hAnsi="Calibri Light"/>
                <w:b w:val="0"/>
              </w:rPr>
              <w:t>de que ocurra un hecho y excediendo así</w:t>
            </w:r>
            <w:r w:rsidR="00EE1E1D" w:rsidRPr="00EE1E1D">
              <w:rPr>
                <w:rFonts w:ascii="Calibri Light" w:hAnsi="Calibri Light"/>
                <w:b w:val="0"/>
              </w:rPr>
              <w:t xml:space="preserve"> al delito efectivamente cometido. </w:t>
            </w:r>
            <w:r>
              <w:rPr>
                <w:rFonts w:ascii="Calibri Light" w:hAnsi="Calibri Light"/>
                <w:b w:val="0"/>
              </w:rPr>
              <w:t>Por otra parte</w:t>
            </w:r>
            <w:r w:rsidR="00EE1E1D" w:rsidRPr="00EE1E1D">
              <w:rPr>
                <w:rFonts w:ascii="Calibri Light" w:hAnsi="Calibri Light"/>
                <w:b w:val="0"/>
              </w:rPr>
              <w:t xml:space="preserve">, la invocación de la peligrosidad futura a la luz del principio de legalidad es grave y constituye una expresión del ejercicio del </w:t>
            </w:r>
            <w:r w:rsidR="00EE1E1D" w:rsidRPr="00EE1E1D">
              <w:rPr>
                <w:rFonts w:ascii="Calibri Light" w:hAnsi="Calibri Light"/>
                <w:b w:val="0"/>
                <w:i/>
              </w:rPr>
              <w:t>ius puniendi</w:t>
            </w:r>
            <w:r w:rsidR="00EE1E1D" w:rsidRPr="00EE1E1D">
              <w:rPr>
                <w:rFonts w:ascii="Calibri Light" w:hAnsi="Calibri Light"/>
                <w:b w:val="0"/>
              </w:rPr>
              <w:t xml:space="preserve"> estatal sobre la base de características personales del agente y no del hecho cometido. De este modo, </w:t>
            </w:r>
            <w:r w:rsidR="00BE5706">
              <w:rPr>
                <w:rFonts w:ascii="Calibri Light" w:hAnsi="Calibri Light"/>
                <w:b w:val="0"/>
              </w:rPr>
              <w:t xml:space="preserve">se </w:t>
            </w:r>
            <w:r w:rsidR="00EE1E1D" w:rsidRPr="00EE1E1D">
              <w:rPr>
                <w:rFonts w:ascii="Calibri Light" w:hAnsi="Calibri Light"/>
                <w:b w:val="0"/>
              </w:rPr>
              <w:t>sustituye el “derecho penal de hecho” por el “derecho penal de autor”, abriendo la puerta al autoritarismo</w:t>
            </w:r>
            <w:r w:rsidR="00BE5706">
              <w:rPr>
                <w:rFonts w:ascii="Calibri Light" w:hAnsi="Calibri Light"/>
                <w:b w:val="0"/>
              </w:rPr>
              <w:t>,</w:t>
            </w:r>
            <w:r w:rsidR="00EE1E1D" w:rsidRPr="00EE1E1D">
              <w:rPr>
                <w:rFonts w:ascii="Calibri Light" w:hAnsi="Calibri Light"/>
                <w:b w:val="0"/>
              </w:rPr>
              <w:t xml:space="preserve"> que es contrario a los derechos humanos.</w:t>
            </w:r>
            <w:r w:rsidR="00BE5706">
              <w:rPr>
                <w:rFonts w:ascii="Calibri Light" w:hAnsi="Calibri Light"/>
                <w:b w:val="0"/>
              </w:rPr>
              <w:t xml:space="preserve"> </w:t>
            </w:r>
          </w:p>
          <w:p w14:paraId="6DE5A66D" w14:textId="77777777" w:rsidR="00EE1E1D" w:rsidRDefault="00EE1E1D" w:rsidP="00D95C84">
            <w:pPr>
              <w:jc w:val="both"/>
              <w:rPr>
                <w:rFonts w:ascii="Calibri Light" w:hAnsi="Calibri Light"/>
                <w:b w:val="0"/>
              </w:rPr>
            </w:pPr>
          </w:p>
          <w:p w14:paraId="5E90474B" w14:textId="653F1B2E" w:rsidR="00AF5672" w:rsidRDefault="007575B2" w:rsidP="001B68A4">
            <w:pPr>
              <w:jc w:val="both"/>
              <w:rPr>
                <w:rFonts w:ascii="Calibri Light" w:hAnsi="Calibri Light"/>
                <w:b w:val="0"/>
              </w:rPr>
            </w:pPr>
            <w:r>
              <w:rPr>
                <w:rFonts w:ascii="Calibri Light" w:hAnsi="Calibri Light"/>
                <w:b w:val="0"/>
              </w:rPr>
              <w:t>L</w:t>
            </w:r>
            <w:r w:rsidR="00EE1E1D">
              <w:rPr>
                <w:rFonts w:ascii="Calibri Light" w:hAnsi="Calibri Light"/>
                <w:b w:val="0"/>
              </w:rPr>
              <w:t>a Corte IDH</w:t>
            </w:r>
            <w:r w:rsidR="004A045B">
              <w:rPr>
                <w:rFonts w:ascii="Calibri Light" w:hAnsi="Calibri Light"/>
                <w:b w:val="0"/>
              </w:rPr>
              <w:t xml:space="preserve"> </w:t>
            </w:r>
            <w:r w:rsidR="00CE7C84">
              <w:rPr>
                <w:rFonts w:ascii="Calibri Light" w:hAnsi="Calibri Light"/>
                <w:b w:val="0"/>
              </w:rPr>
              <w:t>ha</w:t>
            </w:r>
            <w:r w:rsidR="00EE1E1D">
              <w:rPr>
                <w:rFonts w:ascii="Calibri Light" w:hAnsi="Calibri Light"/>
                <w:b w:val="0"/>
              </w:rPr>
              <w:t xml:space="preserve"> estableci</w:t>
            </w:r>
            <w:r w:rsidR="004A045B">
              <w:rPr>
                <w:rFonts w:ascii="Calibri Light" w:hAnsi="Calibri Light"/>
                <w:b w:val="0"/>
              </w:rPr>
              <w:t>do</w:t>
            </w:r>
            <w:r w:rsidR="00EE1E1D">
              <w:rPr>
                <w:rFonts w:ascii="Calibri Light" w:hAnsi="Calibri Light"/>
                <w:b w:val="0"/>
              </w:rPr>
              <w:t xml:space="preserve"> la incompatibilidad del artículo 132 del Código Penal</w:t>
            </w:r>
            <w:r w:rsidR="004A045B">
              <w:rPr>
                <w:rFonts w:ascii="Calibri Light" w:hAnsi="Calibri Light"/>
                <w:b w:val="0"/>
              </w:rPr>
              <w:t xml:space="preserve"> </w:t>
            </w:r>
            <w:r w:rsidR="00EE1E1D">
              <w:rPr>
                <w:rFonts w:ascii="Calibri Light" w:hAnsi="Calibri Light"/>
                <w:b w:val="0"/>
              </w:rPr>
              <w:t xml:space="preserve">guatemalteco con la CADH, debido a que la </w:t>
            </w:r>
            <w:r w:rsidR="0094730B">
              <w:rPr>
                <w:rFonts w:ascii="Calibri Light" w:hAnsi="Calibri Light"/>
                <w:b w:val="0"/>
              </w:rPr>
              <w:t xml:space="preserve">utilización del criterio de </w:t>
            </w:r>
            <w:r w:rsidR="00EE1E1D">
              <w:rPr>
                <w:rFonts w:ascii="Calibri Light" w:hAnsi="Calibri Light"/>
                <w:b w:val="0"/>
              </w:rPr>
              <w:t>peligrosidad de la persona condenada</w:t>
            </w:r>
            <w:r w:rsidR="0094730B">
              <w:rPr>
                <w:rFonts w:ascii="Calibri Light" w:hAnsi="Calibri Light"/>
                <w:b w:val="0"/>
              </w:rPr>
              <w:t xml:space="preserve"> </w:t>
            </w:r>
            <w:r>
              <w:rPr>
                <w:rFonts w:ascii="Calibri Light" w:hAnsi="Calibri Light"/>
                <w:b w:val="0"/>
              </w:rPr>
              <w:t>a</w:t>
            </w:r>
            <w:r w:rsidR="0094730B">
              <w:rPr>
                <w:rFonts w:ascii="Calibri Light" w:hAnsi="Calibri Light"/>
                <w:b w:val="0"/>
              </w:rPr>
              <w:t xml:space="preserve"> la pena de muerte viola</w:t>
            </w:r>
            <w:r w:rsidR="00EE1E1D">
              <w:rPr>
                <w:rFonts w:ascii="Calibri Light" w:hAnsi="Calibri Light"/>
                <w:b w:val="0"/>
              </w:rPr>
              <w:t xml:space="preserve"> el principio de legalidad en relación con el deber de adoptar disposiciones de derecho interno.</w:t>
            </w:r>
            <w:r w:rsidR="00B51A2E">
              <w:rPr>
                <w:rFonts w:ascii="Calibri Light" w:hAnsi="Calibri Light"/>
                <w:b w:val="0"/>
              </w:rPr>
              <w:t xml:space="preserve"> </w:t>
            </w:r>
            <w:r w:rsidR="0094730B">
              <w:rPr>
                <w:rFonts w:ascii="Calibri Light" w:hAnsi="Calibri Light"/>
                <w:b w:val="0"/>
              </w:rPr>
              <w:t>En el caso en concreto, c</w:t>
            </w:r>
            <w:r w:rsidR="00B51A2E">
              <w:rPr>
                <w:rFonts w:ascii="Calibri Light" w:hAnsi="Calibri Light"/>
                <w:b w:val="0"/>
              </w:rPr>
              <w:t xml:space="preserve">uando se condenó al señor Valenzuela, se hizo referencia a los antecedentes personales desfavorables del culpable y a las circunstancias en que se cometió el delito, así como a </w:t>
            </w:r>
            <w:r>
              <w:rPr>
                <w:rFonts w:ascii="Calibri Light" w:hAnsi="Calibri Light"/>
                <w:b w:val="0"/>
              </w:rPr>
              <w:t xml:space="preserve">sus </w:t>
            </w:r>
            <w:r w:rsidR="00B51A2E">
              <w:rPr>
                <w:rFonts w:ascii="Calibri Light" w:hAnsi="Calibri Light"/>
                <w:b w:val="0"/>
              </w:rPr>
              <w:t>comportamientos estando privad</w:t>
            </w:r>
            <w:r w:rsidR="0094730B">
              <w:rPr>
                <w:rFonts w:ascii="Calibri Light" w:hAnsi="Calibri Light"/>
                <w:b w:val="0"/>
              </w:rPr>
              <w:t>o</w:t>
            </w:r>
            <w:r w:rsidR="00B51A2E">
              <w:rPr>
                <w:rFonts w:ascii="Calibri Light" w:hAnsi="Calibri Light"/>
                <w:b w:val="0"/>
              </w:rPr>
              <w:t xml:space="preserve"> de libertad.</w:t>
            </w:r>
            <w:r w:rsidR="001B68A4">
              <w:rPr>
                <w:rFonts w:ascii="Calibri Light" w:hAnsi="Calibri Light"/>
                <w:b w:val="0"/>
              </w:rPr>
              <w:t xml:space="preserve"> Además, </w:t>
            </w:r>
            <w:r w:rsidR="001B68A4" w:rsidRPr="001B68A4">
              <w:rPr>
                <w:rFonts w:ascii="Calibri Light" w:hAnsi="Calibri Light"/>
                <w:b w:val="0"/>
              </w:rPr>
              <w:t>las</w:t>
            </w:r>
            <w:r w:rsidR="001B68A4">
              <w:rPr>
                <w:rFonts w:ascii="Calibri Light" w:hAnsi="Calibri Light"/>
                <w:b w:val="0"/>
              </w:rPr>
              <w:t xml:space="preserve"> </w:t>
            </w:r>
            <w:r w:rsidR="001B68A4" w:rsidRPr="001B68A4">
              <w:rPr>
                <w:rFonts w:ascii="Calibri Light" w:hAnsi="Calibri Light"/>
                <w:b w:val="0"/>
              </w:rPr>
              <w:t>referencias a las circunstancias en que se cometió el delito</w:t>
            </w:r>
            <w:r w:rsidR="00AF5672">
              <w:rPr>
                <w:rFonts w:ascii="Calibri Light" w:hAnsi="Calibri Light"/>
                <w:b w:val="0"/>
              </w:rPr>
              <w:t xml:space="preserve"> buscaban desprender </w:t>
            </w:r>
            <w:r>
              <w:rPr>
                <w:rFonts w:ascii="Calibri Light" w:hAnsi="Calibri Light"/>
                <w:b w:val="0"/>
              </w:rPr>
              <w:t xml:space="preserve">sus </w:t>
            </w:r>
            <w:r w:rsidR="001B68A4" w:rsidRPr="001B68A4">
              <w:rPr>
                <w:rFonts w:ascii="Calibri Light" w:hAnsi="Calibri Light"/>
                <w:b w:val="0"/>
              </w:rPr>
              <w:t>características personales y justificar así su</w:t>
            </w:r>
            <w:r w:rsidR="001B68A4">
              <w:rPr>
                <w:rFonts w:ascii="Calibri Light" w:hAnsi="Calibri Light"/>
                <w:b w:val="0"/>
              </w:rPr>
              <w:t xml:space="preserve"> </w:t>
            </w:r>
            <w:r w:rsidR="001B68A4" w:rsidRPr="001B68A4">
              <w:rPr>
                <w:rFonts w:ascii="Calibri Light" w:hAnsi="Calibri Light"/>
                <w:b w:val="0"/>
              </w:rPr>
              <w:t>peligrosidad.</w:t>
            </w:r>
            <w:r w:rsidR="0094730B" w:rsidDel="0094730B">
              <w:rPr>
                <w:rFonts w:ascii="Calibri Light" w:hAnsi="Calibri Light"/>
                <w:b w:val="0"/>
              </w:rPr>
              <w:t xml:space="preserve"> </w:t>
            </w:r>
            <w:r w:rsidR="00AF5672">
              <w:rPr>
                <w:rFonts w:ascii="Calibri Light" w:hAnsi="Calibri Light"/>
                <w:b w:val="0"/>
              </w:rPr>
              <w:t xml:space="preserve">Frente a ello, la CIDH concluyó que el Estado de Guatemala había violado los artículos 8.2 y </w:t>
            </w:r>
            <w:r w:rsidR="00A55898">
              <w:rPr>
                <w:rFonts w:ascii="Calibri Light" w:hAnsi="Calibri Light"/>
                <w:b w:val="0"/>
              </w:rPr>
              <w:t>9 d</w:t>
            </w:r>
            <w:r w:rsidR="00AF5672">
              <w:rPr>
                <w:rFonts w:ascii="Calibri Light" w:hAnsi="Calibri Light"/>
                <w:b w:val="0"/>
              </w:rPr>
              <w:t>e</w:t>
            </w:r>
            <w:r w:rsidR="00A55898">
              <w:rPr>
                <w:rFonts w:ascii="Calibri Light" w:hAnsi="Calibri Light"/>
                <w:b w:val="0"/>
              </w:rPr>
              <w:t xml:space="preserve"> </w:t>
            </w:r>
            <w:r w:rsidR="00AF5672">
              <w:rPr>
                <w:rFonts w:ascii="Calibri Light" w:hAnsi="Calibri Light"/>
                <w:b w:val="0"/>
              </w:rPr>
              <w:t>la CADH, en relaci</w:t>
            </w:r>
            <w:r w:rsidR="00A55898">
              <w:rPr>
                <w:rFonts w:ascii="Calibri Light" w:hAnsi="Calibri Light"/>
                <w:b w:val="0"/>
              </w:rPr>
              <w:t>ón con los artículo</w:t>
            </w:r>
            <w:r>
              <w:rPr>
                <w:rFonts w:ascii="Calibri Light" w:hAnsi="Calibri Light"/>
                <w:b w:val="0"/>
              </w:rPr>
              <w:t>s</w:t>
            </w:r>
            <w:r w:rsidR="00A55898">
              <w:rPr>
                <w:rFonts w:ascii="Calibri Light" w:hAnsi="Calibri Light"/>
                <w:b w:val="0"/>
              </w:rPr>
              <w:t xml:space="preserve"> 1.1 y 2, en perjuicio del señor Valenzuela.</w:t>
            </w:r>
          </w:p>
          <w:p w14:paraId="68FEBB88" w14:textId="77777777" w:rsidR="00EE1E1D" w:rsidRPr="00DF479D" w:rsidRDefault="00EE1E1D" w:rsidP="00D95C84">
            <w:pPr>
              <w:jc w:val="both"/>
              <w:rPr>
                <w:rFonts w:ascii="Calibri Light" w:hAnsi="Calibri Light"/>
                <w:b w:val="0"/>
              </w:rPr>
            </w:pPr>
          </w:p>
          <w:p w14:paraId="505CDD42" w14:textId="5C367808" w:rsidR="0094045D" w:rsidRDefault="0094045D" w:rsidP="0094045D">
            <w:pPr>
              <w:jc w:val="both"/>
              <w:rPr>
                <w:rFonts w:ascii="Calibri Light" w:hAnsi="Calibri Light"/>
                <w:i/>
              </w:rPr>
            </w:pPr>
            <w:r w:rsidRPr="0094045D">
              <w:rPr>
                <w:rFonts w:ascii="Calibri Light" w:hAnsi="Calibri Light"/>
                <w:i/>
              </w:rPr>
              <w:t xml:space="preserve">Sobre el derecho a recurrir el fallo </w:t>
            </w:r>
            <w:r w:rsidR="006C2030">
              <w:rPr>
                <w:rFonts w:ascii="Calibri Light" w:hAnsi="Calibri Light"/>
                <w:i/>
              </w:rPr>
              <w:t>condenatorio</w:t>
            </w:r>
          </w:p>
          <w:p w14:paraId="30A7AE7D" w14:textId="17D27168" w:rsidR="006C2030" w:rsidRDefault="006C2030" w:rsidP="0094045D">
            <w:pPr>
              <w:jc w:val="both"/>
              <w:rPr>
                <w:rFonts w:ascii="Calibri Light" w:hAnsi="Calibri Light"/>
                <w:b w:val="0"/>
              </w:rPr>
            </w:pPr>
          </w:p>
          <w:p w14:paraId="5FC9846A" w14:textId="4534E7CE" w:rsidR="001E7859" w:rsidRDefault="001E7859" w:rsidP="0080087E">
            <w:pPr>
              <w:jc w:val="both"/>
              <w:rPr>
                <w:rFonts w:ascii="Calibri Light" w:hAnsi="Calibri Light" w:cs="Calibri Light"/>
                <w:b w:val="0"/>
              </w:rPr>
            </w:pPr>
            <w:r>
              <w:rPr>
                <w:rFonts w:ascii="Calibri Light" w:hAnsi="Calibri Light" w:cs="Calibri Light"/>
                <w:b w:val="0"/>
              </w:rPr>
              <w:t>La CIDH ha indicado que un</w:t>
            </w:r>
            <w:r w:rsidRPr="00D13126">
              <w:rPr>
                <w:rFonts w:ascii="Calibri Light" w:hAnsi="Calibri Light" w:cs="Calibri Light"/>
                <w:b w:val="0"/>
              </w:rPr>
              <w:t xml:space="preserve"> aspecto fundamental del derecho de defensa es la posibilidad de recurrir el fallo</w:t>
            </w:r>
            <w:r>
              <w:rPr>
                <w:rFonts w:ascii="Calibri Light" w:hAnsi="Calibri Light" w:cs="Calibri Light"/>
                <w:b w:val="0"/>
              </w:rPr>
              <w:t xml:space="preserve"> </w:t>
            </w:r>
            <w:r w:rsidRPr="00D13126">
              <w:rPr>
                <w:rFonts w:ascii="Calibri Light" w:hAnsi="Calibri Light" w:cs="Calibri Light"/>
                <w:b w:val="0"/>
              </w:rPr>
              <w:t>condenatorio</w:t>
            </w:r>
            <w:r>
              <w:rPr>
                <w:rFonts w:ascii="Calibri Light" w:hAnsi="Calibri Light" w:cs="Calibri Light"/>
                <w:b w:val="0"/>
              </w:rPr>
              <w:t xml:space="preserve"> ante juez o tribunal superior. </w:t>
            </w:r>
            <w:r w:rsidRPr="00D13126">
              <w:rPr>
                <w:rFonts w:ascii="Calibri Light" w:hAnsi="Calibri Light" w:cs="Calibri Light"/>
                <w:b w:val="0"/>
              </w:rPr>
              <w:t>A fin</w:t>
            </w:r>
            <w:r>
              <w:rPr>
                <w:rFonts w:ascii="Calibri Light" w:hAnsi="Calibri Light" w:cs="Calibri Light"/>
                <w:b w:val="0"/>
              </w:rPr>
              <w:t xml:space="preserve"> </w:t>
            </w:r>
            <w:r w:rsidRPr="00D13126">
              <w:rPr>
                <w:rFonts w:ascii="Calibri Light" w:hAnsi="Calibri Light" w:cs="Calibri Light"/>
                <w:b w:val="0"/>
              </w:rPr>
              <w:t xml:space="preserve">de que el recurso previsto en la legislación interna cumpla con esta garantía, </w:t>
            </w:r>
            <w:r>
              <w:rPr>
                <w:rFonts w:ascii="Calibri Light" w:hAnsi="Calibri Light" w:cs="Calibri Light"/>
                <w:b w:val="0"/>
              </w:rPr>
              <w:t>este debe constituir</w:t>
            </w:r>
            <w:r w:rsidRPr="00D13126">
              <w:rPr>
                <w:rFonts w:ascii="Calibri Light" w:hAnsi="Calibri Light" w:cs="Calibri Light"/>
                <w:b w:val="0"/>
              </w:rPr>
              <w:t xml:space="preserve"> un medio adecuado para procurar la corrección de una condena errónea.</w:t>
            </w:r>
            <w:r>
              <w:rPr>
                <w:rFonts w:ascii="Calibri Light" w:hAnsi="Calibri Light" w:cs="Calibri Light"/>
                <w:b w:val="0"/>
              </w:rPr>
              <w:t xml:space="preserve"> </w:t>
            </w:r>
            <w:r w:rsidRPr="00D13126">
              <w:rPr>
                <w:rFonts w:ascii="Calibri Light" w:hAnsi="Calibri Light" w:cs="Calibri Light"/>
                <w:b w:val="0"/>
              </w:rPr>
              <w:t xml:space="preserve">Ello requiere que </w:t>
            </w:r>
            <w:r>
              <w:rPr>
                <w:rFonts w:ascii="Calibri Light" w:hAnsi="Calibri Light" w:cs="Calibri Light"/>
                <w:b w:val="0"/>
              </w:rPr>
              <w:t xml:space="preserve">se </w:t>
            </w:r>
            <w:r w:rsidRPr="00D13126">
              <w:rPr>
                <w:rFonts w:ascii="Calibri Light" w:hAnsi="Calibri Light" w:cs="Calibri Light"/>
                <w:b w:val="0"/>
              </w:rPr>
              <w:t>pueda analizar las cuestiones fácticas, probatorias y jurídicas en que se basa</w:t>
            </w:r>
            <w:r>
              <w:rPr>
                <w:rFonts w:ascii="Calibri Light" w:hAnsi="Calibri Light" w:cs="Calibri Light"/>
                <w:b w:val="0"/>
              </w:rPr>
              <w:t xml:space="preserve"> </w:t>
            </w:r>
            <w:r w:rsidRPr="00D13126">
              <w:rPr>
                <w:rFonts w:ascii="Calibri Light" w:hAnsi="Calibri Light" w:cs="Calibri Light"/>
                <w:b w:val="0"/>
              </w:rPr>
              <w:t>la sentencia impugnada.</w:t>
            </w:r>
            <w:r>
              <w:rPr>
                <w:rFonts w:ascii="Calibri Light" w:hAnsi="Calibri Light" w:cs="Calibri Light"/>
                <w:b w:val="0"/>
              </w:rPr>
              <w:t xml:space="preserve"> </w:t>
            </w:r>
            <w:r w:rsidR="004B650C">
              <w:rPr>
                <w:rFonts w:ascii="Calibri Light" w:hAnsi="Calibri Light" w:cs="Calibri Light"/>
                <w:b w:val="0"/>
              </w:rPr>
              <w:t xml:space="preserve">La </w:t>
            </w:r>
            <w:r>
              <w:rPr>
                <w:rFonts w:ascii="Calibri Light" w:hAnsi="Calibri Light" w:cs="Calibri Light"/>
                <w:b w:val="0"/>
              </w:rPr>
              <w:t>CIDH</w:t>
            </w:r>
            <w:r w:rsidR="004B650C">
              <w:rPr>
                <w:rFonts w:ascii="Calibri Light" w:hAnsi="Calibri Light" w:cs="Calibri Light"/>
                <w:b w:val="0"/>
              </w:rPr>
              <w:t xml:space="preserve"> también</w:t>
            </w:r>
            <w:r>
              <w:rPr>
                <w:rFonts w:ascii="Calibri Light" w:hAnsi="Calibri Light" w:cs="Calibri Light"/>
                <w:b w:val="0"/>
              </w:rPr>
              <w:t xml:space="preserve"> ha señalado que </w:t>
            </w:r>
            <w:r w:rsidRPr="00E00A30">
              <w:rPr>
                <w:rFonts w:ascii="Calibri Light" w:hAnsi="Calibri Light" w:cs="Calibri Light"/>
                <w:b w:val="0"/>
              </w:rPr>
              <w:t>el derecho a recurrir no implica necesariamente un</w:t>
            </w:r>
            <w:r>
              <w:rPr>
                <w:rFonts w:ascii="Calibri Light" w:hAnsi="Calibri Light" w:cs="Calibri Light"/>
                <w:b w:val="0"/>
              </w:rPr>
              <w:t xml:space="preserve"> nuevo juicio o </w:t>
            </w:r>
            <w:r w:rsidRPr="00E00A30">
              <w:rPr>
                <w:rFonts w:ascii="Calibri Light" w:hAnsi="Calibri Light" w:cs="Calibri Light"/>
                <w:b w:val="0"/>
              </w:rPr>
              <w:t>audiencia</w:t>
            </w:r>
            <w:r>
              <w:rPr>
                <w:rFonts w:ascii="Calibri Light" w:hAnsi="Calibri Light" w:cs="Calibri Light"/>
                <w:b w:val="0"/>
              </w:rPr>
              <w:t xml:space="preserve">, sino que se exige </w:t>
            </w:r>
            <w:r w:rsidRPr="00E00A30">
              <w:rPr>
                <w:rFonts w:ascii="Calibri Light" w:hAnsi="Calibri Light" w:cs="Calibri Light"/>
                <w:b w:val="0"/>
              </w:rPr>
              <w:t>la posibilidad de señalar y obtener respuesta sobre</w:t>
            </w:r>
            <w:r>
              <w:rPr>
                <w:rFonts w:ascii="Calibri Light" w:hAnsi="Calibri Light" w:cs="Calibri Light"/>
                <w:b w:val="0"/>
              </w:rPr>
              <w:t xml:space="preserve"> </w:t>
            </w:r>
            <w:r w:rsidRPr="00E00A30">
              <w:rPr>
                <w:rFonts w:ascii="Calibri Light" w:hAnsi="Calibri Light" w:cs="Calibri Light"/>
                <w:b w:val="0"/>
              </w:rPr>
              <w:t xml:space="preserve">errores que hubiera podido cometer el juez o tribunal, sin excluir </w:t>
            </w:r>
            <w:r w:rsidRPr="00A525F0">
              <w:rPr>
                <w:rFonts w:ascii="Calibri Light" w:hAnsi="Calibri Light" w:cs="Calibri Light"/>
                <w:b w:val="0"/>
                <w:i/>
              </w:rPr>
              <w:t>a priori</w:t>
            </w:r>
            <w:r w:rsidRPr="00E00A30">
              <w:rPr>
                <w:rFonts w:ascii="Calibri Light" w:hAnsi="Calibri Light" w:cs="Calibri Light"/>
                <w:b w:val="0"/>
              </w:rPr>
              <w:t xml:space="preserve"> ciertas categorías como los hechos</w:t>
            </w:r>
            <w:r w:rsidR="0094730B">
              <w:rPr>
                <w:rFonts w:ascii="Calibri Light" w:hAnsi="Calibri Light" w:cs="Calibri Light"/>
                <w:b w:val="0"/>
              </w:rPr>
              <w:t>,</w:t>
            </w:r>
            <w:r w:rsidRPr="00E00A30">
              <w:rPr>
                <w:rFonts w:ascii="Calibri Light" w:hAnsi="Calibri Light" w:cs="Calibri Light"/>
                <w:b w:val="0"/>
              </w:rPr>
              <w:t xml:space="preserve"> y</w:t>
            </w:r>
            <w:r>
              <w:rPr>
                <w:rFonts w:ascii="Calibri Light" w:hAnsi="Calibri Light" w:cs="Calibri Light"/>
                <w:b w:val="0"/>
              </w:rPr>
              <w:t xml:space="preserve"> </w:t>
            </w:r>
            <w:r w:rsidRPr="00E00A30">
              <w:rPr>
                <w:rFonts w:ascii="Calibri Light" w:hAnsi="Calibri Light" w:cs="Calibri Light"/>
                <w:b w:val="0"/>
              </w:rPr>
              <w:t>la valoración y recepción de la prueba</w:t>
            </w:r>
            <w:r>
              <w:rPr>
                <w:rFonts w:ascii="Calibri Light" w:hAnsi="Calibri Light" w:cs="Calibri Light"/>
                <w:b w:val="0"/>
              </w:rPr>
              <w:t>. El excluir la verificación de estas categorías no satisface entonces el derecho a recurrir el fallo.</w:t>
            </w:r>
          </w:p>
          <w:p w14:paraId="33C99AA6" w14:textId="77777777" w:rsidR="001E7859" w:rsidRDefault="001E7859" w:rsidP="001E7859">
            <w:pPr>
              <w:jc w:val="both"/>
              <w:rPr>
                <w:rFonts w:ascii="Calibri Light" w:hAnsi="Calibri Light" w:cs="Calibri Light"/>
                <w:b w:val="0"/>
              </w:rPr>
            </w:pPr>
          </w:p>
          <w:p w14:paraId="3F75348A" w14:textId="5BB75B8C" w:rsidR="00A55898" w:rsidRDefault="001E7859" w:rsidP="0094045D">
            <w:pPr>
              <w:jc w:val="both"/>
              <w:rPr>
                <w:rFonts w:ascii="Calibri Light" w:hAnsi="Calibri Light"/>
                <w:b w:val="0"/>
              </w:rPr>
            </w:pPr>
            <w:r>
              <w:rPr>
                <w:rFonts w:ascii="Calibri Light" w:hAnsi="Calibri Light" w:cs="Calibri Light"/>
                <w:b w:val="0"/>
              </w:rPr>
              <w:t xml:space="preserve">En </w:t>
            </w:r>
            <w:r w:rsidR="0080087E">
              <w:rPr>
                <w:rFonts w:ascii="Calibri Light" w:hAnsi="Calibri Light" w:cs="Calibri Light"/>
                <w:b w:val="0"/>
              </w:rPr>
              <w:t>este</w:t>
            </w:r>
            <w:r>
              <w:rPr>
                <w:rFonts w:ascii="Calibri Light" w:hAnsi="Calibri Light" w:cs="Calibri Light"/>
                <w:b w:val="0"/>
              </w:rPr>
              <w:t xml:space="preserve"> caso, la CIDH observó que l</w:t>
            </w:r>
            <w:r w:rsidRPr="001E7859">
              <w:rPr>
                <w:rFonts w:ascii="Calibri Light" w:hAnsi="Calibri Light" w:cs="Calibri Light"/>
                <w:b w:val="0"/>
              </w:rPr>
              <w:t>a manera en que decidió el tribunal de</w:t>
            </w:r>
            <w:r>
              <w:rPr>
                <w:rFonts w:ascii="Calibri Light" w:hAnsi="Calibri Light" w:cs="Calibri Light"/>
                <w:b w:val="0"/>
              </w:rPr>
              <w:t xml:space="preserve"> </w:t>
            </w:r>
            <w:r w:rsidRPr="001E7859">
              <w:rPr>
                <w:rFonts w:ascii="Calibri Light" w:hAnsi="Calibri Light" w:cs="Calibri Light"/>
                <w:b w:val="0"/>
              </w:rPr>
              <w:t xml:space="preserve">segunda instancia </w:t>
            </w:r>
            <w:r w:rsidR="0094730B">
              <w:rPr>
                <w:rFonts w:ascii="Calibri Light" w:hAnsi="Calibri Light" w:cs="Calibri Light"/>
                <w:b w:val="0"/>
              </w:rPr>
              <w:t>resultó</w:t>
            </w:r>
            <w:r w:rsidRPr="001E7859">
              <w:rPr>
                <w:rFonts w:ascii="Calibri Light" w:hAnsi="Calibri Light" w:cs="Calibri Light"/>
                <w:b w:val="0"/>
              </w:rPr>
              <w:t xml:space="preserve"> de la propia forma en que está regulado el recurso de apelación, </w:t>
            </w:r>
            <w:r w:rsidR="0094730B">
              <w:rPr>
                <w:rFonts w:ascii="Calibri Light" w:hAnsi="Calibri Light" w:cs="Calibri Light"/>
                <w:b w:val="0"/>
              </w:rPr>
              <w:t>limitándose</w:t>
            </w:r>
            <w:r w:rsidRPr="001E7859">
              <w:rPr>
                <w:rFonts w:ascii="Calibri Light" w:hAnsi="Calibri Light" w:cs="Calibri Light"/>
                <w:b w:val="0"/>
              </w:rPr>
              <w:t xml:space="preserve"> a errores de derecho o de procedimiento, </w:t>
            </w:r>
            <w:r w:rsidR="0094730B">
              <w:rPr>
                <w:rFonts w:ascii="Calibri Light" w:hAnsi="Calibri Light" w:cs="Calibri Light"/>
                <w:b w:val="0"/>
              </w:rPr>
              <w:t>y</w:t>
            </w:r>
            <w:r w:rsidR="0094730B" w:rsidRPr="001E7859">
              <w:rPr>
                <w:rFonts w:ascii="Calibri Light" w:hAnsi="Calibri Light" w:cs="Calibri Light"/>
                <w:b w:val="0"/>
              </w:rPr>
              <w:t xml:space="preserve"> </w:t>
            </w:r>
            <w:r w:rsidRPr="001E7859">
              <w:rPr>
                <w:rFonts w:ascii="Calibri Light" w:hAnsi="Calibri Light" w:cs="Calibri Light"/>
                <w:b w:val="0"/>
              </w:rPr>
              <w:t>excluyendo del análisis</w:t>
            </w:r>
            <w:r>
              <w:rPr>
                <w:rFonts w:ascii="Calibri Light" w:hAnsi="Calibri Light" w:cs="Calibri Light"/>
                <w:b w:val="0"/>
              </w:rPr>
              <w:t xml:space="preserve"> </w:t>
            </w:r>
            <w:r w:rsidRPr="001E7859">
              <w:rPr>
                <w:rFonts w:ascii="Calibri Light" w:hAnsi="Calibri Light" w:cs="Calibri Light"/>
                <w:b w:val="0"/>
              </w:rPr>
              <w:t>la revisión de los hechos y la valoración de la prueba.</w:t>
            </w:r>
            <w:r>
              <w:rPr>
                <w:rFonts w:ascii="Calibri Light" w:hAnsi="Calibri Light" w:cs="Calibri Light"/>
                <w:b w:val="0"/>
              </w:rPr>
              <w:t xml:space="preserve"> </w:t>
            </w:r>
            <w:r w:rsidR="007575B2">
              <w:rPr>
                <w:rFonts w:ascii="Calibri Light" w:hAnsi="Calibri Light" w:cs="Calibri Light"/>
                <w:b w:val="0"/>
              </w:rPr>
              <w:t>En consecuencia</w:t>
            </w:r>
            <w:r>
              <w:rPr>
                <w:rFonts w:ascii="Calibri Light" w:hAnsi="Calibri Light" w:cs="Calibri Light"/>
                <w:b w:val="0"/>
              </w:rPr>
              <w:t>, tampoco contó con un recurso efectivo, ni en apelación ni en casación, para impugnar la condena a muerte</w:t>
            </w:r>
            <w:r w:rsidR="00A525F0">
              <w:rPr>
                <w:rFonts w:ascii="Calibri Light" w:hAnsi="Calibri Light" w:cs="Calibri Light"/>
                <w:b w:val="0"/>
              </w:rPr>
              <w:t xml:space="preserve"> </w:t>
            </w:r>
            <w:r w:rsidR="007839D3">
              <w:rPr>
                <w:rFonts w:ascii="Calibri Light" w:hAnsi="Calibri Light" w:cs="Calibri Light"/>
                <w:b w:val="0"/>
              </w:rPr>
              <w:t>instrumento.</w:t>
            </w:r>
            <w:r w:rsidR="007839D3">
              <w:rPr>
                <w:rStyle w:val="CommentReference"/>
                <w:b w:val="0"/>
                <w:bCs w:val="0"/>
              </w:rPr>
              <w:t xml:space="preserve"> </w:t>
            </w:r>
            <w:r w:rsidR="007839D3">
              <w:rPr>
                <w:rFonts w:ascii="Calibri Light" w:hAnsi="Calibri Light" w:cs="Calibri Light"/>
                <w:b w:val="0"/>
              </w:rPr>
              <w:t>Por</w:t>
            </w:r>
            <w:r>
              <w:rPr>
                <w:rFonts w:ascii="Calibri Light" w:hAnsi="Calibri Light" w:cs="Calibri Light"/>
                <w:b w:val="0"/>
              </w:rPr>
              <w:t xml:space="preserve"> ello, la CIDH estableció que el Estado de Guatemala había violado los artículos 8.2.h) y 25.1 de la CADH, en relación con los artículos 1.1 y 2, en perjuicio del señor Valenzuela.</w:t>
            </w:r>
          </w:p>
          <w:p w14:paraId="0E6D6BC0" w14:textId="77777777" w:rsidR="00A55898" w:rsidRPr="00A55898" w:rsidRDefault="00A55898" w:rsidP="0094045D">
            <w:pPr>
              <w:jc w:val="both"/>
              <w:rPr>
                <w:rFonts w:ascii="Calibri Light" w:hAnsi="Calibri Light"/>
                <w:b w:val="0"/>
              </w:rPr>
            </w:pPr>
          </w:p>
          <w:p w14:paraId="7F5565EA" w14:textId="396C3861" w:rsidR="006C2030" w:rsidRPr="001E7859" w:rsidRDefault="006C2030" w:rsidP="0094045D">
            <w:pPr>
              <w:jc w:val="both"/>
              <w:rPr>
                <w:rFonts w:ascii="Calibri Light" w:hAnsi="Calibri Light"/>
                <w:i/>
              </w:rPr>
            </w:pPr>
            <w:r>
              <w:rPr>
                <w:rFonts w:ascii="Calibri Light" w:hAnsi="Calibri Light"/>
                <w:i/>
              </w:rPr>
              <w:t xml:space="preserve">Sobre la </w:t>
            </w:r>
            <w:r w:rsidRPr="001E7859">
              <w:rPr>
                <w:rFonts w:ascii="Calibri Light" w:hAnsi="Calibri Light"/>
                <w:i/>
              </w:rPr>
              <w:t>inconvencionalidad de la imposición de la pena de muerte</w:t>
            </w:r>
          </w:p>
          <w:p w14:paraId="39C58C0F" w14:textId="3BD4BA3C" w:rsidR="00D95C84" w:rsidRPr="001E7859" w:rsidRDefault="00D95C84" w:rsidP="00D95C84">
            <w:pPr>
              <w:jc w:val="both"/>
              <w:rPr>
                <w:rFonts w:ascii="Calibri Light" w:hAnsi="Calibri Light" w:cs="Calibri Light"/>
                <w:b w:val="0"/>
              </w:rPr>
            </w:pPr>
          </w:p>
          <w:p w14:paraId="76D9F005" w14:textId="7C8AE2F9" w:rsidR="000D7CFC" w:rsidRDefault="000D7CFC" w:rsidP="000D7CFC">
            <w:pPr>
              <w:jc w:val="both"/>
              <w:rPr>
                <w:rFonts w:ascii="Calibri Light" w:hAnsi="Calibri Light"/>
                <w:b w:val="0"/>
              </w:rPr>
            </w:pPr>
            <w:r w:rsidRPr="000D7CFC">
              <w:rPr>
                <w:rFonts w:ascii="Calibri Light" w:hAnsi="Calibri Light"/>
                <w:b w:val="0"/>
              </w:rPr>
              <w:t xml:space="preserve">La CIDH </w:t>
            </w:r>
            <w:r w:rsidR="00A525F0">
              <w:rPr>
                <w:rFonts w:ascii="Calibri Light" w:hAnsi="Calibri Light"/>
                <w:b w:val="0"/>
              </w:rPr>
              <w:t>recordó que</w:t>
            </w:r>
            <w:r w:rsidRPr="000D7CFC">
              <w:rPr>
                <w:rFonts w:ascii="Calibri Light" w:hAnsi="Calibri Light"/>
                <w:b w:val="0"/>
              </w:rPr>
              <w:t xml:space="preserve"> la imposición de la pena de muerte en el marco de procesos que vulneren </w:t>
            </w:r>
            <w:r w:rsidRPr="000D7CFC">
              <w:rPr>
                <w:rFonts w:ascii="Calibri Light" w:hAnsi="Calibri Light"/>
                <w:b w:val="0"/>
              </w:rPr>
              <w:lastRenderedPageBreak/>
              <w:t xml:space="preserve">el debido proceso produce una violación del artículo 4.2 de la CADH. Respecto al caso, estableció que en el proceso que culminó con la imposición de la pena de muerte </w:t>
            </w:r>
            <w:r>
              <w:rPr>
                <w:rFonts w:ascii="Calibri Light" w:hAnsi="Calibri Light"/>
                <w:b w:val="0"/>
              </w:rPr>
              <w:t>al señor Valenzuela se había aplicado una norma incompatible al principio de legalidad al considerar su peligrosidad futura y se había violado el derecho de recurrir el fallo.</w:t>
            </w:r>
            <w:r w:rsidR="0094730B" w:rsidDel="0094730B">
              <w:rPr>
                <w:rFonts w:ascii="Calibri Light" w:hAnsi="Calibri Light"/>
                <w:b w:val="0"/>
              </w:rPr>
              <w:t xml:space="preserve"> </w:t>
            </w:r>
            <w:r>
              <w:rPr>
                <w:rFonts w:ascii="Calibri Light" w:hAnsi="Calibri Light"/>
                <w:b w:val="0"/>
              </w:rPr>
              <w:t xml:space="preserve">En virtud de ello, concluyó que </w:t>
            </w:r>
            <w:r>
              <w:rPr>
                <w:rFonts w:ascii="Calibri Light" w:hAnsi="Calibri Light" w:cs="Calibri Light"/>
                <w:b w:val="0"/>
              </w:rPr>
              <w:t>el Estado de Guatemala había violado los artículos 4.1 y 4.2 de la CADH, en relación con los artículos 1.1 y 2, en perjuicio del señor Valenzuela.</w:t>
            </w:r>
          </w:p>
          <w:p w14:paraId="000DAE5C" w14:textId="77777777" w:rsidR="000D7CFC" w:rsidRPr="001E7859" w:rsidRDefault="000D7CFC" w:rsidP="00D95C84">
            <w:pPr>
              <w:jc w:val="both"/>
              <w:rPr>
                <w:rFonts w:ascii="Calibri Light" w:hAnsi="Calibri Light"/>
                <w:b w:val="0"/>
              </w:rPr>
            </w:pPr>
          </w:p>
          <w:p w14:paraId="0B44150C" w14:textId="1A1EC508" w:rsidR="00D95C84" w:rsidRPr="001E7859" w:rsidRDefault="006C2030" w:rsidP="00D95C84">
            <w:pPr>
              <w:jc w:val="both"/>
              <w:rPr>
                <w:rFonts w:ascii="Calibri Light" w:hAnsi="Calibri Light"/>
              </w:rPr>
            </w:pPr>
            <w:r w:rsidRPr="001E7859">
              <w:rPr>
                <w:rFonts w:ascii="Calibri Light" w:hAnsi="Calibri Light"/>
              </w:rPr>
              <w:t xml:space="preserve">Derecho a la integridad personal con respecto al fenómeno del “corredor de la muerte” </w:t>
            </w:r>
            <w:r w:rsidR="00D95C84" w:rsidRPr="001E7859">
              <w:rPr>
                <w:rFonts w:ascii="Calibri Light" w:hAnsi="Calibri Light"/>
              </w:rPr>
              <w:t xml:space="preserve">(artículos </w:t>
            </w:r>
            <w:r w:rsidR="00163A69" w:rsidRPr="001E7859">
              <w:rPr>
                <w:rFonts w:ascii="Calibri Light" w:hAnsi="Calibri Light"/>
              </w:rPr>
              <w:t xml:space="preserve">1 y </w:t>
            </w:r>
            <w:r w:rsidR="00D95C84" w:rsidRPr="001E7859">
              <w:rPr>
                <w:rFonts w:ascii="Calibri Light" w:hAnsi="Calibri Light"/>
              </w:rPr>
              <w:t>5 de la CADH)</w:t>
            </w:r>
          </w:p>
          <w:p w14:paraId="4DE833DE" w14:textId="0D54C093" w:rsidR="00D95C84" w:rsidRPr="001E7859" w:rsidRDefault="00D95C84" w:rsidP="00D95C84">
            <w:pPr>
              <w:jc w:val="both"/>
              <w:rPr>
                <w:rFonts w:ascii="Calibri Light" w:hAnsi="Calibri Light"/>
                <w:b w:val="0"/>
              </w:rPr>
            </w:pPr>
          </w:p>
          <w:p w14:paraId="16DF2397" w14:textId="302C3601" w:rsidR="000D7CFC" w:rsidRDefault="000D7CFC" w:rsidP="000D7CFC">
            <w:pPr>
              <w:jc w:val="both"/>
              <w:rPr>
                <w:rFonts w:ascii="Calibri Light" w:hAnsi="Calibri Light"/>
                <w:b w:val="0"/>
              </w:rPr>
            </w:pPr>
            <w:r>
              <w:rPr>
                <w:rFonts w:ascii="Calibri Light" w:hAnsi="Calibri Light"/>
                <w:b w:val="0"/>
              </w:rPr>
              <w:t xml:space="preserve">La CIDH ha reiterado que, en casos de personas condenadas a pena de muerte, </w:t>
            </w:r>
            <w:r w:rsidRPr="00B22535">
              <w:rPr>
                <w:rFonts w:ascii="Calibri Light" w:hAnsi="Calibri Light"/>
                <w:b w:val="0"/>
              </w:rPr>
              <w:t>se ha venido desarrollando por décadas el análisis del</w:t>
            </w:r>
            <w:r>
              <w:rPr>
                <w:rFonts w:ascii="Calibri Light" w:hAnsi="Calibri Light"/>
                <w:b w:val="0"/>
              </w:rPr>
              <w:t xml:space="preserve"> </w:t>
            </w:r>
            <w:r w:rsidRPr="00B22535">
              <w:rPr>
                <w:rFonts w:ascii="Calibri Light" w:hAnsi="Calibri Light"/>
                <w:b w:val="0"/>
              </w:rPr>
              <w:t>fenómeno del “corredor de la muerte” a la luz de la prohibición de tratos crueles, inhumanos o degradantes,</w:t>
            </w:r>
            <w:r>
              <w:rPr>
                <w:rFonts w:ascii="Calibri Light" w:hAnsi="Calibri Light"/>
                <w:b w:val="0"/>
              </w:rPr>
              <w:t xml:space="preserve"> </w:t>
            </w:r>
            <w:r w:rsidRPr="00B22535">
              <w:rPr>
                <w:rFonts w:ascii="Calibri Light" w:hAnsi="Calibri Light"/>
                <w:b w:val="0"/>
              </w:rPr>
              <w:t xml:space="preserve">contemplada a nivel constitucional </w:t>
            </w:r>
            <w:r>
              <w:rPr>
                <w:rFonts w:ascii="Calibri Light" w:hAnsi="Calibri Light"/>
                <w:b w:val="0"/>
              </w:rPr>
              <w:t>y</w:t>
            </w:r>
            <w:r w:rsidRPr="00B22535">
              <w:rPr>
                <w:rFonts w:ascii="Calibri Light" w:hAnsi="Calibri Light"/>
                <w:b w:val="0"/>
              </w:rPr>
              <w:t xml:space="preserve"> en múltiples instrumentos internacionales</w:t>
            </w:r>
            <w:r>
              <w:rPr>
                <w:rFonts w:ascii="Calibri Light" w:hAnsi="Calibri Light"/>
                <w:b w:val="0"/>
              </w:rPr>
              <w:t xml:space="preserve">. El </w:t>
            </w:r>
            <w:r w:rsidRPr="00B22535">
              <w:rPr>
                <w:rFonts w:ascii="Calibri Light" w:hAnsi="Calibri Light"/>
                <w:b w:val="0"/>
              </w:rPr>
              <w:t>Relator Especial de Naciones Unidas sobre la</w:t>
            </w:r>
            <w:r>
              <w:rPr>
                <w:rFonts w:ascii="Calibri Light" w:hAnsi="Calibri Light"/>
                <w:b w:val="0"/>
              </w:rPr>
              <w:t xml:space="preserve"> </w:t>
            </w:r>
            <w:r w:rsidRPr="00B22535">
              <w:rPr>
                <w:rFonts w:ascii="Calibri Light" w:hAnsi="Calibri Light"/>
                <w:b w:val="0"/>
              </w:rPr>
              <w:t>tortura y otros tratos o penas crueles, inhumanos o degradantes</w:t>
            </w:r>
            <w:r>
              <w:rPr>
                <w:rFonts w:ascii="Calibri Light" w:hAnsi="Calibri Light"/>
                <w:b w:val="0"/>
              </w:rPr>
              <w:t xml:space="preserve"> y el Tribunal</w:t>
            </w:r>
            <w:r w:rsidRPr="00B22535">
              <w:rPr>
                <w:rFonts w:ascii="Calibri Light" w:hAnsi="Calibri Light"/>
                <w:b w:val="0"/>
              </w:rPr>
              <w:t xml:space="preserve"> Europe</w:t>
            </w:r>
            <w:r>
              <w:rPr>
                <w:rFonts w:ascii="Calibri Light" w:hAnsi="Calibri Light"/>
                <w:b w:val="0"/>
              </w:rPr>
              <w:t>o</w:t>
            </w:r>
            <w:r w:rsidRPr="00B22535">
              <w:rPr>
                <w:rFonts w:ascii="Calibri Light" w:hAnsi="Calibri Light"/>
                <w:b w:val="0"/>
              </w:rPr>
              <w:t xml:space="preserve"> de Derechos Humanos</w:t>
            </w:r>
            <w:r>
              <w:rPr>
                <w:rFonts w:ascii="Calibri Light" w:hAnsi="Calibri Light"/>
                <w:b w:val="0"/>
              </w:rPr>
              <w:t xml:space="preserve"> han definido al “corredor de la muerte” como una</w:t>
            </w:r>
            <w:r w:rsidRPr="00B22535">
              <w:rPr>
                <w:rFonts w:ascii="Calibri Light" w:hAnsi="Calibri Light"/>
                <w:b w:val="0"/>
              </w:rPr>
              <w:t xml:space="preserve"> combinació</w:t>
            </w:r>
            <w:r>
              <w:rPr>
                <w:rFonts w:ascii="Calibri Light" w:hAnsi="Calibri Light"/>
                <w:b w:val="0"/>
              </w:rPr>
              <w:t>n de circunstancias que produce un intenso sufrimiento psicológico</w:t>
            </w:r>
            <w:r w:rsidRPr="00B22535">
              <w:rPr>
                <w:rFonts w:ascii="Calibri Light" w:hAnsi="Calibri Light"/>
                <w:b w:val="0"/>
              </w:rPr>
              <w:t xml:space="preserve"> y</w:t>
            </w:r>
            <w:r>
              <w:rPr>
                <w:rFonts w:ascii="Calibri Light" w:hAnsi="Calibri Light"/>
                <w:b w:val="0"/>
              </w:rPr>
              <w:t xml:space="preserve"> </w:t>
            </w:r>
            <w:r w:rsidRPr="00B22535">
              <w:rPr>
                <w:rFonts w:ascii="Calibri Light" w:hAnsi="Calibri Light"/>
                <w:b w:val="0"/>
              </w:rPr>
              <w:t xml:space="preserve">deterioro físico en </w:t>
            </w:r>
            <w:r>
              <w:rPr>
                <w:rFonts w:ascii="Calibri Light" w:hAnsi="Calibri Light"/>
                <w:b w:val="0"/>
              </w:rPr>
              <w:t>las personas</w:t>
            </w:r>
            <w:r w:rsidRPr="00B22535">
              <w:rPr>
                <w:rFonts w:ascii="Calibri Light" w:hAnsi="Calibri Light"/>
                <w:b w:val="0"/>
              </w:rPr>
              <w:t xml:space="preserve"> sentenciad</w:t>
            </w:r>
            <w:r>
              <w:rPr>
                <w:rFonts w:ascii="Calibri Light" w:hAnsi="Calibri Light"/>
                <w:b w:val="0"/>
              </w:rPr>
              <w:t>a</w:t>
            </w:r>
            <w:r w:rsidRPr="00B22535">
              <w:rPr>
                <w:rFonts w:ascii="Calibri Light" w:hAnsi="Calibri Light"/>
                <w:b w:val="0"/>
              </w:rPr>
              <w:t>s a muerte</w:t>
            </w:r>
            <w:r w:rsidR="002673A1">
              <w:rPr>
                <w:rFonts w:ascii="Calibri Light" w:hAnsi="Calibri Light"/>
                <w:b w:val="0"/>
              </w:rPr>
              <w:t>, mientras esperan su ejecución</w:t>
            </w:r>
            <w:r>
              <w:rPr>
                <w:rFonts w:ascii="Calibri Light" w:hAnsi="Calibri Light"/>
                <w:b w:val="0"/>
              </w:rPr>
              <w:t>. Además, la Corte Suprema de Uganda ha señalado que ejecutar a una persona tras una demora de tres años en condiciones inaceptables constituiría un castigo cruel e inhumano.</w:t>
            </w:r>
          </w:p>
          <w:p w14:paraId="19541B71" w14:textId="77777777" w:rsidR="000D7CFC" w:rsidRDefault="000D7CFC" w:rsidP="000D7CFC">
            <w:pPr>
              <w:jc w:val="both"/>
              <w:rPr>
                <w:rFonts w:ascii="Calibri Light" w:hAnsi="Calibri Light"/>
                <w:b w:val="0"/>
              </w:rPr>
            </w:pPr>
          </w:p>
          <w:p w14:paraId="01AE65B5" w14:textId="4A944B8D" w:rsidR="00AB1503" w:rsidRDefault="000D7CFC" w:rsidP="00AB1503">
            <w:pPr>
              <w:jc w:val="both"/>
              <w:rPr>
                <w:rFonts w:ascii="Calibri Light" w:hAnsi="Calibri Light"/>
                <w:b w:val="0"/>
              </w:rPr>
            </w:pPr>
            <w:r w:rsidRPr="00B22535">
              <w:rPr>
                <w:rFonts w:ascii="Calibri Light" w:hAnsi="Calibri Light"/>
                <w:b w:val="0"/>
              </w:rPr>
              <w:t xml:space="preserve">En </w:t>
            </w:r>
            <w:r w:rsidR="0094730B">
              <w:rPr>
                <w:rFonts w:ascii="Calibri Light" w:hAnsi="Calibri Light"/>
                <w:b w:val="0"/>
              </w:rPr>
              <w:t>este</w:t>
            </w:r>
            <w:r w:rsidRPr="00B22535">
              <w:rPr>
                <w:rFonts w:ascii="Calibri Light" w:hAnsi="Calibri Light"/>
                <w:b w:val="0"/>
              </w:rPr>
              <w:t xml:space="preserve"> caso, </w:t>
            </w:r>
            <w:r>
              <w:rPr>
                <w:rFonts w:ascii="Calibri Light" w:hAnsi="Calibri Light"/>
                <w:b w:val="0"/>
              </w:rPr>
              <w:t xml:space="preserve">el señor Valenzuela fue condenado a la pena de muerte el 21 de octubre de 1999. Posteriormente, el 22 de octubre de 2005, fugó de prisión y su cuerpo fue encontrado el 8 de diciembre de 2006. De este modo, el señor Valenzuela estuvo a la espera de su ejecución </w:t>
            </w:r>
            <w:r w:rsidR="00A525F0">
              <w:rPr>
                <w:rFonts w:ascii="Calibri Light" w:hAnsi="Calibri Light"/>
                <w:b w:val="0"/>
              </w:rPr>
              <w:t>durante</w:t>
            </w:r>
            <w:r>
              <w:rPr>
                <w:rFonts w:ascii="Calibri Light" w:hAnsi="Calibri Light"/>
                <w:b w:val="0"/>
              </w:rPr>
              <w:t xml:space="preserve"> un total de seis años. La CIDH consideró que </w:t>
            </w:r>
            <w:r w:rsidR="00AB1503">
              <w:rPr>
                <w:rFonts w:ascii="Calibri Light" w:hAnsi="Calibri Light"/>
                <w:b w:val="0"/>
              </w:rPr>
              <w:t xml:space="preserve">esta expectativa prolongada de la pena impuesta </w:t>
            </w:r>
            <w:r w:rsidR="00AB1503" w:rsidRPr="00AB1503">
              <w:rPr>
                <w:rFonts w:ascii="Calibri Light" w:hAnsi="Calibri Light"/>
                <w:b w:val="0"/>
              </w:rPr>
              <w:t>—</w:t>
            </w:r>
            <w:r w:rsidR="00AB1503">
              <w:rPr>
                <w:rFonts w:ascii="Calibri Light" w:hAnsi="Calibri Light"/>
                <w:b w:val="0"/>
              </w:rPr>
              <w:t>luego de un proceso en el que se vulneraron garantías del debido proceso</w:t>
            </w:r>
            <w:r w:rsidR="00AB1503" w:rsidRPr="00AB1503">
              <w:rPr>
                <w:rFonts w:ascii="Calibri Light" w:hAnsi="Calibri Light"/>
                <w:b w:val="0"/>
              </w:rPr>
              <w:t>—</w:t>
            </w:r>
            <w:r>
              <w:rPr>
                <w:rFonts w:ascii="Calibri Light" w:hAnsi="Calibri Light"/>
                <w:b w:val="0"/>
              </w:rPr>
              <w:t xml:space="preserve"> </w:t>
            </w:r>
            <w:r w:rsidR="00AB1503">
              <w:rPr>
                <w:rFonts w:ascii="Calibri Light" w:hAnsi="Calibri Light"/>
                <w:b w:val="0"/>
              </w:rPr>
              <w:t>alcanzaba la gravedad suficiente para considerarla un trato cruel, inhumano y degradante.</w:t>
            </w:r>
            <w:r w:rsidR="0082128D" w:rsidDel="0082128D">
              <w:rPr>
                <w:rFonts w:ascii="Calibri Light" w:hAnsi="Calibri Light"/>
                <w:b w:val="0"/>
              </w:rPr>
              <w:t xml:space="preserve"> </w:t>
            </w:r>
            <w:r w:rsidR="00AB1503">
              <w:rPr>
                <w:rFonts w:ascii="Calibri Light" w:hAnsi="Calibri Light"/>
                <w:b w:val="0"/>
              </w:rPr>
              <w:t xml:space="preserve">Frente a ello, la CIDH estableció que </w:t>
            </w:r>
            <w:r w:rsidR="00AB1503">
              <w:rPr>
                <w:rFonts w:ascii="Calibri Light" w:hAnsi="Calibri Light" w:cs="Calibri Light"/>
                <w:b w:val="0"/>
              </w:rPr>
              <w:t>el Estado de Guatemala había violado los artículos 5.1 y 5.2 de la CADH, en relación con el artículo 1.1, en perjuicio del señor Valenzuela.</w:t>
            </w:r>
            <w:r w:rsidR="00A50D3C">
              <w:rPr>
                <w:rFonts w:ascii="Calibri Light" w:hAnsi="Calibri Light" w:cs="Calibri Light"/>
                <w:b w:val="0"/>
              </w:rPr>
              <w:t xml:space="preserve"> </w:t>
            </w:r>
          </w:p>
          <w:p w14:paraId="13E02826" w14:textId="3F5D9FA5" w:rsidR="00D95C84" w:rsidRDefault="00D95C84" w:rsidP="00D95C84">
            <w:pPr>
              <w:jc w:val="both"/>
              <w:rPr>
                <w:rFonts w:ascii="Calibri Light" w:hAnsi="Calibri Light"/>
                <w:b w:val="0"/>
              </w:rPr>
            </w:pPr>
          </w:p>
          <w:p w14:paraId="05C242EE" w14:textId="7CF19523" w:rsidR="00D95C84" w:rsidRDefault="006C2030" w:rsidP="006C2030">
            <w:pPr>
              <w:jc w:val="both"/>
              <w:rPr>
                <w:rFonts w:ascii="Calibri Light" w:hAnsi="Calibri Light"/>
                <w:b w:val="0"/>
              </w:rPr>
            </w:pPr>
            <w:r w:rsidRPr="006C2030">
              <w:rPr>
                <w:rFonts w:ascii="Calibri Light" w:hAnsi="Calibri Light"/>
              </w:rPr>
              <w:t>Derechos a la integridad personal, dignidad, vida privada y autonomía, garantías</w:t>
            </w:r>
            <w:r>
              <w:rPr>
                <w:rFonts w:ascii="Calibri Light" w:hAnsi="Calibri Light"/>
              </w:rPr>
              <w:t xml:space="preserve"> </w:t>
            </w:r>
            <w:r w:rsidRPr="006C2030">
              <w:rPr>
                <w:rFonts w:ascii="Calibri Light" w:hAnsi="Calibri Light"/>
              </w:rPr>
              <w:t>judiciales y protección judicial y disposiciones relevantes de la CIPST respecto de</w:t>
            </w:r>
            <w:r>
              <w:rPr>
                <w:rFonts w:ascii="Calibri Light" w:hAnsi="Calibri Light"/>
              </w:rPr>
              <w:t xml:space="preserve"> </w:t>
            </w:r>
            <w:r w:rsidRPr="006C2030">
              <w:rPr>
                <w:rFonts w:ascii="Calibri Light" w:hAnsi="Calibri Light"/>
              </w:rPr>
              <w:t>las alegadas tortura</w:t>
            </w:r>
            <w:r>
              <w:rPr>
                <w:rFonts w:ascii="Calibri Light" w:hAnsi="Calibri Light"/>
              </w:rPr>
              <w:t>s</w:t>
            </w:r>
            <w:r w:rsidRPr="006C2030">
              <w:rPr>
                <w:rFonts w:ascii="Calibri Light" w:hAnsi="Calibri Light"/>
              </w:rPr>
              <w:t xml:space="preserve"> </w:t>
            </w:r>
            <w:r w:rsidR="00D95C84" w:rsidRPr="006C2030">
              <w:rPr>
                <w:rFonts w:ascii="Calibri Light" w:hAnsi="Calibri Light"/>
              </w:rPr>
              <w:t xml:space="preserve">(artículos </w:t>
            </w:r>
            <w:r w:rsidR="00163A69" w:rsidRPr="006C2030">
              <w:rPr>
                <w:rFonts w:ascii="Calibri Light" w:hAnsi="Calibri Light"/>
              </w:rPr>
              <w:t xml:space="preserve">1, </w:t>
            </w:r>
            <w:r w:rsidRPr="006C2030">
              <w:rPr>
                <w:rFonts w:ascii="Calibri Light" w:hAnsi="Calibri Light"/>
              </w:rPr>
              <w:t>5</w:t>
            </w:r>
            <w:r>
              <w:rPr>
                <w:rFonts w:ascii="Calibri Light" w:hAnsi="Calibri Light"/>
              </w:rPr>
              <w:t>, 8,</w:t>
            </w:r>
            <w:r w:rsidR="00163A69" w:rsidRPr="006C2030">
              <w:rPr>
                <w:rFonts w:ascii="Calibri Light" w:hAnsi="Calibri Light"/>
              </w:rPr>
              <w:t xml:space="preserve"> </w:t>
            </w:r>
            <w:r w:rsidRPr="006C2030">
              <w:rPr>
                <w:rFonts w:ascii="Calibri Light" w:hAnsi="Calibri Light"/>
              </w:rPr>
              <w:t>11</w:t>
            </w:r>
            <w:r>
              <w:rPr>
                <w:rFonts w:ascii="Calibri Light" w:hAnsi="Calibri Light"/>
              </w:rPr>
              <w:t xml:space="preserve"> y 25</w:t>
            </w:r>
            <w:r w:rsidR="00D95C84" w:rsidRPr="006C2030">
              <w:rPr>
                <w:rFonts w:ascii="Calibri Light" w:hAnsi="Calibri Light"/>
              </w:rPr>
              <w:t xml:space="preserve"> de la CADH</w:t>
            </w:r>
            <w:r>
              <w:rPr>
                <w:rFonts w:ascii="Calibri Light" w:hAnsi="Calibri Light"/>
              </w:rPr>
              <w:t>, y artículos 1, 6, 8 y 10 de la CIPST</w:t>
            </w:r>
            <w:r w:rsidR="00D95C84" w:rsidRPr="006C2030">
              <w:rPr>
                <w:rFonts w:ascii="Calibri Light" w:hAnsi="Calibri Light"/>
              </w:rPr>
              <w:t>)</w:t>
            </w:r>
          </w:p>
          <w:p w14:paraId="49CAECC0" w14:textId="3B326646" w:rsidR="00D95C84" w:rsidRDefault="00D95C84" w:rsidP="00D95C84">
            <w:pPr>
              <w:jc w:val="both"/>
              <w:rPr>
                <w:rFonts w:ascii="Calibri Light" w:hAnsi="Calibri Light"/>
                <w:b w:val="0"/>
              </w:rPr>
            </w:pPr>
          </w:p>
          <w:p w14:paraId="11CC3C9E" w14:textId="4B948E85" w:rsidR="006C2030" w:rsidRDefault="006C2030" w:rsidP="006C2030">
            <w:pPr>
              <w:jc w:val="both"/>
              <w:rPr>
                <w:rFonts w:ascii="Calibri Light" w:hAnsi="Calibri Light"/>
                <w:i/>
              </w:rPr>
            </w:pPr>
            <w:r>
              <w:rPr>
                <w:rFonts w:ascii="Calibri Light" w:hAnsi="Calibri Light"/>
                <w:i/>
              </w:rPr>
              <w:t>Sobre la calificación jurídica como tortura</w:t>
            </w:r>
          </w:p>
          <w:p w14:paraId="22907684" w14:textId="5C57D8A6" w:rsidR="006C2030" w:rsidRDefault="006C2030" w:rsidP="006C2030">
            <w:pPr>
              <w:jc w:val="both"/>
              <w:rPr>
                <w:rFonts w:ascii="Calibri Light" w:hAnsi="Calibri Light"/>
                <w:b w:val="0"/>
              </w:rPr>
            </w:pPr>
          </w:p>
          <w:p w14:paraId="28693438" w14:textId="4FAB2EA4" w:rsidR="002254C8" w:rsidRDefault="001231B8" w:rsidP="00E03714">
            <w:pPr>
              <w:jc w:val="both"/>
              <w:rPr>
                <w:rFonts w:ascii="Calibri Light" w:hAnsi="Calibri Light"/>
                <w:b w:val="0"/>
              </w:rPr>
            </w:pPr>
            <w:r>
              <w:rPr>
                <w:rFonts w:ascii="Calibri Light" w:hAnsi="Calibri Light"/>
                <w:b w:val="0"/>
              </w:rPr>
              <w:t>P</w:t>
            </w:r>
            <w:r w:rsidR="002254C8" w:rsidRPr="00F45EBB">
              <w:rPr>
                <w:rFonts w:ascii="Calibri Light" w:hAnsi="Calibri Light"/>
                <w:b w:val="0"/>
              </w:rPr>
              <w:t>ara que una conducta sea calificada</w:t>
            </w:r>
            <w:r w:rsidR="002254C8">
              <w:rPr>
                <w:rFonts w:ascii="Calibri Light" w:hAnsi="Calibri Light"/>
                <w:b w:val="0"/>
              </w:rPr>
              <w:t xml:space="preserve"> </w:t>
            </w:r>
            <w:r w:rsidR="002254C8" w:rsidRPr="00F45EBB">
              <w:rPr>
                <w:rFonts w:ascii="Calibri Light" w:hAnsi="Calibri Light"/>
                <w:b w:val="0"/>
              </w:rPr>
              <w:t>como tortura deben concurrir los siguientes elementos: i) que sea un acto intencional cometido por un agente</w:t>
            </w:r>
            <w:r w:rsidR="002254C8">
              <w:rPr>
                <w:rFonts w:ascii="Calibri Light" w:hAnsi="Calibri Light"/>
                <w:b w:val="0"/>
              </w:rPr>
              <w:t xml:space="preserve"> </w:t>
            </w:r>
            <w:r w:rsidR="002254C8" w:rsidRPr="00F45EBB">
              <w:rPr>
                <w:rFonts w:ascii="Calibri Light" w:hAnsi="Calibri Light"/>
                <w:b w:val="0"/>
              </w:rPr>
              <w:t>del Estado o con su autorización o aquiescencia; ii) que cause intenso sufrimiento físico o mental y iii) que se</w:t>
            </w:r>
            <w:r w:rsidR="002254C8">
              <w:rPr>
                <w:rFonts w:ascii="Calibri Light" w:hAnsi="Calibri Light"/>
                <w:b w:val="0"/>
              </w:rPr>
              <w:t xml:space="preserve"> </w:t>
            </w:r>
            <w:r w:rsidR="002254C8" w:rsidRPr="00F45EBB">
              <w:rPr>
                <w:rFonts w:ascii="Calibri Light" w:hAnsi="Calibri Light"/>
                <w:b w:val="0"/>
              </w:rPr>
              <w:t>cometa con determinado fin o propósito</w:t>
            </w:r>
            <w:r w:rsidR="002254C8">
              <w:rPr>
                <w:rFonts w:ascii="Calibri Light" w:hAnsi="Calibri Light"/>
                <w:b w:val="0"/>
              </w:rPr>
              <w:t>.</w:t>
            </w:r>
            <w:r w:rsidR="00370DF7">
              <w:rPr>
                <w:rFonts w:ascii="Calibri Light" w:hAnsi="Calibri Light"/>
                <w:b w:val="0"/>
              </w:rPr>
              <w:t xml:space="preserve"> En el marco del segundo elemento, la CIDH y la Corte IDH </w:t>
            </w:r>
            <w:r w:rsidR="00370DF7" w:rsidRPr="00370DF7">
              <w:rPr>
                <w:rFonts w:ascii="Calibri Light" w:hAnsi="Calibri Light"/>
                <w:b w:val="0"/>
              </w:rPr>
              <w:t>han considerado que la violencia sexual</w:t>
            </w:r>
            <w:r w:rsidR="00370DF7">
              <w:rPr>
                <w:rFonts w:ascii="Calibri Light" w:hAnsi="Calibri Light"/>
                <w:b w:val="0"/>
              </w:rPr>
              <w:t xml:space="preserve"> implica una afectación a varios derechos</w:t>
            </w:r>
            <w:r w:rsidR="00E03714">
              <w:rPr>
                <w:rFonts w:ascii="Calibri Light" w:hAnsi="Calibri Light"/>
                <w:b w:val="0"/>
              </w:rPr>
              <w:t xml:space="preserve"> y, en específico, la violación sexual comprende </w:t>
            </w:r>
            <w:r w:rsidR="00E03714" w:rsidRPr="00E03714">
              <w:rPr>
                <w:rFonts w:ascii="Calibri Light" w:hAnsi="Calibri Light"/>
                <w:b w:val="0"/>
              </w:rPr>
              <w:t>actos de penetración vaginales o anales,</w:t>
            </w:r>
            <w:r w:rsidR="00E03714">
              <w:rPr>
                <w:rFonts w:ascii="Calibri Light" w:hAnsi="Calibri Light"/>
                <w:b w:val="0"/>
              </w:rPr>
              <w:t xml:space="preserve"> </w:t>
            </w:r>
            <w:r w:rsidR="00E03714" w:rsidRPr="00E03714">
              <w:rPr>
                <w:rFonts w:ascii="Calibri Light" w:hAnsi="Calibri Light"/>
                <w:b w:val="0"/>
              </w:rPr>
              <w:t>sin consentimiento de la víctima, mediante la utilización de partes del cuerpo del agresor u objetos, así</w:t>
            </w:r>
            <w:r w:rsidR="00E03714">
              <w:rPr>
                <w:rFonts w:ascii="Calibri Light" w:hAnsi="Calibri Light"/>
                <w:b w:val="0"/>
              </w:rPr>
              <w:t xml:space="preserve"> </w:t>
            </w:r>
            <w:r w:rsidR="00E03714" w:rsidRPr="00E03714">
              <w:rPr>
                <w:rFonts w:ascii="Calibri Light" w:hAnsi="Calibri Light"/>
                <w:b w:val="0"/>
              </w:rPr>
              <w:t xml:space="preserve">como la penetración </w:t>
            </w:r>
            <w:r w:rsidR="00E03714">
              <w:rPr>
                <w:rFonts w:ascii="Calibri Light" w:hAnsi="Calibri Light"/>
                <w:b w:val="0"/>
              </w:rPr>
              <w:t xml:space="preserve">bucal mediante el miembro viril, lo que </w:t>
            </w:r>
            <w:r w:rsidR="00E03714" w:rsidRPr="00E03714">
              <w:rPr>
                <w:rFonts w:ascii="Calibri Light" w:hAnsi="Calibri Light"/>
                <w:b w:val="0"/>
              </w:rPr>
              <w:t>presupone un sufrimiento físico y mental severo y duradero</w:t>
            </w:r>
            <w:r w:rsidR="00E03714">
              <w:rPr>
                <w:rFonts w:ascii="Calibri Light" w:hAnsi="Calibri Light"/>
                <w:b w:val="0"/>
              </w:rPr>
              <w:t>.</w:t>
            </w:r>
          </w:p>
          <w:p w14:paraId="1D644206" w14:textId="77777777" w:rsidR="00370DF7" w:rsidRDefault="00370DF7" w:rsidP="002254C8">
            <w:pPr>
              <w:jc w:val="both"/>
              <w:rPr>
                <w:rFonts w:ascii="Calibri Light" w:hAnsi="Calibri Light"/>
                <w:b w:val="0"/>
              </w:rPr>
            </w:pPr>
          </w:p>
          <w:p w14:paraId="3694278E" w14:textId="0D68356F" w:rsidR="00E03714" w:rsidRDefault="00370DF7" w:rsidP="00E03714">
            <w:pPr>
              <w:jc w:val="both"/>
              <w:rPr>
                <w:rFonts w:ascii="Calibri Light" w:hAnsi="Calibri Light"/>
                <w:b w:val="0"/>
              </w:rPr>
            </w:pPr>
            <w:r>
              <w:rPr>
                <w:rFonts w:ascii="Calibri Light" w:hAnsi="Calibri Light"/>
                <w:b w:val="0"/>
              </w:rPr>
              <w:t xml:space="preserve">En el presente caso, la CIDH consideró que </w:t>
            </w:r>
            <w:r w:rsidRPr="00370DF7">
              <w:rPr>
                <w:rFonts w:ascii="Calibri Light" w:hAnsi="Calibri Light"/>
                <w:b w:val="0"/>
              </w:rPr>
              <w:t>los elementos de intencionalidad y la existencia de un fin determinado</w:t>
            </w:r>
            <w:r>
              <w:rPr>
                <w:rFonts w:ascii="Calibri Light" w:hAnsi="Calibri Light"/>
                <w:b w:val="0"/>
              </w:rPr>
              <w:t xml:space="preserve"> se demostraron con las declaraciones que señalaban que golpearon al señor Valenzuela para que confesara el crimen en la primera ocasión; mientras que en la segunda y tercera ocasión, estos elementos est</w:t>
            </w:r>
            <w:r w:rsidR="00E03714">
              <w:rPr>
                <w:rFonts w:ascii="Calibri Light" w:hAnsi="Calibri Light"/>
                <w:b w:val="0"/>
              </w:rPr>
              <w:t>aban</w:t>
            </w:r>
            <w:r>
              <w:rPr>
                <w:rFonts w:ascii="Calibri Light" w:hAnsi="Calibri Light"/>
                <w:b w:val="0"/>
              </w:rPr>
              <w:t xml:space="preserve"> presentes debido a que las lesiones fueron infligidas de manera deliberada e intencional para castigarlo por su fuga. Sobre el elemento de la intensidad del daño físico y mental, </w:t>
            </w:r>
            <w:r w:rsidR="00E03714">
              <w:rPr>
                <w:rFonts w:ascii="Calibri Light" w:hAnsi="Calibri Light"/>
                <w:b w:val="0"/>
              </w:rPr>
              <w:t xml:space="preserve">la CIDH determinó que </w:t>
            </w:r>
            <w:r w:rsidR="00E03714" w:rsidRPr="00E03714">
              <w:rPr>
                <w:rFonts w:ascii="Calibri Light" w:hAnsi="Calibri Light"/>
                <w:b w:val="0"/>
              </w:rPr>
              <w:t>—</w:t>
            </w:r>
            <w:r w:rsidR="00E03714">
              <w:rPr>
                <w:rFonts w:ascii="Calibri Light" w:hAnsi="Calibri Light"/>
                <w:b w:val="0"/>
              </w:rPr>
              <w:t xml:space="preserve">debido a que </w:t>
            </w:r>
            <w:r w:rsidR="00E03714" w:rsidRPr="00E03714">
              <w:rPr>
                <w:rFonts w:ascii="Calibri Light" w:hAnsi="Calibri Light"/>
                <w:b w:val="0"/>
              </w:rPr>
              <w:t xml:space="preserve">fue penetrado </w:t>
            </w:r>
            <w:r w:rsidR="00E03714" w:rsidRPr="00E03714">
              <w:rPr>
                <w:rFonts w:ascii="Calibri Light" w:hAnsi="Calibri Light"/>
                <w:b w:val="0"/>
              </w:rPr>
              <w:lastRenderedPageBreak/>
              <w:t>analmente</w:t>
            </w:r>
            <w:r w:rsidR="00E03714">
              <w:rPr>
                <w:rFonts w:ascii="Calibri Light" w:hAnsi="Calibri Light"/>
                <w:b w:val="0"/>
              </w:rPr>
              <w:t xml:space="preserve"> </w:t>
            </w:r>
            <w:r w:rsidR="00E03714" w:rsidRPr="00E03714">
              <w:rPr>
                <w:rFonts w:ascii="Calibri Light" w:hAnsi="Calibri Light"/>
                <w:b w:val="0"/>
              </w:rPr>
              <w:t xml:space="preserve">por agentes estatales con un bastón </w:t>
            </w:r>
            <w:r w:rsidR="001231B8">
              <w:rPr>
                <w:rFonts w:ascii="Calibri Light" w:hAnsi="Calibri Light"/>
                <w:b w:val="0"/>
              </w:rPr>
              <w:t>y fue asfixiado con veneno para ratas en la primera ocasión</w:t>
            </w:r>
            <w:r w:rsidR="00E03714">
              <w:rPr>
                <w:rFonts w:ascii="Calibri Light" w:hAnsi="Calibri Light"/>
                <w:b w:val="0"/>
              </w:rPr>
              <w:t>,</w:t>
            </w:r>
            <w:r w:rsidR="001231B8">
              <w:rPr>
                <w:rFonts w:ascii="Calibri Light" w:hAnsi="Calibri Light"/>
                <w:b w:val="0"/>
              </w:rPr>
              <w:t xml:space="preserve"> mientras que</w:t>
            </w:r>
            <w:r w:rsidR="00E03714">
              <w:rPr>
                <w:rFonts w:ascii="Calibri Light" w:hAnsi="Calibri Light"/>
                <w:b w:val="0"/>
              </w:rPr>
              <w:t xml:space="preserve"> sufri</w:t>
            </w:r>
            <w:r w:rsidR="0082128D">
              <w:rPr>
                <w:rFonts w:ascii="Calibri Light" w:hAnsi="Calibri Light"/>
                <w:b w:val="0"/>
              </w:rPr>
              <w:t>ó</w:t>
            </w:r>
            <w:r w:rsidR="00E03714">
              <w:rPr>
                <w:rFonts w:ascii="Calibri Light" w:hAnsi="Calibri Light"/>
                <w:b w:val="0"/>
              </w:rPr>
              <w:t xml:space="preserve"> fuertes golpes </w:t>
            </w:r>
            <w:r w:rsidR="001231B8">
              <w:rPr>
                <w:rFonts w:ascii="Calibri Light" w:hAnsi="Calibri Light"/>
                <w:b w:val="0"/>
              </w:rPr>
              <w:t>en la segunda y tercera ocasión</w:t>
            </w:r>
            <w:r w:rsidR="00E03714" w:rsidRPr="00E03714">
              <w:rPr>
                <w:rFonts w:ascii="Calibri Light" w:hAnsi="Calibri Light"/>
                <w:b w:val="0"/>
              </w:rPr>
              <w:t>—</w:t>
            </w:r>
            <w:r w:rsidR="00E03714">
              <w:rPr>
                <w:rFonts w:ascii="Calibri Light" w:hAnsi="Calibri Light"/>
                <w:b w:val="0"/>
              </w:rPr>
              <w:t xml:space="preserve"> los hechos indicaban </w:t>
            </w:r>
            <w:r w:rsidR="00E03714" w:rsidRPr="00E03714">
              <w:rPr>
                <w:rFonts w:ascii="Calibri Light" w:hAnsi="Calibri Light"/>
                <w:b w:val="0"/>
              </w:rPr>
              <w:t>el nivel de severidad necesario para ser</w:t>
            </w:r>
            <w:r w:rsidR="00E03714">
              <w:rPr>
                <w:rFonts w:ascii="Calibri Light" w:hAnsi="Calibri Light"/>
                <w:b w:val="0"/>
              </w:rPr>
              <w:t xml:space="preserve"> </w:t>
            </w:r>
            <w:r w:rsidR="00E03714" w:rsidRPr="00E03714">
              <w:rPr>
                <w:rFonts w:ascii="Calibri Light" w:hAnsi="Calibri Light"/>
                <w:b w:val="0"/>
              </w:rPr>
              <w:t>calificados como tortura</w:t>
            </w:r>
            <w:r w:rsidR="00E03714">
              <w:rPr>
                <w:rFonts w:ascii="Calibri Light" w:hAnsi="Calibri Light"/>
                <w:b w:val="0"/>
              </w:rPr>
              <w:t>.</w:t>
            </w:r>
            <w:r w:rsidR="00121A4F">
              <w:rPr>
                <w:rFonts w:ascii="Calibri Light" w:hAnsi="Calibri Light"/>
                <w:b w:val="0"/>
              </w:rPr>
              <w:t xml:space="preserve"> </w:t>
            </w:r>
            <w:r w:rsidR="0080087E">
              <w:rPr>
                <w:rFonts w:ascii="Calibri Light" w:hAnsi="Calibri Light"/>
                <w:b w:val="0"/>
              </w:rPr>
              <w:t xml:space="preserve"> </w:t>
            </w:r>
            <w:r w:rsidR="00E03714">
              <w:rPr>
                <w:rFonts w:ascii="Calibri Light" w:hAnsi="Calibri Light"/>
                <w:b w:val="0"/>
              </w:rPr>
              <w:t xml:space="preserve">Por ello, la CIDH estableció que </w:t>
            </w:r>
            <w:r w:rsidR="00E03714">
              <w:rPr>
                <w:rFonts w:ascii="Calibri Light" w:hAnsi="Calibri Light" w:cs="Calibri Light"/>
                <w:b w:val="0"/>
              </w:rPr>
              <w:t xml:space="preserve">el Estado de Guatemala había violado los artículos 5.1, 5.2, 8.2.g), 8.3 y 11 de la CADH, en relación con el artículo 1.1los artículos 1 y 6 de la CIPST, </w:t>
            </w:r>
            <w:r w:rsidR="001231B8">
              <w:rPr>
                <w:rFonts w:ascii="Calibri Light" w:hAnsi="Calibri Light" w:cs="Calibri Light"/>
                <w:b w:val="0"/>
              </w:rPr>
              <w:t>que establecen los deberes de prevenir, investigar y sancionar la tortura</w:t>
            </w:r>
            <w:r w:rsidR="00E03714">
              <w:rPr>
                <w:rFonts w:ascii="Calibri Light" w:hAnsi="Calibri Light" w:cs="Calibri Light"/>
                <w:b w:val="0"/>
              </w:rPr>
              <w:t>.</w:t>
            </w:r>
          </w:p>
          <w:p w14:paraId="3CE4965D" w14:textId="77777777" w:rsidR="002254C8" w:rsidRPr="002254C8" w:rsidRDefault="002254C8" w:rsidP="006C2030">
            <w:pPr>
              <w:jc w:val="both"/>
              <w:rPr>
                <w:rFonts w:ascii="Calibri Light" w:hAnsi="Calibri Light"/>
                <w:b w:val="0"/>
              </w:rPr>
            </w:pPr>
          </w:p>
          <w:p w14:paraId="311F4C98" w14:textId="44121C02" w:rsidR="006C2030" w:rsidRDefault="006C2030" w:rsidP="006C2030">
            <w:pPr>
              <w:jc w:val="both"/>
              <w:rPr>
                <w:rFonts w:ascii="Calibri Light" w:hAnsi="Calibri Light"/>
                <w:b w:val="0"/>
              </w:rPr>
            </w:pPr>
            <w:r>
              <w:rPr>
                <w:rFonts w:ascii="Calibri Light" w:hAnsi="Calibri Light"/>
                <w:i/>
              </w:rPr>
              <w:t>Sobre la investigación de la tortura y la regla de exclusión</w:t>
            </w:r>
          </w:p>
          <w:p w14:paraId="3A38E4DA" w14:textId="1E2F0C60" w:rsidR="006C2030" w:rsidRDefault="006C2030" w:rsidP="00D95C84">
            <w:pPr>
              <w:jc w:val="both"/>
              <w:rPr>
                <w:rFonts w:ascii="Calibri Light" w:hAnsi="Calibri Light" w:cs="Calibri Light"/>
                <w:b w:val="0"/>
              </w:rPr>
            </w:pPr>
          </w:p>
          <w:p w14:paraId="12DB7D36" w14:textId="01C2D3FC" w:rsidR="002254C8" w:rsidRDefault="002254C8" w:rsidP="002254C8">
            <w:pPr>
              <w:jc w:val="both"/>
              <w:rPr>
                <w:rFonts w:ascii="Calibri Light" w:hAnsi="Calibri Light"/>
                <w:b w:val="0"/>
              </w:rPr>
            </w:pPr>
            <w:r>
              <w:rPr>
                <w:rFonts w:ascii="Calibri Light" w:hAnsi="Calibri Light"/>
                <w:b w:val="0"/>
              </w:rPr>
              <w:t xml:space="preserve">La CIDH ha reiterado que existe la presunción de considerar responsable al Estado por las lesiones que exhibe una persona que ha estado bajo </w:t>
            </w:r>
            <w:r w:rsidR="00121A4F">
              <w:rPr>
                <w:rFonts w:ascii="Calibri Light" w:hAnsi="Calibri Light"/>
                <w:b w:val="0"/>
              </w:rPr>
              <w:t xml:space="preserve">su </w:t>
            </w:r>
            <w:r>
              <w:rPr>
                <w:rFonts w:ascii="Calibri Light" w:hAnsi="Calibri Light"/>
                <w:b w:val="0"/>
              </w:rPr>
              <w:t xml:space="preserve">custodia. Además, una explicación satisfactoria para los hechos del caso no puede </w:t>
            </w:r>
            <w:r w:rsidR="00F70729">
              <w:rPr>
                <w:rFonts w:ascii="Calibri Light" w:hAnsi="Calibri Light"/>
                <w:b w:val="0"/>
              </w:rPr>
              <w:t>basarse</w:t>
            </w:r>
            <w:r>
              <w:rPr>
                <w:rFonts w:ascii="Calibri Light" w:hAnsi="Calibri Light"/>
                <w:b w:val="0"/>
              </w:rPr>
              <w:t xml:space="preserve"> solo </w:t>
            </w:r>
            <w:r w:rsidR="00F70729">
              <w:rPr>
                <w:rFonts w:ascii="Calibri Light" w:hAnsi="Calibri Light"/>
                <w:b w:val="0"/>
              </w:rPr>
              <w:t xml:space="preserve">en </w:t>
            </w:r>
            <w:r>
              <w:rPr>
                <w:rFonts w:ascii="Calibri Light" w:hAnsi="Calibri Light"/>
                <w:b w:val="0"/>
              </w:rPr>
              <w:t xml:space="preserve">la versión brindada por los agentes implicados. Por su parte, la Corte IDH señaló que cuando existe una denuncia o razón fundada para creer que se ha cometido un acto de tortura, existe la obligación estatal de iniciar de oficio e inmediatamente una investigación efectiva que permita identificar, juzgar y sancionar a los responsables. Esta investigación debe ser realizada por todos los medios legales disponibles y orientados a la determinación de la verdad. </w:t>
            </w:r>
            <w:r w:rsidR="00FB543A">
              <w:rPr>
                <w:rFonts w:ascii="Calibri Light" w:hAnsi="Calibri Light"/>
                <w:b w:val="0"/>
              </w:rPr>
              <w:t xml:space="preserve">Por último, en casos de tortura debe aplicarse la regla de exclusión, que consiste en </w:t>
            </w:r>
            <w:r w:rsidR="00FB543A" w:rsidRPr="00FB543A">
              <w:rPr>
                <w:rFonts w:ascii="Calibri Light" w:hAnsi="Calibri Light"/>
                <w:b w:val="0"/>
              </w:rPr>
              <w:t>desincentivar y evitar el uso de prácticas ilegales e inconvencionales</w:t>
            </w:r>
            <w:r w:rsidR="00FB543A">
              <w:rPr>
                <w:rFonts w:ascii="Calibri Light" w:hAnsi="Calibri Light"/>
                <w:b w:val="0"/>
              </w:rPr>
              <w:t xml:space="preserve"> para las confesiones.</w:t>
            </w:r>
          </w:p>
          <w:p w14:paraId="45A4A120" w14:textId="77777777" w:rsidR="00E03714" w:rsidRDefault="00E03714" w:rsidP="002254C8">
            <w:pPr>
              <w:jc w:val="both"/>
              <w:rPr>
                <w:rFonts w:ascii="Calibri Light" w:hAnsi="Calibri Light"/>
                <w:b w:val="0"/>
              </w:rPr>
            </w:pPr>
          </w:p>
          <w:p w14:paraId="7BA6A5FB" w14:textId="527FCBF7" w:rsidR="00E03714" w:rsidRDefault="00E03714" w:rsidP="00E03714">
            <w:pPr>
              <w:jc w:val="both"/>
              <w:rPr>
                <w:rFonts w:ascii="Calibri Light" w:hAnsi="Calibri Light"/>
                <w:b w:val="0"/>
              </w:rPr>
            </w:pPr>
            <w:r>
              <w:rPr>
                <w:rFonts w:ascii="Calibri Light" w:hAnsi="Calibri Light"/>
                <w:b w:val="0"/>
              </w:rPr>
              <w:t xml:space="preserve">En </w:t>
            </w:r>
            <w:r w:rsidR="001231B8">
              <w:rPr>
                <w:rFonts w:ascii="Calibri Light" w:hAnsi="Calibri Light"/>
                <w:b w:val="0"/>
              </w:rPr>
              <w:t>este</w:t>
            </w:r>
            <w:r>
              <w:rPr>
                <w:rFonts w:ascii="Calibri Light" w:hAnsi="Calibri Light"/>
                <w:b w:val="0"/>
              </w:rPr>
              <w:t xml:space="preserve"> caso, </w:t>
            </w:r>
            <w:r w:rsidRPr="00E03714">
              <w:rPr>
                <w:rFonts w:ascii="Calibri Light" w:hAnsi="Calibri Light"/>
                <w:b w:val="0"/>
              </w:rPr>
              <w:t>el Estado no inicio investigación alguna sobre estos hechos,</w:t>
            </w:r>
            <w:r>
              <w:rPr>
                <w:rFonts w:ascii="Calibri Light" w:hAnsi="Calibri Light"/>
                <w:b w:val="0"/>
              </w:rPr>
              <w:t xml:space="preserve"> a pesar </w:t>
            </w:r>
            <w:r w:rsidR="00F70729">
              <w:rPr>
                <w:rFonts w:ascii="Calibri Light" w:hAnsi="Calibri Light"/>
                <w:b w:val="0"/>
              </w:rPr>
              <w:t xml:space="preserve">de </w:t>
            </w:r>
            <w:r>
              <w:rPr>
                <w:rFonts w:ascii="Calibri Light" w:hAnsi="Calibri Light"/>
                <w:b w:val="0"/>
              </w:rPr>
              <w:t>que desde</w:t>
            </w:r>
            <w:r w:rsidRPr="00E03714">
              <w:rPr>
                <w:rFonts w:ascii="Calibri Light" w:hAnsi="Calibri Light"/>
                <w:b w:val="0"/>
              </w:rPr>
              <w:t xml:space="preserve"> la primera ocasión en que estuvo bajo su custodia, era visible que </w:t>
            </w:r>
            <w:r w:rsidR="00F70729">
              <w:rPr>
                <w:rFonts w:ascii="Calibri Light" w:hAnsi="Calibri Light"/>
                <w:b w:val="0"/>
              </w:rPr>
              <w:t xml:space="preserve">el señor Valenzuela </w:t>
            </w:r>
            <w:r w:rsidRPr="00E03714">
              <w:rPr>
                <w:rFonts w:ascii="Calibri Light" w:hAnsi="Calibri Light"/>
                <w:b w:val="0"/>
              </w:rPr>
              <w:t>había sido sometido a</w:t>
            </w:r>
            <w:r>
              <w:rPr>
                <w:rFonts w:ascii="Calibri Light" w:hAnsi="Calibri Light"/>
                <w:b w:val="0"/>
              </w:rPr>
              <w:t xml:space="preserve"> </w:t>
            </w:r>
            <w:r w:rsidRPr="00E03714">
              <w:rPr>
                <w:rFonts w:ascii="Calibri Light" w:hAnsi="Calibri Light"/>
                <w:b w:val="0"/>
              </w:rPr>
              <w:t xml:space="preserve">múltiples formas de violencia. Además, </w:t>
            </w:r>
            <w:r w:rsidR="00FB543A">
              <w:rPr>
                <w:rFonts w:ascii="Calibri Light" w:hAnsi="Calibri Light"/>
                <w:b w:val="0"/>
              </w:rPr>
              <w:t>este</w:t>
            </w:r>
            <w:r w:rsidRPr="00E03714">
              <w:rPr>
                <w:rFonts w:ascii="Calibri Light" w:hAnsi="Calibri Light"/>
                <w:b w:val="0"/>
              </w:rPr>
              <w:t xml:space="preserve"> </w:t>
            </w:r>
            <w:r w:rsidR="00F70729">
              <w:rPr>
                <w:rFonts w:ascii="Calibri Light" w:hAnsi="Calibri Light"/>
                <w:b w:val="0"/>
              </w:rPr>
              <w:t xml:space="preserve">había declarado </w:t>
            </w:r>
            <w:r w:rsidRPr="00E03714">
              <w:rPr>
                <w:rFonts w:ascii="Calibri Light" w:hAnsi="Calibri Light"/>
                <w:b w:val="0"/>
              </w:rPr>
              <w:t>haber sido víctima de tortura e individualizó a posibles responsables</w:t>
            </w:r>
            <w:r w:rsidR="000C59CC">
              <w:rPr>
                <w:rFonts w:ascii="Calibri Light" w:hAnsi="Calibri Light"/>
                <w:b w:val="0"/>
              </w:rPr>
              <w:t xml:space="preserve"> y, p</w:t>
            </w:r>
            <w:r w:rsidR="0080087E">
              <w:rPr>
                <w:rFonts w:ascii="Calibri Light" w:hAnsi="Calibri Light"/>
                <w:b w:val="0"/>
              </w:rPr>
              <w:t>osteriormente</w:t>
            </w:r>
            <w:r w:rsidRPr="00E03714">
              <w:rPr>
                <w:rFonts w:ascii="Calibri Light" w:hAnsi="Calibri Light"/>
                <w:b w:val="0"/>
              </w:rPr>
              <w:t>, denunció otras</w:t>
            </w:r>
            <w:r>
              <w:rPr>
                <w:rFonts w:ascii="Calibri Light" w:hAnsi="Calibri Light"/>
                <w:b w:val="0"/>
              </w:rPr>
              <w:t xml:space="preserve"> </w:t>
            </w:r>
            <w:r w:rsidRPr="00E03714">
              <w:rPr>
                <w:rFonts w:ascii="Calibri Light" w:hAnsi="Calibri Light"/>
                <w:b w:val="0"/>
              </w:rPr>
              <w:t xml:space="preserve">torturas </w:t>
            </w:r>
            <w:r w:rsidR="000C59CC">
              <w:rPr>
                <w:rFonts w:ascii="Calibri Light" w:hAnsi="Calibri Light"/>
                <w:b w:val="0"/>
              </w:rPr>
              <w:t>y</w:t>
            </w:r>
            <w:r w:rsidR="00F70729">
              <w:rPr>
                <w:rFonts w:ascii="Calibri Light" w:hAnsi="Calibri Light"/>
                <w:b w:val="0"/>
              </w:rPr>
              <w:t xml:space="preserve"> </w:t>
            </w:r>
            <w:r w:rsidR="00F70729" w:rsidRPr="00E03714">
              <w:rPr>
                <w:rFonts w:ascii="Calibri Light" w:hAnsi="Calibri Light"/>
                <w:b w:val="0"/>
              </w:rPr>
              <w:t>solicitó</w:t>
            </w:r>
            <w:r w:rsidR="00FB543A">
              <w:rPr>
                <w:rFonts w:ascii="Calibri Light" w:hAnsi="Calibri Light"/>
                <w:b w:val="0"/>
              </w:rPr>
              <w:t>,</w:t>
            </w:r>
            <w:r w:rsidR="00F70729">
              <w:rPr>
                <w:rFonts w:ascii="Calibri Light" w:hAnsi="Calibri Light"/>
                <w:b w:val="0"/>
              </w:rPr>
              <w:t xml:space="preserve"> </w:t>
            </w:r>
            <w:r w:rsidRPr="00E03714">
              <w:rPr>
                <w:rFonts w:ascii="Calibri Light" w:hAnsi="Calibri Light"/>
                <w:b w:val="0"/>
              </w:rPr>
              <w:t>mediante un recurso de exhibición personal, que se le realizara un examen médico</w:t>
            </w:r>
            <w:r>
              <w:rPr>
                <w:rFonts w:ascii="Calibri Light" w:hAnsi="Calibri Light"/>
                <w:b w:val="0"/>
              </w:rPr>
              <w:t xml:space="preserve"> </w:t>
            </w:r>
            <w:r w:rsidRPr="00E03714">
              <w:rPr>
                <w:rFonts w:ascii="Calibri Light" w:hAnsi="Calibri Light"/>
                <w:b w:val="0"/>
              </w:rPr>
              <w:t>para hacer constar</w:t>
            </w:r>
            <w:r w:rsidR="000C59CC">
              <w:rPr>
                <w:rFonts w:ascii="Calibri Light" w:hAnsi="Calibri Light"/>
                <w:b w:val="0"/>
              </w:rPr>
              <w:t>las</w:t>
            </w:r>
            <w:r w:rsidRPr="00E03714">
              <w:rPr>
                <w:rFonts w:ascii="Calibri Light" w:hAnsi="Calibri Light"/>
                <w:b w:val="0"/>
              </w:rPr>
              <w:t xml:space="preserve"> y obtener atención médica. </w:t>
            </w:r>
            <w:r w:rsidR="000C59CC">
              <w:rPr>
                <w:rFonts w:ascii="Calibri Light" w:hAnsi="Calibri Light"/>
                <w:b w:val="0"/>
              </w:rPr>
              <w:t>Por último</w:t>
            </w:r>
            <w:r w:rsidRPr="00E03714">
              <w:rPr>
                <w:rFonts w:ascii="Calibri Light" w:hAnsi="Calibri Light"/>
                <w:b w:val="0"/>
              </w:rPr>
              <w:t>, el Estado también se abstuvo de excluir la confesión del señor Valenzuela.</w:t>
            </w:r>
            <w:r w:rsidR="00121A4F">
              <w:rPr>
                <w:rFonts w:ascii="Calibri Light" w:hAnsi="Calibri Light"/>
                <w:b w:val="0"/>
              </w:rPr>
              <w:t xml:space="preserve"> </w:t>
            </w:r>
            <w:r w:rsidR="0080087E">
              <w:rPr>
                <w:rFonts w:ascii="Calibri Light" w:hAnsi="Calibri Light"/>
                <w:b w:val="0"/>
              </w:rPr>
              <w:t xml:space="preserve"> </w:t>
            </w:r>
            <w:r>
              <w:rPr>
                <w:rFonts w:ascii="Calibri Light" w:hAnsi="Calibri Light"/>
                <w:b w:val="0"/>
              </w:rPr>
              <w:t xml:space="preserve">En consecuencia, la CIDH estableció que </w:t>
            </w:r>
            <w:r>
              <w:rPr>
                <w:rFonts w:ascii="Calibri Light" w:hAnsi="Calibri Light" w:cs="Calibri Light"/>
                <w:b w:val="0"/>
              </w:rPr>
              <w:t>el Estado de Guatemala había violado los artículos 8.1 y 25.1 de la CADH, en relación con el artículo 1.1</w:t>
            </w:r>
            <w:r w:rsidR="00FB543A">
              <w:rPr>
                <w:rFonts w:ascii="Calibri Light" w:hAnsi="Calibri Light" w:cs="Calibri Light"/>
                <w:b w:val="0"/>
              </w:rPr>
              <w:t>, en perjuicio del señor Valenzuela. Asimismo, había violado</w:t>
            </w:r>
            <w:r>
              <w:rPr>
                <w:rFonts w:ascii="Calibri Light" w:hAnsi="Calibri Light" w:cs="Calibri Light"/>
                <w:b w:val="0"/>
              </w:rPr>
              <w:t xml:space="preserve"> los artículos 1, 6, 8 y 10 de la CIPST, </w:t>
            </w:r>
            <w:r w:rsidR="00FB543A">
              <w:rPr>
                <w:rFonts w:ascii="Calibri Light" w:hAnsi="Calibri Light" w:cs="Calibri Light"/>
                <w:b w:val="0"/>
              </w:rPr>
              <w:t>que establecen los deberes de prevenir, investigar y sancionar la tortura, así como no admitir declaraciones obtenidas mediante ella</w:t>
            </w:r>
            <w:r>
              <w:rPr>
                <w:rFonts w:ascii="Calibri Light" w:hAnsi="Calibri Light" w:cs="Calibri Light"/>
                <w:b w:val="0"/>
              </w:rPr>
              <w:t>.</w:t>
            </w:r>
          </w:p>
          <w:p w14:paraId="4981C7D1" w14:textId="77777777" w:rsidR="002254C8" w:rsidRDefault="002254C8" w:rsidP="00D95C84">
            <w:pPr>
              <w:jc w:val="both"/>
              <w:rPr>
                <w:rFonts w:ascii="Calibri Light" w:hAnsi="Calibri Light" w:cs="Calibri Light"/>
                <w:b w:val="0"/>
              </w:rPr>
            </w:pPr>
          </w:p>
          <w:p w14:paraId="0DFA9100" w14:textId="2748316B" w:rsidR="006C2030" w:rsidRDefault="006C2030" w:rsidP="006C2030">
            <w:pPr>
              <w:jc w:val="both"/>
              <w:rPr>
                <w:rFonts w:ascii="Calibri Light" w:hAnsi="Calibri Light"/>
              </w:rPr>
            </w:pPr>
            <w:r w:rsidRPr="006C2030">
              <w:rPr>
                <w:rFonts w:ascii="Calibri Light" w:hAnsi="Calibri Light"/>
              </w:rPr>
              <w:t>Derechos a la vida, garantías judiciales y protección judicial respecto de la</w:t>
            </w:r>
            <w:r>
              <w:rPr>
                <w:rFonts w:ascii="Calibri Light" w:hAnsi="Calibri Light"/>
              </w:rPr>
              <w:t xml:space="preserve"> </w:t>
            </w:r>
            <w:r w:rsidR="000D7CFC">
              <w:rPr>
                <w:rFonts w:ascii="Calibri Light" w:hAnsi="Calibri Light"/>
              </w:rPr>
              <w:t>muerte del señor</w:t>
            </w:r>
            <w:r w:rsidRPr="006C2030">
              <w:rPr>
                <w:rFonts w:ascii="Calibri Light" w:hAnsi="Calibri Light"/>
              </w:rPr>
              <w:t xml:space="preserve"> Valenzuela </w:t>
            </w:r>
            <w:r>
              <w:rPr>
                <w:rFonts w:ascii="Calibri Light" w:hAnsi="Calibri Light"/>
              </w:rPr>
              <w:t>(artículos 4, 5, 8 y 25 de la CADH)</w:t>
            </w:r>
          </w:p>
          <w:p w14:paraId="413CDBA6" w14:textId="43B5CFC1" w:rsidR="006C2030" w:rsidRDefault="006C2030" w:rsidP="006C2030">
            <w:pPr>
              <w:jc w:val="both"/>
              <w:rPr>
                <w:rFonts w:ascii="Calibri Light" w:hAnsi="Calibri Light"/>
              </w:rPr>
            </w:pPr>
          </w:p>
          <w:p w14:paraId="611CFFB2" w14:textId="4024C63F" w:rsidR="003B2C71" w:rsidRDefault="003B2C71" w:rsidP="003B2C71">
            <w:pPr>
              <w:jc w:val="both"/>
              <w:rPr>
                <w:rFonts w:ascii="Calibri Light" w:hAnsi="Calibri Light"/>
                <w:b w:val="0"/>
              </w:rPr>
            </w:pPr>
            <w:r>
              <w:rPr>
                <w:rFonts w:ascii="Calibri Light" w:hAnsi="Calibri Light"/>
                <w:b w:val="0"/>
              </w:rPr>
              <w:t xml:space="preserve">La CIDH ha señalado que el derecho a la vida presupone no solo que ninguna persona sea privada de su vida arbitrariamente, sino también </w:t>
            </w:r>
            <w:r w:rsidR="00F70729">
              <w:rPr>
                <w:rFonts w:ascii="Calibri Light" w:hAnsi="Calibri Light"/>
                <w:b w:val="0"/>
              </w:rPr>
              <w:t xml:space="preserve">que </w:t>
            </w:r>
            <w:r>
              <w:rPr>
                <w:rFonts w:ascii="Calibri Light" w:hAnsi="Calibri Light"/>
                <w:b w:val="0"/>
              </w:rPr>
              <w:t xml:space="preserve">los Estados tomen medidas para proteger y preservar este derecho. </w:t>
            </w:r>
            <w:r w:rsidR="005D787F">
              <w:rPr>
                <w:rFonts w:ascii="Calibri Light" w:hAnsi="Calibri Light"/>
                <w:b w:val="0"/>
              </w:rPr>
              <w:t>E</w:t>
            </w:r>
            <w:r>
              <w:rPr>
                <w:rFonts w:ascii="Calibri Light" w:hAnsi="Calibri Light"/>
                <w:b w:val="0"/>
              </w:rPr>
              <w:t>n caso de</w:t>
            </w:r>
            <w:r w:rsidR="005D787F">
              <w:rPr>
                <w:rFonts w:ascii="Calibri Light" w:hAnsi="Calibri Light"/>
                <w:b w:val="0"/>
              </w:rPr>
              <w:t xml:space="preserve"> que el </w:t>
            </w:r>
            <w:r>
              <w:rPr>
                <w:rFonts w:ascii="Calibri Light" w:hAnsi="Calibri Light"/>
                <w:b w:val="0"/>
              </w:rPr>
              <w:t xml:space="preserve">despliegue de fuerza por parte de agentes estatales haya causado la muerte o lesiones de una persona, corresponde analizar </w:t>
            </w:r>
            <w:r w:rsidR="005D787F">
              <w:rPr>
                <w:rFonts w:ascii="Calibri Light" w:hAnsi="Calibri Light"/>
                <w:b w:val="0"/>
              </w:rPr>
              <w:t xml:space="preserve">el </w:t>
            </w:r>
            <w:r w:rsidR="009416BB">
              <w:rPr>
                <w:rFonts w:ascii="Calibri Light" w:hAnsi="Calibri Light"/>
                <w:b w:val="0"/>
              </w:rPr>
              <w:t>uso de la fuerza.</w:t>
            </w:r>
            <w:r w:rsidR="007839D3">
              <w:rPr>
                <w:rFonts w:ascii="Calibri Light" w:hAnsi="Calibri Light"/>
                <w:b w:val="0"/>
              </w:rPr>
              <w:t xml:space="preserve"> </w:t>
            </w:r>
            <w:r>
              <w:rPr>
                <w:rFonts w:ascii="Calibri Light" w:hAnsi="Calibri Light"/>
                <w:b w:val="0"/>
              </w:rPr>
              <w:t xml:space="preserve">En cuanto a la carga de la prueba, la Corte IDH ha indicado que corresponde al Estado brindar una explicación satisfactoria y convincente de lo sucedido; caso contrario, se puede llegar a considerar denuncias como probadas ante la ausencia de esta explicación. Respecto al deber de debida diligencia en investigaciones por supuestas ejecuciones extrajudiciales, </w:t>
            </w:r>
            <w:r w:rsidR="00121A4F">
              <w:rPr>
                <w:rFonts w:ascii="Calibri Light" w:hAnsi="Calibri Light"/>
                <w:b w:val="0"/>
              </w:rPr>
              <w:t>la</w:t>
            </w:r>
            <w:r>
              <w:rPr>
                <w:rFonts w:ascii="Calibri Light" w:hAnsi="Calibri Light"/>
                <w:b w:val="0"/>
              </w:rPr>
              <w:t xml:space="preserve"> Corte IDH ha establecido que la investigación debe estar orientada a </w:t>
            </w:r>
            <w:r w:rsidR="005D787F">
              <w:rPr>
                <w:rFonts w:ascii="Calibri Light" w:hAnsi="Calibri Light"/>
                <w:b w:val="0"/>
              </w:rPr>
              <w:t>la</w:t>
            </w:r>
            <w:r>
              <w:rPr>
                <w:rFonts w:ascii="Calibri Light" w:hAnsi="Calibri Light"/>
                <w:b w:val="0"/>
              </w:rPr>
              <w:t xml:space="preserve"> determinación de la verdad</w:t>
            </w:r>
            <w:r w:rsidR="005D787F">
              <w:rPr>
                <w:rFonts w:ascii="Calibri Light" w:hAnsi="Calibri Light"/>
                <w:b w:val="0"/>
              </w:rPr>
              <w:t>,</w:t>
            </w:r>
            <w:r>
              <w:rPr>
                <w:rFonts w:ascii="Calibri Light" w:hAnsi="Calibri Light"/>
                <w:b w:val="0"/>
              </w:rPr>
              <w:t xml:space="preserve"> y la investigación, persecución, captura, enjuiciamiento y castigo de los responsables.</w:t>
            </w:r>
          </w:p>
          <w:p w14:paraId="7CD32E43" w14:textId="77777777" w:rsidR="006C2030" w:rsidRPr="003B2C71" w:rsidRDefault="006C2030" w:rsidP="006C2030">
            <w:pPr>
              <w:jc w:val="both"/>
              <w:rPr>
                <w:rFonts w:ascii="Calibri Light" w:hAnsi="Calibri Light"/>
                <w:b w:val="0"/>
              </w:rPr>
            </w:pPr>
          </w:p>
          <w:p w14:paraId="6A4EE674" w14:textId="094F8B48" w:rsidR="004D03D5" w:rsidRDefault="009416BB" w:rsidP="009416BB">
            <w:pPr>
              <w:jc w:val="both"/>
              <w:rPr>
                <w:rFonts w:ascii="Calibri Light" w:hAnsi="Calibri Light"/>
                <w:b w:val="0"/>
              </w:rPr>
            </w:pPr>
            <w:r>
              <w:rPr>
                <w:rFonts w:ascii="Calibri Light" w:hAnsi="Calibri Light"/>
                <w:b w:val="0"/>
              </w:rPr>
              <w:t>Para el presente caso</w:t>
            </w:r>
            <w:r w:rsidR="003B2C71">
              <w:rPr>
                <w:rFonts w:ascii="Calibri Light" w:hAnsi="Calibri Light"/>
                <w:b w:val="0"/>
              </w:rPr>
              <w:t xml:space="preserve">, la CIDH </w:t>
            </w:r>
            <w:r w:rsidR="00121A4F">
              <w:rPr>
                <w:rFonts w:ascii="Calibri Light" w:hAnsi="Calibri Light"/>
                <w:b w:val="0"/>
              </w:rPr>
              <w:t>señaló</w:t>
            </w:r>
            <w:r w:rsidR="00FB543A">
              <w:rPr>
                <w:rFonts w:ascii="Calibri Light" w:hAnsi="Calibri Light"/>
                <w:b w:val="0"/>
              </w:rPr>
              <w:t xml:space="preserve"> </w:t>
            </w:r>
            <w:r w:rsidR="003B2C71">
              <w:rPr>
                <w:rFonts w:ascii="Calibri Light" w:hAnsi="Calibri Light"/>
                <w:b w:val="0"/>
              </w:rPr>
              <w:t xml:space="preserve">que </w:t>
            </w:r>
            <w:r>
              <w:rPr>
                <w:rFonts w:ascii="Calibri Light" w:hAnsi="Calibri Light"/>
                <w:b w:val="0"/>
              </w:rPr>
              <w:t>en el marco d</w:t>
            </w:r>
            <w:r w:rsidR="003B2C71">
              <w:rPr>
                <w:rFonts w:ascii="Calibri Light" w:hAnsi="Calibri Light"/>
                <w:b w:val="0"/>
              </w:rPr>
              <w:t>el “Plan Gavilán”</w:t>
            </w:r>
            <w:r>
              <w:rPr>
                <w:rFonts w:ascii="Calibri Light" w:hAnsi="Calibri Light"/>
                <w:b w:val="0"/>
              </w:rPr>
              <w:t xml:space="preserve"> se </w:t>
            </w:r>
            <w:r w:rsidR="003B2C71">
              <w:rPr>
                <w:rFonts w:ascii="Calibri Light" w:hAnsi="Calibri Light"/>
                <w:b w:val="0"/>
              </w:rPr>
              <w:t>cometieron múltiples ejecuciones extrajudicia</w:t>
            </w:r>
            <w:r>
              <w:rPr>
                <w:rFonts w:ascii="Calibri Light" w:hAnsi="Calibri Light"/>
                <w:b w:val="0"/>
              </w:rPr>
              <w:t>les</w:t>
            </w:r>
            <w:r w:rsidR="00FB543A">
              <w:rPr>
                <w:rFonts w:ascii="Calibri Light" w:hAnsi="Calibri Light"/>
                <w:b w:val="0"/>
              </w:rPr>
              <w:t>,</w:t>
            </w:r>
            <w:r w:rsidR="000752B6">
              <w:rPr>
                <w:rFonts w:ascii="Calibri Light" w:hAnsi="Calibri Light"/>
                <w:b w:val="0"/>
              </w:rPr>
              <w:t xml:space="preserve"> según jurisprudencia interna</w:t>
            </w:r>
            <w:r>
              <w:rPr>
                <w:rFonts w:ascii="Calibri Light" w:hAnsi="Calibri Light"/>
                <w:b w:val="0"/>
              </w:rPr>
              <w:t xml:space="preserve">. </w:t>
            </w:r>
            <w:r w:rsidR="00E76CF3">
              <w:rPr>
                <w:rFonts w:ascii="Calibri Light" w:hAnsi="Calibri Light"/>
                <w:b w:val="0"/>
              </w:rPr>
              <w:t xml:space="preserve">Por </w:t>
            </w:r>
            <w:r w:rsidR="000752B6">
              <w:rPr>
                <w:rFonts w:ascii="Calibri Light" w:hAnsi="Calibri Light"/>
                <w:b w:val="0"/>
              </w:rPr>
              <w:t>ello, la CIDH no analizó el uso de la fuerza, sino que observó que el Estado</w:t>
            </w:r>
            <w:r w:rsidR="003B2C71">
              <w:rPr>
                <w:rFonts w:ascii="Calibri Light" w:hAnsi="Calibri Light"/>
                <w:b w:val="0"/>
              </w:rPr>
              <w:t xml:space="preserve"> </w:t>
            </w:r>
            <w:r w:rsidR="000752B6">
              <w:rPr>
                <w:rFonts w:ascii="Calibri Light" w:hAnsi="Calibri Light"/>
                <w:b w:val="0"/>
              </w:rPr>
              <w:t>no había</w:t>
            </w:r>
            <w:r w:rsidR="003B2C71">
              <w:rPr>
                <w:rFonts w:ascii="Calibri Light" w:hAnsi="Calibri Light"/>
                <w:b w:val="0"/>
              </w:rPr>
              <w:t xml:space="preserve"> realizado</w:t>
            </w:r>
            <w:r w:rsidR="000752B6">
              <w:rPr>
                <w:rFonts w:ascii="Calibri Light" w:hAnsi="Calibri Light"/>
                <w:b w:val="0"/>
              </w:rPr>
              <w:t xml:space="preserve"> las investigaciones </w:t>
            </w:r>
            <w:r w:rsidR="000752B6" w:rsidRPr="009416BB">
              <w:rPr>
                <w:rFonts w:ascii="Calibri Light" w:hAnsi="Calibri Light"/>
                <w:b w:val="0"/>
              </w:rPr>
              <w:t>con la debida diligencia ni en un plazo razonable</w:t>
            </w:r>
            <w:r w:rsidR="000752B6">
              <w:rPr>
                <w:rFonts w:ascii="Calibri Light" w:hAnsi="Calibri Light"/>
                <w:b w:val="0"/>
              </w:rPr>
              <w:t xml:space="preserve"> para esclarecer los hechos </w:t>
            </w:r>
            <w:r w:rsidR="005D787F">
              <w:rPr>
                <w:rFonts w:ascii="Calibri Light" w:hAnsi="Calibri Light"/>
                <w:b w:val="0"/>
              </w:rPr>
              <w:t xml:space="preserve">y determinar a los responsables </w:t>
            </w:r>
            <w:r w:rsidR="000752B6">
              <w:rPr>
                <w:rFonts w:ascii="Calibri Light" w:hAnsi="Calibri Light"/>
                <w:b w:val="0"/>
              </w:rPr>
              <w:t>de la muerte del señor Valenzuela</w:t>
            </w:r>
            <w:r w:rsidR="004D03D5">
              <w:rPr>
                <w:rFonts w:ascii="Calibri Light" w:hAnsi="Calibri Light"/>
                <w:b w:val="0"/>
              </w:rPr>
              <w:t xml:space="preserve"> en el marco de dicho operativo</w:t>
            </w:r>
            <w:r w:rsidR="000752B6">
              <w:rPr>
                <w:rFonts w:ascii="Calibri Light" w:hAnsi="Calibri Light"/>
                <w:b w:val="0"/>
              </w:rPr>
              <w:t xml:space="preserve">. </w:t>
            </w:r>
            <w:r w:rsidR="004D03D5">
              <w:rPr>
                <w:rFonts w:ascii="Calibri Light" w:hAnsi="Calibri Light"/>
                <w:b w:val="0"/>
              </w:rPr>
              <w:t>En consecuencia, consideró que este fue ejecutado extrajudicialmente</w:t>
            </w:r>
            <w:r w:rsidR="00121A4F">
              <w:rPr>
                <w:rFonts w:ascii="Calibri Light" w:hAnsi="Calibri Light"/>
                <w:b w:val="0"/>
              </w:rPr>
              <w:t xml:space="preserve"> y</w:t>
            </w:r>
            <w:r w:rsidR="004D03D5">
              <w:rPr>
                <w:rFonts w:ascii="Calibri Light" w:hAnsi="Calibri Light"/>
                <w:b w:val="0"/>
              </w:rPr>
              <w:t xml:space="preserve"> concluyó que Guatemala </w:t>
            </w:r>
            <w:r w:rsidR="004D03D5">
              <w:rPr>
                <w:rFonts w:ascii="Calibri Light" w:hAnsi="Calibri Light"/>
                <w:b w:val="0"/>
              </w:rPr>
              <w:lastRenderedPageBreak/>
              <w:t xml:space="preserve">había violado </w:t>
            </w:r>
            <w:r w:rsidR="00121A4F">
              <w:rPr>
                <w:rFonts w:ascii="Calibri Light" w:hAnsi="Calibri Light"/>
                <w:b w:val="0"/>
              </w:rPr>
              <w:t>el artículo</w:t>
            </w:r>
            <w:r w:rsidR="004D03D5">
              <w:rPr>
                <w:rFonts w:ascii="Calibri Light" w:hAnsi="Calibri Light"/>
                <w:b w:val="0"/>
              </w:rPr>
              <w:t xml:space="preserve"> 4.1 de la C</w:t>
            </w:r>
            <w:r w:rsidR="00121A4F">
              <w:rPr>
                <w:rFonts w:ascii="Calibri Light" w:hAnsi="Calibri Light"/>
                <w:b w:val="0"/>
              </w:rPr>
              <w:t>A</w:t>
            </w:r>
            <w:r w:rsidR="004D03D5">
              <w:rPr>
                <w:rFonts w:ascii="Calibri Light" w:hAnsi="Calibri Light"/>
                <w:b w:val="0"/>
              </w:rPr>
              <w:t>DH, en relación con el artículo 1.1, en perjuicio del señor Valenzuela.</w:t>
            </w:r>
          </w:p>
          <w:p w14:paraId="47CC8486" w14:textId="77777777" w:rsidR="004D03D5" w:rsidRDefault="004D03D5" w:rsidP="009416BB">
            <w:pPr>
              <w:jc w:val="both"/>
              <w:rPr>
                <w:rFonts w:ascii="Calibri Light" w:hAnsi="Calibri Light"/>
                <w:b w:val="0"/>
              </w:rPr>
            </w:pPr>
          </w:p>
          <w:p w14:paraId="7D4519D1" w14:textId="6F7C3B9A" w:rsidR="003B2C71" w:rsidRPr="003B2C71" w:rsidRDefault="004D03D5" w:rsidP="00D95C84">
            <w:pPr>
              <w:jc w:val="both"/>
              <w:rPr>
                <w:rFonts w:ascii="Calibri Light" w:hAnsi="Calibri Light"/>
                <w:b w:val="0"/>
              </w:rPr>
            </w:pPr>
            <w:r>
              <w:rPr>
                <w:rFonts w:ascii="Calibri Light" w:hAnsi="Calibri Light"/>
                <w:b w:val="0"/>
              </w:rPr>
              <w:t>Respecto a la obligación de investigar su muerte, la CIDH</w:t>
            </w:r>
            <w:r w:rsidR="003B2C71">
              <w:rPr>
                <w:rFonts w:ascii="Calibri Light" w:hAnsi="Calibri Light"/>
                <w:b w:val="0"/>
              </w:rPr>
              <w:t xml:space="preserve"> </w:t>
            </w:r>
            <w:r w:rsidR="0080087E">
              <w:rPr>
                <w:rFonts w:ascii="Calibri Light" w:hAnsi="Calibri Light"/>
                <w:b w:val="0"/>
              </w:rPr>
              <w:t>observó la ausencia de</w:t>
            </w:r>
            <w:r w:rsidR="000752B6">
              <w:rPr>
                <w:rFonts w:ascii="Calibri Light" w:hAnsi="Calibri Light"/>
                <w:b w:val="0"/>
              </w:rPr>
              <w:t xml:space="preserve"> realización de</w:t>
            </w:r>
            <w:r w:rsidR="009416BB">
              <w:rPr>
                <w:rFonts w:ascii="Calibri Light" w:hAnsi="Calibri Light"/>
                <w:b w:val="0"/>
              </w:rPr>
              <w:t xml:space="preserve"> pruebas sobre los proyect</w:t>
            </w:r>
            <w:r>
              <w:rPr>
                <w:rFonts w:ascii="Calibri Light" w:hAnsi="Calibri Light"/>
                <w:b w:val="0"/>
              </w:rPr>
              <w:t>ile</w:t>
            </w:r>
            <w:r w:rsidR="009416BB">
              <w:rPr>
                <w:rFonts w:ascii="Calibri Light" w:hAnsi="Calibri Light"/>
                <w:b w:val="0"/>
              </w:rPr>
              <w:t>s</w:t>
            </w:r>
            <w:r w:rsidR="000752B6">
              <w:rPr>
                <w:rFonts w:ascii="Calibri Light" w:hAnsi="Calibri Light"/>
                <w:b w:val="0"/>
              </w:rPr>
              <w:t xml:space="preserve"> y</w:t>
            </w:r>
            <w:r w:rsidR="009416BB">
              <w:rPr>
                <w:rFonts w:ascii="Calibri Light" w:hAnsi="Calibri Light"/>
                <w:b w:val="0"/>
              </w:rPr>
              <w:t xml:space="preserve"> diligencias de la reconstrucción de hechos</w:t>
            </w:r>
            <w:r w:rsidR="000151DD">
              <w:rPr>
                <w:rFonts w:ascii="Calibri Light" w:hAnsi="Calibri Light"/>
                <w:b w:val="0"/>
              </w:rPr>
              <w:t xml:space="preserve"> y la falta de </w:t>
            </w:r>
            <w:r w:rsidR="009416BB">
              <w:rPr>
                <w:rFonts w:ascii="Calibri Light" w:hAnsi="Calibri Light"/>
                <w:b w:val="0"/>
              </w:rPr>
              <w:t xml:space="preserve">obtención de declaraciones </w:t>
            </w:r>
            <w:r w:rsidR="000752B6">
              <w:rPr>
                <w:rFonts w:ascii="Calibri Light" w:hAnsi="Calibri Light"/>
                <w:b w:val="0"/>
              </w:rPr>
              <w:t>de</w:t>
            </w:r>
            <w:r w:rsidR="009416BB">
              <w:rPr>
                <w:rFonts w:ascii="Calibri Light" w:hAnsi="Calibri Light"/>
                <w:b w:val="0"/>
              </w:rPr>
              <w:t xml:space="preserve"> los funcionarios responsables y posibles testigos.</w:t>
            </w:r>
            <w:r w:rsidR="003B2C71">
              <w:rPr>
                <w:rFonts w:ascii="Calibri Light" w:hAnsi="Calibri Light"/>
                <w:b w:val="0"/>
              </w:rPr>
              <w:t xml:space="preserve"> </w:t>
            </w:r>
            <w:r w:rsidR="00B3492D">
              <w:rPr>
                <w:rFonts w:ascii="Calibri Light" w:hAnsi="Calibri Light"/>
                <w:b w:val="0"/>
              </w:rPr>
              <w:t xml:space="preserve">Esta situación y la negativa del Estado </w:t>
            </w:r>
            <w:r w:rsidR="000151DD">
              <w:rPr>
                <w:rFonts w:ascii="Calibri Light" w:hAnsi="Calibri Light"/>
                <w:b w:val="0"/>
              </w:rPr>
              <w:t xml:space="preserve">de </w:t>
            </w:r>
            <w:r w:rsidR="00B3492D">
              <w:rPr>
                <w:rFonts w:ascii="Calibri Light" w:hAnsi="Calibri Light"/>
                <w:b w:val="0"/>
              </w:rPr>
              <w:t>producir una partida de defunción afectaron significativamente la integridad personal de los familiares del señor Valenzuela.</w:t>
            </w:r>
            <w:r>
              <w:rPr>
                <w:rFonts w:ascii="Calibri Light" w:hAnsi="Calibri Light"/>
                <w:b w:val="0"/>
              </w:rPr>
              <w:t xml:space="preserve"> </w:t>
            </w:r>
            <w:r w:rsidR="003B2C71">
              <w:rPr>
                <w:rFonts w:ascii="Calibri Light" w:hAnsi="Calibri Light"/>
                <w:b w:val="0"/>
              </w:rPr>
              <w:t xml:space="preserve">Por ello, la CIDH concluyó que </w:t>
            </w:r>
            <w:r w:rsidR="003B2C71">
              <w:rPr>
                <w:rFonts w:ascii="Calibri Light" w:hAnsi="Calibri Light" w:cs="Calibri Light"/>
                <w:b w:val="0"/>
              </w:rPr>
              <w:t xml:space="preserve">el Estado de Guatemala había violado </w:t>
            </w:r>
            <w:r w:rsidR="00B3492D">
              <w:rPr>
                <w:rFonts w:ascii="Calibri Light" w:hAnsi="Calibri Light" w:cs="Calibri Light"/>
                <w:b w:val="0"/>
              </w:rPr>
              <w:t>los</w:t>
            </w:r>
            <w:r w:rsidR="003B2C71">
              <w:rPr>
                <w:rFonts w:ascii="Calibri Light" w:hAnsi="Calibri Light" w:cs="Calibri Light"/>
                <w:b w:val="0"/>
              </w:rPr>
              <w:t xml:space="preserve"> artículo</w:t>
            </w:r>
            <w:r w:rsidR="00B3492D">
              <w:rPr>
                <w:rFonts w:ascii="Calibri Light" w:hAnsi="Calibri Light" w:cs="Calibri Light"/>
                <w:b w:val="0"/>
              </w:rPr>
              <w:t>s</w:t>
            </w:r>
            <w:r w:rsidR="003B2C71">
              <w:rPr>
                <w:rFonts w:ascii="Calibri Light" w:hAnsi="Calibri Light" w:cs="Calibri Light"/>
                <w:b w:val="0"/>
              </w:rPr>
              <w:t xml:space="preserve"> </w:t>
            </w:r>
            <w:r w:rsidR="000752B6">
              <w:rPr>
                <w:rFonts w:ascii="Calibri Light" w:hAnsi="Calibri Light" w:cs="Calibri Light"/>
                <w:b w:val="0"/>
              </w:rPr>
              <w:t xml:space="preserve"> </w:t>
            </w:r>
            <w:r w:rsidR="003B2C71">
              <w:rPr>
                <w:rFonts w:ascii="Calibri Light" w:hAnsi="Calibri Light" w:cs="Calibri Light"/>
                <w:b w:val="0"/>
              </w:rPr>
              <w:t>5.1, 8.1 y 25.1 de la CADH</w:t>
            </w:r>
            <w:r w:rsidR="000752B6">
              <w:rPr>
                <w:rFonts w:ascii="Calibri Light" w:hAnsi="Calibri Light" w:cs="Calibri Light"/>
                <w:b w:val="0"/>
              </w:rPr>
              <w:t xml:space="preserve">, </w:t>
            </w:r>
            <w:r w:rsidR="003B2C71">
              <w:rPr>
                <w:rFonts w:ascii="Calibri Light" w:hAnsi="Calibri Light" w:cs="Calibri Light"/>
                <w:b w:val="0"/>
              </w:rPr>
              <w:t>en relación con el artículo 1.1</w:t>
            </w:r>
            <w:r>
              <w:rPr>
                <w:rFonts w:ascii="Calibri Light" w:hAnsi="Calibri Light" w:cs="Calibri Light"/>
                <w:b w:val="0"/>
              </w:rPr>
              <w:t>, en perjuicio de los familiares del señor Valenzuela</w:t>
            </w:r>
            <w:r w:rsidR="000752B6">
              <w:rPr>
                <w:rFonts w:ascii="Calibri Light" w:hAnsi="Calibri Light" w:cs="Calibri Light"/>
                <w:b w:val="0"/>
              </w:rPr>
              <w:t>.</w:t>
            </w:r>
          </w:p>
          <w:p w14:paraId="5AA471B6" w14:textId="6F39D7C7" w:rsidR="006C2030" w:rsidRPr="00FF34AE" w:rsidRDefault="006C2030" w:rsidP="003B2C71">
            <w:pPr>
              <w:jc w:val="both"/>
              <w:rPr>
                <w:rFonts w:ascii="Calibri Light" w:hAnsi="Calibri Light"/>
                <w:b w:val="0"/>
              </w:rPr>
            </w:pPr>
          </w:p>
        </w:tc>
      </w:tr>
      <w:tr w:rsidR="00D95C84" w:rsidRPr="004533E5" w14:paraId="0FBFBB6F" w14:textId="77777777" w:rsidTr="00BC4EF8">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0A864AFE" w14:textId="77777777" w:rsidR="00D95C84" w:rsidRPr="00310836" w:rsidRDefault="00D95C84" w:rsidP="00D95C84">
            <w:pPr>
              <w:pStyle w:val="ListParagraph"/>
              <w:rPr>
                <w:rFonts w:ascii="Calibri Light" w:hAnsi="Calibri Light"/>
              </w:rPr>
            </w:pPr>
          </w:p>
          <w:p w14:paraId="5CF7BA21" w14:textId="5393EBC4" w:rsidR="00D95C84" w:rsidRPr="00310836" w:rsidRDefault="00D95C84" w:rsidP="00D95C84">
            <w:pPr>
              <w:pStyle w:val="ListParagraph"/>
              <w:numPr>
                <w:ilvl w:val="0"/>
                <w:numId w:val="2"/>
              </w:numPr>
              <w:jc w:val="center"/>
              <w:rPr>
                <w:rFonts w:ascii="Calibri Light" w:hAnsi="Calibri Light"/>
              </w:rPr>
            </w:pPr>
            <w:r w:rsidRPr="00310836">
              <w:rPr>
                <w:rFonts w:ascii="Calibri Light" w:hAnsi="Calibri Light"/>
              </w:rPr>
              <w:t>Recomendaciones</w:t>
            </w:r>
            <w:r>
              <w:rPr>
                <w:rFonts w:ascii="Calibri Light" w:hAnsi="Calibri Light"/>
              </w:rPr>
              <w:t xml:space="preserve"> de la CIDH al Estado</w:t>
            </w:r>
          </w:p>
          <w:p w14:paraId="510D8BF9" w14:textId="77777777" w:rsidR="00D95C84" w:rsidRPr="00310836" w:rsidRDefault="00D95C84" w:rsidP="00D95C84">
            <w:pPr>
              <w:pStyle w:val="ListParagraph"/>
              <w:rPr>
                <w:rFonts w:ascii="Calibri Light" w:hAnsi="Calibri Light"/>
              </w:rPr>
            </w:pPr>
          </w:p>
        </w:tc>
      </w:tr>
      <w:tr w:rsidR="00D95C84" w:rsidRPr="004533E5" w14:paraId="3D91AF16" w14:textId="77777777" w:rsidTr="00BC4EF8">
        <w:trPr>
          <w:trHeight w:val="8809"/>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tcPr>
          <w:p w14:paraId="6680C0C5" w14:textId="003DAC38" w:rsidR="00D95C84" w:rsidRPr="00FB77E7" w:rsidRDefault="00D95C84" w:rsidP="00D95C84">
            <w:pPr>
              <w:pStyle w:val="ListParagraph"/>
              <w:ind w:left="0"/>
              <w:jc w:val="both"/>
              <w:rPr>
                <w:rFonts w:ascii="Calibri Light" w:hAnsi="Calibri Light" w:cs="Calibri Light"/>
                <w:b w:val="0"/>
              </w:rPr>
            </w:pPr>
          </w:p>
          <w:p w14:paraId="67C021C8" w14:textId="0C078194" w:rsidR="006C2030" w:rsidRPr="006C2030" w:rsidRDefault="006C2030" w:rsidP="004873E5">
            <w:pPr>
              <w:pStyle w:val="ListParagraph"/>
              <w:numPr>
                <w:ilvl w:val="0"/>
                <w:numId w:val="4"/>
              </w:numPr>
              <w:jc w:val="both"/>
              <w:rPr>
                <w:rFonts w:ascii="Calibri Light" w:hAnsi="Calibri Light" w:cs="Calibri Light"/>
              </w:rPr>
            </w:pPr>
            <w:r w:rsidRPr="006C2030">
              <w:rPr>
                <w:rFonts w:ascii="Calibri Light" w:hAnsi="Calibri Light" w:cs="Calibri Light"/>
                <w:b w:val="0"/>
              </w:rPr>
              <w:t>Reparar integralmente las violaciones</w:t>
            </w:r>
            <w:r w:rsidR="00B9799F">
              <w:rPr>
                <w:rFonts w:ascii="Calibri Light" w:hAnsi="Calibri Light" w:cs="Calibri Light"/>
                <w:b w:val="0"/>
              </w:rPr>
              <w:t xml:space="preserve"> de derechos humanos declaradas </w:t>
            </w:r>
            <w:r w:rsidRPr="006C2030">
              <w:rPr>
                <w:rFonts w:ascii="Calibri Light" w:hAnsi="Calibri Light" w:cs="Calibri Light"/>
                <w:b w:val="0"/>
              </w:rPr>
              <w:t>tanto en el aspecto material como inmaterial. Las medidas de reparación deberán incluir una justa</w:t>
            </w:r>
            <w:r w:rsidRPr="006C2030">
              <w:rPr>
                <w:rFonts w:ascii="Calibri Light" w:hAnsi="Calibri Light" w:cs="Calibri Light"/>
              </w:rPr>
              <w:t xml:space="preserve"> </w:t>
            </w:r>
            <w:r w:rsidRPr="006C2030">
              <w:rPr>
                <w:rFonts w:ascii="Calibri Light" w:hAnsi="Calibri Light" w:cs="Calibri Light"/>
                <w:b w:val="0"/>
              </w:rPr>
              <w:t>compensación, así como medidas de satisfacción y rehabilitación, de ser pertinentes, en consulta con los</w:t>
            </w:r>
            <w:r w:rsidRPr="006C2030">
              <w:rPr>
                <w:rFonts w:ascii="Calibri Light" w:hAnsi="Calibri Light" w:cs="Calibri Light"/>
              </w:rPr>
              <w:t xml:space="preserve"> </w:t>
            </w:r>
            <w:r w:rsidRPr="006C2030">
              <w:rPr>
                <w:rFonts w:ascii="Calibri Light" w:hAnsi="Calibri Light" w:cs="Calibri Light"/>
                <w:b w:val="0"/>
              </w:rPr>
              <w:t xml:space="preserve">familiares del señor Valenzuela. </w:t>
            </w:r>
            <w:r w:rsidR="00E76CF3">
              <w:rPr>
                <w:rFonts w:ascii="Calibri Light" w:hAnsi="Calibri Light" w:cs="Calibri Light"/>
                <w:b w:val="0"/>
              </w:rPr>
              <w:t>La CIDH i</w:t>
            </w:r>
            <w:r w:rsidRPr="006C2030">
              <w:rPr>
                <w:rFonts w:ascii="Calibri Light" w:hAnsi="Calibri Light" w:cs="Calibri Light"/>
                <w:b w:val="0"/>
              </w:rPr>
              <w:t>nst</w:t>
            </w:r>
            <w:r w:rsidR="00E76CF3">
              <w:rPr>
                <w:rFonts w:ascii="Calibri Light" w:hAnsi="Calibri Light" w:cs="Calibri Light"/>
                <w:b w:val="0"/>
              </w:rPr>
              <w:t>ó</w:t>
            </w:r>
            <w:r w:rsidRPr="006C2030">
              <w:rPr>
                <w:rFonts w:ascii="Calibri Light" w:hAnsi="Calibri Light" w:cs="Calibri Light"/>
                <w:b w:val="0"/>
              </w:rPr>
              <w:t xml:space="preserve"> al Estado a realizar todos los esfuerzos posibles para</w:t>
            </w:r>
            <w:r w:rsidRPr="006C2030">
              <w:rPr>
                <w:rFonts w:ascii="Calibri Light" w:hAnsi="Calibri Light" w:cs="Calibri Light"/>
              </w:rPr>
              <w:t xml:space="preserve"> </w:t>
            </w:r>
            <w:r w:rsidRPr="006C2030">
              <w:rPr>
                <w:rFonts w:ascii="Calibri Light" w:hAnsi="Calibri Light" w:cs="Calibri Light"/>
                <w:b w:val="0"/>
              </w:rPr>
              <w:t>ubicar a dichos familiares y, en caso de no ser posible, aportar el componente pecuniario de la reparación que</w:t>
            </w:r>
            <w:r>
              <w:rPr>
                <w:rFonts w:ascii="Calibri Light" w:hAnsi="Calibri Light" w:cs="Calibri Light"/>
                <w:b w:val="0"/>
              </w:rPr>
              <w:t xml:space="preserve"> </w:t>
            </w:r>
            <w:r w:rsidRPr="006C2030">
              <w:rPr>
                <w:rFonts w:ascii="Calibri Light" w:hAnsi="Calibri Light" w:cs="Calibri Light"/>
                <w:b w:val="0"/>
              </w:rPr>
              <w:t>les correspondería, al Fondo de Asistencia Legal</w:t>
            </w:r>
            <w:r>
              <w:rPr>
                <w:rFonts w:ascii="Calibri Light" w:hAnsi="Calibri Light" w:cs="Calibri Light"/>
                <w:b w:val="0"/>
              </w:rPr>
              <w:t>.</w:t>
            </w:r>
          </w:p>
          <w:p w14:paraId="2C8E3E79" w14:textId="0ABEA78B" w:rsidR="00D3271F" w:rsidRPr="00D3271F" w:rsidRDefault="006C2030" w:rsidP="00B9799F">
            <w:pPr>
              <w:pStyle w:val="ListParagraph"/>
              <w:ind w:left="360"/>
              <w:jc w:val="both"/>
              <w:rPr>
                <w:rFonts w:ascii="Calibri Light" w:hAnsi="Calibri Light" w:cs="Calibri Light"/>
                <w:b w:val="0"/>
              </w:rPr>
            </w:pPr>
            <w:r w:rsidRPr="006C2030">
              <w:rPr>
                <w:rFonts w:ascii="Calibri Light" w:hAnsi="Calibri Light" w:cs="Calibri Light"/>
                <w:b w:val="0"/>
              </w:rPr>
              <w:t xml:space="preserve"> </w:t>
            </w:r>
          </w:p>
          <w:p w14:paraId="05B02090" w14:textId="16F0FC67" w:rsidR="00D3271F" w:rsidRPr="00B9799F" w:rsidRDefault="00B9799F" w:rsidP="00F956C9">
            <w:pPr>
              <w:pStyle w:val="ListParagraph"/>
              <w:numPr>
                <w:ilvl w:val="0"/>
                <w:numId w:val="4"/>
              </w:numPr>
              <w:jc w:val="both"/>
              <w:rPr>
                <w:rFonts w:ascii="Calibri Light" w:hAnsi="Calibri Light" w:cs="Calibri Light"/>
                <w:b w:val="0"/>
              </w:rPr>
            </w:pPr>
            <w:r w:rsidRPr="00B9799F">
              <w:rPr>
                <w:rFonts w:ascii="Calibri Light" w:hAnsi="Calibri Light" w:cs="Calibri Light"/>
                <w:b w:val="0"/>
              </w:rPr>
              <w:t>Investigar los actos de tortura sufridos por el señor Valenzuela de manera diligente,</w:t>
            </w:r>
            <w:r w:rsidRPr="00B9799F">
              <w:rPr>
                <w:rFonts w:ascii="Calibri Light" w:hAnsi="Calibri Light" w:cs="Calibri Light"/>
              </w:rPr>
              <w:t xml:space="preserve"> </w:t>
            </w:r>
            <w:r w:rsidRPr="00B9799F">
              <w:rPr>
                <w:rFonts w:ascii="Calibri Light" w:hAnsi="Calibri Light" w:cs="Calibri Light"/>
                <w:b w:val="0"/>
              </w:rPr>
              <w:t>efectiva y en un plazo razonable con el objeto de esclarecer los hechos en forma completa, identificar a los autores e imponer las sanciones que correspondan.</w:t>
            </w:r>
          </w:p>
          <w:p w14:paraId="6341062A" w14:textId="77777777" w:rsidR="00B9799F" w:rsidRPr="00B9799F" w:rsidRDefault="00B9799F" w:rsidP="00B9799F">
            <w:pPr>
              <w:pStyle w:val="ListParagraph"/>
              <w:rPr>
                <w:rFonts w:ascii="Calibri Light" w:hAnsi="Calibri Light" w:cs="Calibri Light"/>
                <w:b w:val="0"/>
              </w:rPr>
            </w:pPr>
          </w:p>
          <w:p w14:paraId="7C598C44" w14:textId="73A4DE4C" w:rsidR="00B9799F" w:rsidRDefault="00B9799F" w:rsidP="00506FAD">
            <w:pPr>
              <w:pStyle w:val="ListParagraph"/>
              <w:numPr>
                <w:ilvl w:val="0"/>
                <w:numId w:val="4"/>
              </w:numPr>
              <w:jc w:val="both"/>
              <w:rPr>
                <w:rFonts w:ascii="Calibri Light" w:hAnsi="Calibri Light" w:cs="Calibri Light"/>
                <w:b w:val="0"/>
              </w:rPr>
            </w:pPr>
            <w:r w:rsidRPr="00B9799F">
              <w:rPr>
                <w:rFonts w:ascii="Calibri Light" w:hAnsi="Calibri Light" w:cs="Calibri Light"/>
                <w:b w:val="0"/>
              </w:rPr>
              <w:t>Investigar la ejecución extrajudicial sufrida por el señor Valenzuela de manera diligente, efectiva y en un plazo razonable con el objeto de esclarecer los hechos en forma completa, identificar a los autores e imponer las sanciones que correspondan.</w:t>
            </w:r>
          </w:p>
          <w:p w14:paraId="33F246D1" w14:textId="77777777" w:rsidR="00B9799F" w:rsidRPr="00B9799F" w:rsidRDefault="00B9799F" w:rsidP="00B9799F">
            <w:pPr>
              <w:pStyle w:val="ListParagraph"/>
              <w:rPr>
                <w:rFonts w:ascii="Calibri Light" w:hAnsi="Calibri Light" w:cs="Calibri Light"/>
              </w:rPr>
            </w:pPr>
          </w:p>
          <w:p w14:paraId="5DA3F17A" w14:textId="1702BD32" w:rsidR="005D787F" w:rsidRPr="00AA6E7C" w:rsidRDefault="005D787F" w:rsidP="005D787F">
            <w:pPr>
              <w:pStyle w:val="Default"/>
              <w:numPr>
                <w:ilvl w:val="0"/>
                <w:numId w:val="4"/>
              </w:numPr>
              <w:jc w:val="both"/>
              <w:rPr>
                <w:rFonts w:ascii="Calibri Light" w:hAnsi="Calibri Light"/>
                <w:b w:val="0"/>
                <w:sz w:val="22"/>
                <w:szCs w:val="22"/>
              </w:rPr>
            </w:pPr>
            <w:r>
              <w:rPr>
                <w:rFonts w:ascii="Calibri Light" w:hAnsi="Calibri Light"/>
                <w:b w:val="0"/>
                <w:sz w:val="22"/>
                <w:szCs w:val="22"/>
              </w:rPr>
              <w:t>A</w:t>
            </w:r>
            <w:r w:rsidRPr="00AA6E7C">
              <w:rPr>
                <w:rFonts w:ascii="Calibri Light" w:hAnsi="Calibri Light"/>
                <w:b w:val="0"/>
                <w:sz w:val="22"/>
                <w:szCs w:val="22"/>
              </w:rPr>
              <w:t>doptar las medidas necesarias para que la legislación i</w:t>
            </w:r>
            <w:r>
              <w:rPr>
                <w:rFonts w:ascii="Calibri Light" w:hAnsi="Calibri Light"/>
                <w:b w:val="0"/>
                <w:sz w:val="22"/>
                <w:szCs w:val="22"/>
              </w:rPr>
              <w:t>nterna sea consistente con la</w:t>
            </w:r>
            <w:r w:rsidRPr="00AA6E7C">
              <w:rPr>
                <w:rFonts w:ascii="Calibri Light" w:hAnsi="Calibri Light"/>
                <w:b w:val="0"/>
                <w:sz w:val="22"/>
                <w:szCs w:val="22"/>
              </w:rPr>
              <w:t xml:space="preserve"> práctica</w:t>
            </w:r>
            <w:r>
              <w:rPr>
                <w:rFonts w:ascii="Calibri Light" w:hAnsi="Calibri Light"/>
                <w:b w:val="0"/>
                <w:sz w:val="22"/>
                <w:szCs w:val="22"/>
              </w:rPr>
              <w:t xml:space="preserve"> de eliminar gradualmente la pena de muerte</w:t>
            </w:r>
            <w:r w:rsidRPr="00AA6E7C">
              <w:rPr>
                <w:rFonts w:ascii="Calibri Light" w:hAnsi="Calibri Light"/>
                <w:b w:val="0"/>
                <w:sz w:val="22"/>
                <w:szCs w:val="22"/>
              </w:rPr>
              <w:t xml:space="preserve"> y así continuar </w:t>
            </w:r>
            <w:r>
              <w:rPr>
                <w:rFonts w:ascii="Calibri Light" w:hAnsi="Calibri Light"/>
                <w:b w:val="0"/>
                <w:sz w:val="22"/>
                <w:szCs w:val="22"/>
              </w:rPr>
              <w:t>con el camino hacia su</w:t>
            </w:r>
            <w:r w:rsidRPr="00AA6E7C">
              <w:rPr>
                <w:rFonts w:ascii="Calibri Light" w:hAnsi="Calibri Light"/>
                <w:b w:val="0"/>
                <w:sz w:val="22"/>
                <w:szCs w:val="22"/>
              </w:rPr>
              <w:t xml:space="preserve"> abolición. </w:t>
            </w:r>
          </w:p>
          <w:p w14:paraId="2330C77C" w14:textId="77777777" w:rsidR="00B9799F" w:rsidRPr="00B9799F" w:rsidRDefault="00B9799F" w:rsidP="00B9799F">
            <w:pPr>
              <w:pStyle w:val="ListParagraph"/>
              <w:ind w:left="360"/>
              <w:jc w:val="both"/>
              <w:rPr>
                <w:rFonts w:ascii="Calibri Light" w:hAnsi="Calibri Light" w:cs="Calibri Light"/>
                <w:b w:val="0"/>
              </w:rPr>
            </w:pPr>
          </w:p>
          <w:p w14:paraId="68BEF1C4" w14:textId="717A7029" w:rsidR="00B9799F" w:rsidRDefault="00B9799F" w:rsidP="00DE69DD">
            <w:pPr>
              <w:pStyle w:val="ListParagraph"/>
              <w:numPr>
                <w:ilvl w:val="0"/>
                <w:numId w:val="4"/>
              </w:numPr>
              <w:jc w:val="both"/>
              <w:rPr>
                <w:rFonts w:ascii="Calibri Light" w:hAnsi="Calibri Light" w:cs="Calibri Light"/>
                <w:b w:val="0"/>
              </w:rPr>
            </w:pPr>
            <w:r w:rsidRPr="00B9799F">
              <w:rPr>
                <w:rFonts w:ascii="Calibri Light" w:hAnsi="Calibri Light" w:cs="Calibri Light"/>
                <w:b w:val="0"/>
              </w:rPr>
              <w:t>Adoptar las medidas legislativas, administrativas y de otra índole necesarias para asegurar que en la regulación y en la práctica, las personas condenadas penalmente cuenten con un recurso ante autoridad jerárquica que permita una revisión integral del fallo condenatorio.</w:t>
            </w:r>
          </w:p>
          <w:p w14:paraId="6DD3EF79" w14:textId="77777777" w:rsidR="00B9799F" w:rsidRPr="00B9799F" w:rsidRDefault="00B9799F" w:rsidP="00B9799F">
            <w:pPr>
              <w:pStyle w:val="ListParagraph"/>
              <w:rPr>
                <w:rFonts w:ascii="Calibri Light" w:hAnsi="Calibri Light" w:cs="Calibri Light"/>
              </w:rPr>
            </w:pPr>
          </w:p>
          <w:p w14:paraId="49863AFC" w14:textId="51A0FE1C" w:rsidR="00D95C84" w:rsidRPr="00D3271F" w:rsidRDefault="00B9799F" w:rsidP="00BC4EF8">
            <w:pPr>
              <w:pStyle w:val="ListParagraph"/>
              <w:numPr>
                <w:ilvl w:val="0"/>
                <w:numId w:val="4"/>
              </w:numPr>
              <w:jc w:val="both"/>
              <w:rPr>
                <w:rFonts w:ascii="Calibri Light" w:hAnsi="Calibri Light" w:cs="Calibri Light"/>
              </w:rPr>
            </w:pPr>
            <w:r w:rsidRPr="00B9799F">
              <w:rPr>
                <w:rFonts w:ascii="Calibri Light" w:hAnsi="Calibri Light" w:cs="Calibri Light"/>
                <w:b w:val="0"/>
              </w:rPr>
              <w:t>Adoptar medidas administrativas y de otra índole dirigidas a capacitar a los cuerpos de</w:t>
            </w:r>
            <w:r w:rsidRPr="00B9799F">
              <w:rPr>
                <w:rFonts w:ascii="Calibri Light" w:hAnsi="Calibri Light" w:cs="Calibri Light"/>
              </w:rPr>
              <w:t xml:space="preserve"> </w:t>
            </w:r>
            <w:r w:rsidRPr="00B9799F">
              <w:rPr>
                <w:rFonts w:ascii="Calibri Light" w:hAnsi="Calibri Light" w:cs="Calibri Light"/>
                <w:b w:val="0"/>
              </w:rPr>
              <w:t>seguridad en la prohibición absoluta de la tortura. Asimismo, deberá realizar capacitaciones sobre el</w:t>
            </w:r>
            <w:r w:rsidRPr="00B9799F">
              <w:rPr>
                <w:rFonts w:ascii="Calibri Light" w:hAnsi="Calibri Light" w:cs="Calibri Light"/>
              </w:rPr>
              <w:t xml:space="preserve"> </w:t>
            </w:r>
            <w:r w:rsidRPr="00B9799F">
              <w:rPr>
                <w:rFonts w:ascii="Calibri Light" w:hAnsi="Calibri Light" w:cs="Calibri Light"/>
                <w:b w:val="0"/>
              </w:rPr>
              <w:t>uso de la fuerza conforme a los estándares internacionales en el marco de operativos de captura de personas</w:t>
            </w:r>
            <w:r w:rsidRPr="00B9799F">
              <w:rPr>
                <w:rFonts w:ascii="Calibri Light" w:hAnsi="Calibri Light" w:cs="Calibri Light"/>
              </w:rPr>
              <w:t xml:space="preserve"> </w:t>
            </w:r>
            <w:r w:rsidRPr="00B9799F">
              <w:rPr>
                <w:rFonts w:ascii="Calibri Light" w:hAnsi="Calibri Light" w:cs="Calibri Light"/>
                <w:b w:val="0"/>
              </w:rPr>
              <w:t>privadas de libertad</w:t>
            </w:r>
            <w:r w:rsidR="0080087E">
              <w:rPr>
                <w:rFonts w:ascii="Calibri Light" w:hAnsi="Calibri Light" w:cs="Calibri Light"/>
                <w:b w:val="0"/>
              </w:rPr>
              <w:t xml:space="preserve">, así como </w:t>
            </w:r>
            <w:r w:rsidRPr="00B9799F">
              <w:rPr>
                <w:rFonts w:ascii="Calibri Light" w:hAnsi="Calibri Light" w:cs="Calibri Light"/>
                <w:b w:val="0"/>
              </w:rPr>
              <w:t>adoptar medidas para fortalecer los procesos para investigar, enjuiciar y sancionar a agentes estatales</w:t>
            </w:r>
            <w:r w:rsidRPr="00B9799F">
              <w:rPr>
                <w:rFonts w:ascii="Calibri Light" w:hAnsi="Calibri Light" w:cs="Calibri Light"/>
              </w:rPr>
              <w:t xml:space="preserve"> </w:t>
            </w:r>
            <w:r w:rsidRPr="00B9799F">
              <w:rPr>
                <w:rFonts w:ascii="Calibri Light" w:hAnsi="Calibri Light" w:cs="Calibri Light"/>
                <w:b w:val="0"/>
              </w:rPr>
              <w:t>involucrados en actos de tortura o en violaciones de derechos humanos en el contexto de operativos de</w:t>
            </w:r>
            <w:r>
              <w:rPr>
                <w:rFonts w:ascii="Calibri Light" w:hAnsi="Calibri Light" w:cs="Calibri Light"/>
                <w:b w:val="0"/>
              </w:rPr>
              <w:t xml:space="preserve"> </w:t>
            </w:r>
            <w:r w:rsidRPr="00B9799F">
              <w:rPr>
                <w:rFonts w:ascii="Calibri Light" w:hAnsi="Calibri Light" w:cs="Calibri Light"/>
                <w:b w:val="0"/>
              </w:rPr>
              <w:t>captura de personas fugadas.</w:t>
            </w:r>
          </w:p>
        </w:tc>
      </w:tr>
      <w:tr w:rsidR="00D95C84" w:rsidRPr="004533E5" w14:paraId="0B7CC98E" w14:textId="77777777" w:rsidTr="00BC4EF8">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auto"/>
          </w:tcPr>
          <w:p w14:paraId="5BD691B7" w14:textId="77777777" w:rsidR="00BC4EF8" w:rsidRPr="00BC4EF8" w:rsidRDefault="00BC4EF8" w:rsidP="00BC4EF8">
            <w:pPr>
              <w:pStyle w:val="ListParagraph"/>
              <w:spacing w:after="200" w:line="276" w:lineRule="auto"/>
              <w:rPr>
                <w:rFonts w:ascii="Calibri Light" w:hAnsi="Calibri Light"/>
                <w:b w:val="0"/>
              </w:rPr>
            </w:pPr>
          </w:p>
          <w:p w14:paraId="3C93C1C0" w14:textId="168E5164" w:rsidR="00D95C84" w:rsidRPr="00310836" w:rsidRDefault="00D95C84" w:rsidP="00BC4EF8">
            <w:pPr>
              <w:pStyle w:val="ListParagraph"/>
              <w:numPr>
                <w:ilvl w:val="0"/>
                <w:numId w:val="2"/>
              </w:numPr>
              <w:spacing w:after="200" w:line="276" w:lineRule="auto"/>
              <w:jc w:val="center"/>
              <w:rPr>
                <w:rFonts w:ascii="Calibri Light" w:hAnsi="Calibri Light"/>
                <w:b w:val="0"/>
              </w:rPr>
            </w:pPr>
            <w:r w:rsidRPr="00310836">
              <w:rPr>
                <w:rFonts w:ascii="Calibri Light" w:hAnsi="Calibri Light"/>
              </w:rPr>
              <w:t>Análisis de cumplimiento de las recomendaciones</w:t>
            </w:r>
          </w:p>
        </w:tc>
      </w:tr>
      <w:tr w:rsidR="00D95C84" w:rsidRPr="004533E5" w14:paraId="41FA15A1" w14:textId="77777777" w:rsidTr="00BC4EF8">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DBE5F1" w:themeFill="accent1" w:themeFillTint="33"/>
            <w:vAlign w:val="center"/>
          </w:tcPr>
          <w:p w14:paraId="1F3EA985" w14:textId="4AF54DBF" w:rsidR="00D95C84" w:rsidRPr="00310836" w:rsidRDefault="00D95C84" w:rsidP="00BC4EF8">
            <w:pPr>
              <w:pStyle w:val="ListParagraph"/>
              <w:ind w:left="0"/>
              <w:jc w:val="center"/>
              <w:rPr>
                <w:rFonts w:ascii="Calibri Light" w:hAnsi="Calibri Light"/>
                <w:b w:val="0"/>
              </w:rPr>
            </w:pPr>
            <w:r w:rsidRPr="00310836">
              <w:rPr>
                <w:rFonts w:ascii="Calibri Light" w:hAnsi="Calibri Light"/>
                <w:b w:val="0"/>
              </w:rPr>
              <w:t>-</w:t>
            </w:r>
          </w:p>
        </w:tc>
      </w:tr>
    </w:tbl>
    <w:p w14:paraId="23A9A3C3" w14:textId="77777777" w:rsidR="00714E42" w:rsidRDefault="00714E42" w:rsidP="00BC4EF8"/>
    <w:sectPr w:rsidR="00714E42"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F23FB" w14:textId="77777777" w:rsidR="00C94616" w:rsidRDefault="00C94616" w:rsidP="00A65231">
      <w:pPr>
        <w:spacing w:after="0" w:line="240" w:lineRule="auto"/>
      </w:pPr>
      <w:r>
        <w:separator/>
      </w:r>
    </w:p>
  </w:endnote>
  <w:endnote w:type="continuationSeparator" w:id="0">
    <w:p w14:paraId="3069D481" w14:textId="77777777" w:rsidR="00C94616" w:rsidRDefault="00C94616"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hAnsi="Calibri Light"/>
      </w:rPr>
      <w:id w:val="210471937"/>
      <w:docPartObj>
        <w:docPartGallery w:val="Page Numbers (Bottom of Page)"/>
        <w:docPartUnique/>
      </w:docPartObj>
    </w:sdtPr>
    <w:sdtEndPr/>
    <w:sdtContent>
      <w:p w14:paraId="23A746CC" w14:textId="02CAB84F" w:rsidR="00F45EBB" w:rsidRPr="00BC4EF8" w:rsidRDefault="00F45EBB">
        <w:pPr>
          <w:pStyle w:val="Footer"/>
          <w:jc w:val="right"/>
          <w:rPr>
            <w:rFonts w:ascii="Calibri Light" w:hAnsi="Calibri Light"/>
          </w:rPr>
        </w:pPr>
        <w:r w:rsidRPr="00BC4EF8">
          <w:rPr>
            <w:rFonts w:ascii="Calibri Light" w:hAnsi="Calibri Light"/>
          </w:rPr>
          <w:fldChar w:fldCharType="begin"/>
        </w:r>
        <w:r w:rsidRPr="00BC4EF8">
          <w:rPr>
            <w:rFonts w:ascii="Calibri Light" w:hAnsi="Calibri Light"/>
          </w:rPr>
          <w:instrText>PAGE   \* MERGEFORMAT</w:instrText>
        </w:r>
        <w:r w:rsidRPr="00BC4EF8">
          <w:rPr>
            <w:rFonts w:ascii="Calibri Light" w:hAnsi="Calibri Light"/>
          </w:rPr>
          <w:fldChar w:fldCharType="separate"/>
        </w:r>
        <w:r w:rsidR="00741B3D" w:rsidRPr="00741B3D">
          <w:rPr>
            <w:rFonts w:ascii="Calibri Light" w:hAnsi="Calibri Light"/>
            <w:noProof/>
            <w:lang w:val="es-ES"/>
          </w:rPr>
          <w:t>1</w:t>
        </w:r>
        <w:r w:rsidRPr="00BC4EF8">
          <w:rPr>
            <w:rFonts w:ascii="Calibri Light" w:hAnsi="Calibri Light"/>
          </w:rPr>
          <w:fldChar w:fldCharType="end"/>
        </w:r>
      </w:p>
    </w:sdtContent>
  </w:sdt>
  <w:p w14:paraId="6353BB13" w14:textId="77777777" w:rsidR="00F45EBB" w:rsidRPr="00BC4EF8" w:rsidRDefault="00F45EBB">
    <w:pPr>
      <w:pStyle w:val="Footer"/>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F7476" w14:textId="77777777" w:rsidR="00C94616" w:rsidRDefault="00C94616" w:rsidP="00A65231">
      <w:pPr>
        <w:spacing w:after="0" w:line="240" w:lineRule="auto"/>
      </w:pPr>
      <w:r>
        <w:separator/>
      </w:r>
    </w:p>
  </w:footnote>
  <w:footnote w:type="continuationSeparator" w:id="0">
    <w:p w14:paraId="11E429F4" w14:textId="77777777" w:rsidR="00C94616" w:rsidRDefault="00C94616"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61234EA"/>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81334F"/>
    <w:multiLevelType w:val="hybridMultilevel"/>
    <w:tmpl w:val="D9A89592"/>
    <w:lvl w:ilvl="0" w:tplc="6C44FBE2">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40125F"/>
    <w:multiLevelType w:val="hybridMultilevel"/>
    <w:tmpl w:val="14741F4E"/>
    <w:lvl w:ilvl="0" w:tplc="D794FB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B3C6EF6"/>
    <w:multiLevelType w:val="hybridMultilevel"/>
    <w:tmpl w:val="56C8CD10"/>
    <w:lvl w:ilvl="0" w:tplc="0246725A">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0D38AD"/>
    <w:multiLevelType w:val="hybridMultilevel"/>
    <w:tmpl w:val="C068DABC"/>
    <w:lvl w:ilvl="0" w:tplc="A10A91B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4"/>
  </w:num>
  <w:num w:numId="6">
    <w:abstractNumId w:val="9"/>
  </w:num>
  <w:num w:numId="7">
    <w:abstractNumId w:val="6"/>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151DD"/>
    <w:rsid w:val="00027257"/>
    <w:rsid w:val="00046CA4"/>
    <w:rsid w:val="00050512"/>
    <w:rsid w:val="00061E2D"/>
    <w:rsid w:val="000752B6"/>
    <w:rsid w:val="0008203A"/>
    <w:rsid w:val="000A0C5C"/>
    <w:rsid w:val="000A1C6B"/>
    <w:rsid w:val="000C2ED1"/>
    <w:rsid w:val="000C59CC"/>
    <w:rsid w:val="000C5A72"/>
    <w:rsid w:val="000D3CF2"/>
    <w:rsid w:val="000D7CFC"/>
    <w:rsid w:val="000F12DB"/>
    <w:rsid w:val="000F2C70"/>
    <w:rsid w:val="001026DE"/>
    <w:rsid w:val="00103C4C"/>
    <w:rsid w:val="001077C9"/>
    <w:rsid w:val="00111A5A"/>
    <w:rsid w:val="001179F9"/>
    <w:rsid w:val="00117B5F"/>
    <w:rsid w:val="00121A4F"/>
    <w:rsid w:val="001231B8"/>
    <w:rsid w:val="00131F0F"/>
    <w:rsid w:val="0013305D"/>
    <w:rsid w:val="00142A41"/>
    <w:rsid w:val="00162881"/>
    <w:rsid w:val="00163A69"/>
    <w:rsid w:val="001650FF"/>
    <w:rsid w:val="00166967"/>
    <w:rsid w:val="001754B7"/>
    <w:rsid w:val="001A14F7"/>
    <w:rsid w:val="001A2DF7"/>
    <w:rsid w:val="001B68A4"/>
    <w:rsid w:val="001C0894"/>
    <w:rsid w:val="001C28EC"/>
    <w:rsid w:val="001D066F"/>
    <w:rsid w:val="001E7859"/>
    <w:rsid w:val="00212F62"/>
    <w:rsid w:val="00213757"/>
    <w:rsid w:val="00216A2A"/>
    <w:rsid w:val="00220B75"/>
    <w:rsid w:val="0022426F"/>
    <w:rsid w:val="002254C8"/>
    <w:rsid w:val="00226BE9"/>
    <w:rsid w:val="00237E09"/>
    <w:rsid w:val="00243C42"/>
    <w:rsid w:val="00246F9C"/>
    <w:rsid w:val="00252E50"/>
    <w:rsid w:val="002673A1"/>
    <w:rsid w:val="002720DA"/>
    <w:rsid w:val="00273EA6"/>
    <w:rsid w:val="00280835"/>
    <w:rsid w:val="00287BBC"/>
    <w:rsid w:val="0029049D"/>
    <w:rsid w:val="00291796"/>
    <w:rsid w:val="00291F24"/>
    <w:rsid w:val="002921C9"/>
    <w:rsid w:val="002938AF"/>
    <w:rsid w:val="002940DC"/>
    <w:rsid w:val="00295E72"/>
    <w:rsid w:val="0029671B"/>
    <w:rsid w:val="002B2C58"/>
    <w:rsid w:val="002C44F3"/>
    <w:rsid w:val="002C4CED"/>
    <w:rsid w:val="002C4DBD"/>
    <w:rsid w:val="002C67E8"/>
    <w:rsid w:val="002D1D2F"/>
    <w:rsid w:val="002D4A90"/>
    <w:rsid w:val="002D5158"/>
    <w:rsid w:val="002D7F8F"/>
    <w:rsid w:val="002E18A5"/>
    <w:rsid w:val="002E4FA0"/>
    <w:rsid w:val="002F4E35"/>
    <w:rsid w:val="002F7136"/>
    <w:rsid w:val="00310250"/>
    <w:rsid w:val="00310836"/>
    <w:rsid w:val="003111DB"/>
    <w:rsid w:val="00313025"/>
    <w:rsid w:val="00317EE5"/>
    <w:rsid w:val="0033703C"/>
    <w:rsid w:val="003501C8"/>
    <w:rsid w:val="003570F3"/>
    <w:rsid w:val="00365121"/>
    <w:rsid w:val="00367D59"/>
    <w:rsid w:val="00370DF7"/>
    <w:rsid w:val="00382199"/>
    <w:rsid w:val="003920AF"/>
    <w:rsid w:val="00393029"/>
    <w:rsid w:val="00394D84"/>
    <w:rsid w:val="003A0CC7"/>
    <w:rsid w:val="003B0A2C"/>
    <w:rsid w:val="003B2C71"/>
    <w:rsid w:val="003B2D4F"/>
    <w:rsid w:val="003C7680"/>
    <w:rsid w:val="003D1260"/>
    <w:rsid w:val="003E2B29"/>
    <w:rsid w:val="003E6AB8"/>
    <w:rsid w:val="00411A74"/>
    <w:rsid w:val="00414F2C"/>
    <w:rsid w:val="00421D6C"/>
    <w:rsid w:val="00423B23"/>
    <w:rsid w:val="0042581C"/>
    <w:rsid w:val="00427D07"/>
    <w:rsid w:val="00441ADC"/>
    <w:rsid w:val="00450046"/>
    <w:rsid w:val="00451809"/>
    <w:rsid w:val="00452AA6"/>
    <w:rsid w:val="004533E5"/>
    <w:rsid w:val="00464CAC"/>
    <w:rsid w:val="004839E2"/>
    <w:rsid w:val="004858A8"/>
    <w:rsid w:val="004861D8"/>
    <w:rsid w:val="004933D5"/>
    <w:rsid w:val="004A045B"/>
    <w:rsid w:val="004A3A07"/>
    <w:rsid w:val="004A57B6"/>
    <w:rsid w:val="004B1311"/>
    <w:rsid w:val="004B2686"/>
    <w:rsid w:val="004B650C"/>
    <w:rsid w:val="004C0481"/>
    <w:rsid w:val="004C2E50"/>
    <w:rsid w:val="004D03D5"/>
    <w:rsid w:val="004E58DE"/>
    <w:rsid w:val="004E678F"/>
    <w:rsid w:val="004F061A"/>
    <w:rsid w:val="004F4491"/>
    <w:rsid w:val="004F46C9"/>
    <w:rsid w:val="004F706B"/>
    <w:rsid w:val="005000F5"/>
    <w:rsid w:val="0051197B"/>
    <w:rsid w:val="005153A6"/>
    <w:rsid w:val="005173CF"/>
    <w:rsid w:val="00542A5B"/>
    <w:rsid w:val="005509F9"/>
    <w:rsid w:val="005520BA"/>
    <w:rsid w:val="00557C90"/>
    <w:rsid w:val="005612FD"/>
    <w:rsid w:val="00561359"/>
    <w:rsid w:val="005631C8"/>
    <w:rsid w:val="00580A2E"/>
    <w:rsid w:val="005A1DB6"/>
    <w:rsid w:val="005A2A0C"/>
    <w:rsid w:val="005C3229"/>
    <w:rsid w:val="005C7F1E"/>
    <w:rsid w:val="005D4FDF"/>
    <w:rsid w:val="005D787F"/>
    <w:rsid w:val="005F442D"/>
    <w:rsid w:val="006007A4"/>
    <w:rsid w:val="006051D5"/>
    <w:rsid w:val="00613D24"/>
    <w:rsid w:val="00620BB4"/>
    <w:rsid w:val="00640787"/>
    <w:rsid w:val="006407DD"/>
    <w:rsid w:val="00662334"/>
    <w:rsid w:val="00672538"/>
    <w:rsid w:val="00676230"/>
    <w:rsid w:val="00682FB2"/>
    <w:rsid w:val="006853B3"/>
    <w:rsid w:val="00685F04"/>
    <w:rsid w:val="006A3F5E"/>
    <w:rsid w:val="006A4E40"/>
    <w:rsid w:val="006A6517"/>
    <w:rsid w:val="006B4F38"/>
    <w:rsid w:val="006C2030"/>
    <w:rsid w:val="006D488A"/>
    <w:rsid w:val="006F0396"/>
    <w:rsid w:val="00700883"/>
    <w:rsid w:val="0070524A"/>
    <w:rsid w:val="00714E42"/>
    <w:rsid w:val="00723CD7"/>
    <w:rsid w:val="0073272E"/>
    <w:rsid w:val="00732BC0"/>
    <w:rsid w:val="00732EDB"/>
    <w:rsid w:val="00733A0E"/>
    <w:rsid w:val="00733E0F"/>
    <w:rsid w:val="00741B3D"/>
    <w:rsid w:val="00745A34"/>
    <w:rsid w:val="00747E22"/>
    <w:rsid w:val="00750A6A"/>
    <w:rsid w:val="007518FD"/>
    <w:rsid w:val="007532FD"/>
    <w:rsid w:val="0075589C"/>
    <w:rsid w:val="007572E9"/>
    <w:rsid w:val="007575B2"/>
    <w:rsid w:val="00762060"/>
    <w:rsid w:val="007839D3"/>
    <w:rsid w:val="00790783"/>
    <w:rsid w:val="00794463"/>
    <w:rsid w:val="0079477F"/>
    <w:rsid w:val="007A6C56"/>
    <w:rsid w:val="007B1131"/>
    <w:rsid w:val="007B2A0D"/>
    <w:rsid w:val="007B39E9"/>
    <w:rsid w:val="007B3F30"/>
    <w:rsid w:val="007B7ED8"/>
    <w:rsid w:val="007C1F53"/>
    <w:rsid w:val="007C597B"/>
    <w:rsid w:val="007E382B"/>
    <w:rsid w:val="007F73E0"/>
    <w:rsid w:val="0080087E"/>
    <w:rsid w:val="00802D6A"/>
    <w:rsid w:val="008036E7"/>
    <w:rsid w:val="00803857"/>
    <w:rsid w:val="00803879"/>
    <w:rsid w:val="0082128D"/>
    <w:rsid w:val="00826869"/>
    <w:rsid w:val="008416CC"/>
    <w:rsid w:val="00841B0E"/>
    <w:rsid w:val="00850A45"/>
    <w:rsid w:val="00852951"/>
    <w:rsid w:val="00862F09"/>
    <w:rsid w:val="00865E7D"/>
    <w:rsid w:val="00866A4D"/>
    <w:rsid w:val="008704B9"/>
    <w:rsid w:val="00871530"/>
    <w:rsid w:val="008742D2"/>
    <w:rsid w:val="008A0F6C"/>
    <w:rsid w:val="008D1B19"/>
    <w:rsid w:val="008E6CC6"/>
    <w:rsid w:val="008F0C5B"/>
    <w:rsid w:val="009022E2"/>
    <w:rsid w:val="0090367F"/>
    <w:rsid w:val="00910F83"/>
    <w:rsid w:val="00921D52"/>
    <w:rsid w:val="009261E2"/>
    <w:rsid w:val="00931244"/>
    <w:rsid w:val="009363AD"/>
    <w:rsid w:val="0094045D"/>
    <w:rsid w:val="009416BB"/>
    <w:rsid w:val="00947225"/>
    <w:rsid w:val="0094730B"/>
    <w:rsid w:val="00954E20"/>
    <w:rsid w:val="00970941"/>
    <w:rsid w:val="00975D0F"/>
    <w:rsid w:val="00984BBF"/>
    <w:rsid w:val="00987DF7"/>
    <w:rsid w:val="00996958"/>
    <w:rsid w:val="009978DE"/>
    <w:rsid w:val="009B0A86"/>
    <w:rsid w:val="009C2C05"/>
    <w:rsid w:val="009D0980"/>
    <w:rsid w:val="009D24D2"/>
    <w:rsid w:val="009D4E29"/>
    <w:rsid w:val="009E6228"/>
    <w:rsid w:val="009F6931"/>
    <w:rsid w:val="00A018FC"/>
    <w:rsid w:val="00A01C9E"/>
    <w:rsid w:val="00A06F98"/>
    <w:rsid w:val="00A125A9"/>
    <w:rsid w:val="00A133CC"/>
    <w:rsid w:val="00A208BC"/>
    <w:rsid w:val="00A271BF"/>
    <w:rsid w:val="00A3105E"/>
    <w:rsid w:val="00A423CC"/>
    <w:rsid w:val="00A438B0"/>
    <w:rsid w:val="00A4435A"/>
    <w:rsid w:val="00A50D3C"/>
    <w:rsid w:val="00A525F0"/>
    <w:rsid w:val="00A5581A"/>
    <w:rsid w:val="00A55898"/>
    <w:rsid w:val="00A5733A"/>
    <w:rsid w:val="00A60087"/>
    <w:rsid w:val="00A65231"/>
    <w:rsid w:val="00A70B2A"/>
    <w:rsid w:val="00A76CB4"/>
    <w:rsid w:val="00A85413"/>
    <w:rsid w:val="00A85DC9"/>
    <w:rsid w:val="00A91B24"/>
    <w:rsid w:val="00A94EE7"/>
    <w:rsid w:val="00AA6676"/>
    <w:rsid w:val="00AB1503"/>
    <w:rsid w:val="00AC56D8"/>
    <w:rsid w:val="00AC5A6A"/>
    <w:rsid w:val="00AC6F31"/>
    <w:rsid w:val="00AD36B4"/>
    <w:rsid w:val="00AE31D9"/>
    <w:rsid w:val="00AF0F2A"/>
    <w:rsid w:val="00AF2E49"/>
    <w:rsid w:val="00AF5672"/>
    <w:rsid w:val="00B07E72"/>
    <w:rsid w:val="00B1308C"/>
    <w:rsid w:val="00B15F5E"/>
    <w:rsid w:val="00B17785"/>
    <w:rsid w:val="00B301D6"/>
    <w:rsid w:val="00B31B0E"/>
    <w:rsid w:val="00B3492D"/>
    <w:rsid w:val="00B379D5"/>
    <w:rsid w:val="00B44EA1"/>
    <w:rsid w:val="00B51A2E"/>
    <w:rsid w:val="00B535C2"/>
    <w:rsid w:val="00B55B40"/>
    <w:rsid w:val="00B56E3A"/>
    <w:rsid w:val="00B6265F"/>
    <w:rsid w:val="00B6607C"/>
    <w:rsid w:val="00B71B8C"/>
    <w:rsid w:val="00B74514"/>
    <w:rsid w:val="00B771B5"/>
    <w:rsid w:val="00B84CF3"/>
    <w:rsid w:val="00B90050"/>
    <w:rsid w:val="00B93CB9"/>
    <w:rsid w:val="00B9799F"/>
    <w:rsid w:val="00BA0B2B"/>
    <w:rsid w:val="00BA2B50"/>
    <w:rsid w:val="00BA7DB9"/>
    <w:rsid w:val="00BB61C6"/>
    <w:rsid w:val="00BC2CE4"/>
    <w:rsid w:val="00BC4EF8"/>
    <w:rsid w:val="00BC6AC9"/>
    <w:rsid w:val="00BD48E5"/>
    <w:rsid w:val="00BE4AFD"/>
    <w:rsid w:val="00BE5706"/>
    <w:rsid w:val="00BE6FA1"/>
    <w:rsid w:val="00BF2A00"/>
    <w:rsid w:val="00BF45AC"/>
    <w:rsid w:val="00BF4A17"/>
    <w:rsid w:val="00C10BC5"/>
    <w:rsid w:val="00C12A0A"/>
    <w:rsid w:val="00C20AC7"/>
    <w:rsid w:val="00C31DFF"/>
    <w:rsid w:val="00C44544"/>
    <w:rsid w:val="00C47FFC"/>
    <w:rsid w:val="00C542EC"/>
    <w:rsid w:val="00C61809"/>
    <w:rsid w:val="00C627BB"/>
    <w:rsid w:val="00C63B25"/>
    <w:rsid w:val="00C72CF5"/>
    <w:rsid w:val="00C81C09"/>
    <w:rsid w:val="00C86F65"/>
    <w:rsid w:val="00C9455E"/>
    <w:rsid w:val="00C94616"/>
    <w:rsid w:val="00C95883"/>
    <w:rsid w:val="00C96CA0"/>
    <w:rsid w:val="00CB180B"/>
    <w:rsid w:val="00CC717F"/>
    <w:rsid w:val="00CC76A5"/>
    <w:rsid w:val="00CE7C84"/>
    <w:rsid w:val="00CF2D40"/>
    <w:rsid w:val="00D01DC9"/>
    <w:rsid w:val="00D045D3"/>
    <w:rsid w:val="00D0696E"/>
    <w:rsid w:val="00D10449"/>
    <w:rsid w:val="00D26F2D"/>
    <w:rsid w:val="00D3271F"/>
    <w:rsid w:val="00D51658"/>
    <w:rsid w:val="00D826A7"/>
    <w:rsid w:val="00D90242"/>
    <w:rsid w:val="00D95C84"/>
    <w:rsid w:val="00DA3B8C"/>
    <w:rsid w:val="00DC299D"/>
    <w:rsid w:val="00DC5670"/>
    <w:rsid w:val="00DD3C7C"/>
    <w:rsid w:val="00DD4004"/>
    <w:rsid w:val="00DD4037"/>
    <w:rsid w:val="00DD77C0"/>
    <w:rsid w:val="00DE205D"/>
    <w:rsid w:val="00DE3223"/>
    <w:rsid w:val="00DF2AFB"/>
    <w:rsid w:val="00DF479D"/>
    <w:rsid w:val="00E02F25"/>
    <w:rsid w:val="00E03714"/>
    <w:rsid w:val="00E13FCE"/>
    <w:rsid w:val="00E35FF7"/>
    <w:rsid w:val="00E374E5"/>
    <w:rsid w:val="00E549C0"/>
    <w:rsid w:val="00E6558E"/>
    <w:rsid w:val="00E70716"/>
    <w:rsid w:val="00E76CF3"/>
    <w:rsid w:val="00E82999"/>
    <w:rsid w:val="00E82DAF"/>
    <w:rsid w:val="00E91CB8"/>
    <w:rsid w:val="00E94DC4"/>
    <w:rsid w:val="00EA3250"/>
    <w:rsid w:val="00EB3809"/>
    <w:rsid w:val="00EB47E0"/>
    <w:rsid w:val="00EC207D"/>
    <w:rsid w:val="00EC2C0C"/>
    <w:rsid w:val="00EC4E9F"/>
    <w:rsid w:val="00ED1B65"/>
    <w:rsid w:val="00ED54AB"/>
    <w:rsid w:val="00ED6510"/>
    <w:rsid w:val="00EE1E1D"/>
    <w:rsid w:val="00EE6130"/>
    <w:rsid w:val="00EF1844"/>
    <w:rsid w:val="00F06184"/>
    <w:rsid w:val="00F07CF4"/>
    <w:rsid w:val="00F30F76"/>
    <w:rsid w:val="00F3280D"/>
    <w:rsid w:val="00F35633"/>
    <w:rsid w:val="00F45EBB"/>
    <w:rsid w:val="00F464EC"/>
    <w:rsid w:val="00F505FB"/>
    <w:rsid w:val="00F53444"/>
    <w:rsid w:val="00F55CD0"/>
    <w:rsid w:val="00F61401"/>
    <w:rsid w:val="00F64973"/>
    <w:rsid w:val="00F654E4"/>
    <w:rsid w:val="00F7009B"/>
    <w:rsid w:val="00F70729"/>
    <w:rsid w:val="00F725A5"/>
    <w:rsid w:val="00F83405"/>
    <w:rsid w:val="00F845A6"/>
    <w:rsid w:val="00FB0F60"/>
    <w:rsid w:val="00FB1A15"/>
    <w:rsid w:val="00FB1D17"/>
    <w:rsid w:val="00FB543A"/>
    <w:rsid w:val="00FB77E7"/>
    <w:rsid w:val="00FC056E"/>
    <w:rsid w:val="00FE0200"/>
    <w:rsid w:val="00FE1023"/>
    <w:rsid w:val="00FE2BA4"/>
    <w:rsid w:val="00FE3FFE"/>
    <w:rsid w:val="00FF0EB7"/>
    <w:rsid w:val="00FF34A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 w:type="paragraph" w:styleId="FootnoteText">
    <w:name w:val="footnote text"/>
    <w:basedOn w:val="Normal"/>
    <w:link w:val="FootnoteTextChar"/>
    <w:uiPriority w:val="99"/>
    <w:semiHidden/>
    <w:unhideWhenUsed/>
    <w:rsid w:val="00BA0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B2B"/>
    <w:rPr>
      <w:rFonts w:ascii="Calibri" w:eastAsia="Calibri" w:hAnsi="Calibri" w:cs="Times New Roman"/>
      <w:sz w:val="20"/>
      <w:szCs w:val="20"/>
      <w:lang w:val="es-MX"/>
    </w:rPr>
  </w:style>
  <w:style w:type="character" w:styleId="FootnoteReference">
    <w:name w:val="footnote reference"/>
    <w:basedOn w:val="DefaultParagraphFont"/>
    <w:uiPriority w:val="99"/>
    <w:semiHidden/>
    <w:unhideWhenUsed/>
    <w:rsid w:val="00BA0B2B"/>
    <w:rPr>
      <w:vertAlign w:val="superscript"/>
    </w:rPr>
  </w:style>
  <w:style w:type="paragraph" w:customStyle="1" w:styleId="Default">
    <w:name w:val="Default"/>
    <w:rsid w:val="005D787F"/>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2C4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4sp/Guatemala.723.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8/12452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386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6140-7955-4691-A276-645AFD74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3027</Words>
  <Characters>17257</Characters>
  <Application>Microsoft Office Word</Application>
  <DocSecurity>0</DocSecurity>
  <Lines>143</Lines>
  <Paragraphs>40</Paragraphs>
  <ScaleCrop>false</ScaleCrop>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2021-02-11T09:50:00Z</dcterms:created>
  <dcterms:modified xsi:type="dcterms:W3CDTF">2021-02-11T09:50:00Z</dcterms:modified>
</cp:coreProperties>
</file>