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09C27" w14:textId="77777777" w:rsidR="003A4D24" w:rsidRDefault="003A4D24" w:rsidP="003A4D24">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2ADEA30" wp14:editId="04FDF381">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1D735AF5" wp14:editId="6D751A3B">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407C303C" wp14:editId="77534FBA">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36A85" w14:textId="77777777" w:rsidR="003A4D24" w:rsidRPr="00411A74" w:rsidRDefault="003A4D24" w:rsidP="003A4D24">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66F74CE1" w14:textId="4E558F6C" w:rsidR="001A420F" w:rsidRPr="003A4D24" w:rsidRDefault="003A4D24" w:rsidP="003A4D24">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678"/>
        <w:gridCol w:w="2490"/>
        <w:gridCol w:w="2553"/>
      </w:tblGrid>
      <w:tr w:rsidR="005173CF" w:rsidRPr="00F479BE"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F479BE" w:rsidRDefault="00AC6F31" w:rsidP="00AC6F31">
            <w:pPr>
              <w:pStyle w:val="ListParagraph"/>
              <w:rPr>
                <w:rFonts w:ascii="Calibri Light" w:hAnsi="Calibri Light"/>
              </w:rPr>
            </w:pPr>
          </w:p>
          <w:p w14:paraId="160CE2AC" w14:textId="77777777" w:rsidR="00212F62" w:rsidRPr="00F479BE" w:rsidRDefault="007A6C56" w:rsidP="00AC6F31">
            <w:pPr>
              <w:pStyle w:val="ListParagraph"/>
              <w:numPr>
                <w:ilvl w:val="0"/>
                <w:numId w:val="2"/>
              </w:numPr>
              <w:jc w:val="center"/>
              <w:rPr>
                <w:rFonts w:ascii="Calibri Light" w:hAnsi="Calibri Light"/>
              </w:rPr>
            </w:pPr>
            <w:r w:rsidRPr="00F479BE">
              <w:rPr>
                <w:rFonts w:ascii="Calibri Light" w:hAnsi="Calibri Light"/>
              </w:rPr>
              <w:t>Datos generales</w:t>
            </w:r>
          </w:p>
          <w:p w14:paraId="6C5B323B" w14:textId="6BA3A748" w:rsidR="00AC6F31" w:rsidRPr="00F479BE" w:rsidRDefault="00AC6F31" w:rsidP="00AC6F31">
            <w:pPr>
              <w:pStyle w:val="ListParagraph"/>
              <w:rPr>
                <w:rFonts w:ascii="Calibri Light" w:hAnsi="Calibri Light"/>
              </w:rPr>
            </w:pPr>
          </w:p>
        </w:tc>
      </w:tr>
      <w:tr w:rsidR="004533E5" w:rsidRPr="00F479BE"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F479BE" w:rsidRDefault="007A6C56" w:rsidP="00A65231">
            <w:pPr>
              <w:pStyle w:val="ListParagraph"/>
              <w:numPr>
                <w:ilvl w:val="0"/>
                <w:numId w:val="3"/>
              </w:numPr>
              <w:rPr>
                <w:rFonts w:ascii="Calibri Light" w:hAnsi="Calibri Light"/>
              </w:rPr>
            </w:pPr>
            <w:r w:rsidRPr="00F479BE">
              <w:rPr>
                <w:rFonts w:ascii="Calibri Light" w:hAnsi="Calibri Light"/>
              </w:rPr>
              <w:t>Nombre del caso</w:t>
            </w:r>
          </w:p>
        </w:tc>
        <w:tc>
          <w:tcPr>
            <w:tcW w:w="5043" w:type="dxa"/>
            <w:gridSpan w:val="2"/>
          </w:tcPr>
          <w:p w14:paraId="084A5991" w14:textId="1CED76AE" w:rsidR="005173CF" w:rsidRPr="00F479BE" w:rsidRDefault="001A420F" w:rsidP="003E588B">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F479BE">
              <w:rPr>
                <w:rFonts w:ascii="Calibri Light" w:hAnsi="Calibri Light"/>
              </w:rPr>
              <w:t>James Judge</w:t>
            </w:r>
            <w:r w:rsidR="003E588B" w:rsidRPr="00F479BE">
              <w:rPr>
                <w:rFonts w:ascii="Calibri Light" w:hAnsi="Calibri Light"/>
              </w:rPr>
              <w:t>,</w:t>
            </w:r>
            <w:r w:rsidRPr="00F479BE">
              <w:rPr>
                <w:rFonts w:ascii="Calibri Light" w:hAnsi="Calibri Light"/>
              </w:rPr>
              <w:t xml:space="preserve"> Ecuador</w:t>
            </w:r>
          </w:p>
        </w:tc>
      </w:tr>
      <w:tr w:rsidR="00F464EC" w:rsidRPr="00F479BE"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5CEEA43C" w:rsidR="00F464EC" w:rsidRPr="00F479BE" w:rsidRDefault="003E588B" w:rsidP="00A65231">
            <w:pPr>
              <w:pStyle w:val="ListParagraph"/>
              <w:numPr>
                <w:ilvl w:val="0"/>
                <w:numId w:val="3"/>
              </w:numPr>
              <w:rPr>
                <w:rFonts w:ascii="Calibri Light" w:hAnsi="Calibri Light"/>
              </w:rPr>
            </w:pPr>
            <w:r w:rsidRPr="00F479BE">
              <w:rPr>
                <w:rFonts w:ascii="Calibri Light" w:hAnsi="Calibri Light"/>
              </w:rPr>
              <w:t>Parte peticionaria</w:t>
            </w:r>
          </w:p>
        </w:tc>
        <w:tc>
          <w:tcPr>
            <w:tcW w:w="5043" w:type="dxa"/>
            <w:gridSpan w:val="2"/>
          </w:tcPr>
          <w:p w14:paraId="374B2A68" w14:textId="2FB89BA9" w:rsidR="00F464EC" w:rsidRPr="00F479BE" w:rsidRDefault="001A420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F479BE">
              <w:rPr>
                <w:rFonts w:ascii="Calibri Light" w:hAnsi="Calibri Light"/>
              </w:rPr>
              <w:t>James Judge</w:t>
            </w:r>
          </w:p>
        </w:tc>
      </w:tr>
      <w:tr w:rsidR="005173CF" w:rsidRPr="00F479BE"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F479BE" w:rsidRDefault="007A6C56" w:rsidP="00A65231">
            <w:pPr>
              <w:pStyle w:val="ListParagraph"/>
              <w:numPr>
                <w:ilvl w:val="0"/>
                <w:numId w:val="3"/>
              </w:numPr>
              <w:rPr>
                <w:rFonts w:ascii="Calibri Light" w:hAnsi="Calibri Light"/>
              </w:rPr>
            </w:pPr>
            <w:r w:rsidRPr="00F479BE">
              <w:rPr>
                <w:rFonts w:ascii="Calibri Light" w:hAnsi="Calibri Light"/>
              </w:rPr>
              <w:t xml:space="preserve">Número de Informe </w:t>
            </w:r>
          </w:p>
        </w:tc>
        <w:tc>
          <w:tcPr>
            <w:tcW w:w="5043" w:type="dxa"/>
            <w:gridSpan w:val="2"/>
          </w:tcPr>
          <w:p w14:paraId="77740DF4" w14:textId="35D959F3" w:rsidR="005173CF" w:rsidRPr="00F479BE" w:rsidRDefault="002F669C" w:rsidP="00F07CF4">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1A420F" w:rsidRPr="00F479BE">
                <w:rPr>
                  <w:rStyle w:val="Hyperlink"/>
                  <w:rFonts w:ascii="Calibri Light" w:hAnsi="Calibri Light"/>
                </w:rPr>
                <w:t>Informe No. 44/17</w:t>
              </w:r>
            </w:hyperlink>
          </w:p>
        </w:tc>
      </w:tr>
      <w:tr w:rsidR="004533E5" w:rsidRPr="00F479BE"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479BE" w:rsidRDefault="00954E20" w:rsidP="00954E20">
            <w:pPr>
              <w:pStyle w:val="ListParagraph"/>
              <w:numPr>
                <w:ilvl w:val="0"/>
                <w:numId w:val="3"/>
              </w:numPr>
              <w:rPr>
                <w:rFonts w:ascii="Calibri Light" w:hAnsi="Calibri Light"/>
              </w:rPr>
            </w:pPr>
            <w:r w:rsidRPr="00F479BE">
              <w:rPr>
                <w:rFonts w:ascii="Calibri Light" w:hAnsi="Calibri Light"/>
              </w:rPr>
              <w:t xml:space="preserve">Tipo de informe </w:t>
            </w:r>
          </w:p>
        </w:tc>
        <w:tc>
          <w:tcPr>
            <w:tcW w:w="5043" w:type="dxa"/>
            <w:gridSpan w:val="2"/>
          </w:tcPr>
          <w:p w14:paraId="35E9A08D" w14:textId="2F934E1E" w:rsidR="005173CF" w:rsidRPr="00F479BE" w:rsidRDefault="001A420F"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highlight w:val="yellow"/>
              </w:rPr>
            </w:pPr>
            <w:r w:rsidRPr="00F479BE">
              <w:rPr>
                <w:rFonts w:ascii="Calibri Light" w:hAnsi="Calibri Light"/>
              </w:rPr>
              <w:t>Informe de Fondo (Publicación)</w:t>
            </w:r>
          </w:p>
        </w:tc>
      </w:tr>
      <w:tr w:rsidR="005173CF" w:rsidRPr="00F479BE" w14:paraId="7ED5AB61" w14:textId="77777777" w:rsidTr="00F479B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F479BE" w:rsidRDefault="00954E20" w:rsidP="00A65231">
            <w:pPr>
              <w:pStyle w:val="ListParagraph"/>
              <w:numPr>
                <w:ilvl w:val="0"/>
                <w:numId w:val="3"/>
              </w:numPr>
              <w:rPr>
                <w:rFonts w:ascii="Calibri Light" w:hAnsi="Calibri Light"/>
              </w:rPr>
            </w:pPr>
            <w:r w:rsidRPr="00F479BE">
              <w:rPr>
                <w:rFonts w:ascii="Calibri Light" w:hAnsi="Calibri Light"/>
              </w:rPr>
              <w:t>Fecha</w:t>
            </w:r>
            <w:r w:rsidR="007A6C56" w:rsidRPr="00F479BE">
              <w:rPr>
                <w:rFonts w:ascii="Calibri Light" w:hAnsi="Calibri Light"/>
              </w:rPr>
              <w:t xml:space="preserve"> </w:t>
            </w:r>
          </w:p>
        </w:tc>
        <w:tc>
          <w:tcPr>
            <w:tcW w:w="5043" w:type="dxa"/>
            <w:gridSpan w:val="2"/>
          </w:tcPr>
          <w:p w14:paraId="1C803DF5" w14:textId="752E9E90" w:rsidR="005173CF" w:rsidRPr="00F479BE" w:rsidRDefault="001A420F"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F479BE">
              <w:rPr>
                <w:rFonts w:ascii="Calibri Light" w:hAnsi="Calibri Light"/>
              </w:rPr>
              <w:t>23 de mayo de 2017</w:t>
            </w:r>
          </w:p>
        </w:tc>
      </w:tr>
      <w:tr w:rsidR="004533E5" w:rsidRPr="00F479BE" w14:paraId="1A0D058F" w14:textId="77777777" w:rsidTr="00877F05">
        <w:trPr>
          <w:trHeight w:val="48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F479BE" w:rsidRDefault="00BB61C6" w:rsidP="00A65231">
            <w:pPr>
              <w:pStyle w:val="ListParagraph"/>
              <w:numPr>
                <w:ilvl w:val="0"/>
                <w:numId w:val="3"/>
              </w:numPr>
              <w:rPr>
                <w:rFonts w:ascii="Calibri Light" w:hAnsi="Calibri Light"/>
              </w:rPr>
            </w:pPr>
            <w:r w:rsidRPr="00F479BE">
              <w:rPr>
                <w:rFonts w:ascii="Calibri Light" w:hAnsi="Calibri Light"/>
              </w:rPr>
              <w:t>Decisiones de la CIDH</w:t>
            </w:r>
            <w:r w:rsidR="007A6C56" w:rsidRPr="00F479BE">
              <w:rPr>
                <w:rFonts w:ascii="Calibri Light" w:hAnsi="Calibri Light"/>
              </w:rPr>
              <w:t xml:space="preserve"> </w:t>
            </w:r>
            <w:r w:rsidR="00DD3C7C" w:rsidRPr="00F479BE">
              <w:rPr>
                <w:rFonts w:ascii="Calibri Light" w:hAnsi="Calibri Light"/>
              </w:rPr>
              <w:t xml:space="preserve">y/o la Corte IDH, </w:t>
            </w:r>
            <w:r w:rsidR="007A6C56" w:rsidRPr="00F479BE">
              <w:rPr>
                <w:rFonts w:ascii="Calibri Light" w:hAnsi="Calibri Light"/>
              </w:rPr>
              <w:t>relacionadas</w:t>
            </w:r>
          </w:p>
        </w:tc>
        <w:tc>
          <w:tcPr>
            <w:tcW w:w="5043" w:type="dxa"/>
            <w:gridSpan w:val="2"/>
            <w:vAlign w:val="center"/>
          </w:tcPr>
          <w:p w14:paraId="3D3B4A71" w14:textId="4A1F8663" w:rsidR="00243C42" w:rsidRPr="00F479BE" w:rsidRDefault="003E588B" w:rsidP="00E7071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F479BE">
              <w:rPr>
                <w:rFonts w:ascii="Calibri Light" w:hAnsi="Calibri Light"/>
              </w:rPr>
              <w:t>Informe No. 10/02</w:t>
            </w:r>
            <w:r w:rsidR="0028001C" w:rsidRPr="00F479BE">
              <w:rPr>
                <w:rFonts w:ascii="Calibri Light" w:hAnsi="Calibri Light"/>
              </w:rPr>
              <w:t xml:space="preserve"> (</w:t>
            </w:r>
            <w:hyperlink r:id="rId13" w:history="1">
              <w:r w:rsidR="0028001C" w:rsidRPr="00F479BE">
                <w:rPr>
                  <w:rStyle w:val="Hyperlink"/>
                  <w:rFonts w:ascii="Calibri Light" w:hAnsi="Calibri Light"/>
                </w:rPr>
                <w:t>Admisibilidad</w:t>
              </w:r>
            </w:hyperlink>
            <w:r w:rsidR="0028001C" w:rsidRPr="00F479BE">
              <w:rPr>
                <w:rFonts w:ascii="Calibri Light" w:hAnsi="Calibri Light"/>
              </w:rPr>
              <w:t>)</w:t>
            </w:r>
          </w:p>
          <w:p w14:paraId="72EA1AA4" w14:textId="08225A43" w:rsidR="008664BB" w:rsidRPr="00F479BE" w:rsidRDefault="008664BB" w:rsidP="00877F05">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F479BE">
              <w:rPr>
                <w:rFonts w:ascii="Calibri Light" w:hAnsi="Calibri Light"/>
              </w:rPr>
              <w:t xml:space="preserve">Informe No. 45/16 </w:t>
            </w:r>
          </w:p>
        </w:tc>
      </w:tr>
      <w:tr w:rsidR="00A94EE7" w:rsidRPr="00F479BE"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A94EE7" w:rsidRPr="00F479BE" w:rsidRDefault="00A94EE7" w:rsidP="00A65231">
            <w:pPr>
              <w:pStyle w:val="ListParagraph"/>
              <w:numPr>
                <w:ilvl w:val="0"/>
                <w:numId w:val="3"/>
              </w:numPr>
              <w:rPr>
                <w:rFonts w:ascii="Calibri Light" w:hAnsi="Calibri Light"/>
              </w:rPr>
            </w:pPr>
            <w:r w:rsidRPr="00F479BE">
              <w:rPr>
                <w:rFonts w:ascii="Calibri Light" w:hAnsi="Calibri Light"/>
              </w:rPr>
              <w:t>Artículos analizados</w:t>
            </w:r>
          </w:p>
        </w:tc>
        <w:tc>
          <w:tcPr>
            <w:tcW w:w="5043" w:type="dxa"/>
            <w:gridSpan w:val="2"/>
          </w:tcPr>
          <w:p w14:paraId="18718B95" w14:textId="38C958D2" w:rsidR="00A94EE7" w:rsidRPr="00F479BE" w:rsidRDefault="00A94EE7" w:rsidP="00BF57A4">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F479BE">
              <w:rPr>
                <w:rFonts w:ascii="Calibri Light" w:hAnsi="Calibri Light"/>
              </w:rPr>
              <w:t>Convención Americana sobre Derechos Humanos</w:t>
            </w:r>
          </w:p>
        </w:tc>
      </w:tr>
      <w:tr w:rsidR="00A94EE7" w:rsidRPr="00F479BE"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A94EE7" w:rsidRPr="00F479BE" w:rsidRDefault="00A94EE7" w:rsidP="00A65231">
            <w:pPr>
              <w:pStyle w:val="ListParagraph"/>
              <w:numPr>
                <w:ilvl w:val="0"/>
                <w:numId w:val="3"/>
              </w:numPr>
              <w:rPr>
                <w:rFonts w:ascii="Calibri Light" w:hAnsi="Calibri Light"/>
              </w:rPr>
            </w:pPr>
          </w:p>
        </w:tc>
        <w:tc>
          <w:tcPr>
            <w:tcW w:w="2490" w:type="dxa"/>
          </w:tcPr>
          <w:p w14:paraId="04C377A5" w14:textId="03DDDCE4" w:rsidR="00A94EE7" w:rsidRPr="00F479BE"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F479BE">
              <w:rPr>
                <w:rFonts w:ascii="Calibri Light" w:hAnsi="Calibri Light"/>
              </w:rPr>
              <w:t>Artículos analizados declarados violados</w:t>
            </w:r>
          </w:p>
        </w:tc>
        <w:tc>
          <w:tcPr>
            <w:tcW w:w="2553" w:type="dxa"/>
          </w:tcPr>
          <w:p w14:paraId="277975FB" w14:textId="56CF35CB" w:rsidR="00A94EE7" w:rsidRPr="00F479BE"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F479BE">
              <w:rPr>
                <w:rFonts w:ascii="Calibri Light" w:hAnsi="Calibri Light"/>
              </w:rPr>
              <w:t>Artículos analizados no declarados violados</w:t>
            </w:r>
          </w:p>
        </w:tc>
      </w:tr>
      <w:tr w:rsidR="00A94EE7" w:rsidRPr="00F479BE"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A94EE7" w:rsidRPr="00F479BE" w:rsidRDefault="00A94EE7" w:rsidP="00A65231">
            <w:pPr>
              <w:pStyle w:val="ListParagraph"/>
              <w:numPr>
                <w:ilvl w:val="0"/>
                <w:numId w:val="3"/>
              </w:numPr>
              <w:rPr>
                <w:rFonts w:ascii="Calibri Light" w:hAnsi="Calibri Light"/>
              </w:rPr>
            </w:pPr>
          </w:p>
        </w:tc>
        <w:tc>
          <w:tcPr>
            <w:tcW w:w="2490" w:type="dxa"/>
          </w:tcPr>
          <w:p w14:paraId="5E6682FC" w14:textId="521EE036" w:rsidR="00A94EE7" w:rsidRPr="00F479BE" w:rsidRDefault="0028001C" w:rsidP="00BF57A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479BE">
              <w:rPr>
                <w:rFonts w:ascii="Calibri Light" w:hAnsi="Calibri Light"/>
                <w:lang w:val="es-PE"/>
              </w:rPr>
              <w:t>Art. 1, art. 8, art. 25</w:t>
            </w:r>
          </w:p>
        </w:tc>
        <w:tc>
          <w:tcPr>
            <w:tcW w:w="2553" w:type="dxa"/>
            <w:vAlign w:val="center"/>
          </w:tcPr>
          <w:p w14:paraId="1DBBF8BB" w14:textId="62EA93BA" w:rsidR="00A94EE7" w:rsidRPr="00F479BE" w:rsidRDefault="0028001C" w:rsidP="00BF57A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479BE">
              <w:rPr>
                <w:rFonts w:ascii="Calibri Light" w:hAnsi="Calibri Light"/>
                <w:lang w:val="es-PE"/>
              </w:rPr>
              <w:t>Art. 21</w:t>
            </w:r>
            <w:r w:rsidR="002F15E9" w:rsidRPr="00F479BE">
              <w:rPr>
                <w:rFonts w:ascii="Calibri Light" w:hAnsi="Calibri Light"/>
                <w:lang w:val="es-PE"/>
              </w:rPr>
              <w:t xml:space="preserve"> (respecto </w:t>
            </w:r>
            <w:r w:rsidR="00F479BE">
              <w:rPr>
                <w:rFonts w:ascii="Calibri Light" w:hAnsi="Calibri Light"/>
                <w:lang w:val="es-PE"/>
              </w:rPr>
              <w:t>de</w:t>
            </w:r>
            <w:r w:rsidR="002F15E9" w:rsidRPr="00F479BE">
              <w:rPr>
                <w:rFonts w:ascii="Calibri Light" w:hAnsi="Calibri Light"/>
                <w:lang w:val="es-PE"/>
              </w:rPr>
              <w:t xml:space="preserve"> la supuesta violación del derecho de propiedad del señor Judge)</w:t>
            </w:r>
          </w:p>
        </w:tc>
      </w:tr>
      <w:tr w:rsidR="005173CF" w:rsidRPr="00F479BE"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3F046F3" w:rsidR="00AC6F31" w:rsidRPr="00F479BE" w:rsidRDefault="00AC6F31" w:rsidP="00AC6F31">
            <w:pPr>
              <w:pStyle w:val="ListParagraph"/>
              <w:rPr>
                <w:rFonts w:ascii="Calibri Light" w:hAnsi="Calibri Light"/>
                <w:lang w:val="es-PE"/>
              </w:rPr>
            </w:pPr>
          </w:p>
          <w:p w14:paraId="1ECE5967" w14:textId="3761F51B" w:rsidR="005173CF" w:rsidRPr="00F479BE" w:rsidRDefault="007A6C56" w:rsidP="0029671B">
            <w:pPr>
              <w:pStyle w:val="ListParagraph"/>
              <w:numPr>
                <w:ilvl w:val="0"/>
                <w:numId w:val="2"/>
              </w:numPr>
              <w:jc w:val="center"/>
              <w:rPr>
                <w:rFonts w:ascii="Calibri Light" w:hAnsi="Calibri Light"/>
              </w:rPr>
            </w:pPr>
            <w:r w:rsidRPr="00F479BE">
              <w:rPr>
                <w:rFonts w:ascii="Calibri Light" w:hAnsi="Calibri Light"/>
              </w:rPr>
              <w:t>Sumilla</w:t>
            </w:r>
          </w:p>
          <w:p w14:paraId="009AFBB8" w14:textId="77777777" w:rsidR="00AC6F31" w:rsidRPr="00F479BE" w:rsidRDefault="00AC6F31" w:rsidP="00AC6F31">
            <w:pPr>
              <w:pStyle w:val="ListParagraph"/>
              <w:rPr>
                <w:rFonts w:ascii="Calibri Light" w:hAnsi="Calibri Light"/>
              </w:rPr>
            </w:pPr>
          </w:p>
        </w:tc>
      </w:tr>
      <w:tr w:rsidR="007A6C56" w:rsidRPr="00F479BE"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82C337D" w14:textId="77777777" w:rsidR="00BF57A4" w:rsidRPr="00F479BE" w:rsidRDefault="00BF57A4" w:rsidP="00F124BF">
            <w:pPr>
              <w:jc w:val="both"/>
              <w:rPr>
                <w:rFonts w:ascii="Calibri Light" w:hAnsi="Calibri Light"/>
                <w:b w:val="0"/>
              </w:rPr>
            </w:pPr>
          </w:p>
          <w:p w14:paraId="23F6ED3F" w14:textId="49C065A8" w:rsidR="00816627" w:rsidRPr="00F479BE" w:rsidRDefault="00816627" w:rsidP="00F124BF">
            <w:pPr>
              <w:jc w:val="both"/>
              <w:rPr>
                <w:rFonts w:ascii="Calibri Light" w:hAnsi="Calibri Light"/>
                <w:b w:val="0"/>
              </w:rPr>
            </w:pPr>
            <w:r w:rsidRPr="00565C6D">
              <w:rPr>
                <w:rFonts w:ascii="Calibri Light" w:hAnsi="Calibri Light"/>
                <w:b w:val="0"/>
              </w:rPr>
              <w:t xml:space="preserve">El caso trata sobre las acciones judiciales presentadas por James Judge por la presunta violación de su derecho de propiedad, al haberse declarado como parte del patrimonio cultural de la nación una máscara </w:t>
            </w:r>
            <w:r w:rsidR="00A16280" w:rsidRPr="00565C6D">
              <w:rPr>
                <w:rFonts w:ascii="Calibri Light" w:hAnsi="Calibri Light"/>
                <w:b w:val="0"/>
              </w:rPr>
              <w:t>que le fue cedida</w:t>
            </w:r>
            <w:r w:rsidRPr="00565C6D">
              <w:rPr>
                <w:rFonts w:ascii="Calibri Light" w:hAnsi="Calibri Light"/>
                <w:b w:val="0"/>
              </w:rPr>
              <w:t xml:space="preserve"> en el año 1969. </w:t>
            </w:r>
            <w:r w:rsidR="00216972" w:rsidRPr="00565C6D">
              <w:rPr>
                <w:rFonts w:ascii="Calibri Light" w:hAnsi="Calibri Light"/>
                <w:b w:val="0"/>
              </w:rPr>
              <w:t xml:space="preserve">Ante estos hechos, interpuso un </w:t>
            </w:r>
            <w:r w:rsidRPr="00565C6D">
              <w:rPr>
                <w:rFonts w:ascii="Calibri Light" w:hAnsi="Calibri Light"/>
                <w:b w:val="0"/>
              </w:rPr>
              <w:t>recurso a</w:t>
            </w:r>
            <w:r w:rsidR="00877F05" w:rsidRPr="00565C6D">
              <w:rPr>
                <w:rFonts w:ascii="Calibri Light" w:hAnsi="Calibri Light"/>
                <w:b w:val="0"/>
              </w:rPr>
              <w:t>nte e</w:t>
            </w:r>
            <w:r w:rsidRPr="00565C6D">
              <w:rPr>
                <w:rFonts w:ascii="Calibri Light" w:hAnsi="Calibri Light"/>
                <w:b w:val="0"/>
              </w:rPr>
              <w:t>l</w:t>
            </w:r>
            <w:r w:rsidRPr="00565C6D">
              <w:rPr>
                <w:rFonts w:ascii="Calibri Light" w:hAnsi="Calibri Light"/>
              </w:rPr>
              <w:t xml:space="preserve"> </w:t>
            </w:r>
            <w:r w:rsidRPr="00565C6D">
              <w:rPr>
                <w:rFonts w:ascii="Calibri Light" w:hAnsi="Calibri Light"/>
                <w:b w:val="0"/>
              </w:rPr>
              <w:t>Tribunal de lo Contencioso Administrativo</w:t>
            </w:r>
            <w:r w:rsidR="00216972" w:rsidRPr="00565C6D">
              <w:rPr>
                <w:rFonts w:ascii="Calibri Light" w:hAnsi="Calibri Light"/>
                <w:b w:val="0"/>
              </w:rPr>
              <w:t>, que</w:t>
            </w:r>
            <w:r w:rsidRPr="00565C6D">
              <w:rPr>
                <w:rFonts w:ascii="Calibri Light" w:hAnsi="Calibri Light"/>
                <w:b w:val="0"/>
              </w:rPr>
              <w:t xml:space="preserve"> fue declarado improcedente luego de cinco años. </w:t>
            </w:r>
            <w:r w:rsidR="00216972" w:rsidRPr="00565C6D">
              <w:rPr>
                <w:rFonts w:ascii="Calibri Light" w:hAnsi="Calibri Light"/>
                <w:b w:val="0"/>
              </w:rPr>
              <w:t xml:space="preserve">Posteriormente, presentó un </w:t>
            </w:r>
            <w:r w:rsidRPr="00565C6D">
              <w:rPr>
                <w:rFonts w:ascii="Calibri Light" w:hAnsi="Calibri Light"/>
                <w:b w:val="0"/>
              </w:rPr>
              <w:t xml:space="preserve">recurso </w:t>
            </w:r>
            <w:r w:rsidR="00216972" w:rsidRPr="00565C6D">
              <w:rPr>
                <w:rFonts w:ascii="Calibri Light" w:hAnsi="Calibri Light"/>
                <w:b w:val="0"/>
              </w:rPr>
              <w:t>ante el</w:t>
            </w:r>
            <w:r w:rsidRPr="00565C6D">
              <w:rPr>
                <w:rFonts w:ascii="Calibri Light" w:hAnsi="Calibri Light"/>
                <w:b w:val="0"/>
              </w:rPr>
              <w:t xml:space="preserve"> Tribunal de Garantías Constitucionales </w:t>
            </w:r>
            <w:r w:rsidR="00877F05" w:rsidRPr="00565C6D">
              <w:rPr>
                <w:rFonts w:ascii="Calibri Light" w:hAnsi="Calibri Light"/>
                <w:b w:val="0"/>
              </w:rPr>
              <w:t xml:space="preserve">que </w:t>
            </w:r>
            <w:r w:rsidR="00565C6D" w:rsidRPr="00565C6D">
              <w:rPr>
                <w:rFonts w:ascii="Calibri Light" w:hAnsi="Calibri Light"/>
                <w:b w:val="0"/>
              </w:rPr>
              <w:t>tras</w:t>
            </w:r>
            <w:r w:rsidR="00A16280" w:rsidRPr="00565C6D">
              <w:rPr>
                <w:rFonts w:ascii="Calibri Light" w:hAnsi="Calibri Light"/>
                <w:b w:val="0"/>
              </w:rPr>
              <w:t xml:space="preserve"> más de 23 años,</w:t>
            </w:r>
            <w:r w:rsidR="00877F05" w:rsidRPr="00565C6D">
              <w:rPr>
                <w:rFonts w:ascii="Calibri Light" w:hAnsi="Calibri Light"/>
                <w:b w:val="0"/>
              </w:rPr>
              <w:t xml:space="preserve"> </w:t>
            </w:r>
            <w:r w:rsidR="00565C6D" w:rsidRPr="00565C6D">
              <w:rPr>
                <w:rFonts w:ascii="Calibri Light" w:hAnsi="Calibri Light"/>
                <w:b w:val="0"/>
              </w:rPr>
              <w:t>no habría</w:t>
            </w:r>
            <w:r w:rsidR="00877F05" w:rsidRPr="00565C6D">
              <w:rPr>
                <w:rFonts w:ascii="Calibri Light" w:hAnsi="Calibri Light"/>
                <w:b w:val="0"/>
              </w:rPr>
              <w:t xml:space="preserve"> </w:t>
            </w:r>
            <w:r w:rsidR="00A16280" w:rsidRPr="00565C6D">
              <w:rPr>
                <w:rFonts w:ascii="Calibri Light" w:hAnsi="Calibri Light"/>
                <w:b w:val="0"/>
              </w:rPr>
              <w:t>obtenido</w:t>
            </w:r>
            <w:r w:rsidRPr="00565C6D">
              <w:rPr>
                <w:rFonts w:ascii="Calibri Light" w:hAnsi="Calibri Light"/>
                <w:b w:val="0"/>
              </w:rPr>
              <w:t xml:space="preserve"> </w:t>
            </w:r>
            <w:r w:rsidR="00565C6D" w:rsidRPr="00565C6D">
              <w:rPr>
                <w:rFonts w:ascii="Calibri Light" w:hAnsi="Calibri Light"/>
                <w:b w:val="0"/>
              </w:rPr>
              <w:t xml:space="preserve">aún </w:t>
            </w:r>
            <w:r w:rsidRPr="00565C6D">
              <w:rPr>
                <w:rFonts w:ascii="Calibri Light" w:hAnsi="Calibri Light"/>
                <w:b w:val="0"/>
              </w:rPr>
              <w:t>una resolución definitiva.</w:t>
            </w:r>
          </w:p>
          <w:p w14:paraId="1EE5A7E7" w14:textId="05D42453" w:rsidR="00C44D2A" w:rsidRPr="00F479BE" w:rsidRDefault="00C44D2A" w:rsidP="00F124BF">
            <w:pPr>
              <w:jc w:val="both"/>
              <w:rPr>
                <w:rFonts w:ascii="Calibri Light" w:hAnsi="Calibri Light"/>
                <w:color w:val="FF0000"/>
                <w:u w:val="single"/>
              </w:rPr>
            </w:pPr>
          </w:p>
        </w:tc>
      </w:tr>
      <w:tr w:rsidR="007A6C56" w:rsidRPr="00F479BE"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Pr="00F479BE" w:rsidRDefault="00AC6F31" w:rsidP="00AC6F31">
            <w:pPr>
              <w:pStyle w:val="ListParagraph"/>
              <w:rPr>
                <w:rFonts w:ascii="Calibri Light" w:hAnsi="Calibri Light"/>
              </w:rPr>
            </w:pPr>
          </w:p>
          <w:p w14:paraId="6E7AC4B8" w14:textId="552A0B8E" w:rsidR="007A6C56" w:rsidRPr="00F479BE" w:rsidRDefault="007A6C56" w:rsidP="0029671B">
            <w:pPr>
              <w:pStyle w:val="ListParagraph"/>
              <w:numPr>
                <w:ilvl w:val="0"/>
                <w:numId w:val="2"/>
              </w:numPr>
              <w:jc w:val="center"/>
              <w:rPr>
                <w:rFonts w:ascii="Calibri Light" w:hAnsi="Calibri Light"/>
              </w:rPr>
            </w:pPr>
            <w:r w:rsidRPr="00F479BE">
              <w:rPr>
                <w:rFonts w:ascii="Calibri Light" w:hAnsi="Calibri Light"/>
              </w:rPr>
              <w:t>Palabras clave</w:t>
            </w:r>
          </w:p>
          <w:p w14:paraId="6A1E32A7" w14:textId="77777777" w:rsidR="00AC6F31" w:rsidRPr="00F479BE" w:rsidRDefault="00AC6F31" w:rsidP="00AC6F31">
            <w:pPr>
              <w:pStyle w:val="ListParagraph"/>
              <w:rPr>
                <w:rFonts w:ascii="Calibri Light" w:hAnsi="Calibri Light"/>
              </w:rPr>
            </w:pPr>
          </w:p>
        </w:tc>
      </w:tr>
      <w:tr w:rsidR="007A6C56" w:rsidRPr="00F479BE" w14:paraId="34AE2D45" w14:textId="77777777" w:rsidTr="00E707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FFFC9CE" w14:textId="77777777" w:rsidR="00BF57A4" w:rsidRPr="00F479BE" w:rsidRDefault="00BF57A4" w:rsidP="00E70716">
            <w:pPr>
              <w:rPr>
                <w:rFonts w:ascii="Calibri Light" w:hAnsi="Calibri Light"/>
                <w:b w:val="0"/>
              </w:rPr>
            </w:pPr>
          </w:p>
          <w:p w14:paraId="62ED8DB8" w14:textId="77777777" w:rsidR="00243C42" w:rsidRPr="00F479BE" w:rsidRDefault="00232878" w:rsidP="00E70716">
            <w:pPr>
              <w:rPr>
                <w:rFonts w:ascii="Calibri Light" w:hAnsi="Calibri Light"/>
                <w:b w:val="0"/>
              </w:rPr>
            </w:pPr>
            <w:r w:rsidRPr="00F479BE">
              <w:rPr>
                <w:rFonts w:ascii="Calibri Light" w:hAnsi="Calibri Light"/>
                <w:b w:val="0"/>
              </w:rPr>
              <w:t>Propiedad, Protección judicial y garantías judiciales</w:t>
            </w:r>
          </w:p>
          <w:p w14:paraId="05374712" w14:textId="074990CC" w:rsidR="00BF57A4" w:rsidRPr="00F479BE" w:rsidRDefault="00BF57A4" w:rsidP="00E70716">
            <w:pPr>
              <w:rPr>
                <w:rFonts w:ascii="Calibri Light" w:hAnsi="Calibri Light"/>
                <w:b w:val="0"/>
              </w:rPr>
            </w:pPr>
          </w:p>
        </w:tc>
      </w:tr>
      <w:tr w:rsidR="005173CF" w:rsidRPr="00F479BE"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Pr="00F479BE" w:rsidRDefault="00AC6F31" w:rsidP="00AC6F31">
            <w:pPr>
              <w:pStyle w:val="ListParagraph"/>
              <w:rPr>
                <w:rFonts w:ascii="Calibri Light" w:hAnsi="Calibri Light"/>
              </w:rPr>
            </w:pPr>
          </w:p>
          <w:p w14:paraId="177FF988" w14:textId="6FEB4B07" w:rsidR="005173CF" w:rsidRPr="00F479BE" w:rsidRDefault="007A6C56" w:rsidP="0029671B">
            <w:pPr>
              <w:pStyle w:val="ListParagraph"/>
              <w:numPr>
                <w:ilvl w:val="0"/>
                <w:numId w:val="2"/>
              </w:numPr>
              <w:jc w:val="center"/>
              <w:rPr>
                <w:rFonts w:ascii="Calibri Light" w:hAnsi="Calibri Light"/>
              </w:rPr>
            </w:pPr>
            <w:r w:rsidRPr="00F479BE">
              <w:rPr>
                <w:rFonts w:ascii="Calibri Light" w:hAnsi="Calibri Light"/>
              </w:rPr>
              <w:t>Hechos</w:t>
            </w:r>
          </w:p>
          <w:p w14:paraId="190B7E98" w14:textId="77777777" w:rsidR="00AC6F31" w:rsidRPr="00F479BE" w:rsidRDefault="00AC6F31" w:rsidP="00AC6F31">
            <w:pPr>
              <w:pStyle w:val="ListParagraph"/>
              <w:rPr>
                <w:rFonts w:ascii="Calibri Light" w:hAnsi="Calibri Light"/>
              </w:rPr>
            </w:pPr>
          </w:p>
        </w:tc>
      </w:tr>
      <w:tr w:rsidR="005173CF" w:rsidRPr="00F479BE" w14:paraId="6F58DE83" w14:textId="77777777" w:rsidTr="0081567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721" w:type="dxa"/>
            <w:gridSpan w:val="3"/>
          </w:tcPr>
          <w:p w14:paraId="4E62BA4A" w14:textId="77777777" w:rsidR="00BF57A4" w:rsidRPr="00F479BE" w:rsidRDefault="00BF57A4" w:rsidP="001A420F">
            <w:pPr>
              <w:jc w:val="both"/>
              <w:rPr>
                <w:rFonts w:ascii="Calibri Light" w:hAnsi="Calibri Light"/>
                <w:b w:val="0"/>
              </w:rPr>
            </w:pPr>
          </w:p>
          <w:p w14:paraId="51263849" w14:textId="3A3275F5" w:rsidR="00910979" w:rsidRPr="00F479BE" w:rsidRDefault="00E12899" w:rsidP="001A420F">
            <w:pPr>
              <w:jc w:val="both"/>
              <w:rPr>
                <w:rFonts w:ascii="Calibri Light" w:hAnsi="Calibri Light"/>
                <w:b w:val="0"/>
              </w:rPr>
            </w:pPr>
            <w:r w:rsidRPr="00F479BE">
              <w:rPr>
                <w:rFonts w:ascii="Calibri Light" w:hAnsi="Calibri Light"/>
                <w:b w:val="0"/>
              </w:rPr>
              <w:t xml:space="preserve">En 1967, el Secretario General de la Casa de la Cultura Ecuatoriana </w:t>
            </w:r>
            <w:r w:rsidR="00CA7A95" w:rsidRPr="00F479BE">
              <w:rPr>
                <w:rFonts w:ascii="Calibri Light" w:hAnsi="Calibri Light"/>
                <w:b w:val="0"/>
              </w:rPr>
              <w:t>emitió a favor del ingeniero Virgilio Vélez una autorización para</w:t>
            </w:r>
            <w:r w:rsidR="00BF57A4" w:rsidRPr="00F479BE">
              <w:rPr>
                <w:rFonts w:ascii="Calibri Light" w:hAnsi="Calibri Light"/>
                <w:b w:val="0"/>
              </w:rPr>
              <w:t xml:space="preserve"> que </w:t>
            </w:r>
            <w:r w:rsidR="00CA7A95" w:rsidRPr="00F479BE">
              <w:rPr>
                <w:rFonts w:ascii="Calibri Light" w:hAnsi="Calibri Light"/>
                <w:b w:val="0"/>
              </w:rPr>
              <w:t>realizar</w:t>
            </w:r>
            <w:r w:rsidR="00BF57A4" w:rsidRPr="00F479BE">
              <w:rPr>
                <w:rFonts w:ascii="Calibri Light" w:hAnsi="Calibri Light"/>
                <w:b w:val="0"/>
              </w:rPr>
              <w:t>a</w:t>
            </w:r>
            <w:r w:rsidR="00CA7A95" w:rsidRPr="00F479BE">
              <w:rPr>
                <w:rFonts w:ascii="Calibri Light" w:hAnsi="Calibri Light"/>
                <w:b w:val="0"/>
              </w:rPr>
              <w:t xml:space="preserve"> trabajos de prospección en los yacimientos arqueológicos de la Isla de </w:t>
            </w:r>
            <w:r w:rsidR="00703769" w:rsidRPr="00F479BE">
              <w:rPr>
                <w:rFonts w:ascii="Calibri Light" w:hAnsi="Calibri Light"/>
                <w:b w:val="0"/>
              </w:rPr>
              <w:t>L</w:t>
            </w:r>
            <w:r w:rsidR="00CA7A95" w:rsidRPr="00F479BE">
              <w:rPr>
                <w:rFonts w:ascii="Calibri Light" w:hAnsi="Calibri Light"/>
                <w:b w:val="0"/>
              </w:rPr>
              <w:t xml:space="preserve">a Tolita, ubicada en la Provincia de Esmeraldas </w:t>
            </w:r>
            <w:r w:rsidR="00565C6D">
              <w:rPr>
                <w:rFonts w:ascii="Calibri Light" w:hAnsi="Calibri Light"/>
                <w:b w:val="0"/>
              </w:rPr>
              <w:t>en</w:t>
            </w:r>
            <w:r w:rsidR="00CA7A95" w:rsidRPr="00F479BE">
              <w:rPr>
                <w:rFonts w:ascii="Calibri Light" w:hAnsi="Calibri Light"/>
                <w:b w:val="0"/>
              </w:rPr>
              <w:t xml:space="preserve"> Ecuador. </w:t>
            </w:r>
            <w:r w:rsidR="00BF57A4" w:rsidRPr="00F479BE">
              <w:rPr>
                <w:rFonts w:ascii="Calibri Light" w:hAnsi="Calibri Light"/>
                <w:b w:val="0"/>
              </w:rPr>
              <w:t>La autorización establecía que era necesario</w:t>
            </w:r>
            <w:r w:rsidR="00CA7A95" w:rsidRPr="00F479BE">
              <w:rPr>
                <w:rFonts w:ascii="Calibri Light" w:hAnsi="Calibri Light"/>
                <w:b w:val="0"/>
              </w:rPr>
              <w:t xml:space="preserve"> pedir </w:t>
            </w:r>
            <w:r w:rsidR="00DC6BE1" w:rsidRPr="00F479BE">
              <w:rPr>
                <w:rFonts w:ascii="Calibri Light" w:hAnsi="Calibri Light"/>
                <w:b w:val="0"/>
              </w:rPr>
              <w:t>un nuevo permiso</w:t>
            </w:r>
            <w:r w:rsidR="00CA7A95" w:rsidRPr="00F479BE">
              <w:rPr>
                <w:rFonts w:ascii="Calibri Light" w:hAnsi="Calibri Light"/>
                <w:b w:val="0"/>
              </w:rPr>
              <w:t xml:space="preserve"> pa</w:t>
            </w:r>
            <w:r w:rsidR="00703769" w:rsidRPr="00F479BE">
              <w:rPr>
                <w:rFonts w:ascii="Calibri Light" w:hAnsi="Calibri Light"/>
                <w:b w:val="0"/>
              </w:rPr>
              <w:t xml:space="preserve">ra realizar excavaciones y </w:t>
            </w:r>
            <w:r w:rsidR="00BF57A4" w:rsidRPr="00F479BE">
              <w:rPr>
                <w:rFonts w:ascii="Calibri Light" w:hAnsi="Calibri Light"/>
                <w:b w:val="0"/>
              </w:rPr>
              <w:t xml:space="preserve">que se debía </w:t>
            </w:r>
            <w:r w:rsidR="00703769" w:rsidRPr="00F479BE">
              <w:rPr>
                <w:rFonts w:ascii="Calibri Light" w:hAnsi="Calibri Light"/>
                <w:b w:val="0"/>
              </w:rPr>
              <w:t>prescindir de los servicios de arqueólogos extranjeros, de modo que solo participaran arqueólogos ecuatorianos.</w:t>
            </w:r>
            <w:r w:rsidR="00565C6D">
              <w:rPr>
                <w:rFonts w:ascii="Calibri Light" w:hAnsi="Calibri Light"/>
                <w:b w:val="0"/>
              </w:rPr>
              <w:t xml:space="preserve"> </w:t>
            </w:r>
            <w:r w:rsidR="00DC6BE1" w:rsidRPr="00F479BE">
              <w:rPr>
                <w:rFonts w:ascii="Calibri Light" w:hAnsi="Calibri Light"/>
                <w:b w:val="0"/>
              </w:rPr>
              <w:t xml:space="preserve">A pesar de </w:t>
            </w:r>
            <w:r w:rsidR="00F158EA" w:rsidRPr="00F479BE">
              <w:rPr>
                <w:rFonts w:ascii="Calibri Light" w:hAnsi="Calibri Light"/>
                <w:b w:val="0"/>
              </w:rPr>
              <w:t xml:space="preserve">ello, </w:t>
            </w:r>
            <w:r w:rsidR="00DC6BE1" w:rsidRPr="00F479BE">
              <w:rPr>
                <w:rFonts w:ascii="Calibri Light" w:hAnsi="Calibri Light"/>
                <w:b w:val="0"/>
              </w:rPr>
              <w:t>e</w:t>
            </w:r>
            <w:r w:rsidR="005C4D86" w:rsidRPr="00F479BE">
              <w:rPr>
                <w:rFonts w:ascii="Calibri Light" w:hAnsi="Calibri Light"/>
                <w:b w:val="0"/>
              </w:rPr>
              <w:t>n 1969</w:t>
            </w:r>
            <w:r w:rsidR="00BF57A4" w:rsidRPr="00F479BE">
              <w:rPr>
                <w:rFonts w:ascii="Calibri Light" w:hAnsi="Calibri Light"/>
                <w:b w:val="0"/>
              </w:rPr>
              <w:t>,</w:t>
            </w:r>
            <w:r w:rsidR="005C4D86" w:rsidRPr="00F479BE">
              <w:rPr>
                <w:rFonts w:ascii="Calibri Light" w:hAnsi="Calibri Light"/>
                <w:b w:val="0"/>
              </w:rPr>
              <w:t xml:space="preserve"> el señor </w:t>
            </w:r>
            <w:r w:rsidR="00703769" w:rsidRPr="00F479BE">
              <w:rPr>
                <w:rFonts w:ascii="Calibri Light" w:hAnsi="Calibri Light"/>
                <w:b w:val="0"/>
              </w:rPr>
              <w:t xml:space="preserve">James </w:t>
            </w:r>
            <w:r w:rsidR="005C4D86" w:rsidRPr="00F479BE">
              <w:rPr>
                <w:rFonts w:ascii="Calibri Light" w:hAnsi="Calibri Light"/>
                <w:b w:val="0"/>
              </w:rPr>
              <w:t>Judge</w:t>
            </w:r>
            <w:r w:rsidR="00703769" w:rsidRPr="00F479BE">
              <w:rPr>
                <w:rFonts w:ascii="Calibri Light" w:hAnsi="Calibri Light"/>
                <w:b w:val="0"/>
              </w:rPr>
              <w:t xml:space="preserve">, </w:t>
            </w:r>
            <w:r w:rsidR="00703769" w:rsidRPr="00F479BE">
              <w:rPr>
                <w:rFonts w:ascii="Calibri Light" w:hAnsi="Calibri Light"/>
                <w:b w:val="0"/>
              </w:rPr>
              <w:lastRenderedPageBreak/>
              <w:t xml:space="preserve">arqueólogo estadounidense que residía en Ecuador desde </w:t>
            </w:r>
            <w:r w:rsidR="00F46826" w:rsidRPr="00F479BE">
              <w:rPr>
                <w:rFonts w:ascii="Calibri Light" w:hAnsi="Calibri Light"/>
                <w:b w:val="0"/>
              </w:rPr>
              <w:t>el año anterior</w:t>
            </w:r>
            <w:r w:rsidR="00703769" w:rsidRPr="00F479BE">
              <w:rPr>
                <w:rFonts w:ascii="Calibri Light" w:hAnsi="Calibri Light"/>
                <w:b w:val="0"/>
              </w:rPr>
              <w:t>,</w:t>
            </w:r>
            <w:r w:rsidR="005C4D86" w:rsidRPr="00F479BE">
              <w:rPr>
                <w:rFonts w:ascii="Calibri Light" w:hAnsi="Calibri Light"/>
                <w:b w:val="0"/>
              </w:rPr>
              <w:t xml:space="preserve"> particip</w:t>
            </w:r>
            <w:r w:rsidR="00703769" w:rsidRPr="00F479BE">
              <w:rPr>
                <w:rFonts w:ascii="Calibri Light" w:hAnsi="Calibri Light"/>
                <w:b w:val="0"/>
              </w:rPr>
              <w:t>ó de las excavaciones que el equipo del ing</w:t>
            </w:r>
            <w:r w:rsidR="00F124BF" w:rsidRPr="00F479BE">
              <w:rPr>
                <w:rFonts w:ascii="Calibri Light" w:hAnsi="Calibri Light"/>
                <w:b w:val="0"/>
              </w:rPr>
              <w:t>eniero Vélez realiz</w:t>
            </w:r>
            <w:r w:rsidR="00BF57A4" w:rsidRPr="00F479BE">
              <w:rPr>
                <w:rFonts w:ascii="Calibri Light" w:hAnsi="Calibri Light"/>
                <w:b w:val="0"/>
              </w:rPr>
              <w:t>aba</w:t>
            </w:r>
            <w:r w:rsidR="00703769" w:rsidRPr="00F479BE">
              <w:rPr>
                <w:rFonts w:ascii="Calibri Light" w:hAnsi="Calibri Light"/>
                <w:b w:val="0"/>
              </w:rPr>
              <w:t xml:space="preserve"> en La Tolita</w:t>
            </w:r>
            <w:r w:rsidR="00BF57A4" w:rsidRPr="00F479BE">
              <w:rPr>
                <w:rFonts w:ascii="Calibri Light" w:hAnsi="Calibri Light"/>
                <w:b w:val="0"/>
              </w:rPr>
              <w:t>. Estas</w:t>
            </w:r>
            <w:r w:rsidR="00703769" w:rsidRPr="00F479BE">
              <w:rPr>
                <w:rFonts w:ascii="Calibri Light" w:hAnsi="Calibri Light"/>
                <w:b w:val="0"/>
              </w:rPr>
              <w:t xml:space="preserve"> dieron</w:t>
            </w:r>
            <w:r w:rsidR="001D7C19" w:rsidRPr="00F479BE">
              <w:rPr>
                <w:rFonts w:ascii="Calibri Light" w:hAnsi="Calibri Light"/>
                <w:b w:val="0"/>
              </w:rPr>
              <w:t xml:space="preserve"> como resultado el descubrimiento de restos arqueológicos, entre </w:t>
            </w:r>
            <w:r w:rsidR="00565C6D">
              <w:rPr>
                <w:rFonts w:ascii="Calibri Light" w:hAnsi="Calibri Light"/>
                <w:b w:val="0"/>
              </w:rPr>
              <w:t>que</w:t>
            </w:r>
            <w:r w:rsidR="001D7C19" w:rsidRPr="00F479BE">
              <w:rPr>
                <w:rFonts w:ascii="Calibri Light" w:hAnsi="Calibri Light"/>
                <w:b w:val="0"/>
              </w:rPr>
              <w:t xml:space="preserve"> se encontraba una máscara de oro con ojos </w:t>
            </w:r>
            <w:r w:rsidR="00703769" w:rsidRPr="00F479BE">
              <w:rPr>
                <w:rFonts w:ascii="Calibri Light" w:hAnsi="Calibri Light"/>
                <w:b w:val="0"/>
              </w:rPr>
              <w:t xml:space="preserve">móviles de </w:t>
            </w:r>
            <w:r w:rsidR="001D7C19" w:rsidRPr="00F479BE">
              <w:rPr>
                <w:rFonts w:ascii="Calibri Light" w:hAnsi="Calibri Light"/>
                <w:b w:val="0"/>
              </w:rPr>
              <w:t>platino (en adelante, la máscara).</w:t>
            </w:r>
            <w:r w:rsidRPr="00F479BE">
              <w:rPr>
                <w:rFonts w:ascii="Calibri Light" w:hAnsi="Calibri Light"/>
                <w:b w:val="0"/>
              </w:rPr>
              <w:t xml:space="preserve"> </w:t>
            </w:r>
            <w:r w:rsidR="00DC6BE1" w:rsidRPr="00F479BE">
              <w:rPr>
                <w:rFonts w:ascii="Calibri Light" w:hAnsi="Calibri Light"/>
                <w:b w:val="0"/>
              </w:rPr>
              <w:t xml:space="preserve">La máscara fue cedida al señor Judge mediante un acuerdo suscrito con el ingeniero Vélez el </w:t>
            </w:r>
            <w:r w:rsidR="00F46826" w:rsidRPr="00F479BE">
              <w:rPr>
                <w:rFonts w:ascii="Calibri Light" w:hAnsi="Calibri Light"/>
                <w:b w:val="0"/>
              </w:rPr>
              <w:t>20 de junio de 1969.</w:t>
            </w:r>
          </w:p>
          <w:p w14:paraId="0609691B" w14:textId="55917E00" w:rsidR="00910979" w:rsidRPr="00F479BE" w:rsidRDefault="00910979" w:rsidP="001A420F">
            <w:pPr>
              <w:jc w:val="both"/>
              <w:rPr>
                <w:rFonts w:ascii="Calibri Light" w:hAnsi="Calibri Light"/>
                <w:b w:val="0"/>
              </w:rPr>
            </w:pPr>
          </w:p>
          <w:p w14:paraId="637C09A6" w14:textId="1C71B58C" w:rsidR="00E526AA" w:rsidRPr="00F479BE" w:rsidRDefault="00BF57A4" w:rsidP="001A420F">
            <w:pPr>
              <w:jc w:val="both"/>
              <w:rPr>
                <w:rFonts w:ascii="Calibri Light" w:hAnsi="Calibri Light"/>
                <w:b w:val="0"/>
              </w:rPr>
            </w:pPr>
            <w:r w:rsidRPr="00F479BE">
              <w:rPr>
                <w:rFonts w:ascii="Calibri Light" w:hAnsi="Calibri Light"/>
                <w:b w:val="0"/>
              </w:rPr>
              <w:t>En 1970, e</w:t>
            </w:r>
            <w:r w:rsidR="008215CF" w:rsidRPr="00F479BE">
              <w:rPr>
                <w:rFonts w:ascii="Calibri Light" w:hAnsi="Calibri Light"/>
                <w:b w:val="0"/>
              </w:rPr>
              <w:t>l señor Judge decidió depositar la m</w:t>
            </w:r>
            <w:r w:rsidR="00E526AA" w:rsidRPr="00F479BE">
              <w:rPr>
                <w:rFonts w:ascii="Calibri Light" w:hAnsi="Calibri Light"/>
                <w:b w:val="0"/>
              </w:rPr>
              <w:t xml:space="preserve">áscara en el </w:t>
            </w:r>
            <w:r w:rsidR="008215CF" w:rsidRPr="00F479BE">
              <w:rPr>
                <w:rFonts w:ascii="Calibri Light" w:hAnsi="Calibri Light"/>
                <w:b w:val="0"/>
              </w:rPr>
              <w:t>Banco Central de Ecuad</w:t>
            </w:r>
            <w:r w:rsidR="00F124BF" w:rsidRPr="00F479BE">
              <w:rPr>
                <w:rFonts w:ascii="Calibri Light" w:hAnsi="Calibri Light"/>
                <w:b w:val="0"/>
              </w:rPr>
              <w:t>or por cuestiones de seguridad</w:t>
            </w:r>
            <w:r w:rsidR="00DC6BE1" w:rsidRPr="00F479BE">
              <w:rPr>
                <w:rFonts w:ascii="Calibri Light" w:hAnsi="Calibri Light"/>
                <w:b w:val="0"/>
              </w:rPr>
              <w:t>. A</w:t>
            </w:r>
            <w:r w:rsidR="00F124BF" w:rsidRPr="00F479BE">
              <w:rPr>
                <w:rFonts w:ascii="Calibri Light" w:hAnsi="Calibri Light"/>
                <w:b w:val="0"/>
              </w:rPr>
              <w:t>parentemente</w:t>
            </w:r>
            <w:r w:rsidR="00DC6BE1" w:rsidRPr="00F479BE">
              <w:rPr>
                <w:rFonts w:ascii="Calibri Light" w:hAnsi="Calibri Light"/>
                <w:b w:val="0"/>
              </w:rPr>
              <w:t>, esta acción</w:t>
            </w:r>
            <w:r w:rsidR="00F124BF" w:rsidRPr="00F479BE">
              <w:rPr>
                <w:rFonts w:ascii="Calibri Light" w:hAnsi="Calibri Light"/>
                <w:b w:val="0"/>
              </w:rPr>
              <w:t xml:space="preserve"> </w:t>
            </w:r>
            <w:r w:rsidR="00DC6BE1" w:rsidRPr="00F479BE">
              <w:rPr>
                <w:rFonts w:ascii="Calibri Light" w:hAnsi="Calibri Light"/>
                <w:b w:val="0"/>
              </w:rPr>
              <w:t>alertó</w:t>
            </w:r>
            <w:r w:rsidR="00F124BF" w:rsidRPr="00F479BE">
              <w:rPr>
                <w:rFonts w:ascii="Calibri Light" w:hAnsi="Calibri Light"/>
                <w:b w:val="0"/>
              </w:rPr>
              <w:t xml:space="preserve"> al Estado de la existencia de</w:t>
            </w:r>
            <w:r w:rsidR="00DC6BE1" w:rsidRPr="00F479BE">
              <w:rPr>
                <w:rFonts w:ascii="Calibri Light" w:hAnsi="Calibri Light"/>
                <w:b w:val="0"/>
              </w:rPr>
              <w:t>l objeto</w:t>
            </w:r>
            <w:r w:rsidR="00CD1750" w:rsidRPr="00F479BE">
              <w:rPr>
                <w:rFonts w:ascii="Calibri Light" w:hAnsi="Calibri Light"/>
                <w:b w:val="0"/>
              </w:rPr>
              <w:t xml:space="preserve">, pues </w:t>
            </w:r>
            <w:r w:rsidR="00F124BF" w:rsidRPr="00F479BE">
              <w:rPr>
                <w:rFonts w:ascii="Calibri Light" w:hAnsi="Calibri Light"/>
                <w:b w:val="0"/>
              </w:rPr>
              <w:t>e</w:t>
            </w:r>
            <w:r w:rsidR="00E526AA" w:rsidRPr="00F479BE">
              <w:rPr>
                <w:rFonts w:ascii="Calibri Light" w:hAnsi="Calibri Light"/>
                <w:b w:val="0"/>
              </w:rPr>
              <w:t xml:space="preserve">l 25 de abril </w:t>
            </w:r>
            <w:r w:rsidR="00CD1750" w:rsidRPr="00F479BE">
              <w:rPr>
                <w:rFonts w:ascii="Calibri Light" w:hAnsi="Calibri Light"/>
                <w:b w:val="0"/>
              </w:rPr>
              <w:t>de</w:t>
            </w:r>
            <w:r w:rsidR="00E526AA" w:rsidRPr="00F479BE">
              <w:rPr>
                <w:rFonts w:ascii="Calibri Light" w:hAnsi="Calibri Light"/>
                <w:b w:val="0"/>
              </w:rPr>
              <w:t xml:space="preserve"> 1975</w:t>
            </w:r>
            <w:r w:rsidR="00DC6BE1" w:rsidRPr="00F479BE">
              <w:rPr>
                <w:rFonts w:ascii="Calibri Light" w:hAnsi="Calibri Light"/>
                <w:b w:val="0"/>
              </w:rPr>
              <w:t>, se emitió</w:t>
            </w:r>
            <w:r w:rsidR="00E526AA" w:rsidRPr="00F479BE">
              <w:rPr>
                <w:rFonts w:ascii="Calibri Light" w:hAnsi="Calibri Light"/>
                <w:b w:val="0"/>
              </w:rPr>
              <w:t xml:space="preserve"> el Decreto Supremo No. 320, el cual </w:t>
            </w:r>
            <w:r w:rsidR="00CD1750" w:rsidRPr="00F479BE">
              <w:rPr>
                <w:rFonts w:ascii="Calibri Light" w:hAnsi="Calibri Light"/>
                <w:b w:val="0"/>
              </w:rPr>
              <w:t xml:space="preserve">declaró </w:t>
            </w:r>
            <w:r w:rsidR="00E526AA" w:rsidRPr="00F479BE">
              <w:rPr>
                <w:rFonts w:ascii="Calibri Light" w:hAnsi="Calibri Light"/>
                <w:b w:val="0"/>
              </w:rPr>
              <w:t xml:space="preserve">patrimonio cultural de la nación </w:t>
            </w:r>
            <w:r w:rsidR="00492C81">
              <w:rPr>
                <w:rFonts w:ascii="Calibri Light" w:hAnsi="Calibri Light"/>
                <w:b w:val="0"/>
              </w:rPr>
              <w:t xml:space="preserve">a </w:t>
            </w:r>
            <w:r w:rsidR="00E526AA" w:rsidRPr="00F479BE">
              <w:rPr>
                <w:rFonts w:ascii="Calibri Light" w:hAnsi="Calibri Light"/>
                <w:b w:val="0"/>
              </w:rPr>
              <w:t xml:space="preserve">la máscara y </w:t>
            </w:r>
            <w:r w:rsidR="00CD1750" w:rsidRPr="00F479BE">
              <w:rPr>
                <w:rFonts w:ascii="Calibri Light" w:hAnsi="Calibri Light"/>
                <w:b w:val="0"/>
              </w:rPr>
              <w:t xml:space="preserve">adjudicó </w:t>
            </w:r>
            <w:r w:rsidR="00E526AA" w:rsidRPr="00F479BE">
              <w:rPr>
                <w:rFonts w:ascii="Calibri Light" w:hAnsi="Calibri Light"/>
                <w:b w:val="0"/>
              </w:rPr>
              <w:t>el derecho de propiedad sobre esta a la</w:t>
            </w:r>
            <w:r w:rsidR="00F124BF" w:rsidRPr="00F479BE">
              <w:rPr>
                <w:rFonts w:ascii="Calibri Light" w:hAnsi="Calibri Light"/>
                <w:b w:val="0"/>
              </w:rPr>
              <w:t xml:space="preserve"> Casa de la Cultura Ecuatoriana</w:t>
            </w:r>
            <w:r w:rsidR="00CD1750" w:rsidRPr="00F479BE">
              <w:rPr>
                <w:rFonts w:ascii="Calibri Light" w:hAnsi="Calibri Light"/>
                <w:b w:val="0"/>
              </w:rPr>
              <w:t xml:space="preserve">. Esta norma suspendió, además, </w:t>
            </w:r>
            <w:r w:rsidR="00F124BF" w:rsidRPr="00F479BE">
              <w:rPr>
                <w:rFonts w:ascii="Calibri Light" w:hAnsi="Calibri Light"/>
                <w:b w:val="0"/>
              </w:rPr>
              <w:t xml:space="preserve">cualquier recurso o proceso sobre la propiedad de la misma que se encontrara en curso y </w:t>
            </w:r>
            <w:r w:rsidR="00CD1750" w:rsidRPr="00F479BE">
              <w:rPr>
                <w:rFonts w:ascii="Calibri Light" w:hAnsi="Calibri Light"/>
                <w:b w:val="0"/>
              </w:rPr>
              <w:t xml:space="preserve">desconoció </w:t>
            </w:r>
            <w:r w:rsidR="00F124BF" w:rsidRPr="00F479BE">
              <w:rPr>
                <w:rFonts w:ascii="Calibri Light" w:hAnsi="Calibri Light"/>
                <w:b w:val="0"/>
              </w:rPr>
              <w:t>la propiedad de terceros sobre la misma</w:t>
            </w:r>
            <w:r w:rsidR="00CD1750" w:rsidRPr="00F479BE">
              <w:rPr>
                <w:rFonts w:ascii="Calibri Light" w:hAnsi="Calibri Light"/>
                <w:b w:val="0"/>
              </w:rPr>
              <w:t>. Esto último</w:t>
            </w:r>
            <w:r w:rsidR="00492C81">
              <w:rPr>
                <w:rFonts w:ascii="Calibri Light" w:hAnsi="Calibri Light"/>
                <w:b w:val="0"/>
              </w:rPr>
              <w:t xml:space="preserve"> implicaba la falta de asignación de </w:t>
            </w:r>
            <w:r w:rsidR="00F124BF" w:rsidRPr="00F479BE">
              <w:rPr>
                <w:rFonts w:ascii="Calibri Light" w:hAnsi="Calibri Light"/>
                <w:b w:val="0"/>
              </w:rPr>
              <w:t>una indemnización, ya que al no existir dueño previo, tampoco se trataba de una expropiación.</w:t>
            </w:r>
          </w:p>
          <w:p w14:paraId="35987A1A" w14:textId="2E21385E" w:rsidR="00E526AA" w:rsidRPr="00F479BE" w:rsidRDefault="00E526AA" w:rsidP="001A420F">
            <w:pPr>
              <w:jc w:val="both"/>
              <w:rPr>
                <w:rFonts w:ascii="Calibri Light" w:hAnsi="Calibri Light"/>
                <w:b w:val="0"/>
              </w:rPr>
            </w:pPr>
          </w:p>
          <w:p w14:paraId="716A97A1" w14:textId="49540BF7" w:rsidR="00CD1750" w:rsidRPr="00F479BE" w:rsidRDefault="00CD1750" w:rsidP="00CA1FA8">
            <w:pPr>
              <w:jc w:val="both"/>
              <w:rPr>
                <w:rFonts w:ascii="Calibri Light" w:hAnsi="Calibri Light"/>
                <w:b w:val="0"/>
              </w:rPr>
            </w:pPr>
            <w:r w:rsidRPr="00F479BE">
              <w:rPr>
                <w:rFonts w:ascii="Calibri Light" w:hAnsi="Calibri Light"/>
                <w:b w:val="0"/>
              </w:rPr>
              <w:t>Ante</w:t>
            </w:r>
            <w:r w:rsidR="000F0EDC" w:rsidRPr="00F479BE">
              <w:rPr>
                <w:rFonts w:ascii="Calibri Light" w:hAnsi="Calibri Light"/>
                <w:b w:val="0"/>
              </w:rPr>
              <w:t xml:space="preserve"> la emisión del Decreto, e</w:t>
            </w:r>
            <w:r w:rsidR="00E526AA" w:rsidRPr="00F479BE">
              <w:rPr>
                <w:rFonts w:ascii="Calibri Light" w:hAnsi="Calibri Light"/>
                <w:b w:val="0"/>
              </w:rPr>
              <w:t>l señor Judge planteó dos recursos a nivel interno</w:t>
            </w:r>
            <w:r w:rsidRPr="00F479BE">
              <w:rPr>
                <w:rFonts w:ascii="Calibri Light" w:hAnsi="Calibri Light"/>
                <w:b w:val="0"/>
              </w:rPr>
              <w:t>. Por un lado,</w:t>
            </w:r>
            <w:r w:rsidR="00E526AA" w:rsidRPr="00F479BE">
              <w:rPr>
                <w:rFonts w:ascii="Calibri Light" w:hAnsi="Calibri Light"/>
                <w:b w:val="0"/>
              </w:rPr>
              <w:t xml:space="preserve"> </w:t>
            </w:r>
            <w:r w:rsidR="00F46826" w:rsidRPr="00F479BE">
              <w:rPr>
                <w:rFonts w:ascii="Calibri Light" w:hAnsi="Calibri Light"/>
                <w:b w:val="0"/>
              </w:rPr>
              <w:t xml:space="preserve">el 22 de julio de 1980, interpuso </w:t>
            </w:r>
            <w:r w:rsidR="0085340E" w:rsidRPr="00F479BE">
              <w:rPr>
                <w:rFonts w:ascii="Calibri Light" w:hAnsi="Calibri Light"/>
                <w:b w:val="0"/>
              </w:rPr>
              <w:t>una demanda ante el Tribunal de lo Contencioso Administrativo impugnando el Decreto Supremo No. 320</w:t>
            </w:r>
            <w:r w:rsidR="00F46826" w:rsidRPr="00F479BE">
              <w:rPr>
                <w:rFonts w:ascii="Calibri Light" w:hAnsi="Calibri Light"/>
                <w:b w:val="0"/>
              </w:rPr>
              <w:t>. P</w:t>
            </w:r>
            <w:r w:rsidRPr="00F479BE">
              <w:rPr>
                <w:rFonts w:ascii="Calibri Light" w:hAnsi="Calibri Light"/>
                <w:b w:val="0"/>
              </w:rPr>
              <w:t>or otro</w:t>
            </w:r>
            <w:r w:rsidR="00F46826" w:rsidRPr="00F479BE">
              <w:rPr>
                <w:rFonts w:ascii="Calibri Light" w:hAnsi="Calibri Light"/>
                <w:b w:val="0"/>
              </w:rPr>
              <w:t xml:space="preserve"> lado</w:t>
            </w:r>
            <w:r w:rsidR="000F0EDC" w:rsidRPr="00F479BE">
              <w:rPr>
                <w:rFonts w:ascii="Calibri Light" w:hAnsi="Calibri Light"/>
                <w:b w:val="0"/>
              </w:rPr>
              <w:t>,</w:t>
            </w:r>
            <w:r w:rsidR="0085340E" w:rsidRPr="00F479BE">
              <w:rPr>
                <w:rFonts w:ascii="Calibri Light" w:hAnsi="Calibri Light"/>
                <w:b w:val="0"/>
              </w:rPr>
              <w:t xml:space="preserve"> </w:t>
            </w:r>
            <w:r w:rsidR="00F46826" w:rsidRPr="00F479BE">
              <w:rPr>
                <w:rFonts w:ascii="Calibri Light" w:hAnsi="Calibri Light"/>
                <w:b w:val="0"/>
              </w:rPr>
              <w:t xml:space="preserve">el 12 de febrero de 1993, </w:t>
            </w:r>
            <w:r w:rsidR="00492C81">
              <w:rPr>
                <w:rFonts w:ascii="Calibri Light" w:hAnsi="Calibri Light"/>
                <w:b w:val="0"/>
              </w:rPr>
              <w:t>presentó</w:t>
            </w:r>
            <w:r w:rsidR="00F46826" w:rsidRPr="00F479BE">
              <w:rPr>
                <w:rFonts w:ascii="Calibri Light" w:hAnsi="Calibri Light"/>
                <w:b w:val="0"/>
              </w:rPr>
              <w:t xml:space="preserve"> </w:t>
            </w:r>
            <w:r w:rsidR="0085340E" w:rsidRPr="00F479BE">
              <w:rPr>
                <w:rFonts w:ascii="Calibri Light" w:hAnsi="Calibri Light"/>
                <w:b w:val="0"/>
              </w:rPr>
              <w:t xml:space="preserve">un recurso de inconstitucionalidad ante el </w:t>
            </w:r>
            <w:r w:rsidR="0085340E" w:rsidRPr="00565C6D">
              <w:rPr>
                <w:rFonts w:ascii="Calibri Light" w:hAnsi="Calibri Light"/>
                <w:b w:val="0"/>
              </w:rPr>
              <w:t>Tribuna</w:t>
            </w:r>
            <w:r w:rsidR="009F3F92" w:rsidRPr="00565C6D">
              <w:rPr>
                <w:rFonts w:ascii="Calibri Light" w:hAnsi="Calibri Light"/>
                <w:b w:val="0"/>
              </w:rPr>
              <w:t>l de Garantías Constitucionales contra la misma norma.</w:t>
            </w:r>
            <w:r w:rsidRPr="00565C6D">
              <w:rPr>
                <w:rFonts w:ascii="Calibri Light" w:hAnsi="Calibri Light"/>
                <w:b w:val="0"/>
              </w:rPr>
              <w:t xml:space="preserve"> El primer</w:t>
            </w:r>
            <w:r w:rsidR="0034481F" w:rsidRPr="00565C6D">
              <w:rPr>
                <w:rFonts w:ascii="Calibri Light" w:hAnsi="Calibri Light"/>
                <w:b w:val="0"/>
              </w:rPr>
              <w:t xml:space="preserve"> recurso fue desestimado</w:t>
            </w:r>
            <w:r w:rsidRPr="00565C6D">
              <w:rPr>
                <w:rFonts w:ascii="Calibri Light" w:hAnsi="Calibri Light"/>
                <w:b w:val="0"/>
              </w:rPr>
              <w:t xml:space="preserve"> </w:t>
            </w:r>
            <w:r w:rsidR="00E54888" w:rsidRPr="00565C6D">
              <w:rPr>
                <w:rFonts w:ascii="Calibri Light" w:hAnsi="Calibri Light"/>
                <w:b w:val="0"/>
              </w:rPr>
              <w:t xml:space="preserve">el 18 de marzo de 1985 </w:t>
            </w:r>
            <w:r w:rsidRPr="00565C6D">
              <w:rPr>
                <w:rFonts w:ascii="Calibri Light" w:hAnsi="Calibri Light"/>
                <w:b w:val="0"/>
              </w:rPr>
              <w:t>debido a que el Tribunal de lo Contencioso Administrativo se declaró incompetente para resolver el caso y el segundo</w:t>
            </w:r>
            <w:r w:rsidR="0034481F" w:rsidRPr="00565C6D">
              <w:rPr>
                <w:rFonts w:ascii="Calibri Light" w:hAnsi="Calibri Light"/>
                <w:b w:val="0"/>
              </w:rPr>
              <w:t>,</w:t>
            </w:r>
            <w:r w:rsidRPr="00565C6D">
              <w:rPr>
                <w:rFonts w:ascii="Calibri Light" w:hAnsi="Calibri Light"/>
                <w:b w:val="0"/>
              </w:rPr>
              <w:t xml:space="preserve"> </w:t>
            </w:r>
            <w:r w:rsidR="00810B33" w:rsidRPr="00565C6D">
              <w:rPr>
                <w:rFonts w:ascii="Calibri Light" w:hAnsi="Calibri Light"/>
                <w:b w:val="0"/>
              </w:rPr>
              <w:t>mediante la Resolución No. 248-95-CP</w:t>
            </w:r>
            <w:r w:rsidR="00E54888" w:rsidRPr="00565C6D">
              <w:rPr>
                <w:rFonts w:ascii="Calibri Light" w:hAnsi="Calibri Light"/>
                <w:b w:val="0"/>
              </w:rPr>
              <w:t xml:space="preserve"> de 27 de diciembre de 1995</w:t>
            </w:r>
            <w:r w:rsidR="00810B33" w:rsidRPr="00565C6D">
              <w:rPr>
                <w:rFonts w:ascii="Calibri Light" w:hAnsi="Calibri Light"/>
                <w:b w:val="0"/>
              </w:rPr>
              <w:t>, también</w:t>
            </w:r>
            <w:r w:rsidR="00810B33" w:rsidRPr="00F479BE">
              <w:rPr>
                <w:rFonts w:ascii="Calibri Light" w:hAnsi="Calibri Light"/>
                <w:b w:val="0"/>
              </w:rPr>
              <w:t xml:space="preserve"> fue desestimado </w:t>
            </w:r>
            <w:r w:rsidRPr="00F479BE">
              <w:rPr>
                <w:rFonts w:ascii="Calibri Light" w:hAnsi="Calibri Light"/>
                <w:b w:val="0"/>
              </w:rPr>
              <w:t xml:space="preserve">bajo el argumento </w:t>
            </w:r>
            <w:r w:rsidR="00F46826" w:rsidRPr="00F479BE">
              <w:rPr>
                <w:rFonts w:ascii="Calibri Light" w:hAnsi="Calibri Light"/>
                <w:b w:val="0"/>
              </w:rPr>
              <w:t xml:space="preserve">de </w:t>
            </w:r>
            <w:r w:rsidRPr="00F479BE">
              <w:rPr>
                <w:rFonts w:ascii="Calibri Light" w:hAnsi="Calibri Light"/>
                <w:b w:val="0"/>
              </w:rPr>
              <w:t xml:space="preserve">que </w:t>
            </w:r>
            <w:r w:rsidR="00DF50FD" w:rsidRPr="00F479BE">
              <w:rPr>
                <w:rFonts w:ascii="Calibri Light" w:hAnsi="Calibri Light"/>
                <w:b w:val="0"/>
              </w:rPr>
              <w:t xml:space="preserve">no </w:t>
            </w:r>
            <w:r w:rsidR="000F0EDC" w:rsidRPr="00F479BE">
              <w:rPr>
                <w:rFonts w:ascii="Calibri Light" w:hAnsi="Calibri Light"/>
                <w:b w:val="0"/>
              </w:rPr>
              <w:t xml:space="preserve">se </w:t>
            </w:r>
            <w:r w:rsidRPr="00F479BE">
              <w:rPr>
                <w:rFonts w:ascii="Calibri Light" w:hAnsi="Calibri Light"/>
                <w:b w:val="0"/>
              </w:rPr>
              <w:t xml:space="preserve">había </w:t>
            </w:r>
            <w:r w:rsidR="000F0EDC" w:rsidRPr="00F479BE">
              <w:rPr>
                <w:rFonts w:ascii="Calibri Light" w:hAnsi="Calibri Light"/>
                <w:b w:val="0"/>
              </w:rPr>
              <w:t>acredit</w:t>
            </w:r>
            <w:r w:rsidRPr="00F479BE">
              <w:rPr>
                <w:rFonts w:ascii="Calibri Light" w:hAnsi="Calibri Light"/>
                <w:b w:val="0"/>
              </w:rPr>
              <w:t>ado</w:t>
            </w:r>
            <w:r w:rsidR="000F0EDC" w:rsidRPr="00F479BE">
              <w:rPr>
                <w:rFonts w:ascii="Calibri Light" w:hAnsi="Calibri Light"/>
                <w:b w:val="0"/>
              </w:rPr>
              <w:t xml:space="preserve"> el</w:t>
            </w:r>
            <w:r w:rsidR="00DF50FD" w:rsidRPr="00F479BE">
              <w:rPr>
                <w:rFonts w:ascii="Calibri Light" w:hAnsi="Calibri Light"/>
                <w:b w:val="0"/>
              </w:rPr>
              <w:t xml:space="preserve"> derecho de propiedad sobre la m</w:t>
            </w:r>
            <w:r w:rsidR="005A3432" w:rsidRPr="00F479BE">
              <w:rPr>
                <w:rFonts w:ascii="Calibri Light" w:hAnsi="Calibri Light"/>
                <w:b w:val="0"/>
              </w:rPr>
              <w:t xml:space="preserve">áscara </w:t>
            </w:r>
            <w:r w:rsidR="000F0EDC" w:rsidRPr="00F479BE">
              <w:rPr>
                <w:rFonts w:ascii="Calibri Light" w:hAnsi="Calibri Light"/>
                <w:b w:val="0"/>
              </w:rPr>
              <w:t xml:space="preserve">por parte del señor Judge. </w:t>
            </w:r>
            <w:r w:rsidR="00221A62">
              <w:rPr>
                <w:rFonts w:ascii="Calibri Light" w:hAnsi="Calibri Light"/>
                <w:b w:val="0"/>
              </w:rPr>
              <w:t>Esta última resoluci</w:t>
            </w:r>
            <w:r w:rsidR="00565C6D">
              <w:rPr>
                <w:rFonts w:ascii="Calibri Light" w:hAnsi="Calibri Light"/>
                <w:b w:val="0"/>
              </w:rPr>
              <w:t>ón deriv</w:t>
            </w:r>
            <w:r w:rsidR="00E54888">
              <w:rPr>
                <w:rFonts w:ascii="Calibri Light" w:hAnsi="Calibri Light"/>
                <w:b w:val="0"/>
              </w:rPr>
              <w:t>ó</w:t>
            </w:r>
            <w:r w:rsidR="00221A62">
              <w:rPr>
                <w:rFonts w:ascii="Calibri Light" w:hAnsi="Calibri Light"/>
                <w:b w:val="0"/>
              </w:rPr>
              <w:t xml:space="preserve"> el caso a la Sala Constitucional de la Corte Suprema de Justicia. </w:t>
            </w:r>
          </w:p>
          <w:p w14:paraId="5FB81C41" w14:textId="77777777" w:rsidR="00CD1750" w:rsidRPr="00F479BE" w:rsidRDefault="00CD1750" w:rsidP="004A0156">
            <w:pPr>
              <w:jc w:val="both"/>
              <w:rPr>
                <w:rFonts w:ascii="Calibri Light" w:hAnsi="Calibri Light"/>
                <w:b w:val="0"/>
              </w:rPr>
            </w:pPr>
          </w:p>
          <w:p w14:paraId="5481F97E" w14:textId="4CAA0744" w:rsidR="002462FD" w:rsidRDefault="00CD1750" w:rsidP="001A420F">
            <w:pPr>
              <w:jc w:val="both"/>
              <w:rPr>
                <w:rFonts w:ascii="Calibri Light" w:hAnsi="Calibri Light"/>
                <w:b w:val="0"/>
              </w:rPr>
            </w:pPr>
            <w:r w:rsidRPr="00F479BE">
              <w:rPr>
                <w:rFonts w:ascii="Calibri Light" w:hAnsi="Calibri Light"/>
                <w:b w:val="0"/>
              </w:rPr>
              <w:t xml:space="preserve">Esta última </w:t>
            </w:r>
            <w:r w:rsidR="00221A62">
              <w:rPr>
                <w:rFonts w:ascii="Calibri Light" w:hAnsi="Calibri Light"/>
                <w:b w:val="0"/>
              </w:rPr>
              <w:t>decisión</w:t>
            </w:r>
            <w:r w:rsidR="000F0EDC" w:rsidRPr="00F479BE">
              <w:rPr>
                <w:rFonts w:ascii="Calibri Light" w:hAnsi="Calibri Light"/>
                <w:b w:val="0"/>
              </w:rPr>
              <w:t xml:space="preserve"> nunca fue notificada al señor Judge.</w:t>
            </w:r>
            <w:r w:rsidRPr="00F479BE" w:rsidDel="00CD1750">
              <w:rPr>
                <w:rFonts w:ascii="Calibri Light" w:hAnsi="Calibri Light"/>
                <w:b w:val="0"/>
              </w:rPr>
              <w:t xml:space="preserve"> </w:t>
            </w:r>
            <w:r w:rsidRPr="00F479BE">
              <w:rPr>
                <w:rFonts w:ascii="Calibri Light" w:hAnsi="Calibri Light"/>
                <w:b w:val="0"/>
              </w:rPr>
              <w:t>No obstante</w:t>
            </w:r>
            <w:r w:rsidR="000F0EDC" w:rsidRPr="00F479BE">
              <w:rPr>
                <w:rFonts w:ascii="Calibri Light" w:hAnsi="Calibri Light"/>
                <w:b w:val="0"/>
              </w:rPr>
              <w:t xml:space="preserve">, </w:t>
            </w:r>
            <w:r w:rsidRPr="00F479BE">
              <w:rPr>
                <w:rFonts w:ascii="Calibri Light" w:hAnsi="Calibri Light"/>
                <w:b w:val="0"/>
              </w:rPr>
              <w:t xml:space="preserve">al </w:t>
            </w:r>
            <w:r w:rsidR="000F0EDC" w:rsidRPr="00F479BE">
              <w:rPr>
                <w:rFonts w:ascii="Calibri Light" w:hAnsi="Calibri Light"/>
                <w:b w:val="0"/>
              </w:rPr>
              <w:t>enterarse</w:t>
            </w:r>
            <w:r w:rsidRPr="00F479BE">
              <w:rPr>
                <w:rFonts w:ascii="Calibri Light" w:hAnsi="Calibri Light"/>
                <w:b w:val="0"/>
              </w:rPr>
              <w:t xml:space="preserve"> de ella</w:t>
            </w:r>
            <w:r w:rsidR="000F0EDC" w:rsidRPr="00F479BE">
              <w:rPr>
                <w:rFonts w:ascii="Calibri Light" w:hAnsi="Calibri Light"/>
                <w:b w:val="0"/>
              </w:rPr>
              <w:t xml:space="preserve">, </w:t>
            </w:r>
            <w:r w:rsidR="005A3432" w:rsidRPr="00F479BE">
              <w:rPr>
                <w:rFonts w:ascii="Calibri Light" w:hAnsi="Calibri Light"/>
                <w:b w:val="0"/>
              </w:rPr>
              <w:t>presentó un escrito ante la Sala de lo Administrativo de la Corte Suprema de Justicia</w:t>
            </w:r>
            <w:r w:rsidR="00221A62">
              <w:rPr>
                <w:rFonts w:ascii="Calibri Light" w:hAnsi="Calibri Light"/>
                <w:b w:val="0"/>
              </w:rPr>
              <w:t xml:space="preserve"> (en adelante, Sala de lo Administrativo)</w:t>
            </w:r>
            <w:r w:rsidR="005A3432" w:rsidRPr="00F479BE">
              <w:rPr>
                <w:rFonts w:ascii="Calibri Light" w:hAnsi="Calibri Light"/>
                <w:b w:val="0"/>
              </w:rPr>
              <w:t xml:space="preserve"> </w:t>
            </w:r>
            <w:r w:rsidR="004A639F" w:rsidRPr="00F479BE">
              <w:rPr>
                <w:rFonts w:ascii="Calibri Light" w:hAnsi="Calibri Light"/>
                <w:b w:val="0"/>
              </w:rPr>
              <w:t xml:space="preserve">para solicitar </w:t>
            </w:r>
            <w:r w:rsidR="00CA1FA8" w:rsidRPr="00F479BE">
              <w:rPr>
                <w:rFonts w:ascii="Calibri Light" w:hAnsi="Calibri Light"/>
                <w:b w:val="0"/>
              </w:rPr>
              <w:t xml:space="preserve">su </w:t>
            </w:r>
            <w:r w:rsidR="004A639F" w:rsidRPr="00F479BE">
              <w:rPr>
                <w:rFonts w:ascii="Calibri Light" w:hAnsi="Calibri Light"/>
                <w:b w:val="0"/>
              </w:rPr>
              <w:t xml:space="preserve">revocación </w:t>
            </w:r>
            <w:r w:rsidR="0051673F" w:rsidRPr="00F479BE">
              <w:rPr>
                <w:rFonts w:ascii="Calibri Light" w:hAnsi="Calibri Light"/>
                <w:b w:val="0"/>
              </w:rPr>
              <w:t xml:space="preserve">y </w:t>
            </w:r>
            <w:r w:rsidR="00CA1FA8" w:rsidRPr="00F479BE">
              <w:rPr>
                <w:rFonts w:ascii="Calibri Light" w:hAnsi="Calibri Light"/>
                <w:b w:val="0"/>
              </w:rPr>
              <w:t xml:space="preserve">pedir </w:t>
            </w:r>
            <w:r w:rsidR="0051673F" w:rsidRPr="00F479BE">
              <w:rPr>
                <w:rFonts w:ascii="Calibri Light" w:hAnsi="Calibri Light"/>
                <w:b w:val="0"/>
              </w:rPr>
              <w:t>la declaratoria de i</w:t>
            </w:r>
            <w:r w:rsidR="000F0EDC" w:rsidRPr="00F479BE">
              <w:rPr>
                <w:rFonts w:ascii="Calibri Light" w:hAnsi="Calibri Light"/>
                <w:b w:val="0"/>
              </w:rPr>
              <w:t>nconstitucionalidad del Decreto</w:t>
            </w:r>
            <w:r w:rsidR="00CA1FA8" w:rsidRPr="00F479BE">
              <w:rPr>
                <w:rFonts w:ascii="Calibri Light" w:hAnsi="Calibri Light"/>
                <w:b w:val="0"/>
              </w:rPr>
              <w:t xml:space="preserve">. </w:t>
            </w:r>
            <w:r w:rsidR="00837A7D" w:rsidRPr="00F479BE">
              <w:rPr>
                <w:rFonts w:ascii="Calibri Light" w:hAnsi="Calibri Light"/>
                <w:b w:val="0"/>
              </w:rPr>
              <w:t>Cabe precisar que e</w:t>
            </w:r>
            <w:r w:rsidR="00CA1FA8" w:rsidRPr="00F479BE">
              <w:rPr>
                <w:rFonts w:ascii="Calibri Light" w:hAnsi="Calibri Light"/>
                <w:b w:val="0"/>
              </w:rPr>
              <w:t>l recurso fue presentado ante dicha instancia</w:t>
            </w:r>
            <w:r w:rsidR="00CA1FA8" w:rsidRPr="00565C6D">
              <w:rPr>
                <w:rFonts w:ascii="Calibri Light" w:hAnsi="Calibri Light"/>
                <w:b w:val="0"/>
              </w:rPr>
              <w:t xml:space="preserve">, toda vez que </w:t>
            </w:r>
            <w:r w:rsidR="000F0EDC" w:rsidRPr="00565C6D">
              <w:rPr>
                <w:rFonts w:ascii="Calibri Light" w:hAnsi="Calibri Light"/>
                <w:b w:val="0"/>
              </w:rPr>
              <w:t xml:space="preserve">los casos conocidos por </w:t>
            </w:r>
            <w:r w:rsidR="00221A62" w:rsidRPr="00565C6D">
              <w:rPr>
                <w:rFonts w:ascii="Calibri Light" w:hAnsi="Calibri Light"/>
                <w:b w:val="0"/>
              </w:rPr>
              <w:t xml:space="preserve">la Sala de lo Constitucional </w:t>
            </w:r>
            <w:r w:rsidR="000F0EDC" w:rsidRPr="00565C6D">
              <w:rPr>
                <w:rFonts w:ascii="Calibri Light" w:hAnsi="Calibri Light"/>
                <w:b w:val="0"/>
              </w:rPr>
              <w:t xml:space="preserve">habían pasado de </w:t>
            </w:r>
            <w:r w:rsidR="00E54888" w:rsidRPr="00565C6D">
              <w:rPr>
                <w:rFonts w:ascii="Calibri Light" w:hAnsi="Calibri Light"/>
                <w:b w:val="0"/>
              </w:rPr>
              <w:t>forma transitoria a esta</w:t>
            </w:r>
            <w:r w:rsidR="000F0EDC" w:rsidRPr="00565C6D">
              <w:rPr>
                <w:rFonts w:ascii="Calibri Light" w:hAnsi="Calibri Light"/>
                <w:b w:val="0"/>
              </w:rPr>
              <w:t xml:space="preserve"> Sala</w:t>
            </w:r>
            <w:r w:rsidR="00396730" w:rsidRPr="00565C6D">
              <w:rPr>
                <w:rFonts w:ascii="Calibri Light" w:hAnsi="Calibri Light"/>
                <w:b w:val="0"/>
              </w:rPr>
              <w:t>.</w:t>
            </w:r>
            <w:r w:rsidR="00396730" w:rsidRPr="00F479BE">
              <w:rPr>
                <w:rFonts w:ascii="Calibri Light" w:hAnsi="Calibri Light"/>
                <w:b w:val="0"/>
              </w:rPr>
              <w:t xml:space="preserve"> Esto sucedió</w:t>
            </w:r>
            <w:r w:rsidR="000F0EDC" w:rsidRPr="00F479BE">
              <w:rPr>
                <w:rFonts w:ascii="Calibri Light" w:hAnsi="Calibri Light"/>
                <w:b w:val="0"/>
              </w:rPr>
              <w:t xml:space="preserve"> por</w:t>
            </w:r>
            <w:r w:rsidR="00492C81">
              <w:rPr>
                <w:rFonts w:ascii="Calibri Light" w:hAnsi="Calibri Light"/>
                <w:b w:val="0"/>
              </w:rPr>
              <w:t xml:space="preserve">que </w:t>
            </w:r>
            <w:r w:rsidR="000F0EDC" w:rsidRPr="00F479BE">
              <w:rPr>
                <w:rFonts w:ascii="Calibri Light" w:hAnsi="Calibri Light"/>
                <w:b w:val="0"/>
              </w:rPr>
              <w:t xml:space="preserve">el Estado </w:t>
            </w:r>
            <w:r w:rsidR="00492C81">
              <w:rPr>
                <w:rFonts w:ascii="Calibri Light" w:hAnsi="Calibri Light"/>
                <w:b w:val="0"/>
              </w:rPr>
              <w:t xml:space="preserve">se encontraba </w:t>
            </w:r>
            <w:r w:rsidR="000F0EDC" w:rsidRPr="00F479BE">
              <w:rPr>
                <w:rFonts w:ascii="Calibri Light" w:hAnsi="Calibri Light"/>
                <w:b w:val="0"/>
              </w:rPr>
              <w:t>en un proceso de reformas constitucionales</w:t>
            </w:r>
            <w:r w:rsidR="00396730" w:rsidRPr="00F479BE">
              <w:rPr>
                <w:rFonts w:ascii="Calibri Light" w:hAnsi="Calibri Light"/>
                <w:b w:val="0"/>
              </w:rPr>
              <w:t>,</w:t>
            </w:r>
            <w:r w:rsidR="000F0EDC" w:rsidRPr="00F479BE">
              <w:rPr>
                <w:rFonts w:ascii="Calibri Light" w:hAnsi="Calibri Light"/>
                <w:b w:val="0"/>
              </w:rPr>
              <w:t xml:space="preserve"> que culminaría con la desaparición del Tribunal de Garantías Constitucionales y la creación del Tribunal Constitucional ecuatoriano.</w:t>
            </w:r>
            <w:r w:rsidR="004720E5" w:rsidRPr="00F479BE">
              <w:rPr>
                <w:rFonts w:ascii="Calibri Light" w:hAnsi="Calibri Light"/>
                <w:b w:val="0"/>
              </w:rPr>
              <w:t xml:space="preserve"> </w:t>
            </w:r>
          </w:p>
          <w:p w14:paraId="5CBAC640" w14:textId="77777777" w:rsidR="00184348" w:rsidRDefault="00184348" w:rsidP="001A420F">
            <w:pPr>
              <w:jc w:val="both"/>
              <w:rPr>
                <w:rFonts w:ascii="Calibri Light" w:hAnsi="Calibri Light"/>
                <w:b w:val="0"/>
              </w:rPr>
            </w:pPr>
          </w:p>
          <w:p w14:paraId="76037866" w14:textId="231026A3" w:rsidR="0051673F" w:rsidRPr="00F479BE" w:rsidRDefault="00841F9D" w:rsidP="001A420F">
            <w:pPr>
              <w:jc w:val="both"/>
              <w:rPr>
                <w:rFonts w:ascii="Calibri Light" w:hAnsi="Calibri Light"/>
                <w:b w:val="0"/>
              </w:rPr>
            </w:pPr>
            <w:r>
              <w:rPr>
                <w:rFonts w:ascii="Calibri Light" w:hAnsi="Calibri Light"/>
                <w:b w:val="0"/>
              </w:rPr>
              <w:t>La CIDH no contó con información sobre la respuesta frente a ese escrito. Para</w:t>
            </w:r>
            <w:r w:rsidRPr="00F479BE">
              <w:rPr>
                <w:rFonts w:ascii="Calibri Light" w:hAnsi="Calibri Light"/>
                <w:b w:val="0"/>
              </w:rPr>
              <w:t xml:space="preserve"> el año 2000, el señor Judge no hab</w:t>
            </w:r>
            <w:r>
              <w:rPr>
                <w:rFonts w:ascii="Calibri Light" w:hAnsi="Calibri Light"/>
                <w:b w:val="0"/>
              </w:rPr>
              <w:t>r</w:t>
            </w:r>
            <w:r w:rsidRPr="00F479BE">
              <w:rPr>
                <w:rFonts w:ascii="Calibri Light" w:hAnsi="Calibri Light"/>
                <w:b w:val="0"/>
              </w:rPr>
              <w:t>ía obtenido una sentencia definitiva sobre su caso. Por ello, ese mismo año, presentó un escrito ante el Tribunal Constitucional, solicitando nuevamente reconocer la afectación de su derecho a la propiedad y la inconstitucionalidad del Decreto</w:t>
            </w:r>
            <w:r>
              <w:rPr>
                <w:rFonts w:ascii="Calibri Light" w:hAnsi="Calibri Light"/>
                <w:b w:val="0"/>
              </w:rPr>
              <w:t xml:space="preserve">. De acuerdo al peticionario, el asunto no contaría con decisión definitiva. No obstante, según el Estado, </w:t>
            </w:r>
            <w:r w:rsidR="004720E5" w:rsidRPr="00F479BE">
              <w:rPr>
                <w:rFonts w:ascii="Calibri Light" w:hAnsi="Calibri Light"/>
                <w:b w:val="0"/>
              </w:rPr>
              <w:t xml:space="preserve">la referida Sala </w:t>
            </w:r>
            <w:r>
              <w:rPr>
                <w:rFonts w:ascii="Calibri Light" w:hAnsi="Calibri Light"/>
                <w:b w:val="0"/>
              </w:rPr>
              <w:t>de lo Administrativo de la Corte Suprema de Justicia habría emitido</w:t>
            </w:r>
            <w:r w:rsidR="004720E5" w:rsidRPr="00F479BE">
              <w:rPr>
                <w:rFonts w:ascii="Calibri Light" w:hAnsi="Calibri Light"/>
                <w:b w:val="0"/>
              </w:rPr>
              <w:t xml:space="preserve"> un auto inhibitorio en 1999, señalando que había perdido competencia para conocer las resoluciones del Tribunal de Garantías Constitucionales</w:t>
            </w:r>
            <w:r w:rsidR="00565C6D">
              <w:rPr>
                <w:rFonts w:ascii="Calibri Light" w:hAnsi="Calibri Light"/>
                <w:b w:val="0"/>
              </w:rPr>
              <w:t xml:space="preserve">, dejando </w:t>
            </w:r>
            <w:r w:rsidR="004720E5" w:rsidRPr="00F479BE">
              <w:rPr>
                <w:rFonts w:ascii="Calibri Light" w:hAnsi="Calibri Light"/>
                <w:b w:val="0"/>
              </w:rPr>
              <w:t xml:space="preserve">firme </w:t>
            </w:r>
            <w:r w:rsidR="00565C6D">
              <w:rPr>
                <w:rFonts w:ascii="Calibri Light" w:hAnsi="Calibri Light"/>
                <w:b w:val="0"/>
              </w:rPr>
              <w:t>la</w:t>
            </w:r>
            <w:r w:rsidR="004720E5" w:rsidRPr="00F479BE">
              <w:rPr>
                <w:rFonts w:ascii="Calibri Light" w:hAnsi="Calibri Light"/>
                <w:b w:val="0"/>
              </w:rPr>
              <w:t xml:space="preserve"> sentencia.</w:t>
            </w:r>
          </w:p>
          <w:p w14:paraId="63CA1053" w14:textId="77777777" w:rsidR="0051673F" w:rsidRPr="00F479BE" w:rsidRDefault="0051673F" w:rsidP="001A420F">
            <w:pPr>
              <w:jc w:val="both"/>
              <w:rPr>
                <w:rFonts w:ascii="Calibri Light" w:hAnsi="Calibri Light"/>
                <w:b w:val="0"/>
              </w:rPr>
            </w:pPr>
          </w:p>
          <w:p w14:paraId="110DEDA2" w14:textId="2AF3B337" w:rsidR="00732BC0" w:rsidRPr="00F479BE" w:rsidRDefault="00303BFE" w:rsidP="001A420F">
            <w:pPr>
              <w:jc w:val="both"/>
              <w:rPr>
                <w:rFonts w:ascii="Calibri Light" w:hAnsi="Calibri Light"/>
                <w:b w:val="0"/>
              </w:rPr>
            </w:pPr>
            <w:r w:rsidRPr="00F479BE">
              <w:rPr>
                <w:rFonts w:ascii="Calibri Light" w:hAnsi="Calibri Light"/>
                <w:b w:val="0"/>
              </w:rPr>
              <w:t>Frente a tales hechos, el señor Judge</w:t>
            </w:r>
            <w:r w:rsidR="001A420F" w:rsidRPr="00F479BE">
              <w:rPr>
                <w:rFonts w:ascii="Calibri Light" w:hAnsi="Calibri Light"/>
                <w:b w:val="0"/>
              </w:rPr>
              <w:t xml:space="preserve"> </w:t>
            </w:r>
            <w:r w:rsidRPr="00F479BE">
              <w:rPr>
                <w:rFonts w:ascii="Calibri Light" w:hAnsi="Calibri Light"/>
                <w:b w:val="0"/>
              </w:rPr>
              <w:t>presentó</w:t>
            </w:r>
            <w:r w:rsidR="001A420F" w:rsidRPr="00F479BE">
              <w:rPr>
                <w:rFonts w:ascii="Calibri Light" w:hAnsi="Calibri Light"/>
                <w:b w:val="0"/>
              </w:rPr>
              <w:t xml:space="preserve"> una petición ante la CIDH, denunciando que el Estado de </w:t>
            </w:r>
            <w:r w:rsidRPr="00F479BE">
              <w:rPr>
                <w:rFonts w:ascii="Calibri Light" w:hAnsi="Calibri Light"/>
                <w:b w:val="0"/>
              </w:rPr>
              <w:t>Ecuador</w:t>
            </w:r>
            <w:r w:rsidR="001A420F" w:rsidRPr="00F479BE">
              <w:rPr>
                <w:rFonts w:ascii="Calibri Light" w:hAnsi="Calibri Light"/>
                <w:b w:val="0"/>
              </w:rPr>
              <w:t xml:space="preserve"> había vulnerado</w:t>
            </w:r>
            <w:r w:rsidR="00AE535D" w:rsidRPr="00F479BE">
              <w:rPr>
                <w:rFonts w:ascii="Calibri Light" w:hAnsi="Calibri Light"/>
                <w:b w:val="0"/>
              </w:rPr>
              <w:t xml:space="preserve"> su derecho a la propiedad, a las garantías judiciales, y a la protección judicial</w:t>
            </w:r>
            <w:r w:rsidR="001A420F" w:rsidRPr="00F479BE">
              <w:rPr>
                <w:rFonts w:ascii="Calibri Light" w:hAnsi="Calibri Light"/>
                <w:b w:val="0"/>
              </w:rPr>
              <w:t>, reconocidos en la Convención Americana sobre Derechos Humanos (en adelante, CADH).</w:t>
            </w:r>
          </w:p>
          <w:p w14:paraId="6543A68A" w14:textId="0C79155E" w:rsidR="00CA1FA8" w:rsidRPr="00F479BE" w:rsidRDefault="00CA1FA8" w:rsidP="001A420F">
            <w:pPr>
              <w:jc w:val="both"/>
              <w:rPr>
                <w:rFonts w:ascii="Calibri Light" w:hAnsi="Calibri Light"/>
                <w:b w:val="0"/>
              </w:rPr>
            </w:pPr>
          </w:p>
        </w:tc>
      </w:tr>
      <w:tr w:rsidR="005173CF" w:rsidRPr="00F479BE"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Pr="00F479BE" w:rsidRDefault="00AC6F31" w:rsidP="00AC6F31">
            <w:pPr>
              <w:pStyle w:val="ListParagraph"/>
              <w:rPr>
                <w:rFonts w:ascii="Calibri Light" w:hAnsi="Calibri Light"/>
              </w:rPr>
            </w:pPr>
          </w:p>
          <w:p w14:paraId="1FB8AB09" w14:textId="7A9428F6" w:rsidR="005173CF" w:rsidRPr="00F479BE" w:rsidRDefault="003E6AB8" w:rsidP="003E6AB8">
            <w:pPr>
              <w:pStyle w:val="ListParagraph"/>
              <w:numPr>
                <w:ilvl w:val="0"/>
                <w:numId w:val="2"/>
              </w:numPr>
              <w:jc w:val="center"/>
              <w:rPr>
                <w:rFonts w:ascii="Calibri Light" w:hAnsi="Calibri Light"/>
              </w:rPr>
            </w:pPr>
            <w:r w:rsidRPr="00F479BE">
              <w:rPr>
                <w:rFonts w:ascii="Calibri Light" w:hAnsi="Calibri Light"/>
              </w:rPr>
              <w:t>Análisis jurídico</w:t>
            </w:r>
          </w:p>
          <w:p w14:paraId="158A739A" w14:textId="77777777" w:rsidR="00AC6F31" w:rsidRPr="00F479BE" w:rsidRDefault="00AC6F31" w:rsidP="00AC6F31">
            <w:pPr>
              <w:pStyle w:val="ListParagraph"/>
              <w:rPr>
                <w:rFonts w:ascii="Calibri Light" w:hAnsi="Calibri Light"/>
              </w:rPr>
            </w:pPr>
          </w:p>
        </w:tc>
      </w:tr>
      <w:tr w:rsidR="005173CF" w:rsidRPr="00F479BE" w14:paraId="71AB3B44" w14:textId="77777777" w:rsidTr="00A94EE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72DFD6F2" w14:textId="77777777" w:rsidR="00CA1FA8" w:rsidRPr="00F479BE" w:rsidRDefault="00CA1FA8" w:rsidP="002049E5">
            <w:pPr>
              <w:pStyle w:val="ListParagraph"/>
              <w:jc w:val="both"/>
              <w:rPr>
                <w:rFonts w:ascii="Calibri Light" w:hAnsi="Calibri Light"/>
              </w:rPr>
            </w:pPr>
          </w:p>
          <w:p w14:paraId="4291C86C" w14:textId="16312EFC" w:rsidR="00A41637" w:rsidRPr="00492C81" w:rsidRDefault="00153860" w:rsidP="00492C81">
            <w:pPr>
              <w:jc w:val="both"/>
              <w:rPr>
                <w:rFonts w:ascii="Calibri Light" w:hAnsi="Calibri Light"/>
              </w:rPr>
            </w:pPr>
            <w:r w:rsidRPr="00492C81">
              <w:rPr>
                <w:rFonts w:ascii="Calibri Light" w:hAnsi="Calibri Light"/>
              </w:rPr>
              <w:t>Derec</w:t>
            </w:r>
            <w:r w:rsidR="008C219E" w:rsidRPr="00492C81">
              <w:rPr>
                <w:rFonts w:ascii="Calibri Light" w:hAnsi="Calibri Light"/>
              </w:rPr>
              <w:t>ho a la propiedad (artículo 21</w:t>
            </w:r>
            <w:r w:rsidRPr="00492C81">
              <w:rPr>
                <w:rFonts w:ascii="Calibri Light" w:hAnsi="Calibri Light"/>
              </w:rPr>
              <w:t xml:space="preserve"> de la CADH)</w:t>
            </w:r>
          </w:p>
          <w:p w14:paraId="38C0D2E1" w14:textId="660A891C" w:rsidR="00A41637" w:rsidRPr="00F479BE" w:rsidRDefault="00A41637" w:rsidP="00A41637">
            <w:pPr>
              <w:jc w:val="both"/>
              <w:rPr>
                <w:rFonts w:ascii="Calibri Light" w:hAnsi="Calibri Light"/>
              </w:rPr>
            </w:pPr>
          </w:p>
          <w:p w14:paraId="5FC53E85" w14:textId="45C741B3" w:rsidR="005D1932" w:rsidRPr="00F479BE" w:rsidRDefault="00F606EE" w:rsidP="00223D44">
            <w:pPr>
              <w:pStyle w:val="ListParagraph"/>
              <w:numPr>
                <w:ilvl w:val="0"/>
                <w:numId w:val="7"/>
              </w:numPr>
              <w:ind w:left="567" w:hanging="567"/>
              <w:jc w:val="both"/>
              <w:rPr>
                <w:rFonts w:ascii="Calibri Light" w:hAnsi="Calibri Light"/>
              </w:rPr>
            </w:pPr>
            <w:r w:rsidRPr="00F479BE">
              <w:rPr>
                <w:rFonts w:ascii="Calibri Light" w:hAnsi="Calibri Light"/>
              </w:rPr>
              <w:t xml:space="preserve">Consideraciones generales sobre el </w:t>
            </w:r>
            <w:r w:rsidR="008C219E" w:rsidRPr="00F479BE">
              <w:rPr>
                <w:rFonts w:ascii="Calibri Light" w:hAnsi="Calibri Light"/>
              </w:rPr>
              <w:t>derecho a la propiedad</w:t>
            </w:r>
          </w:p>
          <w:p w14:paraId="08303C15" w14:textId="78FEFBC2" w:rsidR="008C219E" w:rsidRPr="00F479BE" w:rsidRDefault="008C219E" w:rsidP="008C219E">
            <w:pPr>
              <w:jc w:val="both"/>
              <w:rPr>
                <w:rFonts w:ascii="Calibri Light" w:hAnsi="Calibri Light"/>
              </w:rPr>
            </w:pPr>
          </w:p>
          <w:p w14:paraId="2B640346" w14:textId="546FFF23" w:rsidR="00F119D6" w:rsidRPr="00F479BE" w:rsidRDefault="004E25A2" w:rsidP="008C219E">
            <w:pPr>
              <w:jc w:val="both"/>
              <w:rPr>
                <w:rFonts w:ascii="Calibri Light" w:hAnsi="Calibri Light"/>
                <w:b w:val="0"/>
              </w:rPr>
            </w:pPr>
            <w:r w:rsidRPr="00F479BE">
              <w:rPr>
                <w:rFonts w:ascii="Calibri Light" w:hAnsi="Calibri Light"/>
                <w:b w:val="0"/>
              </w:rPr>
              <w:t xml:space="preserve">La Corte IDH ha desarrollado un concepto amplio de propiedad, que </w:t>
            </w:r>
            <w:r w:rsidR="0054252F" w:rsidRPr="00F479BE">
              <w:rPr>
                <w:rFonts w:ascii="Calibri Light" w:hAnsi="Calibri Light"/>
                <w:b w:val="0"/>
              </w:rPr>
              <w:t>incluye tanto los bienes materiales apropiables</w:t>
            </w:r>
            <w:r w:rsidRPr="00F479BE">
              <w:rPr>
                <w:rFonts w:ascii="Calibri Light" w:hAnsi="Calibri Light"/>
                <w:b w:val="0"/>
              </w:rPr>
              <w:t xml:space="preserve"> y</w:t>
            </w:r>
            <w:r w:rsidR="0054252F" w:rsidRPr="00F479BE">
              <w:rPr>
                <w:rFonts w:ascii="Calibri Light" w:hAnsi="Calibri Light"/>
                <w:b w:val="0"/>
              </w:rPr>
              <w:t xml:space="preserve"> como todo derecho que haya entrado al patrimonio </w:t>
            </w:r>
            <w:r w:rsidR="00211B28" w:rsidRPr="00F479BE">
              <w:rPr>
                <w:rFonts w:ascii="Calibri Light" w:hAnsi="Calibri Light"/>
                <w:b w:val="0"/>
              </w:rPr>
              <w:t>de la persona</w:t>
            </w:r>
            <w:r w:rsidR="00C73E86" w:rsidRPr="00F479BE">
              <w:rPr>
                <w:rFonts w:ascii="Calibri Light" w:hAnsi="Calibri Light"/>
                <w:b w:val="0"/>
              </w:rPr>
              <w:t>. Así, este concepto se</w:t>
            </w:r>
            <w:r w:rsidR="00211B28" w:rsidRPr="00F479BE">
              <w:rPr>
                <w:rFonts w:ascii="Calibri Light" w:hAnsi="Calibri Light"/>
                <w:b w:val="0"/>
              </w:rPr>
              <w:t xml:space="preserve"> </w:t>
            </w:r>
            <w:r w:rsidR="00F119D6" w:rsidRPr="00F479BE">
              <w:rPr>
                <w:rFonts w:ascii="Calibri Light" w:hAnsi="Calibri Light"/>
                <w:b w:val="0"/>
              </w:rPr>
              <w:t xml:space="preserve">refiere </w:t>
            </w:r>
            <w:r w:rsidR="00C73E86" w:rsidRPr="00F479BE">
              <w:rPr>
                <w:rFonts w:ascii="Calibri Light" w:hAnsi="Calibri Light"/>
                <w:b w:val="0"/>
              </w:rPr>
              <w:t xml:space="preserve">a </w:t>
            </w:r>
            <w:r w:rsidR="00F119D6" w:rsidRPr="00F479BE">
              <w:rPr>
                <w:rFonts w:ascii="Calibri Light" w:hAnsi="Calibri Light"/>
                <w:b w:val="0"/>
              </w:rPr>
              <w:t>muebles e inmuebles como elementos corporales e incorporales,</w:t>
            </w:r>
            <w:r w:rsidR="00211B28" w:rsidRPr="00F479BE">
              <w:rPr>
                <w:rFonts w:ascii="Calibri Light" w:hAnsi="Calibri Light"/>
                <w:b w:val="0"/>
              </w:rPr>
              <w:t xml:space="preserve"> o</w:t>
            </w:r>
            <w:r w:rsidR="00F119D6" w:rsidRPr="00F479BE">
              <w:rPr>
                <w:rFonts w:ascii="Calibri Light" w:hAnsi="Calibri Light"/>
                <w:b w:val="0"/>
              </w:rPr>
              <w:t xml:space="preserve"> </w:t>
            </w:r>
            <w:r w:rsidR="00C73E86" w:rsidRPr="00F479BE">
              <w:rPr>
                <w:rFonts w:ascii="Calibri Light" w:hAnsi="Calibri Light"/>
                <w:b w:val="0"/>
              </w:rPr>
              <w:t xml:space="preserve">a </w:t>
            </w:r>
            <w:r w:rsidR="00F119D6" w:rsidRPr="00F479BE">
              <w:rPr>
                <w:rFonts w:ascii="Calibri Light" w:hAnsi="Calibri Light"/>
                <w:b w:val="0"/>
              </w:rPr>
              <w:t>cualquier otro tipo de objeto inmaterial susceptible de ser valorizado y los derechos adquiridos.</w:t>
            </w:r>
            <w:r w:rsidR="00CA1FA8" w:rsidRPr="00F479BE" w:rsidDel="00CA1FA8">
              <w:rPr>
                <w:rFonts w:ascii="Calibri Light" w:hAnsi="Calibri Light"/>
                <w:b w:val="0"/>
              </w:rPr>
              <w:t xml:space="preserve"> </w:t>
            </w:r>
            <w:r w:rsidR="00211B28" w:rsidRPr="00F479BE">
              <w:rPr>
                <w:rFonts w:ascii="Calibri Light" w:hAnsi="Calibri Light"/>
                <w:b w:val="0"/>
              </w:rPr>
              <w:t>Si bien la Corte IDH ha determinado en su jurisprudencia que son atributos del derecho a la propiedad el goce y disfrute del bien, este derecho puede ser limitado en atención al interés social.</w:t>
            </w:r>
            <w:r w:rsidR="00FD57A5" w:rsidRPr="00F479BE">
              <w:rPr>
                <w:rFonts w:ascii="Calibri Light" w:hAnsi="Calibri Light"/>
                <w:b w:val="0"/>
              </w:rPr>
              <w:t xml:space="preserve"> Además, esta privación del bien debe ajustarse al pago de una justa indemnización</w:t>
            </w:r>
            <w:r w:rsidR="00223D44" w:rsidRPr="00F479BE">
              <w:rPr>
                <w:rFonts w:ascii="Calibri Light" w:hAnsi="Calibri Light"/>
                <w:b w:val="0"/>
              </w:rPr>
              <w:t>, según los casos y las formas establecidas por la ley</w:t>
            </w:r>
            <w:r w:rsidR="00FD57A5" w:rsidRPr="00F479BE">
              <w:rPr>
                <w:rFonts w:ascii="Calibri Light" w:hAnsi="Calibri Light"/>
                <w:b w:val="0"/>
              </w:rPr>
              <w:t>.</w:t>
            </w:r>
          </w:p>
          <w:p w14:paraId="71496200" w14:textId="4BC195FF" w:rsidR="00211B28" w:rsidRPr="00F479BE" w:rsidRDefault="00211B28" w:rsidP="008C219E">
            <w:pPr>
              <w:jc w:val="both"/>
              <w:rPr>
                <w:rFonts w:ascii="Calibri Light" w:hAnsi="Calibri Light"/>
                <w:b w:val="0"/>
              </w:rPr>
            </w:pPr>
          </w:p>
          <w:p w14:paraId="48799FC5" w14:textId="1DB60D0F" w:rsidR="00223D44" w:rsidRPr="00F479BE" w:rsidRDefault="00223D44" w:rsidP="008C219E">
            <w:pPr>
              <w:jc w:val="both"/>
              <w:rPr>
                <w:rFonts w:ascii="Calibri Light" w:hAnsi="Calibri Light"/>
                <w:b w:val="0"/>
              </w:rPr>
            </w:pPr>
            <w:r w:rsidRPr="00F479BE">
              <w:rPr>
                <w:rFonts w:ascii="Calibri Light" w:hAnsi="Calibri Light"/>
                <w:b w:val="0"/>
              </w:rPr>
              <w:t>Por otra parte, la CIDH y la Corte IDH han precisado que el análisis de la supuesta violación del derecho a la propiedad, en el sentido del artículo 21.2 de la CADH, presupone de forma necesaria la determinación de que el bien en cuestión efectivamente haya ingresado al patrimonio de la presunta víctima. De esta forma, cuando un bien ingresa a la esfera patrimonial, conforme al marco normativo interno, se trata de un derecho adquirido y, por ejemplo, correspondería el pago de la justa indemnización por la expropiación de este bien.</w:t>
            </w:r>
          </w:p>
          <w:p w14:paraId="45C7CC6D" w14:textId="77777777" w:rsidR="00223D44" w:rsidRPr="00F479BE" w:rsidRDefault="00223D44" w:rsidP="008C219E">
            <w:pPr>
              <w:pStyle w:val="ListParagraph"/>
              <w:ind w:left="1080"/>
              <w:jc w:val="both"/>
              <w:rPr>
                <w:rFonts w:ascii="Calibri Light" w:hAnsi="Calibri Light"/>
              </w:rPr>
            </w:pPr>
          </w:p>
          <w:p w14:paraId="399233B9" w14:textId="2E48C5CA" w:rsidR="00F606EE" w:rsidRPr="00F479BE" w:rsidRDefault="00F606EE" w:rsidP="00223D44">
            <w:pPr>
              <w:pStyle w:val="ListParagraph"/>
              <w:numPr>
                <w:ilvl w:val="0"/>
                <w:numId w:val="7"/>
              </w:numPr>
              <w:ind w:left="567" w:hanging="567"/>
              <w:jc w:val="both"/>
              <w:rPr>
                <w:rFonts w:ascii="Calibri Light" w:hAnsi="Calibri Light"/>
              </w:rPr>
            </w:pPr>
            <w:r w:rsidRPr="00F479BE">
              <w:rPr>
                <w:rFonts w:ascii="Calibri Light" w:hAnsi="Calibri Light"/>
              </w:rPr>
              <w:t>Consider</w:t>
            </w:r>
            <w:r w:rsidR="00BF2D79" w:rsidRPr="00F479BE">
              <w:rPr>
                <w:rFonts w:ascii="Calibri Light" w:hAnsi="Calibri Light"/>
              </w:rPr>
              <w:t>aciones sobre la afectación al derecho a la propiedad del señor Judge</w:t>
            </w:r>
          </w:p>
          <w:p w14:paraId="38D8AAAE" w14:textId="77B81474" w:rsidR="00BF2D79" w:rsidRPr="00F479BE" w:rsidRDefault="00BF2D79" w:rsidP="00BF2D79">
            <w:pPr>
              <w:jc w:val="both"/>
              <w:rPr>
                <w:rFonts w:ascii="Calibri Light" w:hAnsi="Calibri Light"/>
              </w:rPr>
            </w:pPr>
          </w:p>
          <w:p w14:paraId="4F5191F3" w14:textId="595AB89F" w:rsidR="00EF5CBC" w:rsidRPr="00F479BE" w:rsidRDefault="002F15E9" w:rsidP="00572E82">
            <w:pPr>
              <w:jc w:val="both"/>
              <w:rPr>
                <w:rFonts w:ascii="Calibri Light" w:hAnsi="Calibri Light"/>
                <w:b w:val="0"/>
              </w:rPr>
            </w:pPr>
            <w:r w:rsidRPr="00F479BE">
              <w:rPr>
                <w:rFonts w:ascii="Calibri Light" w:hAnsi="Calibri Light"/>
                <w:b w:val="0"/>
              </w:rPr>
              <w:t>En el presente caso, l</w:t>
            </w:r>
            <w:r w:rsidR="00572E82" w:rsidRPr="00F479BE">
              <w:rPr>
                <w:rFonts w:ascii="Calibri Light" w:hAnsi="Calibri Light"/>
                <w:b w:val="0"/>
              </w:rPr>
              <w:t>a</w:t>
            </w:r>
            <w:r w:rsidR="00211B28" w:rsidRPr="00F479BE">
              <w:rPr>
                <w:rFonts w:ascii="Calibri Light" w:hAnsi="Calibri Light"/>
                <w:b w:val="0"/>
              </w:rPr>
              <w:t xml:space="preserve"> CIDH consider</w:t>
            </w:r>
            <w:r w:rsidR="00572E82" w:rsidRPr="00F479BE">
              <w:rPr>
                <w:rFonts w:ascii="Calibri Light" w:hAnsi="Calibri Light"/>
                <w:b w:val="0"/>
              </w:rPr>
              <w:t>ó</w:t>
            </w:r>
            <w:r w:rsidR="00211B28" w:rsidRPr="00F479BE">
              <w:rPr>
                <w:rFonts w:ascii="Calibri Light" w:hAnsi="Calibri Light"/>
                <w:b w:val="0"/>
              </w:rPr>
              <w:t xml:space="preserve"> que l</w:t>
            </w:r>
            <w:r w:rsidR="00EF5CBC" w:rsidRPr="00F479BE">
              <w:rPr>
                <w:rFonts w:ascii="Calibri Light" w:hAnsi="Calibri Light"/>
                <w:b w:val="0"/>
              </w:rPr>
              <w:t>a controversia respecto a</w:t>
            </w:r>
            <w:r w:rsidRPr="00F479BE">
              <w:rPr>
                <w:rFonts w:ascii="Calibri Light" w:hAnsi="Calibri Light"/>
                <w:b w:val="0"/>
              </w:rPr>
              <w:t>l</w:t>
            </w:r>
            <w:r w:rsidR="00EF5CBC" w:rsidRPr="00F479BE">
              <w:rPr>
                <w:rFonts w:ascii="Calibri Light" w:hAnsi="Calibri Light"/>
                <w:b w:val="0"/>
              </w:rPr>
              <w:t xml:space="preserve"> </w:t>
            </w:r>
            <w:r w:rsidR="00572E82" w:rsidRPr="00F479BE">
              <w:rPr>
                <w:rFonts w:ascii="Calibri Light" w:hAnsi="Calibri Light"/>
                <w:b w:val="0"/>
              </w:rPr>
              <w:t xml:space="preserve">derecho </w:t>
            </w:r>
            <w:r w:rsidRPr="00F479BE">
              <w:rPr>
                <w:rFonts w:ascii="Calibri Light" w:hAnsi="Calibri Light"/>
                <w:b w:val="0"/>
              </w:rPr>
              <w:t xml:space="preserve">de propiedad </w:t>
            </w:r>
            <w:r w:rsidR="00572E82" w:rsidRPr="00F479BE">
              <w:rPr>
                <w:rFonts w:ascii="Calibri Light" w:hAnsi="Calibri Light"/>
                <w:b w:val="0"/>
              </w:rPr>
              <w:t>consistía</w:t>
            </w:r>
            <w:r w:rsidR="00EF5CBC" w:rsidRPr="00F479BE">
              <w:rPr>
                <w:rFonts w:ascii="Calibri Light" w:hAnsi="Calibri Light"/>
                <w:b w:val="0"/>
              </w:rPr>
              <w:t xml:space="preserve"> en </w:t>
            </w:r>
            <w:r w:rsidR="00572E82" w:rsidRPr="00F479BE">
              <w:rPr>
                <w:rFonts w:ascii="Calibri Light" w:hAnsi="Calibri Light"/>
                <w:b w:val="0"/>
              </w:rPr>
              <w:t xml:space="preserve">determinar </w:t>
            </w:r>
            <w:r w:rsidR="00EF5CBC" w:rsidRPr="00F479BE">
              <w:rPr>
                <w:rFonts w:ascii="Calibri Light" w:hAnsi="Calibri Light"/>
                <w:b w:val="0"/>
              </w:rPr>
              <w:t xml:space="preserve">si la máscara había ingresado al patrimonio del señor Judge </w:t>
            </w:r>
            <w:r w:rsidR="00211B28" w:rsidRPr="00F479BE">
              <w:rPr>
                <w:rFonts w:ascii="Calibri Light" w:hAnsi="Calibri Light"/>
                <w:b w:val="0"/>
              </w:rPr>
              <w:t>de acuerdo a los hechos.</w:t>
            </w:r>
            <w:r w:rsidR="00572E82" w:rsidRPr="00F479BE">
              <w:rPr>
                <w:rFonts w:ascii="Calibri Light" w:hAnsi="Calibri Light"/>
                <w:b w:val="0"/>
              </w:rPr>
              <w:t xml:space="preserve"> Para ello, resultaba necesario analizar</w:t>
            </w:r>
            <w:r w:rsidR="00ED4930" w:rsidRPr="00F479BE">
              <w:rPr>
                <w:rFonts w:ascii="Calibri Light" w:hAnsi="Calibri Light"/>
                <w:b w:val="0"/>
              </w:rPr>
              <w:t xml:space="preserve"> el </w:t>
            </w:r>
            <w:r w:rsidR="00561B98" w:rsidRPr="00F479BE">
              <w:rPr>
                <w:rFonts w:ascii="Calibri Light" w:hAnsi="Calibri Light"/>
                <w:b w:val="0"/>
              </w:rPr>
              <w:t xml:space="preserve">permiso otorgado al ingeniero Vélez, </w:t>
            </w:r>
            <w:r w:rsidR="00572E82" w:rsidRPr="00F479BE">
              <w:rPr>
                <w:rFonts w:ascii="Calibri Light" w:hAnsi="Calibri Light"/>
                <w:b w:val="0"/>
              </w:rPr>
              <w:t xml:space="preserve">respecto del cual </w:t>
            </w:r>
            <w:r w:rsidRPr="00F479BE">
              <w:rPr>
                <w:rFonts w:ascii="Calibri Light" w:hAnsi="Calibri Light"/>
                <w:b w:val="0"/>
              </w:rPr>
              <w:t xml:space="preserve">resaltó </w:t>
            </w:r>
            <w:r w:rsidR="00ED4930" w:rsidRPr="00F479BE">
              <w:rPr>
                <w:rFonts w:ascii="Calibri Light" w:hAnsi="Calibri Light"/>
                <w:b w:val="0"/>
              </w:rPr>
              <w:t>tres puntos clave</w:t>
            </w:r>
            <w:r w:rsidR="00561B98" w:rsidRPr="00F479BE">
              <w:rPr>
                <w:rFonts w:ascii="Calibri Light" w:hAnsi="Calibri Light"/>
                <w:b w:val="0"/>
              </w:rPr>
              <w:t xml:space="preserve">: i) </w:t>
            </w:r>
            <w:r w:rsidR="00ED4930" w:rsidRPr="00F479BE">
              <w:rPr>
                <w:rFonts w:ascii="Calibri Light" w:hAnsi="Calibri Light"/>
                <w:b w:val="0"/>
              </w:rPr>
              <w:t>el permiso fue otorgado de forma única y directa al ingeniero Vélez;</w:t>
            </w:r>
            <w:r w:rsidR="00561B98" w:rsidRPr="00F479BE">
              <w:rPr>
                <w:rFonts w:ascii="Calibri Light" w:hAnsi="Calibri Light"/>
                <w:b w:val="0"/>
              </w:rPr>
              <w:t xml:space="preserve"> ii) </w:t>
            </w:r>
            <w:r w:rsidR="00ED4930" w:rsidRPr="00F479BE">
              <w:rPr>
                <w:rFonts w:ascii="Calibri Light" w:hAnsi="Calibri Light"/>
                <w:b w:val="0"/>
              </w:rPr>
              <w:t xml:space="preserve">dicho permiso </w:t>
            </w:r>
            <w:r w:rsidR="00561B98" w:rsidRPr="00F479BE">
              <w:rPr>
                <w:rFonts w:ascii="Calibri Light" w:hAnsi="Calibri Light"/>
                <w:b w:val="0"/>
              </w:rPr>
              <w:t>no incluía una autorización para excavación, sino trabajo</w:t>
            </w:r>
            <w:r w:rsidR="00ED4930" w:rsidRPr="00F479BE">
              <w:rPr>
                <w:rFonts w:ascii="Calibri Light" w:hAnsi="Calibri Light"/>
                <w:b w:val="0"/>
              </w:rPr>
              <w:t>s de prospección y una indicación de que solo sería posible la excavación tras la emisión de una autorización específica para ello; y</w:t>
            </w:r>
            <w:r w:rsidR="00561B98" w:rsidRPr="00F479BE">
              <w:rPr>
                <w:rFonts w:ascii="Calibri Light" w:hAnsi="Calibri Light"/>
                <w:b w:val="0"/>
              </w:rPr>
              <w:t xml:space="preserve"> iii) se indicó de forma explícita que se presc</w:t>
            </w:r>
            <w:r w:rsidR="00ED4930" w:rsidRPr="00F479BE">
              <w:rPr>
                <w:rFonts w:ascii="Calibri Light" w:hAnsi="Calibri Light"/>
                <w:b w:val="0"/>
              </w:rPr>
              <w:t>indiera de técnicos extranjeros, categoría en la que encaja el señor Judge.</w:t>
            </w:r>
          </w:p>
          <w:p w14:paraId="185824F1" w14:textId="5D0F0F4F" w:rsidR="00561B98" w:rsidRPr="00F479BE" w:rsidRDefault="00561B98" w:rsidP="00BF2D79">
            <w:pPr>
              <w:jc w:val="both"/>
              <w:rPr>
                <w:rFonts w:ascii="Calibri Light" w:hAnsi="Calibri Light"/>
                <w:b w:val="0"/>
              </w:rPr>
            </w:pPr>
          </w:p>
          <w:p w14:paraId="3D3AE1B8" w14:textId="308A2D58" w:rsidR="00F606EE" w:rsidRPr="00F479BE" w:rsidRDefault="00ED4930" w:rsidP="00A41637">
            <w:pPr>
              <w:jc w:val="both"/>
              <w:rPr>
                <w:rFonts w:ascii="Calibri Light" w:hAnsi="Calibri Light"/>
              </w:rPr>
            </w:pPr>
            <w:r w:rsidRPr="00F479BE">
              <w:rPr>
                <w:rFonts w:ascii="Calibri Light" w:hAnsi="Calibri Light"/>
                <w:b w:val="0"/>
              </w:rPr>
              <w:t>En vista de ello, la CIDH consider</w:t>
            </w:r>
            <w:r w:rsidR="00572E82" w:rsidRPr="00F479BE">
              <w:rPr>
                <w:rFonts w:ascii="Calibri Light" w:hAnsi="Calibri Light"/>
                <w:b w:val="0"/>
              </w:rPr>
              <w:t>ó</w:t>
            </w:r>
            <w:r w:rsidRPr="00F479BE">
              <w:rPr>
                <w:rFonts w:ascii="Calibri Light" w:hAnsi="Calibri Light"/>
                <w:b w:val="0"/>
              </w:rPr>
              <w:t xml:space="preserve"> que los </w:t>
            </w:r>
            <w:r w:rsidR="001A577F" w:rsidRPr="00F479BE">
              <w:rPr>
                <w:rFonts w:ascii="Calibri Light" w:hAnsi="Calibri Light"/>
                <w:b w:val="0"/>
              </w:rPr>
              <w:t xml:space="preserve">hechos </w:t>
            </w:r>
            <w:r w:rsidRPr="00F479BE">
              <w:rPr>
                <w:rFonts w:ascii="Calibri Light" w:hAnsi="Calibri Light"/>
                <w:b w:val="0"/>
              </w:rPr>
              <w:t xml:space="preserve">alegados por el señor Judge </w:t>
            </w:r>
            <w:r w:rsidR="001A577F" w:rsidRPr="00F479BE">
              <w:rPr>
                <w:rFonts w:ascii="Calibri Light" w:hAnsi="Calibri Light"/>
                <w:b w:val="0"/>
              </w:rPr>
              <w:t xml:space="preserve">no </w:t>
            </w:r>
            <w:r w:rsidR="00572E82" w:rsidRPr="00F479BE">
              <w:rPr>
                <w:rFonts w:ascii="Calibri Light" w:hAnsi="Calibri Light"/>
                <w:b w:val="0"/>
              </w:rPr>
              <w:t xml:space="preserve">eran </w:t>
            </w:r>
            <w:r w:rsidR="001A577F" w:rsidRPr="00F479BE">
              <w:rPr>
                <w:rFonts w:ascii="Calibri Light" w:hAnsi="Calibri Light"/>
                <w:b w:val="0"/>
              </w:rPr>
              <w:t xml:space="preserve">consistentes </w:t>
            </w:r>
            <w:r w:rsidRPr="00F479BE">
              <w:rPr>
                <w:rFonts w:ascii="Calibri Light" w:hAnsi="Calibri Light"/>
                <w:b w:val="0"/>
              </w:rPr>
              <w:t>con sus alegatos</w:t>
            </w:r>
            <w:r w:rsidR="00816627" w:rsidRPr="00F479BE">
              <w:rPr>
                <w:rFonts w:ascii="Calibri Light" w:hAnsi="Calibri Light"/>
                <w:b w:val="0"/>
              </w:rPr>
              <w:t>. Por ello,</w:t>
            </w:r>
            <w:r w:rsidR="00572E82" w:rsidRPr="00F479BE">
              <w:rPr>
                <w:rFonts w:ascii="Calibri Light" w:hAnsi="Calibri Light"/>
                <w:b w:val="0"/>
              </w:rPr>
              <w:t xml:space="preserve"> </w:t>
            </w:r>
            <w:r w:rsidRPr="00F479BE">
              <w:rPr>
                <w:rFonts w:ascii="Calibri Light" w:hAnsi="Calibri Light"/>
                <w:b w:val="0"/>
              </w:rPr>
              <w:t>determin</w:t>
            </w:r>
            <w:r w:rsidR="00572E82" w:rsidRPr="00F479BE">
              <w:rPr>
                <w:rFonts w:ascii="Calibri Light" w:hAnsi="Calibri Light"/>
                <w:b w:val="0"/>
              </w:rPr>
              <w:t>ó</w:t>
            </w:r>
            <w:r w:rsidRPr="00F479BE">
              <w:rPr>
                <w:rFonts w:ascii="Calibri Light" w:hAnsi="Calibri Light"/>
                <w:b w:val="0"/>
              </w:rPr>
              <w:t xml:space="preserve"> que no </w:t>
            </w:r>
            <w:r w:rsidR="00572E82" w:rsidRPr="00F479BE">
              <w:rPr>
                <w:rFonts w:ascii="Calibri Light" w:hAnsi="Calibri Light"/>
                <w:b w:val="0"/>
              </w:rPr>
              <w:t xml:space="preserve">existía </w:t>
            </w:r>
            <w:r w:rsidR="001A577F" w:rsidRPr="00F479BE">
              <w:rPr>
                <w:rFonts w:ascii="Calibri Light" w:hAnsi="Calibri Light"/>
                <w:b w:val="0"/>
              </w:rPr>
              <w:t xml:space="preserve">violación </w:t>
            </w:r>
            <w:r w:rsidR="00572E82" w:rsidRPr="00F479BE">
              <w:rPr>
                <w:rFonts w:ascii="Calibri Light" w:hAnsi="Calibri Light"/>
                <w:b w:val="0"/>
              </w:rPr>
              <w:t xml:space="preserve">al </w:t>
            </w:r>
            <w:r w:rsidR="001A577F" w:rsidRPr="00F479BE">
              <w:rPr>
                <w:rFonts w:ascii="Calibri Light" w:hAnsi="Calibri Light"/>
                <w:b w:val="0"/>
              </w:rPr>
              <w:t>derecho a la propi</w:t>
            </w:r>
            <w:r w:rsidRPr="00F479BE">
              <w:rPr>
                <w:rFonts w:ascii="Calibri Light" w:hAnsi="Calibri Light"/>
                <w:b w:val="0"/>
              </w:rPr>
              <w:t>edad por parte del Estado de Ecuador</w:t>
            </w:r>
            <w:r w:rsidR="00572E82" w:rsidRPr="00F479BE">
              <w:rPr>
                <w:rFonts w:ascii="Calibri Light" w:hAnsi="Calibri Light"/>
                <w:b w:val="0"/>
              </w:rPr>
              <w:t>,</w:t>
            </w:r>
            <w:r w:rsidRPr="00F479BE">
              <w:rPr>
                <w:rFonts w:ascii="Calibri Light" w:hAnsi="Calibri Light"/>
                <w:b w:val="0"/>
              </w:rPr>
              <w:t xml:space="preserve"> en tanto el derecho de propiedad sobre la máscara no había entrado en la esfera patrimonial </w:t>
            </w:r>
            <w:r w:rsidR="00816627" w:rsidRPr="00F479BE">
              <w:rPr>
                <w:rFonts w:ascii="Calibri Light" w:hAnsi="Calibri Light"/>
                <w:b w:val="0"/>
              </w:rPr>
              <w:t>de este</w:t>
            </w:r>
            <w:r w:rsidRPr="00F479BE">
              <w:rPr>
                <w:rFonts w:ascii="Calibri Light" w:hAnsi="Calibri Light"/>
                <w:b w:val="0"/>
              </w:rPr>
              <w:t>.</w:t>
            </w:r>
          </w:p>
          <w:p w14:paraId="26F4CC33" w14:textId="77777777" w:rsidR="00F606EE" w:rsidRPr="00F479BE" w:rsidRDefault="00F606EE" w:rsidP="00A41637">
            <w:pPr>
              <w:jc w:val="both"/>
              <w:rPr>
                <w:rFonts w:ascii="Calibri Light" w:hAnsi="Calibri Light"/>
              </w:rPr>
            </w:pPr>
          </w:p>
          <w:p w14:paraId="04E08DB2" w14:textId="645FBA6C" w:rsidR="00153860" w:rsidRPr="00492C81" w:rsidRDefault="00153860" w:rsidP="00492C81">
            <w:pPr>
              <w:jc w:val="both"/>
              <w:rPr>
                <w:rFonts w:ascii="Calibri Light" w:hAnsi="Calibri Light"/>
              </w:rPr>
            </w:pPr>
            <w:r w:rsidRPr="00492C81">
              <w:rPr>
                <w:rFonts w:ascii="Calibri Light" w:hAnsi="Calibri Light"/>
              </w:rPr>
              <w:t>Derecho a las garantías judiciales y a la protección judicial (artículos 8 y 25 de la CADH)</w:t>
            </w:r>
          </w:p>
          <w:p w14:paraId="2C0CB636" w14:textId="287FF6A2" w:rsidR="001A577F" w:rsidRPr="00F479BE" w:rsidRDefault="001A577F" w:rsidP="001A577F">
            <w:pPr>
              <w:jc w:val="both"/>
              <w:rPr>
                <w:rFonts w:ascii="Calibri Light" w:hAnsi="Calibri Light"/>
              </w:rPr>
            </w:pPr>
          </w:p>
          <w:p w14:paraId="69BB9E1E" w14:textId="6EEE51FD" w:rsidR="001A577F" w:rsidRPr="00F479BE" w:rsidRDefault="001A577F" w:rsidP="00223D44">
            <w:pPr>
              <w:pStyle w:val="ListParagraph"/>
              <w:numPr>
                <w:ilvl w:val="0"/>
                <w:numId w:val="13"/>
              </w:numPr>
              <w:ind w:left="567" w:hanging="567"/>
              <w:jc w:val="both"/>
              <w:rPr>
                <w:rFonts w:ascii="Calibri Light" w:hAnsi="Calibri Light"/>
              </w:rPr>
            </w:pPr>
            <w:r w:rsidRPr="00F479BE">
              <w:rPr>
                <w:rFonts w:ascii="Calibri Light" w:hAnsi="Calibri Light"/>
              </w:rPr>
              <w:t>Consideraciones generales sobre el derecho a las garantías judiciales y a la protección judicial</w:t>
            </w:r>
          </w:p>
          <w:p w14:paraId="47CC3D30" w14:textId="670E0E39" w:rsidR="00F23AA1" w:rsidRPr="00F479BE" w:rsidRDefault="00F23AA1" w:rsidP="00F23AA1">
            <w:pPr>
              <w:jc w:val="both"/>
              <w:rPr>
                <w:rFonts w:ascii="Calibri Light" w:hAnsi="Calibri Light"/>
              </w:rPr>
            </w:pPr>
          </w:p>
          <w:p w14:paraId="370C65BA" w14:textId="11D59AB4" w:rsidR="00F23AA1" w:rsidRPr="00F479BE" w:rsidRDefault="002B29BD" w:rsidP="00F23AA1">
            <w:pPr>
              <w:jc w:val="both"/>
              <w:rPr>
                <w:rFonts w:ascii="Calibri Light" w:hAnsi="Calibri Light"/>
              </w:rPr>
            </w:pPr>
            <w:r w:rsidRPr="00F479BE">
              <w:rPr>
                <w:rFonts w:ascii="Calibri Light" w:hAnsi="Calibri Light"/>
                <w:b w:val="0"/>
              </w:rPr>
              <w:t>La CIDH ha considerado que la razonabilidad del plazo se debe apreciar en relación con la duración total del procedimiento</w:t>
            </w:r>
            <w:r w:rsidR="00EA6A26">
              <w:rPr>
                <w:rFonts w:ascii="Calibri Light" w:hAnsi="Calibri Light"/>
                <w:b w:val="0"/>
              </w:rPr>
              <w:t>. Este derecho</w:t>
            </w:r>
            <w:r w:rsidRPr="00F479BE">
              <w:rPr>
                <w:rFonts w:ascii="Calibri Light" w:hAnsi="Calibri Light"/>
                <w:b w:val="0"/>
              </w:rPr>
              <w:t xml:space="preserve"> es considerad</w:t>
            </w:r>
            <w:r w:rsidR="00EA6A26">
              <w:rPr>
                <w:rFonts w:ascii="Calibri Light" w:hAnsi="Calibri Light"/>
                <w:b w:val="0"/>
              </w:rPr>
              <w:t>o</w:t>
            </w:r>
            <w:r w:rsidRPr="00F479BE">
              <w:rPr>
                <w:rFonts w:ascii="Calibri Light" w:hAnsi="Calibri Light"/>
                <w:b w:val="0"/>
              </w:rPr>
              <w:t xml:space="preserve"> parte de las garantías judiciales protegidas por el artículo 8.1 de la CADH</w:t>
            </w:r>
            <w:r w:rsidR="003B4B0F" w:rsidRPr="00F479BE">
              <w:rPr>
                <w:rFonts w:ascii="Calibri Light" w:hAnsi="Calibri Light"/>
                <w:b w:val="0"/>
              </w:rPr>
              <w:t xml:space="preserve">. </w:t>
            </w:r>
            <w:r w:rsidR="00F54A3B">
              <w:rPr>
                <w:rFonts w:ascii="Calibri Light" w:hAnsi="Calibri Light"/>
                <w:b w:val="0"/>
              </w:rPr>
              <w:t>P</w:t>
            </w:r>
            <w:r w:rsidR="00ED4930" w:rsidRPr="00F479BE">
              <w:rPr>
                <w:rFonts w:ascii="Calibri Light" w:hAnsi="Calibri Light"/>
                <w:b w:val="0"/>
              </w:rPr>
              <w:t xml:space="preserve">ara </w:t>
            </w:r>
            <w:r w:rsidR="00EA6A26">
              <w:rPr>
                <w:rFonts w:ascii="Calibri Light" w:hAnsi="Calibri Light"/>
                <w:b w:val="0"/>
              </w:rPr>
              <w:t>determinar su violación</w:t>
            </w:r>
            <w:r w:rsidR="006F1510" w:rsidRPr="00F479BE">
              <w:rPr>
                <w:rFonts w:ascii="Calibri Light" w:hAnsi="Calibri Light"/>
                <w:b w:val="0"/>
              </w:rPr>
              <w:t>,</w:t>
            </w:r>
            <w:r w:rsidR="00AD7610" w:rsidRPr="00F479BE">
              <w:rPr>
                <w:rFonts w:ascii="Calibri Light" w:hAnsi="Calibri Light"/>
                <w:b w:val="0"/>
              </w:rPr>
              <w:t xml:space="preserve"> se </w:t>
            </w:r>
            <w:r w:rsidR="00EA6A26">
              <w:rPr>
                <w:rFonts w:ascii="Calibri Light" w:hAnsi="Calibri Light"/>
                <w:b w:val="0"/>
              </w:rPr>
              <w:t>deben analizar los siguientes elementos</w:t>
            </w:r>
            <w:r w:rsidR="00AD7610" w:rsidRPr="00F479BE">
              <w:rPr>
                <w:rFonts w:ascii="Calibri Light" w:hAnsi="Calibri Light"/>
                <w:b w:val="0"/>
              </w:rPr>
              <w:t>: i) la complejidad del asunto, ii) actividad procesal del interesado, iii) la conducta de las autoridades judiciales, y iv) afectación generada en la situación jurídica de la persona involucrada en el proceso.</w:t>
            </w:r>
            <w:r w:rsidR="00EA6A26">
              <w:rPr>
                <w:rFonts w:ascii="Calibri Light" w:hAnsi="Calibri Light"/>
                <w:b w:val="0"/>
              </w:rPr>
              <w:t xml:space="preserve"> E</w:t>
            </w:r>
            <w:r w:rsidR="004A0156" w:rsidRPr="00F479BE">
              <w:rPr>
                <w:rFonts w:ascii="Calibri Light" w:hAnsi="Calibri Light"/>
                <w:b w:val="0"/>
              </w:rPr>
              <w:t>n cuanto al derecho a</w:t>
            </w:r>
            <w:r w:rsidR="00ED4930" w:rsidRPr="00F479BE">
              <w:rPr>
                <w:rFonts w:ascii="Calibri Light" w:hAnsi="Calibri Light"/>
                <w:b w:val="0"/>
              </w:rPr>
              <w:t xml:space="preserve"> la protección judicial, l</w:t>
            </w:r>
            <w:r w:rsidR="00FA13DD" w:rsidRPr="00F479BE">
              <w:rPr>
                <w:rFonts w:ascii="Calibri Light" w:hAnsi="Calibri Light"/>
                <w:b w:val="0"/>
              </w:rPr>
              <w:t>a Corte IDH ha determinado que los recursos ofrecidos a víctimas de violaciones de derechos humanos no solo deben ser sencillos, sino también efectivos</w:t>
            </w:r>
            <w:r w:rsidR="00EA6A26">
              <w:rPr>
                <w:rFonts w:ascii="Calibri Light" w:hAnsi="Calibri Light"/>
                <w:b w:val="0"/>
              </w:rPr>
              <w:t xml:space="preserve">. Esto significa </w:t>
            </w:r>
            <w:r w:rsidR="00FA13DD" w:rsidRPr="00F479BE">
              <w:rPr>
                <w:rFonts w:ascii="Calibri Light" w:hAnsi="Calibri Light"/>
                <w:b w:val="0"/>
              </w:rPr>
              <w:t xml:space="preserve">que no solo deben limitarse a su existencia formal, sino también </w:t>
            </w:r>
            <w:r w:rsidR="00EA6A26">
              <w:rPr>
                <w:rFonts w:ascii="Calibri Light" w:hAnsi="Calibri Light"/>
                <w:b w:val="0"/>
              </w:rPr>
              <w:t>producir</w:t>
            </w:r>
            <w:r w:rsidR="00FA13DD" w:rsidRPr="00F479BE">
              <w:rPr>
                <w:rFonts w:ascii="Calibri Light" w:hAnsi="Calibri Light"/>
                <w:b w:val="0"/>
              </w:rPr>
              <w:t xml:space="preserve"> los efectos o cumpl</w:t>
            </w:r>
            <w:r w:rsidR="00593AE2">
              <w:rPr>
                <w:rFonts w:ascii="Calibri Light" w:hAnsi="Calibri Light"/>
                <w:b w:val="0"/>
              </w:rPr>
              <w:t>ir</w:t>
            </w:r>
            <w:r w:rsidR="00FA13DD" w:rsidRPr="00F479BE">
              <w:rPr>
                <w:rFonts w:ascii="Calibri Light" w:hAnsi="Calibri Light"/>
                <w:b w:val="0"/>
              </w:rPr>
              <w:t xml:space="preserve"> los fines con los que han sido creados.</w:t>
            </w:r>
            <w:r w:rsidR="00EA6A26">
              <w:rPr>
                <w:rFonts w:ascii="Calibri Light" w:hAnsi="Calibri Light"/>
                <w:b w:val="0"/>
              </w:rPr>
              <w:t xml:space="preserve"> </w:t>
            </w:r>
            <w:r w:rsidR="00ED4930" w:rsidRPr="00F479BE">
              <w:rPr>
                <w:rFonts w:ascii="Calibri Light" w:hAnsi="Calibri Light"/>
                <w:b w:val="0"/>
              </w:rPr>
              <w:t>Para la CIDH, e</w:t>
            </w:r>
            <w:r w:rsidR="00AD7610" w:rsidRPr="00F479BE">
              <w:rPr>
                <w:rFonts w:ascii="Calibri Light" w:hAnsi="Calibri Light"/>
                <w:b w:val="0"/>
              </w:rPr>
              <w:t>xiste una relación de interdependencia entre ambos derechos.</w:t>
            </w:r>
          </w:p>
          <w:p w14:paraId="1E1D87AD" w14:textId="77777777" w:rsidR="00F23AA1" w:rsidRPr="00F479BE" w:rsidRDefault="00F23AA1" w:rsidP="00F23AA1">
            <w:pPr>
              <w:jc w:val="both"/>
              <w:rPr>
                <w:rFonts w:ascii="Calibri Light" w:hAnsi="Calibri Light"/>
              </w:rPr>
            </w:pPr>
          </w:p>
          <w:p w14:paraId="51E0A4D5" w14:textId="53CA9AB1" w:rsidR="00F23AA1" w:rsidRPr="00F479BE" w:rsidRDefault="001A577F" w:rsidP="002F15E9">
            <w:pPr>
              <w:pStyle w:val="ListParagraph"/>
              <w:numPr>
                <w:ilvl w:val="0"/>
                <w:numId w:val="13"/>
              </w:numPr>
              <w:ind w:left="567" w:hanging="567"/>
              <w:jc w:val="both"/>
              <w:rPr>
                <w:rFonts w:ascii="Calibri Light" w:hAnsi="Calibri Light"/>
              </w:rPr>
            </w:pPr>
            <w:r w:rsidRPr="00F479BE">
              <w:rPr>
                <w:rFonts w:ascii="Calibri Light" w:hAnsi="Calibri Light"/>
              </w:rPr>
              <w:t>Consideraciones sobre la afectaci</w:t>
            </w:r>
            <w:r w:rsidR="00F23AA1" w:rsidRPr="00F479BE">
              <w:rPr>
                <w:rFonts w:ascii="Calibri Light" w:hAnsi="Calibri Light"/>
              </w:rPr>
              <w:t>ón del plazo razonable y la protección judicial en el caso del señor Judge</w:t>
            </w:r>
          </w:p>
          <w:p w14:paraId="4283251D" w14:textId="64C3CCAA" w:rsidR="001A577F" w:rsidRPr="00F479BE" w:rsidRDefault="001A577F" w:rsidP="001A577F">
            <w:pPr>
              <w:jc w:val="both"/>
              <w:rPr>
                <w:rFonts w:ascii="Calibri Light" w:hAnsi="Calibri Light"/>
              </w:rPr>
            </w:pPr>
          </w:p>
          <w:p w14:paraId="1A1AE40C" w14:textId="7029A925" w:rsidR="00884770" w:rsidRPr="00F479BE" w:rsidRDefault="00224B06" w:rsidP="00884770">
            <w:pPr>
              <w:jc w:val="both"/>
              <w:rPr>
                <w:rFonts w:ascii="Calibri Light" w:hAnsi="Calibri Light"/>
                <w:b w:val="0"/>
              </w:rPr>
            </w:pPr>
            <w:r>
              <w:rPr>
                <w:rFonts w:ascii="Calibri Light" w:hAnsi="Calibri Light"/>
                <w:b w:val="0"/>
              </w:rPr>
              <w:t>La CIDH determinó que se debía</w:t>
            </w:r>
            <w:r w:rsidR="0084674E" w:rsidRPr="00F479BE">
              <w:rPr>
                <w:rFonts w:ascii="Calibri Light" w:hAnsi="Calibri Light"/>
                <w:b w:val="0"/>
              </w:rPr>
              <w:t xml:space="preserve"> tomar en cuenta la interposición de los </w:t>
            </w:r>
            <w:r w:rsidR="00884770" w:rsidRPr="00F479BE">
              <w:rPr>
                <w:rFonts w:ascii="Calibri Light" w:hAnsi="Calibri Light"/>
                <w:b w:val="0"/>
              </w:rPr>
              <w:t xml:space="preserve">dos </w:t>
            </w:r>
            <w:r w:rsidR="0084674E" w:rsidRPr="00F479BE">
              <w:rPr>
                <w:rFonts w:ascii="Calibri Light" w:hAnsi="Calibri Light"/>
                <w:b w:val="0"/>
              </w:rPr>
              <w:t xml:space="preserve">recursos presentados por el señor Judge </w:t>
            </w:r>
            <w:r w:rsidR="00884770" w:rsidRPr="00F479BE">
              <w:rPr>
                <w:rFonts w:ascii="Calibri Light" w:hAnsi="Calibri Light"/>
                <w:b w:val="0"/>
              </w:rPr>
              <w:t xml:space="preserve">contra el Decreto Supremo No. 320 </w:t>
            </w:r>
            <w:r w:rsidR="0084674E" w:rsidRPr="00F479BE">
              <w:rPr>
                <w:rFonts w:ascii="Calibri Light" w:hAnsi="Calibri Light"/>
                <w:b w:val="0"/>
              </w:rPr>
              <w:t>ante las i</w:t>
            </w:r>
            <w:r w:rsidR="00ED4930" w:rsidRPr="00F479BE">
              <w:rPr>
                <w:rFonts w:ascii="Calibri Light" w:hAnsi="Calibri Light"/>
                <w:b w:val="0"/>
              </w:rPr>
              <w:t xml:space="preserve">nstancias judiciales de Ecuador. </w:t>
            </w:r>
            <w:r>
              <w:rPr>
                <w:rFonts w:ascii="Calibri Light" w:hAnsi="Calibri Light"/>
                <w:b w:val="0"/>
              </w:rPr>
              <w:t>R</w:t>
            </w:r>
            <w:r w:rsidR="00ED4930" w:rsidRPr="00F479BE">
              <w:rPr>
                <w:rFonts w:ascii="Calibri Light" w:hAnsi="Calibri Light"/>
                <w:b w:val="0"/>
              </w:rPr>
              <w:t xml:space="preserve">especto </w:t>
            </w:r>
            <w:r>
              <w:rPr>
                <w:rFonts w:ascii="Calibri Light" w:hAnsi="Calibri Light"/>
                <w:b w:val="0"/>
              </w:rPr>
              <w:t>a</w:t>
            </w:r>
            <w:r w:rsidR="00ED4930" w:rsidRPr="00F479BE">
              <w:rPr>
                <w:rFonts w:ascii="Calibri Light" w:hAnsi="Calibri Light"/>
                <w:b w:val="0"/>
              </w:rPr>
              <w:t xml:space="preserve"> la demanda planteada ante el Tribunal de lo Contencioso Administrativo, </w:t>
            </w:r>
            <w:r>
              <w:rPr>
                <w:rFonts w:ascii="Calibri Light" w:hAnsi="Calibri Light"/>
                <w:b w:val="0"/>
              </w:rPr>
              <w:t>observó</w:t>
            </w:r>
            <w:r w:rsidR="00ED4930" w:rsidRPr="00F479BE">
              <w:rPr>
                <w:rFonts w:ascii="Calibri Light" w:hAnsi="Calibri Light"/>
                <w:b w:val="0"/>
              </w:rPr>
              <w:t xml:space="preserve"> que </w:t>
            </w:r>
            <w:r>
              <w:rPr>
                <w:rFonts w:ascii="Calibri Light" w:hAnsi="Calibri Light"/>
                <w:b w:val="0"/>
              </w:rPr>
              <w:t xml:space="preserve">el pronunciamiento </w:t>
            </w:r>
            <w:r w:rsidR="00810B33" w:rsidRPr="00F479BE">
              <w:rPr>
                <w:rFonts w:ascii="Calibri Light" w:hAnsi="Calibri Light"/>
                <w:b w:val="0"/>
              </w:rPr>
              <w:t>se limit</w:t>
            </w:r>
            <w:r>
              <w:rPr>
                <w:rFonts w:ascii="Calibri Light" w:hAnsi="Calibri Light"/>
                <w:b w:val="0"/>
              </w:rPr>
              <w:t>ó</w:t>
            </w:r>
            <w:r w:rsidR="00810B33" w:rsidRPr="00F479BE">
              <w:rPr>
                <w:rFonts w:ascii="Calibri Light" w:hAnsi="Calibri Light"/>
                <w:b w:val="0"/>
              </w:rPr>
              <w:t xml:space="preserve"> a la</w:t>
            </w:r>
            <w:r w:rsidR="00AC4518" w:rsidRPr="00F479BE">
              <w:rPr>
                <w:rFonts w:ascii="Calibri Light" w:hAnsi="Calibri Light"/>
                <w:b w:val="0"/>
              </w:rPr>
              <w:t xml:space="preserve"> “falta de jurisdicción”</w:t>
            </w:r>
            <w:r w:rsidR="009C7EA9" w:rsidRPr="00F479BE">
              <w:rPr>
                <w:rFonts w:ascii="Calibri Light" w:hAnsi="Calibri Light"/>
                <w:b w:val="0"/>
              </w:rPr>
              <w:t xml:space="preserve"> </w:t>
            </w:r>
            <w:r w:rsidR="00810B33" w:rsidRPr="00F479BE">
              <w:rPr>
                <w:rFonts w:ascii="Calibri Light" w:hAnsi="Calibri Light"/>
                <w:b w:val="0"/>
              </w:rPr>
              <w:t>y</w:t>
            </w:r>
            <w:r w:rsidR="009C7EA9" w:rsidRPr="00F479BE">
              <w:rPr>
                <w:rFonts w:ascii="Calibri Light" w:hAnsi="Calibri Light"/>
                <w:b w:val="0"/>
              </w:rPr>
              <w:t xml:space="preserve"> que</w:t>
            </w:r>
            <w:r w:rsidR="00810B33" w:rsidRPr="00F479BE">
              <w:rPr>
                <w:rFonts w:ascii="Calibri Light" w:hAnsi="Calibri Light"/>
                <w:b w:val="0"/>
              </w:rPr>
              <w:t xml:space="preserve"> el Estado no cumplió con la carga de justificar la demora de cinco años para una mera declaratoria de improcedencia por cuestiones de competencia</w:t>
            </w:r>
            <w:r w:rsidR="00621A00" w:rsidRPr="00F479BE">
              <w:rPr>
                <w:rFonts w:ascii="Calibri Light" w:hAnsi="Calibri Light"/>
                <w:b w:val="0"/>
              </w:rPr>
              <w:t xml:space="preserve">. Por ello, </w:t>
            </w:r>
            <w:r w:rsidR="00810B33" w:rsidRPr="00F479BE">
              <w:rPr>
                <w:rFonts w:ascii="Calibri Light" w:hAnsi="Calibri Light"/>
                <w:b w:val="0"/>
              </w:rPr>
              <w:t xml:space="preserve">consideró </w:t>
            </w:r>
            <w:r w:rsidR="00621A00" w:rsidRPr="00F479BE">
              <w:rPr>
                <w:rFonts w:ascii="Calibri Light" w:hAnsi="Calibri Light"/>
                <w:b w:val="0"/>
              </w:rPr>
              <w:t>que se</w:t>
            </w:r>
            <w:r w:rsidR="00810B33" w:rsidRPr="00F479BE">
              <w:rPr>
                <w:rFonts w:ascii="Calibri Light" w:hAnsi="Calibri Light"/>
                <w:b w:val="0"/>
              </w:rPr>
              <w:t xml:space="preserve"> había</w:t>
            </w:r>
            <w:r w:rsidR="00621A00" w:rsidRPr="00F479BE">
              <w:rPr>
                <w:rFonts w:ascii="Calibri Light" w:hAnsi="Calibri Light"/>
                <w:b w:val="0"/>
              </w:rPr>
              <w:t xml:space="preserve"> viola</w:t>
            </w:r>
            <w:r w:rsidR="00810B33" w:rsidRPr="00F479BE">
              <w:rPr>
                <w:rFonts w:ascii="Calibri Light" w:hAnsi="Calibri Light"/>
                <w:b w:val="0"/>
              </w:rPr>
              <w:t>do</w:t>
            </w:r>
            <w:r w:rsidR="00621A00" w:rsidRPr="00F479BE">
              <w:rPr>
                <w:rFonts w:ascii="Calibri Light" w:hAnsi="Calibri Light"/>
                <w:b w:val="0"/>
              </w:rPr>
              <w:t xml:space="preserve"> el plazo razonable respecto a este recurso.</w:t>
            </w:r>
          </w:p>
          <w:p w14:paraId="723FD253" w14:textId="753BA8F5" w:rsidR="00621A00" w:rsidRPr="00F479BE" w:rsidRDefault="00621A00" w:rsidP="00884770">
            <w:pPr>
              <w:jc w:val="both"/>
              <w:rPr>
                <w:rFonts w:ascii="Calibri Light" w:hAnsi="Calibri Light"/>
                <w:b w:val="0"/>
              </w:rPr>
            </w:pPr>
          </w:p>
          <w:p w14:paraId="00DF8478" w14:textId="156D5526" w:rsidR="00F82726" w:rsidRDefault="00621A00" w:rsidP="004137FA">
            <w:pPr>
              <w:jc w:val="both"/>
              <w:rPr>
                <w:rFonts w:ascii="Calibri Light" w:hAnsi="Calibri Light"/>
                <w:b w:val="0"/>
              </w:rPr>
            </w:pPr>
            <w:r w:rsidRPr="00F479BE">
              <w:rPr>
                <w:rFonts w:ascii="Calibri Light" w:hAnsi="Calibri Light"/>
                <w:b w:val="0"/>
              </w:rPr>
              <w:t xml:space="preserve">Por otro lado, sobre el recurso planteado frente al </w:t>
            </w:r>
            <w:r w:rsidR="00884770" w:rsidRPr="00F479BE">
              <w:rPr>
                <w:rFonts w:ascii="Calibri Light" w:hAnsi="Calibri Light"/>
                <w:b w:val="0"/>
              </w:rPr>
              <w:t>Tribun</w:t>
            </w:r>
            <w:r w:rsidRPr="00F479BE">
              <w:rPr>
                <w:rFonts w:ascii="Calibri Light" w:hAnsi="Calibri Light"/>
                <w:b w:val="0"/>
              </w:rPr>
              <w:t xml:space="preserve">al de </w:t>
            </w:r>
            <w:r w:rsidR="004A0156" w:rsidRPr="00F479BE">
              <w:rPr>
                <w:rFonts w:ascii="Calibri Light" w:hAnsi="Calibri Light"/>
                <w:b w:val="0"/>
              </w:rPr>
              <w:t>G</w:t>
            </w:r>
            <w:r w:rsidRPr="00F479BE">
              <w:rPr>
                <w:rFonts w:ascii="Calibri Light" w:hAnsi="Calibri Light"/>
                <w:b w:val="0"/>
              </w:rPr>
              <w:t xml:space="preserve">arantías </w:t>
            </w:r>
            <w:r w:rsidR="004A0156" w:rsidRPr="00F479BE">
              <w:rPr>
                <w:rFonts w:ascii="Calibri Light" w:hAnsi="Calibri Light"/>
                <w:b w:val="0"/>
              </w:rPr>
              <w:t>C</w:t>
            </w:r>
            <w:r w:rsidRPr="00F479BE">
              <w:rPr>
                <w:rFonts w:ascii="Calibri Light" w:hAnsi="Calibri Light"/>
                <w:b w:val="0"/>
              </w:rPr>
              <w:t>onstitucional</w:t>
            </w:r>
            <w:r w:rsidR="004A0156" w:rsidRPr="00F479BE">
              <w:rPr>
                <w:rFonts w:ascii="Calibri Light" w:hAnsi="Calibri Light"/>
                <w:b w:val="0"/>
              </w:rPr>
              <w:t>es</w:t>
            </w:r>
            <w:r w:rsidRPr="00F479BE">
              <w:rPr>
                <w:rFonts w:ascii="Calibri Light" w:hAnsi="Calibri Light"/>
                <w:b w:val="0"/>
              </w:rPr>
              <w:t xml:space="preserve">, </w:t>
            </w:r>
            <w:r w:rsidR="00BF6A5B">
              <w:rPr>
                <w:rFonts w:ascii="Calibri Light" w:hAnsi="Calibri Light"/>
                <w:b w:val="0"/>
              </w:rPr>
              <w:t xml:space="preserve">la CIDH </w:t>
            </w:r>
            <w:r w:rsidR="002712F6">
              <w:rPr>
                <w:rFonts w:ascii="Calibri Light" w:hAnsi="Calibri Light"/>
                <w:b w:val="0"/>
              </w:rPr>
              <w:t>indicó</w:t>
            </w:r>
            <w:r w:rsidR="00BF6A5B">
              <w:rPr>
                <w:rFonts w:ascii="Calibri Light" w:hAnsi="Calibri Light"/>
                <w:b w:val="0"/>
              </w:rPr>
              <w:t xml:space="preserve"> que </w:t>
            </w:r>
            <w:r w:rsidR="002712F6">
              <w:rPr>
                <w:rFonts w:ascii="Calibri Light" w:hAnsi="Calibri Light"/>
                <w:b w:val="0"/>
              </w:rPr>
              <w:t xml:space="preserve">desde </w:t>
            </w:r>
            <w:r w:rsidR="00F82726">
              <w:rPr>
                <w:rFonts w:ascii="Calibri Light" w:hAnsi="Calibri Light"/>
                <w:b w:val="0"/>
              </w:rPr>
              <w:t>su presentación</w:t>
            </w:r>
            <w:r w:rsidR="002712F6">
              <w:rPr>
                <w:rFonts w:ascii="Calibri Light" w:hAnsi="Calibri Light"/>
                <w:b w:val="0"/>
              </w:rPr>
              <w:t xml:space="preserve"> en 1993 </w:t>
            </w:r>
            <w:r w:rsidR="00BF6A5B">
              <w:rPr>
                <w:rFonts w:ascii="Calibri Light" w:hAnsi="Calibri Light"/>
                <w:b w:val="0"/>
              </w:rPr>
              <w:t xml:space="preserve">hasta la emisión de la </w:t>
            </w:r>
            <w:r w:rsidR="00365B99" w:rsidRPr="00F479BE">
              <w:rPr>
                <w:rFonts w:ascii="Calibri Light" w:hAnsi="Calibri Light"/>
                <w:b w:val="0"/>
              </w:rPr>
              <w:t>Resolución No. 248-</w:t>
            </w:r>
            <w:r w:rsidRPr="00F479BE">
              <w:rPr>
                <w:rFonts w:ascii="Calibri Light" w:hAnsi="Calibri Light"/>
                <w:b w:val="0"/>
              </w:rPr>
              <w:t>95-CP</w:t>
            </w:r>
            <w:r w:rsidR="002712F6">
              <w:rPr>
                <w:rFonts w:ascii="Calibri Light" w:hAnsi="Calibri Light"/>
                <w:b w:val="0"/>
              </w:rPr>
              <w:t xml:space="preserve"> </w:t>
            </w:r>
            <w:r w:rsidR="00565C6D">
              <w:rPr>
                <w:rFonts w:ascii="Calibri Light" w:hAnsi="Calibri Light"/>
                <w:b w:val="0"/>
              </w:rPr>
              <w:t>en 1995</w:t>
            </w:r>
            <w:r w:rsidR="002712F6">
              <w:rPr>
                <w:rFonts w:ascii="Calibri Light" w:hAnsi="Calibri Light"/>
                <w:b w:val="0"/>
              </w:rPr>
              <w:t xml:space="preserve"> transcurrieron tres años que no fueron explicados por el Estado. </w:t>
            </w:r>
            <w:r w:rsidR="00F82726">
              <w:rPr>
                <w:rFonts w:ascii="Calibri Light" w:hAnsi="Calibri Light"/>
                <w:b w:val="0"/>
              </w:rPr>
              <w:t xml:space="preserve">Esta demora no era compatible con un recurso rápido y sencillo, por lo cual también se violó el derecho de protección judicial. Además, la CIDH señaló que el Estado </w:t>
            </w:r>
            <w:r w:rsidR="002712F6">
              <w:rPr>
                <w:rFonts w:ascii="Calibri Light" w:hAnsi="Calibri Light"/>
                <w:b w:val="0"/>
              </w:rPr>
              <w:t xml:space="preserve">tampoco justificó la demora de más de tres años entre esta resolución y el auto inhibitorio de la Sala de lo Administrativo. </w:t>
            </w:r>
          </w:p>
          <w:p w14:paraId="339795E9" w14:textId="77777777" w:rsidR="00F82726" w:rsidRDefault="00F82726" w:rsidP="004137FA">
            <w:pPr>
              <w:jc w:val="both"/>
              <w:rPr>
                <w:rFonts w:ascii="Calibri Light" w:hAnsi="Calibri Light"/>
                <w:b w:val="0"/>
              </w:rPr>
            </w:pPr>
          </w:p>
          <w:p w14:paraId="7C045CD1" w14:textId="142087FA" w:rsidR="00CB180B" w:rsidRPr="00F479BE" w:rsidRDefault="002712F6" w:rsidP="007B144F">
            <w:pPr>
              <w:jc w:val="both"/>
              <w:rPr>
                <w:rFonts w:ascii="Calibri Light" w:hAnsi="Calibri Light"/>
                <w:b w:val="0"/>
              </w:rPr>
            </w:pPr>
            <w:r>
              <w:rPr>
                <w:rFonts w:ascii="Calibri Light" w:hAnsi="Calibri Light"/>
                <w:b w:val="0"/>
              </w:rPr>
              <w:t xml:space="preserve">Por </w:t>
            </w:r>
            <w:r w:rsidR="00F82726">
              <w:rPr>
                <w:rFonts w:ascii="Calibri Light" w:hAnsi="Calibri Light"/>
                <w:b w:val="0"/>
              </w:rPr>
              <w:t xml:space="preserve">último, </w:t>
            </w:r>
            <w:r>
              <w:rPr>
                <w:rFonts w:ascii="Calibri Light" w:hAnsi="Calibri Light"/>
                <w:b w:val="0"/>
              </w:rPr>
              <w:t>advirtió que</w:t>
            </w:r>
            <w:r w:rsidR="002D5938">
              <w:rPr>
                <w:rFonts w:ascii="Calibri Light" w:hAnsi="Calibri Light"/>
                <w:b w:val="0"/>
              </w:rPr>
              <w:t>, pese a haber</w:t>
            </w:r>
            <w:r>
              <w:rPr>
                <w:rFonts w:ascii="Calibri Light" w:hAnsi="Calibri Light"/>
                <w:b w:val="0"/>
              </w:rPr>
              <w:t xml:space="preserve"> transcurrido más de 23 años, el señor Judge no contaba </w:t>
            </w:r>
            <w:r w:rsidR="00F82726">
              <w:rPr>
                <w:rFonts w:ascii="Calibri Light" w:hAnsi="Calibri Light"/>
                <w:b w:val="0"/>
              </w:rPr>
              <w:t xml:space="preserve">aún </w:t>
            </w:r>
            <w:r>
              <w:rPr>
                <w:rFonts w:ascii="Calibri Light" w:hAnsi="Calibri Light"/>
                <w:b w:val="0"/>
              </w:rPr>
              <w:t>con una respuesta definitiva</w:t>
            </w:r>
            <w:r w:rsidR="00F82726">
              <w:rPr>
                <w:rFonts w:ascii="Calibri Light" w:hAnsi="Calibri Light"/>
                <w:b w:val="0"/>
              </w:rPr>
              <w:t>, pues e</w:t>
            </w:r>
            <w:r>
              <w:rPr>
                <w:rFonts w:ascii="Calibri Light" w:hAnsi="Calibri Light"/>
                <w:b w:val="0"/>
              </w:rPr>
              <w:t xml:space="preserve">l auto inhibitorio de la Sala de lo Administrativo se limitó a declarar que ya no tenía competencia y no precisó si dicha decisión tenía carácter definitivo. </w:t>
            </w:r>
            <w:r w:rsidR="004137FA" w:rsidRPr="00F479BE">
              <w:rPr>
                <w:rFonts w:ascii="Calibri Light" w:hAnsi="Calibri Light"/>
                <w:b w:val="0"/>
              </w:rPr>
              <w:t xml:space="preserve">Por </w:t>
            </w:r>
            <w:r w:rsidR="00F82726">
              <w:rPr>
                <w:rFonts w:ascii="Calibri Light" w:hAnsi="Calibri Light"/>
                <w:b w:val="0"/>
              </w:rPr>
              <w:t xml:space="preserve">estas razones, la CIDH concluyó que </w:t>
            </w:r>
            <w:r w:rsidR="004137FA" w:rsidRPr="00F479BE">
              <w:rPr>
                <w:rFonts w:ascii="Calibri Light" w:hAnsi="Calibri Light"/>
                <w:b w:val="0"/>
              </w:rPr>
              <w:t>se había violado el plazo razonable.</w:t>
            </w:r>
            <w:r w:rsidR="00F82726">
              <w:rPr>
                <w:rFonts w:ascii="Calibri Light" w:hAnsi="Calibri Light"/>
                <w:b w:val="0"/>
              </w:rPr>
              <w:t xml:space="preserve"> Igualmente, determinó que se había violado el derecho a la protección judicial, pues el señor Judge no contó con una respuesta judicial que le brindara seguridad jurídica.  </w:t>
            </w:r>
            <w:r w:rsidR="00621A00" w:rsidRPr="00F479BE">
              <w:rPr>
                <w:rFonts w:ascii="Calibri Light" w:hAnsi="Calibri Light"/>
                <w:b w:val="0"/>
              </w:rPr>
              <w:t xml:space="preserve">Por lo detallado, la </w:t>
            </w:r>
            <w:r w:rsidR="0059073F" w:rsidRPr="00F479BE">
              <w:rPr>
                <w:rFonts w:ascii="Calibri Light" w:hAnsi="Calibri Light"/>
                <w:b w:val="0"/>
              </w:rPr>
              <w:t xml:space="preserve">CIDH </w:t>
            </w:r>
            <w:r w:rsidR="00810B33" w:rsidRPr="00F479BE">
              <w:rPr>
                <w:rFonts w:ascii="Calibri Light" w:hAnsi="Calibri Light"/>
                <w:b w:val="0"/>
              </w:rPr>
              <w:t xml:space="preserve">concluyó </w:t>
            </w:r>
            <w:r w:rsidR="0059073F" w:rsidRPr="00F479BE">
              <w:rPr>
                <w:rFonts w:ascii="Calibri Light" w:hAnsi="Calibri Light"/>
                <w:b w:val="0"/>
              </w:rPr>
              <w:t xml:space="preserve">que el Estado de Ecuador </w:t>
            </w:r>
            <w:r w:rsidR="008664BB" w:rsidRPr="00F479BE">
              <w:rPr>
                <w:rFonts w:ascii="Calibri Light" w:hAnsi="Calibri Light"/>
                <w:b w:val="0"/>
              </w:rPr>
              <w:t xml:space="preserve">había violado </w:t>
            </w:r>
            <w:r w:rsidR="0059073F" w:rsidRPr="00F479BE">
              <w:rPr>
                <w:rFonts w:ascii="Calibri Light" w:hAnsi="Calibri Light"/>
                <w:b w:val="0"/>
              </w:rPr>
              <w:t>los artículos 8.1 y 25 de la CADH</w:t>
            </w:r>
            <w:r w:rsidR="00810B33" w:rsidRPr="00F479BE">
              <w:rPr>
                <w:rFonts w:ascii="Calibri Light" w:hAnsi="Calibri Light"/>
                <w:b w:val="0"/>
              </w:rPr>
              <w:t>,</w:t>
            </w:r>
            <w:r w:rsidR="0059073F" w:rsidRPr="00F479BE">
              <w:rPr>
                <w:rFonts w:ascii="Calibri Light" w:hAnsi="Calibri Light"/>
                <w:b w:val="0"/>
              </w:rPr>
              <w:t xml:space="preserve"> en relación con el artículo 1.1</w:t>
            </w:r>
            <w:r w:rsidR="00810B33" w:rsidRPr="00F479BE">
              <w:rPr>
                <w:rFonts w:ascii="Calibri Light" w:hAnsi="Calibri Light"/>
                <w:b w:val="0"/>
              </w:rPr>
              <w:t>,</w:t>
            </w:r>
            <w:r w:rsidR="004E597C" w:rsidRPr="00F479BE">
              <w:rPr>
                <w:rFonts w:ascii="Calibri Light" w:hAnsi="Calibri Light"/>
                <w:b w:val="0"/>
              </w:rPr>
              <w:t xml:space="preserve"> en perjuicio del señor Judge.</w:t>
            </w:r>
          </w:p>
          <w:p w14:paraId="5AA471B6" w14:textId="6710CADA" w:rsidR="00C44D2A" w:rsidRPr="00F479BE" w:rsidRDefault="00C44D2A" w:rsidP="007B144F">
            <w:pPr>
              <w:jc w:val="both"/>
              <w:rPr>
                <w:rFonts w:ascii="Calibri Light" w:hAnsi="Calibri Light"/>
                <w:b w:val="0"/>
              </w:rPr>
            </w:pPr>
          </w:p>
        </w:tc>
      </w:tr>
      <w:tr w:rsidR="005173CF" w:rsidRPr="00F479BE"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Pr="00F479BE" w:rsidRDefault="00AC6F31" w:rsidP="00AC6F31">
            <w:pPr>
              <w:pStyle w:val="ListParagraph"/>
              <w:rPr>
                <w:rFonts w:ascii="Calibri Light" w:hAnsi="Calibri Light"/>
              </w:rPr>
            </w:pPr>
          </w:p>
          <w:p w14:paraId="5CF7BA21" w14:textId="3B4F278E" w:rsidR="005173CF" w:rsidRPr="00F479BE" w:rsidRDefault="007A6C56" w:rsidP="0029671B">
            <w:pPr>
              <w:pStyle w:val="ListParagraph"/>
              <w:numPr>
                <w:ilvl w:val="0"/>
                <w:numId w:val="2"/>
              </w:numPr>
              <w:jc w:val="center"/>
              <w:rPr>
                <w:rFonts w:ascii="Calibri Light" w:hAnsi="Calibri Light"/>
              </w:rPr>
            </w:pPr>
            <w:r w:rsidRPr="00F479BE">
              <w:rPr>
                <w:rFonts w:ascii="Calibri Light" w:hAnsi="Calibri Light"/>
              </w:rPr>
              <w:t>Recomendaciones</w:t>
            </w:r>
            <w:r w:rsidR="003E588B" w:rsidRPr="00F479BE">
              <w:rPr>
                <w:rFonts w:ascii="Calibri Light" w:hAnsi="Calibri Light"/>
              </w:rPr>
              <w:t xml:space="preserve"> de la CIDH al Estado</w:t>
            </w:r>
          </w:p>
          <w:p w14:paraId="510D8BF9" w14:textId="77777777" w:rsidR="00AC6F31" w:rsidRPr="00F479BE" w:rsidRDefault="00AC6F31" w:rsidP="00AC6F31">
            <w:pPr>
              <w:pStyle w:val="ListParagraph"/>
              <w:rPr>
                <w:rFonts w:ascii="Calibri Light" w:hAnsi="Calibri Light"/>
              </w:rPr>
            </w:pPr>
          </w:p>
        </w:tc>
      </w:tr>
      <w:tr w:rsidR="007A6C56" w:rsidRPr="00F479BE"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7D93E804" w14:textId="77777777" w:rsidR="004A0156" w:rsidRPr="00F479BE" w:rsidRDefault="004A0156" w:rsidP="001A420F">
            <w:pPr>
              <w:pStyle w:val="ListParagraph"/>
              <w:ind w:left="0"/>
              <w:jc w:val="both"/>
              <w:rPr>
                <w:rFonts w:ascii="Calibri Light" w:hAnsi="Calibri Light"/>
                <w:b w:val="0"/>
              </w:rPr>
            </w:pPr>
          </w:p>
          <w:p w14:paraId="49E67B1E" w14:textId="77777777" w:rsidR="00C1012F" w:rsidRPr="00F479BE" w:rsidRDefault="00C1012F" w:rsidP="003E588B">
            <w:pPr>
              <w:pStyle w:val="ListParagraph"/>
              <w:numPr>
                <w:ilvl w:val="0"/>
                <w:numId w:val="20"/>
              </w:numPr>
              <w:ind w:left="426" w:hanging="426"/>
              <w:jc w:val="both"/>
              <w:rPr>
                <w:rFonts w:ascii="Calibri Light" w:hAnsi="Calibri Light"/>
                <w:b w:val="0"/>
              </w:rPr>
            </w:pPr>
            <w:r w:rsidRPr="00F479BE">
              <w:rPr>
                <w:rFonts w:ascii="Calibri Light" w:hAnsi="Calibri Light"/>
                <w:b w:val="0"/>
              </w:rPr>
              <w:t xml:space="preserve">Adoptar las medidas necesarias para que el señor Judge obtenga una </w:t>
            </w:r>
            <w:r w:rsidR="00621A00" w:rsidRPr="00F479BE">
              <w:rPr>
                <w:rFonts w:ascii="Calibri Light" w:hAnsi="Calibri Light"/>
                <w:b w:val="0"/>
              </w:rPr>
              <w:t>sentencia definitiva al recurso</w:t>
            </w:r>
            <w:r w:rsidRPr="00F479BE">
              <w:rPr>
                <w:rFonts w:ascii="Calibri Light" w:hAnsi="Calibri Light"/>
                <w:b w:val="0"/>
              </w:rPr>
              <w:t xml:space="preserve"> de inconstituciona</w:t>
            </w:r>
            <w:r w:rsidR="00621A00" w:rsidRPr="00F479BE">
              <w:rPr>
                <w:rFonts w:ascii="Calibri Light" w:hAnsi="Calibri Light"/>
                <w:b w:val="0"/>
              </w:rPr>
              <w:t>lidad presentado en el año 1993 ante el Tribunal de Garantías Constitucionales.</w:t>
            </w:r>
          </w:p>
          <w:p w14:paraId="49863AFC" w14:textId="7642AFB9" w:rsidR="004A0156" w:rsidRPr="00F479BE" w:rsidRDefault="004A0156" w:rsidP="00816627">
            <w:pPr>
              <w:pStyle w:val="ListParagraph"/>
              <w:jc w:val="both"/>
              <w:rPr>
                <w:rFonts w:ascii="Calibri Light" w:hAnsi="Calibri Light"/>
                <w:b w:val="0"/>
              </w:rPr>
            </w:pPr>
          </w:p>
        </w:tc>
      </w:tr>
      <w:tr w:rsidR="00F464EC" w:rsidRPr="00F479BE"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Pr="00F479BE" w:rsidRDefault="00F464EC" w:rsidP="00F464EC">
            <w:pPr>
              <w:pStyle w:val="ListParagraph"/>
              <w:spacing w:after="200" w:line="276" w:lineRule="auto"/>
              <w:rPr>
                <w:rFonts w:ascii="Calibri Light" w:hAnsi="Calibri Light"/>
              </w:rPr>
            </w:pPr>
          </w:p>
          <w:p w14:paraId="7B045F14" w14:textId="58A5FE4F" w:rsidR="00F464EC" w:rsidRPr="00F479BE" w:rsidRDefault="00F464EC" w:rsidP="00F464EC">
            <w:pPr>
              <w:pStyle w:val="ListParagraph"/>
              <w:numPr>
                <w:ilvl w:val="0"/>
                <w:numId w:val="2"/>
              </w:numPr>
              <w:spacing w:after="200" w:line="276" w:lineRule="auto"/>
              <w:jc w:val="center"/>
              <w:rPr>
                <w:rFonts w:ascii="Calibri Light" w:hAnsi="Calibri Light"/>
              </w:rPr>
            </w:pPr>
            <w:r w:rsidRPr="00F479BE">
              <w:rPr>
                <w:rFonts w:ascii="Calibri Light" w:hAnsi="Calibri Light"/>
              </w:rPr>
              <w:t>Análisis de cumplimiento de las recomendaciones</w:t>
            </w:r>
          </w:p>
          <w:p w14:paraId="3C93C1C0" w14:textId="77777777" w:rsidR="00F464EC" w:rsidRPr="00F479BE" w:rsidRDefault="00F464EC" w:rsidP="00F464EC">
            <w:pPr>
              <w:pStyle w:val="ListParagraph"/>
              <w:ind w:left="0"/>
              <w:jc w:val="center"/>
              <w:rPr>
                <w:rFonts w:ascii="Calibri Light" w:hAnsi="Calibri Light"/>
                <w:b w:val="0"/>
              </w:rPr>
            </w:pPr>
          </w:p>
        </w:tc>
      </w:tr>
      <w:tr w:rsidR="00F464EC" w:rsidRPr="00F479BE"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2863BDED" w14:textId="77777777" w:rsidR="004A0156" w:rsidRPr="00F479BE" w:rsidRDefault="004A0156" w:rsidP="00AF2283">
            <w:pPr>
              <w:pStyle w:val="ListParagraph"/>
              <w:ind w:left="0"/>
              <w:jc w:val="both"/>
              <w:rPr>
                <w:rFonts w:ascii="Calibri Light" w:hAnsi="Calibri Light"/>
                <w:b w:val="0"/>
              </w:rPr>
            </w:pPr>
          </w:p>
          <w:p w14:paraId="59C6DB00" w14:textId="584204F6" w:rsidR="00826869" w:rsidRPr="00F479BE" w:rsidRDefault="007206A3" w:rsidP="008664BB">
            <w:pPr>
              <w:pStyle w:val="ListParagraph"/>
              <w:numPr>
                <w:ilvl w:val="0"/>
                <w:numId w:val="20"/>
              </w:numPr>
              <w:ind w:left="426" w:hanging="426"/>
              <w:jc w:val="both"/>
              <w:rPr>
                <w:rFonts w:ascii="Calibri Light" w:hAnsi="Calibri Light"/>
                <w:b w:val="0"/>
              </w:rPr>
            </w:pPr>
            <w:r w:rsidRPr="00F479BE">
              <w:rPr>
                <w:rFonts w:ascii="Calibri Light" w:hAnsi="Calibri Light"/>
                <w:b w:val="0"/>
              </w:rPr>
              <w:t>En enero de 2017, la CIDH puso en conocimiento del Estado el Informe No. 45/16, solicitándole a su vez que en un plazo de dos meses le informara de las medidas adoptadas para dar cumplimiento a la recomendación formulada.</w:t>
            </w:r>
          </w:p>
          <w:p w14:paraId="77C5480D" w14:textId="42BCD041" w:rsidR="007206A3" w:rsidRPr="00F479BE" w:rsidRDefault="007206A3" w:rsidP="008664BB">
            <w:pPr>
              <w:pStyle w:val="ListParagraph"/>
              <w:ind w:left="426" w:hanging="426"/>
              <w:jc w:val="both"/>
              <w:rPr>
                <w:rFonts w:ascii="Calibri Light" w:hAnsi="Calibri Light"/>
                <w:b w:val="0"/>
              </w:rPr>
            </w:pPr>
          </w:p>
          <w:p w14:paraId="43F031D4" w14:textId="53B5EEBD" w:rsidR="00826869" w:rsidRPr="00F479BE" w:rsidRDefault="007206A3" w:rsidP="008664BB">
            <w:pPr>
              <w:pStyle w:val="ListParagraph"/>
              <w:numPr>
                <w:ilvl w:val="0"/>
                <w:numId w:val="20"/>
              </w:numPr>
              <w:ind w:left="426" w:hanging="426"/>
              <w:jc w:val="both"/>
              <w:rPr>
                <w:rFonts w:ascii="Calibri Light" w:hAnsi="Calibri Light"/>
                <w:b w:val="0"/>
              </w:rPr>
            </w:pPr>
            <w:r w:rsidRPr="00F479BE">
              <w:rPr>
                <w:rFonts w:ascii="Calibri Light" w:hAnsi="Calibri Light"/>
                <w:b w:val="0"/>
              </w:rPr>
              <w:t xml:space="preserve">En marzo de 2017, el Estado de Ecuador informó a la CIDH que </w:t>
            </w:r>
            <w:r w:rsidR="00216972">
              <w:rPr>
                <w:rFonts w:ascii="Calibri Light" w:hAnsi="Calibri Light"/>
                <w:b w:val="0"/>
              </w:rPr>
              <w:t>el Informe de F</w:t>
            </w:r>
            <w:r w:rsidR="0012300B" w:rsidRPr="00F479BE">
              <w:rPr>
                <w:rFonts w:ascii="Calibri Light" w:hAnsi="Calibri Light"/>
                <w:b w:val="0"/>
              </w:rPr>
              <w:t xml:space="preserve">ondo remitido fue puesto en conocimiento de la Corte Constitucional Ecuatoriana, tras lo cual esta convocó a una sesión del pleno para analizar su contenido. </w:t>
            </w:r>
            <w:r w:rsidR="00216972">
              <w:rPr>
                <w:rFonts w:ascii="Calibri Light" w:hAnsi="Calibri Light"/>
                <w:b w:val="0"/>
              </w:rPr>
              <w:t>T</w:t>
            </w:r>
            <w:r w:rsidR="00F471CA" w:rsidRPr="00F479BE">
              <w:rPr>
                <w:rFonts w:ascii="Calibri Light" w:hAnsi="Calibri Light"/>
                <w:b w:val="0"/>
              </w:rPr>
              <w:t xml:space="preserve">ras revisar los antecedentes del caso, la Corte Constitucional Ecuatoriana determinó que en la causa No. 26-93, el recurso de inconstitucionalidad planteado por el señor Judge, no existía ninguna diligencia o </w:t>
            </w:r>
            <w:r w:rsidR="006D72B1" w:rsidRPr="00F479BE">
              <w:rPr>
                <w:rFonts w:ascii="Calibri Light" w:hAnsi="Calibri Light"/>
                <w:b w:val="0"/>
              </w:rPr>
              <w:t>recurso pendiente, pues el auto inhibitorio emitido por la Sala de lo Contencioso Administrativo de la Corte Suprema dej</w:t>
            </w:r>
            <w:r w:rsidR="004A0156" w:rsidRPr="00F479BE">
              <w:rPr>
                <w:rFonts w:ascii="Calibri Light" w:hAnsi="Calibri Light"/>
                <w:b w:val="0"/>
              </w:rPr>
              <w:t>ó</w:t>
            </w:r>
            <w:r w:rsidR="006D72B1" w:rsidRPr="00F479BE">
              <w:rPr>
                <w:rFonts w:ascii="Calibri Light" w:hAnsi="Calibri Light"/>
                <w:b w:val="0"/>
              </w:rPr>
              <w:t xml:space="preserve"> firme la sentencia de enero de 1996 </w:t>
            </w:r>
            <w:r w:rsidR="00AF2283" w:rsidRPr="00F479BE">
              <w:rPr>
                <w:rFonts w:ascii="Calibri Light" w:hAnsi="Calibri Light"/>
                <w:b w:val="0"/>
              </w:rPr>
              <w:lastRenderedPageBreak/>
              <w:t>dictada por el Tribunal de Garantías Constitucionales.</w:t>
            </w:r>
          </w:p>
          <w:p w14:paraId="1BD3460B" w14:textId="77777777" w:rsidR="00AF2283" w:rsidRPr="00F479BE" w:rsidRDefault="00AF2283" w:rsidP="008664BB">
            <w:pPr>
              <w:pStyle w:val="ListParagraph"/>
              <w:ind w:left="426" w:hanging="426"/>
              <w:jc w:val="both"/>
              <w:rPr>
                <w:rFonts w:ascii="Calibri Light" w:hAnsi="Calibri Light"/>
                <w:b w:val="0"/>
              </w:rPr>
            </w:pPr>
          </w:p>
          <w:p w14:paraId="01F39EB2" w14:textId="5A7B5CFD" w:rsidR="00AF2283" w:rsidRPr="00F479BE" w:rsidRDefault="00216972" w:rsidP="008664BB">
            <w:pPr>
              <w:pStyle w:val="ListParagraph"/>
              <w:numPr>
                <w:ilvl w:val="0"/>
                <w:numId w:val="20"/>
              </w:numPr>
              <w:ind w:left="426" w:hanging="426"/>
              <w:jc w:val="both"/>
              <w:rPr>
                <w:rFonts w:ascii="Calibri Light" w:hAnsi="Calibri Light"/>
                <w:b w:val="0"/>
              </w:rPr>
            </w:pPr>
            <w:r>
              <w:rPr>
                <w:rFonts w:ascii="Calibri Light" w:hAnsi="Calibri Light"/>
                <w:b w:val="0"/>
              </w:rPr>
              <w:t>La CIDH consideró</w:t>
            </w:r>
            <w:r w:rsidR="00881AA6" w:rsidRPr="00F479BE">
              <w:rPr>
                <w:rFonts w:ascii="Calibri Light" w:hAnsi="Calibri Light"/>
                <w:b w:val="0"/>
              </w:rPr>
              <w:t xml:space="preserve"> que con dicho pronunciamiento, la Corte Constitucional puso fin a la incertidumbre y brindó una sentencia definitiva al asunto. En vista de ello, </w:t>
            </w:r>
            <w:r w:rsidR="004A0156" w:rsidRPr="00F479BE">
              <w:rPr>
                <w:rFonts w:ascii="Calibri Light" w:hAnsi="Calibri Light"/>
                <w:b w:val="0"/>
              </w:rPr>
              <w:t>consideró</w:t>
            </w:r>
            <w:r w:rsidR="001D02EC" w:rsidRPr="00F479BE">
              <w:rPr>
                <w:rFonts w:ascii="Calibri Light" w:hAnsi="Calibri Light"/>
                <w:b w:val="0"/>
              </w:rPr>
              <w:t xml:space="preserve"> cumplida </w:t>
            </w:r>
            <w:r w:rsidR="004A0156" w:rsidRPr="00F479BE">
              <w:rPr>
                <w:rFonts w:ascii="Calibri Light" w:hAnsi="Calibri Light"/>
                <w:b w:val="0"/>
              </w:rPr>
              <w:t xml:space="preserve">en su totalidad </w:t>
            </w:r>
            <w:r w:rsidR="001D02EC" w:rsidRPr="00F479BE">
              <w:rPr>
                <w:rFonts w:ascii="Calibri Light" w:hAnsi="Calibri Light"/>
                <w:b w:val="0"/>
              </w:rPr>
              <w:t>la recomendación</w:t>
            </w:r>
            <w:r w:rsidR="00816627" w:rsidRPr="00F479BE">
              <w:rPr>
                <w:rFonts w:ascii="Calibri Light" w:hAnsi="Calibri Light"/>
                <w:b w:val="0"/>
              </w:rPr>
              <w:t xml:space="preserve"> y archivó el caso</w:t>
            </w:r>
            <w:r w:rsidR="001D02EC" w:rsidRPr="00F479BE">
              <w:rPr>
                <w:rFonts w:ascii="Calibri Light" w:hAnsi="Calibri Light"/>
                <w:b w:val="0"/>
              </w:rPr>
              <w:t>.</w:t>
            </w:r>
          </w:p>
          <w:p w14:paraId="1F3EA985" w14:textId="29FC7C35" w:rsidR="004A0156" w:rsidRPr="00F479BE" w:rsidRDefault="004A0156" w:rsidP="001D02EC">
            <w:pPr>
              <w:pStyle w:val="ListParagraph"/>
              <w:ind w:left="0"/>
              <w:jc w:val="both"/>
              <w:rPr>
                <w:rFonts w:ascii="Calibri Light" w:hAnsi="Calibri Light"/>
                <w:b w:val="0"/>
              </w:rPr>
            </w:pPr>
          </w:p>
        </w:tc>
      </w:tr>
    </w:tbl>
    <w:p w14:paraId="23A9A3C3" w14:textId="77777777" w:rsidR="00714E42" w:rsidRPr="00F479BE" w:rsidRDefault="00714E42" w:rsidP="00A65231">
      <w:pPr>
        <w:rPr>
          <w:rFonts w:ascii="Calibri Light" w:hAnsi="Calibri Light"/>
        </w:rPr>
      </w:pPr>
    </w:p>
    <w:sectPr w:rsidR="00714E42" w:rsidRPr="00F479BE"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1AE33" w14:textId="77777777" w:rsidR="00E1346B" w:rsidRDefault="00E1346B" w:rsidP="00A65231">
      <w:pPr>
        <w:spacing w:after="0" w:line="240" w:lineRule="auto"/>
      </w:pPr>
      <w:r>
        <w:separator/>
      </w:r>
    </w:p>
  </w:endnote>
  <w:endnote w:type="continuationSeparator" w:id="0">
    <w:p w14:paraId="2310CC3A" w14:textId="77777777" w:rsidR="00E1346B" w:rsidRDefault="00E1346B"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210471937"/>
      <w:docPartObj>
        <w:docPartGallery w:val="Page Numbers (Bottom of Page)"/>
        <w:docPartUnique/>
      </w:docPartObj>
    </w:sdtPr>
    <w:sdtEndPr/>
    <w:sdtContent>
      <w:p w14:paraId="23A746CC" w14:textId="5C903D6A" w:rsidR="00EB47E0" w:rsidRPr="00877F05" w:rsidRDefault="00EB47E0">
        <w:pPr>
          <w:pStyle w:val="Footer"/>
          <w:jc w:val="right"/>
          <w:rPr>
            <w:rFonts w:ascii="Calibri Light" w:hAnsi="Calibri Light"/>
          </w:rPr>
        </w:pPr>
        <w:r w:rsidRPr="00877F05">
          <w:rPr>
            <w:rFonts w:ascii="Calibri Light" w:hAnsi="Calibri Light"/>
          </w:rPr>
          <w:fldChar w:fldCharType="begin"/>
        </w:r>
        <w:r w:rsidRPr="00877F05">
          <w:rPr>
            <w:rFonts w:ascii="Calibri Light" w:hAnsi="Calibri Light"/>
          </w:rPr>
          <w:instrText>PAGE   \* MERGEFORMAT</w:instrText>
        </w:r>
        <w:r w:rsidRPr="00877F05">
          <w:rPr>
            <w:rFonts w:ascii="Calibri Light" w:hAnsi="Calibri Light"/>
          </w:rPr>
          <w:fldChar w:fldCharType="separate"/>
        </w:r>
        <w:r w:rsidR="001D7F3F" w:rsidRPr="001D7F3F">
          <w:rPr>
            <w:rFonts w:ascii="Calibri Light" w:hAnsi="Calibri Light"/>
            <w:noProof/>
            <w:lang w:val="es-ES"/>
          </w:rPr>
          <w:t>2</w:t>
        </w:r>
        <w:r w:rsidRPr="00877F05">
          <w:rPr>
            <w:rFonts w:ascii="Calibri Light" w:hAnsi="Calibri Light"/>
          </w:rPr>
          <w:fldChar w:fldCharType="end"/>
        </w:r>
      </w:p>
    </w:sdtContent>
  </w:sdt>
  <w:p w14:paraId="6353BB13" w14:textId="77777777" w:rsidR="00EB47E0" w:rsidRPr="00877F05" w:rsidRDefault="00EB47E0">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99DD3" w14:textId="77777777" w:rsidR="00E1346B" w:rsidRDefault="00E1346B" w:rsidP="00A65231">
      <w:pPr>
        <w:spacing w:after="0" w:line="240" w:lineRule="auto"/>
      </w:pPr>
      <w:r>
        <w:separator/>
      </w:r>
    </w:p>
  </w:footnote>
  <w:footnote w:type="continuationSeparator" w:id="0">
    <w:p w14:paraId="722B3C6A" w14:textId="77777777" w:rsidR="00E1346B" w:rsidRDefault="00E1346B"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B91"/>
    <w:multiLevelType w:val="hybridMultilevel"/>
    <w:tmpl w:val="A4749D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59B1F10"/>
    <w:multiLevelType w:val="hybridMultilevel"/>
    <w:tmpl w:val="AA609D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94749A"/>
    <w:multiLevelType w:val="hybridMultilevel"/>
    <w:tmpl w:val="175EE70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CC435C"/>
    <w:multiLevelType w:val="hybridMultilevel"/>
    <w:tmpl w:val="795661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1F462DC"/>
    <w:multiLevelType w:val="hybridMultilevel"/>
    <w:tmpl w:val="40E8783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62E0497"/>
    <w:multiLevelType w:val="hybridMultilevel"/>
    <w:tmpl w:val="413AE1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7F675E6"/>
    <w:multiLevelType w:val="multilevel"/>
    <w:tmpl w:val="2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3C6EF6"/>
    <w:multiLevelType w:val="hybridMultilevel"/>
    <w:tmpl w:val="72848F06"/>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1474E0"/>
    <w:multiLevelType w:val="hybridMultilevel"/>
    <w:tmpl w:val="C36694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3471694"/>
    <w:multiLevelType w:val="hybridMultilevel"/>
    <w:tmpl w:val="64603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6A15CCF"/>
    <w:multiLevelType w:val="multilevel"/>
    <w:tmpl w:val="1494E98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330CF9"/>
    <w:multiLevelType w:val="hybridMultilevel"/>
    <w:tmpl w:val="C3C857BC"/>
    <w:lvl w:ilvl="0" w:tplc="72EC3886">
      <w:numFmt w:val="bullet"/>
      <w:lvlText w:val="-"/>
      <w:lvlJc w:val="left"/>
      <w:pPr>
        <w:ind w:left="720" w:hanging="360"/>
      </w:pPr>
      <w:rPr>
        <w:rFonts w:ascii="Calibri Light" w:eastAsia="Calibri" w:hAnsi="Calibri Ligh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7"/>
  </w:num>
  <w:num w:numId="5">
    <w:abstractNumId w:val="9"/>
  </w:num>
  <w:num w:numId="6">
    <w:abstractNumId w:val="16"/>
  </w:num>
  <w:num w:numId="7">
    <w:abstractNumId w:val="12"/>
  </w:num>
  <w:num w:numId="8">
    <w:abstractNumId w:val="19"/>
  </w:num>
  <w:num w:numId="9">
    <w:abstractNumId w:val="4"/>
  </w:num>
  <w:num w:numId="10">
    <w:abstractNumId w:val="11"/>
  </w:num>
  <w:num w:numId="11">
    <w:abstractNumId w:val="17"/>
  </w:num>
  <w:num w:numId="12">
    <w:abstractNumId w:val="3"/>
  </w:num>
  <w:num w:numId="13">
    <w:abstractNumId w:val="8"/>
  </w:num>
  <w:num w:numId="14">
    <w:abstractNumId w:val="6"/>
  </w:num>
  <w:num w:numId="15">
    <w:abstractNumId w:val="15"/>
  </w:num>
  <w:num w:numId="16">
    <w:abstractNumId w:val="0"/>
  </w:num>
  <w:num w:numId="17">
    <w:abstractNumId w:val="10"/>
  </w:num>
  <w:num w:numId="18">
    <w:abstractNumId w:val="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7AB4"/>
    <w:rsid w:val="00027257"/>
    <w:rsid w:val="000279D1"/>
    <w:rsid w:val="0008203A"/>
    <w:rsid w:val="000C2ED1"/>
    <w:rsid w:val="000C5A72"/>
    <w:rsid w:val="000D00B1"/>
    <w:rsid w:val="000D3CF2"/>
    <w:rsid w:val="000F0EDC"/>
    <w:rsid w:val="000F2C70"/>
    <w:rsid w:val="001077C9"/>
    <w:rsid w:val="0012300B"/>
    <w:rsid w:val="00153860"/>
    <w:rsid w:val="00167BE8"/>
    <w:rsid w:val="00184348"/>
    <w:rsid w:val="001A14F7"/>
    <w:rsid w:val="001A420F"/>
    <w:rsid w:val="001A577F"/>
    <w:rsid w:val="001C25C5"/>
    <w:rsid w:val="001C28EC"/>
    <w:rsid w:val="001D02EC"/>
    <w:rsid w:val="001D7C19"/>
    <w:rsid w:val="001D7F3F"/>
    <w:rsid w:val="002049E5"/>
    <w:rsid w:val="002050C9"/>
    <w:rsid w:val="00211B28"/>
    <w:rsid w:val="00212F62"/>
    <w:rsid w:val="00213757"/>
    <w:rsid w:val="00216972"/>
    <w:rsid w:val="00220B75"/>
    <w:rsid w:val="00221A62"/>
    <w:rsid w:val="00223D44"/>
    <w:rsid w:val="00224B06"/>
    <w:rsid w:val="00232878"/>
    <w:rsid w:val="00237E09"/>
    <w:rsid w:val="00243C42"/>
    <w:rsid w:val="002462FD"/>
    <w:rsid w:val="0025285F"/>
    <w:rsid w:val="002712F6"/>
    <w:rsid w:val="0028001C"/>
    <w:rsid w:val="0029049D"/>
    <w:rsid w:val="0029671B"/>
    <w:rsid w:val="002B29BD"/>
    <w:rsid w:val="002C4CED"/>
    <w:rsid w:val="002D1D2F"/>
    <w:rsid w:val="002D5158"/>
    <w:rsid w:val="002D5938"/>
    <w:rsid w:val="002D7F8F"/>
    <w:rsid w:val="002F15E9"/>
    <w:rsid w:val="002F669C"/>
    <w:rsid w:val="00303BFE"/>
    <w:rsid w:val="003111DB"/>
    <w:rsid w:val="0031153F"/>
    <w:rsid w:val="00317EE5"/>
    <w:rsid w:val="0034481F"/>
    <w:rsid w:val="003501C8"/>
    <w:rsid w:val="00365B99"/>
    <w:rsid w:val="003920AF"/>
    <w:rsid w:val="00396730"/>
    <w:rsid w:val="003A4D24"/>
    <w:rsid w:val="003B0A2C"/>
    <w:rsid w:val="003B4B0F"/>
    <w:rsid w:val="003C7680"/>
    <w:rsid w:val="003E2B29"/>
    <w:rsid w:val="003E588B"/>
    <w:rsid w:val="003E6AB8"/>
    <w:rsid w:val="00411A74"/>
    <w:rsid w:val="004137FA"/>
    <w:rsid w:val="004155C4"/>
    <w:rsid w:val="00421D6C"/>
    <w:rsid w:val="00422D7B"/>
    <w:rsid w:val="004312FA"/>
    <w:rsid w:val="00451809"/>
    <w:rsid w:val="00452AA6"/>
    <w:rsid w:val="004533E5"/>
    <w:rsid w:val="00457DBF"/>
    <w:rsid w:val="00464CAC"/>
    <w:rsid w:val="004720E5"/>
    <w:rsid w:val="004858A8"/>
    <w:rsid w:val="004861D8"/>
    <w:rsid w:val="00492C81"/>
    <w:rsid w:val="004A0156"/>
    <w:rsid w:val="004A639F"/>
    <w:rsid w:val="004B1311"/>
    <w:rsid w:val="004E25A2"/>
    <w:rsid w:val="004E597C"/>
    <w:rsid w:val="004E678F"/>
    <w:rsid w:val="004F061A"/>
    <w:rsid w:val="0051673F"/>
    <w:rsid w:val="005173CF"/>
    <w:rsid w:val="00520C75"/>
    <w:rsid w:val="0054252F"/>
    <w:rsid w:val="00557C90"/>
    <w:rsid w:val="00561359"/>
    <w:rsid w:val="00561B98"/>
    <w:rsid w:val="00565C6D"/>
    <w:rsid w:val="00572E82"/>
    <w:rsid w:val="0059073F"/>
    <w:rsid w:val="00593AE2"/>
    <w:rsid w:val="005A3432"/>
    <w:rsid w:val="005C3229"/>
    <w:rsid w:val="005C4D86"/>
    <w:rsid w:val="005D1932"/>
    <w:rsid w:val="005D4FDF"/>
    <w:rsid w:val="006007A4"/>
    <w:rsid w:val="00613D24"/>
    <w:rsid w:val="00621A00"/>
    <w:rsid w:val="006407DD"/>
    <w:rsid w:val="00676230"/>
    <w:rsid w:val="006853B3"/>
    <w:rsid w:val="00685F04"/>
    <w:rsid w:val="006950FF"/>
    <w:rsid w:val="0069558A"/>
    <w:rsid w:val="006A3F5E"/>
    <w:rsid w:val="006A4E40"/>
    <w:rsid w:val="006B0CF9"/>
    <w:rsid w:val="006B6B6B"/>
    <w:rsid w:val="006D488A"/>
    <w:rsid w:val="006D72B1"/>
    <w:rsid w:val="006F1510"/>
    <w:rsid w:val="00703769"/>
    <w:rsid w:val="0070524A"/>
    <w:rsid w:val="0070624D"/>
    <w:rsid w:val="00714E42"/>
    <w:rsid w:val="007206A3"/>
    <w:rsid w:val="0073272E"/>
    <w:rsid w:val="00732BC0"/>
    <w:rsid w:val="00733E0F"/>
    <w:rsid w:val="00747E22"/>
    <w:rsid w:val="007518FD"/>
    <w:rsid w:val="007572E9"/>
    <w:rsid w:val="007601D3"/>
    <w:rsid w:val="00785FFB"/>
    <w:rsid w:val="007871DA"/>
    <w:rsid w:val="0079477F"/>
    <w:rsid w:val="007A6C56"/>
    <w:rsid w:val="007B1131"/>
    <w:rsid w:val="007B144F"/>
    <w:rsid w:val="007B39E9"/>
    <w:rsid w:val="007B45F9"/>
    <w:rsid w:val="007B7ED8"/>
    <w:rsid w:val="007E382B"/>
    <w:rsid w:val="008036E7"/>
    <w:rsid w:val="00803879"/>
    <w:rsid w:val="00810B33"/>
    <w:rsid w:val="00813F93"/>
    <w:rsid w:val="00815675"/>
    <w:rsid w:val="00816627"/>
    <w:rsid w:val="008215CF"/>
    <w:rsid w:val="00826869"/>
    <w:rsid w:val="00837A7D"/>
    <w:rsid w:val="00841B0E"/>
    <w:rsid w:val="00841F9D"/>
    <w:rsid w:val="0084674E"/>
    <w:rsid w:val="00850A45"/>
    <w:rsid w:val="0085340E"/>
    <w:rsid w:val="00856FEC"/>
    <w:rsid w:val="008664BB"/>
    <w:rsid w:val="00866A4D"/>
    <w:rsid w:val="00871530"/>
    <w:rsid w:val="00877F05"/>
    <w:rsid w:val="00881AA6"/>
    <w:rsid w:val="00884770"/>
    <w:rsid w:val="008B6040"/>
    <w:rsid w:val="008B6AF0"/>
    <w:rsid w:val="008C219E"/>
    <w:rsid w:val="008D1B19"/>
    <w:rsid w:val="0090367F"/>
    <w:rsid w:val="00910979"/>
    <w:rsid w:val="0092127B"/>
    <w:rsid w:val="009261E2"/>
    <w:rsid w:val="00931244"/>
    <w:rsid w:val="009363AD"/>
    <w:rsid w:val="00954E20"/>
    <w:rsid w:val="00961691"/>
    <w:rsid w:val="0096395C"/>
    <w:rsid w:val="00963B2F"/>
    <w:rsid w:val="00970941"/>
    <w:rsid w:val="00975D0F"/>
    <w:rsid w:val="00996958"/>
    <w:rsid w:val="009978DE"/>
    <w:rsid w:val="009B0A86"/>
    <w:rsid w:val="009B0E0E"/>
    <w:rsid w:val="009C2C05"/>
    <w:rsid w:val="009C7EA9"/>
    <w:rsid w:val="009D5152"/>
    <w:rsid w:val="009F3F92"/>
    <w:rsid w:val="009F66A4"/>
    <w:rsid w:val="009F6931"/>
    <w:rsid w:val="00A06F98"/>
    <w:rsid w:val="00A07FDE"/>
    <w:rsid w:val="00A133CC"/>
    <w:rsid w:val="00A16280"/>
    <w:rsid w:val="00A271BF"/>
    <w:rsid w:val="00A41637"/>
    <w:rsid w:val="00A4435A"/>
    <w:rsid w:val="00A5581A"/>
    <w:rsid w:val="00A60087"/>
    <w:rsid w:val="00A65231"/>
    <w:rsid w:val="00A85413"/>
    <w:rsid w:val="00A85DC9"/>
    <w:rsid w:val="00A91B24"/>
    <w:rsid w:val="00A94EE7"/>
    <w:rsid w:val="00AA6CE2"/>
    <w:rsid w:val="00AB411E"/>
    <w:rsid w:val="00AC4518"/>
    <w:rsid w:val="00AC5A6A"/>
    <w:rsid w:val="00AC6F31"/>
    <w:rsid w:val="00AD36B4"/>
    <w:rsid w:val="00AD7610"/>
    <w:rsid w:val="00AE31D9"/>
    <w:rsid w:val="00AE535D"/>
    <w:rsid w:val="00AE7E04"/>
    <w:rsid w:val="00AF2283"/>
    <w:rsid w:val="00B07E72"/>
    <w:rsid w:val="00B44962"/>
    <w:rsid w:val="00B6265F"/>
    <w:rsid w:val="00B71B8C"/>
    <w:rsid w:val="00B771B5"/>
    <w:rsid w:val="00B93CB9"/>
    <w:rsid w:val="00BB61C6"/>
    <w:rsid w:val="00BD48E5"/>
    <w:rsid w:val="00BE6FA1"/>
    <w:rsid w:val="00BF2A00"/>
    <w:rsid w:val="00BF2D79"/>
    <w:rsid w:val="00BF57A4"/>
    <w:rsid w:val="00BF6A5B"/>
    <w:rsid w:val="00C1012F"/>
    <w:rsid w:val="00C10BC5"/>
    <w:rsid w:val="00C261F1"/>
    <w:rsid w:val="00C31DFF"/>
    <w:rsid w:val="00C43A8E"/>
    <w:rsid w:val="00C44D2A"/>
    <w:rsid w:val="00C63B25"/>
    <w:rsid w:val="00C72CF5"/>
    <w:rsid w:val="00C73E86"/>
    <w:rsid w:val="00C87AA0"/>
    <w:rsid w:val="00C9455E"/>
    <w:rsid w:val="00C94697"/>
    <w:rsid w:val="00CA1FA8"/>
    <w:rsid w:val="00CA7A95"/>
    <w:rsid w:val="00CB180B"/>
    <w:rsid w:val="00CC1805"/>
    <w:rsid w:val="00CC421A"/>
    <w:rsid w:val="00CC717F"/>
    <w:rsid w:val="00CD1750"/>
    <w:rsid w:val="00CF2D40"/>
    <w:rsid w:val="00D0696E"/>
    <w:rsid w:val="00D10449"/>
    <w:rsid w:val="00D16C45"/>
    <w:rsid w:val="00D51658"/>
    <w:rsid w:val="00DA12F9"/>
    <w:rsid w:val="00DC299D"/>
    <w:rsid w:val="00DC6BE1"/>
    <w:rsid w:val="00DD3C7C"/>
    <w:rsid w:val="00DF2AFB"/>
    <w:rsid w:val="00DF50FD"/>
    <w:rsid w:val="00E12899"/>
    <w:rsid w:val="00E1346B"/>
    <w:rsid w:val="00E35237"/>
    <w:rsid w:val="00E35FF7"/>
    <w:rsid w:val="00E374E5"/>
    <w:rsid w:val="00E526AA"/>
    <w:rsid w:val="00E54888"/>
    <w:rsid w:val="00E70716"/>
    <w:rsid w:val="00E82999"/>
    <w:rsid w:val="00EA6A26"/>
    <w:rsid w:val="00EB47E0"/>
    <w:rsid w:val="00EC4E9F"/>
    <w:rsid w:val="00ED1B65"/>
    <w:rsid w:val="00ED4930"/>
    <w:rsid w:val="00EE3435"/>
    <w:rsid w:val="00EF5CBC"/>
    <w:rsid w:val="00F06184"/>
    <w:rsid w:val="00F07CF4"/>
    <w:rsid w:val="00F119D6"/>
    <w:rsid w:val="00F124BF"/>
    <w:rsid w:val="00F158EA"/>
    <w:rsid w:val="00F23AA1"/>
    <w:rsid w:val="00F35633"/>
    <w:rsid w:val="00F431F5"/>
    <w:rsid w:val="00F464EC"/>
    <w:rsid w:val="00F46826"/>
    <w:rsid w:val="00F471CA"/>
    <w:rsid w:val="00F479BE"/>
    <w:rsid w:val="00F53444"/>
    <w:rsid w:val="00F54A3B"/>
    <w:rsid w:val="00F55CD0"/>
    <w:rsid w:val="00F606EE"/>
    <w:rsid w:val="00F725A5"/>
    <w:rsid w:val="00F82726"/>
    <w:rsid w:val="00F83405"/>
    <w:rsid w:val="00FA13DD"/>
    <w:rsid w:val="00FB0F60"/>
    <w:rsid w:val="00FB1A15"/>
    <w:rsid w:val="00FB1D17"/>
    <w:rsid w:val="00FD57A5"/>
    <w:rsid w:val="00FE2BA4"/>
    <w:rsid w:val="00FE4C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2sp/Ecuador.1239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EC12393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41EE-F7CD-43F4-8BAB-79C74C5D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