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4538C" w:rsidP="00F4538C" w:rsidRDefault="00F4538C" w14:paraId="5D158463" w14:textId="77777777">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18DAA857" wp14:editId="1778C4B6">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7" r:link="rId8"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0F1F28F3" wp14:editId="3972B9E9">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0152EC00" wp14:editId="653472FF">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16FD" w:rsidP="00F4538C" w:rsidRDefault="009A16FD" w14:paraId="3E4AAEE8" w14:textId="77777777">
      <w:pPr>
        <w:pStyle w:val="Header"/>
        <w:jc w:val="center"/>
        <w:rPr>
          <w:rFonts w:ascii="Calibri Light" w:hAnsi="Calibri Light"/>
          <w:lang w:val="es-PE"/>
        </w:rPr>
      </w:pPr>
    </w:p>
    <w:p w:rsidR="009A16FD" w:rsidP="00F4538C" w:rsidRDefault="009A16FD" w14:paraId="69608124" w14:textId="77777777">
      <w:pPr>
        <w:pStyle w:val="Header"/>
        <w:jc w:val="center"/>
        <w:rPr>
          <w:rFonts w:ascii="Calibri Light" w:hAnsi="Calibri Light"/>
          <w:lang w:val="es-PE"/>
        </w:rPr>
      </w:pPr>
    </w:p>
    <w:p w:rsidRPr="00411A74" w:rsidR="00F4538C" w:rsidP="00F4538C" w:rsidRDefault="00F4538C" w14:paraId="1D84A60E" w14:textId="5224D086">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rsidR="00333225" w:rsidP="00F4538C" w:rsidRDefault="00F4538C" w14:paraId="261395D2" w14:textId="7D933EB9">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8721" w:type="dxa"/>
        <w:tblLook w:val="04A0" w:firstRow="1" w:lastRow="0" w:firstColumn="1" w:lastColumn="0" w:noHBand="0" w:noVBand="1"/>
      </w:tblPr>
      <w:tblGrid>
        <w:gridCol w:w="3678"/>
        <w:gridCol w:w="2475"/>
        <w:gridCol w:w="2568"/>
      </w:tblGrid>
      <w:tr w:rsidRPr="004533E5" w:rsidR="00E947E0" w:rsidTr="50D80A4C" w14:paraId="18F5FB74" w14:textId="7777777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52C31FD7" w14:textId="77777777">
            <w:pPr>
              <w:pStyle w:val="ListParagraph"/>
              <w:rPr>
                <w:rFonts w:ascii="Calibri Light" w:hAnsi="Calibri Light"/>
              </w:rPr>
            </w:pPr>
          </w:p>
          <w:p w:rsidR="00E947E0" w:rsidP="00E947E0" w:rsidRDefault="00E947E0" w14:paraId="22A963A2" w14:textId="77777777">
            <w:pPr>
              <w:pStyle w:val="ListParagraph"/>
              <w:numPr>
                <w:ilvl w:val="0"/>
                <w:numId w:val="1"/>
              </w:numPr>
              <w:jc w:val="center"/>
              <w:rPr>
                <w:rFonts w:ascii="Calibri Light" w:hAnsi="Calibri Light"/>
              </w:rPr>
            </w:pPr>
            <w:r w:rsidRPr="004533E5">
              <w:rPr>
                <w:rFonts w:ascii="Calibri Light" w:hAnsi="Calibri Light"/>
              </w:rPr>
              <w:t>Datos generales</w:t>
            </w:r>
          </w:p>
          <w:p w:rsidRPr="00AC6F31" w:rsidR="00E947E0" w:rsidP="00F20C7D" w:rsidRDefault="00E947E0" w14:paraId="5760003D" w14:textId="77777777">
            <w:pPr>
              <w:pStyle w:val="ListParagraph"/>
              <w:rPr>
                <w:rFonts w:ascii="Calibri Light" w:hAnsi="Calibri Light"/>
              </w:rPr>
            </w:pPr>
          </w:p>
        </w:tc>
      </w:tr>
      <w:tr w:rsidRPr="004533E5" w:rsidR="00E947E0" w:rsidTr="50D80A4C" w14:paraId="6B488AB4" w14:textId="7777777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4533E5" w:rsidR="00E947E0" w:rsidP="00DA6941" w:rsidRDefault="00E947E0" w14:paraId="2FBC5C12" w14:textId="77777777">
            <w:pPr>
              <w:pStyle w:val="ListParagraph"/>
              <w:numPr>
                <w:ilvl w:val="0"/>
                <w:numId w:val="2"/>
              </w:numPr>
              <w:rPr>
                <w:rFonts w:ascii="Calibri Light" w:hAnsi="Calibri Light"/>
              </w:rPr>
            </w:pPr>
            <w:r w:rsidRPr="004533E5">
              <w:rPr>
                <w:rFonts w:ascii="Calibri Light" w:hAnsi="Calibri Light"/>
              </w:rPr>
              <w:t>Nombre del caso</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4533E5" w:rsidR="00E947E0" w:rsidP="00DA6941" w:rsidRDefault="0018611B" w14:paraId="6824EA97" w14:textId="2A383A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Néstor Albornoz Eyzaguirre, </w:t>
            </w:r>
            <w:r w:rsidR="00122D16">
              <w:rPr>
                <w:rFonts w:ascii="Calibri Light" w:hAnsi="Calibri Light"/>
              </w:rPr>
              <w:t>Perú</w:t>
            </w:r>
          </w:p>
        </w:tc>
      </w:tr>
      <w:tr w:rsidRPr="004533E5" w:rsidR="00E947E0" w:rsidTr="50D80A4C" w14:paraId="177A30DE" w14:textId="77777777">
        <w:trPr>
          <w:trHeight w:val="263"/>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4533E5" w:rsidR="00E947E0" w:rsidP="00DA6941" w:rsidRDefault="0018611B" w14:paraId="58FE1227" w14:textId="0B43A23A">
            <w:pPr>
              <w:pStyle w:val="ListParagraph"/>
              <w:numPr>
                <w:ilvl w:val="0"/>
                <w:numId w:val="2"/>
              </w:numPr>
              <w:rPr>
                <w:rFonts w:ascii="Calibri Light" w:hAnsi="Calibri Light"/>
              </w:rPr>
            </w:pPr>
            <w:r>
              <w:rPr>
                <w:rFonts w:ascii="Calibri Light" w:hAnsi="Calibri Light"/>
              </w:rPr>
              <w:t>Parte peticionaria</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00122D16" w:rsidP="00DA6941" w:rsidRDefault="00122D16" w14:paraId="1CE79427" w14:textId="589AD08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Néstor Albornoz Eyzaguirre</w:t>
            </w:r>
          </w:p>
          <w:p w:rsidR="00E947E0" w:rsidP="00DA6941" w:rsidRDefault="00122D16" w14:paraId="260B3843" w14:textId="3CD39AD4">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Centro de Asesoría Laboral de Perú (CEDAL)</w:t>
            </w:r>
          </w:p>
        </w:tc>
      </w:tr>
      <w:tr w:rsidRPr="004533E5" w:rsidR="00E947E0" w:rsidTr="50D80A4C" w14:paraId="1A7B09E2"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4533E5" w:rsidR="00E947E0" w:rsidP="00DA6941" w:rsidRDefault="00E947E0" w14:paraId="45B175E9" w14:textId="77777777">
            <w:pPr>
              <w:pStyle w:val="ListParagraph"/>
              <w:numPr>
                <w:ilvl w:val="0"/>
                <w:numId w:val="2"/>
              </w:numPr>
              <w:rPr>
                <w:rFonts w:ascii="Calibri Light" w:hAnsi="Calibri Light"/>
              </w:rPr>
            </w:pPr>
            <w:r w:rsidRPr="004533E5">
              <w:rPr>
                <w:rFonts w:ascii="Calibri Light" w:hAnsi="Calibri Light"/>
              </w:rPr>
              <w:t xml:space="preserve">Número de Informe </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4533E5" w:rsidR="00E947E0" w:rsidP="00DA6941" w:rsidRDefault="00990AED" w14:paraId="44054D80" w14:textId="401C41CB">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w:history="1" r:id="rId11">
              <w:r w:rsidRPr="00122D16" w:rsidR="00122D16">
                <w:rPr>
                  <w:rStyle w:val="Hyperlink"/>
                  <w:rFonts w:ascii="Calibri Light" w:hAnsi="Calibri Light"/>
                </w:rPr>
                <w:t>Informe No. 137/17</w:t>
              </w:r>
            </w:hyperlink>
          </w:p>
        </w:tc>
      </w:tr>
      <w:tr w:rsidRPr="004533E5" w:rsidR="00E947E0" w:rsidTr="50D80A4C" w14:paraId="1A50F17E" w14:textId="77777777">
        <w:trPr>
          <w:trHeight w:val="212"/>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F725A5" w:rsidR="00E947E0" w:rsidP="00DA6941" w:rsidRDefault="00E947E0" w14:paraId="7D36E988" w14:textId="77777777">
            <w:pPr>
              <w:pStyle w:val="ListParagraph"/>
              <w:numPr>
                <w:ilvl w:val="0"/>
                <w:numId w:val="2"/>
              </w:numPr>
            </w:pPr>
            <w:r w:rsidRPr="004533E5">
              <w:rPr>
                <w:rFonts w:ascii="Calibri Light" w:hAnsi="Calibri Light"/>
              </w:rPr>
              <w:t xml:space="preserve">Tipo de informe </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4533E5" w:rsidR="00E947E0" w:rsidP="00DA6941" w:rsidRDefault="00E947E0" w14:paraId="3EA9FCB8" w14:textId="77777777">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Pr="004533E5" w:rsidR="00E947E0" w:rsidTr="50D80A4C" w14:paraId="0BA9BB8E" w14:textId="7777777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4533E5" w:rsidR="00E947E0" w:rsidP="00DA6941" w:rsidRDefault="00E947E0" w14:paraId="2E4D2FAA" w14:textId="77777777">
            <w:pPr>
              <w:pStyle w:val="ListParagraph"/>
              <w:numPr>
                <w:ilvl w:val="0"/>
                <w:numId w:val="2"/>
              </w:numPr>
              <w:rPr>
                <w:rFonts w:ascii="Calibri Light" w:hAnsi="Calibri Light"/>
              </w:rPr>
            </w:pPr>
            <w:r>
              <w:rPr>
                <w:rFonts w:ascii="Calibri Light" w:hAnsi="Calibri Light"/>
              </w:rPr>
              <w:t>Fecha</w:t>
            </w:r>
            <w:r w:rsidRPr="004533E5">
              <w:rPr>
                <w:rFonts w:ascii="Calibri Light" w:hAnsi="Calibri Light"/>
              </w:rPr>
              <w:t xml:space="preserve"> </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4533E5" w:rsidR="00E947E0" w:rsidP="00DA6941" w:rsidRDefault="00122D16" w14:paraId="622A4BC5" w14:textId="367A898B">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25 de octubre de 2017</w:t>
            </w:r>
          </w:p>
        </w:tc>
      </w:tr>
      <w:tr w:rsidRPr="004533E5" w:rsidR="00E947E0" w:rsidTr="50D80A4C" w14:paraId="06EC7283" w14:textId="77777777">
        <w:trPr>
          <w:trHeight w:val="602"/>
        </w:trPr>
        <w:tc>
          <w:tcPr>
            <w:cnfStyle w:val="001000000000" w:firstRow="0" w:lastRow="0" w:firstColumn="1" w:lastColumn="0" w:oddVBand="0" w:evenVBand="0" w:oddHBand="0" w:evenHBand="0" w:firstRowFirstColumn="0" w:firstRowLastColumn="0" w:lastRowFirstColumn="0" w:lastRowLastColumn="0"/>
            <w:tcW w:w="3678" w:type="dxa"/>
            <w:tcMar/>
            <w:vAlign w:val="center"/>
          </w:tcPr>
          <w:p w:rsidRPr="004533E5" w:rsidR="00E947E0" w:rsidP="00DA6941" w:rsidRDefault="00E947E0" w14:paraId="098CFB26" w14:textId="77777777">
            <w:pPr>
              <w:pStyle w:val="ListParagraph"/>
              <w:numPr>
                <w:ilvl w:val="0"/>
                <w:numId w:val="2"/>
              </w:numPr>
              <w:rPr>
                <w:rFonts w:ascii="Calibri Light" w:hAnsi="Calibri Light"/>
              </w:rPr>
            </w:pPr>
            <w:r>
              <w:rPr>
                <w:rFonts w:ascii="Calibri Light" w:hAnsi="Calibri Light"/>
              </w:rPr>
              <w:t>Decisiones de la CIDH</w:t>
            </w:r>
            <w:r w:rsidRPr="004533E5">
              <w:rPr>
                <w:rFonts w:ascii="Calibri Light" w:hAnsi="Calibri Light"/>
              </w:rPr>
              <w:t xml:space="preserve"> </w:t>
            </w:r>
            <w:r>
              <w:rPr>
                <w:rFonts w:ascii="Calibri Light" w:hAnsi="Calibri Light"/>
              </w:rPr>
              <w:t xml:space="preserve">y/o la Corte IDH, </w:t>
            </w:r>
            <w:r w:rsidRPr="004533E5">
              <w:rPr>
                <w:rFonts w:ascii="Calibri Light" w:hAnsi="Calibri Light"/>
              </w:rPr>
              <w:t>relacionadas</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4533E5" w:rsidR="00E947E0" w:rsidP="00952C06" w:rsidRDefault="00122D16" w14:paraId="008B9C01" w14:textId="3A85D85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Pr="004533E5" w:rsidR="00DA6941" w:rsidTr="50D80A4C" w14:paraId="546138AC" w14:textId="7777777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tcMar/>
            <w:vAlign w:val="center"/>
          </w:tcPr>
          <w:p w:rsidR="00DA6941" w:rsidP="00DA6941" w:rsidRDefault="00DA6941" w14:paraId="37F1BC25" w14:textId="77777777">
            <w:pPr>
              <w:pStyle w:val="ListParagraph"/>
              <w:numPr>
                <w:ilvl w:val="0"/>
                <w:numId w:val="2"/>
              </w:numPr>
              <w:rPr>
                <w:rFonts w:ascii="Calibri Light" w:hAnsi="Calibri Light"/>
              </w:rPr>
            </w:pPr>
            <w:r>
              <w:rPr>
                <w:rFonts w:ascii="Calibri Light" w:hAnsi="Calibri Light"/>
              </w:rPr>
              <w:t>Artículos analizados</w:t>
            </w:r>
          </w:p>
        </w:tc>
        <w:tc>
          <w:tcPr>
            <w:cnfStyle w:val="000000000000" w:firstRow="0" w:lastRow="0" w:firstColumn="0" w:lastColumn="0" w:oddVBand="0" w:evenVBand="0" w:oddHBand="0" w:evenHBand="0" w:firstRowFirstColumn="0" w:firstRowLastColumn="0" w:lastRowFirstColumn="0" w:lastRowLastColumn="0"/>
            <w:tcW w:w="5043" w:type="dxa"/>
            <w:gridSpan w:val="2"/>
            <w:tcMar/>
            <w:vAlign w:val="center"/>
          </w:tcPr>
          <w:p w:rsidRPr="004533E5" w:rsidR="00DA6941" w:rsidP="00DA6941" w:rsidRDefault="00DA6941" w14:paraId="4FCBB164" w14:textId="77777777">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Convención Americana sobre Derechos Humanos                                                                                                 </w:t>
            </w:r>
          </w:p>
        </w:tc>
      </w:tr>
      <w:tr w:rsidRPr="004533E5" w:rsidR="00DA6941" w:rsidTr="50D80A4C" w14:paraId="09F9C4B6" w14:textId="77777777">
        <w:trPr>
          <w:trHeight w:val="165"/>
        </w:trPr>
        <w:tc>
          <w:tcPr>
            <w:cnfStyle w:val="001000000000" w:firstRow="0" w:lastRow="0" w:firstColumn="1" w:lastColumn="0" w:oddVBand="0" w:evenVBand="0" w:oddHBand="0" w:evenHBand="0" w:firstRowFirstColumn="0" w:firstRowLastColumn="0" w:lastRowFirstColumn="0" w:lastRowLastColumn="0"/>
            <w:tcW w:w="3678" w:type="dxa"/>
            <w:vMerge/>
            <w:tcMar/>
          </w:tcPr>
          <w:p w:rsidR="00DA6941" w:rsidP="00E947E0" w:rsidRDefault="00DA6941" w14:paraId="30C7F52D" w14:textId="77777777">
            <w:pPr>
              <w:pStyle w:val="ListParagraph"/>
              <w:numPr>
                <w:ilvl w:val="0"/>
                <w:numId w:val="2"/>
              </w:numPr>
              <w:rPr>
                <w:rFonts w:ascii="Calibri Light" w:hAnsi="Calibri Light"/>
              </w:rPr>
            </w:pPr>
          </w:p>
        </w:tc>
        <w:tc>
          <w:tcPr>
            <w:cnfStyle w:val="000000000000" w:firstRow="0" w:lastRow="0" w:firstColumn="0" w:lastColumn="0" w:oddVBand="0" w:evenVBand="0" w:oddHBand="0" w:evenHBand="0" w:firstRowFirstColumn="0" w:firstRowLastColumn="0" w:lastRowFirstColumn="0" w:lastRowLastColumn="0"/>
            <w:tcW w:w="2475" w:type="dxa"/>
            <w:tcMar/>
          </w:tcPr>
          <w:p w:rsidR="00DA6941" w:rsidDel="00680B38" w:rsidP="00E947E0" w:rsidRDefault="00DA6941" w14:paraId="02159F43" w14:textId="77777777">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un acuerdo</w:t>
            </w:r>
          </w:p>
        </w:tc>
        <w:tc>
          <w:tcPr>
            <w:cnfStyle w:val="000000000000" w:firstRow="0" w:lastRow="0" w:firstColumn="0" w:lastColumn="0" w:oddVBand="0" w:evenVBand="0" w:oddHBand="0" w:evenHBand="0" w:firstRowFirstColumn="0" w:firstRowLastColumn="0" w:lastRowFirstColumn="0" w:lastRowLastColumn="0"/>
            <w:tcW w:w="2568" w:type="dxa"/>
            <w:tcMar/>
          </w:tcPr>
          <w:p w:rsidR="00DA6941" w:rsidDel="00680B38" w:rsidP="00DA6941" w:rsidRDefault="00DA6941" w14:paraId="128B6DA3" w14:textId="77777777">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un acuerdo</w:t>
            </w:r>
          </w:p>
        </w:tc>
      </w:tr>
      <w:tr w:rsidRPr="00DA6941" w:rsidR="00DA6941" w:rsidTr="50D80A4C" w14:paraId="286AF8B2" w14:textId="7777777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Mar/>
          </w:tcPr>
          <w:p w:rsidR="00DA6941" w:rsidP="00E947E0" w:rsidRDefault="00DA6941" w14:paraId="4DFC30F7" w14:textId="77777777">
            <w:pPr>
              <w:pStyle w:val="ListParagraph"/>
              <w:numPr>
                <w:ilvl w:val="0"/>
                <w:numId w:val="2"/>
              </w:numPr>
              <w:rPr>
                <w:rFonts w:ascii="Calibri Light" w:hAnsi="Calibri Light"/>
              </w:rPr>
            </w:pPr>
          </w:p>
        </w:tc>
        <w:tc>
          <w:tcPr>
            <w:cnfStyle w:val="000000000000" w:firstRow="0" w:lastRow="0" w:firstColumn="0" w:lastColumn="0" w:oddVBand="0" w:evenVBand="0" w:oddHBand="0" w:evenHBand="0" w:firstRowFirstColumn="0" w:firstRowLastColumn="0" w:lastRowFirstColumn="0" w:lastRowLastColumn="0"/>
            <w:tcW w:w="2475" w:type="dxa"/>
            <w:tcMar/>
          </w:tcPr>
          <w:p w:rsidRPr="00952C06" w:rsidR="00DA6941" w:rsidP="00E947E0" w:rsidRDefault="00952C06" w14:paraId="5EEF4C12" w14:textId="72412C0D">
            <w:pP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952C06">
              <w:rPr>
                <w:rFonts w:ascii="Calibri Light" w:hAnsi="Calibri Light"/>
                <w:lang w:val="es-PE"/>
              </w:rPr>
              <w:t xml:space="preserve">Art. </w:t>
            </w:r>
            <w:r>
              <w:rPr>
                <w:rFonts w:ascii="Calibri Light" w:hAnsi="Calibri Light"/>
                <w:lang w:val="es-PE"/>
              </w:rPr>
              <w:t>8, art. 25</w:t>
            </w:r>
          </w:p>
        </w:tc>
        <w:tc>
          <w:tcPr>
            <w:cnfStyle w:val="000000000000" w:firstRow="0" w:lastRow="0" w:firstColumn="0" w:lastColumn="0" w:oddVBand="0" w:evenVBand="0" w:oddHBand="0" w:evenHBand="0" w:firstRowFirstColumn="0" w:firstRowLastColumn="0" w:lastRowFirstColumn="0" w:lastRowLastColumn="0"/>
            <w:tcW w:w="2568" w:type="dxa"/>
            <w:tcMar/>
          </w:tcPr>
          <w:p w:rsidRPr="00952C06" w:rsidR="00DA6941" w:rsidP="00952C06" w:rsidRDefault="00952C06" w14:paraId="1D462E4D" w14:textId="5382D7D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952C06">
              <w:rPr>
                <w:rFonts w:ascii="Calibri Light" w:hAnsi="Calibri Light"/>
                <w:lang w:val="es-PE"/>
              </w:rPr>
              <w:t>-</w:t>
            </w:r>
          </w:p>
        </w:tc>
      </w:tr>
      <w:tr w:rsidRPr="004533E5" w:rsidR="00E947E0" w:rsidTr="50D80A4C" w14:paraId="6773386A"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952C06" w:rsidR="00E947E0" w:rsidP="00F20C7D" w:rsidRDefault="00E947E0" w14:paraId="2AD38B66" w14:textId="77777777">
            <w:pPr>
              <w:pStyle w:val="ListParagraph"/>
              <w:rPr>
                <w:rFonts w:ascii="Calibri Light" w:hAnsi="Calibri Light"/>
                <w:lang w:val="es-PE"/>
              </w:rPr>
            </w:pPr>
          </w:p>
          <w:p w:rsidR="00E947E0" w:rsidP="00E947E0" w:rsidRDefault="00E947E0" w14:paraId="10978D84" w14:textId="77777777">
            <w:pPr>
              <w:pStyle w:val="ListParagraph"/>
              <w:numPr>
                <w:ilvl w:val="0"/>
                <w:numId w:val="1"/>
              </w:numPr>
              <w:jc w:val="center"/>
              <w:rPr>
                <w:rFonts w:ascii="Calibri Light" w:hAnsi="Calibri Light"/>
              </w:rPr>
            </w:pPr>
            <w:r w:rsidRPr="004533E5">
              <w:rPr>
                <w:rFonts w:ascii="Calibri Light" w:hAnsi="Calibri Light"/>
              </w:rPr>
              <w:t>Sumilla</w:t>
            </w:r>
          </w:p>
          <w:p w:rsidRPr="004533E5" w:rsidR="00E947E0" w:rsidP="00F20C7D" w:rsidRDefault="00E947E0" w14:paraId="211CC30B" w14:textId="77777777">
            <w:pPr>
              <w:pStyle w:val="ListParagraph"/>
              <w:rPr>
                <w:rFonts w:ascii="Calibri Light" w:hAnsi="Calibri Light"/>
              </w:rPr>
            </w:pPr>
          </w:p>
        </w:tc>
      </w:tr>
      <w:tr w:rsidRPr="004533E5" w:rsidR="00E947E0" w:rsidTr="50D80A4C" w14:paraId="5018BD99" w14:textId="7777777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4A4815EC" w14:textId="77777777">
            <w:pPr>
              <w:jc w:val="both"/>
              <w:rPr>
                <w:rFonts w:ascii="Calibri Light" w:hAnsi="Calibri Light"/>
                <w:b w:val="0"/>
              </w:rPr>
            </w:pPr>
          </w:p>
          <w:p w:rsidR="00E947E0" w:rsidP="00F20C7D" w:rsidRDefault="001F7053" w14:paraId="4A7DC94A" w14:textId="3EF5934C">
            <w:pPr>
              <w:jc w:val="both"/>
              <w:rPr>
                <w:rFonts w:ascii="Calibri Light" w:hAnsi="Calibri Light"/>
                <w:b w:val="0"/>
              </w:rPr>
            </w:pPr>
            <w:r>
              <w:rPr>
                <w:rFonts w:ascii="Calibri Light" w:hAnsi="Calibri Light"/>
                <w:b w:val="0"/>
              </w:rPr>
              <w:t>El caso tr</w:t>
            </w:r>
            <w:r w:rsidR="009B3EEB">
              <w:rPr>
                <w:rFonts w:ascii="Calibri Light" w:hAnsi="Calibri Light"/>
                <w:b w:val="0"/>
              </w:rPr>
              <w:t xml:space="preserve">ata las vulneraciones a los derechos a las </w:t>
            </w:r>
            <w:proofErr w:type="gramStart"/>
            <w:r w:rsidR="009B3EEB">
              <w:rPr>
                <w:rFonts w:ascii="Calibri Light" w:hAnsi="Calibri Light"/>
                <w:b w:val="0"/>
              </w:rPr>
              <w:t>garantías judiciales y protección judicial</w:t>
            </w:r>
            <w:proofErr w:type="gramEnd"/>
            <w:r w:rsidR="009B3EEB">
              <w:rPr>
                <w:rFonts w:ascii="Calibri Light" w:hAnsi="Calibri Light"/>
                <w:b w:val="0"/>
              </w:rPr>
              <w:t xml:space="preserve"> del señor Néstor Albornoz a raíz de su destitución como funcionario de una entidad pública educativa en el año 1992. </w:t>
            </w:r>
            <w:r w:rsidR="005E265E">
              <w:rPr>
                <w:rFonts w:ascii="Calibri Light" w:hAnsi="Calibri Light"/>
                <w:b w:val="0"/>
              </w:rPr>
              <w:t xml:space="preserve">El señor Albornoz presentó recursos de reconsideración y apelación para revertir las resoluciones que determinaron su destitución, y aunque inicialmente consiguió ser restituido, finalmente el Ministerio de Educación determinó que las faltas administrativas ameritaban su separación definitiva del cargo, </w:t>
            </w:r>
            <w:r w:rsidR="009A16FD">
              <w:rPr>
                <w:rFonts w:ascii="Calibri Light" w:hAnsi="Calibri Light"/>
                <w:b w:val="0"/>
              </w:rPr>
              <w:t>a pesar de que</w:t>
            </w:r>
            <w:r w:rsidR="005E265E">
              <w:rPr>
                <w:rFonts w:ascii="Calibri Light" w:hAnsi="Calibri Light"/>
                <w:b w:val="0"/>
              </w:rPr>
              <w:t xml:space="preserve"> el proceso seguido en materia penal, por las mismas denuncias por las que se le destituyó, resultó en una sentencia absolutoria a su favor.</w:t>
            </w:r>
          </w:p>
          <w:p w:rsidRPr="004533E5" w:rsidR="00E947E0" w:rsidP="00F20C7D" w:rsidRDefault="00E947E0" w14:paraId="569FEB75" w14:textId="77777777">
            <w:pPr>
              <w:jc w:val="both"/>
              <w:rPr>
                <w:rFonts w:ascii="Calibri Light" w:hAnsi="Calibri Light"/>
                <w:b w:val="0"/>
              </w:rPr>
            </w:pPr>
          </w:p>
        </w:tc>
      </w:tr>
      <w:tr w:rsidRPr="004533E5" w:rsidR="00E947E0" w:rsidTr="50D80A4C" w14:paraId="45EA7F3E"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602E651B" w14:textId="77777777">
            <w:pPr>
              <w:pStyle w:val="ListParagraph"/>
              <w:rPr>
                <w:rFonts w:ascii="Calibri Light" w:hAnsi="Calibri Light"/>
              </w:rPr>
            </w:pPr>
          </w:p>
          <w:p w:rsidR="00E947E0" w:rsidP="00E947E0" w:rsidRDefault="00E947E0" w14:paraId="6EE9A46F" w14:textId="77777777">
            <w:pPr>
              <w:pStyle w:val="ListParagraph"/>
              <w:numPr>
                <w:ilvl w:val="0"/>
                <w:numId w:val="1"/>
              </w:numPr>
              <w:jc w:val="center"/>
              <w:rPr>
                <w:rFonts w:ascii="Calibri Light" w:hAnsi="Calibri Light"/>
              </w:rPr>
            </w:pPr>
            <w:r w:rsidRPr="004533E5">
              <w:rPr>
                <w:rFonts w:ascii="Calibri Light" w:hAnsi="Calibri Light"/>
              </w:rPr>
              <w:t>Palabras clave</w:t>
            </w:r>
          </w:p>
          <w:p w:rsidRPr="004533E5" w:rsidR="00E947E0" w:rsidP="00F20C7D" w:rsidRDefault="00E947E0" w14:paraId="1456182F" w14:textId="77777777">
            <w:pPr>
              <w:pStyle w:val="ListParagraph"/>
              <w:rPr>
                <w:rFonts w:ascii="Calibri Light" w:hAnsi="Calibri Light"/>
              </w:rPr>
            </w:pPr>
          </w:p>
        </w:tc>
      </w:tr>
      <w:tr w:rsidRPr="004533E5" w:rsidR="00E947E0" w:rsidTr="50D80A4C" w14:paraId="5B73699D" w14:textId="7777777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502041E4" w14:textId="77777777">
            <w:pPr>
              <w:jc w:val="both"/>
              <w:rPr>
                <w:rFonts w:ascii="Calibri Light" w:hAnsi="Calibri Light"/>
                <w:b w:val="0"/>
              </w:rPr>
            </w:pPr>
          </w:p>
          <w:p w:rsidR="00E947E0" w:rsidP="00F20C7D" w:rsidRDefault="00E353C9" w14:paraId="008CB5E7" w14:textId="69717BE9">
            <w:pPr>
              <w:jc w:val="both"/>
              <w:rPr>
                <w:rFonts w:ascii="Calibri Light" w:hAnsi="Calibri Light"/>
                <w:b w:val="0"/>
              </w:rPr>
            </w:pPr>
            <w:proofErr w:type="gramStart"/>
            <w:r>
              <w:rPr>
                <w:rFonts w:ascii="Calibri Light" w:hAnsi="Calibri Light"/>
                <w:b w:val="0"/>
              </w:rPr>
              <w:t>Protección judicial y garantías judiciales</w:t>
            </w:r>
            <w:proofErr w:type="gramEnd"/>
          </w:p>
          <w:p w:rsidRPr="004533E5" w:rsidR="00E947E0" w:rsidP="00F20C7D" w:rsidRDefault="00E947E0" w14:paraId="312B0BE0" w14:textId="77777777">
            <w:pPr>
              <w:jc w:val="both"/>
              <w:rPr>
                <w:rFonts w:ascii="Calibri Light" w:hAnsi="Calibri Light"/>
                <w:b w:val="0"/>
              </w:rPr>
            </w:pPr>
          </w:p>
        </w:tc>
      </w:tr>
      <w:tr w:rsidRPr="004533E5" w:rsidR="00E947E0" w:rsidTr="50D80A4C" w14:paraId="11C24DD5"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75A79E2F" w14:textId="77777777">
            <w:pPr>
              <w:pStyle w:val="ListParagraph"/>
              <w:rPr>
                <w:rFonts w:ascii="Calibri Light" w:hAnsi="Calibri Light"/>
              </w:rPr>
            </w:pPr>
          </w:p>
          <w:p w:rsidR="00E947E0" w:rsidP="00E947E0" w:rsidRDefault="00E947E0" w14:paraId="3A6C7A0B" w14:textId="77777777">
            <w:pPr>
              <w:pStyle w:val="ListParagraph"/>
              <w:numPr>
                <w:ilvl w:val="0"/>
                <w:numId w:val="1"/>
              </w:numPr>
              <w:jc w:val="center"/>
              <w:rPr>
                <w:rFonts w:ascii="Calibri Light" w:hAnsi="Calibri Light"/>
              </w:rPr>
            </w:pPr>
            <w:r w:rsidRPr="004533E5">
              <w:rPr>
                <w:rFonts w:ascii="Calibri Light" w:hAnsi="Calibri Light"/>
              </w:rPr>
              <w:t>Hechos</w:t>
            </w:r>
          </w:p>
          <w:p w:rsidRPr="004533E5" w:rsidR="00E947E0" w:rsidP="00F20C7D" w:rsidRDefault="00E947E0" w14:paraId="6E92D355" w14:textId="77777777">
            <w:pPr>
              <w:pStyle w:val="ListParagraph"/>
              <w:rPr>
                <w:rFonts w:ascii="Calibri Light" w:hAnsi="Calibri Light"/>
              </w:rPr>
            </w:pPr>
          </w:p>
        </w:tc>
      </w:tr>
      <w:tr w:rsidRPr="004533E5" w:rsidR="00E947E0" w:rsidTr="50D80A4C" w14:paraId="178B108E" w14:textId="7777777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663091DC" w14:textId="77777777">
            <w:pPr>
              <w:jc w:val="both"/>
              <w:rPr>
                <w:rFonts w:ascii="Calibri Light" w:hAnsi="Calibri Light"/>
                <w:b w:val="0"/>
              </w:rPr>
            </w:pPr>
          </w:p>
          <w:p w:rsidR="00E947E0" w:rsidP="005E265E" w:rsidRDefault="005E265E" w14:paraId="37591898" w14:textId="77777777">
            <w:pPr>
              <w:jc w:val="both"/>
              <w:rPr>
                <w:rFonts w:ascii="Calibri Light" w:hAnsi="Calibri Light"/>
                <w:b w:val="0"/>
              </w:rPr>
            </w:pPr>
            <w:r>
              <w:rPr>
                <w:rFonts w:ascii="Calibri Light" w:hAnsi="Calibri Light"/>
                <w:b w:val="0"/>
              </w:rPr>
              <w:t xml:space="preserve">Entre los años 1991 y 1992, el señor Néstor Albornoz Eyzaguirre, quien se desempeñaba como director del Centro Educativo No. 2023, Augusto Salazar Bondy, fue denunciado por miembros de la Asociación de Padres de Familia (APAFA) </w:t>
            </w:r>
            <w:r w:rsidR="000F1253">
              <w:rPr>
                <w:rFonts w:ascii="Calibri Light" w:hAnsi="Calibri Light"/>
                <w:b w:val="0"/>
              </w:rPr>
              <w:t xml:space="preserve">por la comisión de presuntas infracciones administrativas, entre las cuales se contaban el cobro irregular de sumas de dinero, malos </w:t>
            </w:r>
            <w:r w:rsidR="000F1253">
              <w:rPr>
                <w:rFonts w:ascii="Calibri Light" w:hAnsi="Calibri Light"/>
                <w:b w:val="0"/>
              </w:rPr>
              <w:lastRenderedPageBreak/>
              <w:t>manejos de los fondos de la institución educativa, la usurpación de las funciones de la APAFA y similares.</w:t>
            </w:r>
          </w:p>
          <w:p w:rsidR="000F1253" w:rsidP="005E265E" w:rsidRDefault="000F1253" w14:paraId="1558CEEF" w14:textId="77777777">
            <w:pPr>
              <w:jc w:val="both"/>
              <w:rPr>
                <w:rFonts w:ascii="Calibri Light" w:hAnsi="Calibri Light"/>
                <w:b w:val="0"/>
              </w:rPr>
            </w:pPr>
          </w:p>
          <w:p w:rsidR="00BD0721" w:rsidP="005E265E" w:rsidRDefault="001574FF" w14:paraId="13919D0A" w14:textId="77777777">
            <w:pPr>
              <w:jc w:val="both"/>
              <w:rPr>
                <w:rFonts w:ascii="Calibri Light" w:hAnsi="Calibri Light"/>
                <w:b w:val="0"/>
              </w:rPr>
            </w:pPr>
            <w:r>
              <w:rPr>
                <w:rFonts w:ascii="Calibri Light" w:hAnsi="Calibri Light"/>
                <w:b w:val="0"/>
              </w:rPr>
              <w:t xml:space="preserve">A raíz de dichas denuncias, la Unidad de Servicios Educativos – 06 (USE) le apertura un proceso administrativo en el año 1992. El señor Albornoz solicitó la caducidad </w:t>
            </w:r>
            <w:r w:rsidR="00BD0721">
              <w:rPr>
                <w:rFonts w:ascii="Calibri Light" w:hAnsi="Calibri Light"/>
                <w:b w:val="0"/>
              </w:rPr>
              <w:t>de la acción disciplinaria ya que la apertura del proceso había sido extemporánea, pero la USE, mediante resolución No. 1792, decide rechazar su pedido y cesarlo temporalmente del servicio activo, por un plazo de dos años, en tanto consideraba que existían suficientes elementos para determinar que había incurrido en las infracciones administrativas que se le imputaban.</w:t>
            </w:r>
          </w:p>
          <w:p w:rsidR="00BD0721" w:rsidP="005E265E" w:rsidRDefault="00BD0721" w14:paraId="70E85067" w14:textId="77777777">
            <w:pPr>
              <w:jc w:val="both"/>
              <w:rPr>
                <w:rFonts w:ascii="Calibri Light" w:hAnsi="Calibri Light"/>
                <w:b w:val="0"/>
              </w:rPr>
            </w:pPr>
          </w:p>
          <w:p w:rsidR="00BD0721" w:rsidP="005E265E" w:rsidRDefault="00BD0721" w14:paraId="266CE67C" w14:textId="722A31EF">
            <w:pPr>
              <w:jc w:val="both"/>
              <w:rPr>
                <w:rFonts w:ascii="Calibri Light" w:hAnsi="Calibri Light"/>
                <w:b w:val="0"/>
              </w:rPr>
            </w:pPr>
            <w:r>
              <w:rPr>
                <w:rFonts w:ascii="Calibri Light" w:hAnsi="Calibri Light"/>
                <w:b w:val="0"/>
              </w:rPr>
              <w:t>El 30 de diciembre de 1992, mediante Resolución No. 1909, la USE deniega el pedido de reconsideración que el señor Albornoz presenta. De forma posterior, en el año 1993, la Dirección Educativa de Lima falla a su favor mediante la Resolución Directoral No. 354 al declarar fundado el recurso de apelación presentado contra las resoluciones emitidas por la USE, en tanto no se había esperado a la resolución sobre los cargos penales imputados al señor Albornoz para determinar su separación de su cargo.</w:t>
            </w:r>
          </w:p>
          <w:p w:rsidR="00BD0721" w:rsidP="005E265E" w:rsidRDefault="00BD0721" w14:paraId="74CDE55A" w14:textId="77777777">
            <w:pPr>
              <w:jc w:val="both"/>
              <w:rPr>
                <w:rFonts w:ascii="Calibri Light" w:hAnsi="Calibri Light"/>
                <w:b w:val="0"/>
              </w:rPr>
            </w:pPr>
          </w:p>
          <w:p w:rsidR="00BD0721" w:rsidP="005E265E" w:rsidRDefault="00BD0721" w14:paraId="33FCFF7C" w14:textId="77777777">
            <w:pPr>
              <w:jc w:val="both"/>
              <w:rPr>
                <w:rFonts w:ascii="Calibri Light" w:hAnsi="Calibri Light"/>
                <w:b w:val="0"/>
              </w:rPr>
            </w:pPr>
            <w:r>
              <w:rPr>
                <w:rFonts w:ascii="Calibri Light" w:hAnsi="Calibri Light"/>
                <w:b w:val="0"/>
              </w:rPr>
              <w:t>En el año 1994, el señor Albornoz fue sometido a una investigación penal por los delitos de usurpación de la función pública, abuso de autoridad, y concusión en perjuicio del Estado y del Ministerio de Educación. El proceso habría concluido con la emisión de una sentencia absolutoria de los cargos en mayo de ese mismo año, la misma que fue confirmada en el año 1996 por la Sala Penal de Consulta de la Corte Suprema de Justicia.</w:t>
            </w:r>
          </w:p>
          <w:p w:rsidR="00BD0721" w:rsidP="005E265E" w:rsidRDefault="00BD0721" w14:paraId="653D1E18" w14:textId="77777777">
            <w:pPr>
              <w:jc w:val="both"/>
              <w:rPr>
                <w:rFonts w:ascii="Calibri Light" w:hAnsi="Calibri Light"/>
                <w:b w:val="0"/>
              </w:rPr>
            </w:pPr>
          </w:p>
          <w:p w:rsidR="00BD0721" w:rsidP="005E265E" w:rsidRDefault="00BD0721" w14:paraId="38965AC2" w14:textId="77777777">
            <w:pPr>
              <w:jc w:val="both"/>
              <w:rPr>
                <w:rFonts w:ascii="Calibri Light" w:hAnsi="Calibri Light"/>
                <w:b w:val="0"/>
              </w:rPr>
            </w:pPr>
            <w:r>
              <w:rPr>
                <w:rFonts w:ascii="Calibri Light" w:hAnsi="Calibri Light"/>
                <w:b w:val="0"/>
              </w:rPr>
              <w:t xml:space="preserve">A pesar de ello, en el año 1996 la Secretaría General del Ministerio de Educación, a través de la Resolución No. 196-96, declara nula la Resolución Directoral No. 354 bajo la justificación de que las sanciones por faltas administrativas son independientes de la responsabilidad civil o penal en la que puedan incurrir servidores públicos. </w:t>
            </w:r>
            <w:r w:rsidR="007A2527">
              <w:rPr>
                <w:rFonts w:ascii="Calibri Light" w:hAnsi="Calibri Light"/>
                <w:b w:val="0"/>
              </w:rPr>
              <w:t>Si bien se presentó un recurso de apelación a dicha decisión, tanto en sede civil como en el Tribunal Constitucional, terminó por confirmarse lo dispuesto. De esta forma</w:t>
            </w:r>
            <w:r>
              <w:rPr>
                <w:rFonts w:ascii="Calibri Light" w:hAnsi="Calibri Light"/>
                <w:b w:val="0"/>
              </w:rPr>
              <w:t xml:space="preserve">, el señor </w:t>
            </w:r>
            <w:r w:rsidR="007A2527">
              <w:rPr>
                <w:rFonts w:ascii="Calibri Light" w:hAnsi="Calibri Light"/>
                <w:b w:val="0"/>
              </w:rPr>
              <w:t>Albornoz es separado definitivamente de su cargo.</w:t>
            </w:r>
          </w:p>
          <w:p w:rsidR="007A2527" w:rsidP="005E265E" w:rsidRDefault="007A2527" w14:paraId="72DB144A" w14:textId="77777777">
            <w:pPr>
              <w:jc w:val="both"/>
              <w:rPr>
                <w:rFonts w:ascii="Calibri Light" w:hAnsi="Calibri Light"/>
                <w:b w:val="0"/>
              </w:rPr>
            </w:pPr>
          </w:p>
          <w:p w:rsidR="007A2527" w:rsidP="007A2527" w:rsidRDefault="007A2527" w14:paraId="6D33BBB6" w14:textId="77777777">
            <w:pPr>
              <w:jc w:val="both"/>
              <w:rPr>
                <w:rFonts w:ascii="Calibri Light" w:hAnsi="Calibri Light"/>
                <w:b w:val="0"/>
              </w:rPr>
            </w:pPr>
            <w:r>
              <w:rPr>
                <w:rFonts w:ascii="Calibri Light" w:hAnsi="Calibri Light"/>
                <w:b w:val="0"/>
              </w:rPr>
              <w:t>Frente a tales hechos, el 20 de julio de 1998, la CIDH recibió una petición presentada por el señor Néstor Albornoz Eyzaguirre contra el Estado de Perú.</w:t>
            </w:r>
          </w:p>
          <w:p w:rsidRPr="004533E5" w:rsidR="0018611B" w:rsidP="007A2527" w:rsidRDefault="0018611B" w14:paraId="4808E020" w14:textId="11A38DDB">
            <w:pPr>
              <w:jc w:val="both"/>
              <w:rPr>
                <w:rFonts w:ascii="Calibri Light" w:hAnsi="Calibri Light"/>
                <w:b w:val="0"/>
              </w:rPr>
            </w:pPr>
          </w:p>
        </w:tc>
      </w:tr>
      <w:tr w:rsidRPr="004533E5" w:rsidR="00E947E0" w:rsidTr="50D80A4C" w14:paraId="2F632876"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B75333" w:rsidR="00E947E0" w:rsidP="00B75333" w:rsidRDefault="00E947E0" w14:paraId="4D06E4C3" w14:textId="77777777">
            <w:pPr>
              <w:rPr>
                <w:rFonts w:ascii="Calibri Light" w:hAnsi="Calibri Light"/>
              </w:rPr>
            </w:pPr>
          </w:p>
          <w:p w:rsidRPr="00990AED" w:rsidR="00E947E0" w:rsidP="00B75333" w:rsidRDefault="00E947E0" w14:paraId="1C82EA21" w14:textId="3671C25A">
            <w:pPr>
              <w:pStyle w:val="ListParagraph"/>
              <w:numPr>
                <w:ilvl w:val="0"/>
                <w:numId w:val="1"/>
              </w:numPr>
              <w:jc w:val="center"/>
              <w:rPr>
                <w:rFonts w:ascii="Calibri Light" w:hAnsi="Calibri Light"/>
              </w:rPr>
            </w:pPr>
            <w:r w:rsidRPr="00990AED">
              <w:rPr>
                <w:rFonts w:ascii="Calibri Light" w:hAnsi="Calibri Light"/>
              </w:rPr>
              <w:t>Acuerdo de Solución</w:t>
            </w:r>
            <w:r w:rsidRPr="00990AED" w:rsidR="00D76D67">
              <w:rPr>
                <w:rFonts w:ascii="Calibri Light" w:hAnsi="Calibri Light"/>
              </w:rPr>
              <w:t xml:space="preserve"> Amistosa</w:t>
            </w:r>
            <w:r w:rsidRPr="00990AED" w:rsidR="009A16FD">
              <w:rPr>
                <w:rFonts w:ascii="Calibri Light" w:hAnsi="Calibri Light"/>
              </w:rPr>
              <w:t xml:space="preserve"> (ASA)</w:t>
            </w:r>
          </w:p>
          <w:p w:rsidRPr="004533E5" w:rsidR="00E947E0" w:rsidP="00B75333" w:rsidRDefault="00E947E0" w14:paraId="655CACEF" w14:textId="77777777">
            <w:pPr>
              <w:pStyle w:val="ListParagraph"/>
              <w:rPr>
                <w:rFonts w:ascii="Calibri Light" w:hAnsi="Calibri Light"/>
              </w:rPr>
            </w:pPr>
          </w:p>
        </w:tc>
      </w:tr>
      <w:tr w:rsidRPr="004533E5" w:rsidR="00E947E0" w:rsidTr="50D80A4C" w14:paraId="126D893F" w14:textId="77777777">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0A141654" w14:textId="77777777">
            <w:pPr>
              <w:jc w:val="both"/>
              <w:rPr>
                <w:rFonts w:ascii="Calibri Light" w:hAnsi="Calibri Light"/>
                <w:b w:val="0"/>
              </w:rPr>
            </w:pPr>
          </w:p>
          <w:p w:rsidR="00E947E0" w:rsidP="00F20C7D" w:rsidRDefault="00D76D67" w14:paraId="3FA957BA" w14:textId="70EC339D">
            <w:pPr>
              <w:jc w:val="both"/>
              <w:rPr>
                <w:rFonts w:ascii="Calibri Light" w:hAnsi="Calibri Light"/>
                <w:b w:val="0"/>
              </w:rPr>
            </w:pPr>
            <w:r>
              <w:rPr>
                <w:rFonts w:ascii="Calibri Light" w:hAnsi="Calibri Light"/>
                <w:b w:val="0"/>
              </w:rPr>
              <w:t>Mediante el acuerdo de solución amistosa</w:t>
            </w:r>
            <w:r w:rsidR="00161F34">
              <w:rPr>
                <w:rFonts w:ascii="Calibri Light" w:hAnsi="Calibri Light"/>
                <w:b w:val="0"/>
              </w:rPr>
              <w:t xml:space="preserve"> suscrito por l</w:t>
            </w:r>
            <w:r w:rsidR="00E87835">
              <w:rPr>
                <w:rFonts w:ascii="Calibri Light" w:hAnsi="Calibri Light"/>
                <w:b w:val="0"/>
              </w:rPr>
              <w:t>as partes el 27 de febrero de 2002</w:t>
            </w:r>
            <w:r>
              <w:rPr>
                <w:rFonts w:ascii="Calibri Light" w:hAnsi="Calibri Light"/>
                <w:b w:val="0"/>
              </w:rPr>
              <w:t>, las partes manifestaron lo siguiente:</w:t>
            </w:r>
          </w:p>
          <w:p w:rsidR="00D76D67" w:rsidP="00F20C7D" w:rsidRDefault="00D76D67" w14:paraId="5E9751C9" w14:textId="77777777">
            <w:pPr>
              <w:jc w:val="both"/>
              <w:rPr>
                <w:rFonts w:ascii="Calibri Light" w:hAnsi="Calibri Light"/>
                <w:b w:val="0"/>
              </w:rPr>
            </w:pPr>
          </w:p>
          <w:p w:rsidR="00D76D67" w:rsidP="00D76D67" w:rsidRDefault="00E87835" w14:paraId="6E297657" w14:textId="738C5DDB">
            <w:pPr>
              <w:jc w:val="both"/>
              <w:rPr>
                <w:rFonts w:ascii="Calibri Light" w:hAnsi="Calibri Light"/>
                <w:b w:val="0"/>
              </w:rPr>
            </w:pPr>
            <w:r>
              <w:rPr>
                <w:rFonts w:ascii="Calibri Light" w:hAnsi="Calibri Light"/>
                <w:b w:val="0"/>
              </w:rPr>
              <w:t>1. El Estado peruano</w:t>
            </w:r>
            <w:r w:rsidR="00D76D67">
              <w:rPr>
                <w:rFonts w:ascii="Calibri Light" w:hAnsi="Calibri Light"/>
                <w:b w:val="0"/>
              </w:rPr>
              <w:t xml:space="preserve"> reconoció responsabilidad internacional por la violac</w:t>
            </w:r>
            <w:r>
              <w:rPr>
                <w:rFonts w:ascii="Calibri Light" w:hAnsi="Calibri Light"/>
                <w:b w:val="0"/>
              </w:rPr>
              <w:t>ión de los artículos</w:t>
            </w:r>
            <w:r w:rsidR="00D76D67">
              <w:rPr>
                <w:rFonts w:ascii="Calibri Light" w:hAnsi="Calibri Light"/>
                <w:b w:val="0"/>
              </w:rPr>
              <w:t xml:space="preserve"> </w:t>
            </w:r>
            <w:r>
              <w:rPr>
                <w:rFonts w:ascii="Calibri Light" w:hAnsi="Calibri Light"/>
                <w:b w:val="0"/>
              </w:rPr>
              <w:t xml:space="preserve">8° y 25° </w:t>
            </w:r>
            <w:r w:rsidR="00D76D67">
              <w:rPr>
                <w:rFonts w:ascii="Calibri Light" w:hAnsi="Calibri Light"/>
                <w:b w:val="0"/>
              </w:rPr>
              <w:t>de l</w:t>
            </w:r>
            <w:r>
              <w:rPr>
                <w:rFonts w:ascii="Calibri Light" w:hAnsi="Calibri Light"/>
                <w:b w:val="0"/>
              </w:rPr>
              <w:t>a CADH en perjuicio de Néstor Albornoz Eyzaguirre.</w:t>
            </w:r>
          </w:p>
          <w:p w:rsidR="00D76D67" w:rsidP="00D76D67" w:rsidRDefault="00D76D67" w14:paraId="47ADDE24" w14:textId="332F8CBC">
            <w:pPr>
              <w:spacing w:before="240"/>
              <w:jc w:val="both"/>
              <w:rPr>
                <w:rFonts w:ascii="Calibri Light" w:hAnsi="Calibri Light"/>
                <w:b w:val="0"/>
              </w:rPr>
            </w:pPr>
            <w:r>
              <w:rPr>
                <w:rFonts w:ascii="Calibri Light" w:hAnsi="Calibri Light"/>
                <w:b w:val="0"/>
              </w:rPr>
              <w:t xml:space="preserve">2. </w:t>
            </w:r>
            <w:r w:rsidR="00B772E6">
              <w:rPr>
                <w:rFonts w:ascii="Calibri Light" w:hAnsi="Calibri Light"/>
                <w:b w:val="0"/>
              </w:rPr>
              <w:t xml:space="preserve">El Estado </w:t>
            </w:r>
            <w:r w:rsidR="00E87835">
              <w:rPr>
                <w:rFonts w:ascii="Calibri Light" w:hAnsi="Calibri Light"/>
                <w:b w:val="0"/>
              </w:rPr>
              <w:t xml:space="preserve">peruano derogará la Resolución de la Secretaría General del Ministerio de Educación </w:t>
            </w:r>
            <w:proofErr w:type="spellStart"/>
            <w:r w:rsidR="00E87835">
              <w:rPr>
                <w:rFonts w:ascii="Calibri Light" w:hAnsi="Calibri Light"/>
                <w:b w:val="0"/>
              </w:rPr>
              <w:t>N°</w:t>
            </w:r>
            <w:proofErr w:type="spellEnd"/>
            <w:r w:rsidR="00E87835">
              <w:rPr>
                <w:rFonts w:ascii="Calibri Light" w:hAnsi="Calibri Light"/>
                <w:b w:val="0"/>
              </w:rPr>
              <w:t xml:space="preserve"> 196-96-ED, y restituirá en su puesto como director del Centro Educativo </w:t>
            </w:r>
            <w:proofErr w:type="spellStart"/>
            <w:r w:rsidR="00E87835">
              <w:rPr>
                <w:rFonts w:ascii="Calibri Light" w:hAnsi="Calibri Light"/>
                <w:b w:val="0"/>
              </w:rPr>
              <w:t>N°</w:t>
            </w:r>
            <w:proofErr w:type="spellEnd"/>
            <w:r w:rsidR="00E87835">
              <w:rPr>
                <w:rFonts w:ascii="Calibri Light" w:hAnsi="Calibri Light"/>
                <w:b w:val="0"/>
              </w:rPr>
              <w:t xml:space="preserve"> 2023 al señor Néstor Albornoz. La resolución derogatoria deberá incluir las disculpas del Estado peruano al señor Albornoz por los daños infringidos </w:t>
            </w:r>
            <w:r w:rsidR="00B76AFE">
              <w:rPr>
                <w:rFonts w:ascii="Calibri Light" w:hAnsi="Calibri Light"/>
                <w:b w:val="0"/>
              </w:rPr>
              <w:t>a raíz de las violaciones de sus derechos humanos.</w:t>
            </w:r>
          </w:p>
          <w:p w:rsidR="00D45B02" w:rsidP="00B76AFE" w:rsidRDefault="00B76AFE" w14:paraId="4CB70096" w14:textId="3FA3A45E">
            <w:pPr>
              <w:spacing w:before="240"/>
              <w:jc w:val="both"/>
              <w:rPr>
                <w:rFonts w:ascii="Calibri Light" w:hAnsi="Calibri Light"/>
                <w:b w:val="0"/>
              </w:rPr>
            </w:pPr>
            <w:r>
              <w:rPr>
                <w:rFonts w:ascii="Calibri Light" w:hAnsi="Calibri Light"/>
                <w:b w:val="0"/>
              </w:rPr>
              <w:t>3. Dicha restitución, además, reconocerá su tiempo de servicio y todos los derechos inherentes a ello, a excepción del pago de remuneraciones caídas o devengadas.</w:t>
            </w:r>
          </w:p>
          <w:p w:rsidRPr="00327907" w:rsidR="00327907" w:rsidP="00327907" w:rsidRDefault="00327907" w14:paraId="239E5C20" w14:textId="09CD8188">
            <w:pPr>
              <w:spacing w:before="240"/>
              <w:jc w:val="both"/>
              <w:rPr>
                <w:rFonts w:ascii="Calibri Light" w:hAnsi="Calibri Light"/>
                <w:b w:val="0"/>
              </w:rPr>
            </w:pPr>
            <w:r>
              <w:rPr>
                <w:rFonts w:ascii="Calibri Light" w:hAnsi="Calibri Light"/>
                <w:b w:val="0"/>
              </w:rPr>
              <w:t>4</w:t>
            </w:r>
            <w:r w:rsidR="00B76AFE">
              <w:rPr>
                <w:rFonts w:ascii="Calibri Light" w:hAnsi="Calibri Light"/>
                <w:b w:val="0"/>
              </w:rPr>
              <w:t>. El señor Eyzaguirre, por su parte, declina la continuación del proceso ante la CIDH.</w:t>
            </w:r>
          </w:p>
          <w:p w:rsidRPr="004533E5" w:rsidR="00E947E0" w:rsidP="00F20C7D" w:rsidRDefault="00E947E0" w14:paraId="0D41051B" w14:textId="77777777">
            <w:pPr>
              <w:jc w:val="both"/>
              <w:rPr>
                <w:rFonts w:ascii="Calibri Light" w:hAnsi="Calibri Light"/>
                <w:b w:val="0"/>
              </w:rPr>
            </w:pPr>
          </w:p>
        </w:tc>
      </w:tr>
      <w:tr w:rsidRPr="004533E5" w:rsidR="00E947E0" w:rsidTr="50D80A4C" w14:paraId="5765649C" w14:textId="77777777">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0F36DE5A" w14:textId="77777777">
            <w:pPr>
              <w:pStyle w:val="ListParagraph"/>
              <w:rPr>
                <w:rFonts w:ascii="Calibri Light" w:hAnsi="Calibri Light"/>
              </w:rPr>
            </w:pPr>
          </w:p>
          <w:p w:rsidR="00E947E0" w:rsidP="00B75333" w:rsidRDefault="00B037E5" w14:paraId="46FCD978" w14:textId="77777777">
            <w:pPr>
              <w:pStyle w:val="ListParagraph"/>
              <w:numPr>
                <w:ilvl w:val="0"/>
                <w:numId w:val="1"/>
              </w:numPr>
              <w:jc w:val="center"/>
              <w:rPr>
                <w:rFonts w:ascii="Calibri Light" w:hAnsi="Calibri Light"/>
              </w:rPr>
            </w:pPr>
            <w:r>
              <w:rPr>
                <w:rFonts w:ascii="Calibri Light" w:hAnsi="Calibri Light"/>
              </w:rPr>
              <w:t>Determinación de compatibilidad y cumplimiento</w:t>
            </w:r>
          </w:p>
          <w:p w:rsidRPr="004533E5" w:rsidR="00E947E0" w:rsidP="00F20C7D" w:rsidRDefault="00E947E0" w14:paraId="6D2FA1F7" w14:textId="77777777">
            <w:pPr>
              <w:pStyle w:val="ListParagraph"/>
              <w:rPr>
                <w:rFonts w:ascii="Calibri Light" w:hAnsi="Calibri Light"/>
              </w:rPr>
            </w:pPr>
          </w:p>
        </w:tc>
      </w:tr>
      <w:tr w:rsidRPr="004533E5" w:rsidR="00E947E0" w:rsidTr="50D80A4C" w14:paraId="3FC93D70" w14:textId="7777777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E947E0" w:rsidP="00F20C7D" w:rsidRDefault="00E947E0" w14:paraId="67D19374" w14:textId="77777777">
            <w:pPr>
              <w:jc w:val="both"/>
              <w:rPr>
                <w:rFonts w:ascii="Calibri Light" w:hAnsi="Calibri Light"/>
                <w:b w:val="0"/>
              </w:rPr>
            </w:pPr>
          </w:p>
          <w:p w:rsidR="00BB24EC" w:rsidP="00F20C7D" w:rsidRDefault="00BD0721" w14:paraId="6E12C0B9" w14:textId="19B742AF">
            <w:pPr>
              <w:jc w:val="both"/>
              <w:rPr>
                <w:rFonts w:ascii="Calibri Light" w:hAnsi="Calibri Light"/>
                <w:b w:val="0"/>
              </w:rPr>
            </w:pPr>
            <w:r>
              <w:rPr>
                <w:rFonts w:ascii="Calibri Light" w:hAnsi="Calibri Light"/>
                <w:b w:val="0"/>
              </w:rPr>
              <w:t>La CIDH</w:t>
            </w:r>
            <w:r w:rsidR="00BB24EC">
              <w:rPr>
                <w:rFonts w:ascii="Calibri Light" w:hAnsi="Calibri Light"/>
                <w:b w:val="0"/>
              </w:rPr>
              <w:t xml:space="preserve">, a partir de la información </w:t>
            </w:r>
            <w:r>
              <w:rPr>
                <w:rFonts w:ascii="Calibri Light" w:hAnsi="Calibri Light"/>
                <w:b w:val="0"/>
              </w:rPr>
              <w:t>suministrada por las partes, determinó</w:t>
            </w:r>
            <w:r w:rsidR="00BB24EC">
              <w:rPr>
                <w:rFonts w:ascii="Calibri Light" w:hAnsi="Calibri Light"/>
                <w:b w:val="0"/>
              </w:rPr>
              <w:t>:</w:t>
            </w:r>
          </w:p>
          <w:p w:rsidR="00BB24EC" w:rsidP="00F20C7D" w:rsidRDefault="00BB24EC" w14:paraId="60787583" w14:textId="77777777">
            <w:pPr>
              <w:jc w:val="both"/>
              <w:rPr>
                <w:rFonts w:ascii="Calibri Light" w:hAnsi="Calibri Light"/>
                <w:b w:val="0"/>
              </w:rPr>
            </w:pPr>
          </w:p>
          <w:p w:rsidR="00BB24EC" w:rsidP="00BB24EC" w:rsidRDefault="00BB24EC" w14:paraId="0841099F" w14:textId="659CB1AD">
            <w:pPr>
              <w:pStyle w:val="ListParagraph"/>
              <w:numPr>
                <w:ilvl w:val="0"/>
                <w:numId w:val="5"/>
              </w:numPr>
              <w:jc w:val="both"/>
              <w:rPr>
                <w:rFonts w:ascii="Calibri Light" w:hAnsi="Calibri Light"/>
                <w:b w:val="0"/>
              </w:rPr>
            </w:pPr>
            <w:r>
              <w:rPr>
                <w:rFonts w:ascii="Calibri Light" w:hAnsi="Calibri Light"/>
                <w:b w:val="0"/>
              </w:rPr>
              <w:t>Aprobar los términos del acuerdo de solución amistosa s</w:t>
            </w:r>
            <w:r w:rsidR="00B76AFE">
              <w:rPr>
                <w:rFonts w:ascii="Calibri Light" w:hAnsi="Calibri Light"/>
                <w:b w:val="0"/>
              </w:rPr>
              <w:t>uscrito por las partes el 27 de febrero de 2002,</w:t>
            </w:r>
          </w:p>
          <w:p w:rsidRPr="0018611B" w:rsidR="00BB24EC" w:rsidP="00B76AFE" w:rsidRDefault="00BB24EC" w14:paraId="74B5237C" w14:textId="77777777">
            <w:pPr>
              <w:pStyle w:val="ListParagraph"/>
              <w:numPr>
                <w:ilvl w:val="0"/>
                <w:numId w:val="5"/>
              </w:numPr>
              <w:jc w:val="both"/>
              <w:rPr>
                <w:rFonts w:ascii="Calibri Light" w:hAnsi="Calibri Light"/>
              </w:rPr>
            </w:pPr>
            <w:proofErr w:type="gramStart"/>
            <w:r>
              <w:rPr>
                <w:rFonts w:ascii="Calibri Light" w:hAnsi="Calibri Light"/>
                <w:b w:val="0"/>
              </w:rPr>
              <w:t>Declarar</w:t>
            </w:r>
            <w:proofErr w:type="gramEnd"/>
            <w:r>
              <w:rPr>
                <w:rFonts w:ascii="Calibri Light" w:hAnsi="Calibri Light"/>
                <w:b w:val="0"/>
              </w:rPr>
              <w:t xml:space="preserve"> que e</w:t>
            </w:r>
            <w:r w:rsidR="00B76AFE">
              <w:rPr>
                <w:rFonts w:ascii="Calibri Light" w:hAnsi="Calibri Light"/>
                <w:b w:val="0"/>
              </w:rPr>
              <w:t>l Estado cumplió con la totalidad de las medidas adoptadas en el Acuerdo de Solución Amistosa.</w:t>
            </w:r>
          </w:p>
          <w:p w:rsidRPr="00BB24EC" w:rsidR="0018611B" w:rsidP="0018611B" w:rsidRDefault="0018611B" w14:paraId="17B2C200" w14:textId="14367ECB">
            <w:pPr>
              <w:pStyle w:val="ListParagraph"/>
              <w:ind w:left="765"/>
              <w:jc w:val="both"/>
              <w:rPr>
                <w:rFonts w:ascii="Calibri Light" w:hAnsi="Calibri Light"/>
              </w:rPr>
            </w:pPr>
          </w:p>
        </w:tc>
      </w:tr>
      <w:tr w:rsidRPr="00990AED" w:rsidR="009A16FD" w:rsidTr="50D80A4C" w14:paraId="42490BBF" w14:textId="77777777">
        <w:trPr>
          <w:trHeight w:val="868"/>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0029090E" w:rsidP="00F20C7D" w:rsidRDefault="0029090E" w14:paraId="7242C211" w14:textId="77777777">
            <w:pPr>
              <w:jc w:val="both"/>
              <w:rPr>
                <w:rFonts w:ascii="Calibri Light" w:hAnsi="Calibri Light"/>
                <w:bCs w:val="0"/>
              </w:rPr>
            </w:pPr>
          </w:p>
          <w:p w:rsidRPr="00990AED" w:rsidR="009A16FD" w:rsidP="0029090E" w:rsidRDefault="0029090E" w14:paraId="53B783D3" w14:textId="5116C9A6">
            <w:pPr>
              <w:jc w:val="center"/>
              <w:rPr>
                <w:rFonts w:ascii="Calibri Light" w:hAnsi="Calibri Light"/>
                <w:bCs w:val="0"/>
              </w:rPr>
            </w:pPr>
            <w:r w:rsidRPr="00990AED">
              <w:rPr>
                <w:rFonts w:ascii="Calibri Light" w:hAnsi="Calibri Light"/>
                <w:bCs w:val="0"/>
              </w:rPr>
              <w:t>G.</w:t>
            </w:r>
            <w:r w:rsidRPr="00990AED">
              <w:rPr>
                <w:rFonts w:ascii="Calibri Light" w:hAnsi="Calibri Light"/>
                <w:bCs w:val="0"/>
              </w:rPr>
              <w:tab/>
            </w:r>
            <w:r w:rsidRPr="00990AED">
              <w:rPr>
                <w:rFonts w:ascii="Calibri Light" w:hAnsi="Calibri Light"/>
                <w:bCs w:val="0"/>
              </w:rPr>
              <w:t>Impactos individuales y estructurales del ASA</w:t>
            </w:r>
          </w:p>
        </w:tc>
      </w:tr>
      <w:tr w:rsidRPr="004533E5" w:rsidR="009A16FD" w:rsidTr="50D80A4C" w14:paraId="3DA74EEC" w14:textId="77777777">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Mar/>
          </w:tcPr>
          <w:p w:rsidRPr="00990AED" w:rsidR="009A16FD" w:rsidP="00F20C7D" w:rsidRDefault="009A16FD" w14:paraId="3FBB4D5E" w14:textId="77777777">
            <w:pPr>
              <w:jc w:val="both"/>
              <w:rPr>
                <w:rFonts w:ascii="Calibri Light" w:hAnsi="Calibri Light"/>
                <w:bCs w:val="0"/>
              </w:rPr>
            </w:pPr>
          </w:p>
          <w:p w:rsidRPr="00990AED" w:rsidR="00DA5197" w:rsidP="00F20C7D" w:rsidRDefault="00CD4B8A" w14:paraId="40C72250" w14:textId="538A4379">
            <w:pPr>
              <w:jc w:val="both"/>
              <w:rPr>
                <w:rFonts w:ascii="Calibri Light" w:hAnsi="Calibri Light"/>
              </w:rPr>
            </w:pPr>
            <w:r w:rsidRPr="50D80A4C" w:rsidR="00CD4B8A">
              <w:rPr>
                <w:rFonts w:ascii="Calibri Light" w:hAnsi="Calibri Light"/>
                <w:b w:val="0"/>
                <w:bCs w:val="0"/>
              </w:rPr>
              <w:t>En el marco del seguimiento de la implementación del acuerdo de solución amistosa, a Comisión ha identificado los siguientes impactos individuales derivados del cumplimiento de este:</w:t>
            </w:r>
          </w:p>
          <w:p w:rsidRPr="00990AED" w:rsidR="00CD4B8A" w:rsidP="00F20C7D" w:rsidRDefault="00CD4B8A" w14:paraId="09C5E4AB" w14:textId="77777777">
            <w:pPr>
              <w:jc w:val="both"/>
              <w:rPr>
                <w:rFonts w:ascii="Calibri Light" w:hAnsi="Calibri Light"/>
                <w:b w:val="0"/>
              </w:rPr>
            </w:pPr>
          </w:p>
          <w:p w:rsidRPr="00990AED" w:rsidR="00BB23CB" w:rsidP="0061193D" w:rsidRDefault="00BB23CB" w14:paraId="0D2D9BD5" w14:textId="54200C20">
            <w:pPr>
              <w:pStyle w:val="ListParagraph"/>
              <w:numPr>
                <w:ilvl w:val="0"/>
                <w:numId w:val="6"/>
              </w:numPr>
              <w:jc w:val="both"/>
              <w:rPr>
                <w:rFonts w:ascii="Calibri Light" w:hAnsi="Calibri Light"/>
                <w:b w:val="0"/>
              </w:rPr>
            </w:pPr>
            <w:r w:rsidRPr="00990AED">
              <w:rPr>
                <w:rFonts w:ascii="Calibri Light" w:hAnsi="Calibri Light"/>
              </w:rPr>
              <w:t>Resultados individuales del caso</w:t>
            </w:r>
          </w:p>
          <w:p w:rsidRPr="00990AED" w:rsidR="0061193D" w:rsidP="0061193D" w:rsidRDefault="0061193D" w14:paraId="2F07AA61" w14:textId="77777777">
            <w:pPr>
              <w:pStyle w:val="ListParagraph"/>
              <w:ind w:left="1785"/>
              <w:jc w:val="both"/>
              <w:rPr>
                <w:rFonts w:ascii="Calibri Light" w:hAnsi="Calibri Light"/>
              </w:rPr>
            </w:pPr>
          </w:p>
          <w:p w:rsidRPr="00990AED" w:rsidR="00BB23CB" w:rsidP="00D00033" w:rsidRDefault="00BB23CB" w14:paraId="29BFE191" w14:textId="77777777">
            <w:pPr>
              <w:ind w:left="705" w:firstLine="720"/>
              <w:jc w:val="both"/>
              <w:rPr>
                <w:rFonts w:ascii="Calibri Light" w:hAnsi="Calibri Light"/>
                <w:b w:val="0"/>
              </w:rPr>
            </w:pPr>
            <w:r w:rsidRPr="00990AED">
              <w:rPr>
                <w:rFonts w:ascii="Calibri Light" w:hAnsi="Calibri Light"/>
                <w:b w:val="0"/>
              </w:rPr>
              <w:t xml:space="preserve">• Se dejó sin efecto la Resolución no. 196-96-ED, de 6 de mayo de 1996, </w:t>
            </w:r>
          </w:p>
          <w:p w:rsidRPr="00990AED" w:rsidR="00BB23CB" w:rsidP="00D00033" w:rsidRDefault="00BB23CB" w14:paraId="413D5171" w14:textId="2DC69FDE">
            <w:pPr>
              <w:ind w:left="705" w:firstLine="720"/>
              <w:jc w:val="both"/>
              <w:rPr>
                <w:rFonts w:ascii="Calibri Light" w:hAnsi="Calibri Light"/>
                <w:b w:val="0"/>
              </w:rPr>
            </w:pPr>
            <w:r w:rsidRPr="00990AED">
              <w:rPr>
                <w:rFonts w:ascii="Calibri Light" w:hAnsi="Calibri Light"/>
                <w:b w:val="0"/>
              </w:rPr>
              <w:t xml:space="preserve">• Se reincorporó al señor Néstor Albornoz en el cargo de </w:t>
            </w:r>
            <w:r w:rsidRPr="00990AED" w:rsidR="00D00033">
              <w:rPr>
                <w:rFonts w:ascii="Calibri Light" w:hAnsi="Calibri Light"/>
                <w:b w:val="0"/>
              </w:rPr>
              <w:t>director</w:t>
            </w:r>
            <w:r w:rsidRPr="00990AED">
              <w:rPr>
                <w:rFonts w:ascii="Calibri Light" w:hAnsi="Calibri Light"/>
                <w:b w:val="0"/>
              </w:rPr>
              <w:t xml:space="preserve"> del Centro </w:t>
            </w:r>
          </w:p>
          <w:p w:rsidRPr="00990AED" w:rsidR="00BB23CB" w:rsidP="00D00033" w:rsidRDefault="00BB23CB" w14:paraId="686A26C1" w14:textId="77777777">
            <w:pPr>
              <w:ind w:left="705" w:firstLine="720"/>
              <w:jc w:val="both"/>
              <w:rPr>
                <w:rFonts w:ascii="Calibri Light" w:hAnsi="Calibri Light"/>
                <w:b w:val="0"/>
              </w:rPr>
            </w:pPr>
            <w:r w:rsidRPr="00990AED">
              <w:rPr>
                <w:rFonts w:ascii="Calibri Light" w:hAnsi="Calibri Light"/>
                <w:b w:val="0"/>
              </w:rPr>
              <w:t xml:space="preserve">Educativo Estatal No. 2023- Augusto Salazar Bondy, del distrito San Martin de Porres de Lima. </w:t>
            </w:r>
          </w:p>
          <w:p w:rsidRPr="00990AED" w:rsidR="00BB23CB" w:rsidP="00D00033" w:rsidRDefault="00BB23CB" w14:paraId="4B5D97A0" w14:textId="77777777">
            <w:pPr>
              <w:ind w:left="705" w:firstLine="720"/>
              <w:jc w:val="both"/>
              <w:rPr>
                <w:rFonts w:ascii="Calibri Light" w:hAnsi="Calibri Light"/>
                <w:b w:val="0"/>
              </w:rPr>
            </w:pPr>
            <w:r w:rsidRPr="00990AED">
              <w:rPr>
                <w:rFonts w:ascii="Calibri Light" w:hAnsi="Calibri Light"/>
                <w:b w:val="0"/>
              </w:rPr>
              <w:t xml:space="preserve">• Se reconoció el tiempo de servicio y todos los beneficios sociales que le </w:t>
            </w:r>
          </w:p>
          <w:p w:rsidRPr="00990AED" w:rsidR="00BB23CB" w:rsidP="00D00033" w:rsidRDefault="00BB23CB" w14:paraId="608EA2F9" w14:textId="77777777">
            <w:pPr>
              <w:ind w:left="705" w:firstLine="720"/>
              <w:jc w:val="both"/>
              <w:rPr>
                <w:rFonts w:ascii="Calibri Light" w:hAnsi="Calibri Light"/>
                <w:b w:val="0"/>
              </w:rPr>
            </w:pPr>
            <w:r w:rsidRPr="00990AED">
              <w:rPr>
                <w:rFonts w:ascii="Calibri Light" w:hAnsi="Calibri Light"/>
                <w:b w:val="0"/>
              </w:rPr>
              <w:t>corresponden al beneficiario del acuerdo</w:t>
            </w:r>
          </w:p>
          <w:p w:rsidRPr="00990AED" w:rsidR="00BB23CB" w:rsidP="00D00033" w:rsidRDefault="00BB23CB" w14:paraId="39E24BC2" w14:textId="131C3213">
            <w:pPr>
              <w:ind w:left="705" w:firstLine="720"/>
              <w:jc w:val="both"/>
              <w:rPr>
                <w:rFonts w:ascii="Calibri Light" w:hAnsi="Calibri Light"/>
                <w:bCs w:val="0"/>
              </w:rPr>
            </w:pPr>
            <w:r w:rsidRPr="00990AED">
              <w:rPr>
                <w:rFonts w:ascii="Calibri Light" w:hAnsi="Calibri Light"/>
                <w:b w:val="0"/>
              </w:rPr>
              <w:t>• Se solicitó disculpas al señor Albornoz por los agravios ocasionados.</w:t>
            </w:r>
          </w:p>
          <w:p w:rsidRPr="00990AED" w:rsidR="006537F3" w:rsidP="00D00033" w:rsidRDefault="006537F3" w14:paraId="3BB9B09C" w14:textId="5DB922DE">
            <w:pPr>
              <w:ind w:left="705" w:firstLine="720"/>
              <w:jc w:val="both"/>
              <w:rPr>
                <w:rFonts w:ascii="Calibri Light" w:hAnsi="Calibri Light"/>
                <w:b w:val="0"/>
                <w:bCs w:val="0"/>
              </w:rPr>
            </w:pPr>
          </w:p>
          <w:p w:rsidRPr="00A63ADA" w:rsidR="006537F3" w:rsidP="006537F3" w:rsidRDefault="006537F3" w14:paraId="227B8274" w14:textId="58EC95D0">
            <w:pPr>
              <w:jc w:val="both"/>
              <w:rPr>
                <w:rFonts w:ascii="Calibri Light" w:hAnsi="Calibri Light"/>
                <w:b w:val="0"/>
              </w:rPr>
            </w:pPr>
            <w:r w:rsidRPr="00990AED">
              <w:rPr>
                <w:rFonts w:ascii="Calibri Light" w:hAnsi="Calibri Light"/>
                <w:b w:val="0"/>
              </w:rPr>
              <w:t>La Comisión declaró el cumplimiento total del asunto en el Informe de Solución Amistosa No. 137/17 de fecha 25 de octubre de 2017.</w:t>
            </w:r>
          </w:p>
          <w:p w:rsidR="005A56A3" w:rsidP="00BB23CB" w:rsidRDefault="005A56A3" w14:paraId="29A72846" w14:textId="77777777">
            <w:pPr>
              <w:jc w:val="both"/>
              <w:rPr>
                <w:rFonts w:ascii="Calibri Light" w:hAnsi="Calibri Light"/>
                <w:bCs w:val="0"/>
              </w:rPr>
            </w:pPr>
          </w:p>
          <w:p w:rsidR="005A56A3" w:rsidP="00BB23CB" w:rsidRDefault="005A56A3" w14:paraId="4CE30E45" w14:textId="39811FA1">
            <w:pPr>
              <w:jc w:val="both"/>
              <w:rPr>
                <w:rFonts w:ascii="Calibri Light" w:hAnsi="Calibri Light"/>
                <w:b w:val="0"/>
              </w:rPr>
            </w:pPr>
          </w:p>
        </w:tc>
      </w:tr>
    </w:tbl>
    <w:p w:rsidR="00E947E0" w:rsidP="00E947E0" w:rsidRDefault="00E947E0" w14:paraId="2646B773" w14:textId="77777777"/>
    <w:p w:rsidR="000E3417" w:rsidRDefault="000E3417" w14:paraId="01F86E61" w14:textId="77777777"/>
    <w:sectPr w:rsidR="000E3417" w:rsidSect="00A65231">
      <w:footerReference w:type="default" r:id="rId12"/>
      <w:pgSz w:w="11907" w:h="16839" w:orient="portrait"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EF4" w:rsidP="00327907" w:rsidRDefault="005B0EF4" w14:paraId="15005CC9" w14:textId="77777777">
      <w:pPr>
        <w:spacing w:after="0" w:line="240" w:lineRule="auto"/>
      </w:pPr>
      <w:r>
        <w:separator/>
      </w:r>
    </w:p>
  </w:endnote>
  <w:endnote w:type="continuationSeparator" w:id="0">
    <w:p w:rsidR="005B0EF4" w:rsidP="00327907" w:rsidRDefault="005B0EF4" w14:paraId="3D9AB6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rsidR="00A65231" w:rsidRDefault="00BB24EC" w14:paraId="23D4BE21" w14:textId="3063F4B5">
        <w:pPr>
          <w:pStyle w:val="Footer"/>
          <w:jc w:val="right"/>
        </w:pPr>
        <w:r>
          <w:fldChar w:fldCharType="begin"/>
        </w:r>
        <w:r>
          <w:instrText>PAGE   \* MERGEFORMAT</w:instrText>
        </w:r>
        <w:r>
          <w:fldChar w:fldCharType="separate"/>
        </w:r>
        <w:r w:rsidRPr="00DF6CC4" w:rsidR="00DF6CC4">
          <w:rPr>
            <w:noProof/>
            <w:lang w:val="es-ES"/>
          </w:rPr>
          <w:t>3</w:t>
        </w:r>
        <w:r>
          <w:fldChar w:fldCharType="end"/>
        </w:r>
      </w:p>
    </w:sdtContent>
  </w:sdt>
  <w:p w:rsidR="00A65231" w:rsidRDefault="00990AED" w14:paraId="338ECC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EF4" w:rsidP="00327907" w:rsidRDefault="005B0EF4" w14:paraId="5C2015F7" w14:textId="77777777">
      <w:pPr>
        <w:spacing w:after="0" w:line="240" w:lineRule="auto"/>
      </w:pPr>
      <w:r>
        <w:separator/>
      </w:r>
    </w:p>
  </w:footnote>
  <w:footnote w:type="continuationSeparator" w:id="0">
    <w:p w:rsidR="005B0EF4" w:rsidP="00327907" w:rsidRDefault="005B0EF4" w14:paraId="1418693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88"/>
    <w:multiLevelType w:val="hybridMultilevel"/>
    <w:tmpl w:val="0D2CD2A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 w15:restartNumberingAfterBreak="0">
    <w:nsid w:val="0D1A5EBA"/>
    <w:multiLevelType w:val="hybridMultilevel"/>
    <w:tmpl w:val="79648A48"/>
    <w:lvl w:ilvl="0" w:tplc="8B723BE2">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F162C00"/>
    <w:multiLevelType w:val="hybridMultilevel"/>
    <w:tmpl w:val="7C2C2EAA"/>
    <w:lvl w:ilvl="0" w:tplc="280A0001">
      <w:start w:val="1"/>
      <w:numFmt w:val="bullet"/>
      <w:lvlText w:val=""/>
      <w:lvlJc w:val="left"/>
      <w:pPr>
        <w:ind w:left="765" w:hanging="360"/>
      </w:pPr>
      <w:rPr>
        <w:rFonts w:hint="default" w:ascii="Symbol" w:hAnsi="Symbol"/>
      </w:rPr>
    </w:lvl>
    <w:lvl w:ilvl="1" w:tplc="280A0003" w:tentative="1">
      <w:start w:val="1"/>
      <w:numFmt w:val="bullet"/>
      <w:lvlText w:val="o"/>
      <w:lvlJc w:val="left"/>
      <w:pPr>
        <w:ind w:left="1485" w:hanging="360"/>
      </w:pPr>
      <w:rPr>
        <w:rFonts w:hint="default" w:ascii="Courier New" w:hAnsi="Courier New" w:cs="Courier New"/>
      </w:rPr>
    </w:lvl>
    <w:lvl w:ilvl="2" w:tplc="280A0005" w:tentative="1">
      <w:start w:val="1"/>
      <w:numFmt w:val="bullet"/>
      <w:lvlText w:val=""/>
      <w:lvlJc w:val="left"/>
      <w:pPr>
        <w:ind w:left="2205" w:hanging="360"/>
      </w:pPr>
      <w:rPr>
        <w:rFonts w:hint="default" w:ascii="Wingdings" w:hAnsi="Wingdings"/>
      </w:rPr>
    </w:lvl>
    <w:lvl w:ilvl="3" w:tplc="280A0001" w:tentative="1">
      <w:start w:val="1"/>
      <w:numFmt w:val="bullet"/>
      <w:lvlText w:val=""/>
      <w:lvlJc w:val="left"/>
      <w:pPr>
        <w:ind w:left="2925" w:hanging="360"/>
      </w:pPr>
      <w:rPr>
        <w:rFonts w:hint="default" w:ascii="Symbol" w:hAnsi="Symbol"/>
      </w:rPr>
    </w:lvl>
    <w:lvl w:ilvl="4" w:tplc="280A0003" w:tentative="1">
      <w:start w:val="1"/>
      <w:numFmt w:val="bullet"/>
      <w:lvlText w:val="o"/>
      <w:lvlJc w:val="left"/>
      <w:pPr>
        <w:ind w:left="3645" w:hanging="360"/>
      </w:pPr>
      <w:rPr>
        <w:rFonts w:hint="default" w:ascii="Courier New" w:hAnsi="Courier New" w:cs="Courier New"/>
      </w:rPr>
    </w:lvl>
    <w:lvl w:ilvl="5" w:tplc="280A0005" w:tentative="1">
      <w:start w:val="1"/>
      <w:numFmt w:val="bullet"/>
      <w:lvlText w:val=""/>
      <w:lvlJc w:val="left"/>
      <w:pPr>
        <w:ind w:left="4365" w:hanging="360"/>
      </w:pPr>
      <w:rPr>
        <w:rFonts w:hint="default" w:ascii="Wingdings" w:hAnsi="Wingdings"/>
      </w:rPr>
    </w:lvl>
    <w:lvl w:ilvl="6" w:tplc="280A0001" w:tentative="1">
      <w:start w:val="1"/>
      <w:numFmt w:val="bullet"/>
      <w:lvlText w:val=""/>
      <w:lvlJc w:val="left"/>
      <w:pPr>
        <w:ind w:left="5085" w:hanging="360"/>
      </w:pPr>
      <w:rPr>
        <w:rFonts w:hint="default" w:ascii="Symbol" w:hAnsi="Symbol"/>
      </w:rPr>
    </w:lvl>
    <w:lvl w:ilvl="7" w:tplc="280A0003" w:tentative="1">
      <w:start w:val="1"/>
      <w:numFmt w:val="bullet"/>
      <w:lvlText w:val="o"/>
      <w:lvlJc w:val="left"/>
      <w:pPr>
        <w:ind w:left="5805" w:hanging="360"/>
      </w:pPr>
      <w:rPr>
        <w:rFonts w:hint="default" w:ascii="Courier New" w:hAnsi="Courier New" w:cs="Courier New"/>
      </w:rPr>
    </w:lvl>
    <w:lvl w:ilvl="8" w:tplc="280A0005" w:tentative="1">
      <w:start w:val="1"/>
      <w:numFmt w:val="bullet"/>
      <w:lvlText w:val=""/>
      <w:lvlJc w:val="left"/>
      <w:pPr>
        <w:ind w:left="6525" w:hanging="360"/>
      </w:pPr>
      <w:rPr>
        <w:rFonts w:hint="default" w:ascii="Wingdings" w:hAnsi="Wingdings"/>
      </w:rPr>
    </w:lvl>
  </w:abstractNum>
  <w:abstractNum w:abstractNumId="3" w15:restartNumberingAfterBreak="0">
    <w:nsid w:val="3D81334F"/>
    <w:multiLevelType w:val="hybridMultilevel"/>
    <w:tmpl w:val="F51A70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8D1013BC"/>
    <w:lvl w:ilvl="0" w:tplc="280A0001">
      <w:start w:val="1"/>
      <w:numFmt w:val="bullet"/>
      <w:lvlText w:val=""/>
      <w:lvlJc w:val="left"/>
      <w:pPr>
        <w:ind w:left="360" w:hanging="360"/>
      </w:pPr>
      <w:rPr>
        <w:rFonts w:hint="default" w:ascii="Symbol" w:hAnsi="Symbol"/>
      </w:rPr>
    </w:lvl>
    <w:lvl w:ilvl="1" w:tplc="280A0003" w:tentative="1">
      <w:start w:val="1"/>
      <w:numFmt w:val="bullet"/>
      <w:lvlText w:val="o"/>
      <w:lvlJc w:val="left"/>
      <w:pPr>
        <w:ind w:left="1080" w:hanging="360"/>
      </w:pPr>
      <w:rPr>
        <w:rFonts w:hint="default" w:ascii="Courier New" w:hAnsi="Courier New" w:cs="Courier New"/>
      </w:rPr>
    </w:lvl>
    <w:lvl w:ilvl="2" w:tplc="280A0005" w:tentative="1">
      <w:start w:val="1"/>
      <w:numFmt w:val="bullet"/>
      <w:lvlText w:val=""/>
      <w:lvlJc w:val="left"/>
      <w:pPr>
        <w:ind w:left="1800" w:hanging="360"/>
      </w:pPr>
      <w:rPr>
        <w:rFonts w:hint="default" w:ascii="Wingdings" w:hAnsi="Wingdings"/>
      </w:rPr>
    </w:lvl>
    <w:lvl w:ilvl="3" w:tplc="280A0001" w:tentative="1">
      <w:start w:val="1"/>
      <w:numFmt w:val="bullet"/>
      <w:lvlText w:val=""/>
      <w:lvlJc w:val="left"/>
      <w:pPr>
        <w:ind w:left="2520" w:hanging="360"/>
      </w:pPr>
      <w:rPr>
        <w:rFonts w:hint="default" w:ascii="Symbol" w:hAnsi="Symbol"/>
      </w:rPr>
    </w:lvl>
    <w:lvl w:ilvl="4" w:tplc="280A0003" w:tentative="1">
      <w:start w:val="1"/>
      <w:numFmt w:val="bullet"/>
      <w:lvlText w:val="o"/>
      <w:lvlJc w:val="left"/>
      <w:pPr>
        <w:ind w:left="3240" w:hanging="360"/>
      </w:pPr>
      <w:rPr>
        <w:rFonts w:hint="default" w:ascii="Courier New" w:hAnsi="Courier New" w:cs="Courier New"/>
      </w:rPr>
    </w:lvl>
    <w:lvl w:ilvl="5" w:tplc="280A0005" w:tentative="1">
      <w:start w:val="1"/>
      <w:numFmt w:val="bullet"/>
      <w:lvlText w:val=""/>
      <w:lvlJc w:val="left"/>
      <w:pPr>
        <w:ind w:left="3960" w:hanging="360"/>
      </w:pPr>
      <w:rPr>
        <w:rFonts w:hint="default" w:ascii="Wingdings" w:hAnsi="Wingdings"/>
      </w:rPr>
    </w:lvl>
    <w:lvl w:ilvl="6" w:tplc="280A0001" w:tentative="1">
      <w:start w:val="1"/>
      <w:numFmt w:val="bullet"/>
      <w:lvlText w:val=""/>
      <w:lvlJc w:val="left"/>
      <w:pPr>
        <w:ind w:left="4680" w:hanging="360"/>
      </w:pPr>
      <w:rPr>
        <w:rFonts w:hint="default" w:ascii="Symbol" w:hAnsi="Symbol"/>
      </w:rPr>
    </w:lvl>
    <w:lvl w:ilvl="7" w:tplc="280A0003" w:tentative="1">
      <w:start w:val="1"/>
      <w:numFmt w:val="bullet"/>
      <w:lvlText w:val="o"/>
      <w:lvlJc w:val="left"/>
      <w:pPr>
        <w:ind w:left="5400" w:hanging="360"/>
      </w:pPr>
      <w:rPr>
        <w:rFonts w:hint="default" w:ascii="Courier New" w:hAnsi="Courier New" w:cs="Courier New"/>
      </w:rPr>
    </w:lvl>
    <w:lvl w:ilvl="8" w:tplc="280A0005" w:tentative="1">
      <w:start w:val="1"/>
      <w:numFmt w:val="bullet"/>
      <w:lvlText w:val=""/>
      <w:lvlJc w:val="left"/>
      <w:pPr>
        <w:ind w:left="6120" w:hanging="360"/>
      </w:pPr>
      <w:rPr>
        <w:rFonts w:hint="default" w:ascii="Wingdings" w:hAnsi="Wingdings"/>
      </w:rPr>
    </w:lvl>
  </w:abstractNum>
  <w:abstractNum w:abstractNumId="5" w15:restartNumberingAfterBreak="0">
    <w:nsid w:val="7C4073BB"/>
    <w:multiLevelType w:val="hybridMultilevel"/>
    <w:tmpl w:val="4DF2B732"/>
    <w:lvl w:ilvl="0" w:tplc="B734E762">
      <w:start w:val="1"/>
      <w:numFmt w:val="upperLetter"/>
      <w:lvlText w:val="%1."/>
      <w:lvlJc w:val="left"/>
      <w:pPr>
        <w:ind w:left="1785" w:hanging="360"/>
      </w:pPr>
      <w:rPr>
        <w:rFonts w:hint="default"/>
        <w:b/>
      </w:r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num w:numId="1" w16cid:durableId="1529219168">
    <w:abstractNumId w:val="3"/>
  </w:num>
  <w:num w:numId="2" w16cid:durableId="1615598694">
    <w:abstractNumId w:val="1"/>
  </w:num>
  <w:num w:numId="3" w16cid:durableId="1481649435">
    <w:abstractNumId w:val="4"/>
  </w:num>
  <w:num w:numId="4" w16cid:durableId="1432239932">
    <w:abstractNumId w:val="0"/>
  </w:num>
  <w:num w:numId="5" w16cid:durableId="1563833227">
    <w:abstractNumId w:val="2"/>
  </w:num>
  <w:num w:numId="6" w16cid:durableId="5440220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E0"/>
    <w:rsid w:val="000E3417"/>
    <w:rsid w:val="000F1253"/>
    <w:rsid w:val="00110640"/>
    <w:rsid w:val="00122D16"/>
    <w:rsid w:val="001353E9"/>
    <w:rsid w:val="001574FF"/>
    <w:rsid w:val="00161F34"/>
    <w:rsid w:val="0018611B"/>
    <w:rsid w:val="001C7274"/>
    <w:rsid w:val="001F7053"/>
    <w:rsid w:val="0029090E"/>
    <w:rsid w:val="00327907"/>
    <w:rsid w:val="00333225"/>
    <w:rsid w:val="003E4300"/>
    <w:rsid w:val="004A5D60"/>
    <w:rsid w:val="004B0C35"/>
    <w:rsid w:val="004B71D3"/>
    <w:rsid w:val="005A56A3"/>
    <w:rsid w:val="005B0EF4"/>
    <w:rsid w:val="005E265E"/>
    <w:rsid w:val="0061193D"/>
    <w:rsid w:val="0064288B"/>
    <w:rsid w:val="006537F3"/>
    <w:rsid w:val="00680B38"/>
    <w:rsid w:val="00727046"/>
    <w:rsid w:val="007A2527"/>
    <w:rsid w:val="007C4239"/>
    <w:rsid w:val="00952C06"/>
    <w:rsid w:val="00990AED"/>
    <w:rsid w:val="009A16FD"/>
    <w:rsid w:val="009B3EEB"/>
    <w:rsid w:val="00A63ADA"/>
    <w:rsid w:val="00AC56FC"/>
    <w:rsid w:val="00B037E5"/>
    <w:rsid w:val="00B51A64"/>
    <w:rsid w:val="00B75333"/>
    <w:rsid w:val="00B76AFE"/>
    <w:rsid w:val="00B772E6"/>
    <w:rsid w:val="00BB23CB"/>
    <w:rsid w:val="00BB24EC"/>
    <w:rsid w:val="00BD0721"/>
    <w:rsid w:val="00C653F0"/>
    <w:rsid w:val="00CD2314"/>
    <w:rsid w:val="00CD4B8A"/>
    <w:rsid w:val="00D00033"/>
    <w:rsid w:val="00D072DA"/>
    <w:rsid w:val="00D45B02"/>
    <w:rsid w:val="00D46BEA"/>
    <w:rsid w:val="00D76D67"/>
    <w:rsid w:val="00DA5197"/>
    <w:rsid w:val="00DA6941"/>
    <w:rsid w:val="00DF6CC4"/>
    <w:rsid w:val="00E353C9"/>
    <w:rsid w:val="00E87835"/>
    <w:rsid w:val="00E947E0"/>
    <w:rsid w:val="00F4538C"/>
    <w:rsid w:val="50D80A4C"/>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0B3AE"/>
  <w15:docId w15:val="{AF2E59E2-DA07-40FC-9AB1-EDA7884FC9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47E0"/>
    <w:rPr>
      <w:rFonts w:ascii="Calibri" w:hAnsi="Calibri" w:eastAsia="Calibri" w:cs="Times New Roman"/>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947E0"/>
    <w:pPr>
      <w:tabs>
        <w:tab w:val="center" w:pos="4419"/>
        <w:tab w:val="right" w:pos="8838"/>
      </w:tabs>
      <w:spacing w:after="0" w:line="240" w:lineRule="auto"/>
    </w:pPr>
  </w:style>
  <w:style w:type="character" w:styleId="HeaderChar" w:customStyle="1">
    <w:name w:val="Header Char"/>
    <w:basedOn w:val="DefaultParagraphFont"/>
    <w:link w:val="Header"/>
    <w:uiPriority w:val="99"/>
    <w:rsid w:val="00E947E0"/>
    <w:rPr>
      <w:rFonts w:ascii="Calibri" w:hAnsi="Calibri" w:eastAsia="Calibri" w:cs="Times New Roman"/>
      <w:lang w:val="es-MX"/>
    </w:rPr>
  </w:style>
  <w:style w:type="paragraph" w:styleId="ListParagraph">
    <w:name w:val="List Paragraph"/>
    <w:basedOn w:val="Normal"/>
    <w:uiPriority w:val="34"/>
    <w:qFormat/>
    <w:rsid w:val="00E947E0"/>
    <w:pPr>
      <w:ind w:left="720"/>
      <w:contextualSpacing/>
    </w:pPr>
  </w:style>
  <w:style w:type="paragraph" w:styleId="Footer">
    <w:name w:val="footer"/>
    <w:basedOn w:val="Normal"/>
    <w:link w:val="FooterChar"/>
    <w:uiPriority w:val="99"/>
    <w:unhideWhenUsed/>
    <w:rsid w:val="00E947E0"/>
    <w:pPr>
      <w:tabs>
        <w:tab w:val="center" w:pos="4419"/>
        <w:tab w:val="right" w:pos="8838"/>
      </w:tabs>
      <w:spacing w:after="0" w:line="240" w:lineRule="auto"/>
    </w:pPr>
  </w:style>
  <w:style w:type="character" w:styleId="FooterChar" w:customStyle="1">
    <w:name w:val="Footer Char"/>
    <w:basedOn w:val="DefaultParagraphFont"/>
    <w:link w:val="Footer"/>
    <w:uiPriority w:val="99"/>
    <w:rsid w:val="00E947E0"/>
    <w:rPr>
      <w:rFonts w:ascii="Calibri" w:hAnsi="Calibri" w:eastAsia="Calibri" w:cs="Times New Roman"/>
      <w:lang w:val="es-MX"/>
    </w:rPr>
  </w:style>
  <w:style w:type="table" w:styleId="Tabladelista2-nfasis11" w:customStyle="1">
    <w:name w:val="Tabla de lista 2 - Énfasis 11"/>
    <w:basedOn w:val="TableNormal"/>
    <w:uiPriority w:val="47"/>
    <w:rsid w:val="00E947E0"/>
    <w:pPr>
      <w:spacing w:after="0" w:line="240" w:lineRule="auto"/>
    </w:p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E947E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947E0"/>
    <w:rPr>
      <w:rFonts w:ascii="Tahoma" w:hAnsi="Tahoma" w:eastAsia="Calibri" w:cs="Tahoma"/>
      <w:sz w:val="16"/>
      <w:szCs w:val="16"/>
      <w:lang w:val="es-MX"/>
    </w:rPr>
  </w:style>
  <w:style w:type="character" w:styleId="Hyperlink">
    <w:name w:val="Hyperlink"/>
    <w:basedOn w:val="DefaultParagraphFont"/>
    <w:uiPriority w:val="99"/>
    <w:unhideWhenUsed/>
    <w:rsid w:val="00E94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http://dpp.graduateinstitute.ch/files/live/sites/dpp/files/shared/images/IDEHPUCP%20%20color.jpg"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oas.org/es/cidh/decisiones/2017/PESA12383ES.pdf" TargetMode="External"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glossaryDocument" Target="glossary/document.xml" Id="Rc5488c49c37844a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8fa7b0-5d20-460d-b88e-3ad48cd3eff8}"/>
      </w:docPartPr>
      <w:docPartBody>
        <w:p w14:paraId="50D80A4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Alvira, Dayana</lastModifiedBy>
  <revision>2</revision>
  <dcterms:created xsi:type="dcterms:W3CDTF">2022-06-01T20:18:00.0000000Z</dcterms:created>
  <dcterms:modified xsi:type="dcterms:W3CDTF">2022-06-03T14:46:58.6945192Z</dcterms:modified>
</coreProperties>
</file>