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4FD1" w14:textId="77777777" w:rsidR="001562B0" w:rsidRDefault="001562B0" w:rsidP="001562B0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5CA7C262" wp14:editId="2AD92396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6737003D" wp14:editId="441120B1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601FFBCB" wp14:editId="460B7E40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A37C9" w14:textId="77777777" w:rsidR="00BF4AD8" w:rsidRDefault="00BF4AD8" w:rsidP="001562B0">
      <w:pPr>
        <w:pStyle w:val="Header"/>
        <w:jc w:val="center"/>
        <w:rPr>
          <w:rFonts w:ascii="Calibri Light" w:hAnsi="Calibri Light"/>
          <w:lang w:val="es-PE"/>
        </w:rPr>
      </w:pPr>
    </w:p>
    <w:p w14:paraId="5C237D74" w14:textId="77777777" w:rsidR="00BF4AD8" w:rsidRDefault="00BF4AD8" w:rsidP="001562B0">
      <w:pPr>
        <w:pStyle w:val="Header"/>
        <w:jc w:val="center"/>
        <w:rPr>
          <w:rFonts w:ascii="Calibri Light" w:hAnsi="Calibri Light"/>
          <w:lang w:val="es-PE"/>
        </w:rPr>
      </w:pPr>
    </w:p>
    <w:p w14:paraId="0F76D82D" w14:textId="544AFEF2" w:rsidR="001562B0" w:rsidRPr="00411A74" w:rsidRDefault="001562B0" w:rsidP="001562B0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14:paraId="4D80C177" w14:textId="70921CAF" w:rsidR="000B02DD" w:rsidRDefault="001562B0" w:rsidP="001562B0">
      <w:pPr>
        <w:spacing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>esumen</w:t>
      </w:r>
    </w:p>
    <w:tbl>
      <w:tblPr>
        <w:tblStyle w:val="Tabladelista2-nfasis11"/>
        <w:tblW w:w="0" w:type="auto"/>
        <w:tblLook w:val="04A0" w:firstRow="1" w:lastRow="0" w:firstColumn="1" w:lastColumn="0" w:noHBand="0" w:noVBand="1"/>
      </w:tblPr>
      <w:tblGrid>
        <w:gridCol w:w="3593"/>
        <w:gridCol w:w="2469"/>
        <w:gridCol w:w="2443"/>
      </w:tblGrid>
      <w:tr w:rsidR="005173CF" w:rsidRPr="008464BD" w14:paraId="01A2F61A" w14:textId="77777777" w:rsidTr="00915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7609204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60CE2AC" w14:textId="77777777" w:rsidR="00212F62" w:rsidRPr="008464BD" w:rsidRDefault="007A6C56" w:rsidP="00AC6F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Datos generales</w:t>
            </w:r>
          </w:p>
          <w:p w14:paraId="6C5B323B" w14:textId="6BA3A748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533E5" w:rsidRPr="008464BD" w14:paraId="275AD1EA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3C7EFE0" w14:textId="77777777" w:rsidR="005173CF" w:rsidRPr="008464BD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Nombre del caso</w:t>
            </w:r>
          </w:p>
        </w:tc>
        <w:tc>
          <w:tcPr>
            <w:tcW w:w="5043" w:type="dxa"/>
            <w:gridSpan w:val="2"/>
          </w:tcPr>
          <w:p w14:paraId="084A5991" w14:textId="01BBD780" w:rsidR="005173CF" w:rsidRPr="008464BD" w:rsidRDefault="008464BD" w:rsidP="00A13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 xml:space="preserve">Rubén Darío Arroyave Gallego, </w:t>
            </w:r>
            <w:r w:rsidR="00A5366A" w:rsidRPr="008464BD">
              <w:rPr>
                <w:rFonts w:ascii="Calibri Light" w:hAnsi="Calibri Light"/>
              </w:rPr>
              <w:t>Colombia</w:t>
            </w:r>
          </w:p>
        </w:tc>
      </w:tr>
      <w:tr w:rsidR="00F464EC" w:rsidRPr="008464BD" w14:paraId="59A6A8A1" w14:textId="77777777" w:rsidTr="009157E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7FA9FC90" w14:textId="2366DFE1" w:rsidR="00F464EC" w:rsidRPr="008464BD" w:rsidRDefault="008464BD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Parte peticionaria</w:t>
            </w:r>
          </w:p>
        </w:tc>
        <w:tc>
          <w:tcPr>
            <w:tcW w:w="5043" w:type="dxa"/>
            <w:gridSpan w:val="2"/>
          </w:tcPr>
          <w:p w14:paraId="374B2A68" w14:textId="406AD014" w:rsidR="00F464EC" w:rsidRPr="008464BD" w:rsidRDefault="00A5366A" w:rsidP="00B07E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Centro de Derechos Humanos de Antioquia</w:t>
            </w:r>
          </w:p>
        </w:tc>
      </w:tr>
      <w:tr w:rsidR="005173CF" w:rsidRPr="008464BD" w14:paraId="3A483B4F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233C75C" w14:textId="77777777" w:rsidR="005173CF" w:rsidRPr="008464BD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tcW w:w="5043" w:type="dxa"/>
            <w:gridSpan w:val="2"/>
          </w:tcPr>
          <w:p w14:paraId="77740DF4" w14:textId="14570FF2" w:rsidR="005173CF" w:rsidRPr="008464BD" w:rsidRDefault="00EA4885" w:rsidP="00B07E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2" w:history="1">
              <w:r w:rsidR="00A5366A" w:rsidRPr="008464BD">
                <w:rPr>
                  <w:rStyle w:val="Hyperlink"/>
                  <w:rFonts w:ascii="Calibri Light" w:hAnsi="Calibri Light"/>
                </w:rPr>
                <w:t>Informe No. 135/17</w:t>
              </w:r>
            </w:hyperlink>
          </w:p>
        </w:tc>
      </w:tr>
      <w:tr w:rsidR="004533E5" w:rsidRPr="008464BD" w14:paraId="5EC10F5F" w14:textId="77777777" w:rsidTr="009157E4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00180E4F" w14:textId="77777777" w:rsidR="005173CF" w:rsidRPr="008464BD" w:rsidRDefault="00954E20" w:rsidP="00954E20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 xml:space="preserve">Tipo de informe </w:t>
            </w:r>
          </w:p>
        </w:tc>
        <w:tc>
          <w:tcPr>
            <w:tcW w:w="5043" w:type="dxa"/>
            <w:gridSpan w:val="2"/>
          </w:tcPr>
          <w:p w14:paraId="35E9A08D" w14:textId="33797559" w:rsidR="005173CF" w:rsidRPr="008464BD" w:rsidRDefault="009157E4" w:rsidP="00954E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 xml:space="preserve">Informe de Solución Amistosa </w:t>
            </w:r>
          </w:p>
        </w:tc>
      </w:tr>
      <w:tr w:rsidR="005173CF" w:rsidRPr="008464BD" w14:paraId="7ED5AB61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2F77A84C" w14:textId="77777777" w:rsidR="005173CF" w:rsidRPr="008464BD" w:rsidRDefault="00954E20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Fecha</w:t>
            </w:r>
            <w:r w:rsidR="007A6C56" w:rsidRPr="008464BD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043" w:type="dxa"/>
            <w:gridSpan w:val="2"/>
          </w:tcPr>
          <w:p w14:paraId="1C803DF5" w14:textId="363E44A0" w:rsidR="005173CF" w:rsidRPr="008464BD" w:rsidRDefault="009157E4" w:rsidP="00BB61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25 de octubre de 2017</w:t>
            </w:r>
            <w:r w:rsidR="00954E20" w:rsidRPr="008464BD">
              <w:rPr>
                <w:rFonts w:ascii="Calibri Light" w:hAnsi="Calibri Light"/>
              </w:rPr>
              <w:t xml:space="preserve"> </w:t>
            </w:r>
          </w:p>
        </w:tc>
      </w:tr>
      <w:tr w:rsidR="004533E5" w:rsidRPr="008464BD" w14:paraId="1A0D058F" w14:textId="77777777" w:rsidTr="009157E4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61C9E19" w14:textId="1119002C" w:rsidR="005173CF" w:rsidRPr="008464BD" w:rsidRDefault="00BB61C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Decisiones de la CIDH</w:t>
            </w:r>
            <w:r w:rsidR="007A6C56" w:rsidRPr="008464BD">
              <w:rPr>
                <w:rFonts w:ascii="Calibri Light" w:hAnsi="Calibri Light"/>
              </w:rPr>
              <w:t xml:space="preserve"> </w:t>
            </w:r>
            <w:r w:rsidR="00DD3C7C" w:rsidRPr="008464BD">
              <w:rPr>
                <w:rFonts w:ascii="Calibri Light" w:hAnsi="Calibri Light"/>
              </w:rPr>
              <w:t xml:space="preserve">y/o la Corte IDH, </w:t>
            </w:r>
            <w:r w:rsidR="007A6C56" w:rsidRPr="008464BD">
              <w:rPr>
                <w:rFonts w:ascii="Calibri Light" w:hAnsi="Calibri Light"/>
              </w:rPr>
              <w:t>relacionadas</w:t>
            </w:r>
          </w:p>
        </w:tc>
        <w:tc>
          <w:tcPr>
            <w:tcW w:w="5043" w:type="dxa"/>
            <w:gridSpan w:val="2"/>
          </w:tcPr>
          <w:p w14:paraId="72EA1AA4" w14:textId="4B07D2EC" w:rsidR="00AC6F31" w:rsidRPr="008464BD" w:rsidRDefault="009157E4" w:rsidP="00DD3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Informe No. 69/09 (</w:t>
            </w:r>
            <w:hyperlink r:id="rId13" w:history="1">
              <w:r w:rsidRPr="008464BD">
                <w:rPr>
                  <w:rStyle w:val="Hyperlink"/>
                  <w:rFonts w:ascii="Calibri Light" w:hAnsi="Calibri Light"/>
                </w:rPr>
                <w:t>Admisibilidad</w:t>
              </w:r>
            </w:hyperlink>
            <w:r w:rsidRPr="008464BD">
              <w:rPr>
                <w:rFonts w:ascii="Calibri Light" w:hAnsi="Calibri Light"/>
              </w:rPr>
              <w:t>)</w:t>
            </w:r>
          </w:p>
        </w:tc>
      </w:tr>
      <w:tr w:rsidR="009157E4" w:rsidRPr="008464BD" w14:paraId="570485B4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 w:val="restart"/>
          </w:tcPr>
          <w:p w14:paraId="3FCF8D6E" w14:textId="568477D0" w:rsidR="009157E4" w:rsidRPr="008464BD" w:rsidRDefault="009157E4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Artículos analizados</w:t>
            </w:r>
          </w:p>
        </w:tc>
        <w:tc>
          <w:tcPr>
            <w:tcW w:w="5043" w:type="dxa"/>
            <w:gridSpan w:val="2"/>
          </w:tcPr>
          <w:p w14:paraId="18718B95" w14:textId="23B0F955" w:rsidR="009157E4" w:rsidRPr="008464BD" w:rsidRDefault="009157E4" w:rsidP="00915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 xml:space="preserve">Convención Americana sobre Derechos Humanos </w:t>
            </w:r>
          </w:p>
        </w:tc>
      </w:tr>
      <w:tr w:rsidR="009157E4" w:rsidRPr="008464BD" w14:paraId="03DD0945" w14:textId="615D6FC8" w:rsidTr="009157E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</w:tcPr>
          <w:p w14:paraId="1148C56C" w14:textId="77777777" w:rsidR="009157E4" w:rsidRPr="008464BD" w:rsidRDefault="009157E4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35" w:type="dxa"/>
          </w:tcPr>
          <w:p w14:paraId="2FCA6DA4" w14:textId="1172B616" w:rsidR="009157E4" w:rsidRPr="008464BD" w:rsidRDefault="009157E4" w:rsidP="00915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 xml:space="preserve">Artículos sobre los que se alcanzó un acuerdo </w:t>
            </w:r>
          </w:p>
        </w:tc>
        <w:tc>
          <w:tcPr>
            <w:tcW w:w="2508" w:type="dxa"/>
          </w:tcPr>
          <w:p w14:paraId="58963D06" w14:textId="18411E12" w:rsidR="009157E4" w:rsidRPr="008464BD" w:rsidRDefault="009157E4" w:rsidP="00915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Artículos sobre los que no se alcanzó un acuerdo</w:t>
            </w:r>
          </w:p>
        </w:tc>
      </w:tr>
      <w:tr w:rsidR="009157E4" w:rsidRPr="008464BD" w14:paraId="256CD81D" w14:textId="77629225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</w:tcPr>
          <w:p w14:paraId="3B98FEE1" w14:textId="77777777" w:rsidR="009157E4" w:rsidRPr="008464BD" w:rsidRDefault="009157E4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35" w:type="dxa"/>
          </w:tcPr>
          <w:p w14:paraId="7776D8EC" w14:textId="4D387DAF" w:rsidR="009157E4" w:rsidRPr="008464BD" w:rsidRDefault="009157E4" w:rsidP="009157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n-US"/>
              </w:rPr>
            </w:pPr>
            <w:r w:rsidRPr="008464BD">
              <w:rPr>
                <w:rFonts w:ascii="Calibri Light" w:hAnsi="Calibri Light"/>
                <w:lang w:val="en-US"/>
              </w:rPr>
              <w:t xml:space="preserve">Art. </w:t>
            </w:r>
            <w:r w:rsidR="003C12E0" w:rsidRPr="008464BD">
              <w:rPr>
                <w:rFonts w:ascii="Calibri Light" w:hAnsi="Calibri Light"/>
                <w:lang w:val="en-US"/>
              </w:rPr>
              <w:t xml:space="preserve">1, art. </w:t>
            </w:r>
            <w:r w:rsidRPr="008464BD">
              <w:rPr>
                <w:rFonts w:ascii="Calibri Light" w:hAnsi="Calibri Light"/>
                <w:lang w:val="en-US"/>
              </w:rPr>
              <w:t>3, art. 4, art. 5, art. 7</w:t>
            </w:r>
          </w:p>
        </w:tc>
        <w:tc>
          <w:tcPr>
            <w:tcW w:w="2508" w:type="dxa"/>
          </w:tcPr>
          <w:p w14:paraId="1B8D8BAE" w14:textId="430D965F" w:rsidR="009157E4" w:rsidRPr="008464BD" w:rsidRDefault="009157E4" w:rsidP="00915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PE"/>
              </w:rPr>
            </w:pPr>
            <w:r w:rsidRPr="008464BD">
              <w:rPr>
                <w:rFonts w:ascii="Calibri Light" w:hAnsi="Calibri Light"/>
                <w:lang w:val="es-PE"/>
              </w:rPr>
              <w:t>-</w:t>
            </w:r>
          </w:p>
        </w:tc>
      </w:tr>
      <w:tr w:rsidR="005173CF" w:rsidRPr="008464BD" w14:paraId="54B7813B" w14:textId="77777777" w:rsidTr="009157E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D4895DD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  <w:lang w:val="es-PE"/>
              </w:rPr>
            </w:pPr>
          </w:p>
          <w:p w14:paraId="1ECE5967" w14:textId="77777777" w:rsidR="005173CF" w:rsidRPr="008464BD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Sumilla</w:t>
            </w:r>
          </w:p>
          <w:p w14:paraId="009AFBB8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8464BD" w14:paraId="6B670455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3C967CD" w14:textId="172985AD" w:rsidR="00AC6F31" w:rsidRPr="008464BD" w:rsidRDefault="00AC6F31" w:rsidP="00931244">
            <w:pPr>
              <w:jc w:val="both"/>
              <w:rPr>
                <w:rFonts w:ascii="Calibri Light" w:hAnsi="Calibri Light"/>
                <w:b w:val="0"/>
              </w:rPr>
            </w:pPr>
          </w:p>
          <w:p w14:paraId="79B8E9BD" w14:textId="5E1B84B8" w:rsidR="00E474AC" w:rsidRPr="008464BD" w:rsidRDefault="002750D4" w:rsidP="00E474AC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>El caso trata sobre el secuestro</w:t>
            </w:r>
            <w:r w:rsidR="00E474AC" w:rsidRPr="008464BD">
              <w:rPr>
                <w:rFonts w:ascii="Calibri Light" w:hAnsi="Calibri Light"/>
                <w:b w:val="0"/>
              </w:rPr>
              <w:t xml:space="preserve"> y muerte de Rubén Arroyave Gallego, una persona con discapacidad que se encontraba recluida en un centro penitenciario por haber cometido hurto agravado. Si bien los hechos fueron atribuidos a un grupo paramilitar ilegal, se alegó que el Estado no había tomado acciones para prevenir el secuestro y perseguir a los captores. La investigación penal fue inicialmente archivada y los recursos para obtener una reparación directa fueron rechazados. </w:t>
            </w:r>
          </w:p>
          <w:p w14:paraId="1EE5A7E7" w14:textId="0228FE85" w:rsidR="00E474AC" w:rsidRPr="008464BD" w:rsidRDefault="00E474AC" w:rsidP="00E474AC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7A6C56" w:rsidRPr="008464BD" w14:paraId="238A2196" w14:textId="77777777" w:rsidTr="009157E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76D9AAF2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6E7AC4B8" w14:textId="77777777" w:rsidR="007A6C56" w:rsidRPr="008464BD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Palabras clave</w:t>
            </w:r>
          </w:p>
          <w:p w14:paraId="6A1E32A7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8464BD" w14:paraId="34AE2D45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11A1841" w14:textId="77777777" w:rsidR="00AC6F31" w:rsidRPr="008464BD" w:rsidRDefault="00AC6F31" w:rsidP="005D4FDF">
            <w:pPr>
              <w:jc w:val="both"/>
              <w:rPr>
                <w:rFonts w:ascii="Calibri Light" w:hAnsi="Calibri Light"/>
                <w:b w:val="0"/>
              </w:rPr>
            </w:pPr>
          </w:p>
          <w:p w14:paraId="0DF4FAF4" w14:textId="14DD1C1D" w:rsidR="00E54A64" w:rsidRPr="008464BD" w:rsidRDefault="00E54A64" w:rsidP="005D4FDF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>Grupos paramilitares, Integridad personal, Libertad personal, Personalidad jurídica, Personas con discapacidad, Vida</w:t>
            </w:r>
          </w:p>
          <w:p w14:paraId="05374712" w14:textId="38607452" w:rsidR="00AC6F31" w:rsidRPr="008464BD" w:rsidRDefault="00AC6F31" w:rsidP="009157E4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5173CF" w:rsidRPr="008464BD" w14:paraId="69044E7B" w14:textId="77777777" w:rsidTr="009157E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3949460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77FF988" w14:textId="77777777" w:rsidR="005173CF" w:rsidRPr="008464BD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Hechos</w:t>
            </w:r>
          </w:p>
          <w:p w14:paraId="190B7E98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5173CF" w:rsidRPr="008464BD" w14:paraId="6F58DE83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B7ED9CD" w14:textId="2A3FE1E6" w:rsidR="00AC6F31" w:rsidRPr="008464BD" w:rsidRDefault="00AC6F31" w:rsidP="00C61AE4">
            <w:pPr>
              <w:jc w:val="both"/>
              <w:rPr>
                <w:rFonts w:ascii="Calibri Light" w:hAnsi="Calibri Light"/>
                <w:b w:val="0"/>
              </w:rPr>
            </w:pPr>
          </w:p>
          <w:p w14:paraId="57212B13" w14:textId="4F1CECB1" w:rsidR="005219C0" w:rsidRPr="008464BD" w:rsidRDefault="005219C0" w:rsidP="00C61AE4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El señor Arroyave era una persona con </w:t>
            </w:r>
            <w:r w:rsidR="00BE324E" w:rsidRPr="008464BD">
              <w:rPr>
                <w:rFonts w:ascii="Calibri Light" w:hAnsi="Calibri Light"/>
                <w:b w:val="0"/>
              </w:rPr>
              <w:t xml:space="preserve">una </w:t>
            </w:r>
            <w:r w:rsidRPr="008464BD">
              <w:rPr>
                <w:rFonts w:ascii="Calibri Light" w:hAnsi="Calibri Light"/>
                <w:b w:val="0"/>
              </w:rPr>
              <w:t xml:space="preserve">discapacidad, </w:t>
            </w:r>
            <w:r w:rsidR="00BE324E" w:rsidRPr="008464BD">
              <w:rPr>
                <w:rFonts w:ascii="Calibri Light" w:hAnsi="Calibri Light"/>
                <w:b w:val="0"/>
              </w:rPr>
              <w:t xml:space="preserve">producida como </w:t>
            </w:r>
            <w:r w:rsidRPr="008464BD">
              <w:rPr>
                <w:rFonts w:ascii="Calibri Light" w:hAnsi="Calibri Light"/>
                <w:b w:val="0"/>
              </w:rPr>
              <w:t>consecuencia de unos disparos de bala que recibió mientras era oficial de las Fuerzas Armadas</w:t>
            </w:r>
            <w:r w:rsidR="00093152" w:rsidRPr="008464BD">
              <w:rPr>
                <w:rFonts w:ascii="Calibri Light" w:hAnsi="Calibri Light"/>
                <w:b w:val="0"/>
              </w:rPr>
              <w:t>. Esta le ocasionaba “crisis de comportamiento”, en una de las cuales</w:t>
            </w:r>
            <w:r w:rsidRPr="008464BD">
              <w:rPr>
                <w:rFonts w:ascii="Calibri Light" w:hAnsi="Calibri Light"/>
                <w:b w:val="0"/>
              </w:rPr>
              <w:t xml:space="preserve"> cometió </w:t>
            </w:r>
            <w:r w:rsidR="00093152" w:rsidRPr="008464BD">
              <w:rPr>
                <w:rFonts w:ascii="Calibri Light" w:hAnsi="Calibri Light"/>
                <w:b w:val="0"/>
              </w:rPr>
              <w:t>el delito de hurto agravado;</w:t>
            </w:r>
            <w:r w:rsidR="004442E4" w:rsidRPr="008464BD">
              <w:rPr>
                <w:rFonts w:ascii="Calibri Light" w:hAnsi="Calibri Light"/>
                <w:b w:val="0"/>
              </w:rPr>
              <w:t xml:space="preserve"> por el</w:t>
            </w:r>
            <w:r w:rsidR="00093152" w:rsidRPr="008464BD">
              <w:rPr>
                <w:rFonts w:ascii="Calibri Light" w:hAnsi="Calibri Light"/>
                <w:b w:val="0"/>
              </w:rPr>
              <w:t xml:space="preserve"> cual fue condenado y recluido en un centro penitenciario</w:t>
            </w:r>
            <w:r w:rsidR="00AC7272" w:rsidRPr="008464BD">
              <w:rPr>
                <w:rFonts w:ascii="Calibri Light" w:hAnsi="Calibri Light"/>
                <w:b w:val="0"/>
              </w:rPr>
              <w:t xml:space="preserve"> </w:t>
            </w:r>
            <w:r w:rsidR="00BE324E" w:rsidRPr="008464BD">
              <w:rPr>
                <w:rFonts w:ascii="Calibri Light" w:hAnsi="Calibri Light"/>
                <w:b w:val="0"/>
              </w:rPr>
              <w:t>de</w:t>
            </w:r>
            <w:r w:rsidR="00AC7272" w:rsidRPr="008464BD">
              <w:rPr>
                <w:rFonts w:ascii="Calibri Light" w:hAnsi="Calibri Light"/>
                <w:b w:val="0"/>
              </w:rPr>
              <w:t>l municipio de El Bagre</w:t>
            </w:r>
            <w:r w:rsidR="00093152" w:rsidRPr="008464BD">
              <w:rPr>
                <w:rFonts w:ascii="Calibri Light" w:hAnsi="Calibri Light"/>
                <w:b w:val="0"/>
              </w:rPr>
              <w:t xml:space="preserve">. </w:t>
            </w:r>
            <w:r w:rsidR="00BE324E" w:rsidRPr="008464BD">
              <w:rPr>
                <w:rFonts w:ascii="Calibri Light" w:hAnsi="Calibri Light"/>
                <w:b w:val="0"/>
              </w:rPr>
              <w:t>El establecimiento no</w:t>
            </w:r>
            <w:r w:rsidR="00093152" w:rsidRPr="008464BD">
              <w:rPr>
                <w:rFonts w:ascii="Calibri Light" w:hAnsi="Calibri Light"/>
                <w:b w:val="0"/>
              </w:rPr>
              <w:t xml:space="preserve"> contaba con personal médico ni condiciones para atender las </w:t>
            </w:r>
            <w:r w:rsidR="00093152" w:rsidRPr="008464BD">
              <w:rPr>
                <w:rFonts w:ascii="Calibri Light" w:hAnsi="Calibri Light"/>
                <w:b w:val="0"/>
              </w:rPr>
              <w:lastRenderedPageBreak/>
              <w:t xml:space="preserve">particularidades de su discapacidad. Asimismo, el señor Arroyave había denunciado </w:t>
            </w:r>
            <w:proofErr w:type="gramStart"/>
            <w:r w:rsidR="00093152" w:rsidRPr="008464BD">
              <w:rPr>
                <w:rFonts w:ascii="Calibri Light" w:hAnsi="Calibri Light"/>
                <w:b w:val="0"/>
              </w:rPr>
              <w:t>que</w:t>
            </w:r>
            <w:proofErr w:type="gramEnd"/>
            <w:r w:rsidR="00093152" w:rsidRPr="008464BD">
              <w:rPr>
                <w:rFonts w:ascii="Calibri Light" w:hAnsi="Calibri Light"/>
                <w:b w:val="0"/>
              </w:rPr>
              <w:t xml:space="preserve"> en vista de su anterior ocupación, su vida corría peligro y había pedido su traslado. </w:t>
            </w:r>
          </w:p>
          <w:p w14:paraId="58D8A3EF" w14:textId="77777777" w:rsidR="004442E4" w:rsidRPr="008464BD" w:rsidRDefault="004442E4" w:rsidP="00C61AE4">
            <w:pPr>
              <w:jc w:val="both"/>
              <w:rPr>
                <w:rFonts w:ascii="Calibri Light" w:hAnsi="Calibri Light"/>
                <w:b w:val="0"/>
              </w:rPr>
            </w:pPr>
          </w:p>
          <w:p w14:paraId="0A15EBEF" w14:textId="1810C1B6" w:rsidR="004442E4" w:rsidRPr="008464BD" w:rsidRDefault="004442E4" w:rsidP="00C61AE4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>En este contexto, e</w:t>
            </w:r>
            <w:r w:rsidR="00AC7272" w:rsidRPr="008464BD">
              <w:rPr>
                <w:rFonts w:ascii="Calibri Light" w:hAnsi="Calibri Light"/>
                <w:b w:val="0"/>
              </w:rPr>
              <w:t xml:space="preserve">l 20 de septiembre </w:t>
            </w:r>
            <w:r w:rsidRPr="008464BD">
              <w:rPr>
                <w:rFonts w:ascii="Calibri Light" w:hAnsi="Calibri Light"/>
                <w:b w:val="0"/>
              </w:rPr>
              <w:t xml:space="preserve">de 1995, fue secuestrado por un grupo ilegal no identificado. Posteriormente, </w:t>
            </w:r>
            <w:r w:rsidR="00BE324E" w:rsidRPr="008464BD">
              <w:rPr>
                <w:rFonts w:ascii="Calibri Light" w:hAnsi="Calibri Light"/>
                <w:b w:val="0"/>
              </w:rPr>
              <w:t>fue</w:t>
            </w:r>
            <w:r w:rsidRPr="008464BD">
              <w:rPr>
                <w:rFonts w:ascii="Calibri Light" w:hAnsi="Calibri Light"/>
                <w:b w:val="0"/>
              </w:rPr>
              <w:t xml:space="preserve"> encontr</w:t>
            </w:r>
            <w:r w:rsidR="00BE324E" w:rsidRPr="008464BD">
              <w:rPr>
                <w:rFonts w:ascii="Calibri Light" w:hAnsi="Calibri Light"/>
                <w:b w:val="0"/>
              </w:rPr>
              <w:t>ado muerto e</w:t>
            </w:r>
            <w:r w:rsidRPr="008464BD">
              <w:rPr>
                <w:rFonts w:ascii="Calibri Light" w:hAnsi="Calibri Light"/>
                <w:b w:val="0"/>
              </w:rPr>
              <w:t>n el municipio de Zaragoza. Según los peticionarios, las autoridades estatales no habían tomado acciones para prevenir su secuestro o perseguir a sus captores luego del secuestro</w:t>
            </w:r>
            <w:r w:rsidR="00AC7272" w:rsidRPr="008464BD">
              <w:rPr>
                <w:rFonts w:ascii="Calibri Light" w:hAnsi="Calibri Light"/>
                <w:b w:val="0"/>
              </w:rPr>
              <w:t>, y para la fecha en que se presentó la petición, no habían identificado ni procesado a los responsables</w:t>
            </w:r>
            <w:r w:rsidRPr="008464BD">
              <w:rPr>
                <w:rFonts w:ascii="Calibri Light" w:hAnsi="Calibri Light"/>
                <w:b w:val="0"/>
              </w:rPr>
              <w:t xml:space="preserve">. </w:t>
            </w:r>
            <w:r w:rsidR="00AC7272" w:rsidRPr="008464BD">
              <w:rPr>
                <w:rFonts w:ascii="Calibri Light" w:hAnsi="Calibri Light"/>
                <w:b w:val="0"/>
              </w:rPr>
              <w:t xml:space="preserve">Una investigación penal fue iniciada de oficio el 21 de septiembre de 1995. No obstante, fue archivada debido a la falta de indicios o elementos probatorios. De otra parte, el 11 de septiembre de 1997, se presentó una acción de reparación directa, la cual fue desestimada el 2 de junio de 2005 por la Sala Cuarta del Tribunal Administrativo de Antioquía. Frente a esta decisión, se interpusieron los recursos de apelación y queja, y una acción de tutela. Sin embargo, tampoco se obtuvo una respuesta favorable. </w:t>
            </w:r>
          </w:p>
          <w:p w14:paraId="18F89FF0" w14:textId="77777777" w:rsidR="005219C0" w:rsidRPr="008464BD" w:rsidRDefault="005219C0" w:rsidP="00C61AE4">
            <w:pPr>
              <w:jc w:val="both"/>
              <w:rPr>
                <w:rFonts w:ascii="Calibri Light" w:hAnsi="Calibri Light"/>
                <w:b w:val="0"/>
              </w:rPr>
            </w:pPr>
          </w:p>
          <w:p w14:paraId="56BF760F" w14:textId="0F9D3736" w:rsidR="00C61AE4" w:rsidRPr="008464BD" w:rsidRDefault="008027F7" w:rsidP="00C61AE4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Frente a estos hechos, el 12 de diciembre de 2006, el Centro de Derechos Humanos de Antioquía presentó una petición a la CIDH alegando la violación </w:t>
            </w:r>
            <w:r w:rsidR="00BD1CE0" w:rsidRPr="008464BD">
              <w:rPr>
                <w:rFonts w:ascii="Calibri Light" w:hAnsi="Calibri Light"/>
                <w:b w:val="0"/>
              </w:rPr>
              <w:t>de los derechos</w:t>
            </w:r>
            <w:r w:rsidR="005219C0" w:rsidRPr="008464BD">
              <w:rPr>
                <w:rFonts w:ascii="Calibri Light" w:hAnsi="Calibri Light"/>
                <w:b w:val="0"/>
              </w:rPr>
              <w:t xml:space="preserve"> a la vida, a las garantías judiciales y a la protección judicial, reconocidos en la Convención Americana sobre Derechos Humanos (en adelante, CADH).  </w:t>
            </w:r>
          </w:p>
          <w:p w14:paraId="6543A68A" w14:textId="5A3999A9" w:rsidR="00E474AC" w:rsidRPr="008464BD" w:rsidRDefault="00E474AC" w:rsidP="00C61AE4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F55CD0" w:rsidRPr="008464BD" w14:paraId="75AF89E9" w14:textId="77777777" w:rsidTr="009157E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14AA2A23" w14:textId="77777777" w:rsidR="00AC6F31" w:rsidRPr="008464BD" w:rsidRDefault="00AC6F31" w:rsidP="00F55CD0">
            <w:pPr>
              <w:jc w:val="center"/>
              <w:rPr>
                <w:rFonts w:ascii="Calibri Light" w:hAnsi="Calibri Light"/>
              </w:rPr>
            </w:pPr>
          </w:p>
          <w:p w14:paraId="5F1F3517" w14:textId="3C52C701" w:rsidR="00F55CD0" w:rsidRPr="008464BD" w:rsidRDefault="00A4435A" w:rsidP="009157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 xml:space="preserve">Acuerdo de </w:t>
            </w:r>
            <w:r w:rsidR="00220B75" w:rsidRPr="008464BD">
              <w:rPr>
                <w:rFonts w:ascii="Calibri Light" w:hAnsi="Calibri Light"/>
              </w:rPr>
              <w:t>Solución</w:t>
            </w:r>
            <w:r w:rsidR="009157E4" w:rsidRPr="008464BD">
              <w:rPr>
                <w:rFonts w:ascii="Calibri Light" w:hAnsi="Calibri Light"/>
              </w:rPr>
              <w:t xml:space="preserve"> Amistosa</w:t>
            </w:r>
            <w:r w:rsidR="000E3747">
              <w:rPr>
                <w:rFonts w:ascii="Calibri Light" w:hAnsi="Calibri Light"/>
              </w:rPr>
              <w:t xml:space="preserve"> (ASA)</w:t>
            </w:r>
          </w:p>
          <w:p w14:paraId="3F5D3463" w14:textId="77777777" w:rsidR="00AC6F31" w:rsidRPr="008464BD" w:rsidRDefault="00AC6F31" w:rsidP="00F55CD0">
            <w:pPr>
              <w:jc w:val="center"/>
              <w:rPr>
                <w:rFonts w:ascii="Calibri Light" w:hAnsi="Calibri Light"/>
              </w:rPr>
            </w:pPr>
          </w:p>
        </w:tc>
      </w:tr>
      <w:tr w:rsidR="00F55CD0" w:rsidRPr="008464BD" w14:paraId="4D321633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1807E4F" w14:textId="66FE4AB1" w:rsidR="00AC6F31" w:rsidRPr="008464BD" w:rsidRDefault="00AC6F31" w:rsidP="004F061A">
            <w:pPr>
              <w:jc w:val="both"/>
              <w:rPr>
                <w:rFonts w:ascii="Calibri Light" w:hAnsi="Calibri Light"/>
                <w:b w:val="0"/>
              </w:rPr>
            </w:pPr>
          </w:p>
          <w:p w14:paraId="0CB8511C" w14:textId="43C127EB" w:rsidR="003C12E0" w:rsidRPr="008464BD" w:rsidRDefault="003C12E0" w:rsidP="003C12E0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>Mediante el acuerdo de solución amistosa suscrito por las partes el 15 de agosto de 2017, estas manifestaron lo siguiente:</w:t>
            </w:r>
          </w:p>
          <w:p w14:paraId="26F6D1BE" w14:textId="2C7173A0" w:rsidR="006407DD" w:rsidRPr="008464BD" w:rsidRDefault="002F63C0" w:rsidP="004F061A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 </w:t>
            </w:r>
          </w:p>
          <w:p w14:paraId="176D7CEC" w14:textId="2D3ECD2E" w:rsidR="002F63C0" w:rsidRPr="008464BD" w:rsidRDefault="002F63C0" w:rsidP="002F63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Los peticionarios reconocieron y aceptaron que la </w:t>
            </w:r>
            <w:r w:rsidR="00BD1CE0" w:rsidRPr="008464BD">
              <w:rPr>
                <w:rFonts w:ascii="Calibri Light" w:hAnsi="Calibri Light"/>
                <w:b w:val="0"/>
              </w:rPr>
              <w:t>fiscalía general</w:t>
            </w:r>
            <w:r w:rsidRPr="008464BD">
              <w:rPr>
                <w:rFonts w:ascii="Calibri Light" w:hAnsi="Calibri Light"/>
                <w:b w:val="0"/>
              </w:rPr>
              <w:t xml:space="preserve"> de la Nación cumplió razonablemente </w:t>
            </w:r>
            <w:r w:rsidR="00AA2C87" w:rsidRPr="008464BD">
              <w:rPr>
                <w:rFonts w:ascii="Calibri Light" w:hAnsi="Calibri Light"/>
                <w:b w:val="0"/>
              </w:rPr>
              <w:t xml:space="preserve">con la obligación de investigar los hechos </w:t>
            </w:r>
            <w:r w:rsidR="000E3747" w:rsidRPr="008464BD">
              <w:rPr>
                <w:rFonts w:ascii="Calibri Light" w:hAnsi="Calibri Light"/>
                <w:b w:val="0"/>
              </w:rPr>
              <w:t>de acuerdo con el</w:t>
            </w:r>
            <w:r w:rsidR="00AA2C87" w:rsidRPr="008464BD">
              <w:rPr>
                <w:rFonts w:ascii="Calibri Light" w:hAnsi="Calibri Light"/>
                <w:b w:val="0"/>
              </w:rPr>
              <w:t xml:space="preserve"> estándar establecido por la jurisprudencia de la Corte IDH. </w:t>
            </w:r>
          </w:p>
          <w:p w14:paraId="42A774EB" w14:textId="77777777" w:rsidR="00AA2C87" w:rsidRPr="008464BD" w:rsidRDefault="00AA2C87" w:rsidP="00AA2C87">
            <w:pPr>
              <w:pStyle w:val="ListParagraph"/>
              <w:ind w:left="360"/>
              <w:jc w:val="both"/>
              <w:rPr>
                <w:rFonts w:ascii="Calibri Light" w:hAnsi="Calibri Light"/>
              </w:rPr>
            </w:pPr>
          </w:p>
          <w:p w14:paraId="205D9EF2" w14:textId="303B3B60" w:rsidR="00AA2C87" w:rsidRPr="008464BD" w:rsidRDefault="00AA2C87" w:rsidP="002F63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El Estado reconoció su responsabilidad internacional por omitir garantizar los derechos a la personalidad jurídica, a la vida, a la integridad personal y a la libertad personal del señor Arroyave, reconocidos respectivamente en los artículos 3, 4, 5 y 7 de la CADH, </w:t>
            </w:r>
            <w:r w:rsidR="00BD1CE0" w:rsidRPr="008464BD">
              <w:rPr>
                <w:rFonts w:ascii="Calibri Light" w:hAnsi="Calibri Light"/>
                <w:b w:val="0"/>
              </w:rPr>
              <w:t>en relación con</w:t>
            </w:r>
            <w:r w:rsidRPr="008464BD">
              <w:rPr>
                <w:rFonts w:ascii="Calibri Light" w:hAnsi="Calibri Light"/>
                <w:b w:val="0"/>
              </w:rPr>
              <w:t xml:space="preserve"> la obligación general establecida en el artículo 1.1. </w:t>
            </w:r>
          </w:p>
          <w:p w14:paraId="40A9D39F" w14:textId="77777777" w:rsidR="00AA2C87" w:rsidRPr="008464BD" w:rsidRDefault="00AA2C87" w:rsidP="00AA2C87">
            <w:pPr>
              <w:pStyle w:val="ListParagraph"/>
              <w:rPr>
                <w:rFonts w:ascii="Calibri Light" w:hAnsi="Calibri Light"/>
              </w:rPr>
            </w:pPr>
          </w:p>
          <w:p w14:paraId="3F1FC3DD" w14:textId="4D44F4C2" w:rsidR="00AA2C87" w:rsidRPr="008464BD" w:rsidRDefault="001D0498" w:rsidP="002F63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El Estado también reconoció su responsabilidad internacional por la violación del derecho a la integridad personal, reconocido en el artículo 5 de la CADH, en perjuicio de los familiares del señor Arroyave. </w:t>
            </w:r>
          </w:p>
          <w:p w14:paraId="667E599A" w14:textId="77777777" w:rsidR="001D0498" w:rsidRPr="008464BD" w:rsidRDefault="001D0498" w:rsidP="001D0498">
            <w:pPr>
              <w:pStyle w:val="ListParagraph"/>
              <w:rPr>
                <w:rFonts w:ascii="Calibri Light" w:hAnsi="Calibri Light"/>
              </w:rPr>
            </w:pPr>
          </w:p>
          <w:p w14:paraId="33628B14" w14:textId="5D16DD0E" w:rsidR="001D0498" w:rsidRPr="008464BD" w:rsidRDefault="001D0498" w:rsidP="002F63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  <w:b w:val="0"/>
              </w:rPr>
              <w:t>Asimismo, se comprometió a adoptar las siguientes medidas</w:t>
            </w:r>
            <w:r w:rsidR="00E54A64" w:rsidRPr="008464BD">
              <w:rPr>
                <w:rFonts w:ascii="Calibri Light" w:hAnsi="Calibri Light"/>
                <w:b w:val="0"/>
              </w:rPr>
              <w:t xml:space="preserve"> de reparación</w:t>
            </w:r>
            <w:r w:rsidRPr="008464BD">
              <w:rPr>
                <w:rFonts w:ascii="Calibri Light" w:hAnsi="Calibri Light"/>
                <w:b w:val="0"/>
              </w:rPr>
              <w:t>:</w:t>
            </w:r>
          </w:p>
          <w:p w14:paraId="44845B17" w14:textId="77777777" w:rsidR="001D0498" w:rsidRPr="008464BD" w:rsidRDefault="001D0498" w:rsidP="001D0498">
            <w:pPr>
              <w:pStyle w:val="ListParagraph"/>
              <w:rPr>
                <w:rFonts w:ascii="Calibri Light" w:hAnsi="Calibri Light"/>
              </w:rPr>
            </w:pPr>
          </w:p>
          <w:p w14:paraId="595D927B" w14:textId="63386099" w:rsidR="001D0498" w:rsidRPr="008464BD" w:rsidRDefault="001D0498" w:rsidP="001D04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Realizar un acto de reconocimiento de responsabilidad privado, en el que hará entrega de una carta de disculpas a la familia del señor Arroyave. </w:t>
            </w:r>
          </w:p>
          <w:p w14:paraId="30812F3F" w14:textId="316164FD" w:rsidR="001D0498" w:rsidRPr="008464BD" w:rsidRDefault="001D0498" w:rsidP="001D049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Aplicar la Ley 288 de 1996 </w:t>
            </w:r>
            <w:r w:rsidR="00BD1CE0" w:rsidRPr="008464BD">
              <w:rPr>
                <w:rFonts w:ascii="Calibri Light" w:hAnsi="Calibri Light"/>
                <w:b w:val="0"/>
              </w:rPr>
              <w:t>para reparar</w:t>
            </w:r>
            <w:r w:rsidRPr="008464BD">
              <w:rPr>
                <w:rFonts w:ascii="Calibri Light" w:hAnsi="Calibri Light"/>
                <w:b w:val="0"/>
              </w:rPr>
              <w:t xml:space="preserve"> los perjuicios inmateriales que se prueben que aún no hayan sido indemnizados por la jurisdicción </w:t>
            </w:r>
            <w:r w:rsidR="000E3747" w:rsidRPr="008464BD">
              <w:rPr>
                <w:rFonts w:ascii="Calibri Light" w:hAnsi="Calibri Light"/>
                <w:b w:val="0"/>
              </w:rPr>
              <w:t>contencioso-administrativa</w:t>
            </w:r>
            <w:r w:rsidRPr="008464BD">
              <w:rPr>
                <w:rFonts w:ascii="Calibri Light" w:hAnsi="Calibri Light"/>
                <w:b w:val="0"/>
              </w:rPr>
              <w:t xml:space="preserve">. </w:t>
            </w:r>
          </w:p>
          <w:p w14:paraId="6A4AA894" w14:textId="34F23777" w:rsidR="00676230" w:rsidRPr="008464BD" w:rsidRDefault="00676230" w:rsidP="004F061A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5173CF" w:rsidRPr="008464BD" w14:paraId="7B81A2F3" w14:textId="77777777" w:rsidTr="009157E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4B448BEC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FB8AB09" w14:textId="4DB301F3" w:rsidR="005173CF" w:rsidRPr="008464BD" w:rsidRDefault="009157E4" w:rsidP="003E6A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</w:rPr>
              <w:t>Determinación de compatibilidad y cumplimiento</w:t>
            </w:r>
          </w:p>
          <w:p w14:paraId="158A739A" w14:textId="77777777" w:rsidR="00AC6F31" w:rsidRPr="008464BD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5173CF" w:rsidRPr="008464BD" w14:paraId="71AB3B44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6AC653F" w14:textId="77777777" w:rsidR="00AC6F31" w:rsidRPr="008464BD" w:rsidRDefault="00AC6F31" w:rsidP="00AC6F31">
            <w:pPr>
              <w:pStyle w:val="ListParagraph"/>
              <w:ind w:left="360"/>
              <w:jc w:val="both"/>
              <w:rPr>
                <w:rFonts w:ascii="Calibri Light" w:hAnsi="Calibri Light"/>
                <w:b w:val="0"/>
              </w:rPr>
            </w:pPr>
          </w:p>
          <w:p w14:paraId="1AC0655D" w14:textId="77777777" w:rsidR="001D0498" w:rsidRPr="008464BD" w:rsidRDefault="001D0498" w:rsidP="00E54A64">
            <w:pPr>
              <w:jc w:val="both"/>
              <w:rPr>
                <w:rFonts w:ascii="Calibri Light" w:hAnsi="Calibri Light"/>
                <w:b w:val="0"/>
              </w:rPr>
            </w:pPr>
            <w:r w:rsidRPr="008464BD">
              <w:rPr>
                <w:rFonts w:ascii="Calibri Light" w:hAnsi="Calibri Light"/>
                <w:b w:val="0"/>
              </w:rPr>
              <w:t>A partir de la información suministrada por las partes, la CIDH determinó:</w:t>
            </w:r>
          </w:p>
          <w:p w14:paraId="7BF370AA" w14:textId="77777777" w:rsidR="00E54A64" w:rsidRPr="008464BD" w:rsidRDefault="00E54A64" w:rsidP="00E54A64">
            <w:pPr>
              <w:jc w:val="both"/>
              <w:rPr>
                <w:rFonts w:ascii="Calibri Light" w:hAnsi="Calibri Light"/>
                <w:b w:val="0"/>
              </w:rPr>
            </w:pPr>
          </w:p>
          <w:p w14:paraId="67E14C6E" w14:textId="77777777" w:rsidR="00E54A64" w:rsidRPr="008464BD" w:rsidRDefault="00E54A64" w:rsidP="00E54A6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Aprobar los términos del acuerdo suscrito por las partes del día 15 de agosto de 2017. </w:t>
            </w:r>
          </w:p>
          <w:p w14:paraId="23C5355F" w14:textId="77777777" w:rsidR="00E54A64" w:rsidRPr="008464BD" w:rsidRDefault="00E54A64" w:rsidP="00E54A6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Declarar pendiente de cumplimiento las medidas de reparación. </w:t>
            </w:r>
          </w:p>
          <w:p w14:paraId="3E8D89CD" w14:textId="77777777" w:rsidR="00E54A64" w:rsidRPr="008464BD" w:rsidRDefault="00E54A64" w:rsidP="00E54A6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 Light" w:hAnsi="Calibri Light"/>
              </w:rPr>
            </w:pPr>
            <w:r w:rsidRPr="008464BD">
              <w:rPr>
                <w:rFonts w:ascii="Calibri Light" w:hAnsi="Calibri Light"/>
                <w:b w:val="0"/>
              </w:rPr>
              <w:t xml:space="preserve">Continuar con la supervisión de los compromisos pendientes de cumplimiento por parte del Estado, para lo cual solicitó a las partes informar periódicamente sobre esta materia y presentar un plan de cumplimiento que incluya una calendarización de las acciones dirigidas a su implementación. </w:t>
            </w:r>
          </w:p>
          <w:p w14:paraId="5AA471B6" w14:textId="09773DE1" w:rsidR="00E54A64" w:rsidRPr="008464BD" w:rsidRDefault="00E54A64" w:rsidP="00E54A64">
            <w:pPr>
              <w:pStyle w:val="ListParagraph"/>
              <w:jc w:val="both"/>
              <w:rPr>
                <w:rFonts w:ascii="Calibri Light" w:hAnsi="Calibri Light"/>
              </w:rPr>
            </w:pPr>
          </w:p>
        </w:tc>
      </w:tr>
      <w:tr w:rsidR="00BD1CE0" w:rsidRPr="008464BD" w14:paraId="6B7B387B" w14:textId="77777777" w:rsidTr="00BD1CE0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7A08844F" w14:textId="77777777" w:rsidR="00BD1CE0" w:rsidRPr="00553D35" w:rsidRDefault="00BD1CE0" w:rsidP="00553D35">
            <w:pPr>
              <w:pStyle w:val="ListParagraph"/>
              <w:ind w:left="360"/>
              <w:jc w:val="center"/>
              <w:rPr>
                <w:rFonts w:ascii="Calibri Light" w:hAnsi="Calibri Light"/>
              </w:rPr>
            </w:pPr>
          </w:p>
          <w:p w14:paraId="014AF7FE" w14:textId="77777777" w:rsidR="001F6BD5" w:rsidRPr="009E10DB" w:rsidRDefault="001F6BD5" w:rsidP="001F6BD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  <w:bCs w:val="0"/>
              </w:rPr>
            </w:pPr>
            <w:r w:rsidRPr="009E10DB">
              <w:rPr>
                <w:rFonts w:ascii="Calibri Light" w:hAnsi="Calibri Light"/>
                <w:bCs w:val="0"/>
              </w:rPr>
              <w:t>Impactos individuales y estructurales del ASA</w:t>
            </w:r>
          </w:p>
          <w:p w14:paraId="0FE551AE" w14:textId="357269A0" w:rsidR="00553D35" w:rsidRPr="00553D35" w:rsidRDefault="00553D35" w:rsidP="001F6BD5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BD1CE0" w:rsidRPr="008464BD" w14:paraId="5D208AD4" w14:textId="77777777" w:rsidTr="0091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19015E40" w14:textId="77777777" w:rsidR="001F6BD5" w:rsidRPr="001F6BD5" w:rsidRDefault="001F6BD5" w:rsidP="00553D35">
            <w:pPr>
              <w:jc w:val="both"/>
              <w:rPr>
                <w:rFonts w:ascii="Calibri Light" w:hAnsi="Calibri Light"/>
              </w:rPr>
            </w:pPr>
          </w:p>
          <w:p w14:paraId="441A5AAE" w14:textId="50384023" w:rsidR="00BD1CE0" w:rsidRPr="001F6BD5" w:rsidRDefault="0051281D" w:rsidP="00553D35">
            <w:pPr>
              <w:jc w:val="both"/>
              <w:rPr>
                <w:rFonts w:ascii="Calibri Light" w:hAnsi="Calibri Light"/>
              </w:rPr>
            </w:pPr>
            <w:r w:rsidRPr="001F6BD5">
              <w:rPr>
                <w:rFonts w:ascii="Calibri Light" w:hAnsi="Calibri Light"/>
                <w:b w:val="0"/>
                <w:bCs w:val="0"/>
              </w:rPr>
              <w:t>En el marco del seguimiento de la implementación del acuerdo de solución amistosa, a fecha 31 de diciembre de 2021, la Comisión ha identificado los siguientes impactos individuales derivados del cumplimiento de este:</w:t>
            </w:r>
          </w:p>
          <w:p w14:paraId="176C242A" w14:textId="4E7B5B84" w:rsidR="0051281D" w:rsidRPr="001F6BD5" w:rsidRDefault="0051281D" w:rsidP="00553D35">
            <w:pPr>
              <w:jc w:val="both"/>
              <w:rPr>
                <w:rFonts w:ascii="Calibri Light" w:hAnsi="Calibri Light"/>
              </w:rPr>
            </w:pPr>
          </w:p>
          <w:p w14:paraId="659758F1" w14:textId="77777777" w:rsidR="00193F33" w:rsidRPr="001F6BD5" w:rsidRDefault="00193F33" w:rsidP="00193F33">
            <w:pPr>
              <w:ind w:left="705" w:firstLine="720"/>
              <w:jc w:val="both"/>
              <w:rPr>
                <w:rFonts w:ascii="Calibri Light" w:hAnsi="Calibri Light"/>
              </w:rPr>
            </w:pPr>
            <w:r w:rsidRPr="001F6BD5">
              <w:rPr>
                <w:rFonts w:ascii="Calibri Light" w:hAnsi="Calibri Light"/>
              </w:rPr>
              <w:t>A.</w:t>
            </w:r>
            <w:r w:rsidRPr="001F6BD5">
              <w:rPr>
                <w:rFonts w:ascii="Calibri Light" w:hAnsi="Calibri Light"/>
              </w:rPr>
              <w:tab/>
              <w:t>Resultados individuales del caso</w:t>
            </w:r>
          </w:p>
          <w:p w14:paraId="7A3C1154" w14:textId="77777777" w:rsidR="00193F33" w:rsidRPr="001F6BD5" w:rsidRDefault="00193F33" w:rsidP="00193F33">
            <w:pPr>
              <w:ind w:left="705" w:firstLine="720"/>
              <w:jc w:val="both"/>
              <w:rPr>
                <w:rFonts w:ascii="Calibri Light" w:hAnsi="Calibri Light"/>
              </w:rPr>
            </w:pPr>
          </w:p>
          <w:p w14:paraId="6D72C8D7" w14:textId="2A498F3C" w:rsidR="00193F33" w:rsidRPr="001F6BD5" w:rsidRDefault="00193F33" w:rsidP="00193F33">
            <w:pPr>
              <w:ind w:left="705" w:firstLine="720"/>
              <w:jc w:val="both"/>
              <w:rPr>
                <w:rFonts w:ascii="Calibri Light" w:hAnsi="Calibri Light"/>
              </w:rPr>
            </w:pPr>
            <w:r w:rsidRPr="001F6BD5">
              <w:rPr>
                <w:rFonts w:ascii="Calibri Light" w:hAnsi="Calibri Light"/>
                <w:b w:val="0"/>
                <w:bCs w:val="0"/>
              </w:rPr>
              <w:t>•</w:t>
            </w:r>
            <w:r w:rsidRPr="001F6BD5">
              <w:rPr>
                <w:rFonts w:ascii="Calibri Light" w:hAnsi="Calibri Light"/>
                <w:b w:val="0"/>
                <w:bCs w:val="0"/>
              </w:rPr>
              <w:tab/>
              <w:t>El Estado realizó el acto de reconocimiento de responsabilidad.</w:t>
            </w:r>
          </w:p>
          <w:p w14:paraId="6308B5F4" w14:textId="77777777" w:rsidR="001E7214" w:rsidRPr="001F6BD5" w:rsidRDefault="001E7214" w:rsidP="00193F33">
            <w:pPr>
              <w:ind w:left="705" w:firstLine="720"/>
              <w:jc w:val="both"/>
              <w:rPr>
                <w:rFonts w:ascii="Calibri Light" w:hAnsi="Calibri Light"/>
                <w:b w:val="0"/>
                <w:bCs w:val="0"/>
              </w:rPr>
            </w:pPr>
          </w:p>
          <w:p w14:paraId="54946F99" w14:textId="68BE699C" w:rsidR="0051281D" w:rsidRPr="00E41D2B" w:rsidRDefault="001E7214" w:rsidP="00553D35">
            <w:pPr>
              <w:jc w:val="both"/>
              <w:rPr>
                <w:rFonts w:ascii="Calibri Light" w:hAnsi="Calibri Light"/>
                <w:b w:val="0"/>
                <w:bCs w:val="0"/>
              </w:rPr>
            </w:pPr>
            <w:r w:rsidRPr="001F6BD5">
              <w:rPr>
                <w:rFonts w:ascii="Calibri Light" w:hAnsi="Calibri Light"/>
                <w:b w:val="0"/>
                <w:bCs w:val="0"/>
              </w:rPr>
              <w:t>La Comisión concluye que</w:t>
            </w:r>
            <w:r w:rsidR="00E41D2B" w:rsidRPr="001F6BD5">
              <w:rPr>
                <w:rFonts w:ascii="Calibri Light" w:hAnsi="Calibri Light"/>
                <w:b w:val="0"/>
                <w:bCs w:val="0"/>
              </w:rPr>
              <w:t>,</w:t>
            </w:r>
            <w:r w:rsidRPr="001F6BD5">
              <w:rPr>
                <w:rFonts w:ascii="Calibri Light" w:hAnsi="Calibri Light"/>
                <w:b w:val="0"/>
                <w:bCs w:val="0"/>
              </w:rPr>
              <w:t xml:space="preserve"> el acuerdo de solución amistosa </w:t>
            </w:r>
            <w:r w:rsidR="00981DEA" w:rsidRPr="001F6BD5">
              <w:rPr>
                <w:rFonts w:ascii="Calibri Light" w:hAnsi="Calibri Light"/>
                <w:b w:val="0"/>
                <w:bCs w:val="0"/>
              </w:rPr>
              <w:t>se encuentra</w:t>
            </w:r>
            <w:r w:rsidRPr="001F6BD5">
              <w:rPr>
                <w:rFonts w:ascii="Calibri Light" w:hAnsi="Calibri Light"/>
                <w:b w:val="0"/>
                <w:bCs w:val="0"/>
              </w:rPr>
              <w:t xml:space="preserve"> parcialmente cumplido </w:t>
            </w:r>
            <w:r w:rsidR="00981DEA" w:rsidRPr="001F6BD5">
              <w:rPr>
                <w:rFonts w:ascii="Calibri Light" w:hAnsi="Calibri Light"/>
                <w:b w:val="0"/>
                <w:bCs w:val="0"/>
              </w:rPr>
              <w:t>por lo que continuará el seguimiento de la implementación</w:t>
            </w:r>
            <w:r w:rsidRPr="001F6BD5">
              <w:rPr>
                <w:rFonts w:ascii="Calibri Light" w:hAnsi="Calibri Light"/>
                <w:b w:val="0"/>
                <w:bCs w:val="0"/>
              </w:rPr>
              <w:t xml:space="preserve"> de la cláusula tercera del acuerdo</w:t>
            </w:r>
            <w:r w:rsidR="00981DEA" w:rsidRPr="001F6BD5">
              <w:rPr>
                <w:rFonts w:ascii="Calibri Light" w:hAnsi="Calibri Light"/>
                <w:b w:val="0"/>
                <w:bCs w:val="0"/>
              </w:rPr>
              <w:t xml:space="preserve"> </w:t>
            </w:r>
            <w:r w:rsidR="00E41D2B" w:rsidRPr="001F6BD5">
              <w:rPr>
                <w:rFonts w:ascii="Calibri Light" w:hAnsi="Calibri Light"/>
                <w:b w:val="0"/>
                <w:bCs w:val="0"/>
              </w:rPr>
              <w:t>hasta su total cumplimiento.</w:t>
            </w:r>
            <w:r w:rsidR="00E41D2B" w:rsidRPr="00E41D2B">
              <w:rPr>
                <w:rFonts w:ascii="Calibri Light" w:hAnsi="Calibri Light"/>
                <w:b w:val="0"/>
                <w:bCs w:val="0"/>
              </w:rPr>
              <w:t xml:space="preserve"> </w:t>
            </w:r>
          </w:p>
          <w:p w14:paraId="40A38B37" w14:textId="4215ACD6" w:rsidR="0051281D" w:rsidRPr="0051281D" w:rsidRDefault="0051281D" w:rsidP="00553D35">
            <w:pPr>
              <w:jc w:val="both"/>
              <w:rPr>
                <w:rFonts w:ascii="Calibri Light" w:hAnsi="Calibri Light"/>
                <w:b w:val="0"/>
                <w:bCs w:val="0"/>
              </w:rPr>
            </w:pPr>
          </w:p>
        </w:tc>
      </w:tr>
    </w:tbl>
    <w:p w14:paraId="23A9A3C3" w14:textId="77777777" w:rsidR="00714E42" w:rsidRPr="008464BD" w:rsidRDefault="00714E42" w:rsidP="00A65231">
      <w:pPr>
        <w:rPr>
          <w:rFonts w:ascii="Calibri Light" w:hAnsi="Calibri Light"/>
        </w:rPr>
      </w:pPr>
    </w:p>
    <w:sectPr w:rsidR="00714E42" w:rsidRPr="008464BD" w:rsidSect="00A65231">
      <w:foot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1E9E" w14:textId="77777777" w:rsidR="00EA4885" w:rsidRDefault="00EA4885" w:rsidP="00A65231">
      <w:pPr>
        <w:spacing w:after="0" w:line="240" w:lineRule="auto"/>
      </w:pPr>
      <w:r>
        <w:separator/>
      </w:r>
    </w:p>
  </w:endnote>
  <w:endnote w:type="continuationSeparator" w:id="0">
    <w:p w14:paraId="7C1673DF" w14:textId="77777777" w:rsidR="00EA4885" w:rsidRDefault="00EA4885" w:rsidP="00A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1937"/>
      <w:docPartObj>
        <w:docPartGallery w:val="Page Numbers (Bottom of Page)"/>
        <w:docPartUnique/>
      </w:docPartObj>
    </w:sdtPr>
    <w:sdtEndPr/>
    <w:sdtContent>
      <w:p w14:paraId="23A746CC" w14:textId="77777777" w:rsidR="00A65231" w:rsidRDefault="00A652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F5" w:rsidRPr="00630EF5">
          <w:rPr>
            <w:noProof/>
            <w:lang w:val="es-ES"/>
          </w:rPr>
          <w:t>1</w:t>
        </w:r>
        <w:r>
          <w:fldChar w:fldCharType="end"/>
        </w:r>
      </w:p>
    </w:sdtContent>
  </w:sdt>
  <w:p w14:paraId="6353BB13" w14:textId="77777777" w:rsidR="00A65231" w:rsidRDefault="00A6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1921" w14:textId="77777777" w:rsidR="00EA4885" w:rsidRDefault="00EA4885" w:rsidP="00A65231">
      <w:pPr>
        <w:spacing w:after="0" w:line="240" w:lineRule="auto"/>
      </w:pPr>
      <w:r>
        <w:separator/>
      </w:r>
    </w:p>
  </w:footnote>
  <w:footnote w:type="continuationSeparator" w:id="0">
    <w:p w14:paraId="14FF2462" w14:textId="77777777" w:rsidR="00EA4885" w:rsidRDefault="00EA4885" w:rsidP="00A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EA"/>
    <w:multiLevelType w:val="hybridMultilevel"/>
    <w:tmpl w:val="D53A98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A5EBA"/>
    <w:multiLevelType w:val="hybridMultilevel"/>
    <w:tmpl w:val="794CFCEE"/>
    <w:lvl w:ilvl="0" w:tplc="D6EE0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D7A96"/>
    <w:multiLevelType w:val="hybridMultilevel"/>
    <w:tmpl w:val="2CAAC4E8"/>
    <w:lvl w:ilvl="0" w:tplc="8F367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1456F"/>
    <w:multiLevelType w:val="hybridMultilevel"/>
    <w:tmpl w:val="DE342F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A010C"/>
    <w:multiLevelType w:val="hybridMultilevel"/>
    <w:tmpl w:val="8D1013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46FB2"/>
    <w:multiLevelType w:val="hybridMultilevel"/>
    <w:tmpl w:val="7BB2EC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A22F4"/>
    <w:multiLevelType w:val="hybridMultilevel"/>
    <w:tmpl w:val="C1A0C3E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5016"/>
    <w:multiLevelType w:val="hybridMultilevel"/>
    <w:tmpl w:val="6592F6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F0003"/>
    <w:multiLevelType w:val="hybridMultilevel"/>
    <w:tmpl w:val="2ECCC9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767462">
    <w:abstractNumId w:val="7"/>
  </w:num>
  <w:num w:numId="2" w16cid:durableId="700785758">
    <w:abstractNumId w:val="4"/>
  </w:num>
  <w:num w:numId="3" w16cid:durableId="1050763711">
    <w:abstractNumId w:val="1"/>
  </w:num>
  <w:num w:numId="4" w16cid:durableId="1259363691">
    <w:abstractNumId w:val="5"/>
  </w:num>
  <w:num w:numId="5" w16cid:durableId="1485052799">
    <w:abstractNumId w:val="6"/>
  </w:num>
  <w:num w:numId="6" w16cid:durableId="86655673">
    <w:abstractNumId w:val="9"/>
  </w:num>
  <w:num w:numId="7" w16cid:durableId="514927390">
    <w:abstractNumId w:val="2"/>
  </w:num>
  <w:num w:numId="8" w16cid:durableId="1488477940">
    <w:abstractNumId w:val="3"/>
  </w:num>
  <w:num w:numId="9" w16cid:durableId="1089547512">
    <w:abstractNumId w:val="0"/>
  </w:num>
  <w:num w:numId="10" w16cid:durableId="121459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9"/>
    <w:rsid w:val="00093152"/>
    <w:rsid w:val="000A3DB0"/>
    <w:rsid w:val="000B02DD"/>
    <w:rsid w:val="000C2ED1"/>
    <w:rsid w:val="000C5A72"/>
    <w:rsid w:val="000D3CF2"/>
    <w:rsid w:val="000E3747"/>
    <w:rsid w:val="000F2C70"/>
    <w:rsid w:val="00107EA7"/>
    <w:rsid w:val="0014138B"/>
    <w:rsid w:val="001562B0"/>
    <w:rsid w:val="00193F33"/>
    <w:rsid w:val="001A14F7"/>
    <w:rsid w:val="001C28EC"/>
    <w:rsid w:val="001D0498"/>
    <w:rsid w:val="001E7214"/>
    <w:rsid w:val="001F6BD5"/>
    <w:rsid w:val="00212F62"/>
    <w:rsid w:val="00213757"/>
    <w:rsid w:val="0021619A"/>
    <w:rsid w:val="00220B75"/>
    <w:rsid w:val="00256C40"/>
    <w:rsid w:val="002750D4"/>
    <w:rsid w:val="0029671B"/>
    <w:rsid w:val="002F63C0"/>
    <w:rsid w:val="00317EE5"/>
    <w:rsid w:val="003C12E0"/>
    <w:rsid w:val="003D6458"/>
    <w:rsid w:val="003E6AB8"/>
    <w:rsid w:val="00411A74"/>
    <w:rsid w:val="00421D6C"/>
    <w:rsid w:val="004442E4"/>
    <w:rsid w:val="00451809"/>
    <w:rsid w:val="00452AA6"/>
    <w:rsid w:val="004533E5"/>
    <w:rsid w:val="00464CAC"/>
    <w:rsid w:val="004858A8"/>
    <w:rsid w:val="004861D8"/>
    <w:rsid w:val="004B1311"/>
    <w:rsid w:val="004E678F"/>
    <w:rsid w:val="004F061A"/>
    <w:rsid w:val="0051281D"/>
    <w:rsid w:val="005173CF"/>
    <w:rsid w:val="005219C0"/>
    <w:rsid w:val="00553D35"/>
    <w:rsid w:val="00557C90"/>
    <w:rsid w:val="00561359"/>
    <w:rsid w:val="00582614"/>
    <w:rsid w:val="005C3229"/>
    <w:rsid w:val="005D4FDF"/>
    <w:rsid w:val="00630EF5"/>
    <w:rsid w:val="006407DD"/>
    <w:rsid w:val="00676230"/>
    <w:rsid w:val="00685F04"/>
    <w:rsid w:val="006D488A"/>
    <w:rsid w:val="00714E42"/>
    <w:rsid w:val="00747E22"/>
    <w:rsid w:val="0079477F"/>
    <w:rsid w:val="007A6C56"/>
    <w:rsid w:val="007B7ED8"/>
    <w:rsid w:val="007E382B"/>
    <w:rsid w:val="008027F7"/>
    <w:rsid w:val="008036E7"/>
    <w:rsid w:val="0083689F"/>
    <w:rsid w:val="00841B0E"/>
    <w:rsid w:val="008464BD"/>
    <w:rsid w:val="00865442"/>
    <w:rsid w:val="00866A4D"/>
    <w:rsid w:val="0090367F"/>
    <w:rsid w:val="009157E4"/>
    <w:rsid w:val="00931244"/>
    <w:rsid w:val="00954E20"/>
    <w:rsid w:val="00981DEA"/>
    <w:rsid w:val="00987632"/>
    <w:rsid w:val="00A133CC"/>
    <w:rsid w:val="00A232C6"/>
    <w:rsid w:val="00A271BF"/>
    <w:rsid w:val="00A4435A"/>
    <w:rsid w:val="00A5366A"/>
    <w:rsid w:val="00A65231"/>
    <w:rsid w:val="00A91B24"/>
    <w:rsid w:val="00AA27C6"/>
    <w:rsid w:val="00AA2C87"/>
    <w:rsid w:val="00AC6F31"/>
    <w:rsid w:val="00AC7272"/>
    <w:rsid w:val="00B07E72"/>
    <w:rsid w:val="00B4320B"/>
    <w:rsid w:val="00B71B8C"/>
    <w:rsid w:val="00B771B5"/>
    <w:rsid w:val="00B93CB9"/>
    <w:rsid w:val="00BB61C6"/>
    <w:rsid w:val="00BD1CE0"/>
    <w:rsid w:val="00BD48E5"/>
    <w:rsid w:val="00BE324E"/>
    <w:rsid w:val="00BE6FA1"/>
    <w:rsid w:val="00BF4AD8"/>
    <w:rsid w:val="00C31DFF"/>
    <w:rsid w:val="00C61AE4"/>
    <w:rsid w:val="00C63B25"/>
    <w:rsid w:val="00CA50CB"/>
    <w:rsid w:val="00D0696E"/>
    <w:rsid w:val="00D945C3"/>
    <w:rsid w:val="00DD3C7C"/>
    <w:rsid w:val="00DF2AFB"/>
    <w:rsid w:val="00E35FF7"/>
    <w:rsid w:val="00E41D2B"/>
    <w:rsid w:val="00E467B9"/>
    <w:rsid w:val="00E474AC"/>
    <w:rsid w:val="00E54A64"/>
    <w:rsid w:val="00EA4885"/>
    <w:rsid w:val="00F06184"/>
    <w:rsid w:val="00F35633"/>
    <w:rsid w:val="00F464EC"/>
    <w:rsid w:val="00F53444"/>
    <w:rsid w:val="00F55CD0"/>
    <w:rsid w:val="00F725A5"/>
    <w:rsid w:val="00F83405"/>
    <w:rsid w:val="00FB0F60"/>
    <w:rsid w:val="00F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59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59"/>
    <w:rPr>
      <w:rFonts w:ascii="Calibri" w:eastAsia="Calibri" w:hAnsi="Calibri" w:cs="Times New Roman"/>
      <w:lang w:val="es-MX"/>
    </w:rPr>
  </w:style>
  <w:style w:type="table" w:styleId="TableGrid">
    <w:name w:val="Table Grid"/>
    <w:basedOn w:val="TableNormal"/>
    <w:uiPriority w:val="59"/>
    <w:rsid w:val="0051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173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173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3">
    <w:name w:val="Medium Grid 1 Accent 3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A6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31"/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0"/>
    <w:rPr>
      <w:rFonts w:ascii="Tahoma" w:eastAsia="Calibri" w:hAnsi="Tahoma" w:cs="Tahoma"/>
      <w:sz w:val="16"/>
      <w:szCs w:val="16"/>
      <w:lang w:val="es-MX"/>
    </w:rPr>
  </w:style>
  <w:style w:type="table" w:customStyle="1" w:styleId="Tabladelista2-nfasis11">
    <w:name w:val="Tabla de lista 2 - Énfasis 11"/>
    <w:basedOn w:val="TableNormal"/>
    <w:uiPriority w:val="47"/>
    <w:rsid w:val="007B7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1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84"/>
    <w:rPr>
      <w:rFonts w:ascii="Calibri" w:eastAsia="Calibri" w:hAnsi="Calibri" w:cs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84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A5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dh.oas.org/annualrep/2009sp/Colombia1385-06.s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cidh/decisiones/2017/COSA12712E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pp.graduateinstitute.ch/files/live/sites/dpp/files/shared/images/IDEHPUCP%20%20color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F14C-95E7-435A-8622-91B0525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2022-06-01T20:09:00Z</dcterms:created>
  <dcterms:modified xsi:type="dcterms:W3CDTF">2022-06-02T22:12:00Z</dcterms:modified>
</cp:coreProperties>
</file>