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132FB3" w:rsidP="00132FB3" w:rsidRDefault="00132FB3" w14:paraId="6762DEE7" w14:textId="77777777">
      <w:pPr>
        <w:pStyle w:val="Header"/>
        <w:jc w:val="center"/>
        <w:rPr>
          <w:rFonts w:ascii="Calibri Light" w:hAnsi="Calibri Light"/>
          <w:lang w:val="es-PE"/>
        </w:rPr>
      </w:pPr>
      <w:r w:rsidRPr="00C80A19">
        <w:rPr>
          <w:rFonts w:ascii="Calibri Light" w:hAnsi="Calibri Light"/>
          <w:noProof/>
          <w:lang w:val="es-PE"/>
        </w:rPr>
        <w:drawing>
          <wp:anchor distT="0" distB="0" distL="114300" distR="114300" simplePos="0" relativeHeight="251661312" behindDoc="1" locked="0" layoutInCell="1" allowOverlap="1" wp14:anchorId="7407D9B2" wp14:editId="6C3773DA">
            <wp:simplePos x="0" y="0"/>
            <wp:positionH relativeFrom="margin">
              <wp:posOffset>4020820</wp:posOffset>
            </wp:positionH>
            <wp:positionV relativeFrom="margin">
              <wp:posOffset>-271145</wp:posOffset>
            </wp:positionV>
            <wp:extent cx="1849755" cy="789940"/>
            <wp:effectExtent l="0" t="0" r="4445" b="0"/>
            <wp:wrapTight wrapText="bothSides">
              <wp:wrapPolygon edited="0">
                <wp:start x="0" y="0"/>
                <wp:lineTo x="0" y="21183"/>
                <wp:lineTo x="21504" y="21183"/>
                <wp:lineTo x="21504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 rotWithShape="1"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2" t="27352" r="6449" b="25571"/>
                    <a:stretch/>
                  </pic:blipFill>
                  <pic:spPr bwMode="auto">
                    <a:xfrm>
                      <a:off x="0" y="0"/>
                      <a:ext cx="184975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A19">
        <w:rPr>
          <w:rFonts w:ascii="Calibri Light" w:hAnsi="Calibri Light"/>
          <w:noProof/>
          <w:lang w:val="es-PE"/>
        </w:rPr>
        <w:drawing>
          <wp:anchor distT="0" distB="0" distL="114300" distR="114300" simplePos="0" relativeHeight="251660288" behindDoc="1" locked="0" layoutInCell="1" allowOverlap="1" wp14:anchorId="26646B82" wp14:editId="757D10B2">
            <wp:simplePos x="0" y="0"/>
            <wp:positionH relativeFrom="column">
              <wp:posOffset>1399540</wp:posOffset>
            </wp:positionH>
            <wp:positionV relativeFrom="paragraph">
              <wp:posOffset>-107950</wp:posOffset>
            </wp:positionV>
            <wp:extent cx="2564130" cy="626110"/>
            <wp:effectExtent l="0" t="0" r="1270" b="0"/>
            <wp:wrapTight wrapText="bothSides">
              <wp:wrapPolygon edited="0">
                <wp:start x="1605" y="2629"/>
                <wp:lineTo x="1070" y="5258"/>
                <wp:lineTo x="642" y="7886"/>
                <wp:lineTo x="642" y="11830"/>
                <wp:lineTo x="1284" y="17087"/>
                <wp:lineTo x="1498" y="17963"/>
                <wp:lineTo x="21397" y="17963"/>
                <wp:lineTo x="21504" y="16649"/>
                <wp:lineTo x="21183" y="9639"/>
                <wp:lineTo x="15406" y="2629"/>
                <wp:lineTo x="1605" y="2629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7"/>
                    <a:srcRect r="3349"/>
                    <a:stretch/>
                  </pic:blipFill>
                  <pic:spPr bwMode="auto">
                    <a:xfrm>
                      <a:off x="0" y="0"/>
                      <a:ext cx="2564130" cy="626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A19">
        <w:rPr>
          <w:rFonts w:ascii="Calibri Light" w:hAnsi="Calibri Light"/>
          <w:noProof/>
          <w:lang w:val="es-PE"/>
        </w:rPr>
        <w:drawing>
          <wp:anchor distT="0" distB="0" distL="114300" distR="114300" simplePos="0" relativeHeight="251659264" behindDoc="1" locked="0" layoutInCell="1" allowOverlap="1" wp14:anchorId="59F67EE3" wp14:editId="606EBEFA">
            <wp:simplePos x="0" y="0"/>
            <wp:positionH relativeFrom="column">
              <wp:posOffset>-407474</wp:posOffset>
            </wp:positionH>
            <wp:positionV relativeFrom="paragraph">
              <wp:posOffset>-200514</wp:posOffset>
            </wp:positionV>
            <wp:extent cx="1735455" cy="727710"/>
            <wp:effectExtent l="0" t="0" r="0" b="0"/>
            <wp:wrapTight wrapText="bothSides">
              <wp:wrapPolygon edited="0">
                <wp:start x="316" y="754"/>
                <wp:lineTo x="316" y="18094"/>
                <wp:lineTo x="632" y="19602"/>
                <wp:lineTo x="1739" y="20356"/>
                <wp:lineTo x="13436" y="20356"/>
                <wp:lineTo x="21181" y="19602"/>
                <wp:lineTo x="21339" y="14325"/>
                <wp:lineTo x="20075" y="13571"/>
                <wp:lineTo x="21181" y="10178"/>
                <wp:lineTo x="21181" y="7539"/>
                <wp:lineTo x="18652" y="3393"/>
                <wp:lineTo x="17546" y="754"/>
                <wp:lineTo x="316" y="754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8"/>
                    <a:srcRect l="11357" t="20875" r="13129" b="18785"/>
                    <a:stretch/>
                  </pic:blipFill>
                  <pic:spPr bwMode="auto">
                    <a:xfrm>
                      <a:off x="0" y="0"/>
                      <a:ext cx="1735455" cy="727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7F8" w:rsidP="00132FB3" w:rsidRDefault="008F57F8" w14:paraId="345F38E6" w14:textId="77777777">
      <w:pPr>
        <w:pStyle w:val="Header"/>
        <w:jc w:val="center"/>
        <w:rPr>
          <w:rFonts w:ascii="Calibri Light" w:hAnsi="Calibri Light"/>
          <w:lang w:val="es-PE"/>
        </w:rPr>
      </w:pPr>
    </w:p>
    <w:p w:rsidR="008F57F8" w:rsidP="00132FB3" w:rsidRDefault="008F57F8" w14:paraId="309085DA" w14:textId="77777777">
      <w:pPr>
        <w:pStyle w:val="Header"/>
        <w:jc w:val="center"/>
        <w:rPr>
          <w:rFonts w:ascii="Calibri Light" w:hAnsi="Calibri Light"/>
          <w:lang w:val="es-PE"/>
        </w:rPr>
      </w:pPr>
    </w:p>
    <w:p w:rsidRPr="00411A74" w:rsidR="00132FB3" w:rsidP="00132FB3" w:rsidRDefault="00132FB3" w14:paraId="570E24F3" w14:textId="44168F9E">
      <w:pPr>
        <w:pStyle w:val="Header"/>
        <w:jc w:val="center"/>
        <w:rPr>
          <w:rFonts w:ascii="Calibri Light" w:hAnsi="Calibri Light"/>
          <w:lang w:val="es-PE"/>
        </w:rPr>
      </w:pPr>
      <w:r w:rsidRPr="00411A74">
        <w:rPr>
          <w:rFonts w:ascii="Calibri Light" w:hAnsi="Calibri Light"/>
          <w:lang w:val="es-PE"/>
        </w:rPr>
        <w:t>Difundiendo los estándares para la protección de los DDHH de la CIDH</w:t>
      </w:r>
    </w:p>
    <w:p w:rsidR="00132FB3" w:rsidP="00132FB3" w:rsidRDefault="00132FB3" w14:paraId="54AC60BB" w14:textId="77777777">
      <w:pPr>
        <w:spacing w:after="0" w:line="240" w:lineRule="auto"/>
        <w:jc w:val="center"/>
        <w:outlineLvl w:val="0"/>
        <w:rPr>
          <w:rFonts w:ascii="Calibri Light" w:hAnsi="Calibri Light"/>
          <w:b/>
          <w:i/>
        </w:rPr>
      </w:pPr>
      <w:r>
        <w:rPr>
          <w:rFonts w:ascii="Calibri Light" w:hAnsi="Calibri Light"/>
          <w:b/>
          <w:i/>
        </w:rPr>
        <w:t>Ficha de R</w:t>
      </w:r>
      <w:r w:rsidRPr="00411A74">
        <w:rPr>
          <w:rFonts w:ascii="Calibri Light" w:hAnsi="Calibri Light"/>
          <w:b/>
          <w:i/>
        </w:rPr>
        <w:t xml:space="preserve">esumen </w:t>
      </w:r>
    </w:p>
    <w:p w:rsidR="002A4F95" w:rsidP="000D47C5" w:rsidRDefault="002A4F95" w14:paraId="78F5E910" w14:textId="77777777">
      <w:pPr>
        <w:spacing w:after="0" w:line="240" w:lineRule="auto"/>
        <w:jc w:val="center"/>
        <w:outlineLvl w:val="0"/>
        <w:rPr>
          <w:rFonts w:ascii="Calibri Light" w:hAnsi="Calibri Light"/>
          <w:b/>
          <w:i/>
        </w:rPr>
      </w:pPr>
    </w:p>
    <w:tbl>
      <w:tblPr>
        <w:tblStyle w:val="Tabladelista2-nfasis11"/>
        <w:tblW w:w="0" w:type="auto"/>
        <w:jc w:val="center"/>
        <w:tblLook w:val="04A0" w:firstRow="1" w:lastRow="0" w:firstColumn="1" w:lastColumn="0" w:noHBand="0" w:noVBand="1"/>
      </w:tblPr>
      <w:tblGrid>
        <w:gridCol w:w="3592"/>
        <w:gridCol w:w="2493"/>
        <w:gridCol w:w="2419"/>
      </w:tblGrid>
      <w:tr w:rsidRPr="00AC6F31" w:rsidR="00610A83" w:rsidTr="07EDAA16" w14:paraId="5C71C02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3"/>
            <w:tcMar/>
            <w:vAlign w:val="center"/>
          </w:tcPr>
          <w:p w:rsidRPr="00610A83" w:rsidR="00610A83" w:rsidP="00610A83" w:rsidRDefault="00610A83" w14:paraId="307A3C8D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4533E5">
              <w:rPr>
                <w:rFonts w:ascii="Calibri Light" w:hAnsi="Calibri Light"/>
              </w:rPr>
              <w:t>Datos generales</w:t>
            </w:r>
          </w:p>
        </w:tc>
      </w:tr>
      <w:tr w:rsidRPr="00261F07" w:rsidR="00610A83" w:rsidTr="07EDAA16" w14:paraId="2AADCC4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2" w:type="dxa"/>
            <w:tcMar/>
          </w:tcPr>
          <w:p w:rsidRPr="00E13762" w:rsidR="00610A83" w:rsidP="004D5D37" w:rsidRDefault="00610A83" w14:paraId="12E60E63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 Light" w:hAnsi="Calibri Light"/>
                <w:lang w:val="es-ES"/>
              </w:rPr>
            </w:pPr>
            <w:r w:rsidRPr="00E13762">
              <w:rPr>
                <w:rFonts w:ascii="Calibri Light" w:hAnsi="Calibri Light"/>
                <w:lang w:val="es-ES"/>
              </w:rPr>
              <w:t>Nombre del caso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12" w:type="dxa"/>
            <w:gridSpan w:val="2"/>
            <w:tcMar/>
          </w:tcPr>
          <w:p w:rsidRPr="00261F07" w:rsidR="00610A83" w:rsidP="004D5D37" w:rsidRDefault="00610A83" w14:paraId="1EC29A7F" w14:textId="777777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lang w:val="es-ES"/>
              </w:rPr>
            </w:pPr>
            <w:r>
              <w:rPr>
                <w:rFonts w:ascii="Calibri Light" w:hAnsi="Calibri Light"/>
                <w:lang w:val="es-ES"/>
              </w:rPr>
              <w:t>Juan Figueroa Acosta, Perú</w:t>
            </w:r>
          </w:p>
        </w:tc>
      </w:tr>
      <w:tr w:rsidR="00610A83" w:rsidTr="07EDAA16" w14:paraId="74BBE015" w14:textId="77777777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2" w:type="dxa"/>
            <w:tcMar/>
          </w:tcPr>
          <w:p w:rsidRPr="004533E5" w:rsidR="00610A83" w:rsidP="004D5D37" w:rsidRDefault="00610A83" w14:paraId="6881DCD0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Parte peticionaria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12" w:type="dxa"/>
            <w:gridSpan w:val="2"/>
            <w:tcMar/>
            <w:vAlign w:val="bottom"/>
          </w:tcPr>
          <w:p w:rsidR="00610A83" w:rsidP="00AF4E28" w:rsidRDefault="00D510F8" w14:paraId="2A114CCB" w14:textId="0841A0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Patricia Figueroa Valderrama</w:t>
            </w:r>
            <w:r w:rsidR="002A4F95">
              <w:rPr>
                <w:rFonts w:ascii="Calibri Light" w:hAnsi="Calibri Light"/>
              </w:rPr>
              <w:t xml:space="preserve">, </w:t>
            </w:r>
            <w:r>
              <w:rPr>
                <w:rFonts w:ascii="Calibri Light" w:hAnsi="Calibri Light"/>
              </w:rPr>
              <w:t>Mayra Figueroa Valderrama</w:t>
            </w:r>
            <w:r w:rsidR="002A4F95">
              <w:rPr>
                <w:rFonts w:ascii="Calibri Light" w:hAnsi="Calibri Light"/>
              </w:rPr>
              <w:t xml:space="preserve"> y </w:t>
            </w:r>
            <w:r>
              <w:rPr>
                <w:rFonts w:ascii="Calibri Light" w:hAnsi="Calibri Light"/>
              </w:rPr>
              <w:t>Juan Figueroa Acosta</w:t>
            </w:r>
          </w:p>
        </w:tc>
      </w:tr>
      <w:tr w:rsidRPr="004533E5" w:rsidR="00610A83" w:rsidTr="07EDAA16" w14:paraId="1AC74F3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2" w:type="dxa"/>
            <w:tcMar/>
          </w:tcPr>
          <w:p w:rsidRPr="004533E5" w:rsidR="00610A83" w:rsidP="004D5D37" w:rsidRDefault="00610A83" w14:paraId="66908BC0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 Light" w:hAnsi="Calibri Light"/>
              </w:rPr>
            </w:pPr>
            <w:r w:rsidRPr="004533E5">
              <w:rPr>
                <w:rFonts w:ascii="Calibri Light" w:hAnsi="Calibri Light"/>
              </w:rPr>
              <w:t xml:space="preserve">Número de Informe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12" w:type="dxa"/>
            <w:gridSpan w:val="2"/>
            <w:tcMar/>
          </w:tcPr>
          <w:p w:rsidRPr="00181F5F" w:rsidR="00610A83" w:rsidP="004D5D37" w:rsidRDefault="008E2A87" w14:paraId="524E23FC" w14:textId="777777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color w:val="0000FF"/>
              </w:rPr>
            </w:pPr>
            <w:hyperlink w:history="1" r:id="rId9">
              <w:r w:rsidRPr="00181F5F" w:rsidR="00610A83">
                <w:rPr>
                  <w:rStyle w:val="Hyperlink"/>
                  <w:rFonts w:ascii="Calibri Light" w:hAnsi="Calibri Light"/>
                  <w:color w:val="0000FF"/>
                </w:rPr>
                <w:t>Informe No. 123/18</w:t>
              </w:r>
            </w:hyperlink>
          </w:p>
        </w:tc>
      </w:tr>
      <w:tr w:rsidRPr="00E13762" w:rsidR="00610A83" w:rsidTr="07EDAA16" w14:paraId="64069B8A" w14:textId="77777777">
        <w:trPr>
          <w:trHeight w:val="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2" w:type="dxa"/>
            <w:tcMar/>
          </w:tcPr>
          <w:p w:rsidRPr="00E13762" w:rsidR="00610A83" w:rsidP="004D5D37" w:rsidRDefault="00610A83" w14:paraId="6B36D48F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E13762">
              <w:rPr>
                <w:rFonts w:ascii="Calibri Light" w:hAnsi="Calibri Light"/>
              </w:rPr>
              <w:t xml:space="preserve">Tipo de informe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12" w:type="dxa"/>
            <w:gridSpan w:val="2"/>
            <w:tcMar/>
          </w:tcPr>
          <w:p w:rsidRPr="00E13762" w:rsidR="00610A83" w:rsidP="004D5D37" w:rsidRDefault="00610A83" w14:paraId="31855B26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Informe de Solución Amistosa</w:t>
            </w:r>
          </w:p>
        </w:tc>
      </w:tr>
      <w:tr w:rsidRPr="004533E5" w:rsidR="00610A83" w:rsidTr="07EDAA16" w14:paraId="4CB1EB5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2" w:type="dxa"/>
            <w:tcMar/>
          </w:tcPr>
          <w:p w:rsidRPr="004533E5" w:rsidR="00610A83" w:rsidP="004D5D37" w:rsidRDefault="00610A83" w14:paraId="6C89FC0F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Fecha</w:t>
            </w:r>
            <w:r w:rsidRPr="004533E5">
              <w:rPr>
                <w:rFonts w:ascii="Calibri Light" w:hAnsi="Calibri Light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12" w:type="dxa"/>
            <w:gridSpan w:val="2"/>
            <w:tcMar/>
          </w:tcPr>
          <w:p w:rsidRPr="004533E5" w:rsidR="00610A83" w:rsidP="004D5D37" w:rsidRDefault="00610A83" w14:paraId="0497C01E" w14:textId="777777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16 de octubre de 2018 </w:t>
            </w:r>
          </w:p>
        </w:tc>
      </w:tr>
      <w:tr w:rsidRPr="009E6CDC" w:rsidR="00610A83" w:rsidTr="07EDAA16" w14:paraId="6A1C846A" w14:textId="77777777">
        <w:trPr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2" w:type="dxa"/>
            <w:tcMar/>
          </w:tcPr>
          <w:p w:rsidRPr="004533E5" w:rsidR="00610A83" w:rsidP="004D5D37" w:rsidRDefault="00610A83" w14:paraId="609DEAB4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Decisiones de la CIDH</w:t>
            </w:r>
            <w:r w:rsidRPr="004533E5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 xml:space="preserve">y/o la Corte IDH, </w:t>
            </w:r>
            <w:r w:rsidRPr="004533E5">
              <w:rPr>
                <w:rFonts w:ascii="Calibri Light" w:hAnsi="Calibri Light"/>
              </w:rPr>
              <w:t>relacionadas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12" w:type="dxa"/>
            <w:gridSpan w:val="2"/>
            <w:tcMar/>
            <w:vAlign w:val="center"/>
          </w:tcPr>
          <w:p w:rsidRPr="009E6CDC" w:rsidR="00610A83" w:rsidP="004D5D37" w:rsidRDefault="006A171F" w14:paraId="2541D88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lang w:val="es-ES"/>
              </w:rPr>
            </w:pPr>
            <w:r>
              <w:rPr>
                <w:rFonts w:ascii="Calibri Light" w:hAnsi="Calibri Light"/>
                <w:lang w:val="es-ES"/>
              </w:rPr>
              <w:t>-</w:t>
            </w:r>
          </w:p>
        </w:tc>
      </w:tr>
      <w:tr w:rsidRPr="00261F07" w:rsidR="00610A83" w:rsidTr="07EDAA16" w14:paraId="7863251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2" w:type="dxa"/>
            <w:vMerge w:val="restart"/>
            <w:tcMar/>
            <w:vAlign w:val="center"/>
          </w:tcPr>
          <w:p w:rsidR="00610A83" w:rsidP="00841BA1" w:rsidRDefault="00610A83" w14:paraId="6310BA63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Artículos analizados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12" w:type="dxa"/>
            <w:gridSpan w:val="2"/>
            <w:tcMar/>
            <w:vAlign w:val="center"/>
          </w:tcPr>
          <w:p w:rsidRPr="00261F07" w:rsidR="00610A83" w:rsidP="004D5D37" w:rsidRDefault="00610A83" w14:paraId="13CB46AD" w14:textId="777777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lang w:val="es-ES"/>
              </w:rPr>
            </w:pPr>
            <w:r w:rsidRPr="005B7B66">
              <w:rPr>
                <w:rFonts w:ascii="Calibri Light" w:hAnsi="Calibri Light"/>
                <w:lang w:val="es-ES"/>
              </w:rPr>
              <w:t>Convención Americana sobre Derechos Humanos</w:t>
            </w:r>
          </w:p>
        </w:tc>
      </w:tr>
      <w:tr w:rsidRPr="00AB020A" w:rsidR="00610A83" w:rsidTr="07EDAA16" w14:paraId="3B62F96B" w14:textId="77777777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2" w:type="dxa"/>
            <w:vMerge/>
            <w:tcMar/>
          </w:tcPr>
          <w:p w:rsidR="00610A83" w:rsidP="004D5D37" w:rsidRDefault="00610A83" w14:paraId="0E933083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3" w:type="dxa"/>
            <w:tcMar/>
            <w:vAlign w:val="center"/>
          </w:tcPr>
          <w:p w:rsidRPr="005B7B66" w:rsidR="00610A83" w:rsidP="004D5D37" w:rsidRDefault="00610A83" w14:paraId="3FB8D1F4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lang w:val="es-ES"/>
              </w:rPr>
            </w:pPr>
            <w:r w:rsidRPr="005B7B66">
              <w:rPr>
                <w:rFonts w:ascii="Calibri Light" w:hAnsi="Calibri Light"/>
                <w:lang w:val="es-ES"/>
              </w:rPr>
              <w:t>Artículos sobre los que se alcanzó un acuerdo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9" w:type="dxa"/>
            <w:tcMar/>
            <w:vAlign w:val="center"/>
          </w:tcPr>
          <w:p w:rsidRPr="00AB020A" w:rsidR="00610A83" w:rsidP="004D5D37" w:rsidRDefault="00610A83" w14:paraId="305B589B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lang w:val="es-ES"/>
              </w:rPr>
            </w:pPr>
            <w:r w:rsidRPr="00AB020A">
              <w:rPr>
                <w:rFonts w:ascii="Calibri Light" w:hAnsi="Calibri Light"/>
                <w:lang w:val="es-ES"/>
              </w:rPr>
              <w:t>Artículos sobre los que no se alcanzó acuerdo</w:t>
            </w:r>
          </w:p>
        </w:tc>
      </w:tr>
      <w:tr w:rsidRPr="00927120" w:rsidR="00610A83" w:rsidTr="07EDAA16" w14:paraId="24C2317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2" w:type="dxa"/>
            <w:vMerge/>
            <w:tcMar/>
          </w:tcPr>
          <w:p w:rsidR="00610A83" w:rsidP="004D5D37" w:rsidRDefault="00610A83" w14:paraId="5F073FCE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3" w:type="dxa"/>
            <w:tcMar/>
            <w:vAlign w:val="center"/>
          </w:tcPr>
          <w:p w:rsidRPr="00927120" w:rsidR="00610A83" w:rsidP="004D5D37" w:rsidRDefault="00303E43" w14:paraId="3427BC0C" w14:textId="777777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u w:val="single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Art. 8, art. 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9" w:type="dxa"/>
            <w:tcMar/>
            <w:vAlign w:val="center"/>
          </w:tcPr>
          <w:p w:rsidRPr="00927120" w:rsidR="00610A83" w:rsidP="004D5D37" w:rsidRDefault="00610A83" w14:paraId="7365D5A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lang w:val="es-ES"/>
              </w:rPr>
            </w:pPr>
            <w:r>
              <w:rPr>
                <w:rFonts w:ascii="Calibri Light" w:hAnsi="Calibri Light"/>
                <w:lang w:val="es-ES"/>
              </w:rPr>
              <w:t>-</w:t>
            </w:r>
          </w:p>
        </w:tc>
      </w:tr>
      <w:tr w:rsidRPr="004533E5" w:rsidR="00BB4290" w:rsidTr="07EDAA16" w14:paraId="57DB5136" w14:textId="77777777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3"/>
            <w:tcMar/>
            <w:vAlign w:val="center"/>
          </w:tcPr>
          <w:p w:rsidRPr="00BB4290" w:rsidR="00BB4290" w:rsidP="00BB4290" w:rsidRDefault="00BB4290" w14:paraId="48F0C5A6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AC4B56">
              <w:rPr>
                <w:rFonts w:ascii="Calibri Light" w:hAnsi="Calibri Light"/>
              </w:rPr>
              <w:t>Sumilla</w:t>
            </w:r>
          </w:p>
        </w:tc>
      </w:tr>
      <w:tr w:rsidRPr="00AC4B56" w:rsidR="00BB4290" w:rsidTr="07EDAA16" w14:paraId="16CEFBC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3"/>
            <w:tcMar/>
          </w:tcPr>
          <w:p w:rsidR="00BB4290" w:rsidP="003901D8" w:rsidRDefault="00BB4290" w14:paraId="13C771A4" w14:textId="70A14FC6">
            <w:pPr>
              <w:rPr>
                <w:rFonts w:ascii="Calibri Light" w:hAnsi="Calibri Light"/>
                <w:b w:val="0"/>
                <w:lang w:val="es-ES"/>
              </w:rPr>
            </w:pPr>
          </w:p>
          <w:p w:rsidR="00DC0A5E" w:rsidP="00DC0A5E" w:rsidRDefault="00DC0A5E" w14:paraId="777E4D25" w14:textId="05E925B0">
            <w:pPr>
              <w:jc w:val="both"/>
              <w:rPr>
                <w:rFonts w:ascii="Calibri Light" w:hAnsi="Calibri Light"/>
                <w:b w:val="0"/>
                <w:lang w:val="es-ES"/>
              </w:rPr>
            </w:pPr>
            <w:r>
              <w:rPr>
                <w:rFonts w:ascii="Calibri Light" w:hAnsi="Calibri Light"/>
                <w:b w:val="0"/>
                <w:lang w:val="es-ES"/>
              </w:rPr>
              <w:t xml:space="preserve">El caso aborda el proceso de ratificación de Juan Figueroa como </w:t>
            </w:r>
            <w:r w:rsidR="00EA605E">
              <w:rPr>
                <w:rFonts w:ascii="Calibri Light" w:hAnsi="Calibri Light"/>
                <w:b w:val="0"/>
                <w:lang w:val="es-ES"/>
              </w:rPr>
              <w:t xml:space="preserve">juez </w:t>
            </w:r>
            <w:r w:rsidR="00181F5F">
              <w:rPr>
                <w:rFonts w:ascii="Calibri Light" w:hAnsi="Calibri Light"/>
                <w:b w:val="0"/>
                <w:lang w:val="es-ES"/>
              </w:rPr>
              <w:t>d</w:t>
            </w:r>
            <w:r>
              <w:rPr>
                <w:rFonts w:ascii="Calibri Light" w:hAnsi="Calibri Light"/>
                <w:b w:val="0"/>
                <w:lang w:val="es-ES"/>
              </w:rPr>
              <w:t xml:space="preserve">el Distrito Judicial de Amazonas, que culminó en </w:t>
            </w:r>
            <w:r w:rsidR="00EA605E">
              <w:rPr>
                <w:rFonts w:ascii="Calibri Light" w:hAnsi="Calibri Light"/>
                <w:b w:val="0"/>
                <w:lang w:val="es-ES"/>
              </w:rPr>
              <w:t>la decisión, sin motivación, del Consejo Nacional de la Magistratura de no ratificarlo</w:t>
            </w:r>
            <w:r w:rsidR="002E55C7">
              <w:rPr>
                <w:rFonts w:ascii="Calibri Light" w:hAnsi="Calibri Light"/>
                <w:b w:val="0"/>
                <w:lang w:val="es-ES"/>
              </w:rPr>
              <w:t xml:space="preserve">. La legislación peruana, a su vez, impedía la revisión en sede judicial de la decisión, por lo que los recursos presentados por el señor Figueroa para cuestionar la </w:t>
            </w:r>
            <w:r w:rsidR="00EA605E">
              <w:rPr>
                <w:rFonts w:ascii="Calibri Light" w:hAnsi="Calibri Light"/>
                <w:b w:val="0"/>
                <w:lang w:val="es-ES"/>
              </w:rPr>
              <w:t>r</w:t>
            </w:r>
            <w:r w:rsidR="002E55C7">
              <w:rPr>
                <w:rFonts w:ascii="Calibri Light" w:hAnsi="Calibri Light"/>
                <w:b w:val="0"/>
                <w:lang w:val="es-ES"/>
              </w:rPr>
              <w:t>esolución fueron declarados infundados.</w:t>
            </w:r>
          </w:p>
          <w:p w:rsidRPr="00AC4B56" w:rsidR="00BB4290" w:rsidP="002D3B95" w:rsidRDefault="00BB4290" w14:paraId="655F5F11" w14:textId="77777777">
            <w:pPr>
              <w:rPr>
                <w:rFonts w:ascii="Calibri Light" w:hAnsi="Calibri Light"/>
                <w:b w:val="0"/>
                <w:lang w:val="es-ES"/>
              </w:rPr>
            </w:pPr>
          </w:p>
        </w:tc>
      </w:tr>
      <w:tr w:rsidRPr="004533E5" w:rsidR="00BB4290" w:rsidTr="07EDAA16" w14:paraId="1F10DDAF" w14:textId="77777777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3"/>
            <w:tcMar/>
            <w:vAlign w:val="center"/>
          </w:tcPr>
          <w:p w:rsidRPr="00BB4290" w:rsidR="00BB4290" w:rsidP="00BB4290" w:rsidRDefault="00BB4290" w14:paraId="1D9CAFCC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7F05AF">
              <w:rPr>
                <w:rFonts w:ascii="Calibri Light" w:hAnsi="Calibri Light"/>
              </w:rPr>
              <w:t>Palabras clave</w:t>
            </w:r>
          </w:p>
        </w:tc>
      </w:tr>
      <w:tr w:rsidRPr="00AC4B56" w:rsidR="00BB4290" w:rsidTr="07EDAA16" w14:paraId="7A93793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3"/>
            <w:tcMar/>
            <w:vAlign w:val="center"/>
          </w:tcPr>
          <w:p w:rsidRPr="00AC4B56" w:rsidR="00BB4290" w:rsidP="0002797D" w:rsidRDefault="00BB4290" w14:paraId="65153B5E" w14:textId="5C5795B8">
            <w:pPr>
              <w:jc w:val="both"/>
              <w:rPr>
                <w:rFonts w:ascii="Calibri Light" w:hAnsi="Calibri Light"/>
                <w:b w:val="0"/>
                <w:sz w:val="23"/>
                <w:szCs w:val="23"/>
                <w:lang w:val="es-ES"/>
              </w:rPr>
            </w:pPr>
            <w:proofErr w:type="gramStart"/>
            <w:r w:rsidRPr="00AC4B56">
              <w:rPr>
                <w:rFonts w:ascii="Calibri Light" w:hAnsi="Calibri Light"/>
                <w:b w:val="0"/>
                <w:lang w:val="es-ES"/>
              </w:rPr>
              <w:t xml:space="preserve">Protección </w:t>
            </w:r>
            <w:r>
              <w:rPr>
                <w:rFonts w:ascii="Calibri Light" w:hAnsi="Calibri Light"/>
                <w:b w:val="0"/>
                <w:lang w:val="es-ES"/>
              </w:rPr>
              <w:t>j</w:t>
            </w:r>
            <w:r w:rsidRPr="00AC4B56">
              <w:rPr>
                <w:rFonts w:ascii="Calibri Light" w:hAnsi="Calibri Light"/>
                <w:b w:val="0"/>
                <w:lang w:val="es-ES"/>
              </w:rPr>
              <w:t xml:space="preserve">udicial y </w:t>
            </w:r>
            <w:r>
              <w:rPr>
                <w:rFonts w:ascii="Calibri Light" w:hAnsi="Calibri Light"/>
                <w:b w:val="0"/>
                <w:lang w:val="es-ES"/>
              </w:rPr>
              <w:t>g</w:t>
            </w:r>
            <w:r w:rsidRPr="00AC4B56">
              <w:rPr>
                <w:rFonts w:ascii="Calibri Light" w:hAnsi="Calibri Light"/>
                <w:b w:val="0"/>
                <w:lang w:val="es-ES"/>
              </w:rPr>
              <w:t xml:space="preserve">arantías </w:t>
            </w:r>
            <w:r>
              <w:rPr>
                <w:rFonts w:ascii="Calibri Light" w:hAnsi="Calibri Light"/>
                <w:b w:val="0"/>
                <w:lang w:val="es-ES"/>
              </w:rPr>
              <w:t>j</w:t>
            </w:r>
            <w:r w:rsidRPr="00AC4B56">
              <w:rPr>
                <w:rFonts w:ascii="Calibri Light" w:hAnsi="Calibri Light"/>
                <w:b w:val="0"/>
                <w:lang w:val="es-ES"/>
              </w:rPr>
              <w:t>udiciales</w:t>
            </w:r>
            <w:proofErr w:type="gramEnd"/>
          </w:p>
        </w:tc>
      </w:tr>
      <w:tr w:rsidRPr="004533E5" w:rsidR="00BB4290" w:rsidTr="07EDAA16" w14:paraId="74B2B03F" w14:textId="77777777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3"/>
            <w:tcMar/>
            <w:vAlign w:val="center"/>
          </w:tcPr>
          <w:p w:rsidRPr="00BB4290" w:rsidR="00BB4290" w:rsidP="00BB4290" w:rsidRDefault="00BB4290" w14:paraId="069DF452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AC4B56">
              <w:rPr>
                <w:rFonts w:ascii="Calibri Light" w:hAnsi="Calibri Light"/>
              </w:rPr>
              <w:t>Hechos</w:t>
            </w:r>
          </w:p>
        </w:tc>
      </w:tr>
      <w:tr w:rsidRPr="005576D1" w:rsidR="00BB4290" w:rsidTr="07EDAA16" w14:paraId="03490E9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3"/>
            <w:tcMar/>
          </w:tcPr>
          <w:p w:rsidRPr="005576D1" w:rsidR="00BB4290" w:rsidP="004D5D37" w:rsidRDefault="00BB4290" w14:paraId="06206583" w14:textId="77777777">
            <w:pPr>
              <w:jc w:val="both"/>
              <w:rPr>
                <w:rFonts w:ascii="Calibri Light" w:hAnsi="Calibri Light"/>
                <w:b w:val="0"/>
                <w:lang w:val="es-ES"/>
              </w:rPr>
            </w:pPr>
          </w:p>
          <w:p w:rsidR="00D054B8" w:rsidP="004D5D37" w:rsidRDefault="002A4F95" w14:paraId="48AFD172" w14:textId="7ABE22DF">
            <w:pPr>
              <w:jc w:val="both"/>
              <w:rPr>
                <w:rFonts w:ascii="Calibri Light" w:hAnsi="Calibri Light"/>
                <w:b w:val="0"/>
                <w:lang w:val="es-ES"/>
              </w:rPr>
            </w:pPr>
            <w:r>
              <w:rPr>
                <w:rFonts w:ascii="Calibri Light" w:hAnsi="Calibri Light"/>
                <w:b w:val="0"/>
                <w:lang w:val="es-ES"/>
              </w:rPr>
              <w:t>En octubre de 1996,</w:t>
            </w:r>
            <w:r w:rsidR="00AC6851">
              <w:rPr>
                <w:rFonts w:ascii="Calibri Light" w:hAnsi="Calibri Light"/>
                <w:b w:val="0"/>
                <w:lang w:val="es-ES"/>
              </w:rPr>
              <w:t xml:space="preserve"> Juan Figueroa fue nombrado Vocal Superior Titular del Distrito Judicial de Amazonas</w:t>
            </w:r>
            <w:r w:rsidR="00D054B8">
              <w:rPr>
                <w:rFonts w:ascii="Calibri Light" w:hAnsi="Calibri Light"/>
                <w:b w:val="0"/>
                <w:lang w:val="es-ES"/>
              </w:rPr>
              <w:t>.</w:t>
            </w:r>
            <w:r w:rsidRPr="005576D1" w:rsidR="00BB4290">
              <w:rPr>
                <w:rFonts w:ascii="Calibri Light" w:hAnsi="Calibri Light"/>
                <w:b w:val="0"/>
                <w:lang w:val="es-ES"/>
              </w:rPr>
              <w:t xml:space="preserve"> </w:t>
            </w:r>
            <w:proofErr w:type="gramStart"/>
            <w:r w:rsidRPr="00D054B8" w:rsidR="00D054B8">
              <w:rPr>
                <w:rFonts w:ascii="Calibri Light" w:hAnsi="Calibri Light"/>
                <w:b w:val="0"/>
                <w:lang w:val="es-ES"/>
              </w:rPr>
              <w:t>De acuerdo a</w:t>
            </w:r>
            <w:r w:rsidR="00D054B8">
              <w:rPr>
                <w:rFonts w:ascii="Calibri Light" w:hAnsi="Calibri Light"/>
                <w:b w:val="0"/>
                <w:lang w:val="es-ES"/>
              </w:rPr>
              <w:t>l</w:t>
            </w:r>
            <w:proofErr w:type="gramEnd"/>
            <w:r w:rsidR="00D054B8">
              <w:rPr>
                <w:rFonts w:ascii="Calibri Light" w:hAnsi="Calibri Light"/>
                <w:b w:val="0"/>
                <w:lang w:val="es-ES"/>
              </w:rPr>
              <w:t xml:space="preserve"> artículo 154 inciso 2 de</w:t>
            </w:r>
            <w:r w:rsidRPr="00D054B8" w:rsidR="00D054B8">
              <w:rPr>
                <w:rFonts w:ascii="Calibri Light" w:hAnsi="Calibri Light"/>
                <w:b w:val="0"/>
                <w:lang w:val="es-ES"/>
              </w:rPr>
              <w:t xml:space="preserve"> la Constitución Política del Perú, </w:t>
            </w:r>
            <w:r w:rsidR="00EA605E">
              <w:rPr>
                <w:rFonts w:ascii="Calibri Light" w:hAnsi="Calibri Light"/>
                <w:b w:val="0"/>
                <w:lang w:val="es-ES"/>
              </w:rPr>
              <w:t>vigente en</w:t>
            </w:r>
            <w:r w:rsidR="00181F5F">
              <w:rPr>
                <w:rFonts w:ascii="Calibri Light" w:hAnsi="Calibri Light"/>
                <w:b w:val="0"/>
                <w:lang w:val="es-ES"/>
              </w:rPr>
              <w:t xml:space="preserve"> la época de</w:t>
            </w:r>
            <w:r w:rsidR="00EA605E">
              <w:rPr>
                <w:rFonts w:ascii="Calibri Light" w:hAnsi="Calibri Light"/>
                <w:b w:val="0"/>
                <w:lang w:val="es-ES"/>
              </w:rPr>
              <w:t xml:space="preserve"> los hechos, </w:t>
            </w:r>
            <w:r w:rsidRPr="00D054B8" w:rsidR="00D054B8">
              <w:rPr>
                <w:rFonts w:ascii="Calibri Light" w:hAnsi="Calibri Light"/>
                <w:b w:val="0"/>
                <w:lang w:val="es-ES"/>
              </w:rPr>
              <w:t>correspond</w:t>
            </w:r>
            <w:r w:rsidR="00EA605E">
              <w:rPr>
                <w:rFonts w:ascii="Calibri Light" w:hAnsi="Calibri Light"/>
                <w:b w:val="0"/>
                <w:lang w:val="es-ES"/>
              </w:rPr>
              <w:t>ía</w:t>
            </w:r>
            <w:r w:rsidRPr="00D054B8" w:rsidR="00D054B8">
              <w:rPr>
                <w:rFonts w:ascii="Calibri Light" w:hAnsi="Calibri Light"/>
                <w:b w:val="0"/>
                <w:lang w:val="es-ES"/>
              </w:rPr>
              <w:t xml:space="preserve"> al Consejo Nacional de la Magistratura </w:t>
            </w:r>
            <w:r w:rsidR="005620A8">
              <w:rPr>
                <w:rFonts w:ascii="Calibri Light" w:hAnsi="Calibri Light"/>
                <w:b w:val="0"/>
                <w:lang w:val="es-ES"/>
              </w:rPr>
              <w:t>(</w:t>
            </w:r>
            <w:r w:rsidR="00EA605E">
              <w:rPr>
                <w:rFonts w:ascii="Calibri Light" w:hAnsi="Calibri Light"/>
                <w:b w:val="0"/>
                <w:lang w:val="es-ES"/>
              </w:rPr>
              <w:t xml:space="preserve">en adelante, </w:t>
            </w:r>
            <w:r w:rsidR="005620A8">
              <w:rPr>
                <w:rFonts w:ascii="Calibri Light" w:hAnsi="Calibri Light"/>
                <w:b w:val="0"/>
                <w:lang w:val="es-ES"/>
              </w:rPr>
              <w:t xml:space="preserve">CNM) </w:t>
            </w:r>
            <w:r w:rsidRPr="00D054B8" w:rsidR="00D054B8">
              <w:rPr>
                <w:rFonts w:ascii="Calibri Light" w:hAnsi="Calibri Light"/>
                <w:b w:val="0"/>
                <w:lang w:val="es-ES"/>
              </w:rPr>
              <w:t>decidir cada siete años si ratifica</w:t>
            </w:r>
            <w:r w:rsidR="00181F5F">
              <w:rPr>
                <w:rFonts w:ascii="Calibri Light" w:hAnsi="Calibri Light"/>
                <w:b w:val="0"/>
                <w:lang w:val="es-ES"/>
              </w:rPr>
              <w:t>ba</w:t>
            </w:r>
            <w:r w:rsidRPr="00D054B8" w:rsidR="00D054B8">
              <w:rPr>
                <w:rFonts w:ascii="Calibri Light" w:hAnsi="Calibri Light"/>
                <w:b w:val="0"/>
                <w:lang w:val="es-ES"/>
              </w:rPr>
              <w:t xml:space="preserve"> o no a jueces y fiscales. Aquellos que no fueran ratificados, </w:t>
            </w:r>
            <w:r w:rsidR="00EA605E">
              <w:rPr>
                <w:rFonts w:ascii="Calibri Light" w:hAnsi="Calibri Light"/>
                <w:b w:val="0"/>
                <w:lang w:val="es-ES"/>
              </w:rPr>
              <w:t>eran</w:t>
            </w:r>
            <w:r w:rsidRPr="00D054B8" w:rsidR="00D054B8">
              <w:rPr>
                <w:rFonts w:ascii="Calibri Light" w:hAnsi="Calibri Light"/>
                <w:b w:val="0"/>
                <w:lang w:val="es-ES"/>
              </w:rPr>
              <w:t xml:space="preserve"> separados inmediata y definitivamente de sus puestos, sin posibilidad de poder reingresar a la carrera judicial. Cabe agregar que </w:t>
            </w:r>
            <w:r>
              <w:rPr>
                <w:rFonts w:ascii="Calibri Light" w:hAnsi="Calibri Light"/>
                <w:b w:val="0"/>
                <w:lang w:val="es-ES"/>
              </w:rPr>
              <w:t xml:space="preserve">para ese entonces </w:t>
            </w:r>
            <w:r w:rsidRPr="00D054B8" w:rsidR="00D054B8">
              <w:rPr>
                <w:rFonts w:ascii="Calibri Light" w:hAnsi="Calibri Light"/>
                <w:b w:val="0"/>
                <w:lang w:val="es-ES"/>
              </w:rPr>
              <w:t>el proceso de ratificación no e</w:t>
            </w:r>
            <w:r>
              <w:rPr>
                <w:rFonts w:ascii="Calibri Light" w:hAnsi="Calibri Light"/>
                <w:b w:val="0"/>
                <w:lang w:val="es-ES"/>
              </w:rPr>
              <w:t>ra</w:t>
            </w:r>
            <w:r w:rsidRPr="00D054B8" w:rsidR="00D054B8">
              <w:rPr>
                <w:rFonts w:ascii="Calibri Light" w:hAnsi="Calibri Light"/>
                <w:b w:val="0"/>
                <w:lang w:val="es-ES"/>
              </w:rPr>
              <w:t xml:space="preserve"> susceptible de revisión judicial.</w:t>
            </w:r>
          </w:p>
          <w:p w:rsidR="00D054B8" w:rsidP="004D5D37" w:rsidRDefault="00D054B8" w14:paraId="35CB2FA6" w14:textId="77777777">
            <w:pPr>
              <w:jc w:val="both"/>
              <w:rPr>
                <w:rFonts w:ascii="Calibri Light" w:hAnsi="Calibri Light"/>
                <w:b w:val="0"/>
                <w:lang w:val="es-ES"/>
              </w:rPr>
            </w:pPr>
          </w:p>
          <w:p w:rsidR="00BB4290" w:rsidP="004D5D37" w:rsidRDefault="001A7F08" w14:paraId="55D49810" w14:textId="452FAF36">
            <w:pPr>
              <w:jc w:val="both"/>
              <w:rPr>
                <w:rFonts w:ascii="Calibri Light" w:hAnsi="Calibri Light"/>
                <w:b w:val="0"/>
                <w:lang w:val="es-ES"/>
              </w:rPr>
            </w:pPr>
            <w:r>
              <w:rPr>
                <w:rFonts w:ascii="Calibri Light" w:hAnsi="Calibri Light"/>
                <w:b w:val="0"/>
                <w:lang w:val="es-ES"/>
              </w:rPr>
              <w:t>En concordancia con lo establecido por la norma, el señor Figueroa pasó e</w:t>
            </w:r>
            <w:r w:rsidR="00E45581">
              <w:rPr>
                <w:rFonts w:ascii="Calibri Light" w:hAnsi="Calibri Light"/>
                <w:b w:val="0"/>
                <w:lang w:val="es-ES"/>
              </w:rPr>
              <w:t>n 2003 por un proceso de ratificación del cargo junto a otros magistrados y fiscales</w:t>
            </w:r>
            <w:r>
              <w:rPr>
                <w:rFonts w:ascii="Calibri Light" w:hAnsi="Calibri Light"/>
                <w:b w:val="0"/>
                <w:lang w:val="es-ES"/>
              </w:rPr>
              <w:t>. Dicho proceso</w:t>
            </w:r>
            <w:r w:rsidR="00634AAE">
              <w:rPr>
                <w:rFonts w:ascii="Calibri Light" w:hAnsi="Calibri Light"/>
                <w:b w:val="0"/>
                <w:lang w:val="es-ES"/>
              </w:rPr>
              <w:t xml:space="preserve"> tuvo como</w:t>
            </w:r>
            <w:r w:rsidR="0000083B">
              <w:rPr>
                <w:rFonts w:ascii="Calibri Light" w:hAnsi="Calibri Light"/>
                <w:b w:val="0"/>
                <w:lang w:val="es-ES"/>
              </w:rPr>
              <w:t xml:space="preserve"> resultado su no ratificación</w:t>
            </w:r>
            <w:r w:rsidR="00443377">
              <w:rPr>
                <w:rFonts w:ascii="Calibri Light" w:hAnsi="Calibri Light"/>
                <w:b w:val="0"/>
                <w:lang w:val="es-ES"/>
              </w:rPr>
              <w:t>, la cual operó formalmente en febrero de 2004,</w:t>
            </w:r>
            <w:r w:rsidR="00634AAE">
              <w:rPr>
                <w:rFonts w:ascii="Calibri Light" w:hAnsi="Calibri Light"/>
                <w:b w:val="0"/>
                <w:lang w:val="es-ES"/>
              </w:rPr>
              <w:t xml:space="preserve"> sin que se motivara </w:t>
            </w:r>
            <w:r w:rsidR="00634AAE">
              <w:rPr>
                <w:rFonts w:ascii="Calibri Light" w:hAnsi="Calibri Light"/>
                <w:b w:val="0"/>
                <w:lang w:val="es-ES"/>
              </w:rPr>
              <w:lastRenderedPageBreak/>
              <w:t>la decisión.</w:t>
            </w:r>
            <w:r w:rsidR="004E5DD5">
              <w:rPr>
                <w:rFonts w:ascii="Calibri Light" w:hAnsi="Calibri Light"/>
                <w:b w:val="0"/>
                <w:lang w:val="es-ES"/>
              </w:rPr>
              <w:t xml:space="preserve"> Ante ello, a pesar de saber que existía una imposibilidad recursiva por lo establecido en la Constitución peruana, el señor Figueroa interpuso un recurso de amparo en abril de 2005, </w:t>
            </w:r>
            <w:r w:rsidR="0029054F">
              <w:rPr>
                <w:rFonts w:ascii="Calibri Light" w:hAnsi="Calibri Light"/>
                <w:b w:val="0"/>
                <w:lang w:val="es-ES"/>
              </w:rPr>
              <w:t>el cual fue declarado infundado</w:t>
            </w:r>
            <w:r w:rsidR="00807477">
              <w:rPr>
                <w:rFonts w:ascii="Calibri Light" w:hAnsi="Calibri Light"/>
                <w:b w:val="0"/>
                <w:lang w:val="es-ES"/>
              </w:rPr>
              <w:t>.</w:t>
            </w:r>
            <w:r w:rsidR="0029054F">
              <w:rPr>
                <w:rFonts w:ascii="Calibri Light" w:hAnsi="Calibri Light"/>
                <w:b w:val="0"/>
                <w:lang w:val="es-ES"/>
              </w:rPr>
              <w:t xml:space="preserve"> </w:t>
            </w:r>
          </w:p>
          <w:p w:rsidR="004E5DD5" w:rsidP="004D5D37" w:rsidRDefault="004E5DD5" w14:paraId="46605239" w14:textId="783F3955">
            <w:pPr>
              <w:jc w:val="both"/>
              <w:rPr>
                <w:rFonts w:ascii="Calibri Light" w:hAnsi="Calibri Light"/>
                <w:b w:val="0"/>
                <w:lang w:val="es-ES"/>
              </w:rPr>
            </w:pPr>
          </w:p>
          <w:p w:rsidR="004E5DD5" w:rsidP="004D5D37" w:rsidRDefault="0029054F" w14:paraId="2C876FE9" w14:textId="06DC3C6C">
            <w:pPr>
              <w:jc w:val="both"/>
              <w:rPr>
                <w:rFonts w:ascii="Calibri Light" w:hAnsi="Calibri Light"/>
                <w:b w:val="0"/>
                <w:lang w:val="es-ES"/>
              </w:rPr>
            </w:pPr>
            <w:r>
              <w:rPr>
                <w:rFonts w:ascii="Calibri Light" w:hAnsi="Calibri Light"/>
                <w:b w:val="0"/>
                <w:lang w:val="es-ES"/>
              </w:rPr>
              <w:t xml:space="preserve">De forma posterior, planteó una apelación al recurso denegado ante la Tercera Sala Civil de la Corte Superior de Justicia de Lima, la cual confirmó la sentencia de primera instancia. Finalmente, </w:t>
            </w:r>
            <w:r w:rsidR="008B7AD2">
              <w:rPr>
                <w:rFonts w:ascii="Calibri Light" w:hAnsi="Calibri Light"/>
                <w:b w:val="0"/>
                <w:lang w:val="es-ES"/>
              </w:rPr>
              <w:t>mediante sentencia del Tribunal Constitucional del 13 de noviembre de 2007</w:t>
            </w:r>
            <w:r w:rsidR="00293D5E">
              <w:rPr>
                <w:rFonts w:ascii="Calibri Light" w:hAnsi="Calibri Light"/>
                <w:b w:val="0"/>
                <w:lang w:val="es-ES"/>
              </w:rPr>
              <w:t xml:space="preserve">, se declaró infundada la demanda </w:t>
            </w:r>
            <w:r w:rsidR="005620A8">
              <w:rPr>
                <w:rFonts w:ascii="Calibri Light" w:hAnsi="Calibri Light"/>
                <w:b w:val="0"/>
                <w:lang w:val="es-ES"/>
              </w:rPr>
              <w:t xml:space="preserve">en base a que: i) </w:t>
            </w:r>
            <w:r w:rsidR="00293D5E">
              <w:rPr>
                <w:rFonts w:ascii="Calibri Light" w:hAnsi="Calibri Light"/>
                <w:b w:val="0"/>
                <w:lang w:val="es-ES"/>
              </w:rPr>
              <w:t>ya existirían pre</w:t>
            </w:r>
            <w:r w:rsidR="005620A8">
              <w:rPr>
                <w:rFonts w:ascii="Calibri Light" w:hAnsi="Calibri Light"/>
                <w:b w:val="0"/>
                <w:lang w:val="es-ES"/>
              </w:rPr>
              <w:t xml:space="preserve">cedentes en torno al tema, </w:t>
            </w:r>
            <w:proofErr w:type="spellStart"/>
            <w:r w:rsidR="00EA605E">
              <w:rPr>
                <w:rFonts w:ascii="Calibri Light" w:hAnsi="Calibri Light"/>
                <w:b w:val="0"/>
                <w:lang w:val="es-ES"/>
              </w:rPr>
              <w:t>ii</w:t>
            </w:r>
            <w:proofErr w:type="spellEnd"/>
            <w:r w:rsidR="005620A8">
              <w:rPr>
                <w:rFonts w:ascii="Calibri Light" w:hAnsi="Calibri Light"/>
                <w:b w:val="0"/>
                <w:lang w:val="es-ES"/>
              </w:rPr>
              <w:t xml:space="preserve">) el CNM no tendría la obligación de motivar sus ratificaciones o no ratificaciones, y </w:t>
            </w:r>
            <w:proofErr w:type="spellStart"/>
            <w:r w:rsidR="00EA605E">
              <w:rPr>
                <w:rFonts w:ascii="Calibri Light" w:hAnsi="Calibri Light"/>
                <w:b w:val="0"/>
                <w:lang w:val="es-ES"/>
              </w:rPr>
              <w:t>iii</w:t>
            </w:r>
            <w:proofErr w:type="spellEnd"/>
            <w:r w:rsidR="00181F5F">
              <w:rPr>
                <w:rFonts w:ascii="Calibri Light" w:hAnsi="Calibri Light"/>
                <w:b w:val="0"/>
                <w:lang w:val="es-ES"/>
              </w:rPr>
              <w:t>)</w:t>
            </w:r>
            <w:r w:rsidR="005620A8">
              <w:rPr>
                <w:rFonts w:ascii="Calibri Light" w:hAnsi="Calibri Light"/>
                <w:b w:val="0"/>
                <w:lang w:val="es-ES"/>
              </w:rPr>
              <w:t xml:space="preserve"> no se habían violado</w:t>
            </w:r>
            <w:r w:rsidR="0091258B">
              <w:rPr>
                <w:rFonts w:ascii="Calibri Light" w:hAnsi="Calibri Light"/>
                <w:b w:val="0"/>
                <w:lang w:val="es-ES"/>
              </w:rPr>
              <w:t xml:space="preserve"> los</w:t>
            </w:r>
            <w:r w:rsidR="005620A8">
              <w:rPr>
                <w:rFonts w:ascii="Calibri Light" w:hAnsi="Calibri Light"/>
                <w:b w:val="0"/>
                <w:lang w:val="es-ES"/>
              </w:rPr>
              <w:t xml:space="preserve"> derechos constitucionales del señor Figueroa. </w:t>
            </w:r>
          </w:p>
          <w:p w:rsidR="001D1164" w:rsidP="004D5D37" w:rsidRDefault="001D1164" w14:paraId="1863EE46" w14:textId="77777777">
            <w:pPr>
              <w:jc w:val="both"/>
              <w:rPr>
                <w:rFonts w:ascii="Calibri Light" w:hAnsi="Calibri Light"/>
                <w:b w:val="0"/>
                <w:lang w:val="es-ES"/>
              </w:rPr>
            </w:pPr>
          </w:p>
          <w:p w:rsidR="00BB4290" w:rsidP="001D1164" w:rsidRDefault="00BB4290" w14:paraId="57DA8BCE" w14:textId="4CF92656">
            <w:pPr>
              <w:jc w:val="both"/>
              <w:rPr>
                <w:rFonts w:ascii="Calibri Light" w:hAnsi="Calibri Light"/>
                <w:b w:val="0"/>
              </w:rPr>
            </w:pPr>
            <w:r>
              <w:rPr>
                <w:rFonts w:ascii="Calibri Light" w:hAnsi="Calibri Light"/>
                <w:b w:val="0"/>
              </w:rPr>
              <w:t xml:space="preserve">Frente a </w:t>
            </w:r>
            <w:r w:rsidR="00AC6851">
              <w:rPr>
                <w:rFonts w:ascii="Calibri Light" w:hAnsi="Calibri Light"/>
                <w:b w:val="0"/>
              </w:rPr>
              <w:t>tales hechos, el 29 de diciembre de 2008</w:t>
            </w:r>
            <w:r>
              <w:rPr>
                <w:rFonts w:ascii="Calibri Light" w:hAnsi="Calibri Light"/>
                <w:b w:val="0"/>
              </w:rPr>
              <w:t xml:space="preserve">, la CIDH recibió una petición presentada </w:t>
            </w:r>
            <w:r w:rsidRPr="007E1780">
              <w:rPr>
                <w:rFonts w:ascii="Calibri Light" w:hAnsi="Calibri Light"/>
                <w:b w:val="0"/>
              </w:rPr>
              <w:t>por</w:t>
            </w:r>
            <w:r w:rsidR="00AC6851">
              <w:rPr>
                <w:rFonts w:ascii="Calibri Light" w:hAnsi="Calibri Light"/>
                <w:b w:val="0"/>
              </w:rPr>
              <w:t xml:space="preserve"> Patricia Figueroa Valderrama, Mayra Figueroa Valderrama y Juan Figueroa Acosta</w:t>
            </w:r>
            <w:r w:rsidR="0091258B">
              <w:rPr>
                <w:rFonts w:ascii="Calibri Light" w:hAnsi="Calibri Light"/>
                <w:b w:val="0"/>
              </w:rPr>
              <w:t>,</w:t>
            </w:r>
            <w:r w:rsidR="00AC6851">
              <w:rPr>
                <w:rFonts w:ascii="Calibri Light" w:hAnsi="Calibri Light"/>
                <w:b w:val="0"/>
              </w:rPr>
              <w:t xml:space="preserve"> </w:t>
            </w:r>
            <w:r>
              <w:rPr>
                <w:rFonts w:ascii="Calibri Light" w:hAnsi="Calibri Light"/>
                <w:b w:val="0"/>
              </w:rPr>
              <w:t>mediante la cual denunciaban que</w:t>
            </w:r>
            <w:r w:rsidR="00AC6851">
              <w:rPr>
                <w:rFonts w:ascii="Calibri Light" w:hAnsi="Calibri Light"/>
                <w:b w:val="0"/>
              </w:rPr>
              <w:t xml:space="preserve"> el Estado peruano</w:t>
            </w:r>
            <w:r>
              <w:rPr>
                <w:rFonts w:ascii="Calibri Light" w:hAnsi="Calibri Light"/>
                <w:b w:val="0"/>
              </w:rPr>
              <w:t xml:space="preserve"> había vulnerado los</w:t>
            </w:r>
            <w:r w:rsidR="00AC6851">
              <w:rPr>
                <w:rFonts w:ascii="Calibri Light" w:hAnsi="Calibri Light"/>
                <w:b w:val="0"/>
              </w:rPr>
              <w:t xml:space="preserve"> derechos a las garantías judiciales y a la protección judicial</w:t>
            </w:r>
            <w:r>
              <w:rPr>
                <w:rFonts w:ascii="Calibri Light" w:hAnsi="Calibri Light"/>
                <w:b w:val="0"/>
              </w:rPr>
              <w:t>, reconocidos en la Convención Americana sobre Derechos Humanos (en adelante, CADH).</w:t>
            </w:r>
          </w:p>
          <w:p w:rsidRPr="005576D1" w:rsidR="00BB4290" w:rsidP="004D5D37" w:rsidRDefault="00BB4290" w14:paraId="7632508C" w14:textId="77777777">
            <w:pPr>
              <w:jc w:val="both"/>
              <w:rPr>
                <w:rFonts w:ascii="Calibri Light" w:hAnsi="Calibri Light"/>
                <w:b w:val="0"/>
                <w:lang w:val="es-ES"/>
              </w:rPr>
            </w:pPr>
          </w:p>
        </w:tc>
      </w:tr>
      <w:tr w:rsidRPr="004533E5" w:rsidR="00BB4290" w:rsidTr="07EDAA16" w14:paraId="5DFC69CE" w14:textId="77777777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3"/>
            <w:tcMar/>
            <w:vAlign w:val="center"/>
          </w:tcPr>
          <w:p w:rsidRPr="004B6CF6" w:rsidR="00BB4290" w:rsidP="004B6CF6" w:rsidRDefault="00BB4290" w14:paraId="4CFE973A" w14:textId="225368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D9707F">
              <w:rPr>
                <w:rFonts w:ascii="Calibri Light" w:hAnsi="Calibri Light"/>
              </w:rPr>
              <w:lastRenderedPageBreak/>
              <w:t xml:space="preserve">Acuerdo de Solución </w:t>
            </w:r>
            <w:r w:rsidRPr="008E2A87">
              <w:rPr>
                <w:rFonts w:ascii="Calibri Light" w:hAnsi="Calibri Light"/>
              </w:rPr>
              <w:t>Amistosa</w:t>
            </w:r>
            <w:r w:rsidRPr="008E2A87" w:rsidR="00842876">
              <w:rPr>
                <w:rFonts w:ascii="Calibri Light" w:hAnsi="Calibri Light"/>
              </w:rPr>
              <w:t xml:space="preserve"> (ASA)</w:t>
            </w:r>
          </w:p>
        </w:tc>
      </w:tr>
      <w:tr w:rsidRPr="00E46B07" w:rsidR="00BB4290" w:rsidTr="07EDAA16" w14:paraId="7462182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3"/>
            <w:tcMar/>
          </w:tcPr>
          <w:p w:rsidR="00946D1A" w:rsidP="00946D1A" w:rsidRDefault="00946D1A" w14:paraId="4BC31657" w14:textId="77777777">
            <w:pPr>
              <w:jc w:val="both"/>
              <w:rPr>
                <w:rFonts w:ascii="Calibri Light" w:hAnsi="Calibri Light"/>
                <w:b w:val="0"/>
              </w:rPr>
            </w:pPr>
          </w:p>
          <w:p w:rsidR="00946D1A" w:rsidP="00946D1A" w:rsidRDefault="00946D1A" w14:paraId="13938708" w14:textId="7D31F933">
            <w:pPr>
              <w:jc w:val="both"/>
              <w:rPr>
                <w:rFonts w:ascii="Calibri Light" w:hAnsi="Calibri Light"/>
                <w:b w:val="0"/>
              </w:rPr>
            </w:pPr>
            <w:r>
              <w:rPr>
                <w:rFonts w:ascii="Calibri Light" w:hAnsi="Calibri Light"/>
                <w:b w:val="0"/>
              </w:rPr>
              <w:t xml:space="preserve">Mediante el acuerdo de solución amistosa suscrito por las partes el 23 de abril de 2008, </w:t>
            </w:r>
            <w:r w:rsidR="00EA605E">
              <w:rPr>
                <w:rFonts w:ascii="Calibri Light" w:hAnsi="Calibri Light"/>
                <w:b w:val="0"/>
              </w:rPr>
              <w:t xml:space="preserve">estas </w:t>
            </w:r>
            <w:r>
              <w:rPr>
                <w:rFonts w:ascii="Calibri Light" w:hAnsi="Calibri Light"/>
                <w:b w:val="0"/>
              </w:rPr>
              <w:t>manifestaron lo siguiente:</w:t>
            </w:r>
          </w:p>
          <w:p w:rsidR="00946D1A" w:rsidP="00946D1A" w:rsidRDefault="00946D1A" w14:paraId="3A06140D" w14:textId="163C03D4">
            <w:pPr>
              <w:jc w:val="both"/>
              <w:rPr>
                <w:rFonts w:ascii="Calibri Light" w:hAnsi="Calibri Light"/>
                <w:b w:val="0"/>
              </w:rPr>
            </w:pPr>
          </w:p>
          <w:p w:rsidR="00946D1A" w:rsidP="00946D1A" w:rsidRDefault="00946D1A" w14:paraId="176B8BF9" w14:textId="32730D1E">
            <w:pPr>
              <w:jc w:val="both"/>
              <w:rPr>
                <w:rFonts w:ascii="Calibri Light" w:hAnsi="Calibri Light"/>
                <w:b w:val="0"/>
                <w:lang w:val="es-MX"/>
              </w:rPr>
            </w:pPr>
            <w:r>
              <w:rPr>
                <w:rFonts w:ascii="Calibri Light" w:hAnsi="Calibri Light"/>
                <w:b w:val="0"/>
              </w:rPr>
              <w:t xml:space="preserve">1. </w:t>
            </w:r>
            <w:r w:rsidRPr="00901C29" w:rsidR="00901C29">
              <w:rPr>
                <w:rFonts w:ascii="Calibri Light" w:hAnsi="Calibri Light"/>
                <w:b w:val="0"/>
                <w:lang w:val="es-MX"/>
              </w:rPr>
              <w:t xml:space="preserve">El Estado peruano reconoció </w:t>
            </w:r>
            <w:r w:rsidR="0091258B">
              <w:rPr>
                <w:rFonts w:ascii="Calibri Light" w:hAnsi="Calibri Light"/>
                <w:b w:val="0"/>
                <w:lang w:val="es-MX"/>
              </w:rPr>
              <w:t xml:space="preserve">su </w:t>
            </w:r>
            <w:r w:rsidRPr="00901C29" w:rsidR="00901C29">
              <w:rPr>
                <w:rFonts w:ascii="Calibri Light" w:hAnsi="Calibri Light"/>
                <w:b w:val="0"/>
                <w:lang w:val="es-MX"/>
              </w:rPr>
              <w:t>responsabilidad internacional por la</w:t>
            </w:r>
            <w:r w:rsidR="00D22108">
              <w:rPr>
                <w:rFonts w:ascii="Calibri Light" w:hAnsi="Calibri Light"/>
                <w:b w:val="0"/>
                <w:lang w:val="es-MX"/>
              </w:rPr>
              <w:t xml:space="preserve"> no incorporación</w:t>
            </w:r>
            <w:r w:rsidR="00181F5F">
              <w:rPr>
                <w:rFonts w:ascii="Calibri Light" w:hAnsi="Calibri Light"/>
                <w:b w:val="0"/>
                <w:lang w:val="es-MX"/>
              </w:rPr>
              <w:t xml:space="preserve"> </w:t>
            </w:r>
            <w:r w:rsidR="00D22108">
              <w:rPr>
                <w:rFonts w:ascii="Calibri Light" w:hAnsi="Calibri Light"/>
                <w:b w:val="0"/>
                <w:lang w:val="es-MX"/>
              </w:rPr>
              <w:t>de ciertas garantías de tutela procesal efectiva</w:t>
            </w:r>
            <w:r w:rsidR="00181F5F">
              <w:rPr>
                <w:rFonts w:ascii="Calibri Light" w:hAnsi="Calibri Light"/>
                <w:b w:val="0"/>
                <w:lang w:val="es-MX"/>
              </w:rPr>
              <w:t>,</w:t>
            </w:r>
            <w:r w:rsidR="00C92DC5">
              <w:rPr>
                <w:rFonts w:ascii="Calibri Light" w:hAnsi="Calibri Light"/>
                <w:b w:val="0"/>
                <w:lang w:val="es-MX"/>
              </w:rPr>
              <w:t xml:space="preserve"> </w:t>
            </w:r>
            <w:r w:rsidR="00181F5F">
              <w:rPr>
                <w:rFonts w:ascii="Calibri Light" w:hAnsi="Calibri Light"/>
                <w:b w:val="0"/>
                <w:lang w:val="es-MX"/>
              </w:rPr>
              <w:t xml:space="preserve">particularmente la exigencia de resolución motivada, </w:t>
            </w:r>
            <w:r w:rsidR="00C92DC5">
              <w:rPr>
                <w:rFonts w:ascii="Calibri Light" w:hAnsi="Calibri Light"/>
                <w:b w:val="0"/>
                <w:lang w:val="es-MX"/>
              </w:rPr>
              <w:t xml:space="preserve">en el proceso de ratificación </w:t>
            </w:r>
            <w:r w:rsidR="00181F5F">
              <w:rPr>
                <w:rFonts w:ascii="Calibri Light" w:hAnsi="Calibri Light"/>
                <w:b w:val="0"/>
                <w:lang w:val="es-MX"/>
              </w:rPr>
              <w:t>del señor Figueroa</w:t>
            </w:r>
            <w:r w:rsidR="00901C29">
              <w:rPr>
                <w:rFonts w:ascii="Calibri Light" w:hAnsi="Calibri Light"/>
                <w:b w:val="0"/>
                <w:lang w:val="es-MX"/>
              </w:rPr>
              <w:t>.</w:t>
            </w:r>
          </w:p>
          <w:p w:rsidR="00901C29" w:rsidP="00946D1A" w:rsidRDefault="00901C29" w14:paraId="6227DE14" w14:textId="2E7F991C">
            <w:pPr>
              <w:jc w:val="both"/>
              <w:rPr>
                <w:rFonts w:ascii="Calibri Light" w:hAnsi="Calibri Light"/>
                <w:b w:val="0"/>
                <w:lang w:val="es-MX"/>
              </w:rPr>
            </w:pPr>
          </w:p>
          <w:p w:rsidR="00901C29" w:rsidP="00946D1A" w:rsidRDefault="00901C29" w14:paraId="70218A9B" w14:textId="76B37532">
            <w:pPr>
              <w:jc w:val="both"/>
              <w:rPr>
                <w:rFonts w:ascii="Calibri Light" w:hAnsi="Calibri Light"/>
                <w:b w:val="0"/>
                <w:lang w:val="es-MX"/>
              </w:rPr>
            </w:pPr>
            <w:r>
              <w:rPr>
                <w:rFonts w:ascii="Calibri Light" w:hAnsi="Calibri Light"/>
                <w:b w:val="0"/>
                <w:lang w:val="es-MX"/>
              </w:rPr>
              <w:t xml:space="preserve">2. El Estado peruano </w:t>
            </w:r>
            <w:r w:rsidR="0091258B">
              <w:rPr>
                <w:rFonts w:ascii="Calibri Light" w:hAnsi="Calibri Light"/>
                <w:b w:val="0"/>
                <w:lang w:val="es-MX"/>
              </w:rPr>
              <w:t xml:space="preserve">se comprometió a </w:t>
            </w:r>
            <w:r>
              <w:rPr>
                <w:rFonts w:ascii="Calibri Light" w:hAnsi="Calibri Light"/>
                <w:b w:val="0"/>
                <w:lang w:val="es-MX"/>
              </w:rPr>
              <w:t xml:space="preserve">dejar sin efecto las resoluciones que declararon la no ratificación del señor Figueroa. En consecuencia: i) </w:t>
            </w:r>
            <w:r w:rsidR="00EA605E">
              <w:rPr>
                <w:rFonts w:ascii="Calibri Light" w:hAnsi="Calibri Light"/>
                <w:b w:val="0"/>
                <w:lang w:val="es-MX"/>
              </w:rPr>
              <w:t>e</w:t>
            </w:r>
            <w:r w:rsidR="007D636B">
              <w:rPr>
                <w:rFonts w:ascii="Calibri Light" w:hAnsi="Calibri Light"/>
                <w:b w:val="0"/>
                <w:lang w:val="es-MX"/>
              </w:rPr>
              <w:t xml:space="preserve">l CNM </w:t>
            </w:r>
            <w:r w:rsidR="00592482">
              <w:rPr>
                <w:rFonts w:ascii="Calibri Light" w:hAnsi="Calibri Light"/>
                <w:b w:val="0"/>
                <w:lang w:val="es-MX"/>
              </w:rPr>
              <w:t>rehabilitar</w:t>
            </w:r>
            <w:r w:rsidR="00EA605E">
              <w:rPr>
                <w:rFonts w:ascii="Calibri Light" w:hAnsi="Calibri Light"/>
                <w:b w:val="0"/>
                <w:lang w:val="es-MX"/>
              </w:rPr>
              <w:t>á</w:t>
            </w:r>
            <w:r w:rsidR="00592482">
              <w:rPr>
                <w:rFonts w:ascii="Calibri Light" w:hAnsi="Calibri Light"/>
                <w:b w:val="0"/>
                <w:lang w:val="es-MX"/>
              </w:rPr>
              <w:t xml:space="preserve"> el título correspondiente </w:t>
            </w:r>
            <w:r w:rsidR="00181F5F">
              <w:rPr>
                <w:rFonts w:ascii="Calibri Light" w:hAnsi="Calibri Light"/>
                <w:b w:val="0"/>
                <w:lang w:val="es-MX"/>
              </w:rPr>
              <w:t xml:space="preserve">del señor Figueroa </w:t>
            </w:r>
            <w:r w:rsidR="00592482">
              <w:rPr>
                <w:rFonts w:ascii="Calibri Light" w:hAnsi="Calibri Light"/>
                <w:b w:val="0"/>
                <w:lang w:val="es-MX"/>
              </w:rPr>
              <w:t xml:space="preserve">tras la homologación del Acuerdo de Solución Amistosa, </w:t>
            </w:r>
            <w:proofErr w:type="spellStart"/>
            <w:r w:rsidR="00592482">
              <w:rPr>
                <w:rFonts w:ascii="Calibri Light" w:hAnsi="Calibri Light"/>
                <w:b w:val="0"/>
                <w:lang w:val="es-MX"/>
              </w:rPr>
              <w:t>ii</w:t>
            </w:r>
            <w:proofErr w:type="spellEnd"/>
            <w:r w:rsidR="00592482">
              <w:rPr>
                <w:rFonts w:ascii="Calibri Light" w:hAnsi="Calibri Light"/>
                <w:b w:val="0"/>
                <w:lang w:val="es-MX"/>
              </w:rPr>
              <w:t xml:space="preserve">) el Estado </w:t>
            </w:r>
            <w:r w:rsidR="00EA605E">
              <w:rPr>
                <w:rFonts w:ascii="Calibri Light" w:hAnsi="Calibri Light"/>
                <w:b w:val="0"/>
                <w:lang w:val="es-MX"/>
              </w:rPr>
              <w:t>reconocerá</w:t>
            </w:r>
            <w:r w:rsidR="00592482">
              <w:rPr>
                <w:rFonts w:ascii="Calibri Light" w:hAnsi="Calibri Light"/>
                <w:b w:val="0"/>
                <w:lang w:val="es-MX"/>
              </w:rPr>
              <w:t xml:space="preserve"> al señor Figueroa el tiempo de servicios no laborado contado desde la fecha de la emisión de la </w:t>
            </w:r>
            <w:r w:rsidR="00EA605E">
              <w:rPr>
                <w:rFonts w:ascii="Calibri Light" w:hAnsi="Calibri Light"/>
                <w:b w:val="0"/>
                <w:lang w:val="es-MX"/>
              </w:rPr>
              <w:t>r</w:t>
            </w:r>
            <w:r w:rsidR="00592482">
              <w:rPr>
                <w:rFonts w:ascii="Calibri Light" w:hAnsi="Calibri Light"/>
                <w:b w:val="0"/>
                <w:lang w:val="es-MX"/>
              </w:rPr>
              <w:t>esolución de no ratificación</w:t>
            </w:r>
            <w:r w:rsidR="007D636B">
              <w:rPr>
                <w:rFonts w:ascii="Calibri Light" w:hAnsi="Calibri Light"/>
                <w:b w:val="0"/>
                <w:lang w:val="es-MX"/>
              </w:rPr>
              <w:t xml:space="preserve">, </w:t>
            </w:r>
            <w:r w:rsidR="00EA605E">
              <w:rPr>
                <w:rFonts w:ascii="Calibri Light" w:hAnsi="Calibri Light"/>
                <w:b w:val="0"/>
                <w:lang w:val="es-MX"/>
              </w:rPr>
              <w:t xml:space="preserve">y </w:t>
            </w:r>
            <w:proofErr w:type="spellStart"/>
            <w:r w:rsidR="007D636B">
              <w:rPr>
                <w:rFonts w:ascii="Calibri Light" w:hAnsi="Calibri Light"/>
                <w:b w:val="0"/>
                <w:lang w:val="es-MX"/>
              </w:rPr>
              <w:t>iii</w:t>
            </w:r>
            <w:proofErr w:type="spellEnd"/>
            <w:r w:rsidR="007D636B">
              <w:rPr>
                <w:rFonts w:ascii="Calibri Light" w:hAnsi="Calibri Light"/>
                <w:b w:val="0"/>
                <w:lang w:val="es-MX"/>
              </w:rPr>
              <w:t xml:space="preserve">) </w:t>
            </w:r>
            <w:r w:rsidR="00EA605E">
              <w:rPr>
                <w:rFonts w:ascii="Calibri Light" w:hAnsi="Calibri Light"/>
                <w:b w:val="0"/>
                <w:lang w:val="es-MX"/>
              </w:rPr>
              <w:t>e</w:t>
            </w:r>
            <w:r w:rsidR="007D636B">
              <w:rPr>
                <w:rFonts w:ascii="Calibri Light" w:hAnsi="Calibri Light"/>
                <w:b w:val="0"/>
                <w:lang w:val="es-MX"/>
              </w:rPr>
              <w:t xml:space="preserve">l señor Figueroa </w:t>
            </w:r>
            <w:r w:rsidR="00EA605E">
              <w:rPr>
                <w:rFonts w:ascii="Calibri Light" w:hAnsi="Calibri Light"/>
                <w:b w:val="0"/>
                <w:lang w:val="es-MX"/>
              </w:rPr>
              <w:t>asumirá</w:t>
            </w:r>
            <w:r w:rsidR="007D636B">
              <w:rPr>
                <w:rFonts w:ascii="Calibri Light" w:hAnsi="Calibri Light"/>
                <w:b w:val="0"/>
                <w:lang w:val="es-MX"/>
              </w:rPr>
              <w:t xml:space="preserve"> el pago de los aportes previsionales por los años de servicios reconocidos.</w:t>
            </w:r>
          </w:p>
          <w:p w:rsidR="007D636B" w:rsidP="00946D1A" w:rsidRDefault="007D636B" w14:paraId="39596042" w14:textId="34CEA8FB">
            <w:pPr>
              <w:jc w:val="both"/>
              <w:rPr>
                <w:rFonts w:ascii="Calibri Light" w:hAnsi="Calibri Light"/>
                <w:b w:val="0"/>
                <w:lang w:val="es-MX"/>
              </w:rPr>
            </w:pPr>
          </w:p>
          <w:p w:rsidR="005620A8" w:rsidP="005440CA" w:rsidRDefault="007D636B" w14:paraId="0C356B32" w14:textId="0AF96095">
            <w:pPr>
              <w:jc w:val="both"/>
              <w:rPr>
                <w:rFonts w:ascii="Calibri Light" w:hAnsi="Calibri Light"/>
                <w:b w:val="0"/>
                <w:lang w:val="es-MX"/>
              </w:rPr>
            </w:pPr>
            <w:r>
              <w:rPr>
                <w:rFonts w:ascii="Calibri Light" w:hAnsi="Calibri Light"/>
                <w:b w:val="0"/>
                <w:lang w:val="es-MX"/>
              </w:rPr>
              <w:t xml:space="preserve">3. </w:t>
            </w:r>
            <w:r w:rsidR="000E0F9D">
              <w:rPr>
                <w:rFonts w:ascii="Calibri Light" w:hAnsi="Calibri Light"/>
                <w:b w:val="0"/>
                <w:lang w:val="es-MX"/>
              </w:rPr>
              <w:t>Las partes acordaron poner fin a la controversia con la suscripción del Acuerdo de Solución Amistosa, así como a cualquier reclamo contra el Estado peruano, en sede nacional y/o internacional, relacionado con los hechos reconocidos por el Estado.</w:t>
            </w:r>
            <w:r>
              <w:rPr>
                <w:rFonts w:ascii="Calibri Light" w:hAnsi="Calibri Light"/>
                <w:b w:val="0"/>
                <w:lang w:val="es-MX"/>
              </w:rPr>
              <w:t xml:space="preserve"> </w:t>
            </w:r>
          </w:p>
          <w:p w:rsidRPr="009F2DCF" w:rsidR="005440CA" w:rsidP="005440CA" w:rsidRDefault="005440CA" w14:paraId="3773E698" w14:textId="0E3B18DC">
            <w:pPr>
              <w:jc w:val="both"/>
              <w:rPr>
                <w:rFonts w:ascii="Calibri Light" w:hAnsi="Calibri Light"/>
                <w:b w:val="0"/>
              </w:rPr>
            </w:pPr>
          </w:p>
        </w:tc>
      </w:tr>
      <w:tr w:rsidR="00BB4290" w:rsidTr="07EDAA16" w14:paraId="4AB0001C" w14:textId="77777777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3"/>
            <w:tcMar/>
            <w:vAlign w:val="bottom"/>
          </w:tcPr>
          <w:p w:rsidRPr="004B6CF6" w:rsidR="00BB4290" w:rsidP="004B6CF6" w:rsidRDefault="004B6CF6" w14:paraId="72448BB1" w14:textId="60D1D3A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Determinación de compatibilidad y cumplimiento</w:t>
            </w:r>
          </w:p>
        </w:tc>
      </w:tr>
      <w:tr w:rsidRPr="00770CAD" w:rsidR="00BB4290" w:rsidTr="07EDAA16" w14:paraId="0A8D33E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3"/>
            <w:tcMar/>
          </w:tcPr>
          <w:p w:rsidR="00F526BD" w:rsidP="00F526BD" w:rsidRDefault="00F526BD" w14:paraId="7E81984B" w14:textId="77777777">
            <w:pPr>
              <w:rPr>
                <w:rFonts w:ascii="Calibri Light" w:hAnsi="Calibri Light" w:eastAsia="Calibri" w:cs="Times New Roman"/>
                <w:b w:val="0"/>
                <w:lang w:val="es-ES"/>
              </w:rPr>
            </w:pPr>
          </w:p>
          <w:p w:rsidR="00F526BD" w:rsidP="00F526BD" w:rsidRDefault="00F526BD" w14:paraId="2E374099" w14:textId="77777777">
            <w:pPr>
              <w:rPr>
                <w:rFonts w:ascii="Calibri Light" w:hAnsi="Calibri Light"/>
                <w:b w:val="0"/>
              </w:rPr>
            </w:pPr>
            <w:r>
              <w:rPr>
                <w:rFonts w:ascii="Calibri Light" w:hAnsi="Calibri Light"/>
                <w:b w:val="0"/>
              </w:rPr>
              <w:t>La CIDH, a partir de la información suministrada por las partes, determinó:</w:t>
            </w:r>
          </w:p>
          <w:p w:rsidR="00F526BD" w:rsidP="00F526BD" w:rsidRDefault="00F526BD" w14:paraId="16BB34C7" w14:textId="77777777">
            <w:pPr>
              <w:rPr>
                <w:rFonts w:ascii="Calibri Light" w:hAnsi="Calibri Light"/>
                <w:b w:val="0"/>
              </w:rPr>
            </w:pPr>
          </w:p>
          <w:p w:rsidRPr="00071A3D" w:rsidR="00F526BD" w:rsidP="00071A3D" w:rsidRDefault="00D602B2" w14:paraId="3D0ACDD8" w14:textId="777777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 Light" w:hAnsi="Calibri Light"/>
                <w:lang w:val="es-ES"/>
              </w:rPr>
            </w:pPr>
            <w:r>
              <w:rPr>
                <w:rFonts w:ascii="Calibri Light" w:hAnsi="Calibri Light"/>
                <w:b w:val="0"/>
              </w:rPr>
              <w:t>Aprobar los términos del acuerdo de solución amistosa suscrito por las partes el</w:t>
            </w:r>
            <w:r w:rsidR="00071A3D">
              <w:rPr>
                <w:rFonts w:ascii="Calibri Light" w:hAnsi="Calibri Light"/>
                <w:b w:val="0"/>
              </w:rPr>
              <w:t xml:space="preserve"> 23 de abril de 2018</w:t>
            </w:r>
            <w:r>
              <w:rPr>
                <w:rFonts w:ascii="Calibri Light" w:hAnsi="Calibri Light"/>
                <w:b w:val="0"/>
              </w:rPr>
              <w:t>,</w:t>
            </w:r>
          </w:p>
          <w:p w:rsidRPr="005440CA" w:rsidR="005440CA" w:rsidP="005440CA" w:rsidRDefault="00071A3D" w14:paraId="49D6EA97" w14:textId="777777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 Light" w:hAnsi="Calibri Light"/>
                <w:lang w:val="es-ES"/>
              </w:rPr>
            </w:pPr>
            <w:r>
              <w:rPr>
                <w:rFonts w:ascii="Calibri Light" w:hAnsi="Calibri Light"/>
                <w:b w:val="0"/>
              </w:rPr>
              <w:t>Continuar con la supervisión de los compromisos establecidos en el acuerdo de solución amistosa, recordando a las partes su compromiso de informar periódicamente a la CIDH sobre el cumplimiento de las medidas previstas.</w:t>
            </w:r>
          </w:p>
          <w:p w:rsidRPr="000D47C5" w:rsidR="005440CA" w:rsidP="005440CA" w:rsidRDefault="005440CA" w14:paraId="5D0100EC" w14:textId="785E0446">
            <w:pPr>
              <w:pStyle w:val="ListParagraph"/>
              <w:spacing w:after="0" w:line="240" w:lineRule="auto"/>
              <w:jc w:val="both"/>
              <w:rPr>
                <w:rFonts w:ascii="Calibri Light" w:hAnsi="Calibri Light"/>
                <w:lang w:val="es-ES"/>
              </w:rPr>
            </w:pPr>
          </w:p>
        </w:tc>
      </w:tr>
      <w:tr w:rsidRPr="008E2A87" w:rsidR="0059618A" w:rsidTr="07EDAA16" w14:paraId="6FAB7089" w14:textId="77777777">
        <w:trPr>
          <w:trHeight w:val="8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3"/>
            <w:tcMar/>
          </w:tcPr>
          <w:p w:rsidR="0059618A" w:rsidP="00F526BD" w:rsidRDefault="0059618A" w14:paraId="4F47113B" w14:textId="77777777">
            <w:pPr>
              <w:rPr>
                <w:rFonts w:ascii="Calibri Light" w:hAnsi="Calibri Light" w:eastAsia="Calibri" w:cs="Times New Roman"/>
                <w:bCs w:val="0"/>
                <w:lang w:val="es-ES"/>
              </w:rPr>
            </w:pPr>
          </w:p>
          <w:p w:rsidRPr="008E2A87" w:rsidR="00842876" w:rsidP="00842876" w:rsidRDefault="00842876" w14:paraId="7AC4EC55" w14:textId="64F60850">
            <w:pPr>
              <w:jc w:val="center"/>
              <w:rPr>
                <w:rFonts w:ascii="Calibri Light" w:hAnsi="Calibri Light" w:eastAsia="Calibri" w:cs="Times New Roman"/>
                <w:bCs w:val="0"/>
                <w:lang w:val="es-ES"/>
              </w:rPr>
            </w:pPr>
            <w:r w:rsidRPr="008E2A87">
              <w:rPr>
                <w:rFonts w:ascii="Calibri Light" w:hAnsi="Calibri Light" w:eastAsia="Calibri" w:cs="Times New Roman"/>
                <w:bCs w:val="0"/>
                <w:lang w:val="es-ES"/>
              </w:rPr>
              <w:t>G.</w:t>
            </w:r>
            <w:r w:rsidRPr="008E2A87">
              <w:rPr>
                <w:rFonts w:ascii="Calibri Light" w:hAnsi="Calibri Light" w:eastAsia="Calibri" w:cs="Times New Roman"/>
                <w:bCs w:val="0"/>
                <w:lang w:val="es-ES"/>
              </w:rPr>
              <w:tab/>
            </w:r>
            <w:r w:rsidRPr="008E2A87">
              <w:rPr>
                <w:rFonts w:ascii="Calibri Light" w:hAnsi="Calibri Light" w:eastAsia="Calibri" w:cs="Times New Roman"/>
                <w:bCs w:val="0"/>
                <w:lang w:val="es-ES"/>
              </w:rPr>
              <w:t>Impactos individuales y estructurales del ASA</w:t>
            </w:r>
          </w:p>
        </w:tc>
      </w:tr>
      <w:tr w:rsidRPr="00770CAD" w:rsidR="001C7B0E" w:rsidTr="07EDAA16" w14:paraId="171395A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3"/>
            <w:tcMar/>
          </w:tcPr>
          <w:p w:rsidRPr="008E2A87" w:rsidR="0072683C" w:rsidP="00F526BD" w:rsidRDefault="0072683C" w14:paraId="230DD9B5" w14:textId="77777777">
            <w:pPr>
              <w:rPr>
                <w:rFonts w:ascii="Calibri Light" w:hAnsi="Calibri Light" w:eastAsia="Calibri" w:cs="Times New Roman"/>
                <w:bCs w:val="0"/>
                <w:lang w:val="es-CO"/>
              </w:rPr>
            </w:pPr>
          </w:p>
          <w:p w:rsidRPr="008E2A87" w:rsidR="001C7B0E" w:rsidP="07EDAA16" w:rsidRDefault="006C4CBB" w14:paraId="5CE8C270" w14:textId="7894EB83">
            <w:pPr>
              <w:jc w:val="left"/>
              <w:rPr>
                <w:rFonts w:ascii="Calibri Light" w:hAnsi="Calibri Light" w:eastAsia="Calibri" w:cs="Times New Roman"/>
                <w:lang w:val="es-CO"/>
              </w:rPr>
            </w:pPr>
            <w:r w:rsidRPr="07EDAA16" w:rsidR="006C4CBB">
              <w:rPr>
                <w:rFonts w:ascii="Calibri Light" w:hAnsi="Calibri Light" w:eastAsia="Calibri" w:cs="Times New Roman"/>
                <w:b w:val="0"/>
                <w:bCs w:val="0"/>
                <w:lang w:val="es-CO"/>
              </w:rPr>
              <w:t>En el marco del seguimiento de la implementación del acuerdo de solución amistosa la Comisión ha identificado los siguientes impactos individuales derivados del cumplimiento de este:</w:t>
            </w:r>
          </w:p>
          <w:p w:rsidRPr="008E2A87" w:rsidR="00842876" w:rsidP="00F526BD" w:rsidRDefault="00842876" w14:paraId="67E1BF8D" w14:textId="77777777">
            <w:pPr>
              <w:rPr>
                <w:rFonts w:ascii="Calibri Light" w:hAnsi="Calibri Light" w:eastAsia="Calibri" w:cs="Times New Roman"/>
                <w:bCs w:val="0"/>
                <w:lang w:val="es-CO"/>
              </w:rPr>
            </w:pPr>
          </w:p>
          <w:p w:rsidRPr="008E2A87" w:rsidR="007109EB" w:rsidP="007109EB" w:rsidRDefault="007109EB" w14:paraId="77438DDB" w14:textId="1499064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 Light" w:hAnsi="Calibri Light"/>
                <w:b w:val="0"/>
                <w:lang w:val="es-CO"/>
              </w:rPr>
            </w:pPr>
            <w:r w:rsidRPr="008E2A87">
              <w:rPr>
                <w:rFonts w:ascii="Calibri Light" w:hAnsi="Calibri Light"/>
                <w:lang w:val="es-CO"/>
              </w:rPr>
              <w:t>Resultados individuales del caso</w:t>
            </w:r>
          </w:p>
          <w:p w:rsidRPr="008E2A87" w:rsidR="007109EB" w:rsidP="007109EB" w:rsidRDefault="007109EB" w14:paraId="1692B0E5" w14:textId="77777777">
            <w:pPr>
              <w:pStyle w:val="ListParagraph"/>
              <w:spacing w:after="0" w:line="240" w:lineRule="auto"/>
              <w:ind w:left="1785"/>
              <w:rPr>
                <w:rFonts w:ascii="Calibri Light" w:hAnsi="Calibri Light"/>
                <w:lang w:val="es-CO"/>
              </w:rPr>
            </w:pPr>
          </w:p>
          <w:p w:rsidRPr="008E2A87" w:rsidR="007109EB" w:rsidP="007109EB" w:rsidRDefault="007109EB" w14:paraId="75A60630" w14:textId="77777777">
            <w:pPr>
              <w:ind w:left="705" w:firstLine="720"/>
              <w:rPr>
                <w:rFonts w:ascii="Calibri Light" w:hAnsi="Calibri Light" w:eastAsia="Calibri" w:cs="Times New Roman"/>
                <w:b w:val="0"/>
                <w:lang w:val="es-CO"/>
              </w:rPr>
            </w:pPr>
            <w:r w:rsidRPr="008E2A87">
              <w:rPr>
                <w:rFonts w:ascii="Calibri Light" w:hAnsi="Calibri Light" w:eastAsia="Calibri" w:cs="Times New Roman"/>
                <w:b w:val="0"/>
                <w:lang w:val="es-CO"/>
              </w:rPr>
              <w:t>• El Estado reconoció su responsabilidad por los hechos acaecidos.</w:t>
            </w:r>
          </w:p>
          <w:p w:rsidRPr="008E2A87" w:rsidR="007109EB" w:rsidP="007109EB" w:rsidRDefault="007109EB" w14:paraId="7D48548C" w14:textId="77777777">
            <w:pPr>
              <w:ind w:left="705" w:firstLine="720"/>
              <w:rPr>
                <w:rFonts w:ascii="Calibri Light" w:hAnsi="Calibri Light" w:eastAsia="Calibri" w:cs="Times New Roman"/>
                <w:b w:val="0"/>
                <w:lang w:val="es-CO"/>
              </w:rPr>
            </w:pPr>
            <w:r w:rsidRPr="008E2A87">
              <w:rPr>
                <w:rFonts w:ascii="Calibri Light" w:hAnsi="Calibri Light" w:eastAsia="Calibri" w:cs="Times New Roman"/>
                <w:b w:val="0"/>
                <w:lang w:val="es-CO"/>
              </w:rPr>
              <w:t xml:space="preserve">• El Estado reconoció el tiempo de servicios no laborados contados desde la fecha de </w:t>
            </w:r>
          </w:p>
          <w:p w:rsidRPr="008E2A87" w:rsidR="007109EB" w:rsidP="007109EB" w:rsidRDefault="007109EB" w14:paraId="5AE07B77" w14:textId="77777777">
            <w:pPr>
              <w:ind w:left="705" w:firstLine="720"/>
              <w:rPr>
                <w:rFonts w:ascii="Calibri Light" w:hAnsi="Calibri Light" w:eastAsia="Calibri" w:cs="Times New Roman"/>
                <w:b w:val="0"/>
                <w:lang w:val="es-CO"/>
              </w:rPr>
            </w:pPr>
            <w:r w:rsidRPr="008E2A87">
              <w:rPr>
                <w:rFonts w:ascii="Calibri Light" w:hAnsi="Calibri Light" w:eastAsia="Calibri" w:cs="Times New Roman"/>
                <w:b w:val="0"/>
                <w:lang w:val="es-CO"/>
              </w:rPr>
              <w:t xml:space="preserve">la Resolución de no ratificación, para los efectos del cómputo de su tiempo de </w:t>
            </w:r>
          </w:p>
          <w:p w:rsidRPr="008E2A87" w:rsidR="007109EB" w:rsidP="007109EB" w:rsidRDefault="007109EB" w14:paraId="70ED60C4" w14:textId="77777777">
            <w:pPr>
              <w:ind w:left="705" w:firstLine="720"/>
              <w:rPr>
                <w:rFonts w:ascii="Calibri Light" w:hAnsi="Calibri Light" w:eastAsia="Calibri" w:cs="Times New Roman"/>
                <w:b w:val="0"/>
                <w:lang w:val="es-CO"/>
              </w:rPr>
            </w:pPr>
            <w:r w:rsidRPr="008E2A87">
              <w:rPr>
                <w:rFonts w:ascii="Calibri Light" w:hAnsi="Calibri Light" w:eastAsia="Calibri" w:cs="Times New Roman"/>
                <w:b w:val="0"/>
                <w:lang w:val="es-CO"/>
              </w:rPr>
              <w:t>servicios y jubilación.</w:t>
            </w:r>
          </w:p>
          <w:p w:rsidRPr="008E2A87" w:rsidR="007109EB" w:rsidP="007109EB" w:rsidRDefault="007109EB" w14:paraId="5DA6258E" w14:textId="77777777">
            <w:pPr>
              <w:ind w:left="705" w:firstLine="720"/>
              <w:rPr>
                <w:rFonts w:ascii="Calibri Light" w:hAnsi="Calibri Light" w:eastAsia="Calibri" w:cs="Times New Roman"/>
                <w:b w:val="0"/>
                <w:lang w:val="es-CO"/>
              </w:rPr>
            </w:pPr>
            <w:r w:rsidRPr="008E2A87">
              <w:rPr>
                <w:rFonts w:ascii="Calibri Light" w:hAnsi="Calibri Light" w:eastAsia="Calibri" w:cs="Times New Roman"/>
                <w:b w:val="0"/>
                <w:lang w:val="es-CO"/>
              </w:rPr>
              <w:t xml:space="preserve">• El Estado rehabilitó el título de Vocal de la Corte Superior del Distrito Judicial de </w:t>
            </w:r>
          </w:p>
          <w:p w:rsidRPr="008E2A87" w:rsidR="007109EB" w:rsidP="007109EB" w:rsidRDefault="007109EB" w14:paraId="49FB9738" w14:textId="77777777">
            <w:pPr>
              <w:ind w:left="705" w:firstLine="720"/>
              <w:rPr>
                <w:rFonts w:ascii="Calibri Light" w:hAnsi="Calibri Light" w:eastAsia="Calibri" w:cs="Times New Roman"/>
                <w:b w:val="0"/>
                <w:lang w:val="es-CO"/>
              </w:rPr>
            </w:pPr>
            <w:r w:rsidRPr="008E2A87">
              <w:rPr>
                <w:rFonts w:ascii="Calibri Light" w:hAnsi="Calibri Light" w:eastAsia="Calibri" w:cs="Times New Roman"/>
                <w:b w:val="0"/>
                <w:lang w:val="es-CO"/>
              </w:rPr>
              <w:t xml:space="preserve">Amazonas, otorgado a favor de Juan Figueroa Acosta (ahora Juez Superior de la Corte </w:t>
            </w:r>
          </w:p>
          <w:p w:rsidRPr="008E2A87" w:rsidR="007109EB" w:rsidP="007109EB" w:rsidRDefault="007109EB" w14:paraId="559A9EDF" w14:textId="487DBE9D">
            <w:pPr>
              <w:ind w:left="705" w:firstLine="720"/>
              <w:rPr>
                <w:rFonts w:ascii="Calibri Light" w:hAnsi="Calibri Light" w:eastAsia="Calibri" w:cs="Times New Roman"/>
                <w:bCs w:val="0"/>
                <w:lang w:val="es-CO"/>
              </w:rPr>
            </w:pPr>
            <w:r w:rsidRPr="008E2A87">
              <w:rPr>
                <w:rFonts w:ascii="Calibri Light" w:hAnsi="Calibri Light" w:eastAsia="Calibri" w:cs="Times New Roman"/>
                <w:b w:val="0"/>
                <w:lang w:val="es-CO"/>
              </w:rPr>
              <w:t>Superior de Justicia de Amazonas.</w:t>
            </w:r>
          </w:p>
          <w:p w:rsidRPr="008E2A87" w:rsidR="007109EB" w:rsidP="007109EB" w:rsidRDefault="007109EB" w14:paraId="1B065CD6" w14:textId="5E244260">
            <w:pPr>
              <w:ind w:left="705" w:firstLine="720"/>
              <w:rPr>
                <w:rFonts w:ascii="Calibri Light" w:hAnsi="Calibri Light" w:eastAsia="Calibri" w:cs="Times New Roman"/>
                <w:bCs w:val="0"/>
                <w:lang w:val="es-CO"/>
              </w:rPr>
            </w:pPr>
          </w:p>
          <w:p w:rsidRPr="008E2A87" w:rsidR="007109EB" w:rsidP="00891B5B" w:rsidRDefault="0072683C" w14:paraId="30134567" w14:textId="33B53560">
            <w:pPr>
              <w:jc w:val="both"/>
              <w:rPr>
                <w:rFonts w:ascii="Calibri Light" w:hAnsi="Calibri Light" w:eastAsia="Calibri" w:cs="Times New Roman"/>
                <w:b w:val="0"/>
                <w:lang w:val="es-CO"/>
              </w:rPr>
            </w:pPr>
            <w:r w:rsidRPr="008E2A87">
              <w:rPr>
                <w:rFonts w:ascii="Calibri Light" w:hAnsi="Calibri Light" w:eastAsia="Calibri" w:cs="Times New Roman"/>
                <w:b w:val="0"/>
                <w:lang w:val="es-CO"/>
              </w:rPr>
              <w:t>La Comisión declaró el cumplimiento total del asunto y el cese del seguimiento del acuerdo de solución amistosa en el Informe Anual de 2020.</w:t>
            </w:r>
          </w:p>
          <w:p w:rsidRPr="008E2A87" w:rsidR="00842876" w:rsidP="00F526BD" w:rsidRDefault="00842876" w14:paraId="74D306A1" w14:textId="77777777">
            <w:pPr>
              <w:rPr>
                <w:rFonts w:ascii="Calibri Light" w:hAnsi="Calibri Light" w:eastAsia="Calibri" w:cs="Times New Roman"/>
                <w:bCs w:val="0"/>
                <w:lang w:val="es-CO"/>
              </w:rPr>
            </w:pPr>
          </w:p>
          <w:p w:rsidRPr="008E2A87" w:rsidR="00842876" w:rsidP="00F526BD" w:rsidRDefault="00842876" w14:paraId="7BF8E91A" w14:textId="2BF1C303">
            <w:pPr>
              <w:rPr>
                <w:rFonts w:ascii="Calibri Light" w:hAnsi="Calibri Light" w:eastAsia="Calibri" w:cs="Times New Roman"/>
                <w:b w:val="0"/>
                <w:lang w:val="es-CO"/>
              </w:rPr>
            </w:pPr>
          </w:p>
        </w:tc>
      </w:tr>
    </w:tbl>
    <w:p w:rsidRPr="000D47C5" w:rsidR="00C510D8" w:rsidP="005440CA" w:rsidRDefault="00C510D8" w14:paraId="1AEF71A7" w14:textId="7ED4D51E">
      <w:pPr>
        <w:spacing w:after="0" w:line="240" w:lineRule="auto"/>
        <w:outlineLvl w:val="0"/>
        <w:rPr>
          <w:rFonts w:ascii="Calibri Light" w:hAnsi="Calibri Light"/>
          <w:b/>
          <w:i/>
        </w:rPr>
      </w:pPr>
    </w:p>
    <w:sectPr w:rsidRPr="000D47C5" w:rsidR="00C510D8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5EBA"/>
    <w:multiLevelType w:val="hybridMultilevel"/>
    <w:tmpl w:val="5D9ECC1C"/>
    <w:lvl w:ilvl="0" w:tplc="D9DC7A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DA25AB"/>
    <w:multiLevelType w:val="hybridMultilevel"/>
    <w:tmpl w:val="7FD0BA4C"/>
    <w:lvl w:ilvl="0" w:tplc="04090003">
      <w:start w:val="1"/>
      <w:numFmt w:val="bullet"/>
      <w:lvlText w:val="o"/>
      <w:lvlJc w:val="left"/>
      <w:pPr>
        <w:ind w:left="786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2" w15:restartNumberingAfterBreak="0">
    <w:nsid w:val="25A43E7E"/>
    <w:multiLevelType w:val="hybridMultilevel"/>
    <w:tmpl w:val="07221966"/>
    <w:lvl w:ilvl="0" w:tplc="04090001">
      <w:start w:val="1"/>
      <w:numFmt w:val="bullet"/>
      <w:lvlText w:val=""/>
      <w:lvlJc w:val="left"/>
      <w:pPr>
        <w:ind w:left="107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hint="default" w:ascii="Wingdings" w:hAnsi="Wingdings"/>
      </w:rPr>
    </w:lvl>
  </w:abstractNum>
  <w:abstractNum w:abstractNumId="3" w15:restartNumberingAfterBreak="0">
    <w:nsid w:val="26E42358"/>
    <w:multiLevelType w:val="hybridMultilevel"/>
    <w:tmpl w:val="3DC40902"/>
    <w:lvl w:ilvl="0" w:tplc="28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34781483"/>
    <w:multiLevelType w:val="hybridMultilevel"/>
    <w:tmpl w:val="473C251E"/>
    <w:lvl w:ilvl="0" w:tplc="04090001">
      <w:start w:val="1"/>
      <w:numFmt w:val="bullet"/>
      <w:lvlText w:val=""/>
      <w:lvlJc w:val="left"/>
      <w:pPr>
        <w:ind w:left="107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hint="default" w:ascii="Wingdings" w:hAnsi="Wingdings"/>
      </w:rPr>
    </w:lvl>
  </w:abstractNum>
  <w:abstractNum w:abstractNumId="5" w15:restartNumberingAfterBreak="0">
    <w:nsid w:val="39D44C8B"/>
    <w:multiLevelType w:val="hybridMultilevel"/>
    <w:tmpl w:val="465467D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D81334F"/>
    <w:multiLevelType w:val="hybridMultilevel"/>
    <w:tmpl w:val="66322A9C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54B04"/>
    <w:multiLevelType w:val="hybridMultilevel"/>
    <w:tmpl w:val="29C240D0"/>
    <w:lvl w:ilvl="0" w:tplc="C5B66F2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7B6C96"/>
    <w:multiLevelType w:val="hybridMultilevel"/>
    <w:tmpl w:val="66787B1C"/>
    <w:lvl w:ilvl="0" w:tplc="744E68A8">
      <w:start w:val="1"/>
      <w:numFmt w:val="upperLetter"/>
      <w:lvlText w:val="%1."/>
      <w:lvlJc w:val="left"/>
      <w:pPr>
        <w:ind w:left="1785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505" w:hanging="360"/>
      </w:pPr>
    </w:lvl>
    <w:lvl w:ilvl="2" w:tplc="240A001B" w:tentative="1">
      <w:start w:val="1"/>
      <w:numFmt w:val="lowerRoman"/>
      <w:lvlText w:val="%3."/>
      <w:lvlJc w:val="right"/>
      <w:pPr>
        <w:ind w:left="3225" w:hanging="180"/>
      </w:pPr>
    </w:lvl>
    <w:lvl w:ilvl="3" w:tplc="240A000F" w:tentative="1">
      <w:start w:val="1"/>
      <w:numFmt w:val="decimal"/>
      <w:lvlText w:val="%4."/>
      <w:lvlJc w:val="left"/>
      <w:pPr>
        <w:ind w:left="3945" w:hanging="360"/>
      </w:pPr>
    </w:lvl>
    <w:lvl w:ilvl="4" w:tplc="240A0019" w:tentative="1">
      <w:start w:val="1"/>
      <w:numFmt w:val="lowerLetter"/>
      <w:lvlText w:val="%5."/>
      <w:lvlJc w:val="left"/>
      <w:pPr>
        <w:ind w:left="4665" w:hanging="360"/>
      </w:pPr>
    </w:lvl>
    <w:lvl w:ilvl="5" w:tplc="240A001B" w:tentative="1">
      <w:start w:val="1"/>
      <w:numFmt w:val="lowerRoman"/>
      <w:lvlText w:val="%6."/>
      <w:lvlJc w:val="right"/>
      <w:pPr>
        <w:ind w:left="5385" w:hanging="180"/>
      </w:pPr>
    </w:lvl>
    <w:lvl w:ilvl="6" w:tplc="240A000F" w:tentative="1">
      <w:start w:val="1"/>
      <w:numFmt w:val="decimal"/>
      <w:lvlText w:val="%7."/>
      <w:lvlJc w:val="left"/>
      <w:pPr>
        <w:ind w:left="6105" w:hanging="360"/>
      </w:pPr>
    </w:lvl>
    <w:lvl w:ilvl="7" w:tplc="240A0019" w:tentative="1">
      <w:start w:val="1"/>
      <w:numFmt w:val="lowerLetter"/>
      <w:lvlText w:val="%8."/>
      <w:lvlJc w:val="left"/>
      <w:pPr>
        <w:ind w:left="6825" w:hanging="360"/>
      </w:pPr>
    </w:lvl>
    <w:lvl w:ilvl="8" w:tplc="24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7F901888"/>
    <w:multiLevelType w:val="hybridMultilevel"/>
    <w:tmpl w:val="4846F7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257015">
    <w:abstractNumId w:val="6"/>
  </w:num>
  <w:num w:numId="2" w16cid:durableId="1528641571">
    <w:abstractNumId w:val="0"/>
  </w:num>
  <w:num w:numId="3" w16cid:durableId="445001664">
    <w:abstractNumId w:val="7"/>
  </w:num>
  <w:num w:numId="4" w16cid:durableId="2066761114">
    <w:abstractNumId w:val="9"/>
  </w:num>
  <w:num w:numId="5" w16cid:durableId="1067916716">
    <w:abstractNumId w:val="4"/>
  </w:num>
  <w:num w:numId="6" w16cid:durableId="826626600">
    <w:abstractNumId w:val="2"/>
  </w:num>
  <w:num w:numId="7" w16cid:durableId="1950696834">
    <w:abstractNumId w:val="5"/>
  </w:num>
  <w:num w:numId="8" w16cid:durableId="2116513517">
    <w:abstractNumId w:val="1"/>
  </w:num>
  <w:num w:numId="9" w16cid:durableId="77871898">
    <w:abstractNumId w:val="3"/>
  </w:num>
  <w:num w:numId="10" w16cid:durableId="501043359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removePersonalInformation/>
  <w:removeDateAndTime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A83"/>
    <w:rsid w:val="0000083B"/>
    <w:rsid w:val="00011DAD"/>
    <w:rsid w:val="000277A0"/>
    <w:rsid w:val="0002797D"/>
    <w:rsid w:val="00071A3D"/>
    <w:rsid w:val="000B1CEA"/>
    <w:rsid w:val="000D47C5"/>
    <w:rsid w:val="000E0F9D"/>
    <w:rsid w:val="00132FB3"/>
    <w:rsid w:val="00137F7A"/>
    <w:rsid w:val="0015295D"/>
    <w:rsid w:val="00181F5F"/>
    <w:rsid w:val="001A2417"/>
    <w:rsid w:val="001A29D3"/>
    <w:rsid w:val="001A7F08"/>
    <w:rsid w:val="001C7B0E"/>
    <w:rsid w:val="001D1164"/>
    <w:rsid w:val="001D40FF"/>
    <w:rsid w:val="00232BB2"/>
    <w:rsid w:val="0029054F"/>
    <w:rsid w:val="00293D5E"/>
    <w:rsid w:val="002A4F95"/>
    <w:rsid w:val="002D3B95"/>
    <w:rsid w:val="002E55C7"/>
    <w:rsid w:val="00303E43"/>
    <w:rsid w:val="003901D8"/>
    <w:rsid w:val="00435682"/>
    <w:rsid w:val="00443377"/>
    <w:rsid w:val="004B3519"/>
    <w:rsid w:val="004B6CF6"/>
    <w:rsid w:val="004E5DD5"/>
    <w:rsid w:val="005440CA"/>
    <w:rsid w:val="005620A8"/>
    <w:rsid w:val="005913FC"/>
    <w:rsid w:val="00592482"/>
    <w:rsid w:val="0059618A"/>
    <w:rsid w:val="00610A83"/>
    <w:rsid w:val="00634AAE"/>
    <w:rsid w:val="006423A0"/>
    <w:rsid w:val="00670A7D"/>
    <w:rsid w:val="006923E0"/>
    <w:rsid w:val="006A171F"/>
    <w:rsid w:val="006C4CBB"/>
    <w:rsid w:val="007109EB"/>
    <w:rsid w:val="0072683C"/>
    <w:rsid w:val="00727375"/>
    <w:rsid w:val="007573CF"/>
    <w:rsid w:val="007D636B"/>
    <w:rsid w:val="00807477"/>
    <w:rsid w:val="00825523"/>
    <w:rsid w:val="00841BA1"/>
    <w:rsid w:val="00842876"/>
    <w:rsid w:val="0087601A"/>
    <w:rsid w:val="00891B5B"/>
    <w:rsid w:val="008B7AD2"/>
    <w:rsid w:val="008E2A87"/>
    <w:rsid w:val="008F57F8"/>
    <w:rsid w:val="00901C29"/>
    <w:rsid w:val="0091258B"/>
    <w:rsid w:val="00926B0A"/>
    <w:rsid w:val="00946D1A"/>
    <w:rsid w:val="009E26D4"/>
    <w:rsid w:val="009F2DCF"/>
    <w:rsid w:val="009F5476"/>
    <w:rsid w:val="00A76573"/>
    <w:rsid w:val="00AC6851"/>
    <w:rsid w:val="00AF4E28"/>
    <w:rsid w:val="00BB4290"/>
    <w:rsid w:val="00BD31BC"/>
    <w:rsid w:val="00C510D8"/>
    <w:rsid w:val="00C92DC5"/>
    <w:rsid w:val="00D054B8"/>
    <w:rsid w:val="00D22108"/>
    <w:rsid w:val="00D510F8"/>
    <w:rsid w:val="00D602B2"/>
    <w:rsid w:val="00D73507"/>
    <w:rsid w:val="00DA528E"/>
    <w:rsid w:val="00DC07D6"/>
    <w:rsid w:val="00DC0A5E"/>
    <w:rsid w:val="00E45581"/>
    <w:rsid w:val="00EA605E"/>
    <w:rsid w:val="00ED621F"/>
    <w:rsid w:val="00F526BD"/>
    <w:rsid w:val="00FB3EE4"/>
    <w:rsid w:val="07EDA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D94D8"/>
  <w15:docId w15:val="{3D0C1463-D2C6-40AD-BE5B-3F357D3F6C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0A83"/>
    <w:pPr>
      <w:tabs>
        <w:tab w:val="center" w:pos="4419"/>
        <w:tab w:val="right" w:pos="8838"/>
      </w:tabs>
      <w:spacing w:after="0" w:line="240" w:lineRule="auto"/>
    </w:pPr>
    <w:rPr>
      <w:rFonts w:ascii="Calibri" w:hAnsi="Calibri" w:eastAsia="Calibri" w:cs="Times New Roman"/>
      <w:lang w:val="es-MX"/>
    </w:rPr>
  </w:style>
  <w:style w:type="character" w:styleId="HeaderChar" w:customStyle="1">
    <w:name w:val="Header Char"/>
    <w:basedOn w:val="DefaultParagraphFont"/>
    <w:link w:val="Header"/>
    <w:uiPriority w:val="99"/>
    <w:rsid w:val="00610A83"/>
    <w:rPr>
      <w:rFonts w:ascii="Calibri" w:hAnsi="Calibri" w:eastAsia="Calibri" w:cs="Times New Roman"/>
      <w:lang w:val="es-MX"/>
    </w:rPr>
  </w:style>
  <w:style w:type="paragraph" w:styleId="ListParagraph">
    <w:name w:val="List Paragraph"/>
    <w:basedOn w:val="Normal"/>
    <w:uiPriority w:val="34"/>
    <w:qFormat/>
    <w:rsid w:val="00610A83"/>
    <w:pPr>
      <w:spacing w:after="200" w:line="276" w:lineRule="auto"/>
      <w:ind w:left="720"/>
      <w:contextualSpacing/>
    </w:pPr>
    <w:rPr>
      <w:rFonts w:ascii="Calibri" w:hAnsi="Calibri" w:eastAsia="Calibri" w:cs="Times New Roman"/>
      <w:lang w:val="es-MX"/>
    </w:rPr>
  </w:style>
  <w:style w:type="table" w:styleId="Tabladelista2-nfasis11" w:customStyle="1">
    <w:name w:val="Tabla de lista 2 - Énfasis 11"/>
    <w:basedOn w:val="TableNormal"/>
    <w:uiPriority w:val="47"/>
    <w:rsid w:val="00610A83"/>
    <w:pPr>
      <w:spacing w:after="0" w:line="240" w:lineRule="auto"/>
    </w:pPr>
    <w:tblPr>
      <w:tblStyleRowBandSize w:val="1"/>
      <w:tblStyleColBandSize w:val="1"/>
      <w:tblBorders>
        <w:top w:val="single" w:color="9CC2E5" w:themeColor="accent1" w:themeTint="99" w:sz="4" w:space="0"/>
        <w:bottom w:val="single" w:color="9CC2E5" w:themeColor="accent1" w:themeTint="99" w:sz="4" w:space="0"/>
        <w:insideH w:val="single" w:color="9CC2E5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610A8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0A8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62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621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D62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621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D62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D6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png" Id="rId8" /><Relationship Type="http://schemas.openxmlformats.org/officeDocument/2006/relationships/settings" Target="settings.xml" Id="rId3" /><Relationship Type="http://schemas.openxmlformats.org/officeDocument/2006/relationships/image" Target="media/image2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http://dpp.graduateinstitute.ch/files/live/sites/dpp/files/shared/images/IDEHPUCP%20%20color.jpg" TargetMode="External" Id="rId6" /><Relationship Type="http://schemas.openxmlformats.org/officeDocument/2006/relationships/theme" Target="theme/theme1.xml" Id="rId11" /><Relationship Type="http://schemas.openxmlformats.org/officeDocument/2006/relationships/image" Target="media/image1.jpeg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://www.oas.org/es/cidh/decisiones/2018/PESA1516-08-ES.pdf" TargetMode="Externa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Alvira, Dayana</lastModifiedBy>
  <revision>2</revision>
  <dcterms:created xsi:type="dcterms:W3CDTF">2022-06-01T20:03:00.0000000Z</dcterms:created>
  <dcterms:modified xsi:type="dcterms:W3CDTF">2022-06-03T14:42:27.3158842Z</dcterms:modified>
</coreProperties>
</file>