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B7BFB" w:rsidP="003B7BFB" w:rsidRDefault="003B7BFB" w14:paraId="32BC5EA3" w14:textId="77777777">
      <w:pPr>
        <w:pStyle w:val="Header"/>
        <w:jc w:val="center"/>
        <w:rPr>
          <w:rFonts w:ascii="Calibri Light" w:hAnsi="Calibri Light"/>
          <w:lang w:val="es-PE"/>
        </w:rPr>
      </w:pPr>
      <w:r w:rsidRPr="00C80A19">
        <w:rPr>
          <w:rFonts w:ascii="Calibri Light" w:hAnsi="Calibri Light"/>
          <w:noProof/>
          <w:lang w:val="es-PE"/>
        </w:rPr>
        <w:drawing>
          <wp:anchor distT="0" distB="0" distL="114300" distR="114300" simplePos="0" relativeHeight="251661312" behindDoc="1" locked="0" layoutInCell="1" allowOverlap="1" wp14:anchorId="59754D63" wp14:editId="0426C31C">
            <wp:simplePos x="0" y="0"/>
            <wp:positionH relativeFrom="margin">
              <wp:posOffset>4020820</wp:posOffset>
            </wp:positionH>
            <wp:positionV relativeFrom="margin">
              <wp:posOffset>-271145</wp:posOffset>
            </wp:positionV>
            <wp:extent cx="1849755" cy="789940"/>
            <wp:effectExtent l="0" t="0" r="4445" b="0"/>
            <wp:wrapTight wrapText="bothSides">
              <wp:wrapPolygon edited="0">
                <wp:start x="0" y="0"/>
                <wp:lineTo x="0" y="21183"/>
                <wp:lineTo x="21504" y="21183"/>
                <wp:lineTo x="2150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 rotWithShape="1"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2" t="27352" r="6449" b="25571"/>
                    <a:stretch/>
                  </pic:blipFill>
                  <pic:spPr bwMode="auto">
                    <a:xfrm>
                      <a:off x="0" y="0"/>
                      <a:ext cx="184975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A19">
        <w:rPr>
          <w:rFonts w:ascii="Calibri Light" w:hAnsi="Calibri Light"/>
          <w:noProof/>
          <w:lang w:val="es-PE"/>
        </w:rPr>
        <w:drawing>
          <wp:anchor distT="0" distB="0" distL="114300" distR="114300" simplePos="0" relativeHeight="251660288" behindDoc="1" locked="0" layoutInCell="1" allowOverlap="1" wp14:anchorId="5E17AB1D" wp14:editId="4D0C5C3D">
            <wp:simplePos x="0" y="0"/>
            <wp:positionH relativeFrom="column">
              <wp:posOffset>1399540</wp:posOffset>
            </wp:positionH>
            <wp:positionV relativeFrom="paragraph">
              <wp:posOffset>-107950</wp:posOffset>
            </wp:positionV>
            <wp:extent cx="2564130" cy="626110"/>
            <wp:effectExtent l="0" t="0" r="1270" b="0"/>
            <wp:wrapTight wrapText="bothSides">
              <wp:wrapPolygon edited="0">
                <wp:start x="1605" y="2629"/>
                <wp:lineTo x="1070" y="5258"/>
                <wp:lineTo x="642" y="7886"/>
                <wp:lineTo x="642" y="11830"/>
                <wp:lineTo x="1284" y="17087"/>
                <wp:lineTo x="1498" y="17963"/>
                <wp:lineTo x="21397" y="17963"/>
                <wp:lineTo x="21504" y="16649"/>
                <wp:lineTo x="21183" y="9639"/>
                <wp:lineTo x="15406" y="2629"/>
                <wp:lineTo x="1605" y="2629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10"/>
                    <a:srcRect r="3349"/>
                    <a:stretch/>
                  </pic:blipFill>
                  <pic:spPr bwMode="auto">
                    <a:xfrm>
                      <a:off x="0" y="0"/>
                      <a:ext cx="2564130" cy="626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A19">
        <w:rPr>
          <w:rFonts w:ascii="Calibri Light" w:hAnsi="Calibri Light"/>
          <w:noProof/>
          <w:lang w:val="es-PE"/>
        </w:rPr>
        <w:drawing>
          <wp:anchor distT="0" distB="0" distL="114300" distR="114300" simplePos="0" relativeHeight="251659264" behindDoc="1" locked="0" layoutInCell="1" allowOverlap="1" wp14:anchorId="6E3B6ECB" wp14:editId="79164B64">
            <wp:simplePos x="0" y="0"/>
            <wp:positionH relativeFrom="column">
              <wp:posOffset>-407474</wp:posOffset>
            </wp:positionH>
            <wp:positionV relativeFrom="paragraph">
              <wp:posOffset>-200514</wp:posOffset>
            </wp:positionV>
            <wp:extent cx="1735455" cy="727710"/>
            <wp:effectExtent l="0" t="0" r="0" b="0"/>
            <wp:wrapTight wrapText="bothSides">
              <wp:wrapPolygon edited="0">
                <wp:start x="316" y="754"/>
                <wp:lineTo x="316" y="18094"/>
                <wp:lineTo x="632" y="19602"/>
                <wp:lineTo x="1739" y="20356"/>
                <wp:lineTo x="13436" y="20356"/>
                <wp:lineTo x="21181" y="19602"/>
                <wp:lineTo x="21339" y="14325"/>
                <wp:lineTo x="20075" y="13571"/>
                <wp:lineTo x="21181" y="10178"/>
                <wp:lineTo x="21181" y="7539"/>
                <wp:lineTo x="18652" y="3393"/>
                <wp:lineTo x="17546" y="754"/>
                <wp:lineTo x="316" y="754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11"/>
                    <a:srcRect l="11357" t="20875" r="13129" b="18785"/>
                    <a:stretch/>
                  </pic:blipFill>
                  <pic:spPr bwMode="auto">
                    <a:xfrm>
                      <a:off x="0" y="0"/>
                      <a:ext cx="1735455" cy="727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0E1" w:rsidP="003B7BFB" w:rsidRDefault="00A360E1" w14:paraId="643D6869" w14:textId="77777777">
      <w:pPr>
        <w:pStyle w:val="Header"/>
        <w:jc w:val="center"/>
        <w:rPr>
          <w:rFonts w:ascii="Calibri Light" w:hAnsi="Calibri Light"/>
          <w:lang w:val="es-PE"/>
        </w:rPr>
      </w:pPr>
    </w:p>
    <w:p w:rsidR="00A360E1" w:rsidP="003B7BFB" w:rsidRDefault="00A360E1" w14:paraId="584654F6" w14:textId="77777777">
      <w:pPr>
        <w:pStyle w:val="Header"/>
        <w:jc w:val="center"/>
        <w:rPr>
          <w:rFonts w:ascii="Calibri Light" w:hAnsi="Calibri Light"/>
          <w:lang w:val="es-PE"/>
        </w:rPr>
      </w:pPr>
    </w:p>
    <w:p w:rsidRPr="00411A74" w:rsidR="003B7BFB" w:rsidP="003B7BFB" w:rsidRDefault="003B7BFB" w14:paraId="7F875D9D" w14:textId="22DB75E3">
      <w:pPr>
        <w:pStyle w:val="Header"/>
        <w:jc w:val="center"/>
        <w:rPr>
          <w:rFonts w:ascii="Calibri Light" w:hAnsi="Calibri Light"/>
          <w:lang w:val="es-PE"/>
        </w:rPr>
      </w:pPr>
      <w:r w:rsidRPr="00411A74">
        <w:rPr>
          <w:rFonts w:ascii="Calibri Light" w:hAnsi="Calibri Light"/>
          <w:lang w:val="es-PE"/>
        </w:rPr>
        <w:t>Difundiendo los estándares para la protección de los DDHH de la CIDH</w:t>
      </w:r>
    </w:p>
    <w:p w:rsidR="003B7BFB" w:rsidP="003B7BFB" w:rsidRDefault="003B7BFB" w14:paraId="071F5E67" w14:textId="77777777">
      <w:pPr>
        <w:spacing w:after="0" w:line="240" w:lineRule="auto"/>
        <w:jc w:val="center"/>
        <w:outlineLvl w:val="0"/>
        <w:rPr>
          <w:rFonts w:ascii="Calibri Light" w:hAnsi="Calibri Light"/>
          <w:b/>
          <w:i/>
          <w:lang w:val="es-PE"/>
        </w:rPr>
      </w:pPr>
      <w:r>
        <w:rPr>
          <w:rFonts w:ascii="Calibri Light" w:hAnsi="Calibri Light"/>
          <w:b/>
          <w:i/>
          <w:lang w:val="es-PE"/>
        </w:rPr>
        <w:t>Ficha de R</w:t>
      </w:r>
      <w:r w:rsidRPr="00411A74">
        <w:rPr>
          <w:rFonts w:ascii="Calibri Light" w:hAnsi="Calibri Light"/>
          <w:b/>
          <w:i/>
          <w:lang w:val="es-PE"/>
        </w:rPr>
        <w:t xml:space="preserve">esumen </w:t>
      </w:r>
    </w:p>
    <w:p w:rsidR="00DA095D" w:rsidP="00DA095D" w:rsidRDefault="00DA095D" w14:paraId="24A171EA" w14:textId="77777777">
      <w:pPr>
        <w:spacing w:after="0" w:line="240" w:lineRule="auto"/>
        <w:jc w:val="center"/>
        <w:outlineLvl w:val="0"/>
        <w:rPr>
          <w:rFonts w:ascii="Calibri Light" w:hAnsi="Calibri Light"/>
          <w:b/>
          <w:i/>
          <w:lang w:val="es-PE"/>
        </w:rPr>
      </w:pPr>
    </w:p>
    <w:tbl>
      <w:tblPr>
        <w:tblStyle w:val="Tabladelista2-nfasis11"/>
        <w:tblW w:w="8721" w:type="dxa"/>
        <w:tblLook w:val="04A0" w:firstRow="1" w:lastRow="0" w:firstColumn="1" w:lastColumn="0" w:noHBand="0" w:noVBand="1"/>
      </w:tblPr>
      <w:tblGrid>
        <w:gridCol w:w="3678"/>
        <w:gridCol w:w="2475"/>
        <w:gridCol w:w="2568"/>
      </w:tblGrid>
      <w:tr w:rsidRPr="004533E5" w:rsidR="00B15193" w:rsidTr="5A35B901" w14:paraId="4EC62AA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  <w:tcMar/>
          </w:tcPr>
          <w:p w:rsidR="00B15193" w:rsidP="00A84D66" w:rsidRDefault="00B15193" w14:paraId="47DABDE4" w14:textId="77777777">
            <w:pPr>
              <w:pStyle w:val="ListParagraph"/>
              <w:rPr>
                <w:rFonts w:ascii="Calibri Light" w:hAnsi="Calibri Light"/>
              </w:rPr>
            </w:pPr>
          </w:p>
          <w:p w:rsidR="00B15193" w:rsidP="00A84D66" w:rsidRDefault="00B15193" w14:paraId="2DB3A726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 Light" w:hAnsi="Calibri Light"/>
              </w:rPr>
            </w:pPr>
            <w:r w:rsidRPr="004533E5">
              <w:rPr>
                <w:rFonts w:ascii="Calibri Light" w:hAnsi="Calibri Light"/>
              </w:rPr>
              <w:t>Datos generales</w:t>
            </w:r>
          </w:p>
          <w:p w:rsidRPr="00AC6F31" w:rsidR="00B15193" w:rsidP="00A84D66" w:rsidRDefault="00B15193" w14:paraId="6020360B" w14:textId="77777777">
            <w:pPr>
              <w:pStyle w:val="ListParagraph"/>
              <w:rPr>
                <w:rFonts w:ascii="Calibri Light" w:hAnsi="Calibri Light"/>
              </w:rPr>
            </w:pPr>
          </w:p>
        </w:tc>
      </w:tr>
      <w:tr w:rsidRPr="004533E5" w:rsidR="00B15193" w:rsidTr="5A35B901" w14:paraId="7AB6937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tcMar/>
            <w:vAlign w:val="center"/>
          </w:tcPr>
          <w:p w:rsidRPr="004533E5" w:rsidR="00B15193" w:rsidP="00A84D66" w:rsidRDefault="00B15193" w14:paraId="235EF64D" w14:textId="77777777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/>
              </w:rPr>
            </w:pPr>
            <w:r w:rsidRPr="004533E5">
              <w:rPr>
                <w:rFonts w:ascii="Calibri Light" w:hAnsi="Calibri Light"/>
              </w:rPr>
              <w:t>Nombre del caso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43" w:type="dxa"/>
            <w:gridSpan w:val="2"/>
            <w:tcMar/>
            <w:vAlign w:val="center"/>
          </w:tcPr>
          <w:p w:rsidRPr="004533E5" w:rsidR="00B15193" w:rsidP="00214493" w:rsidRDefault="00214493" w14:paraId="0D1BB334" w14:textId="3C62E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214493">
              <w:rPr>
                <w:rFonts w:ascii="Calibri Light" w:hAnsi="Calibri Light"/>
              </w:rPr>
              <w:t>Pedro Antonio Centurión</w:t>
            </w:r>
            <w:r w:rsidR="00DA095D">
              <w:rPr>
                <w:rFonts w:ascii="Calibri Light" w:hAnsi="Calibri Light"/>
              </w:rPr>
              <w:t xml:space="preserve">, </w:t>
            </w:r>
            <w:r>
              <w:rPr>
                <w:rFonts w:ascii="Calibri Light" w:hAnsi="Calibri Light"/>
              </w:rPr>
              <w:t>Paraguay</w:t>
            </w:r>
          </w:p>
        </w:tc>
      </w:tr>
      <w:tr w:rsidRPr="004533E5" w:rsidR="00B15193" w:rsidTr="5A35B901" w14:paraId="246AFF98" w14:textId="77777777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tcMar/>
            <w:vAlign w:val="center"/>
          </w:tcPr>
          <w:p w:rsidRPr="004533E5" w:rsidR="00B15193" w:rsidP="00A84D66" w:rsidRDefault="00DA095D" w14:paraId="4943A082" w14:textId="3AB3C166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Parte peticionaria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43" w:type="dxa"/>
            <w:gridSpan w:val="2"/>
            <w:tcMar/>
            <w:vAlign w:val="center"/>
          </w:tcPr>
          <w:p w:rsidR="00B15193" w:rsidP="00214493" w:rsidRDefault="00214493" w14:paraId="1479EC4D" w14:textId="3EC14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214493">
              <w:rPr>
                <w:rFonts w:ascii="Calibri Light" w:hAnsi="Calibri Light"/>
              </w:rPr>
              <w:t>Asociación de Familiares</w:t>
            </w:r>
            <w:r>
              <w:rPr>
                <w:rFonts w:ascii="Calibri Light" w:hAnsi="Calibri Light"/>
              </w:rPr>
              <w:t xml:space="preserve"> </w:t>
            </w:r>
            <w:r w:rsidRPr="00214493">
              <w:rPr>
                <w:rFonts w:ascii="Calibri Light" w:hAnsi="Calibri Light"/>
              </w:rPr>
              <w:t>Víctimas del Servicio Militar</w:t>
            </w:r>
            <w:r>
              <w:rPr>
                <w:rFonts w:ascii="Calibri Light" w:hAnsi="Calibri Light"/>
              </w:rPr>
              <w:t xml:space="preserve"> (</w:t>
            </w:r>
            <w:r w:rsidRPr="00214493">
              <w:rPr>
                <w:rFonts w:ascii="Calibri Light" w:hAnsi="Calibri Light"/>
              </w:rPr>
              <w:t>AFAVISEM</w:t>
            </w:r>
            <w:r>
              <w:rPr>
                <w:rFonts w:ascii="Calibri Light" w:hAnsi="Calibri Light"/>
              </w:rPr>
              <w:t>)</w:t>
            </w:r>
          </w:p>
        </w:tc>
      </w:tr>
      <w:tr w:rsidRPr="004533E5" w:rsidR="00B15193" w:rsidTr="5A35B901" w14:paraId="2B60A37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tcMar/>
            <w:vAlign w:val="center"/>
          </w:tcPr>
          <w:p w:rsidRPr="004533E5" w:rsidR="00B15193" w:rsidP="00A84D66" w:rsidRDefault="00B15193" w14:paraId="37DC37D8" w14:textId="77777777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/>
              </w:rPr>
            </w:pPr>
            <w:r w:rsidRPr="004533E5">
              <w:rPr>
                <w:rFonts w:ascii="Calibri Light" w:hAnsi="Calibri Light"/>
              </w:rPr>
              <w:t xml:space="preserve">Número de Informe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43" w:type="dxa"/>
            <w:gridSpan w:val="2"/>
            <w:tcMar/>
            <w:vAlign w:val="center"/>
          </w:tcPr>
          <w:p w:rsidRPr="00B15193" w:rsidR="00B15193" w:rsidP="00214493" w:rsidRDefault="00DD23A4" w14:paraId="16573A34" w14:textId="3137B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hyperlink w:history="1" r:id="rId12">
              <w:r w:rsidRPr="00214493" w:rsidR="00B15193">
                <w:rPr>
                  <w:rStyle w:val="Hyperlink"/>
                  <w:rFonts w:ascii="Calibri Light" w:hAnsi="Calibri Light"/>
                </w:rPr>
                <w:t>Informe No</w:t>
              </w:r>
              <w:r w:rsidRPr="00214493" w:rsidR="00EC277A">
                <w:rPr>
                  <w:rStyle w:val="Hyperlink"/>
                  <w:rFonts w:ascii="Calibri Light" w:hAnsi="Calibri Light"/>
                </w:rPr>
                <w:t xml:space="preserve">. </w:t>
              </w:r>
              <w:r w:rsidRPr="00214493" w:rsidR="00214493">
                <w:rPr>
                  <w:rStyle w:val="Hyperlink"/>
                  <w:rFonts w:ascii="Calibri Light" w:hAnsi="Calibri Light"/>
                </w:rPr>
                <w:t>130</w:t>
              </w:r>
              <w:r w:rsidR="00214493">
                <w:rPr>
                  <w:rStyle w:val="Hyperlink"/>
                  <w:rFonts w:ascii="Calibri Light" w:hAnsi="Calibri Light"/>
                </w:rPr>
                <w:t>/1</w:t>
              </w:r>
              <w:r w:rsidRPr="00214493" w:rsidR="00214493">
                <w:rPr>
                  <w:rStyle w:val="Hyperlink"/>
                  <w:rFonts w:ascii="Calibri Light" w:hAnsi="Calibri Light"/>
                </w:rPr>
                <w:t>8</w:t>
              </w:r>
            </w:hyperlink>
          </w:p>
        </w:tc>
      </w:tr>
      <w:tr w:rsidRPr="004533E5" w:rsidR="00B15193" w:rsidTr="5A35B901" w14:paraId="4E576124" w14:textId="77777777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tcMar/>
            <w:vAlign w:val="center"/>
          </w:tcPr>
          <w:p w:rsidRPr="00F725A5" w:rsidR="00B15193" w:rsidP="00A84D66" w:rsidRDefault="00B15193" w14:paraId="356C36D8" w14:textId="77777777">
            <w:pPr>
              <w:pStyle w:val="ListParagraph"/>
              <w:numPr>
                <w:ilvl w:val="0"/>
                <w:numId w:val="2"/>
              </w:numPr>
            </w:pPr>
            <w:r w:rsidRPr="004533E5">
              <w:rPr>
                <w:rFonts w:ascii="Calibri Light" w:hAnsi="Calibri Light"/>
              </w:rPr>
              <w:t xml:space="preserve">Tipo de informe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43" w:type="dxa"/>
            <w:gridSpan w:val="2"/>
            <w:tcMar/>
            <w:vAlign w:val="center"/>
          </w:tcPr>
          <w:p w:rsidRPr="004533E5" w:rsidR="00B15193" w:rsidP="00A84D66" w:rsidRDefault="00B15193" w14:paraId="1380C6C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Informe de Solución Amistosa</w:t>
            </w:r>
          </w:p>
        </w:tc>
      </w:tr>
      <w:tr w:rsidRPr="004533E5" w:rsidR="00B15193" w:rsidTr="5A35B901" w14:paraId="600EE8C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tcMar/>
            <w:vAlign w:val="center"/>
          </w:tcPr>
          <w:p w:rsidRPr="004533E5" w:rsidR="00B15193" w:rsidP="00A84D66" w:rsidRDefault="00B15193" w14:paraId="0936848A" w14:textId="77777777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Fecha</w:t>
            </w:r>
            <w:r w:rsidRPr="004533E5">
              <w:rPr>
                <w:rFonts w:ascii="Calibri Light" w:hAnsi="Calibri Light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43" w:type="dxa"/>
            <w:gridSpan w:val="2"/>
            <w:tcMar/>
            <w:vAlign w:val="center"/>
          </w:tcPr>
          <w:p w:rsidRPr="004533E5" w:rsidR="00B15193" w:rsidP="00A84D66" w:rsidRDefault="00214493" w14:paraId="0B87492D" w14:textId="2332B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20 de noviembre de 2018</w:t>
            </w:r>
          </w:p>
        </w:tc>
      </w:tr>
      <w:tr w:rsidRPr="004533E5" w:rsidR="00B15193" w:rsidTr="5A35B901" w14:paraId="52774FCE" w14:textId="77777777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tcMar/>
            <w:vAlign w:val="center"/>
          </w:tcPr>
          <w:p w:rsidRPr="004533E5" w:rsidR="00B15193" w:rsidP="00A84D66" w:rsidRDefault="00B15193" w14:paraId="37064682" w14:textId="77777777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Decisiones de la CIDH</w:t>
            </w:r>
            <w:r w:rsidRPr="004533E5"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</w:rPr>
              <w:t xml:space="preserve">y/o la Corte IDH, </w:t>
            </w:r>
            <w:r w:rsidRPr="004533E5">
              <w:rPr>
                <w:rFonts w:ascii="Calibri Light" w:hAnsi="Calibri Light"/>
              </w:rPr>
              <w:t>relacionadas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43" w:type="dxa"/>
            <w:gridSpan w:val="2"/>
            <w:tcMar/>
            <w:vAlign w:val="center"/>
          </w:tcPr>
          <w:p w:rsidRPr="004533E5" w:rsidR="00B15193" w:rsidP="00A84D66" w:rsidRDefault="00F732A3" w14:paraId="06CBC5FE" w14:textId="4963B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Informe </w:t>
            </w:r>
            <w:r w:rsidRPr="00F732A3">
              <w:rPr>
                <w:rFonts w:ascii="Calibri Light" w:hAnsi="Calibri Light"/>
              </w:rPr>
              <w:t>No. 19/09</w:t>
            </w:r>
            <w:r>
              <w:rPr>
                <w:rFonts w:ascii="Calibri Light" w:hAnsi="Calibri Light"/>
              </w:rPr>
              <w:t xml:space="preserve"> (</w:t>
            </w:r>
            <w:hyperlink w:history="1" r:id="rId13">
              <w:r w:rsidRPr="00F732A3">
                <w:rPr>
                  <w:rStyle w:val="Hyperlink"/>
                  <w:rFonts w:ascii="Calibri Light" w:hAnsi="Calibri Light"/>
                </w:rPr>
                <w:t>Informe de Admisibilidad</w:t>
              </w:r>
            </w:hyperlink>
            <w:r>
              <w:rPr>
                <w:rFonts w:ascii="Calibri Light" w:hAnsi="Calibri Light"/>
              </w:rPr>
              <w:t>)</w:t>
            </w:r>
          </w:p>
        </w:tc>
      </w:tr>
      <w:tr w:rsidRPr="004533E5" w:rsidR="00B15193" w:rsidTr="5A35B901" w14:paraId="2D4B35F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vMerge w:val="restart"/>
            <w:tcMar/>
            <w:vAlign w:val="center"/>
          </w:tcPr>
          <w:p w:rsidR="00B15193" w:rsidP="00A84D66" w:rsidRDefault="00B15193" w14:paraId="463D63F5" w14:textId="77777777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Artículos analizados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43" w:type="dxa"/>
            <w:gridSpan w:val="2"/>
            <w:tcMar/>
            <w:vAlign w:val="center"/>
          </w:tcPr>
          <w:p w:rsidRPr="004533E5" w:rsidR="00B15193" w:rsidP="00A84D66" w:rsidRDefault="00B15193" w14:paraId="3C308AD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Convención Americana sobre Derechos Humanos                                                                                                 </w:t>
            </w:r>
          </w:p>
        </w:tc>
      </w:tr>
      <w:tr w:rsidRPr="004533E5" w:rsidR="00B15193" w:rsidTr="5A35B901" w14:paraId="36D6CC3B" w14:textId="77777777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vMerge/>
            <w:tcMar/>
          </w:tcPr>
          <w:p w:rsidR="00B15193" w:rsidP="00A84D66" w:rsidRDefault="00B15193" w14:paraId="39623918" w14:textId="77777777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75" w:type="dxa"/>
            <w:tcMar/>
          </w:tcPr>
          <w:p w:rsidR="00B15193" w:rsidDel="00680B38" w:rsidP="00A84D66" w:rsidRDefault="00B15193" w14:paraId="08352AE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Artículos sobre los que se alcanzó un acuerdo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68" w:type="dxa"/>
            <w:tcMar/>
          </w:tcPr>
          <w:p w:rsidR="00B15193" w:rsidDel="00680B38" w:rsidP="00A84D66" w:rsidRDefault="00B15193" w14:paraId="7ABCC4CC" w14:textId="77777777">
            <w:pPr>
              <w:tabs>
                <w:tab w:val="left" w:pos="0"/>
                <w:tab w:val="left" w:pos="84"/>
                <w:tab w:val="left" w:pos="1360"/>
              </w:tabs>
              <w:ind w:firstLin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Artículos sobre los que no se alcanzó un acuerdo</w:t>
            </w:r>
          </w:p>
        </w:tc>
      </w:tr>
      <w:tr w:rsidRPr="00DA6941" w:rsidR="00B15193" w:rsidTr="5A35B901" w14:paraId="53B17C9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8" w:type="dxa"/>
            <w:vMerge/>
            <w:tcMar/>
          </w:tcPr>
          <w:p w:rsidR="00B15193" w:rsidP="00A84D66" w:rsidRDefault="00B15193" w14:paraId="6965D2AA" w14:textId="77777777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75" w:type="dxa"/>
            <w:tcMar/>
          </w:tcPr>
          <w:p w:rsidRPr="00214493" w:rsidR="00B15193" w:rsidP="00214493" w:rsidRDefault="00B15193" w14:paraId="024FBECB" w14:textId="051ECE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lang w:val="en-US"/>
              </w:rPr>
            </w:pPr>
            <w:r w:rsidRPr="00214493">
              <w:rPr>
                <w:rFonts w:ascii="Calibri Light" w:hAnsi="Calibri Light"/>
                <w:lang w:val="en-US"/>
              </w:rPr>
              <w:t>Art. 4</w:t>
            </w:r>
            <w:r w:rsidRPr="00214493" w:rsidR="00B50993">
              <w:rPr>
                <w:rFonts w:ascii="Calibri Light" w:hAnsi="Calibri Light"/>
                <w:lang w:val="en-US"/>
              </w:rPr>
              <w:t>, a</w:t>
            </w:r>
            <w:r w:rsidRPr="00214493">
              <w:rPr>
                <w:rFonts w:ascii="Calibri Light" w:hAnsi="Calibri Light"/>
                <w:lang w:val="en-US"/>
              </w:rPr>
              <w:t>rt. 5</w:t>
            </w:r>
            <w:r w:rsidRPr="00214493" w:rsidR="00B50993">
              <w:rPr>
                <w:rFonts w:ascii="Calibri Light" w:hAnsi="Calibri Light"/>
                <w:lang w:val="en-US"/>
              </w:rPr>
              <w:t>, a</w:t>
            </w:r>
            <w:r w:rsidRPr="00214493">
              <w:rPr>
                <w:rFonts w:ascii="Calibri Light" w:hAnsi="Calibri Light"/>
                <w:lang w:val="en-US"/>
              </w:rPr>
              <w:t xml:space="preserve">rt. </w:t>
            </w:r>
            <w:r w:rsidRPr="00214493" w:rsidR="00214493">
              <w:rPr>
                <w:rFonts w:ascii="Calibri Light" w:hAnsi="Calibri Light"/>
                <w:lang w:val="en-US"/>
              </w:rPr>
              <w:t xml:space="preserve">6, art. </w:t>
            </w:r>
            <w:r w:rsidRPr="00214493">
              <w:rPr>
                <w:rFonts w:ascii="Calibri Light" w:hAnsi="Calibri Light"/>
                <w:lang w:val="en-US"/>
              </w:rPr>
              <w:t>7</w:t>
            </w:r>
            <w:r w:rsidRPr="00214493" w:rsidR="00B50993">
              <w:rPr>
                <w:rFonts w:ascii="Calibri Light" w:hAnsi="Calibri Light"/>
                <w:lang w:val="en-US"/>
              </w:rPr>
              <w:t>, a</w:t>
            </w:r>
            <w:r w:rsidRPr="00214493">
              <w:rPr>
                <w:rFonts w:ascii="Calibri Light" w:hAnsi="Calibri Light"/>
                <w:lang w:val="en-US"/>
              </w:rPr>
              <w:t>rt. 8</w:t>
            </w:r>
            <w:r w:rsidRPr="00214493" w:rsidR="00B50993">
              <w:rPr>
                <w:rFonts w:ascii="Calibri Light" w:hAnsi="Calibri Light"/>
                <w:lang w:val="en-US"/>
              </w:rPr>
              <w:t xml:space="preserve">, </w:t>
            </w:r>
            <w:r w:rsidRPr="00214493" w:rsidR="00214493">
              <w:rPr>
                <w:rFonts w:ascii="Calibri Light" w:hAnsi="Calibri Light"/>
                <w:lang w:val="en-US"/>
              </w:rPr>
              <w:t>art. 1</w:t>
            </w:r>
            <w:r w:rsidR="00214493">
              <w:rPr>
                <w:rFonts w:ascii="Calibri Light" w:hAnsi="Calibri Light"/>
                <w:lang w:val="en-US"/>
              </w:rPr>
              <w:t>9</w:t>
            </w:r>
            <w:r w:rsidRPr="00214493" w:rsidR="00214493">
              <w:rPr>
                <w:rFonts w:ascii="Calibri Light" w:hAnsi="Calibri Light"/>
                <w:lang w:val="en-US"/>
              </w:rPr>
              <w:t xml:space="preserve">, art. </w:t>
            </w:r>
            <w:r w:rsidR="00214493">
              <w:rPr>
                <w:rFonts w:ascii="Calibri Light" w:hAnsi="Calibri Light"/>
                <w:lang w:val="en-US"/>
              </w:rPr>
              <w:t>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68" w:type="dxa"/>
            <w:tcMar/>
          </w:tcPr>
          <w:p w:rsidRPr="00D42BE5" w:rsidR="00B15193" w:rsidP="00A84D66" w:rsidRDefault="00B15193" w14:paraId="48572EF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lang w:val="es-PE"/>
              </w:rPr>
            </w:pPr>
            <w:r w:rsidRPr="00D42BE5">
              <w:rPr>
                <w:rFonts w:ascii="Calibri Light" w:hAnsi="Calibri Light"/>
                <w:lang w:val="es-PE"/>
              </w:rPr>
              <w:t xml:space="preserve">-- </w:t>
            </w:r>
          </w:p>
        </w:tc>
      </w:tr>
      <w:tr w:rsidRPr="004533E5" w:rsidR="00B15193" w:rsidTr="5A35B901" w14:paraId="538F6EDC" w14:textId="7777777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  <w:tcMar/>
          </w:tcPr>
          <w:p w:rsidRPr="00D42BE5" w:rsidR="00B15193" w:rsidP="00A84D66" w:rsidRDefault="00B15193" w14:paraId="5B04B86A" w14:textId="77777777">
            <w:pPr>
              <w:pStyle w:val="ListParagraph"/>
              <w:rPr>
                <w:rFonts w:ascii="Calibri Light" w:hAnsi="Calibri Light"/>
                <w:lang w:val="es-PE"/>
              </w:rPr>
            </w:pPr>
          </w:p>
          <w:p w:rsidR="00B15193" w:rsidP="00A84D66" w:rsidRDefault="00B15193" w14:paraId="5F23B05E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 Light" w:hAnsi="Calibri Light"/>
              </w:rPr>
            </w:pPr>
            <w:r w:rsidRPr="004533E5">
              <w:rPr>
                <w:rFonts w:ascii="Calibri Light" w:hAnsi="Calibri Light"/>
              </w:rPr>
              <w:t>Sumilla</w:t>
            </w:r>
          </w:p>
          <w:p w:rsidRPr="004533E5" w:rsidR="00B15193" w:rsidP="00A84D66" w:rsidRDefault="00B15193" w14:paraId="7731FBA2" w14:textId="77777777">
            <w:pPr>
              <w:pStyle w:val="ListParagraph"/>
              <w:rPr>
                <w:rFonts w:ascii="Calibri Light" w:hAnsi="Calibri Light"/>
              </w:rPr>
            </w:pPr>
          </w:p>
        </w:tc>
      </w:tr>
      <w:tr w:rsidRPr="004533E5" w:rsidR="00B15193" w:rsidTr="5A35B901" w14:paraId="30AEDEE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  <w:tcMar/>
          </w:tcPr>
          <w:p w:rsidR="00B15193" w:rsidP="00A84D66" w:rsidRDefault="00B15193" w14:paraId="409CD540" w14:textId="77777777">
            <w:pPr>
              <w:jc w:val="both"/>
              <w:rPr>
                <w:rFonts w:ascii="Calibri Light" w:hAnsi="Calibri Light"/>
                <w:b w:val="0"/>
              </w:rPr>
            </w:pPr>
          </w:p>
          <w:p w:rsidR="00312BAC" w:rsidP="00D42BE5" w:rsidRDefault="00312BAC" w14:paraId="636E3D77" w14:textId="2CC6344B">
            <w:pPr>
              <w:jc w:val="both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>El caso trata sobre</w:t>
            </w:r>
            <w:r w:rsidR="000D5AD5">
              <w:rPr>
                <w:rFonts w:ascii="Calibri Light" w:hAnsi="Calibri Light"/>
                <w:b w:val="0"/>
              </w:rPr>
              <w:t xml:space="preserve"> el reclutamiento </w:t>
            </w:r>
            <w:r w:rsidR="00FF6811">
              <w:rPr>
                <w:rFonts w:ascii="Calibri Light" w:hAnsi="Calibri Light"/>
                <w:b w:val="0"/>
              </w:rPr>
              <w:t xml:space="preserve">forzado </w:t>
            </w:r>
            <w:r w:rsidR="000D5AD5">
              <w:rPr>
                <w:rFonts w:ascii="Calibri Light" w:hAnsi="Calibri Light"/>
                <w:b w:val="0"/>
              </w:rPr>
              <w:t xml:space="preserve">y posterior muerte de Pedro Antonio Centurión, </w:t>
            </w:r>
            <w:r w:rsidR="00681F3C">
              <w:rPr>
                <w:rFonts w:ascii="Calibri Light" w:hAnsi="Calibri Light"/>
                <w:b w:val="0"/>
              </w:rPr>
              <w:t xml:space="preserve">un </w:t>
            </w:r>
            <w:r w:rsidR="00A86262">
              <w:rPr>
                <w:rFonts w:ascii="Calibri Light" w:hAnsi="Calibri Light"/>
                <w:b w:val="0"/>
              </w:rPr>
              <w:t xml:space="preserve">niño </w:t>
            </w:r>
            <w:r w:rsidR="000D5AD5">
              <w:rPr>
                <w:rFonts w:ascii="Calibri Light" w:hAnsi="Calibri Light"/>
                <w:b w:val="0"/>
              </w:rPr>
              <w:t xml:space="preserve">de 13 </w:t>
            </w:r>
            <w:proofErr w:type="gramStart"/>
            <w:r w:rsidR="000D5AD5">
              <w:rPr>
                <w:rFonts w:ascii="Calibri Light" w:hAnsi="Calibri Light"/>
                <w:b w:val="0"/>
              </w:rPr>
              <w:t>años de edad</w:t>
            </w:r>
            <w:proofErr w:type="gramEnd"/>
            <w:r w:rsidR="000D5AD5">
              <w:rPr>
                <w:rFonts w:ascii="Calibri Light" w:hAnsi="Calibri Light"/>
                <w:b w:val="0"/>
              </w:rPr>
              <w:t>, en marzo de 2000.</w:t>
            </w:r>
            <w:r w:rsidR="00A86262">
              <w:rPr>
                <w:rFonts w:ascii="Calibri Light" w:hAnsi="Calibri Light"/>
                <w:b w:val="0"/>
              </w:rPr>
              <w:t xml:space="preserve"> </w:t>
            </w:r>
            <w:r w:rsidRPr="000D5AD5" w:rsidR="00A86262">
              <w:rPr>
                <w:rFonts w:ascii="Calibri Light" w:hAnsi="Calibri Light"/>
                <w:b w:val="0"/>
              </w:rPr>
              <w:t xml:space="preserve">Los peticionarios alegaron que para que </w:t>
            </w:r>
            <w:r w:rsidR="00A86262">
              <w:rPr>
                <w:rFonts w:ascii="Calibri Light" w:hAnsi="Calibri Light"/>
                <w:b w:val="0"/>
              </w:rPr>
              <w:t>este</w:t>
            </w:r>
            <w:r w:rsidRPr="000D5AD5" w:rsidR="00A86262">
              <w:rPr>
                <w:rFonts w:ascii="Calibri Light" w:hAnsi="Calibri Light"/>
                <w:b w:val="0"/>
              </w:rPr>
              <w:t xml:space="preserve"> cumpliera con el servicio militar obligatorio, miembros del </w:t>
            </w:r>
            <w:r w:rsidR="00681F3C">
              <w:rPr>
                <w:rFonts w:ascii="Calibri Light" w:hAnsi="Calibri Light"/>
                <w:b w:val="0"/>
              </w:rPr>
              <w:t>E</w:t>
            </w:r>
            <w:r w:rsidRPr="000D5AD5" w:rsidR="00A86262">
              <w:rPr>
                <w:rFonts w:ascii="Calibri Light" w:hAnsi="Calibri Light"/>
                <w:b w:val="0"/>
              </w:rPr>
              <w:t>jército habrían falsificado documento</w:t>
            </w:r>
            <w:r w:rsidR="00E8303F">
              <w:rPr>
                <w:rFonts w:ascii="Calibri Light" w:hAnsi="Calibri Light"/>
                <w:b w:val="0"/>
              </w:rPr>
              <w:t>s</w:t>
            </w:r>
            <w:r w:rsidR="00A86262">
              <w:rPr>
                <w:rFonts w:ascii="Calibri Light" w:hAnsi="Calibri Light"/>
                <w:b w:val="0"/>
              </w:rPr>
              <w:t>. También</w:t>
            </w:r>
            <w:r w:rsidRPr="000D5AD5" w:rsidR="000D5AD5">
              <w:rPr>
                <w:rFonts w:ascii="Calibri Light" w:hAnsi="Calibri Light"/>
                <w:b w:val="0"/>
              </w:rPr>
              <w:t xml:space="preserve"> </w:t>
            </w:r>
            <w:r w:rsidR="00A86262">
              <w:rPr>
                <w:rFonts w:ascii="Calibri Light" w:hAnsi="Calibri Light"/>
                <w:b w:val="0"/>
              </w:rPr>
              <w:t>indicaron</w:t>
            </w:r>
            <w:r w:rsidRPr="000D5AD5" w:rsidR="000D5AD5">
              <w:rPr>
                <w:rFonts w:ascii="Calibri Light" w:hAnsi="Calibri Light"/>
                <w:b w:val="0"/>
              </w:rPr>
              <w:t xml:space="preserve"> que </w:t>
            </w:r>
            <w:r w:rsidR="00A86262">
              <w:rPr>
                <w:rFonts w:ascii="Calibri Light" w:hAnsi="Calibri Light"/>
                <w:b w:val="0"/>
              </w:rPr>
              <w:t>este fue</w:t>
            </w:r>
            <w:r w:rsidRPr="000D5AD5" w:rsidR="000D5AD5">
              <w:rPr>
                <w:rFonts w:ascii="Calibri Light" w:hAnsi="Calibri Light"/>
                <w:b w:val="0"/>
              </w:rPr>
              <w:t xml:space="preserve"> trasladado a</w:t>
            </w:r>
            <w:r w:rsidR="00681F3C">
              <w:rPr>
                <w:rFonts w:ascii="Calibri Light" w:hAnsi="Calibri Light"/>
                <w:b w:val="0"/>
              </w:rPr>
              <w:t>l</w:t>
            </w:r>
            <w:r w:rsidRPr="000D5AD5" w:rsidR="000D5AD5">
              <w:rPr>
                <w:rFonts w:ascii="Calibri Light" w:hAnsi="Calibri Light"/>
                <w:b w:val="0"/>
              </w:rPr>
              <w:t xml:space="preserve"> “Fortín</w:t>
            </w:r>
            <w:r w:rsidR="00A86262">
              <w:rPr>
                <w:rFonts w:ascii="Calibri Light" w:hAnsi="Calibri Light"/>
                <w:b w:val="0"/>
              </w:rPr>
              <w:t xml:space="preserve"> Cano”, donde habría pasado </w:t>
            </w:r>
            <w:r w:rsidRPr="000D5AD5" w:rsidR="000D5AD5">
              <w:rPr>
                <w:rFonts w:ascii="Calibri Light" w:hAnsi="Calibri Light"/>
                <w:b w:val="0"/>
              </w:rPr>
              <w:t>hambre</w:t>
            </w:r>
            <w:r w:rsidR="00A86262">
              <w:rPr>
                <w:rFonts w:ascii="Calibri Light" w:hAnsi="Calibri Light"/>
                <w:b w:val="0"/>
              </w:rPr>
              <w:t xml:space="preserve">, </w:t>
            </w:r>
            <w:r w:rsidRPr="000D5AD5" w:rsidR="000D5AD5">
              <w:rPr>
                <w:rFonts w:ascii="Calibri Light" w:hAnsi="Calibri Light"/>
                <w:b w:val="0"/>
              </w:rPr>
              <w:t xml:space="preserve">por lo cual habría intentado fugar </w:t>
            </w:r>
            <w:r w:rsidR="00FF6811">
              <w:rPr>
                <w:rFonts w:ascii="Calibri Light" w:hAnsi="Calibri Light"/>
                <w:b w:val="0"/>
              </w:rPr>
              <w:t>sin éxito</w:t>
            </w:r>
            <w:r w:rsidR="00A86262">
              <w:rPr>
                <w:rFonts w:ascii="Calibri Light" w:hAnsi="Calibri Light"/>
                <w:b w:val="0"/>
              </w:rPr>
              <w:t>. El 12 de se</w:t>
            </w:r>
            <w:r w:rsidR="00681F3C">
              <w:rPr>
                <w:rFonts w:ascii="Calibri Light" w:hAnsi="Calibri Light"/>
                <w:b w:val="0"/>
              </w:rPr>
              <w:t>p</w:t>
            </w:r>
            <w:r w:rsidR="00A86262">
              <w:rPr>
                <w:rFonts w:ascii="Calibri Light" w:hAnsi="Calibri Light"/>
                <w:b w:val="0"/>
              </w:rPr>
              <w:t>tiembre de</w:t>
            </w:r>
            <w:r w:rsidRPr="000D5AD5" w:rsidR="000D5AD5">
              <w:rPr>
                <w:rFonts w:ascii="Calibri Light" w:hAnsi="Calibri Light"/>
                <w:b w:val="0"/>
              </w:rPr>
              <w:t xml:space="preserve"> 2000</w:t>
            </w:r>
            <w:r w:rsidR="00A86262">
              <w:rPr>
                <w:rFonts w:ascii="Calibri Light" w:hAnsi="Calibri Light"/>
                <w:b w:val="0"/>
              </w:rPr>
              <w:t xml:space="preserve">, </w:t>
            </w:r>
            <w:r w:rsidRPr="000D5AD5" w:rsidR="000D5AD5">
              <w:rPr>
                <w:rFonts w:ascii="Calibri Light" w:hAnsi="Calibri Light"/>
                <w:b w:val="0"/>
              </w:rPr>
              <w:t xml:space="preserve">Pedro Antonio Centurión </w:t>
            </w:r>
            <w:r w:rsidR="00A86262">
              <w:rPr>
                <w:rFonts w:ascii="Calibri Light" w:hAnsi="Calibri Light"/>
                <w:b w:val="0"/>
              </w:rPr>
              <w:t>falleció</w:t>
            </w:r>
            <w:r w:rsidRPr="000D5AD5" w:rsidR="000D5AD5">
              <w:rPr>
                <w:rFonts w:ascii="Calibri Light" w:hAnsi="Calibri Light"/>
                <w:b w:val="0"/>
              </w:rPr>
              <w:t xml:space="preserve"> como resultado de un impacto de arma larga de fuego.</w:t>
            </w:r>
            <w:r w:rsidR="000D5AD5">
              <w:rPr>
                <w:rFonts w:ascii="Calibri Light" w:hAnsi="Calibri Light"/>
                <w:b w:val="0"/>
              </w:rPr>
              <w:t xml:space="preserve"> </w:t>
            </w:r>
          </w:p>
          <w:p w:rsidRPr="004533E5" w:rsidR="000D5AD5" w:rsidP="00D42BE5" w:rsidRDefault="000D5AD5" w14:paraId="3367D04D" w14:textId="4B71210E">
            <w:pPr>
              <w:jc w:val="both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 xml:space="preserve"> </w:t>
            </w:r>
          </w:p>
        </w:tc>
      </w:tr>
      <w:tr w:rsidRPr="004533E5" w:rsidR="00B15193" w:rsidTr="5A35B901" w14:paraId="6BF7538F" w14:textId="7777777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  <w:tcMar/>
          </w:tcPr>
          <w:p w:rsidR="00B15193" w:rsidP="00A84D66" w:rsidRDefault="00B15193" w14:paraId="3FAA4851" w14:textId="77777777">
            <w:pPr>
              <w:pStyle w:val="ListParagraph"/>
              <w:rPr>
                <w:rFonts w:ascii="Calibri Light" w:hAnsi="Calibri Light"/>
              </w:rPr>
            </w:pPr>
          </w:p>
          <w:p w:rsidR="00B15193" w:rsidP="00A84D66" w:rsidRDefault="00B15193" w14:paraId="02A523B2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 Light" w:hAnsi="Calibri Light"/>
              </w:rPr>
            </w:pPr>
            <w:r w:rsidRPr="004533E5">
              <w:rPr>
                <w:rFonts w:ascii="Calibri Light" w:hAnsi="Calibri Light"/>
              </w:rPr>
              <w:t>Palabras clave</w:t>
            </w:r>
          </w:p>
          <w:p w:rsidRPr="004533E5" w:rsidR="00B15193" w:rsidP="00A84D66" w:rsidRDefault="00B15193" w14:paraId="14571618" w14:textId="77777777">
            <w:pPr>
              <w:pStyle w:val="ListParagraph"/>
              <w:rPr>
                <w:rFonts w:ascii="Calibri Light" w:hAnsi="Calibri Light"/>
              </w:rPr>
            </w:pPr>
          </w:p>
        </w:tc>
      </w:tr>
      <w:tr w:rsidRPr="004533E5" w:rsidR="00B15193" w:rsidTr="5A35B901" w14:paraId="60EC2AA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  <w:tcMar/>
          </w:tcPr>
          <w:p w:rsidR="00B15193" w:rsidP="00A84D66" w:rsidRDefault="00B15193" w14:paraId="0A4D98AD" w14:textId="7C39D409">
            <w:pPr>
              <w:jc w:val="both"/>
              <w:rPr>
                <w:rFonts w:ascii="Calibri Light" w:hAnsi="Calibri Light"/>
                <w:b w:val="0"/>
              </w:rPr>
            </w:pPr>
          </w:p>
          <w:p w:rsidR="00312BAC" w:rsidP="00312BAC" w:rsidRDefault="00312BAC" w14:paraId="25072CA3" w14:textId="77777777">
            <w:pPr>
              <w:jc w:val="both"/>
              <w:rPr>
                <w:rFonts w:ascii="Calibri Light" w:hAnsi="Calibri Light"/>
                <w:b w:val="0"/>
              </w:rPr>
            </w:pPr>
            <w:r w:rsidRPr="00312BAC">
              <w:rPr>
                <w:rFonts w:ascii="Calibri Light" w:hAnsi="Calibri Light"/>
                <w:b w:val="0"/>
              </w:rPr>
              <w:t>Formas contemporáneas de esclavitud</w:t>
            </w:r>
            <w:r>
              <w:rPr>
                <w:rFonts w:ascii="Calibri Light" w:hAnsi="Calibri Light"/>
                <w:b w:val="0"/>
              </w:rPr>
              <w:t xml:space="preserve">, </w:t>
            </w:r>
            <w:r w:rsidRPr="00312BAC">
              <w:rPr>
                <w:rFonts w:ascii="Calibri Light" w:hAnsi="Calibri Light"/>
                <w:b w:val="0"/>
              </w:rPr>
              <w:t>Integridad personal</w:t>
            </w:r>
            <w:r>
              <w:rPr>
                <w:rFonts w:ascii="Calibri Light" w:hAnsi="Calibri Light"/>
                <w:b w:val="0"/>
              </w:rPr>
              <w:t xml:space="preserve">, </w:t>
            </w:r>
            <w:r w:rsidRPr="00312BAC">
              <w:rPr>
                <w:rFonts w:ascii="Calibri Light" w:hAnsi="Calibri Light"/>
                <w:b w:val="0"/>
              </w:rPr>
              <w:t>Libertad personal</w:t>
            </w:r>
            <w:r>
              <w:rPr>
                <w:rFonts w:ascii="Calibri Light" w:hAnsi="Calibri Light"/>
                <w:b w:val="0"/>
              </w:rPr>
              <w:t xml:space="preserve">, Niños niñas y adolescentes, </w:t>
            </w:r>
            <w:proofErr w:type="gramStart"/>
            <w:r w:rsidRPr="00312BAC">
              <w:rPr>
                <w:rFonts w:ascii="Calibri Light" w:hAnsi="Calibri Light"/>
                <w:b w:val="0"/>
              </w:rPr>
              <w:t>Protección judicial y garantías judiciales</w:t>
            </w:r>
            <w:proofErr w:type="gramEnd"/>
            <w:r>
              <w:rPr>
                <w:rFonts w:ascii="Calibri Light" w:hAnsi="Calibri Light"/>
                <w:b w:val="0"/>
              </w:rPr>
              <w:t>,</w:t>
            </w:r>
            <w:r w:rsidRPr="00312BAC">
              <w:rPr>
                <w:rFonts w:ascii="Calibri Light" w:hAnsi="Calibri Light"/>
                <w:b w:val="0"/>
              </w:rPr>
              <w:t xml:space="preserve"> </w:t>
            </w:r>
            <w:r>
              <w:rPr>
                <w:rFonts w:ascii="Calibri Light" w:hAnsi="Calibri Light"/>
                <w:b w:val="0"/>
              </w:rPr>
              <w:t xml:space="preserve">Vida </w:t>
            </w:r>
          </w:p>
          <w:p w:rsidRPr="004533E5" w:rsidR="00312BAC" w:rsidP="00312BAC" w:rsidRDefault="00312BAC" w14:paraId="7DE8A418" w14:textId="24AD3CEE">
            <w:pPr>
              <w:jc w:val="both"/>
              <w:rPr>
                <w:rFonts w:ascii="Calibri Light" w:hAnsi="Calibri Light"/>
                <w:b w:val="0"/>
              </w:rPr>
            </w:pPr>
          </w:p>
        </w:tc>
      </w:tr>
      <w:tr w:rsidRPr="004533E5" w:rsidR="00B15193" w:rsidTr="5A35B901" w14:paraId="372B0281" w14:textId="7777777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  <w:tcMar/>
          </w:tcPr>
          <w:p w:rsidR="00B15193" w:rsidP="00A84D66" w:rsidRDefault="00B15193" w14:paraId="5F2DEF5C" w14:textId="77777777">
            <w:pPr>
              <w:pStyle w:val="ListParagraph"/>
              <w:rPr>
                <w:rFonts w:ascii="Calibri Light" w:hAnsi="Calibri Light"/>
              </w:rPr>
            </w:pPr>
          </w:p>
          <w:p w:rsidR="00B15193" w:rsidP="00A84D66" w:rsidRDefault="00B15193" w14:paraId="00448553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 Light" w:hAnsi="Calibri Light"/>
              </w:rPr>
            </w:pPr>
            <w:r w:rsidRPr="004533E5">
              <w:rPr>
                <w:rFonts w:ascii="Calibri Light" w:hAnsi="Calibri Light"/>
              </w:rPr>
              <w:t>Hechos</w:t>
            </w:r>
          </w:p>
          <w:p w:rsidRPr="004533E5" w:rsidR="00B15193" w:rsidP="00A84D66" w:rsidRDefault="00B15193" w14:paraId="5FBB8004" w14:textId="77777777">
            <w:pPr>
              <w:pStyle w:val="ListParagraph"/>
              <w:rPr>
                <w:rFonts w:ascii="Calibri Light" w:hAnsi="Calibri Light"/>
              </w:rPr>
            </w:pPr>
          </w:p>
        </w:tc>
      </w:tr>
      <w:tr w:rsidRPr="004533E5" w:rsidR="00B15193" w:rsidTr="5A35B901" w14:paraId="1F08849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  <w:tcMar/>
          </w:tcPr>
          <w:p w:rsidR="006F7EFD" w:rsidP="006F7EFD" w:rsidRDefault="006F7EFD" w14:paraId="4C1ED0BC" w14:textId="5E1A7B28">
            <w:pPr>
              <w:spacing w:before="240"/>
              <w:jc w:val="both"/>
              <w:rPr>
                <w:rFonts w:ascii="Calibri Light" w:hAnsi="Calibri Light"/>
                <w:b w:val="0"/>
              </w:rPr>
            </w:pPr>
            <w:r w:rsidRPr="00AD0CB8">
              <w:rPr>
                <w:rFonts w:ascii="Calibri Light" w:hAnsi="Calibri Light"/>
                <w:b w:val="0"/>
              </w:rPr>
              <w:t xml:space="preserve">En marzo de 2000, Pedro Antonio Centurión, </w:t>
            </w:r>
            <w:r w:rsidR="00681F3C">
              <w:rPr>
                <w:rFonts w:ascii="Calibri Light" w:hAnsi="Calibri Light"/>
                <w:b w:val="0"/>
              </w:rPr>
              <w:t xml:space="preserve">un </w:t>
            </w:r>
            <w:r w:rsidR="00A86262">
              <w:rPr>
                <w:rFonts w:ascii="Calibri Light" w:hAnsi="Calibri Light"/>
                <w:b w:val="0"/>
              </w:rPr>
              <w:t>niño</w:t>
            </w:r>
            <w:r w:rsidRPr="00AD0CB8" w:rsidR="0022283D">
              <w:rPr>
                <w:rFonts w:ascii="Calibri Light" w:hAnsi="Calibri Light"/>
                <w:b w:val="0"/>
              </w:rPr>
              <w:t xml:space="preserve"> de 13 </w:t>
            </w:r>
            <w:proofErr w:type="gramStart"/>
            <w:r w:rsidRPr="00AD0CB8" w:rsidR="0022283D">
              <w:rPr>
                <w:rFonts w:ascii="Calibri Light" w:hAnsi="Calibri Light"/>
                <w:b w:val="0"/>
              </w:rPr>
              <w:t>años de edad</w:t>
            </w:r>
            <w:proofErr w:type="gramEnd"/>
            <w:r w:rsidR="0022283D">
              <w:rPr>
                <w:rFonts w:ascii="Calibri Light" w:hAnsi="Calibri Light"/>
                <w:b w:val="0"/>
              </w:rPr>
              <w:t xml:space="preserve"> y</w:t>
            </w:r>
            <w:r w:rsidR="00A86262">
              <w:rPr>
                <w:rFonts w:ascii="Calibri Light" w:hAnsi="Calibri Light"/>
                <w:b w:val="0"/>
              </w:rPr>
              <w:t xml:space="preserve"> </w:t>
            </w:r>
            <w:r w:rsidRPr="00AD0CB8">
              <w:rPr>
                <w:rFonts w:ascii="Calibri Light" w:hAnsi="Calibri Light"/>
                <w:b w:val="0"/>
              </w:rPr>
              <w:t>de nacionalidad argentina, fue reclutado forzosamente para prestar servicio militar obligatorio.</w:t>
            </w:r>
            <w:r w:rsidRPr="00AD0CB8" w:rsidR="000C6F4F">
              <w:rPr>
                <w:rFonts w:ascii="Calibri Light" w:hAnsi="Calibri Light"/>
                <w:b w:val="0"/>
              </w:rPr>
              <w:t xml:space="preserve"> </w:t>
            </w:r>
            <w:r w:rsidRPr="00AD0CB8">
              <w:rPr>
                <w:rFonts w:ascii="Calibri Light" w:hAnsi="Calibri Light"/>
                <w:b w:val="0"/>
              </w:rPr>
              <w:t>Su madre,</w:t>
            </w:r>
            <w:r>
              <w:rPr>
                <w:rFonts w:ascii="Calibri Light" w:hAnsi="Calibri Light"/>
                <w:b w:val="0"/>
              </w:rPr>
              <w:t xml:space="preserve"> </w:t>
            </w:r>
            <w:r w:rsidRPr="006F7EFD">
              <w:rPr>
                <w:rFonts w:ascii="Calibri Light" w:hAnsi="Calibri Light"/>
                <w:b w:val="0"/>
              </w:rPr>
              <w:t>Semproniana Centurión</w:t>
            </w:r>
            <w:r>
              <w:rPr>
                <w:rFonts w:ascii="Calibri Light" w:hAnsi="Calibri Light"/>
                <w:b w:val="0"/>
              </w:rPr>
              <w:t xml:space="preserve">, acudió </w:t>
            </w:r>
            <w:r w:rsidRPr="006F7EFD">
              <w:rPr>
                <w:rFonts w:ascii="Calibri Light" w:hAnsi="Calibri Light"/>
                <w:b w:val="0"/>
              </w:rPr>
              <w:t>a las instalaciones del cuartel</w:t>
            </w:r>
            <w:r>
              <w:rPr>
                <w:rFonts w:ascii="Calibri Light" w:hAnsi="Calibri Light"/>
                <w:b w:val="0"/>
              </w:rPr>
              <w:t xml:space="preserve"> </w:t>
            </w:r>
            <w:r w:rsidR="00C45FB4">
              <w:rPr>
                <w:rFonts w:ascii="Calibri Light" w:hAnsi="Calibri Light"/>
                <w:b w:val="0"/>
              </w:rPr>
              <w:t xml:space="preserve">“Vista Alegre” </w:t>
            </w:r>
            <w:r>
              <w:rPr>
                <w:rFonts w:ascii="Calibri Light" w:hAnsi="Calibri Light"/>
                <w:b w:val="0"/>
              </w:rPr>
              <w:t>para</w:t>
            </w:r>
            <w:r w:rsidRPr="006F7EFD">
              <w:rPr>
                <w:rFonts w:ascii="Calibri Light" w:hAnsi="Calibri Light"/>
                <w:b w:val="0"/>
              </w:rPr>
              <w:t xml:space="preserve"> </w:t>
            </w:r>
            <w:r w:rsidRPr="006F7EFD" w:rsidR="0022283D">
              <w:rPr>
                <w:rFonts w:ascii="Calibri Light" w:hAnsi="Calibri Light"/>
                <w:b w:val="0"/>
              </w:rPr>
              <w:t>informar</w:t>
            </w:r>
            <w:r w:rsidRPr="006F7EFD">
              <w:rPr>
                <w:rFonts w:ascii="Calibri Light" w:hAnsi="Calibri Light"/>
                <w:b w:val="0"/>
              </w:rPr>
              <w:t xml:space="preserve"> a las autoridades</w:t>
            </w:r>
            <w:r>
              <w:rPr>
                <w:rFonts w:ascii="Calibri Light" w:hAnsi="Calibri Light"/>
                <w:b w:val="0"/>
              </w:rPr>
              <w:t xml:space="preserve"> la </w:t>
            </w:r>
            <w:r w:rsidRPr="00AD0CB8">
              <w:rPr>
                <w:rFonts w:ascii="Calibri Light" w:hAnsi="Calibri Light"/>
                <w:b w:val="0"/>
              </w:rPr>
              <w:t>nacionalidad y edad de su hijo</w:t>
            </w:r>
            <w:r w:rsidR="0022283D">
              <w:rPr>
                <w:rFonts w:ascii="Calibri Light" w:hAnsi="Calibri Light"/>
                <w:b w:val="0"/>
              </w:rPr>
              <w:t xml:space="preserve">, ya que solo </w:t>
            </w:r>
            <w:r w:rsidR="00C45FB4">
              <w:rPr>
                <w:rFonts w:ascii="Calibri Light" w:hAnsi="Calibri Light"/>
                <w:b w:val="0"/>
              </w:rPr>
              <w:t>aquellas personas con más de 18 años y de</w:t>
            </w:r>
            <w:r w:rsidR="0022283D">
              <w:rPr>
                <w:rFonts w:ascii="Calibri Light" w:hAnsi="Calibri Light"/>
                <w:b w:val="0"/>
              </w:rPr>
              <w:t xml:space="preserve"> nacionalidad paraguaya podían prestar dicho servicio. No obstante, u</w:t>
            </w:r>
            <w:r w:rsidRPr="00AD0CB8">
              <w:rPr>
                <w:rFonts w:ascii="Calibri Light" w:hAnsi="Calibri Light"/>
                <w:b w:val="0"/>
              </w:rPr>
              <w:t xml:space="preserve">n capitán del Ejército </w:t>
            </w:r>
            <w:r w:rsidRPr="00AD0CB8">
              <w:rPr>
                <w:rFonts w:ascii="Calibri Light" w:hAnsi="Calibri Light"/>
                <w:b w:val="0"/>
              </w:rPr>
              <w:lastRenderedPageBreak/>
              <w:t xml:space="preserve">le </w:t>
            </w:r>
            <w:r w:rsidR="0022283D">
              <w:rPr>
                <w:rFonts w:ascii="Calibri Light" w:hAnsi="Calibri Light"/>
                <w:b w:val="0"/>
              </w:rPr>
              <w:t>manifestó que</w:t>
            </w:r>
            <w:r w:rsidRPr="00AD0CB8">
              <w:rPr>
                <w:rFonts w:ascii="Calibri Light" w:hAnsi="Calibri Light"/>
                <w:b w:val="0"/>
              </w:rPr>
              <w:t xml:space="preserve"> la nacionalidad y edad no eran de importancia</w:t>
            </w:r>
            <w:r w:rsidR="00681F3C">
              <w:rPr>
                <w:rFonts w:ascii="Calibri Light" w:hAnsi="Calibri Light"/>
                <w:b w:val="0"/>
              </w:rPr>
              <w:t>,</w:t>
            </w:r>
            <w:r w:rsidRPr="00AD0CB8">
              <w:rPr>
                <w:rFonts w:ascii="Calibri Light" w:hAnsi="Calibri Light"/>
                <w:b w:val="0"/>
              </w:rPr>
              <w:t xml:space="preserve"> y “que él ya tenía la estatura y el cuerpo necesario”</w:t>
            </w:r>
            <w:r w:rsidR="0022283D">
              <w:rPr>
                <w:rFonts w:ascii="Calibri Light" w:hAnsi="Calibri Light"/>
                <w:b w:val="0"/>
              </w:rPr>
              <w:t>,</w:t>
            </w:r>
            <w:r w:rsidRPr="00AD0CB8">
              <w:rPr>
                <w:rFonts w:ascii="Calibri Light" w:hAnsi="Calibri Light"/>
                <w:b w:val="0"/>
              </w:rPr>
              <w:t xml:space="preserve"> por lo cual le habrían impedido retirar al niño del cuartel.</w:t>
            </w:r>
          </w:p>
          <w:p w:rsidRPr="00AD0CB8" w:rsidR="0022283D" w:rsidP="006F7EFD" w:rsidRDefault="0022283D" w14:paraId="4D0B0CEF" w14:textId="692ED6A6">
            <w:pPr>
              <w:spacing w:before="240"/>
              <w:jc w:val="both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>Los peticionarios alegaron que, p</w:t>
            </w:r>
            <w:r w:rsidRPr="0022283D">
              <w:rPr>
                <w:rFonts w:ascii="Calibri Light" w:hAnsi="Calibri Light"/>
                <w:b w:val="0"/>
              </w:rPr>
              <w:t xml:space="preserve">ara que Pedro Antonio Centurión cumpliera con el servicio militar obligatorio, miembros del </w:t>
            </w:r>
            <w:r w:rsidR="00681F3C">
              <w:rPr>
                <w:rFonts w:ascii="Calibri Light" w:hAnsi="Calibri Light"/>
                <w:b w:val="0"/>
              </w:rPr>
              <w:t>E</w:t>
            </w:r>
            <w:r w:rsidRPr="0022283D">
              <w:rPr>
                <w:rFonts w:ascii="Calibri Light" w:hAnsi="Calibri Light"/>
                <w:b w:val="0"/>
              </w:rPr>
              <w:t xml:space="preserve">jército habrían falsificado su documento de identificación con el objeto de asegurar que poseía la edad </w:t>
            </w:r>
            <w:r w:rsidR="006A0834">
              <w:rPr>
                <w:rFonts w:ascii="Calibri Light" w:hAnsi="Calibri Light"/>
                <w:b w:val="0"/>
              </w:rPr>
              <w:t xml:space="preserve">y </w:t>
            </w:r>
            <w:r w:rsidR="00E8303F">
              <w:rPr>
                <w:rFonts w:ascii="Calibri Light" w:hAnsi="Calibri Light"/>
                <w:b w:val="0"/>
              </w:rPr>
              <w:t xml:space="preserve">la </w:t>
            </w:r>
            <w:r w:rsidR="006A0834">
              <w:rPr>
                <w:rFonts w:ascii="Calibri Light" w:hAnsi="Calibri Light"/>
                <w:b w:val="0"/>
              </w:rPr>
              <w:t xml:space="preserve">nacionalidad </w:t>
            </w:r>
            <w:r w:rsidRPr="0022283D">
              <w:rPr>
                <w:rFonts w:ascii="Calibri Light" w:hAnsi="Calibri Light"/>
                <w:b w:val="0"/>
              </w:rPr>
              <w:t xml:space="preserve">necesaria para cumplirlo. Asimismo, indicaron que se habría condenado a tres meses de arresto al entonces </w:t>
            </w:r>
            <w:r w:rsidRPr="0022283D" w:rsidR="002C23BB">
              <w:rPr>
                <w:rFonts w:ascii="Calibri Light" w:hAnsi="Calibri Light"/>
                <w:b w:val="0"/>
              </w:rPr>
              <w:t>comandante</w:t>
            </w:r>
            <w:r w:rsidRPr="0022283D">
              <w:rPr>
                <w:rFonts w:ascii="Calibri Light" w:hAnsi="Calibri Light"/>
                <w:b w:val="0"/>
              </w:rPr>
              <w:t xml:space="preserve"> de la Unidad y al </w:t>
            </w:r>
            <w:proofErr w:type="gramStart"/>
            <w:r w:rsidRPr="0022283D">
              <w:rPr>
                <w:rFonts w:ascii="Calibri Light" w:hAnsi="Calibri Light"/>
                <w:b w:val="0"/>
              </w:rPr>
              <w:t>Jefe</w:t>
            </w:r>
            <w:proofErr w:type="gramEnd"/>
            <w:r w:rsidRPr="0022283D">
              <w:rPr>
                <w:rFonts w:ascii="Calibri Light" w:hAnsi="Calibri Light"/>
                <w:b w:val="0"/>
              </w:rPr>
              <w:t xml:space="preserve"> de Reclutamiento </w:t>
            </w:r>
            <w:proofErr w:type="spellStart"/>
            <w:r w:rsidRPr="0022283D">
              <w:rPr>
                <w:rFonts w:ascii="Calibri Light" w:hAnsi="Calibri Light"/>
                <w:b w:val="0"/>
              </w:rPr>
              <w:t>Nº</w:t>
            </w:r>
            <w:proofErr w:type="spellEnd"/>
            <w:r w:rsidRPr="0022283D">
              <w:rPr>
                <w:rFonts w:ascii="Calibri Light" w:hAnsi="Calibri Light"/>
                <w:b w:val="0"/>
              </w:rPr>
              <w:t xml:space="preserve"> 17 de Villa Hayes, por la falsificación de </w:t>
            </w:r>
            <w:r w:rsidR="006A0834">
              <w:rPr>
                <w:rFonts w:ascii="Calibri Light" w:hAnsi="Calibri Light"/>
                <w:b w:val="0"/>
              </w:rPr>
              <w:t xml:space="preserve">tales </w:t>
            </w:r>
            <w:r w:rsidRPr="0022283D">
              <w:rPr>
                <w:rFonts w:ascii="Calibri Light" w:hAnsi="Calibri Light"/>
                <w:b w:val="0"/>
              </w:rPr>
              <w:t>documentos</w:t>
            </w:r>
            <w:r>
              <w:rPr>
                <w:rFonts w:ascii="Calibri Light" w:hAnsi="Calibri Light"/>
                <w:b w:val="0"/>
              </w:rPr>
              <w:t>.</w:t>
            </w:r>
          </w:p>
          <w:p w:rsidRPr="00AD0CB8" w:rsidR="006F7EFD" w:rsidP="006F7EFD" w:rsidRDefault="0022283D" w14:paraId="7F3F1DBA" w14:textId="7212F3E1">
            <w:pPr>
              <w:spacing w:before="240"/>
              <w:jc w:val="both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>Por otro lado, l</w:t>
            </w:r>
            <w:r w:rsidRPr="00AD0CB8" w:rsidR="00AD0CB8">
              <w:rPr>
                <w:rFonts w:ascii="Calibri Light" w:hAnsi="Calibri Light"/>
                <w:b w:val="0"/>
              </w:rPr>
              <w:t>os</w:t>
            </w:r>
            <w:r w:rsidRPr="00AD0CB8" w:rsidR="006F7EFD">
              <w:rPr>
                <w:rFonts w:ascii="Calibri Light" w:hAnsi="Calibri Light"/>
                <w:b w:val="0"/>
              </w:rPr>
              <w:t xml:space="preserve"> peticionarios señalaron que Pedro Antonio Centurión habría sido trasladado a</w:t>
            </w:r>
            <w:r w:rsidR="00C45FB4">
              <w:rPr>
                <w:rFonts w:ascii="Calibri Light" w:hAnsi="Calibri Light"/>
                <w:b w:val="0"/>
              </w:rPr>
              <w:t>l cuartel</w:t>
            </w:r>
            <w:r w:rsidRPr="00AD0CB8" w:rsidR="006F7EFD">
              <w:rPr>
                <w:rFonts w:ascii="Calibri Light" w:hAnsi="Calibri Light"/>
                <w:b w:val="0"/>
              </w:rPr>
              <w:t xml:space="preserve"> “Fortín Cano”, </w:t>
            </w:r>
            <w:r>
              <w:rPr>
                <w:rFonts w:ascii="Calibri Light" w:hAnsi="Calibri Light"/>
                <w:b w:val="0"/>
              </w:rPr>
              <w:t xml:space="preserve">donde habría pasado </w:t>
            </w:r>
            <w:r w:rsidRPr="00AD0CB8" w:rsidR="006F7EFD">
              <w:rPr>
                <w:rFonts w:ascii="Calibri Light" w:hAnsi="Calibri Light"/>
                <w:b w:val="0"/>
              </w:rPr>
              <w:t>hambr</w:t>
            </w:r>
            <w:r>
              <w:rPr>
                <w:rFonts w:ascii="Calibri Light" w:hAnsi="Calibri Light"/>
                <w:b w:val="0"/>
              </w:rPr>
              <w:t xml:space="preserve">e y dificultades de toda índole. Por ello, habría </w:t>
            </w:r>
            <w:r w:rsidR="006A0834">
              <w:rPr>
                <w:rFonts w:ascii="Calibri Light" w:hAnsi="Calibri Light"/>
                <w:b w:val="0"/>
              </w:rPr>
              <w:t>i</w:t>
            </w:r>
            <w:r w:rsidRPr="00AD0CB8" w:rsidR="006F7EFD">
              <w:rPr>
                <w:rFonts w:ascii="Calibri Light" w:hAnsi="Calibri Light"/>
                <w:b w:val="0"/>
              </w:rPr>
              <w:t>ntentado fugar en el mes de julio de 2000, pero habría sido capturado y conducido al destaca</w:t>
            </w:r>
            <w:r>
              <w:rPr>
                <w:rFonts w:ascii="Calibri Light" w:hAnsi="Calibri Light"/>
                <w:b w:val="0"/>
              </w:rPr>
              <w:t>mento militar de “Vista Alegre”. E</w:t>
            </w:r>
            <w:r w:rsidRPr="00AD0CB8" w:rsidR="006F7EFD">
              <w:rPr>
                <w:rFonts w:ascii="Calibri Light" w:hAnsi="Calibri Light"/>
                <w:b w:val="0"/>
              </w:rPr>
              <w:t xml:space="preserve">l 12 de septiembre de 2000, </w:t>
            </w:r>
            <w:r>
              <w:rPr>
                <w:rFonts w:ascii="Calibri Light" w:hAnsi="Calibri Light"/>
                <w:b w:val="0"/>
              </w:rPr>
              <w:t>f</w:t>
            </w:r>
            <w:r w:rsidRPr="00AD0CB8" w:rsidR="006F7EFD">
              <w:rPr>
                <w:rFonts w:ascii="Calibri Light" w:hAnsi="Calibri Light"/>
                <w:b w:val="0"/>
              </w:rPr>
              <w:t>alleci</w:t>
            </w:r>
            <w:r>
              <w:rPr>
                <w:rFonts w:ascii="Calibri Light" w:hAnsi="Calibri Light"/>
                <w:b w:val="0"/>
              </w:rPr>
              <w:t>ó en ese lugar</w:t>
            </w:r>
            <w:r w:rsidRPr="00AD0CB8" w:rsidR="006F7EFD">
              <w:rPr>
                <w:rFonts w:ascii="Calibri Light" w:hAnsi="Calibri Light"/>
                <w:b w:val="0"/>
              </w:rPr>
              <w:t xml:space="preserve"> en “extrañas circunstancias”. </w:t>
            </w:r>
            <w:r>
              <w:rPr>
                <w:rFonts w:ascii="Calibri Light" w:hAnsi="Calibri Light"/>
                <w:b w:val="0"/>
              </w:rPr>
              <w:t>Posteriormente, el peritaje forense indicó que</w:t>
            </w:r>
            <w:r w:rsidRPr="00AD0CB8" w:rsidR="006F7EFD">
              <w:rPr>
                <w:rFonts w:ascii="Calibri Light" w:hAnsi="Calibri Light"/>
                <w:b w:val="0"/>
              </w:rPr>
              <w:t xml:space="preserve"> habría muerto como resultado de un impacto de arma larga de fuego.</w:t>
            </w:r>
          </w:p>
          <w:p w:rsidRPr="00AD0CB8" w:rsidR="00D82A21" w:rsidP="00AD0CB8" w:rsidRDefault="00D82A21" w14:paraId="447CDA4B" w14:textId="5C22EEFB">
            <w:pPr>
              <w:spacing w:before="240"/>
              <w:jc w:val="both"/>
              <w:rPr>
                <w:rFonts w:ascii="Calibri Light" w:hAnsi="Calibri Light"/>
                <w:b w:val="0"/>
              </w:rPr>
            </w:pPr>
            <w:r w:rsidRPr="00AD0CB8">
              <w:rPr>
                <w:rFonts w:ascii="Calibri Light" w:hAnsi="Calibri Light"/>
                <w:b w:val="0"/>
              </w:rPr>
              <w:t xml:space="preserve">Frente a tales hechos, el </w:t>
            </w:r>
            <w:r w:rsidRPr="00AD0CB8" w:rsidR="00AD0CB8">
              <w:rPr>
                <w:rFonts w:ascii="Calibri Light" w:hAnsi="Calibri Light"/>
                <w:b w:val="0"/>
              </w:rPr>
              <w:t>21</w:t>
            </w:r>
            <w:r w:rsidRPr="00AD0CB8">
              <w:rPr>
                <w:rFonts w:ascii="Calibri Light" w:hAnsi="Calibri Light"/>
                <w:b w:val="0"/>
              </w:rPr>
              <w:t xml:space="preserve"> de </w:t>
            </w:r>
            <w:r w:rsidRPr="00AD0CB8" w:rsidR="00AD0CB8">
              <w:rPr>
                <w:rFonts w:ascii="Calibri Light" w:hAnsi="Calibri Light"/>
                <w:b w:val="0"/>
              </w:rPr>
              <w:t>junio</w:t>
            </w:r>
            <w:r w:rsidRPr="00AD0CB8">
              <w:rPr>
                <w:rFonts w:ascii="Calibri Light" w:hAnsi="Calibri Light"/>
                <w:b w:val="0"/>
              </w:rPr>
              <w:t xml:space="preserve"> de </w:t>
            </w:r>
            <w:r w:rsidRPr="00AD0CB8" w:rsidR="00AD0CB8">
              <w:rPr>
                <w:rFonts w:ascii="Calibri Light" w:hAnsi="Calibri Light"/>
                <w:b w:val="0"/>
              </w:rPr>
              <w:t>2005</w:t>
            </w:r>
            <w:r w:rsidRPr="00AD0CB8">
              <w:rPr>
                <w:rFonts w:ascii="Calibri Light" w:hAnsi="Calibri Light"/>
                <w:b w:val="0"/>
              </w:rPr>
              <w:t xml:space="preserve">, la CIDH recibió una petición presentada por la </w:t>
            </w:r>
            <w:r w:rsidRPr="00AD0CB8" w:rsidR="00AD0CB8">
              <w:rPr>
                <w:rFonts w:ascii="Calibri Light" w:hAnsi="Calibri Light"/>
                <w:b w:val="0"/>
              </w:rPr>
              <w:t>AFAVISEM</w:t>
            </w:r>
            <w:r w:rsidRPr="00AD0CB8">
              <w:rPr>
                <w:rFonts w:ascii="Calibri Light" w:hAnsi="Calibri Light"/>
                <w:b w:val="0"/>
              </w:rPr>
              <w:t xml:space="preserve">, en la cual se denunciaban las violaciones </w:t>
            </w:r>
            <w:r w:rsidRPr="00AD0CB8" w:rsidR="00AD0CB8">
              <w:rPr>
                <w:rFonts w:ascii="Calibri Light" w:hAnsi="Calibri Light"/>
                <w:b w:val="0"/>
              </w:rPr>
              <w:t xml:space="preserve">a </w:t>
            </w:r>
            <w:r w:rsidR="00E8303F">
              <w:rPr>
                <w:rFonts w:ascii="Calibri Light" w:hAnsi="Calibri Light"/>
                <w:b w:val="0"/>
              </w:rPr>
              <w:t>los derechos</w:t>
            </w:r>
            <w:r w:rsidRPr="00AD0CB8" w:rsidR="00AD0CB8">
              <w:rPr>
                <w:rFonts w:ascii="Calibri Light" w:hAnsi="Calibri Light"/>
                <w:b w:val="0"/>
              </w:rPr>
              <w:t xml:space="preserve"> a la </w:t>
            </w:r>
            <w:r w:rsidR="0022283D">
              <w:rPr>
                <w:rFonts w:ascii="Calibri Light" w:hAnsi="Calibri Light"/>
                <w:b w:val="0"/>
              </w:rPr>
              <w:t>v</w:t>
            </w:r>
            <w:r w:rsidRPr="00AD0CB8" w:rsidR="00AD0CB8">
              <w:rPr>
                <w:rFonts w:ascii="Calibri Light" w:hAnsi="Calibri Light"/>
                <w:b w:val="0"/>
              </w:rPr>
              <w:t xml:space="preserve">ida, integridad personal, </w:t>
            </w:r>
            <w:r w:rsidR="0022283D">
              <w:rPr>
                <w:rFonts w:ascii="Calibri Light" w:hAnsi="Calibri Light"/>
                <w:b w:val="0"/>
              </w:rPr>
              <w:t>p</w:t>
            </w:r>
            <w:r w:rsidRPr="00AD0CB8" w:rsidR="00AD0CB8">
              <w:rPr>
                <w:rFonts w:ascii="Calibri Light" w:hAnsi="Calibri Light"/>
                <w:b w:val="0"/>
              </w:rPr>
              <w:t>rohibición de la esclavitud y servidumbre, libertad personal, garantías judiciales, derechos del niño y protección judicial, contemplados en la Convención Americana sobre Derechos Humanos (en adelante, CADH)</w:t>
            </w:r>
            <w:r w:rsidRPr="00AD0CB8" w:rsidR="00447CCD">
              <w:rPr>
                <w:rFonts w:ascii="Calibri Light" w:hAnsi="Calibri Light"/>
                <w:b w:val="0"/>
              </w:rPr>
              <w:t>.</w:t>
            </w:r>
          </w:p>
          <w:p w:rsidRPr="004533E5" w:rsidR="00B15193" w:rsidP="00A84D66" w:rsidRDefault="00B15193" w14:paraId="04CF47F7" w14:textId="77777777">
            <w:pPr>
              <w:jc w:val="both"/>
              <w:rPr>
                <w:rFonts w:ascii="Calibri Light" w:hAnsi="Calibri Light"/>
                <w:b w:val="0"/>
              </w:rPr>
            </w:pPr>
          </w:p>
        </w:tc>
      </w:tr>
      <w:tr w:rsidRPr="004533E5" w:rsidR="00B15193" w:rsidTr="5A35B901" w14:paraId="0FE4DAC7" w14:textId="7777777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  <w:tcMar/>
          </w:tcPr>
          <w:p w:rsidR="00B15193" w:rsidP="00A84D66" w:rsidRDefault="00B15193" w14:paraId="24D3F8CA" w14:textId="77777777">
            <w:pPr>
              <w:jc w:val="center"/>
              <w:rPr>
                <w:rFonts w:ascii="Calibri Light" w:hAnsi="Calibri Light"/>
              </w:rPr>
            </w:pPr>
          </w:p>
          <w:p w:rsidR="00B15193" w:rsidP="00A84D66" w:rsidRDefault="00B15193" w14:paraId="72FC25FC" w14:textId="75C826E6" w14:noSpellErr="1">
            <w:pPr>
              <w:jc w:val="center"/>
              <w:rPr>
                <w:rFonts w:ascii="Calibri Light" w:hAnsi="Calibri Light"/>
              </w:rPr>
            </w:pPr>
            <w:r w:rsidRPr="5A35B901" w:rsidR="00B15193">
              <w:rPr>
                <w:rFonts w:ascii="Calibri Light" w:hAnsi="Calibri Light"/>
              </w:rPr>
              <w:t xml:space="preserve">E. </w:t>
            </w:r>
            <w:r w:rsidRPr="5A35B901" w:rsidR="00B15193">
              <w:rPr>
                <w:rFonts w:ascii="Calibri Light" w:hAnsi="Calibri Light"/>
              </w:rPr>
              <w:t>Acuerdo de Solución</w:t>
            </w:r>
            <w:r w:rsidRPr="5A35B901" w:rsidR="00B15193">
              <w:rPr>
                <w:rFonts w:ascii="Calibri Light" w:hAnsi="Calibri Light"/>
              </w:rPr>
              <w:t xml:space="preserve"> Am</w:t>
            </w:r>
            <w:r w:rsidRPr="5A35B901" w:rsidR="00B15193">
              <w:rPr>
                <w:rFonts w:ascii="Calibri Light" w:hAnsi="Calibri Light"/>
              </w:rPr>
              <w:t>istosa</w:t>
            </w:r>
            <w:r w:rsidRPr="5A35B901" w:rsidR="002B7035">
              <w:rPr>
                <w:rFonts w:ascii="Calibri Light" w:hAnsi="Calibri Light"/>
              </w:rPr>
              <w:t xml:space="preserve"> </w:t>
            </w:r>
            <w:r w:rsidRPr="5A35B901" w:rsidR="002B7035">
              <w:rPr>
                <w:rFonts w:ascii="Calibri Light" w:hAnsi="Calibri Light"/>
              </w:rPr>
              <w:t>(ASA)</w:t>
            </w:r>
          </w:p>
          <w:p w:rsidRPr="004533E5" w:rsidR="00B15193" w:rsidP="00A84D66" w:rsidRDefault="00B15193" w14:paraId="4E4A3520" w14:textId="77777777">
            <w:pPr>
              <w:jc w:val="center"/>
              <w:rPr>
                <w:rFonts w:ascii="Calibri Light" w:hAnsi="Calibri Light"/>
              </w:rPr>
            </w:pPr>
          </w:p>
        </w:tc>
      </w:tr>
      <w:tr w:rsidRPr="004533E5" w:rsidR="00B15193" w:rsidTr="5A35B901" w14:paraId="6C3FB8F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  <w:tcMar/>
          </w:tcPr>
          <w:p w:rsidR="00B15193" w:rsidP="00A84D66" w:rsidRDefault="00B15193" w14:paraId="59A9C913" w14:textId="641196EE">
            <w:pPr>
              <w:jc w:val="both"/>
              <w:rPr>
                <w:rFonts w:ascii="Calibri Light" w:hAnsi="Calibri Light"/>
                <w:b w:val="0"/>
              </w:rPr>
            </w:pPr>
          </w:p>
          <w:p w:rsidR="00B15193" w:rsidP="00A84D66" w:rsidRDefault="00B15193" w14:paraId="6193D45D" w14:textId="66E67418">
            <w:pPr>
              <w:jc w:val="both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>Mediante el acuerdo de solución amistosa</w:t>
            </w:r>
            <w:r w:rsidR="00B45D68">
              <w:rPr>
                <w:rFonts w:ascii="Calibri Light" w:hAnsi="Calibri Light"/>
                <w:b w:val="0"/>
              </w:rPr>
              <w:t xml:space="preserve"> suscrito por las partes el 0</w:t>
            </w:r>
            <w:r w:rsidR="00F03D90">
              <w:rPr>
                <w:rFonts w:ascii="Calibri Light" w:hAnsi="Calibri Light"/>
                <w:b w:val="0"/>
              </w:rPr>
              <w:t>5</w:t>
            </w:r>
            <w:r w:rsidR="00B45D68">
              <w:rPr>
                <w:rFonts w:ascii="Calibri Light" w:hAnsi="Calibri Light"/>
                <w:b w:val="0"/>
              </w:rPr>
              <w:t xml:space="preserve"> de </w:t>
            </w:r>
            <w:r w:rsidR="00F03D90">
              <w:rPr>
                <w:rFonts w:ascii="Calibri Light" w:hAnsi="Calibri Light"/>
                <w:b w:val="0"/>
              </w:rPr>
              <w:t>agosto</w:t>
            </w:r>
            <w:r w:rsidR="00B45D68">
              <w:rPr>
                <w:rFonts w:ascii="Calibri Light" w:hAnsi="Calibri Light"/>
                <w:b w:val="0"/>
              </w:rPr>
              <w:t xml:space="preserve"> de 201</w:t>
            </w:r>
            <w:r w:rsidR="00F03D90">
              <w:rPr>
                <w:rFonts w:ascii="Calibri Light" w:hAnsi="Calibri Light"/>
                <w:b w:val="0"/>
              </w:rPr>
              <w:t>1</w:t>
            </w:r>
            <w:r>
              <w:rPr>
                <w:rFonts w:ascii="Calibri Light" w:hAnsi="Calibri Light"/>
                <w:b w:val="0"/>
              </w:rPr>
              <w:t xml:space="preserve">, </w:t>
            </w:r>
            <w:r w:rsidR="006F7EFD">
              <w:rPr>
                <w:rFonts w:ascii="Calibri Light" w:hAnsi="Calibri Light"/>
                <w:b w:val="0"/>
              </w:rPr>
              <w:t>estas</w:t>
            </w:r>
            <w:r>
              <w:rPr>
                <w:rFonts w:ascii="Calibri Light" w:hAnsi="Calibri Light"/>
                <w:b w:val="0"/>
              </w:rPr>
              <w:t xml:space="preserve"> manifestaron lo siguiente:</w:t>
            </w:r>
          </w:p>
          <w:p w:rsidR="00B15193" w:rsidP="00A84D66" w:rsidRDefault="00B15193" w14:paraId="7F46D44A" w14:textId="77777777">
            <w:pPr>
              <w:jc w:val="both"/>
              <w:rPr>
                <w:rFonts w:ascii="Calibri Light" w:hAnsi="Calibri Light"/>
                <w:b w:val="0"/>
              </w:rPr>
            </w:pPr>
          </w:p>
          <w:p w:rsidR="00D70EC4" w:rsidP="00D70EC4" w:rsidRDefault="00B15193" w14:paraId="0331402E" w14:textId="6ECDC716">
            <w:pPr>
              <w:jc w:val="both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 xml:space="preserve">1. El Estado </w:t>
            </w:r>
            <w:r w:rsidR="00AA6024">
              <w:rPr>
                <w:rFonts w:ascii="Calibri Light" w:hAnsi="Calibri Light"/>
                <w:b w:val="0"/>
              </w:rPr>
              <w:t xml:space="preserve">reconoció </w:t>
            </w:r>
            <w:r w:rsidR="00D70EC4">
              <w:rPr>
                <w:rFonts w:ascii="Calibri Light" w:hAnsi="Calibri Light"/>
                <w:b w:val="0"/>
              </w:rPr>
              <w:t xml:space="preserve">su responsabilidad internacional por la </w:t>
            </w:r>
            <w:r w:rsidR="00C45FB4">
              <w:rPr>
                <w:rFonts w:ascii="Calibri Light" w:hAnsi="Calibri Light"/>
                <w:b w:val="0"/>
              </w:rPr>
              <w:t>violación de</w:t>
            </w:r>
            <w:r w:rsidR="00D70EC4">
              <w:rPr>
                <w:rFonts w:ascii="Calibri Light" w:hAnsi="Calibri Light"/>
                <w:b w:val="0"/>
              </w:rPr>
              <w:t xml:space="preserve"> </w:t>
            </w:r>
            <w:r w:rsidRPr="00D70EC4" w:rsidR="00D70EC4">
              <w:rPr>
                <w:rFonts w:ascii="Calibri Light" w:hAnsi="Calibri Light"/>
                <w:b w:val="0"/>
              </w:rPr>
              <w:t>los derechos a la</w:t>
            </w:r>
            <w:r w:rsidR="00D70EC4">
              <w:rPr>
                <w:rFonts w:ascii="Calibri Light" w:hAnsi="Calibri Light"/>
                <w:b w:val="0"/>
              </w:rPr>
              <w:t xml:space="preserve"> </w:t>
            </w:r>
            <w:r w:rsidRPr="00D70EC4" w:rsidR="00D70EC4">
              <w:rPr>
                <w:rFonts w:ascii="Calibri Light" w:hAnsi="Calibri Light"/>
                <w:b w:val="0"/>
              </w:rPr>
              <w:t>libertad personal, a la integridad personal, a la vida, a medidas especiales de protección a la</w:t>
            </w:r>
            <w:r w:rsidR="00D70EC4">
              <w:rPr>
                <w:rFonts w:ascii="Calibri Light" w:hAnsi="Calibri Light"/>
                <w:b w:val="0"/>
              </w:rPr>
              <w:t xml:space="preserve"> </w:t>
            </w:r>
            <w:r w:rsidRPr="00D70EC4" w:rsidR="00D70EC4">
              <w:rPr>
                <w:rFonts w:ascii="Calibri Light" w:hAnsi="Calibri Light"/>
                <w:b w:val="0"/>
              </w:rPr>
              <w:t>niñez, a la protección judicial y a las garantías judiciales</w:t>
            </w:r>
            <w:r w:rsidR="00C45FB4">
              <w:rPr>
                <w:rFonts w:ascii="Calibri Light" w:hAnsi="Calibri Light"/>
                <w:b w:val="0"/>
              </w:rPr>
              <w:t xml:space="preserve">, </w:t>
            </w:r>
            <w:r w:rsidR="00E8303F">
              <w:rPr>
                <w:rFonts w:ascii="Calibri Light" w:hAnsi="Calibri Light"/>
                <w:b w:val="0"/>
              </w:rPr>
              <w:t>reconocidos</w:t>
            </w:r>
            <w:r w:rsidR="00C45FB4">
              <w:rPr>
                <w:rFonts w:ascii="Calibri Light" w:hAnsi="Calibri Light"/>
                <w:b w:val="0"/>
              </w:rPr>
              <w:t xml:space="preserve"> en los artículos 4, 5, 6, 7, 8, 19 y 25 de la CADH, </w:t>
            </w:r>
            <w:r w:rsidR="00E8303F">
              <w:rPr>
                <w:rFonts w:ascii="Calibri Light" w:hAnsi="Calibri Light"/>
                <w:b w:val="0"/>
              </w:rPr>
              <w:t>por</w:t>
            </w:r>
            <w:r w:rsidR="00C45FB4">
              <w:rPr>
                <w:rFonts w:ascii="Calibri Light" w:hAnsi="Calibri Light"/>
                <w:b w:val="0"/>
              </w:rPr>
              <w:t xml:space="preserve"> la muerte del niño soldado Pedro Antonio Centurión, </w:t>
            </w:r>
            <w:r w:rsidR="00E8303F">
              <w:rPr>
                <w:rFonts w:ascii="Calibri Light" w:hAnsi="Calibri Light"/>
                <w:b w:val="0"/>
              </w:rPr>
              <w:t xml:space="preserve">quien se encontraba reclutado ilegalmente para el servicio militar </w:t>
            </w:r>
            <w:r w:rsidR="00C45FB4">
              <w:rPr>
                <w:rFonts w:ascii="Calibri Light" w:hAnsi="Calibri Light"/>
                <w:b w:val="0"/>
              </w:rPr>
              <w:t>bajo la custodia del Ejército</w:t>
            </w:r>
            <w:r w:rsidR="00D70EC4">
              <w:rPr>
                <w:rFonts w:ascii="Calibri Light" w:hAnsi="Calibri Light"/>
                <w:b w:val="0"/>
              </w:rPr>
              <w:t>.</w:t>
            </w:r>
          </w:p>
          <w:p w:rsidR="006A0834" w:rsidP="00AA6024" w:rsidRDefault="00B15193" w14:paraId="4B8C6528" w14:textId="11D81BC7">
            <w:pPr>
              <w:spacing w:before="240"/>
              <w:jc w:val="both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 xml:space="preserve">2. El Estado </w:t>
            </w:r>
            <w:r w:rsidR="00AA6024">
              <w:rPr>
                <w:rFonts w:ascii="Calibri Light" w:hAnsi="Calibri Light"/>
                <w:b w:val="0"/>
              </w:rPr>
              <w:t xml:space="preserve">se comprometió a </w:t>
            </w:r>
            <w:r w:rsidR="006A0834">
              <w:rPr>
                <w:rFonts w:ascii="Calibri Light" w:hAnsi="Calibri Light"/>
                <w:b w:val="0"/>
              </w:rPr>
              <w:t xml:space="preserve">adoptar las siguientes medidas de reparación: </w:t>
            </w:r>
          </w:p>
          <w:p w:rsidRPr="00210A8E" w:rsidR="00B15193" w:rsidP="00835DA0" w:rsidRDefault="006A0834" w14:paraId="6B15EFD7" w14:textId="32F83DC0">
            <w:pPr>
              <w:pStyle w:val="ListParagraph"/>
              <w:numPr>
                <w:ilvl w:val="0"/>
                <w:numId w:val="5"/>
              </w:numPr>
              <w:spacing w:before="240"/>
              <w:jc w:val="both"/>
              <w:rPr>
                <w:rFonts w:ascii="Calibri Light" w:hAnsi="Calibri Light"/>
                <w:b w:val="0"/>
              </w:rPr>
            </w:pPr>
            <w:r w:rsidRPr="00210A8E">
              <w:rPr>
                <w:rFonts w:ascii="Calibri Light" w:hAnsi="Calibri Light"/>
                <w:b w:val="0"/>
              </w:rPr>
              <w:t>R</w:t>
            </w:r>
            <w:r w:rsidRPr="00210A8E" w:rsidR="00AA6024">
              <w:rPr>
                <w:rFonts w:ascii="Calibri Light" w:hAnsi="Calibri Light"/>
                <w:b w:val="0"/>
              </w:rPr>
              <w:t>ealizar</w:t>
            </w:r>
            <w:r w:rsidRPr="00210A8E" w:rsidR="00CD3FC0">
              <w:rPr>
                <w:rFonts w:ascii="Calibri Light" w:hAnsi="Calibri Light"/>
                <w:b w:val="0"/>
              </w:rPr>
              <w:t xml:space="preserve"> </w:t>
            </w:r>
            <w:r w:rsidRPr="00210A8E" w:rsidR="00AA6024">
              <w:rPr>
                <w:rFonts w:ascii="Calibri Light" w:hAnsi="Calibri Light"/>
                <w:b w:val="0"/>
              </w:rPr>
              <w:t>un acto de disculpa pública y reconocimiento de responsabilidad internacional por violaciones a los derechos humanos. El texto de disculpa y reconocimiento será elaborado de común acuerdo entre el Estado y representantes de la víctima. El acto contará con la presencia de altas autoridades y de familiares de la víctima, y será ampliamente difundido en diversos medios de comunicación masiva.</w:t>
            </w:r>
          </w:p>
          <w:p w:rsidRPr="00210A8E" w:rsidR="006A0834" w:rsidP="00835DA0" w:rsidRDefault="006A0834" w14:paraId="6861D2F3" w14:textId="77777777">
            <w:pPr>
              <w:pStyle w:val="ListParagraph"/>
              <w:spacing w:before="240"/>
              <w:jc w:val="both"/>
              <w:rPr>
                <w:rFonts w:ascii="Calibri Light" w:hAnsi="Calibri Light"/>
                <w:b w:val="0"/>
              </w:rPr>
            </w:pPr>
          </w:p>
          <w:p w:rsidRPr="00210A8E" w:rsidR="006A0834" w:rsidP="00835DA0" w:rsidRDefault="006A0834" w14:paraId="0BE69743" w14:textId="2E0561CD">
            <w:pPr>
              <w:pStyle w:val="ListParagraph"/>
              <w:numPr>
                <w:ilvl w:val="0"/>
                <w:numId w:val="5"/>
              </w:numPr>
              <w:spacing w:before="240"/>
              <w:jc w:val="both"/>
              <w:rPr>
                <w:rFonts w:ascii="Calibri Light" w:hAnsi="Calibri Light"/>
                <w:b w:val="0"/>
              </w:rPr>
            </w:pPr>
            <w:r w:rsidRPr="00210A8E">
              <w:rPr>
                <w:rFonts w:ascii="Calibri Light" w:hAnsi="Calibri Light"/>
                <w:b w:val="0"/>
              </w:rPr>
              <w:t xml:space="preserve">Transferir </w:t>
            </w:r>
            <w:r w:rsidRPr="00210A8E" w:rsidR="00AA6024">
              <w:rPr>
                <w:rFonts w:ascii="Calibri Light" w:hAnsi="Calibri Light"/>
                <w:b w:val="0"/>
              </w:rPr>
              <w:t xml:space="preserve">un terreno ubicado en el distrito de Luque, a favor de la señora Centurión, madre de la víctima. En dicho terreno, el Estado construirá una vivienda </w:t>
            </w:r>
            <w:r w:rsidRPr="00210A8E" w:rsidR="006F7EFD">
              <w:rPr>
                <w:rFonts w:ascii="Calibri Light" w:hAnsi="Calibri Light"/>
                <w:b w:val="0"/>
              </w:rPr>
              <w:t xml:space="preserve">con los estándares propuestos </w:t>
            </w:r>
            <w:r w:rsidRPr="00210A8E" w:rsidR="00AA6024">
              <w:rPr>
                <w:rFonts w:ascii="Calibri Light" w:hAnsi="Calibri Light"/>
                <w:b w:val="0"/>
              </w:rPr>
              <w:t>por el ente rector en temas de vivienda y hábitat.</w:t>
            </w:r>
          </w:p>
          <w:p w:rsidRPr="00210A8E" w:rsidR="006A0834" w:rsidP="00835DA0" w:rsidRDefault="006A0834" w14:paraId="3A1E34A6" w14:textId="77777777">
            <w:pPr>
              <w:pStyle w:val="ListParagraph"/>
              <w:spacing w:before="240"/>
              <w:jc w:val="both"/>
              <w:rPr>
                <w:rFonts w:ascii="Calibri Light" w:hAnsi="Calibri Light"/>
                <w:b w:val="0"/>
              </w:rPr>
            </w:pPr>
          </w:p>
          <w:p w:rsidRPr="00210A8E" w:rsidR="00AA6024" w:rsidP="00835DA0" w:rsidRDefault="006A0834" w14:paraId="782EBDEA" w14:textId="1B0E8DEC">
            <w:pPr>
              <w:pStyle w:val="ListParagraph"/>
              <w:numPr>
                <w:ilvl w:val="0"/>
                <w:numId w:val="5"/>
              </w:numPr>
              <w:spacing w:before="240"/>
              <w:jc w:val="both"/>
              <w:rPr>
                <w:rFonts w:ascii="Calibri Light" w:hAnsi="Calibri Light"/>
                <w:b w:val="0"/>
              </w:rPr>
            </w:pPr>
            <w:r w:rsidRPr="00210A8E">
              <w:rPr>
                <w:rFonts w:ascii="Calibri Light" w:hAnsi="Calibri Light"/>
                <w:b w:val="0"/>
              </w:rPr>
              <w:t xml:space="preserve">Instalar </w:t>
            </w:r>
            <w:r w:rsidRPr="00210A8E" w:rsidR="00AA6024">
              <w:rPr>
                <w:rFonts w:ascii="Calibri Light" w:hAnsi="Calibri Light"/>
                <w:b w:val="0"/>
              </w:rPr>
              <w:t>en el destacamento militar donde desapareció el niño</w:t>
            </w:r>
            <w:r w:rsidRPr="00210A8E">
              <w:rPr>
                <w:rFonts w:ascii="Calibri Light" w:hAnsi="Calibri Light"/>
                <w:b w:val="0"/>
              </w:rPr>
              <w:t xml:space="preserve"> </w:t>
            </w:r>
            <w:r w:rsidRPr="00210A8E" w:rsidR="00AA6024">
              <w:rPr>
                <w:rFonts w:ascii="Calibri Light" w:hAnsi="Calibri Light"/>
                <w:b w:val="0"/>
              </w:rPr>
              <w:t>una placa</w:t>
            </w:r>
            <w:r w:rsidRPr="00210A8E" w:rsidR="0071112C">
              <w:rPr>
                <w:rFonts w:ascii="Calibri Light" w:hAnsi="Calibri Light"/>
                <w:b w:val="0"/>
              </w:rPr>
              <w:t xml:space="preserve"> </w:t>
            </w:r>
            <w:r w:rsidRPr="00210A8E" w:rsidR="00AA6024">
              <w:rPr>
                <w:rFonts w:ascii="Calibri Light" w:hAnsi="Calibri Light"/>
                <w:b w:val="0"/>
              </w:rPr>
              <w:t>conmemorativa con un texto acordado entre las partes alusivo al fallecimiento de</w:t>
            </w:r>
            <w:r w:rsidRPr="00210A8E" w:rsidR="0071112C">
              <w:rPr>
                <w:rFonts w:ascii="Calibri Light" w:hAnsi="Calibri Light"/>
                <w:b w:val="0"/>
              </w:rPr>
              <w:t xml:space="preserve"> la víctima.</w:t>
            </w:r>
            <w:r w:rsidRPr="00210A8E" w:rsidR="00AA6024">
              <w:rPr>
                <w:rFonts w:ascii="Calibri Light" w:hAnsi="Calibri Light"/>
                <w:b w:val="0"/>
              </w:rPr>
              <w:t xml:space="preserve"> Además, designar una calle con </w:t>
            </w:r>
            <w:r w:rsidRPr="00210A8E" w:rsidR="0071112C">
              <w:rPr>
                <w:rFonts w:ascii="Calibri Light" w:hAnsi="Calibri Light"/>
                <w:b w:val="0"/>
              </w:rPr>
              <w:t>su</w:t>
            </w:r>
            <w:r w:rsidRPr="00210A8E" w:rsidR="00AA6024">
              <w:rPr>
                <w:rFonts w:ascii="Calibri Light" w:hAnsi="Calibri Light"/>
                <w:b w:val="0"/>
              </w:rPr>
              <w:t xml:space="preserve"> nombre en la ciudad de Luque.</w:t>
            </w:r>
          </w:p>
          <w:p w:rsidRPr="00210A8E" w:rsidR="00FF6811" w:rsidP="00835DA0" w:rsidRDefault="00FF6811" w14:paraId="57FF537C" w14:textId="77777777">
            <w:pPr>
              <w:pStyle w:val="ListParagraph"/>
              <w:rPr>
                <w:rFonts w:ascii="Calibri Light" w:hAnsi="Calibri Light"/>
                <w:b w:val="0"/>
              </w:rPr>
            </w:pPr>
          </w:p>
          <w:p w:rsidRPr="00210A8E" w:rsidR="00F56B2C" w:rsidP="00835DA0" w:rsidRDefault="00FF6811" w14:paraId="145368F4" w14:textId="71C2E96E">
            <w:pPr>
              <w:pStyle w:val="ListParagraph"/>
              <w:numPr>
                <w:ilvl w:val="0"/>
                <w:numId w:val="5"/>
              </w:numPr>
              <w:spacing w:before="240"/>
              <w:jc w:val="both"/>
              <w:rPr>
                <w:rFonts w:ascii="Calibri Light" w:hAnsi="Calibri Light"/>
                <w:b w:val="0"/>
              </w:rPr>
            </w:pPr>
            <w:r w:rsidRPr="00210A8E">
              <w:rPr>
                <w:rFonts w:ascii="Calibri Light" w:hAnsi="Calibri Light"/>
                <w:b w:val="0"/>
              </w:rPr>
              <w:lastRenderedPageBreak/>
              <w:t>B</w:t>
            </w:r>
            <w:r w:rsidRPr="00210A8E" w:rsidR="0071112C">
              <w:rPr>
                <w:rFonts w:ascii="Calibri Light" w:hAnsi="Calibri Light"/>
                <w:b w:val="0"/>
              </w:rPr>
              <w:t>rindar asistencia médica y psicológica gratuita a los padres de la víctima y hermanos, así como la provisión de medicamentos para la atención de las afecciones que ellos padecen.</w:t>
            </w:r>
          </w:p>
          <w:p w:rsidRPr="00210A8E" w:rsidR="00FF6811" w:rsidP="00835DA0" w:rsidRDefault="00FF6811" w14:paraId="383444CF" w14:textId="77777777">
            <w:pPr>
              <w:pStyle w:val="ListParagraph"/>
              <w:spacing w:before="240"/>
              <w:jc w:val="both"/>
              <w:rPr>
                <w:rFonts w:ascii="Calibri Light" w:hAnsi="Calibri Light"/>
                <w:b w:val="0"/>
              </w:rPr>
            </w:pPr>
          </w:p>
          <w:p w:rsidRPr="00210A8E" w:rsidR="00B15193" w:rsidP="00835DA0" w:rsidRDefault="00FF6811" w14:paraId="2E11BCD9" w14:textId="675B9073">
            <w:pPr>
              <w:pStyle w:val="ListParagraph"/>
              <w:numPr>
                <w:ilvl w:val="0"/>
                <w:numId w:val="5"/>
              </w:numPr>
              <w:spacing w:before="240"/>
              <w:jc w:val="both"/>
              <w:rPr>
                <w:rFonts w:ascii="Calibri Light" w:hAnsi="Calibri Light"/>
                <w:b w:val="0"/>
              </w:rPr>
            </w:pPr>
            <w:r w:rsidRPr="00210A8E">
              <w:rPr>
                <w:rFonts w:ascii="Calibri Light" w:hAnsi="Calibri Light"/>
                <w:b w:val="0"/>
              </w:rPr>
              <w:t>G</w:t>
            </w:r>
            <w:r w:rsidRPr="00210A8E" w:rsidR="00C615DF">
              <w:rPr>
                <w:rFonts w:ascii="Calibri Light" w:hAnsi="Calibri Light"/>
                <w:b w:val="0"/>
              </w:rPr>
              <w:t xml:space="preserve">arantizar una reparación pecuniaria, mediante el pago de </w:t>
            </w:r>
            <w:r w:rsidRPr="00210A8E">
              <w:rPr>
                <w:rFonts w:ascii="Calibri Light" w:hAnsi="Calibri Light"/>
                <w:b w:val="0"/>
              </w:rPr>
              <w:t>$</w:t>
            </w:r>
            <w:r w:rsidR="00E8303F">
              <w:rPr>
                <w:rFonts w:ascii="Calibri Light" w:hAnsi="Calibri Light"/>
                <w:b w:val="0"/>
              </w:rPr>
              <w:t xml:space="preserve"> </w:t>
            </w:r>
            <w:r w:rsidRPr="00210A8E" w:rsidR="00C615DF">
              <w:rPr>
                <w:rFonts w:ascii="Calibri Light" w:hAnsi="Calibri Light"/>
                <w:b w:val="0"/>
              </w:rPr>
              <w:t>30.000</w:t>
            </w:r>
            <w:r w:rsidRPr="00210A8E">
              <w:rPr>
                <w:rFonts w:ascii="Calibri Light" w:hAnsi="Calibri Light"/>
                <w:b w:val="0"/>
              </w:rPr>
              <w:t>,00</w:t>
            </w:r>
            <w:r w:rsidRPr="00210A8E" w:rsidR="00C615DF">
              <w:rPr>
                <w:rFonts w:ascii="Calibri Light" w:hAnsi="Calibri Light"/>
                <w:b w:val="0"/>
              </w:rPr>
              <w:t xml:space="preserve"> (treinta mil dólares americanos) </w:t>
            </w:r>
            <w:r w:rsidRPr="00210A8E">
              <w:rPr>
                <w:rFonts w:ascii="Calibri Light" w:hAnsi="Calibri Light"/>
                <w:b w:val="0"/>
              </w:rPr>
              <w:t xml:space="preserve">por </w:t>
            </w:r>
            <w:r w:rsidRPr="00210A8E" w:rsidR="00C615DF">
              <w:rPr>
                <w:rFonts w:ascii="Calibri Light" w:hAnsi="Calibri Light"/>
                <w:b w:val="0"/>
              </w:rPr>
              <w:t>concepto de indemnización para la madre de la víctima y la gestión para regularizar la pensión para los familiares de la víctima.</w:t>
            </w:r>
          </w:p>
          <w:p w:rsidR="00C615DF" w:rsidP="00C615DF" w:rsidRDefault="00C615DF" w14:paraId="5174ABB4" w14:textId="77777777">
            <w:pPr>
              <w:spacing w:before="240"/>
              <w:jc w:val="both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 xml:space="preserve">7. </w:t>
            </w:r>
            <w:r w:rsidRPr="00C615DF">
              <w:rPr>
                <w:rFonts w:ascii="Calibri Light" w:hAnsi="Calibri Light"/>
                <w:b w:val="0"/>
              </w:rPr>
              <w:t>Para el monitoreo de la observancia del presente acuerdo hasta su efectivo cumplimiento, las</w:t>
            </w:r>
            <w:r>
              <w:rPr>
                <w:rFonts w:ascii="Calibri Light" w:hAnsi="Calibri Light"/>
                <w:b w:val="0"/>
              </w:rPr>
              <w:t xml:space="preserve"> </w:t>
            </w:r>
            <w:r w:rsidRPr="00C615DF">
              <w:rPr>
                <w:rFonts w:ascii="Calibri Light" w:hAnsi="Calibri Light"/>
                <w:b w:val="0"/>
              </w:rPr>
              <w:t>partes realizarán informes cada seis meses sobre los avances alcanzados</w:t>
            </w:r>
            <w:r>
              <w:rPr>
                <w:rFonts w:ascii="Calibri Light" w:hAnsi="Calibri Light"/>
                <w:b w:val="0"/>
              </w:rPr>
              <w:t>.</w:t>
            </w:r>
          </w:p>
          <w:p w:rsidR="00C615DF" w:rsidP="00C615DF" w:rsidRDefault="00C615DF" w14:paraId="6C8BA088" w14:textId="0CEFAABE">
            <w:pPr>
              <w:spacing w:before="240"/>
              <w:jc w:val="both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 xml:space="preserve">8. </w:t>
            </w:r>
            <w:r w:rsidRPr="00C615DF">
              <w:rPr>
                <w:rFonts w:ascii="Calibri Light" w:hAnsi="Calibri Light"/>
                <w:b w:val="0"/>
              </w:rPr>
              <w:t>El sentido y alcance del presente Acuerdo se interpreta de conformidad a los artículos 29 y 30</w:t>
            </w:r>
            <w:r>
              <w:rPr>
                <w:rFonts w:ascii="Calibri Light" w:hAnsi="Calibri Light"/>
                <w:b w:val="0"/>
              </w:rPr>
              <w:t xml:space="preserve"> </w:t>
            </w:r>
            <w:r w:rsidRPr="00C615DF">
              <w:rPr>
                <w:rFonts w:ascii="Calibri Light" w:hAnsi="Calibri Light"/>
                <w:b w:val="0"/>
              </w:rPr>
              <w:t xml:space="preserve">de la </w:t>
            </w:r>
            <w:r w:rsidR="00C74810">
              <w:rPr>
                <w:rFonts w:ascii="Calibri Light" w:hAnsi="Calibri Light"/>
                <w:b w:val="0"/>
              </w:rPr>
              <w:t>CADH</w:t>
            </w:r>
            <w:r w:rsidRPr="00C615DF">
              <w:rPr>
                <w:rFonts w:ascii="Calibri Light" w:hAnsi="Calibri Light"/>
                <w:b w:val="0"/>
              </w:rPr>
              <w:t>, en lo que sea pertinente y al</w:t>
            </w:r>
            <w:r>
              <w:rPr>
                <w:rFonts w:ascii="Calibri Light" w:hAnsi="Calibri Light"/>
                <w:b w:val="0"/>
              </w:rPr>
              <w:t xml:space="preserve"> </w:t>
            </w:r>
            <w:r w:rsidRPr="00C615DF">
              <w:rPr>
                <w:rFonts w:ascii="Calibri Light" w:hAnsi="Calibri Light"/>
                <w:b w:val="0"/>
              </w:rPr>
              <w:t>principio de buena fe.</w:t>
            </w:r>
          </w:p>
          <w:p w:rsidR="00C615DF" w:rsidP="00C615DF" w:rsidRDefault="00C615DF" w14:paraId="4D16BD88" w14:textId="77777777">
            <w:pPr>
              <w:spacing w:before="240"/>
              <w:jc w:val="both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 xml:space="preserve">9. </w:t>
            </w:r>
            <w:r w:rsidRPr="00C615DF">
              <w:rPr>
                <w:rFonts w:ascii="Calibri Light" w:hAnsi="Calibri Light"/>
                <w:b w:val="0"/>
              </w:rPr>
              <w:t>Las partes entienden que el incumplimiento de uno o más puntos del Acuerdo</w:t>
            </w:r>
            <w:r>
              <w:rPr>
                <w:rFonts w:ascii="Calibri Light" w:hAnsi="Calibri Light"/>
                <w:b w:val="0"/>
              </w:rPr>
              <w:t xml:space="preserve"> </w:t>
            </w:r>
            <w:r w:rsidRPr="00C615DF">
              <w:rPr>
                <w:rFonts w:ascii="Calibri Light" w:hAnsi="Calibri Light"/>
                <w:b w:val="0"/>
              </w:rPr>
              <w:t>habilita a los peticionarios a continuar con la tramitación del caso en el sistema</w:t>
            </w:r>
            <w:r>
              <w:rPr>
                <w:rFonts w:ascii="Calibri Light" w:hAnsi="Calibri Light"/>
                <w:b w:val="0"/>
              </w:rPr>
              <w:t xml:space="preserve"> </w:t>
            </w:r>
            <w:r w:rsidRPr="00C615DF">
              <w:rPr>
                <w:rFonts w:ascii="Calibri Light" w:hAnsi="Calibri Light"/>
                <w:b w:val="0"/>
              </w:rPr>
              <w:t>interamericano de protección de los derechos humanos hasta su total conclusión</w:t>
            </w:r>
            <w:r>
              <w:rPr>
                <w:rFonts w:ascii="Calibri Light" w:hAnsi="Calibri Light"/>
                <w:b w:val="0"/>
              </w:rPr>
              <w:t>.</w:t>
            </w:r>
          </w:p>
          <w:p w:rsidRPr="004533E5" w:rsidR="00C615DF" w:rsidP="00C615DF" w:rsidRDefault="00C615DF" w14:paraId="5EEE04EC" w14:textId="524C1D8E">
            <w:pPr>
              <w:jc w:val="both"/>
              <w:rPr>
                <w:rFonts w:ascii="Calibri Light" w:hAnsi="Calibri Light"/>
                <w:b w:val="0"/>
              </w:rPr>
            </w:pPr>
          </w:p>
        </w:tc>
      </w:tr>
      <w:tr w:rsidRPr="004533E5" w:rsidR="00B15193" w:rsidTr="5A35B901" w14:paraId="32F487A7" w14:textId="7777777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  <w:tcMar/>
          </w:tcPr>
          <w:p w:rsidR="00B15193" w:rsidP="00A84D66" w:rsidRDefault="00B15193" w14:paraId="63A880EC" w14:textId="77777777">
            <w:pPr>
              <w:pStyle w:val="ListParagraph"/>
              <w:rPr>
                <w:rFonts w:ascii="Calibri Light" w:hAnsi="Calibri Light"/>
              </w:rPr>
            </w:pPr>
          </w:p>
          <w:p w:rsidR="00B15193" w:rsidP="00A84D66" w:rsidRDefault="00B15193" w14:paraId="5266D4CB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Determinación de compatibilidad y cumplimiento</w:t>
            </w:r>
          </w:p>
          <w:p w:rsidRPr="004533E5" w:rsidR="00B15193" w:rsidP="00A84D66" w:rsidRDefault="00B15193" w14:paraId="4DFE61A3" w14:textId="77777777">
            <w:pPr>
              <w:pStyle w:val="ListParagraph"/>
              <w:rPr>
                <w:rFonts w:ascii="Calibri Light" w:hAnsi="Calibri Light"/>
              </w:rPr>
            </w:pPr>
          </w:p>
        </w:tc>
      </w:tr>
      <w:tr w:rsidRPr="004533E5" w:rsidR="00B15193" w:rsidTr="5A35B901" w14:paraId="6F36524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  <w:tcMar/>
          </w:tcPr>
          <w:p w:rsidR="00B15193" w:rsidP="00A84D66" w:rsidRDefault="00B15193" w14:paraId="6A04D88C" w14:textId="77777777">
            <w:pPr>
              <w:jc w:val="both"/>
              <w:rPr>
                <w:rFonts w:ascii="Calibri Light" w:hAnsi="Calibri Light"/>
                <w:b w:val="0"/>
              </w:rPr>
            </w:pPr>
          </w:p>
          <w:p w:rsidR="00B15193" w:rsidP="00A84D66" w:rsidRDefault="00B15193" w14:paraId="56F46C9E" w14:textId="079FC1B8">
            <w:pPr>
              <w:jc w:val="both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>La CIDH determinó, a partir de la informac</w:t>
            </w:r>
            <w:r w:rsidR="00E06A75">
              <w:rPr>
                <w:rFonts w:ascii="Calibri Light" w:hAnsi="Calibri Light"/>
                <w:b w:val="0"/>
              </w:rPr>
              <w:t>ión suministrada por las partes</w:t>
            </w:r>
            <w:r>
              <w:rPr>
                <w:rFonts w:ascii="Calibri Light" w:hAnsi="Calibri Light"/>
                <w:b w:val="0"/>
              </w:rPr>
              <w:t>:</w:t>
            </w:r>
          </w:p>
          <w:p w:rsidR="00B15193" w:rsidP="00A84D66" w:rsidRDefault="00B15193" w14:paraId="79F7C99A" w14:textId="77777777">
            <w:pPr>
              <w:jc w:val="both"/>
              <w:rPr>
                <w:rFonts w:ascii="Calibri Light" w:hAnsi="Calibri Light"/>
                <w:b w:val="0"/>
              </w:rPr>
            </w:pPr>
          </w:p>
          <w:p w:rsidR="00B15193" w:rsidP="00E06A75" w:rsidRDefault="00B15193" w14:paraId="31FE21D7" w14:textId="3C60DB6B">
            <w:pPr>
              <w:pStyle w:val="ListParagraph"/>
              <w:numPr>
                <w:ilvl w:val="0"/>
                <w:numId w:val="4"/>
              </w:numPr>
              <w:ind w:left="567"/>
              <w:jc w:val="both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 xml:space="preserve">Aprobar los términos del acuerdo de solución amistosa suscrito por las partes el </w:t>
            </w:r>
            <w:r w:rsidRPr="00C74810" w:rsidR="00C74810">
              <w:rPr>
                <w:rFonts w:ascii="Calibri Light" w:hAnsi="Calibri Light"/>
                <w:b w:val="0"/>
              </w:rPr>
              <w:t>05 de agosto de 2011</w:t>
            </w:r>
            <w:r w:rsidR="00C74810">
              <w:rPr>
                <w:rFonts w:ascii="Calibri Light" w:hAnsi="Calibri Light"/>
                <w:b w:val="0"/>
              </w:rPr>
              <w:t>.</w:t>
            </w:r>
          </w:p>
          <w:p w:rsidR="00E06A75" w:rsidP="00E06A75" w:rsidRDefault="00E06A75" w14:paraId="2BB7E5D4" w14:textId="1A0D1784">
            <w:pPr>
              <w:pStyle w:val="ListParagraph"/>
              <w:numPr>
                <w:ilvl w:val="0"/>
                <w:numId w:val="4"/>
              </w:numPr>
              <w:ind w:left="567"/>
              <w:jc w:val="both"/>
              <w:rPr>
                <w:rFonts w:ascii="Calibri Light" w:hAnsi="Calibri Light"/>
                <w:b w:val="0"/>
              </w:rPr>
            </w:pPr>
            <w:proofErr w:type="gramStart"/>
            <w:r>
              <w:rPr>
                <w:rFonts w:ascii="Calibri Light" w:hAnsi="Calibri Light"/>
                <w:b w:val="0"/>
              </w:rPr>
              <w:t>Considerar</w:t>
            </w:r>
            <w:proofErr w:type="gramEnd"/>
            <w:r>
              <w:rPr>
                <w:rFonts w:ascii="Calibri Light" w:hAnsi="Calibri Light"/>
                <w:b w:val="0"/>
              </w:rPr>
              <w:t xml:space="preserve"> que la primera cláusula sobre el </w:t>
            </w:r>
            <w:r w:rsidRPr="00E06A75">
              <w:rPr>
                <w:rFonts w:ascii="Calibri Light" w:hAnsi="Calibri Light"/>
                <w:b w:val="0"/>
              </w:rPr>
              <w:t>reconoci</w:t>
            </w:r>
            <w:r>
              <w:rPr>
                <w:rFonts w:ascii="Calibri Light" w:hAnsi="Calibri Light"/>
                <w:b w:val="0"/>
              </w:rPr>
              <w:t xml:space="preserve">miento por parte del Estado de </w:t>
            </w:r>
            <w:r w:rsidRPr="00E06A75">
              <w:rPr>
                <w:rFonts w:ascii="Calibri Light" w:hAnsi="Calibri Light"/>
                <w:b w:val="0"/>
              </w:rPr>
              <w:t xml:space="preserve">su responsabilidad internacional </w:t>
            </w:r>
            <w:r>
              <w:rPr>
                <w:rFonts w:ascii="Calibri Light" w:hAnsi="Calibri Light"/>
                <w:b w:val="0"/>
              </w:rPr>
              <w:t>es declarativa.</w:t>
            </w:r>
          </w:p>
          <w:p w:rsidRPr="006F7EFD" w:rsidR="00B15193" w:rsidP="006F7EFD" w:rsidRDefault="00B15193" w14:paraId="7D65098C" w14:textId="3707F0D9">
            <w:pPr>
              <w:pStyle w:val="ListParagraph"/>
              <w:numPr>
                <w:ilvl w:val="0"/>
                <w:numId w:val="4"/>
              </w:numPr>
              <w:ind w:left="567"/>
              <w:jc w:val="both"/>
              <w:rPr>
                <w:rFonts w:ascii="Calibri Light" w:hAnsi="Calibri Light"/>
              </w:rPr>
            </w:pPr>
            <w:r w:rsidRPr="00C74810">
              <w:rPr>
                <w:rFonts w:ascii="Calibri Light" w:hAnsi="Calibri Light"/>
                <w:b w:val="0"/>
              </w:rPr>
              <w:t>Declarar que el Estado cumplió en su totalidad con</w:t>
            </w:r>
            <w:r w:rsidR="00E06A75">
              <w:rPr>
                <w:rFonts w:ascii="Calibri Light" w:hAnsi="Calibri Light"/>
                <w:b w:val="0"/>
              </w:rPr>
              <w:t xml:space="preserve"> sus compromisos de: i)</w:t>
            </w:r>
            <w:r w:rsidRPr="00C74810">
              <w:rPr>
                <w:rFonts w:ascii="Calibri Light" w:hAnsi="Calibri Light"/>
                <w:b w:val="0"/>
              </w:rPr>
              <w:t xml:space="preserve"> </w:t>
            </w:r>
            <w:r w:rsidRPr="00C74810" w:rsidR="00927410">
              <w:rPr>
                <w:rFonts w:ascii="Calibri Light" w:hAnsi="Calibri Light"/>
                <w:b w:val="0"/>
              </w:rPr>
              <w:t>realizar</w:t>
            </w:r>
            <w:r w:rsidR="00C74810">
              <w:t xml:space="preserve"> </w:t>
            </w:r>
            <w:r w:rsidRPr="00C74810" w:rsidR="00C74810">
              <w:rPr>
                <w:rFonts w:ascii="Calibri Light" w:hAnsi="Calibri Light"/>
                <w:b w:val="0"/>
              </w:rPr>
              <w:t>el acto de disculpas públicas</w:t>
            </w:r>
            <w:r w:rsidR="0076249C">
              <w:rPr>
                <w:rFonts w:ascii="Calibri Light" w:hAnsi="Calibri Light"/>
                <w:b w:val="0"/>
              </w:rPr>
              <w:t xml:space="preserve">, </w:t>
            </w:r>
            <w:r w:rsidR="00E06A75">
              <w:rPr>
                <w:rFonts w:ascii="Calibri Light" w:hAnsi="Calibri Light"/>
                <w:b w:val="0"/>
              </w:rPr>
              <w:t>celebrado</w:t>
            </w:r>
            <w:r w:rsidRPr="00C74810" w:rsidR="00C74810">
              <w:rPr>
                <w:rFonts w:ascii="Calibri Light" w:hAnsi="Calibri Light"/>
                <w:b w:val="0"/>
              </w:rPr>
              <w:t xml:space="preserve"> </w:t>
            </w:r>
            <w:r w:rsidR="00EA3393">
              <w:rPr>
                <w:rFonts w:ascii="Calibri Light" w:hAnsi="Calibri Light"/>
                <w:b w:val="0"/>
              </w:rPr>
              <w:t>en el Ministerio de Relaciones Exteriores</w:t>
            </w:r>
            <w:r w:rsidR="00E06A75">
              <w:rPr>
                <w:rFonts w:ascii="Calibri Light" w:hAnsi="Calibri Light"/>
                <w:b w:val="0"/>
              </w:rPr>
              <w:t xml:space="preserve">; </w:t>
            </w:r>
            <w:proofErr w:type="spellStart"/>
            <w:r w:rsidR="00E06A75">
              <w:rPr>
                <w:rFonts w:ascii="Calibri Light" w:hAnsi="Calibri Light"/>
                <w:b w:val="0"/>
              </w:rPr>
              <w:t>ii</w:t>
            </w:r>
            <w:proofErr w:type="spellEnd"/>
            <w:r w:rsidR="00E06A75">
              <w:rPr>
                <w:rFonts w:ascii="Calibri Light" w:hAnsi="Calibri Light"/>
                <w:b w:val="0"/>
              </w:rPr>
              <w:t xml:space="preserve">) realizar el acto de descubrimiento de placa en el Destacamento Militar Vista Alegre y el </w:t>
            </w:r>
            <w:r w:rsidRPr="006F7EFD" w:rsidR="00E06A75">
              <w:rPr>
                <w:rFonts w:ascii="Calibri Light" w:hAnsi="Calibri Light"/>
                <w:b w:val="0"/>
              </w:rPr>
              <w:t xml:space="preserve">nombramiento de una arteria de calle como “Soldado Pedro Antonio Centurión” en la ciudad de Luque; </w:t>
            </w:r>
            <w:proofErr w:type="spellStart"/>
            <w:r w:rsidRPr="006F7EFD" w:rsidR="00E06A75">
              <w:rPr>
                <w:rFonts w:ascii="Calibri Light" w:hAnsi="Calibri Light"/>
                <w:b w:val="0"/>
              </w:rPr>
              <w:t>iii</w:t>
            </w:r>
            <w:proofErr w:type="spellEnd"/>
            <w:r w:rsidRPr="006F7EFD" w:rsidR="00E06A75">
              <w:rPr>
                <w:rFonts w:ascii="Calibri Light" w:hAnsi="Calibri Light"/>
                <w:b w:val="0"/>
              </w:rPr>
              <w:t xml:space="preserve">) brindar asistencia plena a los peticionarios de un puesto de salud tipo consultorio; y </w:t>
            </w:r>
            <w:proofErr w:type="spellStart"/>
            <w:r w:rsidRPr="006F7EFD" w:rsidR="00E06A75">
              <w:rPr>
                <w:rFonts w:ascii="Calibri Light" w:hAnsi="Calibri Light"/>
                <w:b w:val="0"/>
              </w:rPr>
              <w:t>iv</w:t>
            </w:r>
            <w:proofErr w:type="spellEnd"/>
            <w:r w:rsidRPr="006F7EFD" w:rsidR="00E06A75">
              <w:rPr>
                <w:rFonts w:ascii="Calibri Light" w:hAnsi="Calibri Light"/>
                <w:b w:val="0"/>
              </w:rPr>
              <w:t xml:space="preserve">) pagar la suma de $30.000 USD en concepto de indemnización y el 100% de la pensión para la señora </w:t>
            </w:r>
            <w:r w:rsidR="00D53AFF">
              <w:rPr>
                <w:rFonts w:ascii="Calibri Light" w:hAnsi="Calibri Light"/>
                <w:b w:val="0"/>
              </w:rPr>
              <w:t>Centurión</w:t>
            </w:r>
            <w:r w:rsidRPr="006F7EFD" w:rsidR="00E06A75">
              <w:rPr>
                <w:rFonts w:ascii="Calibri Light" w:hAnsi="Calibri Light"/>
                <w:b w:val="0"/>
              </w:rPr>
              <w:t>.</w:t>
            </w:r>
          </w:p>
          <w:p w:rsidRPr="006F7EFD" w:rsidR="0076249C" w:rsidP="006F7EFD" w:rsidRDefault="00927410" w14:paraId="456FF9CB" w14:textId="38EB5425">
            <w:pPr>
              <w:pStyle w:val="ListParagraph"/>
              <w:numPr>
                <w:ilvl w:val="0"/>
                <w:numId w:val="4"/>
              </w:numPr>
              <w:ind w:left="567"/>
              <w:jc w:val="both"/>
              <w:rPr>
                <w:rFonts w:ascii="Calibri Light" w:hAnsi="Calibri Light"/>
                <w:b w:val="0"/>
              </w:rPr>
            </w:pPr>
            <w:proofErr w:type="gramStart"/>
            <w:r w:rsidRPr="006F7EFD">
              <w:rPr>
                <w:rFonts w:ascii="Calibri Light" w:hAnsi="Calibri Light"/>
                <w:b w:val="0"/>
              </w:rPr>
              <w:t>Declarar</w:t>
            </w:r>
            <w:proofErr w:type="gramEnd"/>
            <w:r w:rsidRPr="006F7EFD">
              <w:rPr>
                <w:rFonts w:ascii="Calibri Light" w:hAnsi="Calibri Light"/>
                <w:b w:val="0"/>
              </w:rPr>
              <w:t xml:space="preserve"> que el Estado </w:t>
            </w:r>
            <w:r w:rsidRPr="006F7EFD" w:rsidR="006F7EFD">
              <w:rPr>
                <w:rFonts w:ascii="Calibri Light" w:hAnsi="Calibri Light"/>
                <w:b w:val="0"/>
              </w:rPr>
              <w:t xml:space="preserve">se encuentra en proceso de implementación </w:t>
            </w:r>
            <w:r w:rsidR="006F7EFD">
              <w:rPr>
                <w:rFonts w:ascii="Calibri Light" w:hAnsi="Calibri Light"/>
                <w:b w:val="0"/>
              </w:rPr>
              <w:t xml:space="preserve">la </w:t>
            </w:r>
            <w:r w:rsidRPr="006F7EFD" w:rsidR="006F7EFD">
              <w:rPr>
                <w:rFonts w:ascii="Calibri Light" w:hAnsi="Calibri Light"/>
                <w:b w:val="0"/>
              </w:rPr>
              <w:t xml:space="preserve">transferencia de un terreno ubicado en el distrito de Luque, a favor de </w:t>
            </w:r>
            <w:r w:rsidR="006F7EFD">
              <w:rPr>
                <w:rFonts w:ascii="Calibri Light" w:hAnsi="Calibri Light"/>
                <w:b w:val="0"/>
              </w:rPr>
              <w:t xml:space="preserve">la señora Centurión, para construir una vivienda con los estándares respectivos. A la fecha, solo </w:t>
            </w:r>
            <w:r w:rsidRPr="006F7EFD" w:rsidR="006F7EFD">
              <w:rPr>
                <w:rFonts w:ascii="Calibri Light" w:hAnsi="Calibri Light"/>
                <w:b w:val="0"/>
              </w:rPr>
              <w:t>se le había asignado</w:t>
            </w:r>
            <w:r w:rsidR="006F7EFD">
              <w:rPr>
                <w:rFonts w:ascii="Calibri Light" w:hAnsi="Calibri Light"/>
                <w:b w:val="0"/>
              </w:rPr>
              <w:t xml:space="preserve"> el terreno</w:t>
            </w:r>
            <w:r w:rsidRPr="006F7EFD" w:rsidR="005C08C2">
              <w:rPr>
                <w:rFonts w:ascii="Calibri Light" w:hAnsi="Calibri Light"/>
                <w:b w:val="0"/>
              </w:rPr>
              <w:t>.</w:t>
            </w:r>
          </w:p>
          <w:p w:rsidRPr="00B50993" w:rsidR="00B15193" w:rsidP="006F7EFD" w:rsidRDefault="00E06A75" w14:paraId="78D8C777" w14:textId="24A9E196">
            <w:pPr>
              <w:pStyle w:val="ListParagraph"/>
              <w:numPr>
                <w:ilvl w:val="0"/>
                <w:numId w:val="4"/>
              </w:numPr>
              <w:ind w:left="567"/>
              <w:jc w:val="both"/>
              <w:rPr>
                <w:rFonts w:ascii="Calibri Light" w:hAnsi="Calibri Light"/>
              </w:rPr>
            </w:pPr>
            <w:r w:rsidRPr="006F7EFD">
              <w:rPr>
                <w:rFonts w:ascii="Calibri Light" w:hAnsi="Calibri Light"/>
                <w:b w:val="0"/>
              </w:rPr>
              <w:t>Contin</w:t>
            </w:r>
            <w:r w:rsidRPr="006F7EFD" w:rsidR="00B15193">
              <w:rPr>
                <w:rFonts w:ascii="Calibri Light" w:hAnsi="Calibri Light"/>
                <w:b w:val="0"/>
              </w:rPr>
              <w:t>uar con la supervisión de</w:t>
            </w:r>
            <w:r w:rsidRPr="006F7EFD">
              <w:rPr>
                <w:rFonts w:ascii="Calibri Light" w:hAnsi="Calibri Light"/>
                <w:b w:val="0"/>
              </w:rPr>
              <w:t>l</w:t>
            </w:r>
            <w:r w:rsidRPr="006F7EFD" w:rsidR="00B15193">
              <w:rPr>
                <w:rFonts w:ascii="Calibri Light" w:hAnsi="Calibri Light"/>
                <w:b w:val="0"/>
              </w:rPr>
              <w:t xml:space="preserve"> compromiso</w:t>
            </w:r>
            <w:r w:rsidRPr="006F7EFD">
              <w:rPr>
                <w:rFonts w:ascii="Calibri Light" w:hAnsi="Calibri Light"/>
                <w:b w:val="0"/>
              </w:rPr>
              <w:t xml:space="preserve"> pendiente</w:t>
            </w:r>
            <w:r w:rsidRPr="006F7EFD" w:rsidR="00B15193">
              <w:rPr>
                <w:rFonts w:ascii="Calibri Light" w:hAnsi="Calibri Light"/>
                <w:b w:val="0"/>
              </w:rPr>
              <w:t xml:space="preserve"> de cumplimiento por parte del Estado</w:t>
            </w:r>
            <w:r w:rsidR="00210A8E">
              <w:rPr>
                <w:rFonts w:ascii="Calibri Light" w:hAnsi="Calibri Light"/>
                <w:b w:val="0"/>
              </w:rPr>
              <w:t xml:space="preserve"> sobre la transferencia del terreno</w:t>
            </w:r>
            <w:r w:rsidRPr="006F7EFD" w:rsidR="00B15193">
              <w:rPr>
                <w:rFonts w:ascii="Calibri Light" w:hAnsi="Calibri Light"/>
                <w:b w:val="0"/>
              </w:rPr>
              <w:t>, precisando que es deber de las partes informar periódicamente a la</w:t>
            </w:r>
            <w:r w:rsidR="00B15193">
              <w:rPr>
                <w:rFonts w:ascii="Calibri Light" w:hAnsi="Calibri Light"/>
                <w:b w:val="0"/>
              </w:rPr>
              <w:t xml:space="preserve"> CIDH sobre el avance relativo a dichas medidas de reparación.</w:t>
            </w:r>
          </w:p>
          <w:p w:rsidRPr="00BB24EC" w:rsidR="00B50993" w:rsidP="00B50993" w:rsidRDefault="00B50993" w14:paraId="2F69217C" w14:textId="77777777">
            <w:pPr>
              <w:pStyle w:val="ListParagraph"/>
              <w:ind w:left="765"/>
              <w:jc w:val="both"/>
              <w:rPr>
                <w:rFonts w:ascii="Calibri Light" w:hAnsi="Calibri Light"/>
              </w:rPr>
            </w:pPr>
          </w:p>
        </w:tc>
      </w:tr>
      <w:tr w:rsidRPr="004533E5" w:rsidR="002C23BB" w:rsidTr="5A35B901" w14:paraId="23C26859" w14:textId="77777777">
        <w:trPr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  <w:tcMar/>
          </w:tcPr>
          <w:p w:rsidR="002C23BB" w:rsidP="00A84D66" w:rsidRDefault="002C23BB" w14:paraId="5AFE128B" w14:textId="77777777" w14:noSpellErr="1">
            <w:pPr>
              <w:jc w:val="both"/>
              <w:rPr>
                <w:rFonts w:ascii="Calibri Light" w:hAnsi="Calibri Light"/>
              </w:rPr>
            </w:pPr>
          </w:p>
          <w:p w:rsidRPr="002B7035" w:rsidR="002B7035" w:rsidP="002B7035" w:rsidRDefault="002B7035" w14:paraId="69EF7E05" w14:textId="35FBDF67" w14:noSpellErr="1">
            <w:pPr>
              <w:jc w:val="center"/>
              <w:rPr>
                <w:rFonts w:ascii="Calibri Light" w:hAnsi="Calibri Light"/>
              </w:rPr>
            </w:pPr>
            <w:r w:rsidRPr="5A35B901" w:rsidR="002B7035">
              <w:rPr>
                <w:rFonts w:ascii="Calibri Light" w:hAnsi="Calibri Light"/>
              </w:rPr>
              <w:t>G.</w:t>
            </w:r>
            <w:r>
              <w:tab/>
            </w:r>
            <w:r w:rsidRPr="5A35B901" w:rsidR="002B7035">
              <w:rPr>
                <w:rFonts w:ascii="Calibri Light" w:hAnsi="Calibri Light"/>
              </w:rPr>
              <w:t>Impactos individuales y estructurales del ASA</w:t>
            </w:r>
          </w:p>
        </w:tc>
      </w:tr>
      <w:tr w:rsidRPr="004533E5" w:rsidR="002C23BB" w:rsidTr="5A35B901" w14:paraId="19C0B17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3"/>
            <w:tcMar/>
          </w:tcPr>
          <w:p w:rsidRPr="00CC56F0" w:rsidR="002C23BB" w:rsidP="5A35B901" w:rsidRDefault="002C23BB" w14:paraId="1F2EF643" w14:textId="77777777" w14:noSpellErr="1">
            <w:pPr>
              <w:jc w:val="both"/>
              <w:rPr>
                <w:rFonts w:ascii="Calibri Light" w:hAnsi="Calibri Light"/>
              </w:rPr>
            </w:pPr>
          </w:p>
          <w:p w:rsidRPr="00CC56F0" w:rsidR="002B7035" w:rsidP="5A35B901" w:rsidRDefault="00473CE6" w14:paraId="3DAF471F" w14:textId="7DCF86FC" w14:noSpellErr="1">
            <w:pPr>
              <w:jc w:val="both"/>
              <w:rPr>
                <w:rFonts w:ascii="Calibri Light" w:hAnsi="Calibri Light"/>
                <w:lang w:val="es-CO"/>
              </w:rPr>
            </w:pPr>
            <w:r w:rsidRPr="5A35B901" w:rsidR="00473CE6">
              <w:rPr>
                <w:rFonts w:ascii="Calibri Light" w:hAnsi="Calibri Light"/>
                <w:b w:val="0"/>
                <w:bCs w:val="0"/>
                <w:lang w:val="es-CO"/>
              </w:rPr>
              <w:t>En el marco del seguimiento de la implementación del acuerdo de solución amistosa, a fecha 31 de diciembre de 2021, la Comisión ha identificado los siguientes impactos individuales derivados del cumplimiento de este:</w:t>
            </w:r>
          </w:p>
          <w:p w:rsidRPr="00CC56F0" w:rsidR="00473CE6" w:rsidP="5A35B901" w:rsidRDefault="00473CE6" w14:paraId="570DA79A" w14:textId="77777777" w14:noSpellErr="1">
            <w:pPr>
              <w:jc w:val="both"/>
              <w:rPr>
                <w:rFonts w:ascii="Calibri Light" w:hAnsi="Calibri Light"/>
                <w:lang w:val="es-CO"/>
              </w:rPr>
            </w:pPr>
          </w:p>
          <w:p w:rsidRPr="00CC56F0" w:rsidR="003348CF" w:rsidP="5A35B901" w:rsidRDefault="003348CF" w14:paraId="0C0C7D0D" w14:textId="77777777" w14:noSpellErr="1">
            <w:pPr>
              <w:ind w:left="705" w:firstLine="720"/>
              <w:jc w:val="both"/>
              <w:rPr>
                <w:rFonts w:ascii="Calibri Light" w:hAnsi="Calibri Light"/>
                <w:lang w:val="es-CO"/>
              </w:rPr>
            </w:pPr>
            <w:r w:rsidRPr="5A35B901" w:rsidR="003348CF">
              <w:rPr>
                <w:rFonts w:ascii="Calibri Light" w:hAnsi="Calibri Light"/>
                <w:lang w:val="es-CO"/>
              </w:rPr>
              <w:t>A.</w:t>
            </w:r>
            <w:r>
              <w:tab/>
            </w:r>
            <w:r w:rsidRPr="5A35B901" w:rsidR="003348CF">
              <w:rPr>
                <w:rFonts w:ascii="Calibri Light" w:hAnsi="Calibri Light"/>
                <w:lang w:val="es-CO"/>
              </w:rPr>
              <w:t>Resultados individuales del caso</w:t>
            </w:r>
          </w:p>
          <w:p w:rsidRPr="00CC56F0" w:rsidR="003348CF" w:rsidP="5A35B901" w:rsidRDefault="003348CF" w14:paraId="56260B27" w14:textId="77777777" w14:noSpellErr="1">
            <w:pPr>
              <w:ind w:left="705" w:firstLine="720"/>
              <w:jc w:val="both"/>
              <w:rPr>
                <w:rFonts w:ascii="Calibri Light" w:hAnsi="Calibri Light"/>
                <w:lang w:val="es-CO"/>
              </w:rPr>
            </w:pPr>
          </w:p>
          <w:p w:rsidRPr="00CC56F0" w:rsidR="003348CF" w:rsidP="5A35B901" w:rsidRDefault="003348CF" w14:paraId="0C86C72E" w14:textId="77777777" w14:noSpellErr="1">
            <w:pPr>
              <w:ind w:left="705" w:firstLine="720"/>
              <w:jc w:val="left"/>
              <w:rPr>
                <w:rFonts w:ascii="Calibri Light" w:hAnsi="Calibri Light"/>
                <w:b w:val="0"/>
                <w:bCs w:val="0"/>
                <w:lang w:val="es-CO"/>
              </w:rPr>
            </w:pPr>
            <w:r w:rsidRPr="5A35B901" w:rsidR="003348CF">
              <w:rPr>
                <w:rFonts w:ascii="Calibri Light" w:hAnsi="Calibri Light"/>
                <w:lang w:val="es-CO"/>
              </w:rPr>
              <w:t>•</w:t>
            </w:r>
            <w:r>
              <w:tab/>
            </w:r>
            <w:r w:rsidRPr="5A35B901" w:rsidR="003348CF">
              <w:rPr>
                <w:rFonts w:ascii="Calibri Light" w:hAnsi="Calibri Light"/>
                <w:b w:val="0"/>
                <w:bCs w:val="0"/>
                <w:lang w:val="es-CO"/>
              </w:rPr>
              <w:t xml:space="preserve">El Estado realizó el reconocimiento de la responsabilidad internacional del Estado Paraguayo, por la violación de los derechos a la integridad personal, a la vida e integridad personal, al derecho a no ser sometido a esclavitud y servidumbre, el derecho a la libertad personal, al derecho a las garantías judiciales, los derechos del niño y las garantías de protección judicial establecidos en los artículos  4, 5, 6, 7, 8, 19 y 25 de la Convención Americana, en perjuicio del niño Pedro Antonio Centurión. </w:t>
            </w:r>
          </w:p>
          <w:p w:rsidRPr="00CC56F0" w:rsidR="003348CF" w:rsidP="5A35B901" w:rsidRDefault="003348CF" w14:paraId="2993E91C" w14:textId="77777777" w14:noSpellErr="1">
            <w:pPr>
              <w:ind w:left="705" w:firstLine="720"/>
              <w:jc w:val="left"/>
              <w:rPr>
                <w:rFonts w:ascii="Calibri Light" w:hAnsi="Calibri Light"/>
                <w:b w:val="0"/>
                <w:bCs w:val="0"/>
                <w:lang w:val="es-CO"/>
              </w:rPr>
            </w:pPr>
            <w:r w:rsidRPr="5A35B901" w:rsidR="003348CF">
              <w:rPr>
                <w:rFonts w:ascii="Calibri Light" w:hAnsi="Calibri Light"/>
                <w:b w:val="0"/>
                <w:bCs w:val="0"/>
                <w:lang w:val="es-CO"/>
              </w:rPr>
              <w:t>•</w:t>
            </w:r>
            <w:r>
              <w:tab/>
            </w:r>
            <w:r w:rsidRPr="5A35B901" w:rsidR="003348CF">
              <w:rPr>
                <w:rFonts w:ascii="Calibri Light" w:hAnsi="Calibri Light"/>
                <w:b w:val="0"/>
                <w:bCs w:val="0"/>
                <w:lang w:val="es-CO"/>
              </w:rPr>
              <w:t>El 29 de octubre de 2018, el Estado paraguayo asignó un lote a la señora Semproniana Centurión dentro del programa TEKOHA, ubicado en el Departamento Central.</w:t>
            </w:r>
          </w:p>
          <w:p w:rsidRPr="00CC56F0" w:rsidR="003348CF" w:rsidP="5A35B901" w:rsidRDefault="003348CF" w14:paraId="2A628FE5" w14:textId="77777777" w14:noSpellErr="1">
            <w:pPr>
              <w:ind w:left="705" w:firstLine="720"/>
              <w:jc w:val="left"/>
              <w:rPr>
                <w:rFonts w:ascii="Calibri Light" w:hAnsi="Calibri Light"/>
                <w:b w:val="0"/>
                <w:bCs w:val="0"/>
                <w:lang w:val="es-CO"/>
              </w:rPr>
            </w:pPr>
            <w:r w:rsidRPr="5A35B901" w:rsidR="003348CF">
              <w:rPr>
                <w:rFonts w:ascii="Calibri Light" w:hAnsi="Calibri Light"/>
                <w:b w:val="0"/>
                <w:bCs w:val="0"/>
                <w:lang w:val="es-CO"/>
              </w:rPr>
              <w:t>•</w:t>
            </w:r>
            <w:r>
              <w:tab/>
            </w:r>
            <w:r w:rsidRPr="5A35B901" w:rsidR="003348CF">
              <w:rPr>
                <w:rFonts w:ascii="Calibri Light" w:hAnsi="Calibri Light"/>
                <w:b w:val="0"/>
                <w:bCs w:val="0"/>
                <w:lang w:val="es-CO"/>
              </w:rPr>
              <w:t>El 19 de octubre de 2011, se llevó a cabo un acto en sede del Ministerio de Relaciones Exteriores, para efectuar las disculpas públicas y reconocimiento de responsabilidad. Asimismo, el mismo fue difundido en la Radio Nacional de Paraguay y otros medios de comunicación, incluyendo el Diario Última Hora.</w:t>
            </w:r>
          </w:p>
          <w:p w:rsidRPr="00CC56F0" w:rsidR="003348CF" w:rsidP="5A35B901" w:rsidRDefault="003348CF" w14:paraId="22370AED" w14:textId="77777777" w14:noSpellErr="1">
            <w:pPr>
              <w:ind w:left="705" w:firstLine="720"/>
              <w:jc w:val="left"/>
              <w:rPr>
                <w:rFonts w:ascii="Calibri Light" w:hAnsi="Calibri Light"/>
                <w:b w:val="0"/>
                <w:bCs w:val="0"/>
                <w:lang w:val="es-CO"/>
              </w:rPr>
            </w:pPr>
            <w:r w:rsidRPr="5A35B901" w:rsidR="003348CF">
              <w:rPr>
                <w:rFonts w:ascii="Calibri Light" w:hAnsi="Calibri Light"/>
                <w:b w:val="0"/>
                <w:bCs w:val="0"/>
                <w:lang w:val="es-CO"/>
              </w:rPr>
              <w:t>•</w:t>
            </w:r>
            <w:r>
              <w:tab/>
            </w:r>
            <w:r w:rsidRPr="5A35B901" w:rsidR="003348CF">
              <w:rPr>
                <w:rFonts w:ascii="Calibri Light" w:hAnsi="Calibri Light"/>
                <w:b w:val="0"/>
                <w:bCs w:val="0"/>
                <w:lang w:val="es-CO"/>
              </w:rPr>
              <w:t>El 25 de mayo de 2012, se realizó el acto de descubrimiento de placa en el Destacamento Militar Vista Alegre e inauguración de un monolito conmemorativo.</w:t>
            </w:r>
          </w:p>
          <w:p w:rsidRPr="00CC56F0" w:rsidR="003348CF" w:rsidP="5A35B901" w:rsidRDefault="003348CF" w14:paraId="34AAEB8F" w14:textId="77777777">
            <w:pPr>
              <w:ind w:left="705" w:firstLine="720"/>
              <w:jc w:val="left"/>
              <w:rPr>
                <w:rFonts w:ascii="Calibri Light" w:hAnsi="Calibri Light"/>
                <w:b w:val="0"/>
                <w:bCs w:val="0"/>
                <w:lang w:val="es-CO"/>
              </w:rPr>
            </w:pPr>
            <w:r w:rsidRPr="5A35B901" w:rsidR="003348CF">
              <w:rPr>
                <w:rFonts w:ascii="Calibri Light" w:hAnsi="Calibri Light"/>
                <w:b w:val="0"/>
                <w:bCs w:val="0"/>
                <w:lang w:val="es-CO"/>
              </w:rPr>
              <w:t>•</w:t>
            </w:r>
            <w:r>
              <w:tab/>
            </w:r>
            <w:r w:rsidRPr="5A35B901" w:rsidR="003348CF">
              <w:rPr>
                <w:rFonts w:ascii="Calibri Light" w:hAnsi="Calibri Light"/>
                <w:b w:val="0"/>
                <w:bCs w:val="0"/>
                <w:lang w:val="es-CO"/>
              </w:rPr>
              <w:t xml:space="preserve">Mediante la Ordenanza Municipal </w:t>
            </w:r>
            <w:proofErr w:type="spellStart"/>
            <w:r w:rsidRPr="5A35B901" w:rsidR="003348CF">
              <w:rPr>
                <w:rFonts w:ascii="Calibri Light" w:hAnsi="Calibri Light"/>
                <w:b w:val="0"/>
                <w:bCs w:val="0"/>
                <w:lang w:val="es-CO"/>
              </w:rPr>
              <w:t>N°</w:t>
            </w:r>
            <w:proofErr w:type="spellEnd"/>
            <w:r w:rsidRPr="5A35B901" w:rsidR="003348CF">
              <w:rPr>
                <w:rFonts w:ascii="Calibri Light" w:hAnsi="Calibri Light"/>
                <w:b w:val="0"/>
                <w:bCs w:val="0"/>
                <w:lang w:val="es-CO"/>
              </w:rPr>
              <w:t xml:space="preserve"> 26, del 3 de julio de 2012 de la Junta Municipal de Luque, se ordenó la nominación de la arteria de la calle </w:t>
            </w:r>
            <w:proofErr w:type="spellStart"/>
            <w:r w:rsidRPr="5A35B901" w:rsidR="003348CF">
              <w:rPr>
                <w:rFonts w:ascii="Calibri Light" w:hAnsi="Calibri Light"/>
                <w:b w:val="0"/>
                <w:bCs w:val="0"/>
                <w:lang w:val="es-CO"/>
              </w:rPr>
              <w:t>Karandayty</w:t>
            </w:r>
            <w:proofErr w:type="spellEnd"/>
            <w:r w:rsidRPr="5A35B901" w:rsidR="003348CF">
              <w:rPr>
                <w:rFonts w:ascii="Calibri Light" w:hAnsi="Calibri Light"/>
                <w:b w:val="0"/>
                <w:bCs w:val="0"/>
                <w:lang w:val="es-CO"/>
              </w:rPr>
              <w:t xml:space="preserve"> en dirección Sur-Norte y continúa en toda su extensión, de 12° </w:t>
            </w:r>
            <w:proofErr w:type="spellStart"/>
            <w:r w:rsidRPr="5A35B901" w:rsidR="003348CF">
              <w:rPr>
                <w:rFonts w:ascii="Calibri Light" w:hAnsi="Calibri Light"/>
                <w:b w:val="0"/>
                <w:bCs w:val="0"/>
                <w:lang w:val="es-CO"/>
              </w:rPr>
              <w:t>Cñia</w:t>
            </w:r>
            <w:proofErr w:type="spellEnd"/>
            <w:r w:rsidRPr="5A35B901" w:rsidR="003348CF">
              <w:rPr>
                <w:rFonts w:ascii="Calibri Light" w:hAnsi="Calibri Light"/>
                <w:b w:val="0"/>
                <w:bCs w:val="0"/>
                <w:lang w:val="es-CO"/>
              </w:rPr>
              <w:t>. Loma Merlo de la jurisdicción de Luque, con el nombre de “Soldado Pedro Antonio Centurión”.</w:t>
            </w:r>
          </w:p>
          <w:p w:rsidRPr="00CC56F0" w:rsidR="003348CF" w:rsidP="5A35B901" w:rsidRDefault="003348CF" w14:paraId="1C1B8F0A" w14:textId="5FA8A133" w14:noSpellErr="1">
            <w:pPr>
              <w:ind w:left="705" w:firstLine="720"/>
              <w:jc w:val="left"/>
              <w:rPr>
                <w:rFonts w:ascii="Calibri Light" w:hAnsi="Calibri Light"/>
                <w:b w:val="0"/>
                <w:bCs w:val="0"/>
                <w:lang w:val="es-CO"/>
              </w:rPr>
            </w:pPr>
            <w:r w:rsidRPr="5A35B901" w:rsidR="003348CF">
              <w:rPr>
                <w:rFonts w:ascii="Calibri Light" w:hAnsi="Calibri Light"/>
                <w:b w:val="0"/>
                <w:bCs w:val="0"/>
                <w:lang w:val="es-CO"/>
              </w:rPr>
              <w:t>•</w:t>
            </w:r>
            <w:r>
              <w:tab/>
            </w:r>
            <w:r w:rsidRPr="5A35B901" w:rsidR="003348CF">
              <w:rPr>
                <w:rFonts w:ascii="Calibri Light" w:hAnsi="Calibri Light"/>
                <w:b w:val="0"/>
                <w:bCs w:val="0"/>
                <w:lang w:val="es-CO"/>
              </w:rPr>
              <w:t xml:space="preserve">El Ministerio de Salud Pública y Bienestar Social, a través de la Unidad de Salud de la Familia, dependiente de la Dirección General de Atención Primera de Salud, brindó atención médica a los beneficiarios de forma periódica, tanto en su sede como en el domicilio de </w:t>
            </w:r>
            <w:r w:rsidRPr="5A35B901" w:rsidR="003348CF">
              <w:rPr>
                <w:rFonts w:ascii="Calibri Light" w:hAnsi="Calibri Light"/>
                <w:b w:val="0"/>
                <w:bCs w:val="0"/>
                <w:lang w:val="es-CO"/>
              </w:rPr>
              <w:t>estos</w:t>
            </w:r>
            <w:r w:rsidRPr="5A35B901" w:rsidR="003348CF">
              <w:rPr>
                <w:rFonts w:ascii="Calibri Light" w:hAnsi="Calibri Light"/>
                <w:b w:val="0"/>
                <w:bCs w:val="0"/>
                <w:lang w:val="es-CO"/>
              </w:rPr>
              <w:t>.</w:t>
            </w:r>
          </w:p>
          <w:p w:rsidRPr="00CC56F0" w:rsidR="003348CF" w:rsidP="5A35B901" w:rsidRDefault="003348CF" w14:paraId="684B2E0C" w14:textId="5F453C8F" w14:noSpellErr="1">
            <w:pPr>
              <w:ind w:left="705" w:firstLine="720"/>
              <w:jc w:val="left"/>
              <w:rPr>
                <w:rFonts w:ascii="Calibri Light" w:hAnsi="Calibri Light"/>
                <w:b w:val="0"/>
                <w:bCs w:val="0"/>
                <w:lang w:val="es-CO"/>
              </w:rPr>
            </w:pPr>
            <w:r w:rsidRPr="5A35B901" w:rsidR="003348CF">
              <w:rPr>
                <w:rFonts w:ascii="Calibri Light" w:hAnsi="Calibri Light"/>
                <w:b w:val="0"/>
                <w:bCs w:val="0"/>
                <w:lang w:val="es-CO"/>
              </w:rPr>
              <w:t>•</w:t>
            </w:r>
            <w:r>
              <w:tab/>
            </w:r>
            <w:r w:rsidRPr="5A35B901" w:rsidR="003348CF">
              <w:rPr>
                <w:rFonts w:ascii="Calibri Light" w:hAnsi="Calibri Light"/>
                <w:b w:val="0"/>
                <w:bCs w:val="0"/>
                <w:lang w:val="es-CO"/>
              </w:rPr>
              <w:t xml:space="preserve">El 23 de julio de 2019, el Estado celebró acto formal, con presencia del </w:t>
            </w:r>
            <w:r w:rsidRPr="5A35B901" w:rsidR="003348CF">
              <w:rPr>
                <w:rFonts w:ascii="Calibri Light" w:hAnsi="Calibri Light"/>
                <w:b w:val="0"/>
                <w:bCs w:val="0"/>
                <w:lang w:val="es-CO"/>
              </w:rPr>
              <w:t>presidente</w:t>
            </w:r>
            <w:r w:rsidRPr="5A35B901" w:rsidR="003348CF">
              <w:rPr>
                <w:rFonts w:ascii="Calibri Light" w:hAnsi="Calibri Light"/>
                <w:b w:val="0"/>
                <w:bCs w:val="0"/>
                <w:lang w:val="es-CO"/>
              </w:rPr>
              <w:t xml:space="preserve"> de la Republica y el </w:t>
            </w:r>
            <w:r w:rsidRPr="5A35B901" w:rsidR="005B445B">
              <w:rPr>
                <w:rFonts w:ascii="Calibri Light" w:hAnsi="Calibri Light"/>
                <w:b w:val="0"/>
                <w:bCs w:val="0"/>
                <w:lang w:val="es-CO"/>
              </w:rPr>
              <w:t>ministro</w:t>
            </w:r>
            <w:r w:rsidRPr="5A35B901" w:rsidR="003348CF">
              <w:rPr>
                <w:rFonts w:ascii="Calibri Light" w:hAnsi="Calibri Light"/>
                <w:b w:val="0"/>
                <w:bCs w:val="0"/>
                <w:lang w:val="es-CO"/>
              </w:rPr>
              <w:t xml:space="preserve"> de Urbanismo, Vivienda y Hábitat para la firma del contrato de adjudicación del inmueble a favor de la madre de la víctima. </w:t>
            </w:r>
          </w:p>
          <w:p w:rsidRPr="00CC56F0" w:rsidR="00473CE6" w:rsidP="5A35B901" w:rsidRDefault="003348CF" w14:paraId="5385E766" w14:textId="2E3BD479" w14:noSpellErr="1">
            <w:pPr>
              <w:ind w:left="705" w:firstLine="720"/>
              <w:jc w:val="left"/>
              <w:rPr>
                <w:rFonts w:ascii="Calibri Light" w:hAnsi="Calibri Light"/>
                <w:lang w:val="es-CO"/>
              </w:rPr>
            </w:pPr>
            <w:r w:rsidRPr="5A35B901" w:rsidR="003348CF">
              <w:rPr>
                <w:rFonts w:ascii="Calibri Light" w:hAnsi="Calibri Light"/>
                <w:b w:val="0"/>
                <w:bCs w:val="0"/>
                <w:lang w:val="es-CO"/>
              </w:rPr>
              <w:t>•</w:t>
            </w:r>
            <w:r>
              <w:tab/>
            </w:r>
            <w:r w:rsidRPr="5A35B901" w:rsidR="003348CF">
              <w:rPr>
                <w:rFonts w:ascii="Calibri Light" w:hAnsi="Calibri Light"/>
                <w:b w:val="0"/>
                <w:bCs w:val="0"/>
                <w:lang w:val="es-CO"/>
              </w:rPr>
              <w:t>El 5 de agosto de 2019, el Estado hizo entrega formal de la vivienda a la señora Semproniana Centurión según lo acordado y dispuesto por los peticionarios.</w:t>
            </w:r>
          </w:p>
          <w:p w:rsidRPr="00CC56F0" w:rsidR="005B445B" w:rsidP="5A35B901" w:rsidRDefault="005B445B" w14:paraId="4852E80B" w14:textId="2F9CCFC7" w14:noSpellErr="1">
            <w:pPr>
              <w:ind w:left="705" w:firstLine="720"/>
              <w:jc w:val="both"/>
              <w:rPr>
                <w:rFonts w:ascii="Calibri Light" w:hAnsi="Calibri Light"/>
                <w:lang w:val="es-CO"/>
              </w:rPr>
            </w:pPr>
          </w:p>
          <w:p w:rsidRPr="00CC56F0" w:rsidR="005B445B" w:rsidP="5A35B901" w:rsidRDefault="005B445B" w14:paraId="2DDBE0B5" w14:textId="0D7DC126" w14:noSpellErr="1">
            <w:pPr>
              <w:jc w:val="both"/>
              <w:rPr>
                <w:rFonts w:ascii="Calibri Light" w:hAnsi="Calibri Light"/>
                <w:b w:val="0"/>
                <w:bCs w:val="0"/>
                <w:lang w:val="es-CO"/>
              </w:rPr>
            </w:pPr>
            <w:r w:rsidRPr="5A35B901" w:rsidR="005B445B">
              <w:rPr>
                <w:rFonts w:ascii="Calibri Light" w:hAnsi="Calibri Light"/>
                <w:b w:val="0"/>
                <w:bCs w:val="0"/>
                <w:lang w:val="es-CO"/>
              </w:rPr>
              <w:t>La Comisión considera que el nivel de cumplimiento del acuerdo es parcial y que tiene un nivel de ejecución sustancial. Por lo anterior, continuará con la supervisión del compromiso establecido en la cláusula tercera del Acuerdo</w:t>
            </w:r>
            <w:r w:rsidRPr="5A35B901" w:rsidR="00CC56F0">
              <w:rPr>
                <w:rFonts w:ascii="Calibri Light" w:hAnsi="Calibri Light"/>
                <w:b w:val="0"/>
                <w:bCs w:val="0"/>
                <w:lang w:val="es-CO"/>
              </w:rPr>
              <w:t xml:space="preserve"> hasta su total cumplimiento. </w:t>
            </w:r>
          </w:p>
          <w:p w:rsidRPr="00CC56F0" w:rsidR="00473CE6" w:rsidP="5A35B901" w:rsidRDefault="00473CE6" w14:paraId="0850AB1A" w14:textId="41E39989" w14:noSpellErr="1">
            <w:pPr>
              <w:jc w:val="both"/>
              <w:rPr>
                <w:rFonts w:ascii="Calibri Light" w:hAnsi="Calibri Light"/>
                <w:b w:val="0"/>
                <w:bCs w:val="0"/>
                <w:lang w:val="es-CO"/>
              </w:rPr>
            </w:pPr>
          </w:p>
        </w:tc>
      </w:tr>
    </w:tbl>
    <w:p w:rsidR="00B15193" w:rsidP="00B15193" w:rsidRDefault="00B15193" w14:paraId="11FEA15F" w14:textId="77777777" w14:noSpellErr="1"/>
    <w:p w:rsidR="00B15193" w:rsidP="00B15193" w:rsidRDefault="00B15193" w14:paraId="7081627F" w14:textId="77777777"/>
    <w:p w:rsidR="000A36F3" w:rsidRDefault="000A36F3" w14:paraId="2EAC89B0" w14:textId="77777777"/>
    <w:sectPr w:rsidR="000A36F3" w:rsidSect="00A65231">
      <w:footerReference w:type="default" r:id="rId14"/>
      <w:pgSz w:w="11907" w:h="16839" w:orient="portrait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5E37" w:rsidRDefault="00A15E37" w14:paraId="17E27292" w14:textId="77777777">
      <w:pPr>
        <w:spacing w:after="0" w:line="240" w:lineRule="auto"/>
      </w:pPr>
      <w:r>
        <w:separator/>
      </w:r>
    </w:p>
  </w:endnote>
  <w:endnote w:type="continuationSeparator" w:id="0">
    <w:p w:rsidR="00A15E37" w:rsidRDefault="00A15E37" w14:paraId="1816432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471937"/>
      <w:docPartObj>
        <w:docPartGallery w:val="Page Numbers (Bottom of Page)"/>
        <w:docPartUnique/>
      </w:docPartObj>
    </w:sdtPr>
    <w:sdtEndPr/>
    <w:sdtContent>
      <w:p w:rsidR="00A65231" w:rsidRDefault="00EC277A" w14:paraId="447A3F8E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62F79" w:rsidR="00662F79">
          <w:rPr>
            <w:noProof/>
            <w:lang w:val="es-ES"/>
          </w:rPr>
          <w:t>3</w:t>
        </w:r>
        <w:r>
          <w:fldChar w:fldCharType="end"/>
        </w:r>
      </w:p>
    </w:sdtContent>
  </w:sdt>
  <w:p w:rsidR="00A65231" w:rsidRDefault="00DD23A4" w14:paraId="20E5103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5E37" w:rsidRDefault="00A15E37" w14:paraId="313F7DC0" w14:textId="77777777">
      <w:pPr>
        <w:spacing w:after="0" w:line="240" w:lineRule="auto"/>
      </w:pPr>
      <w:r>
        <w:separator/>
      </w:r>
    </w:p>
  </w:footnote>
  <w:footnote w:type="continuationSeparator" w:id="0">
    <w:p w:rsidR="00A15E37" w:rsidRDefault="00A15E37" w14:paraId="7191767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588"/>
    <w:multiLevelType w:val="hybridMultilevel"/>
    <w:tmpl w:val="0D2CD2A8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1A5EBA"/>
    <w:multiLevelType w:val="hybridMultilevel"/>
    <w:tmpl w:val="C136B160"/>
    <w:lvl w:ilvl="0" w:tplc="47C6E7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162C00"/>
    <w:multiLevelType w:val="hybridMultilevel"/>
    <w:tmpl w:val="7C2C2EAA"/>
    <w:lvl w:ilvl="0" w:tplc="280A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3" w15:restartNumberingAfterBreak="0">
    <w:nsid w:val="3D81334F"/>
    <w:multiLevelType w:val="hybridMultilevel"/>
    <w:tmpl w:val="66322A9C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B5CB5"/>
    <w:multiLevelType w:val="hybridMultilevel"/>
    <w:tmpl w:val="99CE1E46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80868055">
    <w:abstractNumId w:val="3"/>
  </w:num>
  <w:num w:numId="2" w16cid:durableId="1464732648">
    <w:abstractNumId w:val="1"/>
  </w:num>
  <w:num w:numId="3" w16cid:durableId="646277526">
    <w:abstractNumId w:val="0"/>
  </w:num>
  <w:num w:numId="4" w16cid:durableId="1710489663">
    <w:abstractNumId w:val="2"/>
  </w:num>
  <w:num w:numId="5" w16cid:durableId="121777732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PersonalInformation/>
  <w:removeDateAndTime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93"/>
    <w:rsid w:val="000A36F3"/>
    <w:rsid w:val="000C5226"/>
    <w:rsid w:val="000C6F4F"/>
    <w:rsid w:val="000D5AD5"/>
    <w:rsid w:val="0016046E"/>
    <w:rsid w:val="001A6B53"/>
    <w:rsid w:val="001D4E48"/>
    <w:rsid w:val="00210A8E"/>
    <w:rsid w:val="00214493"/>
    <w:rsid w:val="0022283D"/>
    <w:rsid w:val="002651A5"/>
    <w:rsid w:val="0027472A"/>
    <w:rsid w:val="002B7035"/>
    <w:rsid w:val="002C23BB"/>
    <w:rsid w:val="00312BAC"/>
    <w:rsid w:val="003348CF"/>
    <w:rsid w:val="003B7BFB"/>
    <w:rsid w:val="00447CCD"/>
    <w:rsid w:val="00473CE6"/>
    <w:rsid w:val="00586180"/>
    <w:rsid w:val="005A0514"/>
    <w:rsid w:val="005B2A78"/>
    <w:rsid w:val="005B445B"/>
    <w:rsid w:val="005C08C2"/>
    <w:rsid w:val="00662F79"/>
    <w:rsid w:val="00681F3C"/>
    <w:rsid w:val="006A0834"/>
    <w:rsid w:val="006F7EFD"/>
    <w:rsid w:val="0071112C"/>
    <w:rsid w:val="0076249C"/>
    <w:rsid w:val="00776A7D"/>
    <w:rsid w:val="007C4319"/>
    <w:rsid w:val="00801BD7"/>
    <w:rsid w:val="00835DA0"/>
    <w:rsid w:val="00927410"/>
    <w:rsid w:val="00A15E37"/>
    <w:rsid w:val="00A360E1"/>
    <w:rsid w:val="00A86262"/>
    <w:rsid w:val="00AA6024"/>
    <w:rsid w:val="00AB66ED"/>
    <w:rsid w:val="00AD0CB8"/>
    <w:rsid w:val="00B15193"/>
    <w:rsid w:val="00B45D68"/>
    <w:rsid w:val="00B50993"/>
    <w:rsid w:val="00B87733"/>
    <w:rsid w:val="00B9122E"/>
    <w:rsid w:val="00BD7F32"/>
    <w:rsid w:val="00C45FB4"/>
    <w:rsid w:val="00C615DF"/>
    <w:rsid w:val="00C74810"/>
    <w:rsid w:val="00CC56F0"/>
    <w:rsid w:val="00CD3FC0"/>
    <w:rsid w:val="00D220C0"/>
    <w:rsid w:val="00D42BE5"/>
    <w:rsid w:val="00D53AFF"/>
    <w:rsid w:val="00D70EC4"/>
    <w:rsid w:val="00D816B1"/>
    <w:rsid w:val="00D82A21"/>
    <w:rsid w:val="00D944F1"/>
    <w:rsid w:val="00D97BD1"/>
    <w:rsid w:val="00DA095D"/>
    <w:rsid w:val="00DD23A4"/>
    <w:rsid w:val="00E06A75"/>
    <w:rsid w:val="00E8303F"/>
    <w:rsid w:val="00EA3393"/>
    <w:rsid w:val="00EC13EA"/>
    <w:rsid w:val="00EC277A"/>
    <w:rsid w:val="00F03D90"/>
    <w:rsid w:val="00F56B2C"/>
    <w:rsid w:val="00F732A3"/>
    <w:rsid w:val="00F97F70"/>
    <w:rsid w:val="00FA7F6A"/>
    <w:rsid w:val="00FF6811"/>
    <w:rsid w:val="0E7BB592"/>
    <w:rsid w:val="5A35B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D8DB9F"/>
  <w15:docId w15:val="{AAB5DA5B-8BC5-4AEC-BEFF-B55B792A2D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5193"/>
    <w:rPr>
      <w:rFonts w:ascii="Calibri" w:hAnsi="Calibri" w:eastAsia="Calibri" w:cs="Times New Roman"/>
      <w:lang w:val="es-MX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193"/>
    <w:pPr>
      <w:tabs>
        <w:tab w:val="center" w:pos="4419"/>
        <w:tab w:val="right" w:pos="88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15193"/>
    <w:rPr>
      <w:rFonts w:ascii="Calibri" w:hAnsi="Calibri" w:eastAsia="Calibri" w:cs="Times New Roman"/>
      <w:lang w:val="es-MX"/>
    </w:rPr>
  </w:style>
  <w:style w:type="paragraph" w:styleId="ListParagraph">
    <w:name w:val="List Paragraph"/>
    <w:basedOn w:val="Normal"/>
    <w:uiPriority w:val="34"/>
    <w:qFormat/>
    <w:rsid w:val="00B1519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15193"/>
    <w:pPr>
      <w:tabs>
        <w:tab w:val="center" w:pos="4419"/>
        <w:tab w:val="right" w:pos="88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15193"/>
    <w:rPr>
      <w:rFonts w:ascii="Calibri" w:hAnsi="Calibri" w:eastAsia="Calibri" w:cs="Times New Roman"/>
      <w:lang w:val="es-MX"/>
    </w:rPr>
  </w:style>
  <w:style w:type="table" w:styleId="Tabladelista2-nfasis11" w:customStyle="1">
    <w:name w:val="Tabla de lista 2 - Énfasis 11"/>
    <w:basedOn w:val="TableNormal"/>
    <w:uiPriority w:val="47"/>
    <w:rsid w:val="00B15193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bottom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151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77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42BE5"/>
    <w:rPr>
      <w:rFonts w:ascii="Tahoma" w:hAnsi="Tahoma" w:eastAsia="Calibri" w:cs="Tahoma"/>
      <w:sz w:val="16"/>
      <w:szCs w:val="16"/>
      <w:lang w:val="es-MX"/>
    </w:rPr>
  </w:style>
  <w:style w:type="character" w:styleId="CommentReference">
    <w:name w:val="annotation reference"/>
    <w:basedOn w:val="DefaultParagraphFont"/>
    <w:uiPriority w:val="99"/>
    <w:semiHidden/>
    <w:unhideWhenUsed/>
    <w:rsid w:val="00681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F3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81F3C"/>
    <w:rPr>
      <w:rFonts w:ascii="Calibri" w:hAnsi="Calibri" w:eastAsia="Calibri" w:cs="Times New Roman"/>
      <w:sz w:val="20"/>
      <w:szCs w:val="20"/>
      <w:lang w:val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F3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81F3C"/>
    <w:rPr>
      <w:rFonts w:ascii="Calibri" w:hAnsi="Calibri" w:eastAsia="Calibri" w:cs="Times New Roman"/>
      <w:b/>
      <w:bCs/>
      <w:sz w:val="20"/>
      <w:szCs w:val="20"/>
      <w:lang w:val="es-MX"/>
    </w:rPr>
  </w:style>
  <w:style w:type="paragraph" w:styleId="Revision">
    <w:name w:val="Revision"/>
    <w:hidden/>
    <w:uiPriority w:val="99"/>
    <w:semiHidden/>
    <w:rsid w:val="00FF6811"/>
    <w:pPr>
      <w:spacing w:after="0" w:line="240" w:lineRule="auto"/>
    </w:pPr>
    <w:rPr>
      <w:rFonts w:ascii="Calibri" w:hAnsi="Calibri" w:eastAsia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hyperlink" Target="http://www.cidh.oas.org/annualrep/2009sp/Paraguay788-05.sp.htm" TargetMode="Externa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://www.oas.org/es/cidh/decisiones/2018/PYSA12699ES.pdf" TargetMode="Externa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3.png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openxmlformats.org/officeDocument/2006/relationships/settings" Target="settings.xml" Id="rId4" /><Relationship Type="http://schemas.openxmlformats.org/officeDocument/2006/relationships/image" Target="http://dpp.graduateinstitute.ch/files/live/sites/dpp/files/shared/images/IDEHPUCP%20%20color.jpg" TargetMode="External" Id="rId9" /><Relationship Type="http://schemas.openxmlformats.org/officeDocument/2006/relationships/footer" Target="footer1.xml" Id="rId14" /><Relationship Type="http://schemas.openxmlformats.org/officeDocument/2006/relationships/glossaryDocument" Target="glossary/document.xml" Id="Rd2a67451215d4ffc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f296f-2905-48ae-88a9-dc6138f86480}"/>
      </w:docPartPr>
      <w:docPartBody>
        <w:p w14:paraId="5A35B90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0D462-7AA1-4416-8EE2-C1D40E0B87E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>Alvira, Dayana</lastModifiedBy>
  <revision>2</revision>
  <dcterms:created xsi:type="dcterms:W3CDTF">2022-06-01T19:52:00.0000000Z</dcterms:created>
  <dcterms:modified xsi:type="dcterms:W3CDTF">2022-06-03T14:38:58.6258541Z</dcterms:modified>
</coreProperties>
</file>