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3A" w:rsidRPr="00427E3D" w:rsidRDefault="00F96B3E" w:rsidP="00763BE6">
      <w:pPr>
        <w:ind w:left="540" w:firstLine="180"/>
        <w:jc w:val="both"/>
        <w:rPr>
          <w:rFonts w:ascii="Calibri" w:hAnsi="Calibri" w:cs="Arial"/>
          <w:lang w:val="en-US"/>
        </w:rPr>
      </w:pPr>
      <w:r>
        <w:rPr>
          <w:noProof/>
          <w:lang w:val="en-US" w:eastAsia="en-US"/>
        </w:rPr>
        <w:drawing>
          <wp:anchor distT="0" distB="0" distL="114300" distR="114300" simplePos="0" relativeHeight="251658240" behindDoc="1" locked="0" layoutInCell="1" allowOverlap="1">
            <wp:simplePos x="0" y="0"/>
            <wp:positionH relativeFrom="page">
              <wp:posOffset>685800</wp:posOffset>
            </wp:positionH>
            <wp:positionV relativeFrom="page">
              <wp:posOffset>457200</wp:posOffset>
            </wp:positionV>
            <wp:extent cx="800100" cy="800100"/>
            <wp:effectExtent l="0" t="0" r="0" b="0"/>
            <wp:wrapTight wrapText="bothSides">
              <wp:wrapPolygon edited="0">
                <wp:start x="0" y="0"/>
                <wp:lineTo x="0" y="21086"/>
                <wp:lineTo x="21086" y="21086"/>
                <wp:lineTo x="21086"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563" t="-2563" r="-2563" b="-2563"/>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simplePos x="0" y="0"/>
            <wp:positionH relativeFrom="column">
              <wp:posOffset>5080635</wp:posOffset>
            </wp:positionH>
            <wp:positionV relativeFrom="paragraph">
              <wp:posOffset>2540</wp:posOffset>
            </wp:positionV>
            <wp:extent cx="1028700" cy="855980"/>
            <wp:effectExtent l="0" t="0" r="0" b="1270"/>
            <wp:wrapThrough wrapText="bothSides">
              <wp:wrapPolygon edited="0">
                <wp:start x="0" y="0"/>
                <wp:lineTo x="0" y="21151"/>
                <wp:lineTo x="21200" y="21151"/>
                <wp:lineTo x="21200" y="0"/>
                <wp:lineTo x="0" y="0"/>
              </wp:wrapPolygon>
            </wp:wrapThrough>
            <wp:docPr id="3" name="Picture 4" descr="CIDH_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_s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8C443A" w:rsidRPr="00427E3D">
        <w:rPr>
          <w:rFonts w:ascii="Calibri" w:hAnsi="Calibri" w:cs="Arial"/>
          <w:lang w:val="en-US"/>
        </w:rPr>
        <w:t>INTER  -</w:t>
      </w:r>
      <w:proofErr w:type="gramEnd"/>
      <w:r w:rsidR="008C443A" w:rsidRPr="00427E3D">
        <w:rPr>
          <w:rFonts w:ascii="Calibri" w:hAnsi="Calibri" w:cs="Arial"/>
          <w:lang w:val="en-US"/>
        </w:rPr>
        <w:t xml:space="preserve">  AMERICAN   COMMISSION  ON  HUMAN  RIGHTS</w:t>
      </w:r>
    </w:p>
    <w:p w:rsidR="008C443A" w:rsidRPr="00427E3D" w:rsidRDefault="008C443A" w:rsidP="00763BE6">
      <w:pPr>
        <w:jc w:val="both"/>
        <w:rPr>
          <w:rFonts w:ascii="Calibri" w:hAnsi="Calibri" w:cs="Arial"/>
          <w:lang w:val="en-US"/>
        </w:rPr>
      </w:pPr>
      <w:r>
        <w:rPr>
          <w:rFonts w:ascii="Calibri" w:hAnsi="Calibri" w:cs="Arial"/>
          <w:lang w:val="en-US"/>
        </w:rPr>
        <w:t xml:space="preserve">   </w:t>
      </w:r>
      <w:proofErr w:type="gramStart"/>
      <w:r w:rsidRPr="00427E3D">
        <w:rPr>
          <w:rFonts w:ascii="Calibri" w:hAnsi="Calibri" w:cs="Arial"/>
          <w:lang w:val="en-US"/>
        </w:rPr>
        <w:t>COMISION  INTERAMERICANA</w:t>
      </w:r>
      <w:proofErr w:type="gramEnd"/>
      <w:r w:rsidRPr="00427E3D">
        <w:rPr>
          <w:rFonts w:ascii="Calibri" w:hAnsi="Calibri" w:cs="Arial"/>
          <w:lang w:val="en-US"/>
        </w:rPr>
        <w:t xml:space="preserve">  DE  DERECHOS   HUMANOS</w:t>
      </w:r>
    </w:p>
    <w:p w:rsidR="008C443A" w:rsidRPr="00427E3D" w:rsidRDefault="008C443A" w:rsidP="00763BE6">
      <w:pPr>
        <w:ind w:left="540" w:firstLine="180"/>
        <w:jc w:val="both"/>
        <w:rPr>
          <w:rFonts w:ascii="Calibri" w:hAnsi="Calibri" w:cs="Arial"/>
          <w:lang w:val="en-US"/>
        </w:rPr>
      </w:pPr>
      <w:r w:rsidRPr="00427E3D">
        <w:rPr>
          <w:rFonts w:ascii="Calibri" w:hAnsi="Calibri" w:cs="Arial"/>
          <w:lang w:val="en-US"/>
        </w:rPr>
        <w:t xml:space="preserve">COMISSÃO   </w:t>
      </w:r>
      <w:proofErr w:type="gramStart"/>
      <w:r w:rsidRPr="00427E3D">
        <w:rPr>
          <w:rFonts w:ascii="Calibri" w:hAnsi="Calibri" w:cs="Arial"/>
          <w:lang w:val="en-US"/>
        </w:rPr>
        <w:t>INTERAMERICANA  DE</w:t>
      </w:r>
      <w:proofErr w:type="gramEnd"/>
      <w:r w:rsidRPr="00427E3D">
        <w:rPr>
          <w:rFonts w:ascii="Calibri" w:hAnsi="Calibri" w:cs="Arial"/>
          <w:lang w:val="en-US"/>
        </w:rPr>
        <w:t xml:space="preserve">  DIREITOS   HUMANOS</w:t>
      </w:r>
    </w:p>
    <w:p w:rsidR="008C443A" w:rsidRPr="00427E3D" w:rsidRDefault="008C443A" w:rsidP="00763BE6">
      <w:pPr>
        <w:ind w:left="720"/>
        <w:jc w:val="both"/>
        <w:rPr>
          <w:rFonts w:ascii="Calibri" w:hAnsi="Calibri" w:cs="Arial"/>
          <w:lang w:val="en-US"/>
        </w:rPr>
      </w:pPr>
      <w:r w:rsidRPr="00427E3D">
        <w:rPr>
          <w:rFonts w:ascii="Calibri" w:hAnsi="Calibri" w:cs="Arial"/>
          <w:lang w:val="en-US"/>
        </w:rPr>
        <w:t xml:space="preserve">  </w:t>
      </w:r>
      <w:r>
        <w:rPr>
          <w:rFonts w:ascii="Calibri" w:hAnsi="Calibri" w:cs="Arial"/>
          <w:lang w:val="en-US"/>
        </w:rPr>
        <w:t xml:space="preserve"> </w:t>
      </w:r>
      <w:r w:rsidRPr="00427E3D">
        <w:rPr>
          <w:rFonts w:ascii="Calibri" w:hAnsi="Calibri" w:cs="Arial"/>
          <w:lang w:val="en-US"/>
        </w:rPr>
        <w:t>COMMISSION INTERAMÉRICAINE DES DROITS DE L'HOMME</w:t>
      </w:r>
    </w:p>
    <w:p w:rsidR="008C443A" w:rsidRPr="00427E3D" w:rsidRDefault="008C443A" w:rsidP="00763BE6">
      <w:pPr>
        <w:jc w:val="both"/>
        <w:rPr>
          <w:rFonts w:ascii="Calibri" w:hAnsi="Calibri" w:cs="Arial"/>
          <w:lang w:val="en-US"/>
        </w:rPr>
      </w:pPr>
    </w:p>
    <w:p w:rsidR="008C443A" w:rsidRPr="00427E3D" w:rsidRDefault="00F96B3E" w:rsidP="00763BE6">
      <w:pPr>
        <w:jc w:val="both"/>
        <w:rPr>
          <w:rFonts w:ascii="Calibri" w:hAnsi="Calibri" w:cs="Arial"/>
          <w:lang w:val="en-US"/>
        </w:rPr>
      </w:pPr>
      <w:r>
        <w:rPr>
          <w:noProof/>
          <w:lang w:val="en-US" w:eastAsia="en-US"/>
        </w:rPr>
        <mc:AlternateContent>
          <mc:Choice Requires="wps">
            <w:drawing>
              <wp:anchor distT="0" distB="0" distL="114300" distR="114300" simplePos="0" relativeHeight="251660288" behindDoc="1" locked="1" layoutInCell="0" allowOverlap="1">
                <wp:simplePos x="0" y="0"/>
                <wp:positionH relativeFrom="page">
                  <wp:posOffset>274320</wp:posOffset>
                </wp:positionH>
                <wp:positionV relativeFrom="paragraph">
                  <wp:posOffset>0</wp:posOffset>
                </wp:positionV>
                <wp:extent cx="7223760" cy="12065"/>
                <wp:effectExtent l="0" t="0" r="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6pt;margin-top:0;width:568.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" o:allowincell="f" fillcolor="black" stroked="f" strokeweight="0">
                <v:shadow color="black" opacity="49150f" offset=".74833mm,.74833mm"/>
                <w10:wrap anchorx="page"/>
                <w10:anchorlock/>
              </v:rect>
            </w:pict>
          </mc:Fallback>
        </mc:AlternateContent>
      </w:r>
    </w:p>
    <w:p w:rsidR="008C443A" w:rsidRPr="00427E3D" w:rsidRDefault="008C443A" w:rsidP="00763BE6">
      <w:pPr>
        <w:jc w:val="both"/>
        <w:rPr>
          <w:rFonts w:ascii="Calibri" w:hAnsi="Calibri" w:cs="Arial"/>
          <w:b/>
          <w:lang w:val="en-US"/>
        </w:rPr>
      </w:pPr>
      <w:r w:rsidRPr="00427E3D">
        <w:rPr>
          <w:rFonts w:ascii="Calibri" w:hAnsi="Calibri" w:cs="Arial"/>
          <w:b/>
          <w:lang w:val="en-US"/>
        </w:rPr>
        <w:t>ORGANIZACIÓN DE LOS ESTADOS AMERICANOS</w:t>
      </w:r>
    </w:p>
    <w:p w:rsidR="008C443A" w:rsidRPr="009A6601" w:rsidRDefault="008C443A" w:rsidP="009A6601">
      <w:pPr>
        <w:jc w:val="both"/>
        <w:rPr>
          <w:rFonts w:ascii="Calibri" w:hAnsi="Calibri" w:cs="Arial"/>
          <w:b/>
        </w:rPr>
      </w:pPr>
      <w:r w:rsidRPr="00427E3D">
        <w:rPr>
          <w:rFonts w:ascii="Calibri" w:hAnsi="Calibri" w:cs="Arial"/>
          <w:b/>
        </w:rPr>
        <w:t>WASHINGTON, D.C. 2 0 0 0 6  EEUU</w:t>
      </w:r>
    </w:p>
    <w:p w:rsidR="008C443A" w:rsidRPr="009433F4" w:rsidRDefault="008C443A" w:rsidP="00763BE6">
      <w:pPr>
        <w:rPr>
          <w:rFonts w:ascii="Calibri" w:hAnsi="Calibri"/>
          <w:sz w:val="22"/>
          <w:szCs w:val="22"/>
        </w:rPr>
      </w:pPr>
    </w:p>
    <w:p w:rsidR="008C443A" w:rsidRPr="00FF1DBE" w:rsidRDefault="008C443A" w:rsidP="00FF1DBE">
      <w:pPr>
        <w:suppressAutoHyphens/>
        <w:jc w:val="right"/>
        <w:rPr>
          <w:rFonts w:ascii="Calibri" w:hAnsi="Calibri" w:cs="Arial"/>
          <w:sz w:val="22"/>
          <w:szCs w:val="22"/>
          <w:lang w:val="es-PE"/>
        </w:rPr>
      </w:pPr>
      <w:r>
        <w:rPr>
          <w:rFonts w:ascii="Calibri" w:hAnsi="Calibri" w:cs="Arial"/>
          <w:sz w:val="22"/>
          <w:szCs w:val="22"/>
          <w:lang w:val="es-PE"/>
        </w:rPr>
        <w:t>18</w:t>
      </w:r>
      <w:r w:rsidRPr="009433F4">
        <w:rPr>
          <w:rFonts w:ascii="Calibri" w:hAnsi="Calibri" w:cs="Arial"/>
          <w:sz w:val="22"/>
          <w:szCs w:val="22"/>
          <w:lang w:val="es-PE"/>
        </w:rPr>
        <w:t xml:space="preserve"> de </w:t>
      </w:r>
      <w:r>
        <w:rPr>
          <w:rFonts w:ascii="Calibri" w:hAnsi="Calibri" w:cs="Arial"/>
          <w:sz w:val="22"/>
          <w:szCs w:val="22"/>
          <w:lang w:val="es-PE"/>
        </w:rPr>
        <w:t>marzo de 2014</w:t>
      </w:r>
    </w:p>
    <w:p w:rsidR="008C443A" w:rsidRPr="00B72BE6" w:rsidRDefault="008C443A" w:rsidP="00763BE6">
      <w:pPr>
        <w:tabs>
          <w:tab w:val="left" w:pos="720"/>
          <w:tab w:val="center" w:pos="6480"/>
        </w:tabs>
        <w:jc w:val="both"/>
        <w:rPr>
          <w:rFonts w:ascii="Calibri" w:hAnsi="Calibri" w:cs="Arial"/>
          <w:b/>
          <w:sz w:val="22"/>
          <w:szCs w:val="22"/>
          <w:lang w:val="es-ES_tradnl"/>
        </w:rPr>
      </w:pPr>
      <w:r w:rsidRPr="00B72BE6">
        <w:rPr>
          <w:rFonts w:ascii="Calibri" w:hAnsi="Calibri" w:cs="Arial"/>
          <w:b/>
          <w:sz w:val="22"/>
          <w:szCs w:val="22"/>
          <w:lang w:val="es-ES_tradnl"/>
        </w:rPr>
        <w:t>Ref.:</w:t>
      </w:r>
      <w:bookmarkStart w:id="0" w:name="Peticion_n"/>
      <w:bookmarkEnd w:id="0"/>
      <w:r w:rsidRPr="00B72BE6">
        <w:rPr>
          <w:rFonts w:ascii="Calibri" w:hAnsi="Calibri" w:cs="Arial"/>
          <w:b/>
          <w:sz w:val="22"/>
          <w:szCs w:val="22"/>
          <w:lang w:val="es-ES_tradnl"/>
        </w:rPr>
        <w:tab/>
        <w:t>Caso No. 12.723</w:t>
      </w:r>
      <w:r w:rsidRPr="00B72BE6">
        <w:rPr>
          <w:rFonts w:ascii="Calibri" w:hAnsi="Calibri" w:cs="Arial"/>
          <w:b/>
          <w:i/>
          <w:sz w:val="22"/>
          <w:szCs w:val="22"/>
          <w:lang w:val="es-ES_tradnl"/>
        </w:rPr>
        <w:t xml:space="preserve"> </w:t>
      </w:r>
    </w:p>
    <w:p w:rsidR="008C443A" w:rsidRPr="00B72BE6" w:rsidRDefault="008C443A" w:rsidP="00763BE6">
      <w:pPr>
        <w:tabs>
          <w:tab w:val="left" w:pos="720"/>
          <w:tab w:val="center" w:pos="6480"/>
        </w:tabs>
        <w:ind w:left="720"/>
        <w:jc w:val="both"/>
        <w:rPr>
          <w:rFonts w:ascii="Calibri" w:hAnsi="Calibri" w:cs="Arial"/>
          <w:b/>
          <w:sz w:val="22"/>
          <w:szCs w:val="22"/>
          <w:lang w:val="es-ES_tradnl"/>
        </w:rPr>
      </w:pPr>
      <w:r w:rsidRPr="00B72BE6">
        <w:rPr>
          <w:rFonts w:ascii="Calibri" w:hAnsi="Calibri" w:cs="Arial"/>
          <w:b/>
          <w:sz w:val="22"/>
          <w:szCs w:val="22"/>
          <w:lang w:val="es-ES_tradnl"/>
        </w:rPr>
        <w:t>TGGL</w:t>
      </w:r>
      <w:r>
        <w:rPr>
          <w:rFonts w:ascii="Calibri" w:hAnsi="Calibri" w:cs="Arial"/>
          <w:b/>
          <w:sz w:val="22"/>
          <w:szCs w:val="22"/>
          <w:lang w:val="es-ES_tradnl"/>
        </w:rPr>
        <w:t xml:space="preserve"> y familia</w:t>
      </w:r>
    </w:p>
    <w:p w:rsidR="008C443A" w:rsidRPr="009433F4" w:rsidRDefault="008C443A" w:rsidP="00763BE6">
      <w:pPr>
        <w:tabs>
          <w:tab w:val="left" w:pos="720"/>
          <w:tab w:val="center" w:pos="6480"/>
        </w:tabs>
        <w:ind w:left="720"/>
        <w:jc w:val="both"/>
        <w:rPr>
          <w:rFonts w:ascii="Calibri" w:hAnsi="Calibri" w:cs="Arial"/>
          <w:b/>
          <w:sz w:val="22"/>
          <w:szCs w:val="22"/>
          <w:lang w:val="es-ES_tradnl"/>
        </w:rPr>
      </w:pPr>
      <w:r>
        <w:rPr>
          <w:rFonts w:ascii="Calibri" w:hAnsi="Calibri" w:cs="Arial"/>
          <w:b/>
          <w:sz w:val="22"/>
          <w:szCs w:val="22"/>
          <w:lang w:val="es-ES_tradnl"/>
        </w:rPr>
        <w:t>Ecuador</w:t>
      </w:r>
    </w:p>
    <w:p w:rsidR="008C443A" w:rsidRPr="009433F4" w:rsidRDefault="008C443A" w:rsidP="00763BE6">
      <w:pPr>
        <w:tabs>
          <w:tab w:val="left" w:pos="720"/>
          <w:tab w:val="center" w:pos="6480"/>
        </w:tabs>
        <w:jc w:val="both"/>
        <w:rPr>
          <w:rFonts w:ascii="Calibri" w:hAnsi="Calibri" w:cs="Arial"/>
          <w:sz w:val="22"/>
          <w:szCs w:val="22"/>
        </w:rPr>
      </w:pPr>
    </w:p>
    <w:p w:rsidR="008C443A" w:rsidRPr="009433F4" w:rsidRDefault="008C443A" w:rsidP="00763BE6">
      <w:pPr>
        <w:tabs>
          <w:tab w:val="left" w:pos="720"/>
          <w:tab w:val="center" w:pos="6480"/>
        </w:tabs>
        <w:jc w:val="both"/>
        <w:rPr>
          <w:rFonts w:ascii="Calibri" w:hAnsi="Calibri" w:cs="Arial"/>
          <w:sz w:val="22"/>
          <w:szCs w:val="22"/>
          <w:lang w:val="es-PE"/>
        </w:rPr>
      </w:pPr>
      <w:r w:rsidRPr="009433F4">
        <w:rPr>
          <w:rFonts w:ascii="Calibri" w:hAnsi="Calibri" w:cs="Arial"/>
          <w:sz w:val="22"/>
          <w:szCs w:val="22"/>
          <w:lang w:val="es-PE"/>
        </w:rPr>
        <w:t>Señor Secretario:</w:t>
      </w:r>
    </w:p>
    <w:p w:rsidR="008C443A" w:rsidRPr="009433F4" w:rsidRDefault="008C443A" w:rsidP="00763BE6">
      <w:pPr>
        <w:rPr>
          <w:rFonts w:ascii="Calibri" w:hAnsi="Calibri" w:cs="Arial"/>
          <w:sz w:val="22"/>
          <w:szCs w:val="22"/>
          <w:lang w:val="es-CO"/>
        </w:rPr>
      </w:pPr>
    </w:p>
    <w:p w:rsidR="008C443A" w:rsidRPr="002750CE" w:rsidRDefault="008C443A" w:rsidP="002750CE">
      <w:pPr>
        <w:jc w:val="both"/>
        <w:rPr>
          <w:rFonts w:ascii="Calibri" w:hAnsi="Calibri" w:cs="Arial"/>
          <w:sz w:val="22"/>
          <w:szCs w:val="22"/>
          <w:lang w:val="es-AR"/>
        </w:rPr>
      </w:pPr>
      <w:r w:rsidRPr="009433F4">
        <w:rPr>
          <w:rFonts w:ascii="Calibri" w:hAnsi="Calibri"/>
          <w:sz w:val="22"/>
          <w:szCs w:val="22"/>
        </w:rPr>
        <w:tab/>
        <w:t>Tengo el agrado de dirigirme a usted en nombre de la Comisión Interamericana de Derechos Humanos con el objeto</w:t>
      </w:r>
      <w:r w:rsidRPr="009433F4">
        <w:rPr>
          <w:rFonts w:ascii="Calibri" w:hAnsi="Calibri" w:cs="Arial"/>
          <w:sz w:val="22"/>
          <w:szCs w:val="22"/>
          <w:lang w:val="es-CO"/>
        </w:rPr>
        <w:t xml:space="preserve"> de someter a la jurisdicción de la Honorable Corte Interamericana de Derechos Humanos, el caso No.</w:t>
      </w:r>
      <w:r w:rsidRPr="009433F4">
        <w:rPr>
          <w:rFonts w:ascii="Calibri" w:hAnsi="Calibri"/>
          <w:sz w:val="22"/>
          <w:szCs w:val="22"/>
        </w:rPr>
        <w:t xml:space="preserve"> </w:t>
      </w:r>
      <w:bookmarkStart w:id="1" w:name="Peticion_n1"/>
      <w:bookmarkEnd w:id="1"/>
      <w:r w:rsidRPr="009433F4">
        <w:rPr>
          <w:rFonts w:ascii="Calibri" w:hAnsi="Calibri" w:cs="Arial"/>
          <w:sz w:val="22"/>
          <w:szCs w:val="22"/>
        </w:rPr>
        <w:t>1</w:t>
      </w:r>
      <w:r>
        <w:rPr>
          <w:rFonts w:ascii="Calibri" w:hAnsi="Calibri" w:cs="Arial"/>
          <w:sz w:val="22"/>
          <w:szCs w:val="22"/>
        </w:rPr>
        <w:t>2</w:t>
      </w:r>
      <w:r w:rsidRPr="009433F4">
        <w:rPr>
          <w:rFonts w:ascii="Calibri" w:hAnsi="Calibri" w:cs="Arial"/>
          <w:sz w:val="22"/>
          <w:szCs w:val="22"/>
        </w:rPr>
        <w:t>.</w:t>
      </w:r>
      <w:r>
        <w:rPr>
          <w:rFonts w:ascii="Calibri" w:hAnsi="Calibri" w:cs="Arial"/>
          <w:sz w:val="22"/>
          <w:szCs w:val="22"/>
        </w:rPr>
        <w:t>723 – TGGL</w:t>
      </w:r>
      <w:r>
        <w:rPr>
          <w:rStyle w:val="FootnoteReference"/>
          <w:rFonts w:ascii="Calibri" w:hAnsi="Calibri"/>
          <w:sz w:val="22"/>
          <w:szCs w:val="22"/>
        </w:rPr>
        <w:footnoteReference w:id="1"/>
      </w:r>
      <w:r>
        <w:rPr>
          <w:rFonts w:ascii="Calibri" w:hAnsi="Calibri" w:cs="Arial"/>
          <w:sz w:val="22"/>
          <w:szCs w:val="22"/>
        </w:rPr>
        <w:t xml:space="preserve"> y familia r</w:t>
      </w:r>
      <w:r w:rsidRPr="009433F4">
        <w:rPr>
          <w:rFonts w:ascii="Calibri" w:hAnsi="Calibri" w:cs="Arial"/>
          <w:sz w:val="22"/>
          <w:szCs w:val="22"/>
        </w:rPr>
        <w:t>especto de la República de</w:t>
      </w:r>
      <w:r>
        <w:rPr>
          <w:rFonts w:ascii="Calibri" w:hAnsi="Calibri" w:cs="Arial"/>
          <w:sz w:val="22"/>
          <w:szCs w:val="22"/>
        </w:rPr>
        <w:t xml:space="preserve"> Ecuador</w:t>
      </w:r>
      <w:r w:rsidRPr="009433F4">
        <w:rPr>
          <w:rFonts w:ascii="Calibri" w:hAnsi="Calibri" w:cs="Arial"/>
          <w:sz w:val="22"/>
          <w:szCs w:val="22"/>
        </w:rPr>
        <w:t xml:space="preserve"> (en adelante “el Estado”, “el Estado </w:t>
      </w:r>
      <w:r>
        <w:rPr>
          <w:rFonts w:ascii="Calibri" w:hAnsi="Calibri" w:cs="Arial"/>
          <w:sz w:val="22"/>
          <w:szCs w:val="22"/>
        </w:rPr>
        <w:t>ecuatoriano</w:t>
      </w:r>
      <w:r w:rsidRPr="009433F4">
        <w:rPr>
          <w:rFonts w:ascii="Calibri" w:hAnsi="Calibri" w:cs="Arial"/>
          <w:sz w:val="22"/>
          <w:szCs w:val="22"/>
        </w:rPr>
        <w:t>” o “</w:t>
      </w:r>
      <w:r>
        <w:rPr>
          <w:rFonts w:ascii="Calibri" w:hAnsi="Calibri" w:cs="Arial"/>
          <w:sz w:val="22"/>
          <w:szCs w:val="22"/>
        </w:rPr>
        <w:t>Ecuador</w:t>
      </w:r>
      <w:r w:rsidRPr="009433F4">
        <w:rPr>
          <w:rFonts w:ascii="Calibri" w:hAnsi="Calibri" w:cs="Arial"/>
          <w:sz w:val="22"/>
          <w:szCs w:val="22"/>
        </w:rPr>
        <w:t xml:space="preserve">”), </w:t>
      </w:r>
      <w:r w:rsidRPr="009433F4">
        <w:rPr>
          <w:rFonts w:ascii="Calibri" w:hAnsi="Calibri"/>
          <w:iCs/>
          <w:sz w:val="22"/>
          <w:szCs w:val="22"/>
          <w:lang w:val="es-ES_tradnl"/>
        </w:rPr>
        <w:t xml:space="preserve">relacionado </w:t>
      </w:r>
      <w:r w:rsidRPr="002750CE">
        <w:rPr>
          <w:rFonts w:ascii="Calibri" w:hAnsi="Calibri" w:cs="Arial"/>
          <w:sz w:val="22"/>
          <w:szCs w:val="22"/>
          <w:lang w:val="es-CR"/>
        </w:rPr>
        <w:t>con</w:t>
      </w:r>
      <w:r w:rsidRPr="002750CE">
        <w:rPr>
          <w:rFonts w:ascii="Calibri" w:hAnsi="Calibri" w:cs="Arial"/>
          <w:sz w:val="22"/>
          <w:szCs w:val="22"/>
          <w:lang w:val="es-AR"/>
        </w:rPr>
        <w:t xml:space="preserve"> la responsabilidad internacional del Estado por la afectación a la vida digna e integridad personal de TGGL, como consecuencia </w:t>
      </w:r>
      <w:r>
        <w:rPr>
          <w:rFonts w:ascii="Calibri" w:hAnsi="Calibri" w:cs="Arial"/>
          <w:sz w:val="22"/>
          <w:szCs w:val="22"/>
          <w:lang w:val="es-AR"/>
        </w:rPr>
        <w:t xml:space="preserve">del contagio con VIH tras una </w:t>
      </w:r>
      <w:r w:rsidRPr="002750CE">
        <w:rPr>
          <w:rFonts w:ascii="Calibri" w:hAnsi="Calibri" w:cs="Arial"/>
          <w:sz w:val="22"/>
          <w:szCs w:val="22"/>
          <w:lang w:val="es-AR"/>
        </w:rPr>
        <w:t xml:space="preserve">transfusión de sangre que se le realizó el 22 de junio de 1998, cuando tenía tres años de edad. La sangre que se utilizó para la transfusión provino del Banco de Sangre de la Cruz Roja del Azuay, sin que el Estado hubiera cumplido adecuadamente el deber de garantía, específicamente su rol de supervisión y fiscalización frente a entidades privadas que prestan servicios de salud. Asimismo, la Comisión concluyó que la falta de respuesta adecuada por parte del Estado frente a la situación generada, particularmente mediante la omisión en la prestación de la atención médica </w:t>
      </w:r>
      <w:r>
        <w:rPr>
          <w:rFonts w:ascii="Calibri" w:hAnsi="Calibri" w:cs="Arial"/>
          <w:sz w:val="22"/>
          <w:szCs w:val="22"/>
          <w:lang w:val="es-AR"/>
        </w:rPr>
        <w:t xml:space="preserve">especializada </w:t>
      </w:r>
      <w:r w:rsidRPr="002750CE">
        <w:rPr>
          <w:rFonts w:ascii="Calibri" w:hAnsi="Calibri" w:cs="Arial"/>
          <w:sz w:val="22"/>
          <w:szCs w:val="22"/>
          <w:lang w:val="es-AR"/>
        </w:rPr>
        <w:t>que requería la víctima, continuó afectando el ejercicio de sus derechos hasta la fecha. Finalmente, la Comisión consideró que la investigación y proceso penal interno que culminó con una declaratoria de prescripción, no cumplió con estándares mínimos de debida diligencia para ofrecer un recurso efectivo a la niña TGGL y sus familiares. La Comisión estimó que el conjunto del caso puso de manifiesto un incumplimiento con el deber estatal de especial protección frente a TGGL en su calidad de niña.</w:t>
      </w:r>
    </w:p>
    <w:p w:rsidR="008C443A" w:rsidRPr="00FD2122" w:rsidRDefault="008C443A" w:rsidP="002750CE">
      <w:pPr>
        <w:autoSpaceDE w:val="0"/>
        <w:autoSpaceDN w:val="0"/>
        <w:adjustRightInd w:val="0"/>
        <w:ind w:right="480" w:firstLine="720"/>
        <w:jc w:val="both"/>
        <w:rPr>
          <w:rFonts w:ascii="Calibri" w:hAnsi="Calibri" w:cs="Arial"/>
          <w:i/>
          <w:sz w:val="22"/>
          <w:szCs w:val="22"/>
          <w:lang w:val="es-AR"/>
        </w:rPr>
      </w:pPr>
    </w:p>
    <w:p w:rsidR="008C443A" w:rsidRDefault="008C443A" w:rsidP="00763BE6">
      <w:pPr>
        <w:jc w:val="both"/>
        <w:rPr>
          <w:rFonts w:ascii="Calibri" w:hAnsi="Calibri" w:cs="Arial"/>
          <w:sz w:val="22"/>
          <w:szCs w:val="22"/>
          <w:lang w:val="es-CR"/>
        </w:rPr>
      </w:pPr>
      <w:r>
        <w:rPr>
          <w:rFonts w:ascii="Calibri" w:hAnsi="Calibri" w:cs="Arial"/>
          <w:sz w:val="22"/>
          <w:szCs w:val="22"/>
          <w:lang w:val="es-CR"/>
        </w:rPr>
        <w:tab/>
      </w:r>
      <w:r w:rsidRPr="009433F4">
        <w:rPr>
          <w:rFonts w:ascii="Calibri" w:hAnsi="Calibri" w:cs="Arial"/>
          <w:sz w:val="22"/>
          <w:szCs w:val="22"/>
        </w:rPr>
        <w:t>El Estado ratificó la Convención Americ</w:t>
      </w:r>
      <w:r>
        <w:rPr>
          <w:rFonts w:ascii="Calibri" w:hAnsi="Calibri" w:cs="Arial"/>
          <w:sz w:val="22"/>
          <w:szCs w:val="22"/>
        </w:rPr>
        <w:t xml:space="preserve">ana sobre Derechos Humanos el 28 de diciembre de 1977 </w:t>
      </w:r>
      <w:r w:rsidRPr="009433F4">
        <w:rPr>
          <w:rFonts w:ascii="Calibri" w:hAnsi="Calibri" w:cs="Arial"/>
          <w:sz w:val="22"/>
          <w:szCs w:val="22"/>
        </w:rPr>
        <w:t>y aceptó la competenc</w:t>
      </w:r>
      <w:r>
        <w:rPr>
          <w:rFonts w:ascii="Calibri" w:hAnsi="Calibri" w:cs="Arial"/>
          <w:sz w:val="22"/>
          <w:szCs w:val="22"/>
        </w:rPr>
        <w:t>ia contenciosa de la Corte el 24</w:t>
      </w:r>
      <w:r w:rsidRPr="009433F4">
        <w:rPr>
          <w:rFonts w:ascii="Calibri" w:hAnsi="Calibri" w:cs="Arial"/>
          <w:sz w:val="22"/>
          <w:szCs w:val="22"/>
        </w:rPr>
        <w:t xml:space="preserve"> de </w:t>
      </w:r>
      <w:r>
        <w:rPr>
          <w:rFonts w:ascii="Calibri" w:hAnsi="Calibri" w:cs="Arial"/>
          <w:sz w:val="22"/>
          <w:szCs w:val="22"/>
        </w:rPr>
        <w:t>julio de 1984</w:t>
      </w:r>
      <w:r w:rsidRPr="009433F4">
        <w:rPr>
          <w:rFonts w:ascii="Calibri" w:hAnsi="Calibri" w:cs="Arial"/>
          <w:sz w:val="22"/>
          <w:szCs w:val="22"/>
        </w:rPr>
        <w:t>.</w:t>
      </w:r>
    </w:p>
    <w:p w:rsidR="008C443A" w:rsidRDefault="008C443A" w:rsidP="00763BE6">
      <w:pPr>
        <w:jc w:val="both"/>
        <w:rPr>
          <w:rFonts w:ascii="Calibri" w:hAnsi="Calibri" w:cs="Arial"/>
          <w:sz w:val="22"/>
          <w:szCs w:val="22"/>
          <w:lang w:val="es-CR"/>
        </w:rPr>
      </w:pPr>
    </w:p>
    <w:p w:rsidR="008C443A" w:rsidRPr="00CB674A" w:rsidRDefault="008C443A" w:rsidP="00DD7DD8">
      <w:pPr>
        <w:ind w:firstLine="720"/>
        <w:jc w:val="both"/>
        <w:rPr>
          <w:rFonts w:ascii="Calibri" w:hAnsi="Calibri" w:cs="Arial"/>
          <w:sz w:val="22"/>
          <w:szCs w:val="22"/>
        </w:rPr>
      </w:pPr>
      <w:r w:rsidRPr="009433F4">
        <w:rPr>
          <w:rFonts w:ascii="Calibri" w:hAnsi="Calibri"/>
          <w:sz w:val="22"/>
          <w:szCs w:val="22"/>
        </w:rPr>
        <w:t>La Comi</w:t>
      </w:r>
      <w:r>
        <w:rPr>
          <w:rFonts w:ascii="Calibri" w:hAnsi="Calibri"/>
          <w:sz w:val="22"/>
          <w:szCs w:val="22"/>
        </w:rPr>
        <w:t xml:space="preserve">sión ha designado a la Comisionada Rose Marie B. Antoine </w:t>
      </w:r>
      <w:r w:rsidRPr="009433F4">
        <w:rPr>
          <w:rFonts w:ascii="Calibri" w:hAnsi="Calibri"/>
          <w:sz w:val="22"/>
          <w:szCs w:val="22"/>
        </w:rPr>
        <w:t>y al Secretario Ejecutivo Emilio Ál</w:t>
      </w:r>
      <w:r>
        <w:rPr>
          <w:rFonts w:ascii="Calibri" w:hAnsi="Calibri"/>
          <w:sz w:val="22"/>
          <w:szCs w:val="22"/>
        </w:rPr>
        <w:t>varez Icaza L. como sus delegada/os</w:t>
      </w:r>
      <w:r w:rsidRPr="009433F4">
        <w:rPr>
          <w:rFonts w:ascii="Calibri" w:hAnsi="Calibri"/>
          <w:sz w:val="22"/>
          <w:szCs w:val="22"/>
        </w:rPr>
        <w:t>. Asimismo, Elizabeth Abi-Mershed, Secretaria Ejecutiva Adjunta, y Silvia Serrano</w:t>
      </w:r>
      <w:r>
        <w:rPr>
          <w:rFonts w:ascii="Calibri" w:hAnsi="Calibri"/>
          <w:sz w:val="22"/>
          <w:szCs w:val="22"/>
        </w:rPr>
        <w:t xml:space="preserve"> Guzmán, </w:t>
      </w:r>
      <w:r w:rsidRPr="009433F4">
        <w:rPr>
          <w:rFonts w:ascii="Calibri" w:hAnsi="Calibri"/>
          <w:sz w:val="22"/>
          <w:szCs w:val="22"/>
        </w:rPr>
        <w:t>abog</w:t>
      </w:r>
      <w:r>
        <w:rPr>
          <w:rFonts w:ascii="Calibri" w:hAnsi="Calibri"/>
          <w:sz w:val="22"/>
          <w:szCs w:val="22"/>
        </w:rPr>
        <w:t>ada</w:t>
      </w:r>
      <w:r w:rsidRPr="009433F4">
        <w:rPr>
          <w:rFonts w:ascii="Calibri" w:hAnsi="Calibri"/>
          <w:sz w:val="22"/>
          <w:szCs w:val="22"/>
        </w:rPr>
        <w:t xml:space="preserve"> de la Secretaría Ejecutiva de</w:t>
      </w:r>
      <w:r>
        <w:rPr>
          <w:rFonts w:ascii="Calibri" w:hAnsi="Calibri"/>
          <w:sz w:val="22"/>
          <w:szCs w:val="22"/>
        </w:rPr>
        <w:t xml:space="preserve"> la CIDH, actuarán como asesoras legales.</w:t>
      </w:r>
    </w:p>
    <w:p w:rsidR="008C443A" w:rsidRDefault="008C443A" w:rsidP="00763BE6">
      <w:pPr>
        <w:jc w:val="both"/>
        <w:rPr>
          <w:rFonts w:ascii="Calibri" w:hAnsi="Calibri" w:cs="Arial"/>
          <w:sz w:val="22"/>
          <w:szCs w:val="22"/>
          <w:lang w:val="es-CR"/>
        </w:rPr>
      </w:pPr>
    </w:p>
    <w:p w:rsidR="008C443A" w:rsidRDefault="008C443A" w:rsidP="00763BE6">
      <w:pPr>
        <w:jc w:val="both"/>
        <w:rPr>
          <w:rFonts w:ascii="Calibri" w:hAnsi="Calibri" w:cs="Arial"/>
          <w:sz w:val="22"/>
          <w:szCs w:val="22"/>
          <w:lang w:val="es-CR"/>
        </w:rPr>
      </w:pPr>
    </w:p>
    <w:p w:rsidR="008C443A" w:rsidRPr="009433F4" w:rsidRDefault="008C443A" w:rsidP="00763BE6">
      <w:pPr>
        <w:jc w:val="both"/>
        <w:rPr>
          <w:rFonts w:ascii="Calibri" w:hAnsi="Calibri" w:cs="Arial"/>
          <w:snapToGrid w:val="0"/>
          <w:sz w:val="22"/>
          <w:szCs w:val="22"/>
          <w:lang w:val="es-CO"/>
        </w:rPr>
      </w:pPr>
      <w:r w:rsidRPr="009433F4">
        <w:rPr>
          <w:rFonts w:ascii="Calibri" w:hAnsi="Calibri" w:cs="Arial"/>
          <w:snapToGrid w:val="0"/>
          <w:sz w:val="22"/>
          <w:szCs w:val="22"/>
          <w:lang w:val="es-CO"/>
        </w:rPr>
        <w:t>Señor</w:t>
      </w:r>
    </w:p>
    <w:p w:rsidR="008C443A" w:rsidRPr="009433F4" w:rsidRDefault="008C443A" w:rsidP="00763BE6">
      <w:pPr>
        <w:suppressAutoHyphens/>
        <w:rPr>
          <w:rFonts w:ascii="Calibri" w:hAnsi="Calibri" w:cs="Arial"/>
          <w:snapToGrid w:val="0"/>
          <w:sz w:val="22"/>
          <w:szCs w:val="22"/>
          <w:lang w:val="es-CO"/>
        </w:rPr>
      </w:pPr>
      <w:r w:rsidRPr="009433F4">
        <w:rPr>
          <w:rFonts w:ascii="Calibri" w:hAnsi="Calibri" w:cs="Arial"/>
          <w:snapToGrid w:val="0"/>
          <w:sz w:val="22"/>
          <w:szCs w:val="22"/>
          <w:lang w:val="es-CO"/>
        </w:rPr>
        <w:t>Pablo Saavedra Alessandri, Secretario</w:t>
      </w:r>
    </w:p>
    <w:p w:rsidR="008C443A" w:rsidRPr="009433F4" w:rsidRDefault="008C443A" w:rsidP="00763BE6">
      <w:pPr>
        <w:suppressAutoHyphens/>
        <w:rPr>
          <w:rFonts w:ascii="Calibri" w:hAnsi="Calibri" w:cs="Arial"/>
          <w:snapToGrid w:val="0"/>
          <w:sz w:val="22"/>
          <w:szCs w:val="22"/>
          <w:lang w:val="es-ES_tradnl"/>
        </w:rPr>
      </w:pPr>
      <w:r w:rsidRPr="009433F4">
        <w:rPr>
          <w:rFonts w:ascii="Calibri" w:hAnsi="Calibri" w:cs="Arial"/>
          <w:snapToGrid w:val="0"/>
          <w:sz w:val="22"/>
          <w:szCs w:val="22"/>
          <w:lang w:val="es-ES_tradnl"/>
        </w:rPr>
        <w:t>Corte Interamericana de Derechos Humanos</w:t>
      </w:r>
    </w:p>
    <w:p w:rsidR="008C443A" w:rsidRPr="009433F4" w:rsidRDefault="008C443A" w:rsidP="00763BE6">
      <w:pPr>
        <w:suppressAutoHyphens/>
        <w:rPr>
          <w:rFonts w:ascii="Calibri" w:hAnsi="Calibri" w:cs="Arial"/>
          <w:snapToGrid w:val="0"/>
          <w:sz w:val="22"/>
          <w:szCs w:val="22"/>
          <w:lang w:val="es-ES_tradnl"/>
        </w:rPr>
      </w:pPr>
      <w:r w:rsidRPr="009433F4">
        <w:rPr>
          <w:rFonts w:ascii="Calibri" w:hAnsi="Calibri" w:cs="Arial"/>
          <w:snapToGrid w:val="0"/>
          <w:sz w:val="22"/>
          <w:szCs w:val="22"/>
          <w:lang w:val="es-ES_tradnl"/>
        </w:rPr>
        <w:t>Apartado 6906-1000</w:t>
      </w:r>
    </w:p>
    <w:p w:rsidR="008C443A" w:rsidRPr="009433F4" w:rsidRDefault="008C443A" w:rsidP="00763BE6">
      <w:pPr>
        <w:suppressAutoHyphens/>
        <w:rPr>
          <w:rFonts w:ascii="Calibri" w:hAnsi="Calibri" w:cs="Arial"/>
          <w:snapToGrid w:val="0"/>
          <w:sz w:val="22"/>
          <w:szCs w:val="22"/>
          <w:lang w:val="es-ES_tradnl"/>
        </w:rPr>
      </w:pPr>
      <w:r w:rsidRPr="009433F4">
        <w:rPr>
          <w:rFonts w:ascii="Calibri" w:hAnsi="Calibri" w:cs="Arial"/>
          <w:snapToGrid w:val="0"/>
          <w:sz w:val="22"/>
          <w:szCs w:val="22"/>
          <w:lang w:val="es-ES_tradnl"/>
        </w:rPr>
        <w:t>San José, Costa Rica</w:t>
      </w:r>
    </w:p>
    <w:p w:rsidR="008C443A" w:rsidRPr="009433F4" w:rsidRDefault="008C443A" w:rsidP="00763BE6">
      <w:pPr>
        <w:suppressAutoHyphens/>
        <w:rPr>
          <w:rFonts w:ascii="Calibri" w:hAnsi="Calibri" w:cs="Arial"/>
          <w:snapToGrid w:val="0"/>
          <w:sz w:val="22"/>
          <w:szCs w:val="22"/>
          <w:lang w:val="es-ES_tradnl"/>
        </w:rPr>
      </w:pPr>
    </w:p>
    <w:p w:rsidR="008C443A" w:rsidRPr="009433F4" w:rsidRDefault="008C443A" w:rsidP="00763BE6">
      <w:pPr>
        <w:suppressAutoHyphens/>
        <w:rPr>
          <w:rFonts w:ascii="Calibri" w:hAnsi="Calibri"/>
          <w:sz w:val="22"/>
          <w:szCs w:val="22"/>
        </w:rPr>
      </w:pPr>
      <w:r w:rsidRPr="009433F4">
        <w:rPr>
          <w:rFonts w:ascii="Calibri" w:hAnsi="Calibri" w:cs="Arial"/>
          <w:snapToGrid w:val="0"/>
          <w:sz w:val="22"/>
          <w:szCs w:val="22"/>
          <w:lang w:val="es-ES_tradnl"/>
        </w:rPr>
        <w:t>Anexos</w:t>
      </w:r>
    </w:p>
    <w:p w:rsidR="008C443A" w:rsidRPr="00CB674A" w:rsidRDefault="008C443A" w:rsidP="00CB674A">
      <w:pPr>
        <w:ind w:firstLine="720"/>
        <w:jc w:val="both"/>
        <w:rPr>
          <w:rFonts w:ascii="Calibri" w:hAnsi="Calibri" w:cs="Arial"/>
          <w:sz w:val="22"/>
          <w:szCs w:val="22"/>
        </w:rPr>
      </w:pPr>
      <w:r w:rsidRPr="009433F4">
        <w:rPr>
          <w:rFonts w:ascii="Calibri" w:hAnsi="Calibri" w:cs="Arial"/>
          <w:sz w:val="22"/>
          <w:szCs w:val="22"/>
        </w:rPr>
        <w:lastRenderedPageBreak/>
        <w:t xml:space="preserve">De conformidad con el artículo 35 del Reglamento de la Corte Interamericana, la Comisión adjunta </w:t>
      </w:r>
      <w:r w:rsidRPr="009433F4">
        <w:rPr>
          <w:rFonts w:ascii="Calibri" w:hAnsi="Calibri"/>
          <w:sz w:val="22"/>
          <w:szCs w:val="22"/>
          <w:lang w:val="es-CO"/>
        </w:rPr>
        <w:t xml:space="preserve">copia del </w:t>
      </w:r>
      <w:r>
        <w:rPr>
          <w:rFonts w:ascii="Calibri" w:hAnsi="Calibri"/>
          <w:sz w:val="22"/>
          <w:szCs w:val="22"/>
        </w:rPr>
        <w:t>informe 102</w:t>
      </w:r>
      <w:r w:rsidRPr="009433F4">
        <w:rPr>
          <w:rFonts w:ascii="Calibri" w:hAnsi="Calibri"/>
          <w:sz w:val="22"/>
          <w:szCs w:val="22"/>
        </w:rPr>
        <w:t>/1</w:t>
      </w:r>
      <w:r>
        <w:rPr>
          <w:rFonts w:ascii="Calibri" w:hAnsi="Calibri"/>
          <w:sz w:val="22"/>
          <w:szCs w:val="22"/>
        </w:rPr>
        <w:t>3</w:t>
      </w:r>
      <w:r w:rsidRPr="009433F4">
        <w:rPr>
          <w:rFonts w:ascii="Calibri" w:hAnsi="Calibri"/>
          <w:sz w:val="22"/>
          <w:szCs w:val="22"/>
        </w:rPr>
        <w:t xml:space="preserve"> elaborado en observancia del artículo 50 de la Convención, así como copia de la totalidad del expediente ante la Comisión Interamericana (Apéndice I) y los anexos utilizados</w:t>
      </w:r>
      <w:r>
        <w:rPr>
          <w:rFonts w:ascii="Calibri" w:hAnsi="Calibri"/>
          <w:sz w:val="22"/>
          <w:szCs w:val="22"/>
        </w:rPr>
        <w:t xml:space="preserve"> en la elaboración del informe 102</w:t>
      </w:r>
      <w:r w:rsidRPr="009433F4">
        <w:rPr>
          <w:rFonts w:ascii="Calibri" w:hAnsi="Calibri"/>
          <w:sz w:val="22"/>
          <w:szCs w:val="22"/>
        </w:rPr>
        <w:t>/1</w:t>
      </w:r>
      <w:r>
        <w:rPr>
          <w:rFonts w:ascii="Calibri" w:hAnsi="Calibri"/>
          <w:sz w:val="22"/>
          <w:szCs w:val="22"/>
        </w:rPr>
        <w:t>3</w:t>
      </w:r>
      <w:r w:rsidRPr="009433F4">
        <w:rPr>
          <w:rFonts w:ascii="Calibri" w:hAnsi="Calibri"/>
          <w:sz w:val="22"/>
          <w:szCs w:val="22"/>
        </w:rPr>
        <w:t xml:space="preserve"> (Anexos). Dicho informe de fondo </w:t>
      </w:r>
      <w:r w:rsidRPr="009433F4">
        <w:rPr>
          <w:rFonts w:ascii="Calibri" w:hAnsi="Calibri"/>
          <w:sz w:val="22"/>
          <w:szCs w:val="22"/>
          <w:lang w:val="es-AR"/>
        </w:rPr>
        <w:t>fue notificado al Estado de</w:t>
      </w:r>
      <w:r>
        <w:rPr>
          <w:rFonts w:ascii="Calibri" w:hAnsi="Calibri"/>
          <w:sz w:val="22"/>
          <w:szCs w:val="22"/>
          <w:lang w:val="es-AR"/>
        </w:rPr>
        <w:t xml:space="preserve"> Ecuador </w:t>
      </w:r>
      <w:r w:rsidRPr="009433F4">
        <w:rPr>
          <w:rFonts w:ascii="Calibri" w:hAnsi="Calibri"/>
          <w:sz w:val="22"/>
          <w:szCs w:val="22"/>
          <w:lang w:val="es-AR"/>
        </w:rPr>
        <w:t xml:space="preserve">mediante comunicación de </w:t>
      </w:r>
      <w:r>
        <w:rPr>
          <w:rFonts w:ascii="Calibri" w:hAnsi="Calibri"/>
          <w:sz w:val="22"/>
          <w:szCs w:val="22"/>
          <w:lang w:val="es-AR"/>
        </w:rPr>
        <w:t>18 de noviembre de 2013</w:t>
      </w:r>
      <w:r w:rsidRPr="009433F4">
        <w:rPr>
          <w:rFonts w:ascii="Calibri" w:hAnsi="Calibri"/>
          <w:sz w:val="22"/>
          <w:szCs w:val="22"/>
          <w:lang w:val="es-AR"/>
        </w:rPr>
        <w:t xml:space="preserve">, otorgándole un plazo de dos meses para informar sobre el cumplimiento de las recomendaciones. </w:t>
      </w:r>
    </w:p>
    <w:p w:rsidR="008C443A" w:rsidRDefault="008C443A" w:rsidP="00763BE6">
      <w:pPr>
        <w:ind w:firstLine="720"/>
        <w:jc w:val="both"/>
        <w:rPr>
          <w:rFonts w:ascii="Calibri" w:hAnsi="Calibri"/>
          <w:sz w:val="22"/>
          <w:szCs w:val="22"/>
          <w:lang w:val="es-AR"/>
        </w:rPr>
      </w:pPr>
    </w:p>
    <w:p w:rsidR="008C443A" w:rsidRDefault="008C443A" w:rsidP="00312D61">
      <w:pPr>
        <w:ind w:firstLine="720"/>
        <w:jc w:val="both"/>
        <w:rPr>
          <w:rFonts w:ascii="Calibri" w:hAnsi="Calibri"/>
          <w:sz w:val="22"/>
          <w:szCs w:val="22"/>
          <w:lang w:val="es-AR"/>
        </w:rPr>
      </w:pPr>
      <w:r>
        <w:rPr>
          <w:rFonts w:ascii="Calibri" w:hAnsi="Calibri"/>
          <w:sz w:val="22"/>
          <w:szCs w:val="22"/>
          <w:lang w:val="es-AR"/>
        </w:rPr>
        <w:t xml:space="preserve">El Estado de Ecuador presentó un escrito mediante el cual indicó que </w:t>
      </w:r>
      <w:r w:rsidRPr="0013645A">
        <w:rPr>
          <w:rFonts w:ascii="Calibri" w:hAnsi="Calibri" w:cs="Arial"/>
          <w:sz w:val="22"/>
          <w:szCs w:val="22"/>
        </w:rPr>
        <w:t xml:space="preserve"> </w:t>
      </w:r>
      <w:r>
        <w:rPr>
          <w:rFonts w:ascii="Calibri" w:hAnsi="Calibri" w:cs="Arial"/>
          <w:sz w:val="22"/>
          <w:szCs w:val="22"/>
        </w:rPr>
        <w:t xml:space="preserve">“ha venido desplegando un conjunto de gestiones en política pública en materia de salud para protección, prevención y acompañamiento de la persona relacionada al caso”. En ese sentido, el Estado solicitó una “prórroga proporcional” para “seguir adelante con la agenda de potencial acuerdo entre las partes (…) en virtud de que se encuentran involucradas varias ramas del poder público, instancias nacionales y locales”. </w:t>
      </w:r>
    </w:p>
    <w:p w:rsidR="008C443A" w:rsidRDefault="008C443A" w:rsidP="00312D61">
      <w:pPr>
        <w:ind w:firstLine="720"/>
        <w:jc w:val="both"/>
        <w:rPr>
          <w:rFonts w:ascii="Calibri" w:hAnsi="Calibri"/>
          <w:sz w:val="22"/>
          <w:szCs w:val="22"/>
          <w:lang w:val="es-AR"/>
        </w:rPr>
      </w:pPr>
    </w:p>
    <w:p w:rsidR="008C443A" w:rsidRPr="003257BA" w:rsidRDefault="008C443A" w:rsidP="00D00B7E">
      <w:pPr>
        <w:ind w:firstLine="720"/>
        <w:jc w:val="both"/>
        <w:rPr>
          <w:rFonts w:ascii="Calibri" w:hAnsi="Calibri"/>
          <w:sz w:val="22"/>
          <w:szCs w:val="22"/>
          <w:lang w:val="es-AR"/>
        </w:rPr>
      </w:pPr>
      <w:r w:rsidRPr="003257BA">
        <w:rPr>
          <w:rFonts w:ascii="Calibri" w:hAnsi="Calibri" w:cs="Arial"/>
          <w:sz w:val="22"/>
          <w:szCs w:val="22"/>
        </w:rPr>
        <w:t xml:space="preserve">El 18 de febrero de 2014 la Comisión otorgó la prórroga por un plazo de un mes y le solicitó al Estado que a más tardar el 11 de marzo de 2014 remitiera información sobre el cumplimiento de las recomendaciones, especialmente aquellas a las cuales la CIDH otorgó un carácter inmediato en el informe </w:t>
      </w:r>
      <w:proofErr w:type="gramStart"/>
      <w:r w:rsidRPr="003257BA">
        <w:rPr>
          <w:rFonts w:ascii="Calibri" w:hAnsi="Calibri" w:cs="Arial"/>
          <w:sz w:val="22"/>
          <w:szCs w:val="22"/>
        </w:rPr>
        <w:t>de</w:t>
      </w:r>
      <w:proofErr w:type="gramEnd"/>
      <w:r w:rsidRPr="003257BA">
        <w:rPr>
          <w:rFonts w:ascii="Calibri" w:hAnsi="Calibri" w:cs="Arial"/>
          <w:sz w:val="22"/>
          <w:szCs w:val="22"/>
        </w:rPr>
        <w:t xml:space="preserve"> fondo. </w:t>
      </w:r>
    </w:p>
    <w:p w:rsidR="008C443A" w:rsidRPr="003257BA" w:rsidRDefault="008C443A" w:rsidP="00D00B7E">
      <w:pPr>
        <w:ind w:firstLine="720"/>
        <w:jc w:val="both"/>
        <w:rPr>
          <w:rFonts w:ascii="Calibri" w:hAnsi="Calibri"/>
          <w:sz w:val="22"/>
          <w:szCs w:val="22"/>
          <w:lang w:val="es-AR"/>
        </w:rPr>
      </w:pPr>
    </w:p>
    <w:p w:rsidR="008C443A" w:rsidRPr="003257BA" w:rsidRDefault="008C443A" w:rsidP="00D00B7E">
      <w:pPr>
        <w:ind w:firstLine="720"/>
        <w:jc w:val="both"/>
        <w:rPr>
          <w:rFonts w:ascii="Calibri" w:hAnsi="Calibri" w:cs="Arial"/>
          <w:sz w:val="22"/>
          <w:szCs w:val="22"/>
        </w:rPr>
      </w:pPr>
      <w:r w:rsidRPr="003257BA">
        <w:rPr>
          <w:rFonts w:ascii="Calibri" w:hAnsi="Calibri" w:cs="Arial"/>
          <w:sz w:val="22"/>
          <w:szCs w:val="22"/>
        </w:rPr>
        <w:t>El 25 de febrero de 2014 el Estado solicitó una reunión de trabajo sobre el caso. Mediante comunicación de 5 de marzo de 2014 la Comisión le informó al Estado que la eventual reunión dependería de que el Estado efectuara una solicitud de prórroga, tomando en cuenta las fechas de las sesiones de la CIDH y la fecha de vencimiento de la prórroga. Asimismo, se indicó la relevancia de que presentara la información requerida con carácter urgente sobre el tratamiento médico especializado y se señaló que la celebración de una reunión de trabajo dependería de la voluntad de las víctimas.</w:t>
      </w:r>
    </w:p>
    <w:p w:rsidR="008C443A" w:rsidRPr="003257BA" w:rsidRDefault="008C443A" w:rsidP="00D00B7E">
      <w:pPr>
        <w:ind w:firstLine="720"/>
        <w:jc w:val="both"/>
        <w:rPr>
          <w:rFonts w:ascii="Calibri" w:hAnsi="Calibri" w:cs="Arial"/>
          <w:sz w:val="22"/>
          <w:szCs w:val="22"/>
        </w:rPr>
      </w:pPr>
    </w:p>
    <w:p w:rsidR="008C443A" w:rsidRPr="003257BA" w:rsidRDefault="008C443A" w:rsidP="00763BE6">
      <w:pPr>
        <w:ind w:firstLine="720"/>
        <w:jc w:val="both"/>
        <w:rPr>
          <w:rFonts w:ascii="Calibri" w:hAnsi="Calibri"/>
          <w:sz w:val="22"/>
          <w:szCs w:val="22"/>
          <w:lang w:val="es-AR"/>
        </w:rPr>
      </w:pPr>
      <w:r w:rsidRPr="003257BA">
        <w:rPr>
          <w:rFonts w:ascii="Calibri" w:hAnsi="Calibri"/>
          <w:sz w:val="22"/>
          <w:szCs w:val="22"/>
        </w:rPr>
        <w:t xml:space="preserve">Ante la falta de respuesta a la solicitud concreta de información efectuada por la Comisión sobre el cumplimiento de las recomendaciones, especialmente de aquellas a las cuales se otorgó un carácter inmediato ante la situación de salud de TGGL y su múltiple condición de vulnerabilidad, </w:t>
      </w:r>
      <w:r w:rsidRPr="003257BA">
        <w:rPr>
          <w:rFonts w:ascii="Calibri" w:hAnsi="Calibri"/>
          <w:sz w:val="22"/>
          <w:szCs w:val="22"/>
          <w:lang w:val="es-AR"/>
        </w:rPr>
        <w:t xml:space="preserve">la Comisión decidió someter el presente caso a la jurisdicción de la Corte Interamericana por la necesidad de obtención de justicia para la víctima y su familia. </w:t>
      </w:r>
      <w:r w:rsidRPr="003257BA">
        <w:rPr>
          <w:rFonts w:ascii="Calibri" w:hAnsi="Calibri"/>
          <w:sz w:val="22"/>
          <w:szCs w:val="22"/>
        </w:rPr>
        <w:t xml:space="preserve">La Comisión Interamericana somete a la jurisdicción de la Corte la totalidad de los hechos y violaciones de derechos humanos descritos en el informe de fondo 102/13. </w:t>
      </w:r>
    </w:p>
    <w:p w:rsidR="008C443A" w:rsidRPr="003257BA" w:rsidRDefault="008C443A" w:rsidP="00763BE6">
      <w:pPr>
        <w:tabs>
          <w:tab w:val="left" w:pos="0"/>
        </w:tabs>
        <w:ind w:firstLine="720"/>
        <w:jc w:val="both"/>
        <w:rPr>
          <w:rFonts w:ascii="Calibri" w:hAnsi="Calibri"/>
          <w:sz w:val="22"/>
          <w:szCs w:val="22"/>
        </w:rPr>
      </w:pPr>
    </w:p>
    <w:p w:rsidR="008C443A" w:rsidRPr="006F3515" w:rsidRDefault="008C443A" w:rsidP="006F3515">
      <w:pPr>
        <w:tabs>
          <w:tab w:val="left" w:pos="0"/>
        </w:tabs>
        <w:ind w:firstLine="720"/>
        <w:jc w:val="both"/>
        <w:rPr>
          <w:rFonts w:ascii="Calibri" w:hAnsi="Calibri" w:cs="callibri"/>
          <w:sz w:val="22"/>
          <w:szCs w:val="22"/>
          <w:lang w:val="es-CO"/>
        </w:rPr>
      </w:pPr>
      <w:r w:rsidRPr="003257BA">
        <w:rPr>
          <w:rFonts w:ascii="Calibri" w:hAnsi="Calibri"/>
          <w:sz w:val="22"/>
          <w:szCs w:val="22"/>
        </w:rPr>
        <w:t>En ese sentido, la Comisión</w:t>
      </w:r>
      <w:r w:rsidRPr="009433F4">
        <w:rPr>
          <w:rFonts w:ascii="Calibri" w:hAnsi="Calibri"/>
          <w:sz w:val="22"/>
          <w:szCs w:val="22"/>
        </w:rPr>
        <w:t xml:space="preserve"> </w:t>
      </w:r>
      <w:r w:rsidRPr="00585697">
        <w:rPr>
          <w:rFonts w:ascii="Calibri" w:hAnsi="Calibri"/>
          <w:sz w:val="22"/>
          <w:szCs w:val="22"/>
        </w:rPr>
        <w:t xml:space="preserve">solicita a la Corte que concluya y declare </w:t>
      </w:r>
      <w:r w:rsidRPr="00585697">
        <w:rPr>
          <w:rFonts w:ascii="Calibri" w:hAnsi="Calibri" w:cs="Arial"/>
          <w:sz w:val="22"/>
          <w:szCs w:val="22"/>
          <w:lang w:val="es-CL"/>
        </w:rPr>
        <w:t xml:space="preserve">que </w:t>
      </w:r>
      <w:r w:rsidRPr="00A63BFD">
        <w:rPr>
          <w:rFonts w:ascii="Calibri" w:hAnsi="Calibri"/>
          <w:sz w:val="22"/>
        </w:rPr>
        <w:t xml:space="preserve">el Estado de </w:t>
      </w:r>
      <w:r>
        <w:rPr>
          <w:rFonts w:ascii="Calibri" w:hAnsi="Calibri"/>
          <w:sz w:val="22"/>
        </w:rPr>
        <w:t xml:space="preserve">Ecuador </w:t>
      </w:r>
      <w:r w:rsidRPr="00E92E9D">
        <w:rPr>
          <w:rFonts w:ascii="Calibri" w:hAnsi="Calibri" w:cs="Arial"/>
          <w:sz w:val="22"/>
          <w:szCs w:val="22"/>
        </w:rPr>
        <w:t xml:space="preserve">es responsable por la violación de los derechos a la vida digna, integridad personal, garantías judiciales y protección judicial, establecidos en los </w:t>
      </w:r>
      <w:r w:rsidRPr="00E92E9D">
        <w:rPr>
          <w:rFonts w:ascii="Calibri" w:hAnsi="Calibri"/>
          <w:sz w:val="22"/>
          <w:szCs w:val="22"/>
        </w:rPr>
        <w:t>artículos</w:t>
      </w:r>
      <w:r w:rsidRPr="00E92E9D">
        <w:rPr>
          <w:rFonts w:ascii="Calibri" w:hAnsi="Calibri" w:cs="Arial"/>
          <w:sz w:val="22"/>
          <w:szCs w:val="22"/>
        </w:rPr>
        <w:t xml:space="preserve"> 4, 5, 8 y 25 de la Convención Americana en relación con las obligaciones establecidas en los artículos 1.1 del mismo instrumento, en perjuicio de TGGL. </w:t>
      </w:r>
      <w:r>
        <w:rPr>
          <w:rFonts w:ascii="Calibri" w:hAnsi="Calibri" w:cs="Arial"/>
          <w:sz w:val="22"/>
          <w:szCs w:val="22"/>
        </w:rPr>
        <w:t xml:space="preserve">Asimismo, la Comisión solicita a la Corte que concluya y declare que </w:t>
      </w:r>
      <w:r w:rsidRPr="00E92E9D">
        <w:rPr>
          <w:rFonts w:ascii="Calibri" w:hAnsi="Calibri" w:cs="Arial"/>
          <w:sz w:val="22"/>
          <w:szCs w:val="22"/>
        </w:rPr>
        <w:t xml:space="preserve">el Estado ecuatoriano incumplió sus obligaciones de especial protección de TGGL en su condición de niña, en violación del artículo 19 de la Convención Americana. </w:t>
      </w:r>
      <w:r>
        <w:rPr>
          <w:rFonts w:ascii="Calibri" w:hAnsi="Calibri" w:cs="Arial"/>
          <w:sz w:val="22"/>
          <w:szCs w:val="22"/>
        </w:rPr>
        <w:t xml:space="preserve">Finalmente, </w:t>
      </w:r>
      <w:r w:rsidRPr="00E92E9D">
        <w:rPr>
          <w:rFonts w:ascii="Calibri" w:hAnsi="Calibri" w:cs="Arial"/>
          <w:sz w:val="22"/>
          <w:szCs w:val="22"/>
        </w:rPr>
        <w:t xml:space="preserve">la Comisión </w:t>
      </w:r>
      <w:r>
        <w:rPr>
          <w:rFonts w:ascii="Calibri" w:hAnsi="Calibri" w:cs="Arial"/>
          <w:sz w:val="22"/>
          <w:szCs w:val="22"/>
        </w:rPr>
        <w:t xml:space="preserve">solicita a la Corte que concluya y declare que </w:t>
      </w:r>
      <w:r w:rsidRPr="00E92E9D">
        <w:rPr>
          <w:rFonts w:ascii="Calibri" w:hAnsi="Calibri" w:cs="Arial"/>
          <w:sz w:val="22"/>
          <w:szCs w:val="22"/>
        </w:rPr>
        <w:t>el Estado ecuatoriano es responsable por la violación de los derechos a la integridad psíquica y moral, a las garantías judiciales y protección judicial, establecidos en los artículos 5, 8 y 25 de la Convención Americana en relación con las obligaciones establecidas en los artículos 1.1 del mismo instrumento en perjuicio d</w:t>
      </w:r>
      <w:r>
        <w:rPr>
          <w:rFonts w:ascii="Calibri" w:hAnsi="Calibri" w:cs="Arial"/>
          <w:sz w:val="22"/>
          <w:szCs w:val="22"/>
        </w:rPr>
        <w:t>e la madre y el hermano de TGGL</w:t>
      </w:r>
      <w:r w:rsidRPr="00E92E9D">
        <w:rPr>
          <w:rFonts w:ascii="Calibri" w:hAnsi="Calibri" w:cs="Arial"/>
          <w:sz w:val="22"/>
          <w:szCs w:val="22"/>
        </w:rPr>
        <w:t>.</w:t>
      </w:r>
    </w:p>
    <w:p w:rsidR="008C443A" w:rsidRPr="009433F4" w:rsidRDefault="008C443A" w:rsidP="00763BE6">
      <w:pPr>
        <w:tabs>
          <w:tab w:val="left" w:pos="0"/>
          <w:tab w:val="num" w:pos="720"/>
          <w:tab w:val="left" w:pos="1080"/>
        </w:tabs>
        <w:jc w:val="both"/>
        <w:rPr>
          <w:rFonts w:ascii="Calibri" w:hAnsi="Calibri"/>
          <w:sz w:val="20"/>
          <w:szCs w:val="20"/>
        </w:rPr>
      </w:pPr>
    </w:p>
    <w:p w:rsidR="008C443A" w:rsidRPr="009433F4" w:rsidRDefault="008C443A" w:rsidP="00763BE6">
      <w:pPr>
        <w:ind w:firstLine="720"/>
        <w:jc w:val="both"/>
        <w:rPr>
          <w:rFonts w:ascii="Calibri" w:hAnsi="Calibri"/>
          <w:sz w:val="21"/>
          <w:szCs w:val="21"/>
        </w:rPr>
      </w:pPr>
      <w:r w:rsidRPr="009433F4">
        <w:rPr>
          <w:rFonts w:ascii="Calibri" w:hAnsi="Calibri"/>
          <w:sz w:val="22"/>
          <w:szCs w:val="22"/>
        </w:rPr>
        <w:t>En consecuencia, la Comisión solicita a la Corte Interamericana que ordene al Estado de</w:t>
      </w:r>
      <w:r>
        <w:rPr>
          <w:rFonts w:ascii="Calibri" w:hAnsi="Calibri"/>
          <w:sz w:val="22"/>
          <w:szCs w:val="22"/>
        </w:rPr>
        <w:t xml:space="preserve"> Ecuador</w:t>
      </w:r>
      <w:r w:rsidRPr="009433F4">
        <w:rPr>
          <w:rFonts w:ascii="Calibri" w:hAnsi="Calibri"/>
          <w:sz w:val="22"/>
          <w:szCs w:val="22"/>
        </w:rPr>
        <w:t>:</w:t>
      </w:r>
    </w:p>
    <w:p w:rsidR="008C443A" w:rsidRDefault="008C443A" w:rsidP="00763BE6">
      <w:pPr>
        <w:ind w:right="720"/>
        <w:jc w:val="both"/>
        <w:rPr>
          <w:rFonts w:ascii="Calibri" w:hAnsi="Calibri"/>
          <w:sz w:val="20"/>
          <w:szCs w:val="20"/>
          <w:lang w:val="es-ES_tradnl"/>
        </w:rPr>
      </w:pPr>
    </w:p>
    <w:p w:rsidR="008C443A" w:rsidRPr="00275457" w:rsidRDefault="008C443A" w:rsidP="00191CB2">
      <w:pPr>
        <w:numPr>
          <w:ilvl w:val="0"/>
          <w:numId w:val="3"/>
        </w:numPr>
        <w:tabs>
          <w:tab w:val="clear" w:pos="1260"/>
          <w:tab w:val="left" w:pos="1080"/>
        </w:tabs>
        <w:suppressAutoHyphens/>
        <w:ind w:left="720" w:right="720" w:firstLine="0"/>
        <w:jc w:val="both"/>
        <w:rPr>
          <w:rFonts w:ascii="Calibri" w:hAnsi="Calibri" w:cs="BookAntiqua"/>
          <w:sz w:val="20"/>
        </w:rPr>
      </w:pPr>
      <w:r w:rsidRPr="00275457">
        <w:rPr>
          <w:rFonts w:ascii="Calibri" w:hAnsi="Calibri"/>
          <w:sz w:val="20"/>
        </w:rPr>
        <w:t xml:space="preserve">Reparar integralmente a TGGL y su madre por las violaciones de derechos humanos declaradas en el informe, incluyendo tanto el aspecto material como moral. </w:t>
      </w:r>
    </w:p>
    <w:p w:rsidR="008C443A" w:rsidRPr="00275457" w:rsidRDefault="008C443A" w:rsidP="00191CB2">
      <w:pPr>
        <w:tabs>
          <w:tab w:val="left" w:pos="1080"/>
        </w:tabs>
        <w:suppressAutoHyphens/>
        <w:ind w:left="720" w:right="720"/>
        <w:jc w:val="both"/>
        <w:rPr>
          <w:rFonts w:ascii="Calibri" w:hAnsi="Calibri" w:cs="BookAntiqua"/>
          <w:sz w:val="20"/>
        </w:rPr>
      </w:pPr>
    </w:p>
    <w:p w:rsidR="008C443A" w:rsidRPr="00275457" w:rsidRDefault="008C443A" w:rsidP="00191CB2">
      <w:pPr>
        <w:numPr>
          <w:ilvl w:val="0"/>
          <w:numId w:val="3"/>
        </w:numPr>
        <w:tabs>
          <w:tab w:val="clear" w:pos="1260"/>
          <w:tab w:val="left" w:pos="1080"/>
        </w:tabs>
        <w:suppressAutoHyphens/>
        <w:ind w:left="720" w:right="720" w:firstLine="0"/>
        <w:jc w:val="both"/>
        <w:rPr>
          <w:rFonts w:ascii="Calibri" w:hAnsi="Calibri" w:cs="BookAntiqua"/>
          <w:sz w:val="20"/>
        </w:rPr>
      </w:pPr>
      <w:r w:rsidRPr="00275457">
        <w:rPr>
          <w:rFonts w:ascii="Calibri" w:hAnsi="Calibri" w:cs="BookAntiqua"/>
          <w:sz w:val="20"/>
        </w:rPr>
        <w:lastRenderedPageBreak/>
        <w:t>Proveer, en consulta con TGGL, de manera inmediata y permanente el tratamiento médico especializado que requiere.</w:t>
      </w:r>
    </w:p>
    <w:p w:rsidR="008C443A" w:rsidRPr="00275457" w:rsidRDefault="008C443A" w:rsidP="00191CB2">
      <w:pPr>
        <w:tabs>
          <w:tab w:val="left" w:pos="1080"/>
        </w:tabs>
        <w:suppressAutoHyphens/>
        <w:ind w:left="720" w:right="720"/>
        <w:jc w:val="both"/>
        <w:rPr>
          <w:rFonts w:ascii="Calibri" w:hAnsi="Calibri" w:cs="BookAntiqua"/>
          <w:sz w:val="20"/>
        </w:rPr>
      </w:pPr>
    </w:p>
    <w:p w:rsidR="008C443A" w:rsidRPr="00275457" w:rsidRDefault="008C443A" w:rsidP="00191CB2">
      <w:pPr>
        <w:numPr>
          <w:ilvl w:val="0"/>
          <w:numId w:val="3"/>
        </w:numPr>
        <w:tabs>
          <w:tab w:val="clear" w:pos="1260"/>
          <w:tab w:val="left" w:pos="1080"/>
        </w:tabs>
        <w:suppressAutoHyphens/>
        <w:ind w:left="720" w:right="720" w:firstLine="0"/>
        <w:jc w:val="both"/>
        <w:rPr>
          <w:rFonts w:ascii="Calibri" w:hAnsi="Calibri" w:cs="BookAntiqua"/>
          <w:sz w:val="20"/>
        </w:rPr>
      </w:pPr>
      <w:r w:rsidRPr="00275457">
        <w:rPr>
          <w:rFonts w:ascii="Calibri" w:hAnsi="Calibri" w:cs="BookAntiqua"/>
          <w:sz w:val="20"/>
        </w:rPr>
        <w:t xml:space="preserve">Proveer, en consulta con TGGL, la educación primaria, superior y universitaria, de manera gratuita. </w:t>
      </w:r>
    </w:p>
    <w:p w:rsidR="008C443A" w:rsidRPr="00275457" w:rsidRDefault="008C443A" w:rsidP="00191CB2">
      <w:pPr>
        <w:tabs>
          <w:tab w:val="left" w:pos="1080"/>
        </w:tabs>
        <w:suppressAutoHyphens/>
        <w:ind w:left="720" w:right="720"/>
        <w:jc w:val="both"/>
        <w:rPr>
          <w:rFonts w:ascii="Calibri" w:hAnsi="Calibri" w:cs="BookAntiqua"/>
          <w:sz w:val="20"/>
        </w:rPr>
      </w:pPr>
    </w:p>
    <w:p w:rsidR="008C443A" w:rsidRPr="00275457" w:rsidRDefault="008C443A" w:rsidP="00191CB2">
      <w:pPr>
        <w:numPr>
          <w:ilvl w:val="0"/>
          <w:numId w:val="3"/>
        </w:numPr>
        <w:tabs>
          <w:tab w:val="clear" w:pos="1260"/>
          <w:tab w:val="left" w:pos="1080"/>
        </w:tabs>
        <w:suppressAutoHyphens/>
        <w:ind w:left="720" w:right="720" w:firstLine="0"/>
        <w:jc w:val="both"/>
        <w:rPr>
          <w:rFonts w:ascii="Calibri" w:hAnsi="Calibri"/>
          <w:sz w:val="20"/>
        </w:rPr>
      </w:pPr>
      <w:r w:rsidRPr="00275457">
        <w:rPr>
          <w:rFonts w:ascii="Calibri" w:hAnsi="Calibri" w:cs="Arial"/>
          <w:sz w:val="20"/>
        </w:rPr>
        <w:t>R</w:t>
      </w:r>
      <w:r w:rsidRPr="00275457">
        <w:rPr>
          <w:rFonts w:ascii="Calibri" w:hAnsi="Calibri"/>
          <w:sz w:val="20"/>
        </w:rPr>
        <w:t>ealizar una investigación completa y efectiva de las violaciones de derechos humanos declaradas en el informe.</w:t>
      </w:r>
    </w:p>
    <w:p w:rsidR="008C443A" w:rsidRPr="00275457" w:rsidRDefault="008C443A" w:rsidP="00191CB2">
      <w:pPr>
        <w:tabs>
          <w:tab w:val="left" w:pos="1080"/>
        </w:tabs>
        <w:suppressAutoHyphens/>
        <w:ind w:left="720" w:right="720"/>
        <w:jc w:val="both"/>
        <w:rPr>
          <w:rFonts w:ascii="Calibri" w:hAnsi="Calibri" w:cs="BookAntiqua"/>
          <w:sz w:val="20"/>
        </w:rPr>
      </w:pPr>
    </w:p>
    <w:p w:rsidR="008C443A" w:rsidRPr="00275457" w:rsidRDefault="008C443A" w:rsidP="00191CB2">
      <w:pPr>
        <w:numPr>
          <w:ilvl w:val="0"/>
          <w:numId w:val="3"/>
        </w:numPr>
        <w:tabs>
          <w:tab w:val="clear" w:pos="1260"/>
          <w:tab w:val="left" w:pos="1080"/>
        </w:tabs>
        <w:suppressAutoHyphens/>
        <w:ind w:left="720" w:right="720" w:firstLine="0"/>
        <w:jc w:val="both"/>
        <w:rPr>
          <w:rFonts w:ascii="Calibri" w:hAnsi="Calibri"/>
          <w:sz w:val="20"/>
        </w:rPr>
      </w:pPr>
      <w:r w:rsidRPr="00275457">
        <w:rPr>
          <w:rFonts w:ascii="Calibri" w:hAnsi="Calibri" w:cs="BookAntiqua"/>
          <w:sz w:val="20"/>
        </w:rPr>
        <w:t>Disponer mecanismos de no repetición que incluyan: i) la implementación de mecanismos serios y efectivos de supervisión y fiscalización periódica del funcionamiento y sistemas de registro de los Bancos de Sangre que operan en Ecuador, incluyendo los privados y públicos; ii) la implementación de mecanismos serios y efectivos de supervisión y fiscalización periódica de los hospitales públicos y privados, a fin de asegurar que en su funcionamiento cuenten con las salvaguardas necesarias para verificar la seguridad de los productos sanguíneos que se utilizan para actividades transfusionales; iii) la implementación de programas de capacitación al personal de los Bancos de Sangre que operan en Ecuador, a fin de asegurar que ejerzan sus labores de manera compatible con los estándares técnicos mínimos de seguridad reconocidos internacionalmente; y iv) la provisión de tratamiento y atención en salud gratuita a los niños y niñas con VIH que no cuenten con recursos para ello.</w:t>
      </w:r>
    </w:p>
    <w:p w:rsidR="008C443A" w:rsidRDefault="008C443A" w:rsidP="00763BE6">
      <w:pPr>
        <w:ind w:right="720"/>
        <w:jc w:val="both"/>
        <w:rPr>
          <w:rFonts w:ascii="Calibri" w:hAnsi="Calibri"/>
          <w:sz w:val="20"/>
          <w:szCs w:val="20"/>
          <w:lang w:val="es-ES_tradnl"/>
        </w:rPr>
      </w:pPr>
    </w:p>
    <w:p w:rsidR="008C443A" w:rsidRPr="00611C5D" w:rsidRDefault="008C443A" w:rsidP="002A6C24">
      <w:pPr>
        <w:autoSpaceDE w:val="0"/>
        <w:autoSpaceDN w:val="0"/>
        <w:adjustRightInd w:val="0"/>
        <w:ind w:firstLine="720"/>
        <w:jc w:val="both"/>
        <w:rPr>
          <w:rFonts w:ascii="Calibri" w:hAnsi="Calibri" w:cs="Arial"/>
          <w:sz w:val="22"/>
          <w:szCs w:val="22"/>
          <w:lang w:val="es-CL"/>
        </w:rPr>
      </w:pPr>
      <w:r w:rsidRPr="00611C5D">
        <w:rPr>
          <w:rFonts w:ascii="Calibri" w:hAnsi="Calibri" w:cs="Arial"/>
          <w:sz w:val="22"/>
          <w:szCs w:val="22"/>
          <w:lang w:val="es-CL"/>
        </w:rPr>
        <w:t>Además de la necesidad de obtención de justicia por la falta de cumplimiento de las recomendaciones del informe de fondo, la Comisión considera que el caso presenta cuestiones de orden público interamericano. Específicamente, el presente caso ofrece a la Corte la posibilidad de profundizar en su jurisprudencia sobre el deber de garantía, fiscalización y supervisión de los Estados frente a entidades privadas que prestan servicios de salud y, por ende, pueden generar afectaciones a los derechos a la vida e integridad personal. En este caso, la Honorable Corte podrá pronunciarse sobre el deber especial que tienen los Estados frente a ciertas actividades relacionadas con la salud humana que, por su naturaleza, implican un alto riesgo, tales como el manejo de bancos de sangre y de servicios transfusionales. Asimismo, el caso ofrece una oportunidad para que la Corte Interamericana desarrolle jurisprudencia sobre las obligaciones que la Convención Americana, interpretada a la luz de los estándares internacionales aplicables, impone a los Estados frente a personas portadoras del virus de inmunodeficiencia humana y que se encuentran en situación de especial vulnerabilidad.</w:t>
      </w:r>
    </w:p>
    <w:p w:rsidR="008C443A" w:rsidRPr="00611C5D" w:rsidRDefault="008C443A" w:rsidP="002A6C24">
      <w:pPr>
        <w:autoSpaceDE w:val="0"/>
        <w:autoSpaceDN w:val="0"/>
        <w:adjustRightInd w:val="0"/>
        <w:ind w:firstLine="720"/>
        <w:jc w:val="both"/>
        <w:rPr>
          <w:rFonts w:ascii="Calibri" w:hAnsi="Calibri" w:cs="Arial"/>
          <w:sz w:val="22"/>
          <w:szCs w:val="22"/>
          <w:lang w:val="es-CL"/>
        </w:rPr>
      </w:pPr>
    </w:p>
    <w:p w:rsidR="008C443A" w:rsidRPr="00611C5D" w:rsidRDefault="008C443A" w:rsidP="002A6C24">
      <w:pPr>
        <w:autoSpaceDE w:val="0"/>
        <w:autoSpaceDN w:val="0"/>
        <w:adjustRightInd w:val="0"/>
        <w:ind w:firstLine="720"/>
        <w:jc w:val="both"/>
        <w:rPr>
          <w:rFonts w:ascii="Calibri" w:hAnsi="Calibri" w:cs="Arial"/>
          <w:sz w:val="22"/>
          <w:szCs w:val="22"/>
          <w:lang w:val="es-CL"/>
        </w:rPr>
      </w:pPr>
      <w:r w:rsidRPr="00611C5D">
        <w:rPr>
          <w:rFonts w:ascii="Calibri" w:hAnsi="Calibri" w:cs="Arial"/>
          <w:sz w:val="22"/>
          <w:szCs w:val="22"/>
          <w:lang w:val="es-CL"/>
        </w:rPr>
        <w:t xml:space="preserve">En virtud de que estas cuestiones afectan de manera relevante el orden público interamericano, de conformidad con el artículo 35.1 f) del Reglamento de la Corte Interamericana, la Comisión se permite ofrecer las siguientes declaraciones periciales: </w:t>
      </w:r>
    </w:p>
    <w:p w:rsidR="008C443A" w:rsidRPr="00611C5D" w:rsidRDefault="008C443A" w:rsidP="002A6C24">
      <w:pPr>
        <w:tabs>
          <w:tab w:val="left" w:pos="720"/>
          <w:tab w:val="left" w:pos="9000"/>
        </w:tabs>
        <w:ind w:firstLine="720"/>
        <w:jc w:val="both"/>
        <w:rPr>
          <w:rFonts w:ascii="Calibri" w:hAnsi="Calibri" w:cs="Arial"/>
          <w:sz w:val="22"/>
          <w:szCs w:val="22"/>
          <w:lang w:val="es-AR"/>
        </w:rPr>
      </w:pPr>
    </w:p>
    <w:p w:rsidR="008C443A" w:rsidRPr="00611C5D" w:rsidRDefault="008C443A" w:rsidP="002A6C24">
      <w:pPr>
        <w:ind w:firstLine="720"/>
        <w:jc w:val="both"/>
        <w:rPr>
          <w:rFonts w:ascii="Calibri" w:hAnsi="Calibri" w:cs="Courier New"/>
          <w:sz w:val="22"/>
          <w:szCs w:val="22"/>
          <w:lang w:val="es-ES_tradnl"/>
        </w:rPr>
      </w:pPr>
      <w:r w:rsidRPr="00611C5D">
        <w:rPr>
          <w:rFonts w:ascii="Calibri" w:hAnsi="Calibri" w:cs="Courier New"/>
          <w:sz w:val="22"/>
          <w:szCs w:val="22"/>
          <w:lang w:val="es-ES_tradnl"/>
        </w:rPr>
        <w:t>1.</w:t>
      </w:r>
      <w:r>
        <w:rPr>
          <w:rFonts w:ascii="Calibri" w:hAnsi="Calibri" w:cs="Courier New"/>
          <w:sz w:val="22"/>
          <w:szCs w:val="22"/>
          <w:lang w:val="es-ES_tradnl"/>
        </w:rPr>
        <w:t xml:space="preserve"> Perito/a cuyo nombre será informado a la brevedad, </w:t>
      </w:r>
      <w:r w:rsidRPr="00611C5D">
        <w:rPr>
          <w:rFonts w:ascii="Calibri" w:hAnsi="Calibri" w:cs="Courier New"/>
          <w:sz w:val="22"/>
          <w:szCs w:val="22"/>
          <w:lang w:val="es-ES_tradnl"/>
        </w:rPr>
        <w:t xml:space="preserve">quien declarará sobre los estándares internacionales sobre el deber de garantía del derecho a la vida e integridad personal, en relación con el derecho a la salud. Específicamente, el peritaje se referirá al alcance y contenido de las obligaciones de supervisión y fiscalización de entidades privadas que prestan servicios de salud. El/la perito/a se referirá a las obligaciones específicas frente a actividades relacionadas con la salud humana que pueden presentar un alto riesgo, tales como el manejo de Bancos de Sangre y servicios transfusionales. El/la perito/a analizará en la medida de lo pertinente, la perspectiva de otros sistemas de protección de derechos humanos, así como experiencias en derecho comparado. </w:t>
      </w:r>
    </w:p>
    <w:p w:rsidR="008C443A" w:rsidRPr="00611C5D" w:rsidRDefault="008C443A" w:rsidP="002A6C24">
      <w:pPr>
        <w:ind w:firstLine="720"/>
        <w:jc w:val="both"/>
        <w:rPr>
          <w:rFonts w:ascii="Calibri" w:hAnsi="Calibri"/>
          <w:sz w:val="22"/>
          <w:szCs w:val="22"/>
        </w:rPr>
      </w:pPr>
    </w:p>
    <w:p w:rsidR="008C443A" w:rsidRPr="00611C5D" w:rsidRDefault="008C443A" w:rsidP="002A6C24">
      <w:pPr>
        <w:autoSpaceDE w:val="0"/>
        <w:autoSpaceDN w:val="0"/>
        <w:adjustRightInd w:val="0"/>
        <w:ind w:firstLine="720"/>
        <w:jc w:val="both"/>
        <w:rPr>
          <w:rFonts w:ascii="Calibri" w:hAnsi="Calibri" w:cs="Arial"/>
          <w:sz w:val="22"/>
          <w:szCs w:val="22"/>
          <w:lang w:val="es-CL"/>
        </w:rPr>
      </w:pPr>
      <w:r w:rsidRPr="00611C5D">
        <w:rPr>
          <w:rFonts w:ascii="Calibri" w:hAnsi="Calibri"/>
          <w:sz w:val="22"/>
          <w:szCs w:val="22"/>
        </w:rPr>
        <w:t xml:space="preserve">2. </w:t>
      </w:r>
      <w:r>
        <w:rPr>
          <w:rFonts w:ascii="Calibri" w:hAnsi="Calibri" w:cs="Courier New"/>
          <w:sz w:val="22"/>
          <w:szCs w:val="22"/>
          <w:lang w:val="es-ES_tradnl"/>
        </w:rPr>
        <w:t xml:space="preserve">Perito/a cuyo nombre será informado a la brevedad, </w:t>
      </w:r>
      <w:r w:rsidRPr="00611C5D">
        <w:rPr>
          <w:rFonts w:ascii="Calibri" w:hAnsi="Calibri"/>
          <w:sz w:val="22"/>
          <w:szCs w:val="22"/>
        </w:rPr>
        <w:t xml:space="preserve">quien declarará sobre </w:t>
      </w:r>
      <w:r w:rsidRPr="00611C5D">
        <w:rPr>
          <w:rFonts w:ascii="Calibri" w:hAnsi="Calibri" w:cs="Arial"/>
          <w:sz w:val="22"/>
          <w:szCs w:val="22"/>
          <w:lang w:val="es-CL"/>
        </w:rPr>
        <w:t xml:space="preserve">las obligaciones que la Convención Americana, interpretada a la luz de los estándares internacionales aplicables, impone a los Estados frente a personas portadoras del virus de inmunodeficiencia humana. El/la perito/a se referirá especialmente a las obligaciones estatales frente a personas que fueron contagiadas con VIH como </w:t>
      </w:r>
      <w:proofErr w:type="gramStart"/>
      <w:r w:rsidRPr="00611C5D">
        <w:rPr>
          <w:rFonts w:ascii="Calibri" w:hAnsi="Calibri" w:cs="Arial"/>
          <w:sz w:val="22"/>
          <w:szCs w:val="22"/>
          <w:lang w:val="es-CL"/>
        </w:rPr>
        <w:lastRenderedPageBreak/>
        <w:t>consecuencia</w:t>
      </w:r>
      <w:proofErr w:type="gramEnd"/>
      <w:r w:rsidRPr="00611C5D">
        <w:rPr>
          <w:rFonts w:ascii="Calibri" w:hAnsi="Calibri" w:cs="Arial"/>
          <w:sz w:val="22"/>
          <w:szCs w:val="22"/>
          <w:lang w:val="es-CL"/>
        </w:rPr>
        <w:t xml:space="preserve"> de acciones u omisiones de un Estado. Asimismo, analizará las obligaciones frente a personas que por su condición se encuentran en una múltiple situación de vulnerabilidad. </w:t>
      </w:r>
    </w:p>
    <w:p w:rsidR="008C443A" w:rsidRPr="00611C5D" w:rsidRDefault="008C443A" w:rsidP="002A6C24">
      <w:pPr>
        <w:autoSpaceDE w:val="0"/>
        <w:autoSpaceDN w:val="0"/>
        <w:adjustRightInd w:val="0"/>
        <w:ind w:firstLine="720"/>
        <w:jc w:val="both"/>
        <w:rPr>
          <w:rFonts w:ascii="Calibri" w:hAnsi="Calibri" w:cs="Arial"/>
          <w:sz w:val="22"/>
          <w:szCs w:val="22"/>
          <w:lang w:val="es-CL"/>
        </w:rPr>
      </w:pPr>
    </w:p>
    <w:p w:rsidR="008C443A" w:rsidRPr="00611C5D" w:rsidRDefault="008C443A" w:rsidP="002A6C24">
      <w:pPr>
        <w:autoSpaceDE w:val="0"/>
        <w:autoSpaceDN w:val="0"/>
        <w:adjustRightInd w:val="0"/>
        <w:ind w:firstLine="720"/>
        <w:jc w:val="both"/>
        <w:rPr>
          <w:rFonts w:ascii="Calibri" w:hAnsi="Calibri" w:cs="Arial"/>
          <w:sz w:val="22"/>
          <w:szCs w:val="22"/>
          <w:lang w:val="es-CL"/>
        </w:rPr>
      </w:pPr>
      <w:r w:rsidRPr="00611C5D">
        <w:rPr>
          <w:rFonts w:ascii="Calibri" w:hAnsi="Calibri" w:cs="Arial"/>
          <w:sz w:val="22"/>
          <w:szCs w:val="22"/>
          <w:lang w:val="es-CL"/>
        </w:rPr>
        <w:t xml:space="preserve">3. </w:t>
      </w:r>
      <w:r>
        <w:rPr>
          <w:rFonts w:ascii="Calibri" w:hAnsi="Calibri" w:cs="Courier New"/>
          <w:sz w:val="22"/>
          <w:szCs w:val="22"/>
          <w:lang w:val="es-ES_tradnl"/>
        </w:rPr>
        <w:t xml:space="preserve">Perito/a cuyo nombre será informado a la brevedad, </w:t>
      </w:r>
      <w:r w:rsidRPr="00611C5D">
        <w:rPr>
          <w:rFonts w:ascii="Calibri" w:hAnsi="Calibri" w:cs="Arial"/>
          <w:sz w:val="22"/>
          <w:szCs w:val="22"/>
          <w:lang w:val="es-CL"/>
        </w:rPr>
        <w:t>quien declarará sobre los estándares internacionales que determinan las obligaciones estatales en materia de salud de los niños y niñas, a fin de ofrecer elementos de análisis a la Corte Interamericana para analizar los distintos componentes del caso bajo el artículo 19 de la Convención Americana.</w:t>
      </w:r>
    </w:p>
    <w:p w:rsidR="008C443A" w:rsidRDefault="008C443A" w:rsidP="002A6C24">
      <w:pPr>
        <w:tabs>
          <w:tab w:val="left" w:pos="0"/>
        </w:tabs>
        <w:ind w:firstLine="720"/>
        <w:jc w:val="both"/>
        <w:rPr>
          <w:rFonts w:ascii="Calibri" w:hAnsi="Calibri"/>
          <w:sz w:val="22"/>
          <w:szCs w:val="22"/>
          <w:lang w:val="es-AR"/>
        </w:rPr>
      </w:pPr>
    </w:p>
    <w:p w:rsidR="008C443A" w:rsidRPr="009433F4" w:rsidRDefault="008C443A" w:rsidP="002A6C24">
      <w:pPr>
        <w:tabs>
          <w:tab w:val="left" w:pos="0"/>
        </w:tabs>
        <w:ind w:firstLine="720"/>
        <w:jc w:val="both"/>
        <w:rPr>
          <w:rFonts w:ascii="Calibri" w:hAnsi="Calibri"/>
          <w:sz w:val="22"/>
          <w:szCs w:val="22"/>
        </w:rPr>
      </w:pPr>
      <w:r>
        <w:rPr>
          <w:rFonts w:ascii="Calibri" w:hAnsi="Calibri"/>
          <w:sz w:val="22"/>
          <w:szCs w:val="22"/>
          <w:lang w:val="es-AR"/>
        </w:rPr>
        <w:t>Los CV d</w:t>
      </w:r>
      <w:proofErr w:type="spellStart"/>
      <w:r w:rsidRPr="009433F4">
        <w:rPr>
          <w:rFonts w:ascii="Calibri" w:hAnsi="Calibri"/>
          <w:sz w:val="22"/>
          <w:szCs w:val="22"/>
        </w:rPr>
        <w:t>e</w:t>
      </w:r>
      <w:proofErr w:type="spellEnd"/>
      <w:r>
        <w:rPr>
          <w:rFonts w:ascii="Calibri" w:hAnsi="Calibri"/>
          <w:sz w:val="22"/>
          <w:szCs w:val="22"/>
        </w:rPr>
        <w:t xml:space="preserve"> los peritos/as </w:t>
      </w:r>
      <w:r w:rsidRPr="009433F4">
        <w:rPr>
          <w:rFonts w:ascii="Calibri" w:hAnsi="Calibri"/>
          <w:sz w:val="22"/>
          <w:szCs w:val="22"/>
        </w:rPr>
        <w:t>propuesto</w:t>
      </w:r>
      <w:r>
        <w:rPr>
          <w:rFonts w:ascii="Calibri" w:hAnsi="Calibri"/>
          <w:sz w:val="22"/>
          <w:szCs w:val="22"/>
        </w:rPr>
        <w:t>s/as</w:t>
      </w:r>
      <w:r w:rsidRPr="009433F4">
        <w:rPr>
          <w:rFonts w:ascii="Calibri" w:hAnsi="Calibri"/>
          <w:sz w:val="22"/>
          <w:szCs w:val="22"/>
        </w:rPr>
        <w:t xml:space="preserve"> será incluido en los anexos al informe d</w:t>
      </w:r>
      <w:r>
        <w:rPr>
          <w:rFonts w:ascii="Calibri" w:hAnsi="Calibri"/>
          <w:sz w:val="22"/>
          <w:szCs w:val="22"/>
        </w:rPr>
        <w:t>e fondo 102</w:t>
      </w:r>
      <w:r w:rsidRPr="009433F4">
        <w:rPr>
          <w:rFonts w:ascii="Calibri" w:hAnsi="Calibri"/>
          <w:sz w:val="22"/>
          <w:szCs w:val="22"/>
        </w:rPr>
        <w:t>/</w:t>
      </w:r>
      <w:r>
        <w:rPr>
          <w:rFonts w:ascii="Calibri" w:hAnsi="Calibri"/>
          <w:sz w:val="22"/>
          <w:szCs w:val="22"/>
        </w:rPr>
        <w:t>13</w:t>
      </w:r>
      <w:r w:rsidRPr="009433F4">
        <w:rPr>
          <w:rFonts w:ascii="Calibri" w:hAnsi="Calibri"/>
          <w:sz w:val="22"/>
          <w:szCs w:val="22"/>
        </w:rPr>
        <w:t xml:space="preserve">. </w:t>
      </w:r>
    </w:p>
    <w:p w:rsidR="008C443A" w:rsidRPr="005D6A87" w:rsidRDefault="008C443A" w:rsidP="002A6C24">
      <w:pPr>
        <w:pStyle w:val="Default"/>
        <w:tabs>
          <w:tab w:val="left" w:pos="0"/>
        </w:tabs>
        <w:ind w:firstLine="720"/>
        <w:jc w:val="both"/>
        <w:rPr>
          <w:rFonts w:ascii="Calibri" w:hAnsi="Calibri"/>
          <w:sz w:val="22"/>
          <w:szCs w:val="22"/>
          <w:lang w:val="es-ES"/>
        </w:rPr>
      </w:pPr>
    </w:p>
    <w:p w:rsidR="008C443A" w:rsidRPr="009433F4" w:rsidRDefault="008C443A" w:rsidP="002A6C24">
      <w:pPr>
        <w:pStyle w:val="Default"/>
        <w:tabs>
          <w:tab w:val="left" w:pos="0"/>
        </w:tabs>
        <w:ind w:firstLine="720"/>
        <w:jc w:val="both"/>
        <w:rPr>
          <w:rFonts w:ascii="Calibri" w:hAnsi="Calibri"/>
          <w:sz w:val="22"/>
          <w:szCs w:val="22"/>
          <w:lang w:val="es-ES_tradnl"/>
        </w:rPr>
      </w:pPr>
      <w:r w:rsidRPr="009433F4">
        <w:rPr>
          <w:rFonts w:ascii="Calibri" w:hAnsi="Calibri"/>
          <w:sz w:val="22"/>
          <w:szCs w:val="22"/>
          <w:lang w:val="es-ES_tradnl"/>
        </w:rPr>
        <w:t>La Comisión pone en conocimiento de la Corte la siguiente información</w:t>
      </w:r>
      <w:r>
        <w:rPr>
          <w:rFonts w:ascii="Calibri" w:hAnsi="Calibri"/>
          <w:sz w:val="22"/>
          <w:szCs w:val="22"/>
          <w:lang w:val="es-ES_tradnl"/>
        </w:rPr>
        <w:t xml:space="preserve"> de quien ha actuado en calidad de peticionario a </w:t>
      </w:r>
      <w:r w:rsidRPr="009433F4">
        <w:rPr>
          <w:rFonts w:ascii="Calibri" w:hAnsi="Calibri"/>
          <w:sz w:val="22"/>
          <w:szCs w:val="22"/>
          <w:lang w:val="es-ES_tradnl"/>
        </w:rPr>
        <w:t>lo largo del trámite y sus respectivos datos de contacto:</w:t>
      </w:r>
    </w:p>
    <w:p w:rsidR="008C443A" w:rsidRDefault="008C443A" w:rsidP="00192EAA">
      <w:pPr>
        <w:autoSpaceDE w:val="0"/>
        <w:autoSpaceDN w:val="0"/>
        <w:adjustRightInd w:val="0"/>
        <w:rPr>
          <w:rFonts w:ascii="Calibri" w:hAnsi="Calibri" w:cs="Arial"/>
          <w:sz w:val="21"/>
          <w:szCs w:val="21"/>
          <w:lang w:val="es-ES_tradnl" w:eastAsia="en-US"/>
        </w:rPr>
      </w:pPr>
    </w:p>
    <w:p w:rsidR="008C443A" w:rsidRPr="009A577D" w:rsidRDefault="008C443A" w:rsidP="00B72BE6">
      <w:pPr>
        <w:autoSpaceDE w:val="0"/>
        <w:autoSpaceDN w:val="0"/>
        <w:adjustRightInd w:val="0"/>
        <w:jc w:val="center"/>
        <w:rPr>
          <w:rFonts w:ascii="Calibri" w:hAnsi="Calibri" w:cs="Arial"/>
          <w:sz w:val="22"/>
          <w:szCs w:val="22"/>
          <w:lang w:eastAsia="en-US"/>
        </w:rPr>
      </w:pPr>
      <w:r w:rsidRPr="009A577D">
        <w:rPr>
          <w:rFonts w:ascii="Calibri" w:hAnsi="Calibri" w:cs="Arial"/>
          <w:sz w:val="22"/>
          <w:szCs w:val="22"/>
          <w:lang w:eastAsia="en-US"/>
        </w:rPr>
        <w:t xml:space="preserve">Gustavo  Quito  Mendieta,  Iván  Patricio  Durazno </w:t>
      </w:r>
    </w:p>
    <w:p w:rsidR="008C443A" w:rsidRPr="00F96B3E" w:rsidRDefault="00F96B3E" w:rsidP="00B72BE6">
      <w:pPr>
        <w:autoSpaceDE w:val="0"/>
        <w:autoSpaceDN w:val="0"/>
        <w:adjustRightInd w:val="0"/>
        <w:jc w:val="center"/>
        <w:rPr>
          <w:rFonts w:ascii="Calibri" w:hAnsi="Calibri" w:cs="Arial"/>
          <w:color w:val="002060"/>
          <w:sz w:val="22"/>
          <w:szCs w:val="22"/>
          <w:highlight w:val="black"/>
          <w:lang w:eastAsia="en-US"/>
        </w:rPr>
      </w:pPr>
      <w:proofErr w:type="spellStart"/>
      <w:proofErr w:type="gramStart"/>
      <w:r w:rsidRPr="00F96B3E">
        <w:rPr>
          <w:rFonts w:ascii="Calibri" w:hAnsi="Calibri" w:cs="Arial"/>
          <w:color w:val="002060"/>
          <w:sz w:val="22"/>
          <w:szCs w:val="22"/>
          <w:highlight w:val="black"/>
          <w:lang w:eastAsia="en-US"/>
        </w:rPr>
        <w:t>xxxxxxxxxxxxx</w:t>
      </w:r>
      <w:proofErr w:type="spellEnd"/>
      <w:proofErr w:type="gramEnd"/>
    </w:p>
    <w:p w:rsidR="008C443A" w:rsidRPr="00F96B3E" w:rsidRDefault="00F96B3E" w:rsidP="00B72BE6">
      <w:pPr>
        <w:autoSpaceDE w:val="0"/>
        <w:autoSpaceDN w:val="0"/>
        <w:adjustRightInd w:val="0"/>
        <w:jc w:val="center"/>
        <w:rPr>
          <w:rFonts w:ascii="Calibri" w:hAnsi="Calibri" w:cs="Arial"/>
          <w:color w:val="002060"/>
          <w:sz w:val="22"/>
          <w:szCs w:val="22"/>
          <w:highlight w:val="black"/>
          <w:lang w:val="es-ES_tradnl" w:eastAsia="en-US"/>
        </w:rPr>
      </w:pPr>
      <w:proofErr w:type="spellStart"/>
      <w:proofErr w:type="gramStart"/>
      <w:r w:rsidRPr="00F96B3E">
        <w:rPr>
          <w:rFonts w:ascii="Calibri" w:hAnsi="Calibri" w:cs="Arial"/>
          <w:color w:val="002060"/>
          <w:sz w:val="22"/>
          <w:szCs w:val="22"/>
          <w:highlight w:val="black"/>
          <w:lang w:val="es-ES_tradnl" w:eastAsia="en-US"/>
        </w:rPr>
        <w:t>xxxxxxxxxxxxxxxxx</w:t>
      </w:r>
      <w:proofErr w:type="spellEnd"/>
      <w:proofErr w:type="gramEnd"/>
    </w:p>
    <w:p w:rsidR="008C443A" w:rsidRPr="00F96B3E" w:rsidRDefault="003C7C96" w:rsidP="00A32C05">
      <w:pPr>
        <w:autoSpaceDE w:val="0"/>
        <w:autoSpaceDN w:val="0"/>
        <w:adjustRightInd w:val="0"/>
        <w:jc w:val="center"/>
        <w:rPr>
          <w:rFonts w:ascii="Calibri" w:hAnsi="Calibri" w:cs="Arial"/>
          <w:color w:val="002060"/>
          <w:sz w:val="22"/>
          <w:szCs w:val="22"/>
          <w:lang w:val="es-ES_tradnl" w:eastAsia="en-US"/>
        </w:rPr>
      </w:pPr>
      <w:hyperlink r:id="rId10" w:history="1">
        <w:proofErr w:type="spellStart"/>
        <w:proofErr w:type="gramStart"/>
        <w:r w:rsidR="00F96B3E" w:rsidRPr="00F96B3E">
          <w:rPr>
            <w:rStyle w:val="Hyperlink"/>
            <w:rFonts w:ascii="Calibri" w:hAnsi="Calibri" w:cs="Arial"/>
            <w:color w:val="002060"/>
            <w:sz w:val="22"/>
            <w:szCs w:val="22"/>
            <w:highlight w:val="black"/>
            <w:lang w:val="es-ES_tradnl" w:eastAsia="en-US"/>
          </w:rPr>
          <w:t>xxxxxxxxxxxxxxxxxxxxxxxxxxxxxxxxxxxx</w:t>
        </w:r>
        <w:proofErr w:type="spellEnd"/>
        <w:proofErr w:type="gramEnd"/>
      </w:hyperlink>
    </w:p>
    <w:p w:rsidR="008C443A" w:rsidRDefault="008C443A" w:rsidP="00192EAA">
      <w:pPr>
        <w:autoSpaceDE w:val="0"/>
        <w:autoSpaceDN w:val="0"/>
        <w:adjustRightInd w:val="0"/>
        <w:rPr>
          <w:rFonts w:ascii="Calibri" w:hAnsi="Calibri" w:cs="Arial"/>
          <w:sz w:val="22"/>
          <w:szCs w:val="22"/>
          <w:lang w:val="es-ES_tradnl" w:eastAsia="en-US"/>
        </w:rPr>
      </w:pPr>
    </w:p>
    <w:p w:rsidR="008C443A" w:rsidRDefault="008C443A" w:rsidP="00A6420D">
      <w:pPr>
        <w:autoSpaceDE w:val="0"/>
        <w:autoSpaceDN w:val="0"/>
        <w:adjustRightInd w:val="0"/>
        <w:jc w:val="both"/>
        <w:rPr>
          <w:rFonts w:ascii="Calibri" w:hAnsi="Calibri" w:cs="Arial"/>
          <w:sz w:val="22"/>
          <w:szCs w:val="22"/>
          <w:lang w:val="es-ES_tradnl" w:eastAsia="en-US"/>
        </w:rPr>
      </w:pPr>
      <w:r>
        <w:rPr>
          <w:rFonts w:ascii="Calibri" w:hAnsi="Calibri" w:cs="Arial"/>
          <w:sz w:val="22"/>
          <w:szCs w:val="22"/>
          <w:lang w:val="es-ES_tradnl" w:eastAsia="en-US"/>
        </w:rPr>
        <w:tab/>
        <w:t>Asimismo, la Comisión pone en conocimiento de la Corte que tras la notificación del informe de fondo, se han recibido comunicaciones directamente de TGGL y su madre desde el siguiente correo electrónico:</w:t>
      </w:r>
    </w:p>
    <w:p w:rsidR="008C443A" w:rsidRPr="00E35D01" w:rsidRDefault="008C443A" w:rsidP="00192EAA">
      <w:pPr>
        <w:autoSpaceDE w:val="0"/>
        <w:autoSpaceDN w:val="0"/>
        <w:adjustRightInd w:val="0"/>
        <w:rPr>
          <w:rFonts w:ascii="Calibri" w:hAnsi="Calibri" w:cs="Arial"/>
          <w:sz w:val="22"/>
          <w:szCs w:val="22"/>
          <w:lang w:val="es-ES_tradnl" w:eastAsia="en-US"/>
        </w:rPr>
      </w:pPr>
    </w:p>
    <w:p w:rsidR="008C443A" w:rsidRPr="003C7C96" w:rsidRDefault="003C7C96" w:rsidP="00E35D01">
      <w:pPr>
        <w:autoSpaceDE w:val="0"/>
        <w:autoSpaceDN w:val="0"/>
        <w:adjustRightInd w:val="0"/>
        <w:jc w:val="center"/>
        <w:rPr>
          <w:rFonts w:ascii="Calibri" w:hAnsi="Calibri" w:cs="Arial"/>
          <w:color w:val="002060"/>
          <w:sz w:val="22"/>
          <w:szCs w:val="22"/>
          <w:lang w:val="es-ES_tradnl" w:eastAsia="en-US"/>
        </w:rPr>
      </w:pPr>
      <w:hyperlink r:id="rId11" w:tooltip="mailto:teresalluy@yahoo.es" w:history="1">
        <w:proofErr w:type="spellStart"/>
        <w:proofErr w:type="gramStart"/>
        <w:r w:rsidR="00F96B3E" w:rsidRPr="003C7C96">
          <w:rPr>
            <w:rStyle w:val="Hyperlink"/>
            <w:rFonts w:ascii="Calibri" w:hAnsi="Calibri" w:cs="Tahoma"/>
            <w:color w:val="002060"/>
            <w:sz w:val="22"/>
            <w:szCs w:val="22"/>
            <w:highlight w:val="black"/>
          </w:rPr>
          <w:t>xxxxxxxxxxxxxxxxxxxxxxxxxxxx</w:t>
        </w:r>
        <w:proofErr w:type="spellEnd"/>
        <w:proofErr w:type="gramEnd"/>
      </w:hyperlink>
    </w:p>
    <w:p w:rsidR="008C443A" w:rsidRPr="009433F4" w:rsidRDefault="008C443A" w:rsidP="00192EAA">
      <w:pPr>
        <w:autoSpaceDE w:val="0"/>
        <w:autoSpaceDN w:val="0"/>
        <w:adjustRightInd w:val="0"/>
        <w:rPr>
          <w:rFonts w:ascii="Calibri" w:hAnsi="Calibri" w:cs="Arial"/>
          <w:sz w:val="21"/>
          <w:szCs w:val="21"/>
          <w:lang w:val="es-ES_tradnl" w:eastAsia="en-US"/>
        </w:rPr>
      </w:pPr>
    </w:p>
    <w:p w:rsidR="008C443A" w:rsidRPr="009433F4" w:rsidRDefault="008C443A" w:rsidP="00763BE6">
      <w:pPr>
        <w:tabs>
          <w:tab w:val="left" w:pos="0"/>
        </w:tabs>
        <w:ind w:firstLine="720"/>
        <w:jc w:val="both"/>
        <w:rPr>
          <w:rFonts w:ascii="Calibri" w:hAnsi="Calibri" w:cs="Arial"/>
          <w:sz w:val="22"/>
          <w:szCs w:val="22"/>
          <w:lang w:val="es-CO"/>
        </w:rPr>
      </w:pPr>
      <w:r w:rsidRPr="009433F4">
        <w:rPr>
          <w:rFonts w:ascii="Calibri" w:hAnsi="Calibri" w:cs="Arial"/>
          <w:sz w:val="22"/>
          <w:szCs w:val="22"/>
          <w:lang w:val="es-CO"/>
        </w:rPr>
        <w:t>Aprovecho la oportunidad para saludar a usted mu</w:t>
      </w:r>
      <w:bookmarkStart w:id="2" w:name="_GoBack"/>
      <w:bookmarkEnd w:id="2"/>
      <w:r w:rsidRPr="009433F4">
        <w:rPr>
          <w:rFonts w:ascii="Calibri" w:hAnsi="Calibri" w:cs="Arial"/>
          <w:sz w:val="22"/>
          <w:szCs w:val="22"/>
          <w:lang w:val="es-CO"/>
        </w:rPr>
        <w:t>y atentamente,</w:t>
      </w:r>
    </w:p>
    <w:p w:rsidR="008C443A" w:rsidRPr="009433F4" w:rsidRDefault="008C443A" w:rsidP="00763BE6">
      <w:pPr>
        <w:tabs>
          <w:tab w:val="left" w:pos="0"/>
        </w:tabs>
        <w:ind w:left="5040" w:firstLine="720"/>
        <w:jc w:val="center"/>
        <w:rPr>
          <w:rFonts w:ascii="Calibri" w:hAnsi="Calibri" w:cs="Arial"/>
          <w:sz w:val="22"/>
          <w:szCs w:val="22"/>
          <w:lang w:val="es-CO"/>
        </w:rPr>
      </w:pPr>
    </w:p>
    <w:p w:rsidR="008C443A" w:rsidRDefault="008C443A" w:rsidP="00763BE6">
      <w:pPr>
        <w:tabs>
          <w:tab w:val="left" w:pos="0"/>
        </w:tabs>
        <w:ind w:left="5040" w:firstLine="720"/>
        <w:jc w:val="center"/>
        <w:rPr>
          <w:rFonts w:ascii="Calibri" w:hAnsi="Calibri" w:cs="Arial"/>
          <w:sz w:val="22"/>
          <w:szCs w:val="22"/>
          <w:lang w:val="es-CO"/>
        </w:rPr>
      </w:pPr>
    </w:p>
    <w:p w:rsidR="008C443A" w:rsidRPr="00F96B3E" w:rsidRDefault="00F96B3E" w:rsidP="00763BE6">
      <w:pPr>
        <w:tabs>
          <w:tab w:val="left" w:pos="0"/>
        </w:tabs>
        <w:ind w:left="5040" w:firstLine="720"/>
        <w:jc w:val="center"/>
        <w:rPr>
          <w:rFonts w:ascii="Calibri" w:hAnsi="Calibri" w:cs="Arial"/>
          <w:i/>
          <w:color w:val="A6A6A6" w:themeColor="background1" w:themeShade="A6"/>
          <w:sz w:val="22"/>
          <w:szCs w:val="22"/>
          <w:lang w:val="es-CO"/>
        </w:rPr>
      </w:pPr>
      <w:r w:rsidRPr="00F96B3E">
        <w:rPr>
          <w:rFonts w:ascii="Calibri" w:hAnsi="Calibri" w:cs="Arial"/>
          <w:i/>
          <w:color w:val="A6A6A6" w:themeColor="background1" w:themeShade="A6"/>
          <w:sz w:val="22"/>
          <w:szCs w:val="22"/>
          <w:lang w:val="es-CO"/>
        </w:rPr>
        <w:t>Firmado en el original</w:t>
      </w:r>
    </w:p>
    <w:p w:rsidR="008C443A" w:rsidRDefault="008C443A" w:rsidP="00763BE6">
      <w:pPr>
        <w:tabs>
          <w:tab w:val="left" w:pos="0"/>
        </w:tabs>
        <w:ind w:left="5040" w:firstLine="720"/>
        <w:jc w:val="center"/>
        <w:rPr>
          <w:rFonts w:ascii="Calibri" w:hAnsi="Calibri" w:cs="Arial"/>
          <w:sz w:val="22"/>
          <w:szCs w:val="22"/>
          <w:lang w:val="es-CO"/>
        </w:rPr>
      </w:pPr>
    </w:p>
    <w:p w:rsidR="008C443A" w:rsidRPr="009433F4" w:rsidRDefault="008C443A" w:rsidP="00763BE6">
      <w:pPr>
        <w:tabs>
          <w:tab w:val="left" w:pos="0"/>
        </w:tabs>
        <w:ind w:left="5040" w:firstLine="720"/>
        <w:jc w:val="center"/>
        <w:rPr>
          <w:rFonts w:ascii="Calibri" w:hAnsi="Calibri" w:cs="Arial"/>
          <w:sz w:val="22"/>
          <w:szCs w:val="22"/>
          <w:lang w:val="es-CO"/>
        </w:rPr>
      </w:pPr>
      <w:r>
        <w:rPr>
          <w:rFonts w:ascii="Calibri" w:hAnsi="Calibri" w:cs="Arial"/>
          <w:sz w:val="22"/>
          <w:szCs w:val="22"/>
          <w:lang w:val="es-CO"/>
        </w:rPr>
        <w:t xml:space="preserve">Emilio </w:t>
      </w:r>
      <w:r w:rsidRPr="00611C5D">
        <w:rPr>
          <w:rFonts w:ascii="Calibri" w:hAnsi="Calibri" w:cs="Arial"/>
          <w:sz w:val="22"/>
          <w:szCs w:val="22"/>
          <w:lang w:val="es-CL"/>
        </w:rPr>
        <w:t>Á</w:t>
      </w:r>
      <w:proofErr w:type="spellStart"/>
      <w:r>
        <w:rPr>
          <w:rFonts w:ascii="Calibri" w:hAnsi="Calibri" w:cs="Arial"/>
          <w:sz w:val="22"/>
          <w:szCs w:val="22"/>
          <w:lang w:val="es-CO"/>
        </w:rPr>
        <w:t>lvarez</w:t>
      </w:r>
      <w:proofErr w:type="spellEnd"/>
      <w:r>
        <w:rPr>
          <w:rFonts w:ascii="Calibri" w:hAnsi="Calibri" w:cs="Arial"/>
          <w:sz w:val="22"/>
          <w:szCs w:val="22"/>
          <w:lang w:val="es-CO"/>
        </w:rPr>
        <w:t xml:space="preserve"> Icaza L. </w:t>
      </w:r>
    </w:p>
    <w:p w:rsidR="008C443A" w:rsidRPr="009433F4" w:rsidRDefault="008C443A" w:rsidP="00763BE6">
      <w:pPr>
        <w:tabs>
          <w:tab w:val="left" w:pos="0"/>
          <w:tab w:val="left" w:pos="5760"/>
        </w:tabs>
        <w:ind w:left="5040" w:firstLine="720"/>
        <w:jc w:val="center"/>
        <w:rPr>
          <w:rFonts w:ascii="Calibri" w:hAnsi="Calibri"/>
        </w:rPr>
      </w:pPr>
      <w:r w:rsidRPr="009433F4">
        <w:rPr>
          <w:rFonts w:ascii="Calibri" w:hAnsi="Calibri" w:cs="Arial"/>
          <w:sz w:val="22"/>
          <w:szCs w:val="22"/>
        </w:rPr>
        <w:t>Secretari</w:t>
      </w:r>
      <w:r>
        <w:rPr>
          <w:rFonts w:ascii="Calibri" w:hAnsi="Calibri" w:cs="Arial"/>
          <w:sz w:val="22"/>
          <w:szCs w:val="22"/>
        </w:rPr>
        <w:t>o</w:t>
      </w:r>
      <w:r w:rsidRPr="009433F4">
        <w:rPr>
          <w:rFonts w:ascii="Calibri" w:hAnsi="Calibri" w:cs="Arial"/>
          <w:sz w:val="22"/>
          <w:szCs w:val="22"/>
        </w:rPr>
        <w:t xml:space="preserve"> Ejecuti</w:t>
      </w:r>
      <w:r>
        <w:rPr>
          <w:rFonts w:ascii="Calibri" w:hAnsi="Calibri" w:cs="Arial"/>
          <w:sz w:val="22"/>
          <w:szCs w:val="22"/>
        </w:rPr>
        <w:t>vo</w:t>
      </w:r>
    </w:p>
    <w:p w:rsidR="008C443A" w:rsidRDefault="008C443A" w:rsidP="00763BE6"/>
    <w:p w:rsidR="008C443A" w:rsidRDefault="008C443A"/>
    <w:sectPr w:rsidR="008C443A" w:rsidSect="00344487">
      <w:headerReference w:type="default" r:id="rId12"/>
      <w:pgSz w:w="12240" w:h="15840" w:code="1"/>
      <w:pgMar w:top="720" w:right="1440" w:bottom="90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3A" w:rsidRDefault="008C443A" w:rsidP="00763BE6">
      <w:r>
        <w:separator/>
      </w:r>
    </w:p>
  </w:endnote>
  <w:endnote w:type="continuationSeparator" w:id="0">
    <w:p w:rsidR="008C443A" w:rsidRDefault="008C443A" w:rsidP="0076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libri">
    <w:altName w:val="Times New Roman"/>
    <w:panose1 w:val="00000000000000000000"/>
    <w:charset w:val="4D"/>
    <w:family w:val="roman"/>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3A" w:rsidRDefault="008C443A" w:rsidP="00763BE6">
      <w:r>
        <w:separator/>
      </w:r>
    </w:p>
  </w:footnote>
  <w:footnote w:type="continuationSeparator" w:id="0">
    <w:p w:rsidR="008C443A" w:rsidRDefault="008C443A" w:rsidP="00763BE6">
      <w:r>
        <w:continuationSeparator/>
      </w:r>
    </w:p>
  </w:footnote>
  <w:footnote w:id="1">
    <w:p w:rsidR="008C443A" w:rsidRDefault="008C443A" w:rsidP="00EF3197">
      <w:pPr>
        <w:pStyle w:val="FootnoteText"/>
        <w:jc w:val="both"/>
      </w:pPr>
      <w:r w:rsidRPr="000659B0">
        <w:rPr>
          <w:rStyle w:val="FootnoteReference"/>
          <w:rFonts w:ascii="Calibri" w:hAnsi="Calibri"/>
          <w:sz w:val="18"/>
          <w:szCs w:val="18"/>
        </w:rPr>
        <w:footnoteRef/>
      </w:r>
      <w:r w:rsidRPr="000659B0">
        <w:rPr>
          <w:rFonts w:ascii="Calibri" w:hAnsi="Calibri"/>
          <w:sz w:val="18"/>
          <w:szCs w:val="18"/>
        </w:rPr>
        <w:t xml:space="preserve"> Tal como indicó la Comisión en su informe sobre admisibilidad, a pesar de no haber sido expresamente solicitado por los peticionarios, se dispuso la reserva de identidad de la </w:t>
      </w:r>
      <w:r>
        <w:rPr>
          <w:rFonts w:ascii="Calibri" w:hAnsi="Calibri"/>
          <w:sz w:val="18"/>
          <w:szCs w:val="18"/>
        </w:rPr>
        <w:t xml:space="preserve">entonces </w:t>
      </w:r>
      <w:r w:rsidRPr="000659B0">
        <w:rPr>
          <w:rFonts w:ascii="Calibri" w:hAnsi="Calibri"/>
          <w:sz w:val="18"/>
          <w:szCs w:val="18"/>
        </w:rPr>
        <w:t>presunta víctima por tratarse de una niña. Asimismo, con el fin de brindar mayor protección, se dispuso también la reserva de identidad de la madre de TGGL y de los donantes de sangre.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3A" w:rsidRDefault="008C443A">
    <w:pPr>
      <w:pStyle w:val="Header"/>
    </w:pPr>
  </w:p>
  <w:p w:rsidR="008C443A" w:rsidRDefault="008C443A" w:rsidP="00344487">
    <w:pPr>
      <w:pStyle w:val="Header"/>
      <w:jc w:val="center"/>
    </w:pPr>
    <w:r>
      <w:rPr>
        <w:rStyle w:val="PageNumber"/>
      </w:rPr>
      <w:fldChar w:fldCharType="begin"/>
    </w:r>
    <w:r>
      <w:rPr>
        <w:rStyle w:val="PageNumber"/>
      </w:rPr>
      <w:instrText xml:space="preserve"> PAGE </w:instrText>
    </w:r>
    <w:r>
      <w:rPr>
        <w:rStyle w:val="PageNumber"/>
      </w:rPr>
      <w:fldChar w:fldCharType="separate"/>
    </w:r>
    <w:r w:rsidR="003C7C96">
      <w:rPr>
        <w:rStyle w:val="PageNumber"/>
        <w:noProof/>
      </w:rPr>
      <w:t>3</w:t>
    </w:r>
    <w:r>
      <w:rPr>
        <w:rStyle w:val="PageNumber"/>
      </w:rPr>
      <w:fldChar w:fldCharType="end"/>
    </w:r>
  </w:p>
  <w:p w:rsidR="008C443A" w:rsidRDefault="008C4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7DE2"/>
    <w:multiLevelType w:val="hybridMultilevel"/>
    <w:tmpl w:val="583A020C"/>
    <w:lvl w:ilvl="0" w:tplc="E9D41320">
      <w:start w:val="1"/>
      <w:numFmt w:val="decimal"/>
      <w:lvlText w:val="%1."/>
      <w:lvlJc w:val="left"/>
      <w:pPr>
        <w:tabs>
          <w:tab w:val="num" w:pos="1260"/>
        </w:tabs>
        <w:ind w:left="1260" w:hanging="360"/>
      </w:pPr>
      <w:rPr>
        <w:rFonts w:ascii="Calibri" w:hAnsi="Calibri"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210643E"/>
    <w:multiLevelType w:val="hybridMultilevel"/>
    <w:tmpl w:val="1A7C4672"/>
    <w:lvl w:ilvl="0" w:tplc="D4E8763A">
      <w:start w:val="1"/>
      <w:numFmt w:val="decimal"/>
      <w:lvlText w:val="%1."/>
      <w:lvlJc w:val="left"/>
      <w:pPr>
        <w:tabs>
          <w:tab w:val="num" w:pos="810"/>
        </w:tabs>
        <w:ind w:left="81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36C0C50"/>
    <w:multiLevelType w:val="hybridMultilevel"/>
    <w:tmpl w:val="B844A0C8"/>
    <w:lvl w:ilvl="0" w:tplc="A82C2B68">
      <w:start w:val="1"/>
      <w:numFmt w:val="decimal"/>
      <w:lvlText w:val="%1."/>
      <w:lvlJc w:val="left"/>
      <w:pPr>
        <w:tabs>
          <w:tab w:val="num" w:pos="1980"/>
        </w:tabs>
        <w:ind w:left="1980" w:hanging="12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E6"/>
    <w:rsid w:val="00027EF8"/>
    <w:rsid w:val="000371AE"/>
    <w:rsid w:val="00037751"/>
    <w:rsid w:val="00062F79"/>
    <w:rsid w:val="000659B0"/>
    <w:rsid w:val="00074C92"/>
    <w:rsid w:val="00096522"/>
    <w:rsid w:val="000B3543"/>
    <w:rsid w:val="000E1C6F"/>
    <w:rsid w:val="00102AD4"/>
    <w:rsid w:val="00110CB4"/>
    <w:rsid w:val="00122375"/>
    <w:rsid w:val="00125867"/>
    <w:rsid w:val="0013645A"/>
    <w:rsid w:val="00136D90"/>
    <w:rsid w:val="00153F77"/>
    <w:rsid w:val="00191CB2"/>
    <w:rsid w:val="00192EAA"/>
    <w:rsid w:val="001B13F5"/>
    <w:rsid w:val="001F6BB0"/>
    <w:rsid w:val="0022723B"/>
    <w:rsid w:val="002279DD"/>
    <w:rsid w:val="00233F00"/>
    <w:rsid w:val="00270A78"/>
    <w:rsid w:val="002750CE"/>
    <w:rsid w:val="002753F1"/>
    <w:rsid w:val="00275457"/>
    <w:rsid w:val="00285AFC"/>
    <w:rsid w:val="002938AC"/>
    <w:rsid w:val="002A178E"/>
    <w:rsid w:val="002A6C24"/>
    <w:rsid w:val="002B3785"/>
    <w:rsid w:val="002B64ED"/>
    <w:rsid w:val="002B72BB"/>
    <w:rsid w:val="002C0AF9"/>
    <w:rsid w:val="00312D61"/>
    <w:rsid w:val="0031388A"/>
    <w:rsid w:val="0031652C"/>
    <w:rsid w:val="00323CDD"/>
    <w:rsid w:val="003257BA"/>
    <w:rsid w:val="00326DC5"/>
    <w:rsid w:val="003346A1"/>
    <w:rsid w:val="00344487"/>
    <w:rsid w:val="00346A14"/>
    <w:rsid w:val="00351871"/>
    <w:rsid w:val="00352759"/>
    <w:rsid w:val="00360F7C"/>
    <w:rsid w:val="00373B1C"/>
    <w:rsid w:val="0037603E"/>
    <w:rsid w:val="003B38C9"/>
    <w:rsid w:val="003C7C96"/>
    <w:rsid w:val="003E763F"/>
    <w:rsid w:val="003F5F9D"/>
    <w:rsid w:val="00427E3D"/>
    <w:rsid w:val="00433F62"/>
    <w:rsid w:val="00447DD6"/>
    <w:rsid w:val="00462195"/>
    <w:rsid w:val="0047001B"/>
    <w:rsid w:val="0047281D"/>
    <w:rsid w:val="00475C09"/>
    <w:rsid w:val="004A3A5B"/>
    <w:rsid w:val="004B3193"/>
    <w:rsid w:val="004C3AF4"/>
    <w:rsid w:val="004C496F"/>
    <w:rsid w:val="004C7D0C"/>
    <w:rsid w:val="005029FF"/>
    <w:rsid w:val="00565819"/>
    <w:rsid w:val="00573852"/>
    <w:rsid w:val="005774A2"/>
    <w:rsid w:val="00585697"/>
    <w:rsid w:val="0059542F"/>
    <w:rsid w:val="005B3774"/>
    <w:rsid w:val="005B4599"/>
    <w:rsid w:val="005C4053"/>
    <w:rsid w:val="005D6A87"/>
    <w:rsid w:val="005F5F2B"/>
    <w:rsid w:val="006000FF"/>
    <w:rsid w:val="00603E74"/>
    <w:rsid w:val="00611C5D"/>
    <w:rsid w:val="00617A94"/>
    <w:rsid w:val="00635884"/>
    <w:rsid w:val="006665F6"/>
    <w:rsid w:val="00670AA9"/>
    <w:rsid w:val="006C3A74"/>
    <w:rsid w:val="006C495A"/>
    <w:rsid w:val="006F3515"/>
    <w:rsid w:val="0073409F"/>
    <w:rsid w:val="00752580"/>
    <w:rsid w:val="00762E42"/>
    <w:rsid w:val="00763BE6"/>
    <w:rsid w:val="00767714"/>
    <w:rsid w:val="00767B14"/>
    <w:rsid w:val="0078224A"/>
    <w:rsid w:val="00793321"/>
    <w:rsid w:val="007A23BC"/>
    <w:rsid w:val="007A43D7"/>
    <w:rsid w:val="007A54E6"/>
    <w:rsid w:val="007B4C8A"/>
    <w:rsid w:val="007B70D8"/>
    <w:rsid w:val="007D58D9"/>
    <w:rsid w:val="007E2573"/>
    <w:rsid w:val="007E411D"/>
    <w:rsid w:val="007F45B0"/>
    <w:rsid w:val="007F7ADC"/>
    <w:rsid w:val="00805AD1"/>
    <w:rsid w:val="00823A29"/>
    <w:rsid w:val="00855ADE"/>
    <w:rsid w:val="00857496"/>
    <w:rsid w:val="008C443A"/>
    <w:rsid w:val="009122DC"/>
    <w:rsid w:val="009433F4"/>
    <w:rsid w:val="00967647"/>
    <w:rsid w:val="00974137"/>
    <w:rsid w:val="009A577D"/>
    <w:rsid w:val="009A6601"/>
    <w:rsid w:val="009B01FD"/>
    <w:rsid w:val="009E10BA"/>
    <w:rsid w:val="00A13E58"/>
    <w:rsid w:val="00A32C05"/>
    <w:rsid w:val="00A331B7"/>
    <w:rsid w:val="00A33616"/>
    <w:rsid w:val="00A50EB3"/>
    <w:rsid w:val="00A52262"/>
    <w:rsid w:val="00A63BFD"/>
    <w:rsid w:val="00A6420D"/>
    <w:rsid w:val="00AB6636"/>
    <w:rsid w:val="00AC51E2"/>
    <w:rsid w:val="00AF2A47"/>
    <w:rsid w:val="00AF4F5B"/>
    <w:rsid w:val="00AF508D"/>
    <w:rsid w:val="00B50BCE"/>
    <w:rsid w:val="00B51E23"/>
    <w:rsid w:val="00B610AB"/>
    <w:rsid w:val="00B72BE6"/>
    <w:rsid w:val="00B741B8"/>
    <w:rsid w:val="00BD3BFA"/>
    <w:rsid w:val="00BE1857"/>
    <w:rsid w:val="00BF3527"/>
    <w:rsid w:val="00C10B13"/>
    <w:rsid w:val="00C23C50"/>
    <w:rsid w:val="00C43C05"/>
    <w:rsid w:val="00C555D2"/>
    <w:rsid w:val="00C56050"/>
    <w:rsid w:val="00C571B7"/>
    <w:rsid w:val="00C8392A"/>
    <w:rsid w:val="00C864B4"/>
    <w:rsid w:val="00C92FB4"/>
    <w:rsid w:val="00C95B32"/>
    <w:rsid w:val="00CB674A"/>
    <w:rsid w:val="00CD046B"/>
    <w:rsid w:val="00CD77EB"/>
    <w:rsid w:val="00CE31E8"/>
    <w:rsid w:val="00D00B7E"/>
    <w:rsid w:val="00D0610E"/>
    <w:rsid w:val="00D15C1D"/>
    <w:rsid w:val="00D23938"/>
    <w:rsid w:val="00D36009"/>
    <w:rsid w:val="00D56C3E"/>
    <w:rsid w:val="00D60159"/>
    <w:rsid w:val="00D67B57"/>
    <w:rsid w:val="00D823DC"/>
    <w:rsid w:val="00D85050"/>
    <w:rsid w:val="00DB3D46"/>
    <w:rsid w:val="00DD3F8F"/>
    <w:rsid w:val="00DD762E"/>
    <w:rsid w:val="00DD7DD8"/>
    <w:rsid w:val="00DE2886"/>
    <w:rsid w:val="00DF1FDC"/>
    <w:rsid w:val="00E236C9"/>
    <w:rsid w:val="00E35D01"/>
    <w:rsid w:val="00E505C5"/>
    <w:rsid w:val="00E520DA"/>
    <w:rsid w:val="00E6708E"/>
    <w:rsid w:val="00E678D9"/>
    <w:rsid w:val="00E72CCF"/>
    <w:rsid w:val="00E812FD"/>
    <w:rsid w:val="00E90962"/>
    <w:rsid w:val="00E92E9D"/>
    <w:rsid w:val="00EA6A80"/>
    <w:rsid w:val="00EC48ED"/>
    <w:rsid w:val="00ED5FCE"/>
    <w:rsid w:val="00EF3197"/>
    <w:rsid w:val="00F15B92"/>
    <w:rsid w:val="00F64692"/>
    <w:rsid w:val="00F6519E"/>
    <w:rsid w:val="00F70CA0"/>
    <w:rsid w:val="00F96B3E"/>
    <w:rsid w:val="00FB45B4"/>
    <w:rsid w:val="00FC0478"/>
    <w:rsid w:val="00FD0DC0"/>
    <w:rsid w:val="00FD2122"/>
    <w:rsid w:val="00FF0B47"/>
    <w:rsid w:val="00FF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E6"/>
    <w:rPr>
      <w:rFonts w:ascii="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BE6"/>
    <w:pPr>
      <w:tabs>
        <w:tab w:val="center" w:pos="4320"/>
        <w:tab w:val="right" w:pos="8640"/>
      </w:tabs>
    </w:pPr>
  </w:style>
  <w:style w:type="character" w:customStyle="1" w:styleId="HeaderChar">
    <w:name w:val="Header Char"/>
    <w:basedOn w:val="DefaultParagraphFont"/>
    <w:link w:val="Header"/>
    <w:uiPriority w:val="99"/>
    <w:locked/>
    <w:rsid w:val="00763BE6"/>
    <w:rPr>
      <w:rFonts w:ascii="Times New Roman" w:hAnsi="Times New Roman" w:cs="Times New Roman"/>
      <w:lang w:val="es-ES" w:eastAsia="es-ES"/>
    </w:rPr>
  </w:style>
  <w:style w:type="character" w:styleId="PageNumber">
    <w:name w:val="page number"/>
    <w:basedOn w:val="DefaultParagraphFont"/>
    <w:uiPriority w:val="99"/>
    <w:rsid w:val="00763BE6"/>
    <w:rPr>
      <w:rFonts w:cs="Times New Roman"/>
    </w:rPr>
  </w:style>
  <w:style w:type="paragraph" w:customStyle="1" w:styleId="Default">
    <w:name w:val="Default"/>
    <w:uiPriority w:val="99"/>
    <w:rsid w:val="00763BE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763BE6"/>
    <w:rPr>
      <w:sz w:val="20"/>
      <w:szCs w:val="20"/>
    </w:rPr>
  </w:style>
  <w:style w:type="character" w:customStyle="1" w:styleId="FootnoteTextChar">
    <w:name w:val="Footnote Text Char"/>
    <w:basedOn w:val="DefaultParagraphFont"/>
    <w:link w:val="FootnoteText"/>
    <w:uiPriority w:val="99"/>
    <w:semiHidden/>
    <w:locked/>
    <w:rsid w:val="00763BE6"/>
    <w:rPr>
      <w:rFonts w:ascii="Times New Roman" w:hAnsi="Times New Roman" w:cs="Times New Roman"/>
      <w:sz w:val="20"/>
      <w:szCs w:val="20"/>
      <w:lang w:val="es-ES" w:eastAsia="es-ES"/>
    </w:rPr>
  </w:style>
  <w:style w:type="character" w:styleId="FootnoteReference">
    <w:name w:val="footnote reference"/>
    <w:basedOn w:val="DefaultParagraphFont"/>
    <w:uiPriority w:val="99"/>
    <w:semiHidden/>
    <w:rsid w:val="00763BE6"/>
    <w:rPr>
      <w:rFonts w:cs="Times New Roman"/>
      <w:vertAlign w:val="superscript"/>
    </w:rPr>
  </w:style>
  <w:style w:type="paragraph" w:styleId="BodyText3">
    <w:name w:val="Body Text 3"/>
    <w:basedOn w:val="Normal"/>
    <w:link w:val="BodyText3Char"/>
    <w:uiPriority w:val="99"/>
    <w:rsid w:val="00F6519E"/>
    <w:pPr>
      <w:spacing w:after="120"/>
    </w:pPr>
    <w:rPr>
      <w:rFonts w:ascii="Univers" w:hAnsi="Univers"/>
      <w:sz w:val="16"/>
      <w:szCs w:val="16"/>
      <w:lang w:val="es-ES_tradnl" w:eastAsia="en-US"/>
    </w:rPr>
  </w:style>
  <w:style w:type="character" w:customStyle="1" w:styleId="BodyText3Char">
    <w:name w:val="Body Text 3 Char"/>
    <w:basedOn w:val="DefaultParagraphFont"/>
    <w:link w:val="BodyText3"/>
    <w:uiPriority w:val="99"/>
    <w:locked/>
    <w:rsid w:val="00F6519E"/>
    <w:rPr>
      <w:rFonts w:ascii="Univers" w:hAnsi="Univers" w:cs="Times New Roman"/>
      <w:sz w:val="16"/>
      <w:szCs w:val="16"/>
      <w:lang w:val="es-ES_tradnl"/>
    </w:rPr>
  </w:style>
  <w:style w:type="character" w:styleId="Hyperlink">
    <w:name w:val="Hyperlink"/>
    <w:basedOn w:val="DefaultParagraphFont"/>
    <w:uiPriority w:val="99"/>
    <w:rsid w:val="00B72BE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E6"/>
    <w:rPr>
      <w:rFonts w:ascii="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BE6"/>
    <w:pPr>
      <w:tabs>
        <w:tab w:val="center" w:pos="4320"/>
        <w:tab w:val="right" w:pos="8640"/>
      </w:tabs>
    </w:pPr>
  </w:style>
  <w:style w:type="character" w:customStyle="1" w:styleId="HeaderChar">
    <w:name w:val="Header Char"/>
    <w:basedOn w:val="DefaultParagraphFont"/>
    <w:link w:val="Header"/>
    <w:uiPriority w:val="99"/>
    <w:locked/>
    <w:rsid w:val="00763BE6"/>
    <w:rPr>
      <w:rFonts w:ascii="Times New Roman" w:hAnsi="Times New Roman" w:cs="Times New Roman"/>
      <w:lang w:val="es-ES" w:eastAsia="es-ES"/>
    </w:rPr>
  </w:style>
  <w:style w:type="character" w:styleId="PageNumber">
    <w:name w:val="page number"/>
    <w:basedOn w:val="DefaultParagraphFont"/>
    <w:uiPriority w:val="99"/>
    <w:rsid w:val="00763BE6"/>
    <w:rPr>
      <w:rFonts w:cs="Times New Roman"/>
    </w:rPr>
  </w:style>
  <w:style w:type="paragraph" w:customStyle="1" w:styleId="Default">
    <w:name w:val="Default"/>
    <w:uiPriority w:val="99"/>
    <w:rsid w:val="00763BE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763BE6"/>
    <w:rPr>
      <w:sz w:val="20"/>
      <w:szCs w:val="20"/>
    </w:rPr>
  </w:style>
  <w:style w:type="character" w:customStyle="1" w:styleId="FootnoteTextChar">
    <w:name w:val="Footnote Text Char"/>
    <w:basedOn w:val="DefaultParagraphFont"/>
    <w:link w:val="FootnoteText"/>
    <w:uiPriority w:val="99"/>
    <w:semiHidden/>
    <w:locked/>
    <w:rsid w:val="00763BE6"/>
    <w:rPr>
      <w:rFonts w:ascii="Times New Roman" w:hAnsi="Times New Roman" w:cs="Times New Roman"/>
      <w:sz w:val="20"/>
      <w:szCs w:val="20"/>
      <w:lang w:val="es-ES" w:eastAsia="es-ES"/>
    </w:rPr>
  </w:style>
  <w:style w:type="character" w:styleId="FootnoteReference">
    <w:name w:val="footnote reference"/>
    <w:basedOn w:val="DefaultParagraphFont"/>
    <w:uiPriority w:val="99"/>
    <w:semiHidden/>
    <w:rsid w:val="00763BE6"/>
    <w:rPr>
      <w:rFonts w:cs="Times New Roman"/>
      <w:vertAlign w:val="superscript"/>
    </w:rPr>
  </w:style>
  <w:style w:type="paragraph" w:styleId="BodyText3">
    <w:name w:val="Body Text 3"/>
    <w:basedOn w:val="Normal"/>
    <w:link w:val="BodyText3Char"/>
    <w:uiPriority w:val="99"/>
    <w:rsid w:val="00F6519E"/>
    <w:pPr>
      <w:spacing w:after="120"/>
    </w:pPr>
    <w:rPr>
      <w:rFonts w:ascii="Univers" w:hAnsi="Univers"/>
      <w:sz w:val="16"/>
      <w:szCs w:val="16"/>
      <w:lang w:val="es-ES_tradnl" w:eastAsia="en-US"/>
    </w:rPr>
  </w:style>
  <w:style w:type="character" w:customStyle="1" w:styleId="BodyText3Char">
    <w:name w:val="Body Text 3 Char"/>
    <w:basedOn w:val="DefaultParagraphFont"/>
    <w:link w:val="BodyText3"/>
    <w:uiPriority w:val="99"/>
    <w:locked/>
    <w:rsid w:val="00F6519E"/>
    <w:rPr>
      <w:rFonts w:ascii="Univers" w:hAnsi="Univers" w:cs="Times New Roman"/>
      <w:sz w:val="16"/>
      <w:szCs w:val="16"/>
      <w:lang w:val="es-ES_tradnl"/>
    </w:rPr>
  </w:style>
  <w:style w:type="character" w:styleId="Hyperlink">
    <w:name w:val="Hyperlink"/>
    <w:basedOn w:val="DefaultParagraphFont"/>
    <w:uiPriority w:val="99"/>
    <w:rsid w:val="00B72B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resalluy@yahoo.es" TargetMode="External"/><Relationship Id="rId5" Type="http://schemas.openxmlformats.org/officeDocument/2006/relationships/webSettings" Target="webSettings.xml"/><Relationship Id="rId10" Type="http://schemas.openxmlformats.org/officeDocument/2006/relationships/hyperlink" Target="mailto:gustavoquitomendieta@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CIDH</cp:lastModifiedBy>
  <cp:revision>4</cp:revision>
  <cp:lastPrinted>2014-03-18T20:11:00Z</cp:lastPrinted>
  <dcterms:created xsi:type="dcterms:W3CDTF">2014-12-18T20:43:00Z</dcterms:created>
  <dcterms:modified xsi:type="dcterms:W3CDTF">2014-12-18T20:43:00Z</dcterms:modified>
</cp:coreProperties>
</file>