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931FD1" w14:textId="77777777" w:rsidR="003F600A" w:rsidRPr="003F600A" w:rsidRDefault="003F600A" w:rsidP="00B8460F">
      <w:pPr>
        <w:tabs>
          <w:tab w:val="left" w:pos="810"/>
        </w:tabs>
        <w:suppressAutoHyphens/>
        <w:spacing w:after="0" w:line="240" w:lineRule="auto"/>
        <w:rPr>
          <w:rFonts w:asciiTheme="minorHAnsi" w:hAnsiTheme="minorHAnsi" w:cs="Arial"/>
          <w:lang w:val="es-CO"/>
        </w:rPr>
      </w:pPr>
    </w:p>
    <w:p w14:paraId="15385F1C" w14:textId="77777777" w:rsidR="003F600A" w:rsidRPr="003F600A" w:rsidRDefault="003F600A" w:rsidP="00B8460F">
      <w:pPr>
        <w:tabs>
          <w:tab w:val="left" w:pos="810"/>
        </w:tabs>
        <w:suppressAutoHyphens/>
        <w:spacing w:after="0" w:line="240" w:lineRule="auto"/>
        <w:rPr>
          <w:rFonts w:asciiTheme="minorHAnsi" w:hAnsiTheme="minorHAnsi" w:cs="Arial"/>
          <w:lang w:val="es-CO"/>
        </w:rPr>
      </w:pPr>
    </w:p>
    <w:p w14:paraId="33DE6659" w14:textId="21894C1C" w:rsidR="00985D82" w:rsidRPr="003F600A" w:rsidRDefault="00267984" w:rsidP="00B8460F">
      <w:pPr>
        <w:tabs>
          <w:tab w:val="left" w:pos="810"/>
        </w:tabs>
        <w:suppressAutoHyphens/>
        <w:spacing w:after="0" w:line="240" w:lineRule="auto"/>
        <w:ind w:left="6480"/>
        <w:jc w:val="right"/>
        <w:rPr>
          <w:rFonts w:asciiTheme="minorHAnsi" w:hAnsiTheme="minorHAnsi" w:cs="Arial"/>
          <w:b/>
          <w:lang w:val="es-CO"/>
        </w:rPr>
      </w:pPr>
      <w:r w:rsidRPr="003F600A">
        <w:rPr>
          <w:rFonts w:asciiTheme="minorHAnsi" w:hAnsiTheme="minorHAnsi" w:cs="Arial"/>
          <w:lang w:val="es-CO"/>
        </w:rPr>
        <w:t>2</w:t>
      </w:r>
      <w:r w:rsidR="00985D82" w:rsidRPr="003F600A">
        <w:rPr>
          <w:rFonts w:asciiTheme="minorHAnsi" w:hAnsiTheme="minorHAnsi" w:cs="Arial"/>
          <w:lang w:val="es-CO"/>
        </w:rPr>
        <w:t xml:space="preserve"> de</w:t>
      </w:r>
      <w:r w:rsidR="00DE06B8" w:rsidRPr="003F600A">
        <w:rPr>
          <w:rFonts w:asciiTheme="minorHAnsi" w:hAnsiTheme="minorHAnsi" w:cs="Arial"/>
          <w:lang w:val="es-CO"/>
        </w:rPr>
        <w:t xml:space="preserve"> diciembre</w:t>
      </w:r>
      <w:r w:rsidR="00985D82" w:rsidRPr="003F600A">
        <w:rPr>
          <w:rFonts w:asciiTheme="minorHAnsi" w:hAnsiTheme="minorHAnsi" w:cs="Arial"/>
          <w:lang w:val="es-CO"/>
        </w:rPr>
        <w:t xml:space="preserve"> de 201</w:t>
      </w:r>
      <w:r w:rsidR="000E0A18" w:rsidRPr="003F600A">
        <w:rPr>
          <w:rFonts w:asciiTheme="minorHAnsi" w:hAnsiTheme="minorHAnsi" w:cs="Arial"/>
          <w:lang w:val="es-CO"/>
        </w:rPr>
        <w:t>6</w:t>
      </w:r>
    </w:p>
    <w:p w14:paraId="760932DB" w14:textId="01611AF3" w:rsidR="00985D82" w:rsidRPr="003F600A" w:rsidRDefault="003F600A" w:rsidP="00B8460F">
      <w:pPr>
        <w:widowControl w:val="0"/>
        <w:tabs>
          <w:tab w:val="left" w:pos="720"/>
        </w:tabs>
        <w:autoSpaceDE w:val="0"/>
        <w:autoSpaceDN w:val="0"/>
        <w:adjustRightInd w:val="0"/>
        <w:spacing w:after="0" w:line="240" w:lineRule="auto"/>
        <w:jc w:val="both"/>
        <w:rPr>
          <w:rFonts w:asciiTheme="minorHAnsi" w:hAnsiTheme="minorHAnsi" w:cs="Arial"/>
          <w:b/>
          <w:lang w:val="es-CO"/>
        </w:rPr>
      </w:pPr>
      <w:r w:rsidRPr="003F600A">
        <w:rPr>
          <w:rFonts w:asciiTheme="minorHAnsi" w:hAnsiTheme="minorHAnsi" w:cs="Arial"/>
          <w:b/>
          <w:lang w:val="es-CO"/>
        </w:rPr>
        <w:t>REF</w:t>
      </w:r>
      <w:r w:rsidR="00985D82" w:rsidRPr="003F600A">
        <w:rPr>
          <w:rFonts w:asciiTheme="minorHAnsi" w:hAnsiTheme="minorHAnsi" w:cs="Arial"/>
          <w:b/>
          <w:lang w:val="es-CO"/>
        </w:rPr>
        <w:t>.:</w:t>
      </w:r>
      <w:bookmarkStart w:id="0" w:name="Peticion_n"/>
      <w:bookmarkEnd w:id="0"/>
      <w:r w:rsidRPr="003F600A">
        <w:rPr>
          <w:rFonts w:asciiTheme="minorHAnsi" w:hAnsiTheme="minorHAnsi" w:cs="Arial"/>
          <w:b/>
          <w:lang w:val="es-CO"/>
        </w:rPr>
        <w:tab/>
        <w:t>Caso Nº</w:t>
      </w:r>
      <w:r w:rsidR="00985D82" w:rsidRPr="003F600A">
        <w:rPr>
          <w:rFonts w:asciiTheme="minorHAnsi" w:hAnsiTheme="minorHAnsi" w:cs="Arial"/>
          <w:b/>
          <w:lang w:val="es-CO"/>
        </w:rPr>
        <w:t xml:space="preserve"> </w:t>
      </w:r>
      <w:r w:rsidR="00985D82" w:rsidRPr="003F600A">
        <w:rPr>
          <w:rFonts w:asciiTheme="minorHAnsi" w:hAnsiTheme="minorHAnsi"/>
          <w:b/>
          <w:lang w:val="es-CO"/>
        </w:rPr>
        <w:t>12.</w:t>
      </w:r>
      <w:r w:rsidR="009557A4" w:rsidRPr="003F600A">
        <w:rPr>
          <w:rFonts w:asciiTheme="minorHAnsi" w:hAnsiTheme="minorHAnsi"/>
          <w:b/>
          <w:lang w:val="es-CO"/>
        </w:rPr>
        <w:t>484</w:t>
      </w:r>
      <w:r w:rsidR="00985D82" w:rsidRPr="003F600A">
        <w:rPr>
          <w:rFonts w:asciiTheme="minorHAnsi" w:hAnsiTheme="minorHAnsi"/>
          <w:b/>
          <w:lang w:val="es-CO"/>
        </w:rPr>
        <w:t xml:space="preserve"> </w:t>
      </w:r>
    </w:p>
    <w:p w14:paraId="59F0E32F" w14:textId="1549E6EE" w:rsidR="00985D82" w:rsidRPr="003F600A" w:rsidRDefault="00C809D7" w:rsidP="00B8460F">
      <w:pPr>
        <w:widowControl w:val="0"/>
        <w:tabs>
          <w:tab w:val="left" w:pos="810"/>
        </w:tabs>
        <w:autoSpaceDE w:val="0"/>
        <w:autoSpaceDN w:val="0"/>
        <w:adjustRightInd w:val="0"/>
        <w:spacing w:after="0" w:line="240" w:lineRule="auto"/>
        <w:ind w:firstLine="720"/>
        <w:jc w:val="both"/>
        <w:rPr>
          <w:rFonts w:asciiTheme="minorHAnsi" w:hAnsiTheme="minorHAnsi" w:cs="Arial"/>
          <w:b/>
          <w:lang w:val="es-ES"/>
        </w:rPr>
      </w:pPr>
      <w:r>
        <w:rPr>
          <w:rFonts w:asciiTheme="minorHAnsi" w:hAnsiTheme="minorHAnsi"/>
          <w:b/>
          <w:lang w:val="es-CO"/>
        </w:rPr>
        <w:t xml:space="preserve">Luis Rolando </w:t>
      </w:r>
      <w:proofErr w:type="spellStart"/>
      <w:r>
        <w:rPr>
          <w:rFonts w:asciiTheme="minorHAnsi" w:hAnsiTheme="minorHAnsi"/>
          <w:b/>
          <w:lang w:val="es-CO"/>
        </w:rPr>
        <w:t>Cuscul</w:t>
      </w:r>
      <w:proofErr w:type="spellEnd"/>
      <w:r>
        <w:rPr>
          <w:rFonts w:asciiTheme="minorHAnsi" w:hAnsiTheme="minorHAnsi"/>
          <w:b/>
          <w:lang w:val="es-CO"/>
        </w:rPr>
        <w:t xml:space="preserve"> </w:t>
      </w:r>
      <w:proofErr w:type="spellStart"/>
      <w:r>
        <w:rPr>
          <w:rFonts w:asciiTheme="minorHAnsi" w:hAnsiTheme="minorHAnsi"/>
          <w:b/>
          <w:lang w:val="es-CO"/>
        </w:rPr>
        <w:t>Pivaral</w:t>
      </w:r>
      <w:proofErr w:type="spellEnd"/>
      <w:r>
        <w:rPr>
          <w:rFonts w:asciiTheme="minorHAnsi" w:hAnsiTheme="minorHAnsi"/>
          <w:b/>
          <w:lang w:val="es-CO"/>
        </w:rPr>
        <w:t xml:space="preserve"> y O</w:t>
      </w:r>
      <w:r w:rsidR="009557A4" w:rsidRPr="003F600A">
        <w:rPr>
          <w:rFonts w:asciiTheme="minorHAnsi" w:hAnsiTheme="minorHAnsi"/>
          <w:b/>
          <w:lang w:val="es-CO"/>
        </w:rPr>
        <w:t xml:space="preserve">tros </w:t>
      </w:r>
    </w:p>
    <w:p w14:paraId="09486402" w14:textId="6EE3E373" w:rsidR="00985D82" w:rsidRPr="003F600A" w:rsidRDefault="009557A4" w:rsidP="00B8460F">
      <w:pPr>
        <w:tabs>
          <w:tab w:val="left" w:pos="720"/>
          <w:tab w:val="left" w:pos="810"/>
          <w:tab w:val="center" w:pos="6480"/>
        </w:tabs>
        <w:spacing w:after="0" w:line="240" w:lineRule="auto"/>
        <w:ind w:left="720"/>
        <w:jc w:val="both"/>
        <w:rPr>
          <w:rFonts w:asciiTheme="minorHAnsi" w:hAnsiTheme="minorHAnsi" w:cs="Arial"/>
          <w:b/>
          <w:lang w:val="es-ES_tradnl"/>
        </w:rPr>
      </w:pPr>
      <w:r w:rsidRPr="003F600A">
        <w:rPr>
          <w:rFonts w:asciiTheme="minorHAnsi" w:hAnsiTheme="minorHAnsi" w:cs="Arial"/>
          <w:b/>
          <w:lang w:val="es-CR"/>
        </w:rPr>
        <w:t>Guatemala</w:t>
      </w:r>
      <w:r w:rsidR="00985D82" w:rsidRPr="003F600A">
        <w:rPr>
          <w:rFonts w:asciiTheme="minorHAnsi" w:hAnsiTheme="minorHAnsi" w:cs="Arial"/>
          <w:b/>
          <w:lang w:val="es-ES_tradnl"/>
        </w:rPr>
        <w:t xml:space="preserve"> </w:t>
      </w:r>
    </w:p>
    <w:p w14:paraId="393163B7" w14:textId="77777777" w:rsidR="00985D82" w:rsidRDefault="00985D82" w:rsidP="00B8460F">
      <w:pPr>
        <w:tabs>
          <w:tab w:val="left" w:pos="720"/>
          <w:tab w:val="left" w:pos="810"/>
          <w:tab w:val="center" w:pos="6480"/>
        </w:tabs>
        <w:spacing w:after="0" w:line="240" w:lineRule="auto"/>
        <w:jc w:val="both"/>
        <w:rPr>
          <w:rFonts w:asciiTheme="minorHAnsi" w:hAnsiTheme="minorHAnsi" w:cs="Arial"/>
          <w:lang w:val="es-PE"/>
        </w:rPr>
      </w:pPr>
    </w:p>
    <w:p w14:paraId="36CB25CB" w14:textId="77777777" w:rsidR="00985D82" w:rsidRPr="003F600A" w:rsidRDefault="00985D82" w:rsidP="00985D82">
      <w:pPr>
        <w:tabs>
          <w:tab w:val="left" w:pos="720"/>
          <w:tab w:val="left" w:pos="810"/>
          <w:tab w:val="center" w:pos="6480"/>
        </w:tabs>
        <w:spacing w:after="0" w:line="240" w:lineRule="auto"/>
        <w:jc w:val="both"/>
        <w:rPr>
          <w:rFonts w:asciiTheme="minorHAnsi" w:hAnsiTheme="minorHAnsi" w:cs="Arial"/>
          <w:lang w:val="es-PE"/>
        </w:rPr>
      </w:pPr>
      <w:r w:rsidRPr="003F600A">
        <w:rPr>
          <w:rFonts w:asciiTheme="minorHAnsi" w:hAnsiTheme="minorHAnsi" w:cs="Arial"/>
          <w:lang w:val="es-PE"/>
        </w:rPr>
        <w:t>Señor Secretario:</w:t>
      </w:r>
    </w:p>
    <w:p w14:paraId="2A75AD12" w14:textId="77777777" w:rsidR="00985D82" w:rsidRPr="003F600A" w:rsidRDefault="00985D82" w:rsidP="00985D82">
      <w:pPr>
        <w:widowControl w:val="0"/>
        <w:tabs>
          <w:tab w:val="left" w:pos="810"/>
        </w:tabs>
        <w:autoSpaceDE w:val="0"/>
        <w:autoSpaceDN w:val="0"/>
        <w:adjustRightInd w:val="0"/>
        <w:spacing w:after="0" w:line="240" w:lineRule="auto"/>
        <w:ind w:firstLine="720"/>
        <w:jc w:val="both"/>
        <w:rPr>
          <w:rFonts w:asciiTheme="minorHAnsi" w:hAnsiTheme="minorHAnsi"/>
          <w:lang w:val="es-CO"/>
        </w:rPr>
      </w:pPr>
    </w:p>
    <w:p w14:paraId="0413BD31" w14:textId="7A907D4D" w:rsidR="00E95FA2" w:rsidRPr="003F600A" w:rsidRDefault="00985D82" w:rsidP="0007703C">
      <w:pPr>
        <w:spacing w:after="0" w:line="240" w:lineRule="auto"/>
        <w:ind w:firstLine="720"/>
        <w:jc w:val="both"/>
        <w:rPr>
          <w:rFonts w:asciiTheme="minorHAnsi" w:hAnsiTheme="minorHAnsi"/>
          <w:lang w:val="es-ES"/>
        </w:rPr>
      </w:pPr>
      <w:r w:rsidRPr="003F600A">
        <w:rPr>
          <w:rFonts w:asciiTheme="minorHAnsi" w:hAnsiTheme="minorHAnsi"/>
          <w:lang w:val="es-CO"/>
        </w:rPr>
        <w:t>Tengo el agrado de dirigirme a usted, en nombre de la Comisión Interamericana de Derechos Humanos, con el objeto</w:t>
      </w:r>
      <w:r w:rsidRPr="003F600A">
        <w:rPr>
          <w:rFonts w:asciiTheme="minorHAnsi" w:hAnsiTheme="minorHAnsi" w:cs="Arial"/>
          <w:lang w:val="es-CO"/>
        </w:rPr>
        <w:t xml:space="preserve"> de someter a la jurisdicción de la Honorable Corte Interame</w:t>
      </w:r>
      <w:r w:rsidR="00634269">
        <w:rPr>
          <w:rFonts w:asciiTheme="minorHAnsi" w:hAnsiTheme="minorHAnsi" w:cs="Arial"/>
          <w:lang w:val="es-CO"/>
        </w:rPr>
        <w:t xml:space="preserve">ricana de Derechos Humanos </w:t>
      </w:r>
      <w:r w:rsidR="00FB1C20" w:rsidRPr="003F600A">
        <w:rPr>
          <w:rFonts w:asciiTheme="minorHAnsi" w:hAnsiTheme="minorHAnsi" w:cs="Arial"/>
          <w:lang w:val="es-CO"/>
        </w:rPr>
        <w:t xml:space="preserve"> el C</w:t>
      </w:r>
      <w:r w:rsidRPr="003F600A">
        <w:rPr>
          <w:rFonts w:asciiTheme="minorHAnsi" w:hAnsiTheme="minorHAnsi" w:cs="Arial"/>
          <w:lang w:val="es-CO"/>
        </w:rPr>
        <w:t xml:space="preserve">aso </w:t>
      </w:r>
      <w:r w:rsidR="00FB1C20" w:rsidRPr="003F600A">
        <w:rPr>
          <w:rFonts w:asciiTheme="minorHAnsi" w:hAnsiTheme="minorHAnsi" w:cs="Arial"/>
          <w:lang w:val="es-CO"/>
        </w:rPr>
        <w:t xml:space="preserve">Nº </w:t>
      </w:r>
      <w:r w:rsidRPr="003F600A">
        <w:rPr>
          <w:rFonts w:asciiTheme="minorHAnsi" w:hAnsiTheme="minorHAnsi" w:cs="Arial"/>
          <w:lang w:val="es-CO"/>
        </w:rPr>
        <w:t>12.</w:t>
      </w:r>
      <w:r w:rsidR="0079663A" w:rsidRPr="003F600A">
        <w:rPr>
          <w:rFonts w:asciiTheme="minorHAnsi" w:hAnsiTheme="minorHAnsi" w:cs="Arial"/>
          <w:lang w:val="es-CO"/>
        </w:rPr>
        <w:t>484</w:t>
      </w:r>
      <w:r w:rsidRPr="003F600A">
        <w:rPr>
          <w:rFonts w:asciiTheme="minorHAnsi" w:hAnsiTheme="minorHAnsi" w:cs="Arial"/>
          <w:lang w:val="es-CO"/>
        </w:rPr>
        <w:t xml:space="preserve"> – </w:t>
      </w:r>
      <w:r w:rsidR="00FB1C20" w:rsidRPr="003F600A">
        <w:rPr>
          <w:rFonts w:asciiTheme="minorHAnsi" w:hAnsiTheme="minorHAnsi" w:cs="Arial"/>
          <w:lang w:val="es-CO"/>
        </w:rPr>
        <w:t xml:space="preserve">Luis Rolando </w:t>
      </w:r>
      <w:proofErr w:type="spellStart"/>
      <w:r w:rsidR="00FB1C20" w:rsidRPr="003F600A">
        <w:rPr>
          <w:rFonts w:asciiTheme="minorHAnsi" w:hAnsiTheme="minorHAnsi" w:cs="Arial"/>
          <w:lang w:val="es-CO"/>
        </w:rPr>
        <w:t>Cuscul</w:t>
      </w:r>
      <w:proofErr w:type="spellEnd"/>
      <w:r w:rsidR="00FB1C20" w:rsidRPr="003F600A">
        <w:rPr>
          <w:rFonts w:asciiTheme="minorHAnsi" w:hAnsiTheme="minorHAnsi" w:cs="Arial"/>
          <w:lang w:val="es-CO"/>
        </w:rPr>
        <w:t xml:space="preserve"> </w:t>
      </w:r>
      <w:proofErr w:type="spellStart"/>
      <w:r w:rsidR="00FB1C20" w:rsidRPr="003F600A">
        <w:rPr>
          <w:rFonts w:asciiTheme="minorHAnsi" w:hAnsiTheme="minorHAnsi" w:cs="Arial"/>
          <w:lang w:val="es-CO"/>
        </w:rPr>
        <w:t>Pivaral</w:t>
      </w:r>
      <w:proofErr w:type="spellEnd"/>
      <w:r w:rsidR="00FB1C20" w:rsidRPr="003F600A">
        <w:rPr>
          <w:rFonts w:asciiTheme="minorHAnsi" w:hAnsiTheme="minorHAnsi" w:cs="Arial"/>
          <w:lang w:val="es-CO"/>
        </w:rPr>
        <w:t xml:space="preserve"> y O</w:t>
      </w:r>
      <w:r w:rsidR="0079663A" w:rsidRPr="003F600A">
        <w:rPr>
          <w:rFonts w:asciiTheme="minorHAnsi" w:hAnsiTheme="minorHAnsi" w:cs="Arial"/>
          <w:lang w:val="es-CO"/>
        </w:rPr>
        <w:t>tros</w:t>
      </w:r>
      <w:r w:rsidRPr="003F600A">
        <w:rPr>
          <w:rFonts w:asciiTheme="minorHAnsi" w:hAnsiTheme="minorHAnsi" w:cs="Arial"/>
          <w:lang w:val="es-CO"/>
        </w:rPr>
        <w:t xml:space="preserve"> respecto de la República de </w:t>
      </w:r>
      <w:r w:rsidR="0079663A" w:rsidRPr="003F600A">
        <w:rPr>
          <w:rFonts w:asciiTheme="minorHAnsi" w:hAnsiTheme="minorHAnsi" w:cs="Arial"/>
          <w:lang w:val="es-CO"/>
        </w:rPr>
        <w:t>Guatemala</w:t>
      </w:r>
      <w:r w:rsidRPr="003F600A">
        <w:rPr>
          <w:rFonts w:asciiTheme="minorHAnsi" w:hAnsiTheme="minorHAnsi" w:cs="Arial"/>
          <w:lang w:val="es-CO"/>
        </w:rPr>
        <w:t xml:space="preserve"> (en adelante “el Estado”, “el Estado</w:t>
      </w:r>
      <w:r w:rsidR="0079663A" w:rsidRPr="003F600A">
        <w:rPr>
          <w:rFonts w:asciiTheme="minorHAnsi" w:hAnsiTheme="minorHAnsi" w:cs="Arial"/>
          <w:lang w:val="es-CO"/>
        </w:rPr>
        <w:t xml:space="preserve"> de Guatemala</w:t>
      </w:r>
      <w:r w:rsidRPr="003F600A">
        <w:rPr>
          <w:rFonts w:asciiTheme="minorHAnsi" w:hAnsiTheme="minorHAnsi" w:cs="Arial"/>
          <w:lang w:val="es-CO"/>
        </w:rPr>
        <w:t>”</w:t>
      </w:r>
      <w:r w:rsidR="0079663A" w:rsidRPr="003F600A">
        <w:rPr>
          <w:rFonts w:asciiTheme="minorHAnsi" w:hAnsiTheme="minorHAnsi" w:cs="Arial"/>
          <w:lang w:val="es-CO"/>
        </w:rPr>
        <w:t>, “el Estado guatemalteco”</w:t>
      </w:r>
      <w:r w:rsidRPr="003F600A">
        <w:rPr>
          <w:rFonts w:asciiTheme="minorHAnsi" w:hAnsiTheme="minorHAnsi" w:cs="Arial"/>
          <w:lang w:val="es-CO"/>
        </w:rPr>
        <w:t xml:space="preserve"> o “</w:t>
      </w:r>
      <w:r w:rsidR="0079663A" w:rsidRPr="003F600A">
        <w:rPr>
          <w:rFonts w:asciiTheme="minorHAnsi" w:hAnsiTheme="minorHAnsi" w:cs="Arial"/>
          <w:lang w:val="es-CO"/>
        </w:rPr>
        <w:t>Guatemala</w:t>
      </w:r>
      <w:r w:rsidRPr="003F600A">
        <w:rPr>
          <w:rFonts w:asciiTheme="minorHAnsi" w:hAnsiTheme="minorHAnsi" w:cs="Arial"/>
          <w:lang w:val="es-CO"/>
        </w:rPr>
        <w:t xml:space="preserve">”), relacionado con </w:t>
      </w:r>
      <w:r w:rsidR="0079663A" w:rsidRPr="003F600A">
        <w:rPr>
          <w:rFonts w:asciiTheme="minorHAnsi" w:hAnsiTheme="minorHAnsi"/>
          <w:lang w:val="es-ES"/>
        </w:rPr>
        <w:t>su</w:t>
      </w:r>
      <w:r w:rsidR="009557A4" w:rsidRPr="003F600A">
        <w:rPr>
          <w:rFonts w:asciiTheme="minorHAnsi" w:hAnsiTheme="minorHAnsi"/>
          <w:lang w:val="es-ES"/>
        </w:rPr>
        <w:t xml:space="preserve"> responsabilidad </w:t>
      </w:r>
      <w:r w:rsidR="00DE06B8" w:rsidRPr="003F600A">
        <w:rPr>
          <w:rFonts w:asciiTheme="minorHAnsi" w:hAnsiTheme="minorHAnsi"/>
          <w:lang w:val="es-ES"/>
        </w:rPr>
        <w:t>internacional por la violación de</w:t>
      </w:r>
      <w:r w:rsidR="009557A4" w:rsidRPr="003F600A">
        <w:rPr>
          <w:rFonts w:asciiTheme="minorHAnsi" w:hAnsiTheme="minorHAnsi"/>
          <w:lang w:val="es-ES"/>
        </w:rPr>
        <w:t xml:space="preserve"> diversos derechos establecidos en la Convención Americana</w:t>
      </w:r>
      <w:r w:rsidR="0079663A" w:rsidRPr="003F600A">
        <w:rPr>
          <w:rFonts w:asciiTheme="minorHAnsi" w:hAnsiTheme="minorHAnsi"/>
          <w:lang w:val="es-ES"/>
        </w:rPr>
        <w:t xml:space="preserve"> sobre Derechos Humanos (en adelante “la Convención Americana” o “la Convención”) </w:t>
      </w:r>
      <w:r w:rsidR="009557A4" w:rsidRPr="003F600A">
        <w:rPr>
          <w:rFonts w:asciiTheme="minorHAnsi" w:hAnsiTheme="minorHAnsi"/>
          <w:lang w:val="es-ES"/>
        </w:rPr>
        <w:t>en perjuicio de 49 víctimas que fueron diagnosticadas con VIH/SIDA</w:t>
      </w:r>
      <w:r w:rsidR="005475CB" w:rsidRPr="003F600A">
        <w:rPr>
          <w:rStyle w:val="FootnoteReference"/>
          <w:rFonts w:asciiTheme="minorHAnsi" w:hAnsiTheme="minorHAnsi"/>
          <w:lang w:val="es-ES"/>
        </w:rPr>
        <w:footnoteReference w:id="1"/>
      </w:r>
      <w:r w:rsidR="009557A4" w:rsidRPr="003F600A">
        <w:rPr>
          <w:rFonts w:asciiTheme="minorHAnsi" w:hAnsiTheme="minorHAnsi"/>
          <w:lang w:val="es-ES"/>
        </w:rPr>
        <w:t xml:space="preserve"> entre 1992 y 2003. </w:t>
      </w:r>
    </w:p>
    <w:p w14:paraId="368DBC7F" w14:textId="77777777" w:rsidR="00E95FA2" w:rsidRPr="003F600A" w:rsidRDefault="00E95FA2" w:rsidP="0007703C">
      <w:pPr>
        <w:spacing w:after="0" w:line="240" w:lineRule="auto"/>
        <w:ind w:firstLine="720"/>
        <w:jc w:val="both"/>
        <w:rPr>
          <w:rFonts w:asciiTheme="minorHAnsi" w:hAnsiTheme="minorHAnsi"/>
          <w:lang w:val="es-ES"/>
        </w:rPr>
      </w:pPr>
    </w:p>
    <w:p w14:paraId="3B30A72E" w14:textId="4FE31CB7" w:rsidR="004F08A1" w:rsidRPr="003F600A" w:rsidRDefault="009557A4" w:rsidP="0007703C">
      <w:pPr>
        <w:spacing w:after="0" w:line="240" w:lineRule="auto"/>
        <w:ind w:firstLine="720"/>
        <w:jc w:val="both"/>
        <w:rPr>
          <w:rFonts w:asciiTheme="minorHAnsi" w:hAnsiTheme="minorHAnsi" w:cs="Arial"/>
          <w:lang w:val="es-ES"/>
        </w:rPr>
      </w:pPr>
      <w:r w:rsidRPr="003F600A">
        <w:rPr>
          <w:rFonts w:asciiTheme="minorHAnsi" w:hAnsiTheme="minorHAnsi"/>
          <w:lang w:val="es-ES"/>
        </w:rPr>
        <w:t xml:space="preserve">Específicamente, la Comisión estableció que hasta los años 2006 y 2007 tuvo lugar una falta total de atención médica estatal a dicho grupo de personas en su condición de personas con VIH/SIDA y además en situación de pobreza. </w:t>
      </w:r>
      <w:r w:rsidR="00FB1C20" w:rsidRPr="003F600A">
        <w:rPr>
          <w:rFonts w:asciiTheme="minorHAnsi" w:hAnsiTheme="minorHAnsi"/>
          <w:lang w:val="es-ES"/>
        </w:rPr>
        <w:t xml:space="preserve"> </w:t>
      </w:r>
      <w:r w:rsidRPr="003F600A">
        <w:rPr>
          <w:rFonts w:asciiTheme="minorHAnsi" w:hAnsiTheme="minorHAnsi"/>
          <w:lang w:val="es-ES"/>
        </w:rPr>
        <w:t xml:space="preserve">La Comisión determinó que esta omisión tuvo un grave impacto en su situación de salud, vida e integridad personal. </w:t>
      </w:r>
      <w:r w:rsidR="00FB1C20" w:rsidRPr="003F600A">
        <w:rPr>
          <w:rFonts w:asciiTheme="minorHAnsi" w:hAnsiTheme="minorHAnsi"/>
          <w:lang w:val="es-ES"/>
        </w:rPr>
        <w:t xml:space="preserve"> </w:t>
      </w:r>
      <w:r w:rsidRPr="003F600A">
        <w:rPr>
          <w:rFonts w:asciiTheme="minorHAnsi" w:hAnsiTheme="minorHAnsi"/>
          <w:lang w:val="es-ES"/>
        </w:rPr>
        <w:t xml:space="preserve">Asimismo, la Comisión estableció que la muerte de ocho de las víctimas, </w:t>
      </w:r>
      <w:r w:rsidRPr="003F600A">
        <w:rPr>
          <w:rFonts w:asciiTheme="minorHAnsi" w:hAnsiTheme="minorHAnsi"/>
          <w:lang w:val="es-CO"/>
        </w:rPr>
        <w:t xml:space="preserve">Alberto Quiché </w:t>
      </w:r>
      <w:proofErr w:type="spellStart"/>
      <w:r w:rsidRPr="003F600A">
        <w:rPr>
          <w:rFonts w:asciiTheme="minorHAnsi" w:hAnsiTheme="minorHAnsi"/>
          <w:lang w:val="es-CO"/>
        </w:rPr>
        <w:t>Cuxeva</w:t>
      </w:r>
      <w:proofErr w:type="spellEnd"/>
      <w:r w:rsidRPr="003F600A">
        <w:rPr>
          <w:rFonts w:asciiTheme="minorHAnsi" w:hAnsiTheme="minorHAnsi"/>
          <w:lang w:val="es-CO"/>
        </w:rPr>
        <w:t xml:space="preserve">, Reina López Mujica, </w:t>
      </w:r>
      <w:proofErr w:type="spellStart"/>
      <w:r w:rsidRPr="003F600A">
        <w:rPr>
          <w:rFonts w:asciiTheme="minorHAnsi" w:hAnsiTheme="minorHAnsi"/>
          <w:lang w:val="es-CO"/>
        </w:rPr>
        <w:t>Ismar</w:t>
      </w:r>
      <w:proofErr w:type="spellEnd"/>
      <w:r w:rsidRPr="003F600A">
        <w:rPr>
          <w:rFonts w:asciiTheme="minorHAnsi" w:hAnsiTheme="minorHAnsi"/>
          <w:lang w:val="es-CO"/>
        </w:rPr>
        <w:t xml:space="preserve"> Ramírez </w:t>
      </w:r>
      <w:proofErr w:type="spellStart"/>
      <w:r w:rsidRPr="003F600A">
        <w:rPr>
          <w:rFonts w:asciiTheme="minorHAnsi" w:hAnsiTheme="minorHAnsi"/>
          <w:lang w:val="es-CO"/>
        </w:rPr>
        <w:t>Chajón</w:t>
      </w:r>
      <w:proofErr w:type="spellEnd"/>
      <w:r w:rsidRPr="003F600A">
        <w:rPr>
          <w:rFonts w:asciiTheme="minorHAnsi" w:hAnsiTheme="minorHAnsi"/>
          <w:lang w:val="es-CO"/>
        </w:rPr>
        <w:t xml:space="preserve">, Rita Bubón Orozco, Facundo Gómez Reyes, José Rubén </w:t>
      </w:r>
      <w:r w:rsidR="0007703C" w:rsidRPr="003F600A">
        <w:rPr>
          <w:rFonts w:asciiTheme="minorHAnsi" w:hAnsiTheme="minorHAnsi"/>
          <w:lang w:val="es-CO"/>
        </w:rPr>
        <w:t xml:space="preserve">Delgado, Luis Edwin Cruz </w:t>
      </w:r>
      <w:proofErr w:type="spellStart"/>
      <w:r w:rsidR="0007703C" w:rsidRPr="003F600A">
        <w:rPr>
          <w:rFonts w:asciiTheme="minorHAnsi" w:hAnsiTheme="minorHAnsi"/>
          <w:lang w:val="es-CO"/>
        </w:rPr>
        <w:t>Gramau</w:t>
      </w:r>
      <w:proofErr w:type="spellEnd"/>
      <w:r w:rsidRPr="003F600A">
        <w:rPr>
          <w:rFonts w:asciiTheme="minorHAnsi" w:hAnsiTheme="minorHAnsi"/>
          <w:lang w:val="es-CO"/>
        </w:rPr>
        <w:t xml:space="preserve"> y María </w:t>
      </w:r>
      <w:proofErr w:type="spellStart"/>
      <w:r w:rsidRPr="003F600A">
        <w:rPr>
          <w:rFonts w:asciiTheme="minorHAnsi" w:hAnsiTheme="minorHAnsi"/>
          <w:lang w:val="es-CO"/>
        </w:rPr>
        <w:t>Vail</w:t>
      </w:r>
      <w:proofErr w:type="spellEnd"/>
      <w:r w:rsidRPr="003F600A">
        <w:rPr>
          <w:rFonts w:asciiTheme="minorHAnsi" w:hAnsiTheme="minorHAnsi"/>
          <w:lang w:val="es-CO"/>
        </w:rPr>
        <w:t>,</w:t>
      </w:r>
      <w:r w:rsidRPr="003F600A">
        <w:rPr>
          <w:rFonts w:asciiTheme="minorHAnsi" w:hAnsiTheme="minorHAnsi"/>
          <w:lang w:val="es-ES"/>
        </w:rPr>
        <w:t xml:space="preserve"> tuvo lugar como consecuencia </w:t>
      </w:r>
      <w:r w:rsidR="0007703C" w:rsidRPr="003F600A">
        <w:rPr>
          <w:rFonts w:asciiTheme="minorHAnsi" w:hAnsiTheme="minorHAnsi"/>
          <w:lang w:val="es-ES"/>
        </w:rPr>
        <w:t xml:space="preserve">de </w:t>
      </w:r>
      <w:r w:rsidRPr="003F600A">
        <w:rPr>
          <w:rFonts w:asciiTheme="minorHAnsi" w:hAnsiTheme="minorHAnsi"/>
          <w:lang w:val="es-ES"/>
        </w:rPr>
        <w:t xml:space="preserve">enfermedades conocidas como oportunistas, o bien en un marco temporal en el que no recibieron la atención que requerían por parte del Estado, o bien tras una atención deficiente. </w:t>
      </w:r>
      <w:r w:rsidR="00FB1C20" w:rsidRPr="003F600A">
        <w:rPr>
          <w:rFonts w:asciiTheme="minorHAnsi" w:hAnsiTheme="minorHAnsi"/>
          <w:lang w:val="es-ES"/>
        </w:rPr>
        <w:t xml:space="preserve"> </w:t>
      </w:r>
      <w:r w:rsidRPr="003F600A">
        <w:rPr>
          <w:rFonts w:asciiTheme="minorHAnsi" w:hAnsiTheme="minorHAnsi"/>
          <w:lang w:val="es-ES"/>
        </w:rPr>
        <w:t xml:space="preserve">La Comisión también concluyó que </w:t>
      </w:r>
      <w:r w:rsidRPr="003F600A">
        <w:rPr>
          <w:rFonts w:asciiTheme="minorHAnsi" w:hAnsiTheme="minorHAnsi" w:cs="Arial"/>
          <w:lang w:val="es-ES"/>
        </w:rPr>
        <w:t xml:space="preserve">si bien el Estado empezó a implementar algún tratamiento para personas que viven con VIH/SIDA en el sector público con posterioridad a 2006 y 2007, dicha atención no logró satisfacer los estándares mínimos para ser considerada integral y adecuada y, por lo tanto, estas deficiencias continuaron violando los derechos a la salud, vida e integridad personal en perjuicio de las víctimas sobrevivientes. </w:t>
      </w:r>
    </w:p>
    <w:p w14:paraId="74D9D808" w14:textId="77777777" w:rsidR="003F600A" w:rsidRPr="003F600A" w:rsidRDefault="003F600A" w:rsidP="0007703C">
      <w:pPr>
        <w:spacing w:after="0" w:line="240" w:lineRule="auto"/>
        <w:ind w:firstLine="720"/>
        <w:jc w:val="both"/>
        <w:rPr>
          <w:rFonts w:asciiTheme="minorHAnsi" w:hAnsiTheme="minorHAnsi" w:cs="Arial"/>
          <w:lang w:val="es-ES"/>
        </w:rPr>
      </w:pPr>
    </w:p>
    <w:p w14:paraId="6441ACE8" w14:textId="77777777" w:rsidR="003F600A" w:rsidRDefault="003F600A" w:rsidP="0007703C">
      <w:pPr>
        <w:spacing w:after="0" w:line="240" w:lineRule="auto"/>
        <w:ind w:firstLine="720"/>
        <w:jc w:val="both"/>
        <w:rPr>
          <w:rFonts w:asciiTheme="minorHAnsi" w:hAnsiTheme="minorHAnsi" w:cs="Arial"/>
          <w:lang w:val="es-ES"/>
        </w:rPr>
      </w:pPr>
    </w:p>
    <w:p w14:paraId="47DCB215" w14:textId="77777777" w:rsidR="00F97095" w:rsidRPr="003F600A" w:rsidRDefault="00F97095" w:rsidP="0007703C">
      <w:pPr>
        <w:spacing w:after="0" w:line="240" w:lineRule="auto"/>
        <w:ind w:firstLine="720"/>
        <w:jc w:val="both"/>
        <w:rPr>
          <w:rFonts w:asciiTheme="minorHAnsi" w:hAnsiTheme="minorHAnsi" w:cs="Arial"/>
          <w:lang w:val="es-ES"/>
        </w:rPr>
      </w:pPr>
    </w:p>
    <w:p w14:paraId="704FEBCE" w14:textId="77777777" w:rsidR="00CA23D7" w:rsidRPr="003F600A" w:rsidRDefault="00CA23D7" w:rsidP="00CA23D7">
      <w:pPr>
        <w:widowControl w:val="0"/>
        <w:tabs>
          <w:tab w:val="left" w:pos="810"/>
        </w:tabs>
        <w:autoSpaceDE w:val="0"/>
        <w:autoSpaceDN w:val="0"/>
        <w:adjustRightInd w:val="0"/>
        <w:spacing w:after="0" w:line="240" w:lineRule="auto"/>
        <w:jc w:val="both"/>
        <w:rPr>
          <w:rFonts w:asciiTheme="minorHAnsi" w:hAnsiTheme="minorHAnsi" w:cs="Arial"/>
          <w:snapToGrid w:val="0"/>
          <w:lang w:val="es-CO"/>
        </w:rPr>
      </w:pPr>
      <w:r w:rsidRPr="003F600A">
        <w:rPr>
          <w:rFonts w:asciiTheme="minorHAnsi" w:hAnsiTheme="minorHAnsi" w:cs="Arial"/>
          <w:snapToGrid w:val="0"/>
          <w:lang w:val="es-ES_tradnl"/>
        </w:rPr>
        <w:t>Señor</w:t>
      </w:r>
    </w:p>
    <w:p w14:paraId="45163F16" w14:textId="77777777" w:rsidR="00CA23D7" w:rsidRPr="003F600A" w:rsidRDefault="00CA23D7" w:rsidP="00CA23D7">
      <w:pPr>
        <w:widowControl w:val="0"/>
        <w:tabs>
          <w:tab w:val="left" w:pos="810"/>
        </w:tabs>
        <w:autoSpaceDE w:val="0"/>
        <w:autoSpaceDN w:val="0"/>
        <w:adjustRightInd w:val="0"/>
        <w:spacing w:after="0" w:line="240" w:lineRule="auto"/>
        <w:jc w:val="both"/>
        <w:rPr>
          <w:rFonts w:asciiTheme="minorHAnsi" w:hAnsiTheme="minorHAnsi" w:cs="Arial"/>
          <w:snapToGrid w:val="0"/>
          <w:lang w:val="es-CO"/>
        </w:rPr>
      </w:pPr>
      <w:r w:rsidRPr="003F600A">
        <w:rPr>
          <w:rFonts w:asciiTheme="minorHAnsi" w:hAnsiTheme="minorHAnsi" w:cs="Arial"/>
          <w:snapToGrid w:val="0"/>
          <w:lang w:val="es-CO"/>
        </w:rPr>
        <w:t xml:space="preserve">Pablo </w:t>
      </w:r>
      <w:r w:rsidRPr="003F600A">
        <w:rPr>
          <w:rFonts w:asciiTheme="minorHAnsi" w:hAnsiTheme="minorHAnsi"/>
          <w:lang w:val="es-ES"/>
        </w:rPr>
        <w:t>Saavedra</w:t>
      </w:r>
      <w:r w:rsidRPr="003F600A">
        <w:rPr>
          <w:rFonts w:asciiTheme="minorHAnsi" w:hAnsiTheme="minorHAnsi" w:cs="Arial"/>
          <w:snapToGrid w:val="0"/>
          <w:lang w:val="es-CO"/>
        </w:rPr>
        <w:t xml:space="preserve"> Alessandri, Secretario</w:t>
      </w:r>
    </w:p>
    <w:p w14:paraId="017F1593" w14:textId="77777777" w:rsidR="00CA23D7" w:rsidRPr="003F600A" w:rsidRDefault="00CA23D7" w:rsidP="00CA23D7">
      <w:pPr>
        <w:widowControl w:val="0"/>
        <w:tabs>
          <w:tab w:val="left" w:pos="810"/>
        </w:tabs>
        <w:autoSpaceDE w:val="0"/>
        <w:autoSpaceDN w:val="0"/>
        <w:adjustRightInd w:val="0"/>
        <w:spacing w:after="0" w:line="240" w:lineRule="auto"/>
        <w:jc w:val="both"/>
        <w:rPr>
          <w:rFonts w:asciiTheme="minorHAnsi" w:hAnsiTheme="minorHAnsi" w:cs="Arial"/>
          <w:snapToGrid w:val="0"/>
          <w:lang w:val="es-ES_tradnl"/>
        </w:rPr>
      </w:pPr>
      <w:r w:rsidRPr="003F600A">
        <w:rPr>
          <w:rFonts w:asciiTheme="minorHAnsi" w:hAnsiTheme="minorHAnsi" w:cs="Arial"/>
          <w:snapToGrid w:val="0"/>
          <w:lang w:val="es-ES_tradnl"/>
        </w:rPr>
        <w:t>Corte Interamericana de Derechos Humanos</w:t>
      </w:r>
    </w:p>
    <w:p w14:paraId="46C50E87" w14:textId="5B404A80" w:rsidR="00CA23D7" w:rsidRPr="003F600A" w:rsidRDefault="00CA23D7" w:rsidP="00CA23D7">
      <w:pPr>
        <w:widowControl w:val="0"/>
        <w:tabs>
          <w:tab w:val="left" w:pos="810"/>
        </w:tabs>
        <w:autoSpaceDE w:val="0"/>
        <w:autoSpaceDN w:val="0"/>
        <w:adjustRightInd w:val="0"/>
        <w:spacing w:after="0" w:line="240" w:lineRule="auto"/>
        <w:jc w:val="both"/>
        <w:rPr>
          <w:rFonts w:asciiTheme="minorHAnsi" w:hAnsiTheme="minorHAnsi" w:cs="Arial"/>
          <w:snapToGrid w:val="0"/>
          <w:lang w:val="es-ES_tradnl"/>
        </w:rPr>
      </w:pPr>
      <w:r w:rsidRPr="003F600A">
        <w:rPr>
          <w:rFonts w:asciiTheme="minorHAnsi" w:hAnsiTheme="minorHAnsi" w:cs="Arial"/>
          <w:snapToGrid w:val="0"/>
          <w:lang w:val="es-ES_tradnl"/>
        </w:rPr>
        <w:t>Apartado 6906-1000, San José, Costa Rica</w:t>
      </w:r>
    </w:p>
    <w:p w14:paraId="4A76D7E2" w14:textId="77777777" w:rsidR="003F600A" w:rsidRDefault="003F600A" w:rsidP="003F600A">
      <w:pPr>
        <w:spacing w:after="0" w:line="240" w:lineRule="auto"/>
        <w:ind w:firstLine="720"/>
        <w:jc w:val="both"/>
        <w:rPr>
          <w:rFonts w:asciiTheme="minorHAnsi" w:hAnsiTheme="minorHAnsi" w:cs="Arial"/>
          <w:lang w:val="es-ES"/>
        </w:rPr>
      </w:pPr>
    </w:p>
    <w:p w14:paraId="21096972" w14:textId="77777777" w:rsidR="00261ABB" w:rsidRDefault="00261ABB" w:rsidP="003F600A">
      <w:pPr>
        <w:spacing w:after="0" w:line="240" w:lineRule="auto"/>
        <w:ind w:firstLine="720"/>
        <w:jc w:val="both"/>
        <w:rPr>
          <w:rFonts w:asciiTheme="minorHAnsi" w:hAnsiTheme="minorHAnsi" w:cs="Arial"/>
          <w:lang w:val="es-ES"/>
        </w:rPr>
      </w:pPr>
    </w:p>
    <w:p w14:paraId="7A368B70" w14:textId="77777777" w:rsidR="003F600A" w:rsidRPr="003F600A" w:rsidRDefault="003F600A" w:rsidP="003F600A">
      <w:pPr>
        <w:spacing w:after="0" w:line="240" w:lineRule="auto"/>
        <w:ind w:firstLine="720"/>
        <w:jc w:val="both"/>
        <w:rPr>
          <w:rFonts w:asciiTheme="minorHAnsi" w:hAnsiTheme="minorHAnsi" w:cs="Arial"/>
          <w:lang w:val="es-ES"/>
        </w:rPr>
      </w:pPr>
      <w:r w:rsidRPr="003F600A">
        <w:rPr>
          <w:rFonts w:asciiTheme="minorHAnsi" w:hAnsiTheme="minorHAnsi" w:cs="Arial"/>
          <w:lang w:val="es-ES"/>
        </w:rPr>
        <w:t xml:space="preserve">Además, la Comisión estableció que el recurso de amparo interpuesto el 26 de julio de 2002 ante la Corte de Constitucionalidad, no proveyó de una protección judicial efectiva a las víctimas. Finalmente, la Comisión determinó que los familiares y/o vínculo más cercano de apoyo a las víctimas, sufrió afectaciones a su integridad psíquica y moral. </w:t>
      </w:r>
    </w:p>
    <w:p w14:paraId="7D873EDA" w14:textId="4346D485" w:rsidR="00D30BB7" w:rsidRPr="003F600A" w:rsidRDefault="00D30BB7" w:rsidP="00D30BB7">
      <w:pPr>
        <w:pStyle w:val="NormalWeb"/>
        <w:ind w:firstLine="720"/>
        <w:jc w:val="both"/>
        <w:rPr>
          <w:rFonts w:asciiTheme="minorHAnsi" w:hAnsiTheme="minorHAnsi"/>
          <w:sz w:val="22"/>
          <w:szCs w:val="22"/>
          <w:lang w:val="es-PE"/>
        </w:rPr>
      </w:pPr>
      <w:r w:rsidRPr="003F600A">
        <w:rPr>
          <w:rFonts w:asciiTheme="minorHAnsi" w:hAnsiTheme="minorHAnsi"/>
          <w:sz w:val="22"/>
          <w:szCs w:val="22"/>
          <w:lang w:val="es-PE"/>
        </w:rPr>
        <w:t xml:space="preserve">El Estado guatemalteco ratificó la </w:t>
      </w:r>
      <w:proofErr w:type="spellStart"/>
      <w:r w:rsidRPr="003F600A">
        <w:rPr>
          <w:rFonts w:asciiTheme="minorHAnsi" w:hAnsiTheme="minorHAnsi"/>
          <w:sz w:val="22"/>
          <w:szCs w:val="22"/>
          <w:lang w:val="es-PE"/>
        </w:rPr>
        <w:t>Convención</w:t>
      </w:r>
      <w:proofErr w:type="spellEnd"/>
      <w:r w:rsidRPr="003F600A">
        <w:rPr>
          <w:rFonts w:asciiTheme="minorHAnsi" w:hAnsiTheme="minorHAnsi"/>
          <w:sz w:val="22"/>
          <w:szCs w:val="22"/>
          <w:lang w:val="es-PE"/>
        </w:rPr>
        <w:t xml:space="preserve"> Americana sobre Derechos Humanos el 25 de mayo de 1978 y aceptó la competencia contenciosa de la Corte Interamericana el 9 de marzo de 1987. </w:t>
      </w:r>
    </w:p>
    <w:p w14:paraId="6BA5BE57" w14:textId="0F53CB56" w:rsidR="000E0A18" w:rsidRPr="003F600A" w:rsidRDefault="00985D82" w:rsidP="000E0A18">
      <w:pPr>
        <w:tabs>
          <w:tab w:val="left" w:pos="810"/>
        </w:tabs>
        <w:spacing w:after="0" w:line="240" w:lineRule="auto"/>
        <w:ind w:firstLine="720"/>
        <w:jc w:val="both"/>
        <w:rPr>
          <w:rFonts w:asciiTheme="minorHAnsi" w:hAnsiTheme="minorHAnsi" w:cs="Arial"/>
          <w:lang w:val="es-CO"/>
        </w:rPr>
      </w:pPr>
      <w:r w:rsidRPr="003F600A">
        <w:rPr>
          <w:rFonts w:asciiTheme="minorHAnsi" w:hAnsiTheme="minorHAnsi"/>
          <w:lang w:val="es-CO"/>
        </w:rPr>
        <w:t>La Comisión ha designado al Comisionado Enrique Gil Botero y al Secretario Ejecutivo Paulo Abr</w:t>
      </w:r>
      <w:proofErr w:type="spellStart"/>
      <w:r w:rsidRPr="003F600A">
        <w:rPr>
          <w:rFonts w:asciiTheme="minorHAnsi" w:hAnsiTheme="minorHAnsi"/>
          <w:lang w:val="es-PE"/>
        </w:rPr>
        <w:t>ão</w:t>
      </w:r>
      <w:proofErr w:type="spellEnd"/>
      <w:r w:rsidRPr="003F600A">
        <w:rPr>
          <w:rFonts w:asciiTheme="minorHAnsi" w:hAnsiTheme="minorHAnsi"/>
          <w:lang w:val="es-PE"/>
        </w:rPr>
        <w:t xml:space="preserve">, </w:t>
      </w:r>
      <w:r w:rsidRPr="003F600A">
        <w:rPr>
          <w:rFonts w:asciiTheme="minorHAnsi" w:hAnsiTheme="minorHAnsi"/>
          <w:lang w:val="es-CO"/>
        </w:rPr>
        <w:t xml:space="preserve">como sus delegados. </w:t>
      </w:r>
      <w:r w:rsidR="00FB1C20" w:rsidRPr="003F600A">
        <w:rPr>
          <w:rFonts w:asciiTheme="minorHAnsi" w:hAnsiTheme="minorHAnsi"/>
          <w:lang w:val="es-CO"/>
        </w:rPr>
        <w:t xml:space="preserve"> </w:t>
      </w:r>
      <w:r w:rsidRPr="003F600A">
        <w:rPr>
          <w:rFonts w:asciiTheme="minorHAnsi" w:hAnsiTheme="minorHAnsi"/>
          <w:lang w:val="es-CO"/>
        </w:rPr>
        <w:t>Asimismo, Elizabeth Abi-Mershed, Secretaria Ejecutiva Adj</w:t>
      </w:r>
      <w:r w:rsidR="00D20CD3" w:rsidRPr="003F600A">
        <w:rPr>
          <w:rFonts w:asciiTheme="minorHAnsi" w:hAnsiTheme="minorHAnsi"/>
          <w:lang w:val="es-CO"/>
        </w:rPr>
        <w:t>unta,</w:t>
      </w:r>
      <w:r w:rsidRPr="003F600A">
        <w:rPr>
          <w:rFonts w:asciiTheme="minorHAnsi" w:hAnsiTheme="minorHAnsi"/>
          <w:lang w:val="es-CO"/>
        </w:rPr>
        <w:t xml:space="preserve"> Silvia Serrano Guzmán</w:t>
      </w:r>
      <w:r w:rsidR="00D20CD3" w:rsidRPr="003F600A">
        <w:rPr>
          <w:rFonts w:asciiTheme="minorHAnsi" w:hAnsiTheme="minorHAnsi"/>
          <w:lang w:val="es-CO"/>
        </w:rPr>
        <w:t xml:space="preserve"> y Erick Acuña Pereda, abogada y abogado</w:t>
      </w:r>
      <w:r w:rsidRPr="003F600A">
        <w:rPr>
          <w:rFonts w:asciiTheme="minorHAnsi" w:hAnsiTheme="minorHAnsi"/>
          <w:lang w:val="es-ES"/>
        </w:rPr>
        <w:t xml:space="preserve"> de la Secretaría Ejecutiva, </w:t>
      </w:r>
      <w:r w:rsidRPr="003F600A">
        <w:rPr>
          <w:rFonts w:asciiTheme="minorHAnsi" w:hAnsiTheme="minorHAnsi"/>
          <w:lang w:val="es-CO"/>
        </w:rPr>
        <w:t>actuarán como asesoras</w:t>
      </w:r>
      <w:r w:rsidR="00A91AEC" w:rsidRPr="003F600A">
        <w:rPr>
          <w:rFonts w:asciiTheme="minorHAnsi" w:hAnsiTheme="minorHAnsi"/>
          <w:lang w:val="es-CO"/>
        </w:rPr>
        <w:t xml:space="preserve"> y asesor</w:t>
      </w:r>
      <w:r w:rsidRPr="003F600A">
        <w:rPr>
          <w:rFonts w:asciiTheme="minorHAnsi" w:hAnsiTheme="minorHAnsi"/>
          <w:lang w:val="es-CO"/>
        </w:rPr>
        <w:t xml:space="preserve"> legales.</w:t>
      </w:r>
    </w:p>
    <w:p w14:paraId="4A6B5737" w14:textId="77777777" w:rsidR="00985D82" w:rsidRPr="003F600A" w:rsidRDefault="00985D82" w:rsidP="00985D82">
      <w:pPr>
        <w:widowControl w:val="0"/>
        <w:tabs>
          <w:tab w:val="left" w:pos="810"/>
        </w:tabs>
        <w:autoSpaceDE w:val="0"/>
        <w:autoSpaceDN w:val="0"/>
        <w:adjustRightInd w:val="0"/>
        <w:spacing w:after="0" w:line="240" w:lineRule="auto"/>
        <w:jc w:val="both"/>
        <w:rPr>
          <w:rFonts w:asciiTheme="minorHAnsi" w:hAnsiTheme="minorHAnsi" w:cs="Arial"/>
          <w:lang w:val="es-ES"/>
        </w:rPr>
      </w:pPr>
    </w:p>
    <w:p w14:paraId="501F186D" w14:textId="77777777" w:rsidR="000E0A18" w:rsidRPr="003F600A" w:rsidRDefault="00985D82" w:rsidP="000E0A18">
      <w:pPr>
        <w:tabs>
          <w:tab w:val="left" w:pos="810"/>
        </w:tabs>
        <w:spacing w:after="0" w:line="240" w:lineRule="auto"/>
        <w:ind w:firstLine="720"/>
        <w:jc w:val="both"/>
        <w:rPr>
          <w:rFonts w:asciiTheme="minorHAnsi" w:hAnsiTheme="minorHAnsi"/>
          <w:lang w:val="es-AR"/>
        </w:rPr>
      </w:pPr>
      <w:r w:rsidRPr="003F600A">
        <w:rPr>
          <w:rFonts w:asciiTheme="minorHAnsi" w:hAnsiTheme="minorHAnsi"/>
          <w:lang w:val="es-CO"/>
        </w:rPr>
        <w:tab/>
      </w:r>
      <w:r w:rsidR="000E0A18" w:rsidRPr="003F600A">
        <w:rPr>
          <w:rFonts w:asciiTheme="minorHAnsi" w:hAnsiTheme="minorHAnsi" w:cs="Arial"/>
          <w:lang w:val="es-CO"/>
        </w:rPr>
        <w:t xml:space="preserve">De conformidad con el artículo 35 del Reglamento de la Corte Interamericana, la Comisión adjunta </w:t>
      </w:r>
      <w:r w:rsidR="000E0A18" w:rsidRPr="003F600A">
        <w:rPr>
          <w:rFonts w:asciiTheme="minorHAnsi" w:hAnsiTheme="minorHAnsi"/>
          <w:lang w:val="es-CO"/>
        </w:rPr>
        <w:t xml:space="preserve">copia del informe de fondo 2/16 elaborado en observancia del artículo 50 de la Convención, así como copia de la totalidad del expediente ante la Comisión Interamericana (Apéndice I) y los anexos utilizados en la elaboración del informe 2/16 (Anexos). </w:t>
      </w:r>
    </w:p>
    <w:p w14:paraId="2D1C7111" w14:textId="77777777" w:rsidR="006065E7" w:rsidRPr="003F600A" w:rsidRDefault="006065E7" w:rsidP="00985D82">
      <w:pPr>
        <w:tabs>
          <w:tab w:val="left" w:pos="810"/>
        </w:tabs>
        <w:spacing w:after="0" w:line="240" w:lineRule="auto"/>
        <w:jc w:val="both"/>
        <w:rPr>
          <w:rFonts w:asciiTheme="minorHAnsi" w:hAnsiTheme="minorHAnsi"/>
          <w:lang w:val="es-CO"/>
        </w:rPr>
      </w:pPr>
    </w:p>
    <w:p w14:paraId="130C5556" w14:textId="6AF8D24B" w:rsidR="00985D82" w:rsidRPr="003F600A" w:rsidRDefault="006065E7" w:rsidP="00985D82">
      <w:pPr>
        <w:tabs>
          <w:tab w:val="left" w:pos="810"/>
        </w:tabs>
        <w:spacing w:after="0" w:line="240" w:lineRule="auto"/>
        <w:jc w:val="both"/>
        <w:rPr>
          <w:rFonts w:asciiTheme="minorHAnsi" w:hAnsiTheme="minorHAnsi"/>
          <w:lang w:val="es-AR"/>
        </w:rPr>
      </w:pPr>
      <w:r w:rsidRPr="003F600A">
        <w:rPr>
          <w:rFonts w:asciiTheme="minorHAnsi" w:hAnsiTheme="minorHAnsi"/>
          <w:lang w:val="es-CO"/>
        </w:rPr>
        <w:tab/>
      </w:r>
      <w:r w:rsidR="00985D82" w:rsidRPr="003F600A">
        <w:rPr>
          <w:rFonts w:asciiTheme="minorHAnsi" w:hAnsiTheme="minorHAnsi"/>
          <w:lang w:val="es-CO"/>
        </w:rPr>
        <w:t xml:space="preserve">Dicho informe de fondo </w:t>
      </w:r>
      <w:r w:rsidR="00985D82" w:rsidRPr="003F600A">
        <w:rPr>
          <w:rFonts w:asciiTheme="minorHAnsi" w:hAnsiTheme="minorHAnsi"/>
          <w:lang w:val="es-AR"/>
        </w:rPr>
        <w:t>fue notificado al Estado el 2</w:t>
      </w:r>
      <w:r w:rsidRPr="003F600A">
        <w:rPr>
          <w:rFonts w:asciiTheme="minorHAnsi" w:hAnsiTheme="minorHAnsi"/>
          <w:lang w:val="es-AR"/>
        </w:rPr>
        <w:t xml:space="preserve"> de junio de 2016</w:t>
      </w:r>
      <w:r w:rsidR="00985D82" w:rsidRPr="003F600A">
        <w:rPr>
          <w:rFonts w:asciiTheme="minorHAnsi" w:hAnsiTheme="minorHAnsi"/>
          <w:lang w:val="es-AR"/>
        </w:rPr>
        <w:t xml:space="preserve">, otorgándole dos meses para informar sobre el cumplimiento de las recomendaciones. </w:t>
      </w:r>
      <w:r w:rsidR="00FB1C20" w:rsidRPr="003F600A">
        <w:rPr>
          <w:rFonts w:asciiTheme="minorHAnsi" w:hAnsiTheme="minorHAnsi"/>
          <w:lang w:val="es-AR"/>
        </w:rPr>
        <w:t xml:space="preserve"> </w:t>
      </w:r>
      <w:r w:rsidR="00985D82" w:rsidRPr="003F600A">
        <w:rPr>
          <w:rFonts w:asciiTheme="minorHAnsi" w:hAnsiTheme="minorHAnsi"/>
          <w:lang w:val="es-AR"/>
        </w:rPr>
        <w:t>El Estado de</w:t>
      </w:r>
      <w:r w:rsidRPr="003F600A">
        <w:rPr>
          <w:rFonts w:asciiTheme="minorHAnsi" w:hAnsiTheme="minorHAnsi"/>
          <w:lang w:val="es-AR"/>
        </w:rPr>
        <w:t xml:space="preserve"> Guatemala </w:t>
      </w:r>
      <w:r w:rsidR="00985D82" w:rsidRPr="003F600A">
        <w:rPr>
          <w:rFonts w:asciiTheme="minorHAnsi" w:hAnsiTheme="minorHAnsi"/>
          <w:lang w:val="es-AR"/>
        </w:rPr>
        <w:t>pr</w:t>
      </w:r>
      <w:r w:rsidR="000024BD" w:rsidRPr="003F600A">
        <w:rPr>
          <w:rFonts w:asciiTheme="minorHAnsi" w:hAnsiTheme="minorHAnsi"/>
          <w:lang w:val="es-AR"/>
        </w:rPr>
        <w:t xml:space="preserve">esentó un escrito en el cual informó sobre acercamientos con </w:t>
      </w:r>
      <w:r w:rsidR="00000E36" w:rsidRPr="003F600A">
        <w:rPr>
          <w:rFonts w:asciiTheme="minorHAnsi" w:hAnsiTheme="minorHAnsi"/>
          <w:lang w:val="es-AR"/>
        </w:rPr>
        <w:t>los petici</w:t>
      </w:r>
      <w:r w:rsidR="00DA2F85" w:rsidRPr="003F600A">
        <w:rPr>
          <w:rFonts w:asciiTheme="minorHAnsi" w:hAnsiTheme="minorHAnsi"/>
          <w:lang w:val="es-AR"/>
        </w:rPr>
        <w:t>onarios y solicitó una prórroga, la</w:t>
      </w:r>
      <w:r w:rsidR="000D1C13" w:rsidRPr="003F600A">
        <w:rPr>
          <w:rFonts w:asciiTheme="minorHAnsi" w:hAnsiTheme="minorHAnsi"/>
          <w:lang w:val="es-AR"/>
        </w:rPr>
        <w:t xml:space="preserve"> cual fue otorgada por la CIDH por un plazo de tres meses. </w:t>
      </w:r>
      <w:r w:rsidR="00FB1C20" w:rsidRPr="003F600A">
        <w:rPr>
          <w:rFonts w:asciiTheme="minorHAnsi" w:hAnsiTheme="minorHAnsi"/>
          <w:lang w:val="es-AR"/>
        </w:rPr>
        <w:t xml:space="preserve"> </w:t>
      </w:r>
      <w:r w:rsidR="00DA2F85" w:rsidRPr="003F600A">
        <w:rPr>
          <w:rFonts w:asciiTheme="minorHAnsi" w:hAnsiTheme="minorHAnsi"/>
          <w:lang w:val="es-AR"/>
        </w:rPr>
        <w:t>Posteriormente, el Estado presentó un nuevo informe en el cual hizo referencia a medidas de alcance general respecto de las personas con VIH/SIDA en Guatemala, sin aportar información concreta</w:t>
      </w:r>
      <w:r w:rsidR="00FA1B55" w:rsidRPr="003F600A">
        <w:rPr>
          <w:rFonts w:asciiTheme="minorHAnsi" w:hAnsiTheme="minorHAnsi"/>
          <w:lang w:val="es-AR"/>
        </w:rPr>
        <w:t xml:space="preserve"> sobre las medidas de reparación en favor de los núcleos cercanos de las víctimas fallecidas ni de las víctimas sobrevivientes. </w:t>
      </w:r>
      <w:r w:rsidR="00FB1C20" w:rsidRPr="003F600A">
        <w:rPr>
          <w:rFonts w:asciiTheme="minorHAnsi" w:hAnsiTheme="minorHAnsi"/>
          <w:lang w:val="es-AR"/>
        </w:rPr>
        <w:t xml:space="preserve"> </w:t>
      </w:r>
      <w:r w:rsidR="00FA1B55" w:rsidRPr="003F600A">
        <w:rPr>
          <w:rFonts w:asciiTheme="minorHAnsi" w:hAnsiTheme="minorHAnsi"/>
          <w:lang w:val="es-AR"/>
        </w:rPr>
        <w:t xml:space="preserve">El Estado tampoco aportó información específica sobre la atención en salud a cada una de las víctimas sobrevivientes individualizadas en el informe de fondo. </w:t>
      </w:r>
      <w:r w:rsidR="00FB1C20" w:rsidRPr="003F600A">
        <w:rPr>
          <w:rFonts w:asciiTheme="minorHAnsi" w:hAnsiTheme="minorHAnsi"/>
          <w:lang w:val="es-AR"/>
        </w:rPr>
        <w:t xml:space="preserve"> </w:t>
      </w:r>
      <w:r w:rsidR="00AB5E31" w:rsidRPr="003F600A">
        <w:rPr>
          <w:rFonts w:asciiTheme="minorHAnsi" w:hAnsiTheme="minorHAnsi"/>
          <w:lang w:val="es-AR"/>
        </w:rPr>
        <w:t>Además, el Estado no solicitó una nueva prórroga ni renunció</w:t>
      </w:r>
      <w:r w:rsidR="00000E36" w:rsidRPr="003F600A">
        <w:rPr>
          <w:rFonts w:asciiTheme="minorHAnsi" w:hAnsiTheme="minorHAnsi"/>
          <w:lang w:val="es-AR"/>
        </w:rPr>
        <w:t xml:space="preserve"> expresamente a interponer excepciones preliminares ante la Corte Interamericana por el incumplimiento del plazo previsto en el </w:t>
      </w:r>
      <w:r w:rsidR="00985D82" w:rsidRPr="003F600A">
        <w:rPr>
          <w:rFonts w:asciiTheme="minorHAnsi" w:hAnsiTheme="minorHAnsi"/>
          <w:lang w:val="es-AR"/>
        </w:rPr>
        <w:t>artículo</w:t>
      </w:r>
      <w:r w:rsidR="00000E36" w:rsidRPr="003F600A">
        <w:rPr>
          <w:rFonts w:asciiTheme="minorHAnsi" w:hAnsiTheme="minorHAnsi"/>
          <w:lang w:val="es-AR"/>
        </w:rPr>
        <w:t xml:space="preserve"> 51 de la Convención Americana, tal como lo exige el Reglamento de la Comisión. </w:t>
      </w:r>
    </w:p>
    <w:p w14:paraId="5B327252" w14:textId="77777777" w:rsidR="00985D82" w:rsidRPr="003F600A" w:rsidRDefault="00985D82" w:rsidP="00985D82">
      <w:pPr>
        <w:tabs>
          <w:tab w:val="left" w:pos="810"/>
        </w:tabs>
        <w:spacing w:after="0" w:line="240" w:lineRule="auto"/>
        <w:ind w:firstLine="720"/>
        <w:jc w:val="both"/>
        <w:rPr>
          <w:rFonts w:asciiTheme="minorHAnsi" w:hAnsiTheme="minorHAnsi"/>
          <w:lang w:val="es-AR"/>
        </w:rPr>
      </w:pPr>
    </w:p>
    <w:p w14:paraId="3958A8D4" w14:textId="60ACD18C" w:rsidR="00985D82" w:rsidRPr="003F600A" w:rsidRDefault="00985D82" w:rsidP="00985D82">
      <w:pPr>
        <w:tabs>
          <w:tab w:val="left" w:pos="810"/>
        </w:tabs>
        <w:spacing w:after="0" w:line="240" w:lineRule="auto"/>
        <w:ind w:firstLine="720"/>
        <w:jc w:val="both"/>
        <w:rPr>
          <w:rFonts w:asciiTheme="minorHAnsi" w:hAnsiTheme="minorHAnsi"/>
          <w:lang w:val="es-AR"/>
        </w:rPr>
      </w:pPr>
      <w:r w:rsidRPr="003F600A">
        <w:rPr>
          <w:rFonts w:asciiTheme="minorHAnsi" w:hAnsiTheme="minorHAnsi"/>
          <w:lang w:val="es-AR"/>
        </w:rPr>
        <w:t>En virtud de lo anterior, l</w:t>
      </w:r>
      <w:r w:rsidRPr="003F600A">
        <w:rPr>
          <w:rFonts w:asciiTheme="minorHAnsi" w:hAnsiTheme="minorHAnsi"/>
          <w:lang w:val="es-CO"/>
        </w:rPr>
        <w:t>a Comisión Interamericana decidió someter a la jurisdicción de la Corte Interamericana la totalidad de los hechos y violaciones de de</w:t>
      </w:r>
      <w:r w:rsidR="00FB1C20" w:rsidRPr="003F600A">
        <w:rPr>
          <w:rFonts w:asciiTheme="minorHAnsi" w:hAnsiTheme="minorHAnsi"/>
          <w:lang w:val="es-CO"/>
        </w:rPr>
        <w:t>rechos humanos descritos en el Informe de F</w:t>
      </w:r>
      <w:r w:rsidRPr="003F600A">
        <w:rPr>
          <w:rFonts w:asciiTheme="minorHAnsi" w:hAnsiTheme="minorHAnsi"/>
          <w:lang w:val="es-CO"/>
        </w:rPr>
        <w:t>ondo</w:t>
      </w:r>
      <w:r w:rsidR="00FB1C20" w:rsidRPr="003F600A">
        <w:rPr>
          <w:rFonts w:asciiTheme="minorHAnsi" w:hAnsiTheme="minorHAnsi"/>
          <w:lang w:val="es-CO"/>
        </w:rPr>
        <w:t xml:space="preserve"> Nº</w:t>
      </w:r>
      <w:r w:rsidRPr="003F600A">
        <w:rPr>
          <w:rFonts w:asciiTheme="minorHAnsi" w:hAnsiTheme="minorHAnsi"/>
          <w:lang w:val="es-CO"/>
        </w:rPr>
        <w:t xml:space="preserve"> </w:t>
      </w:r>
      <w:r w:rsidR="006E20DE" w:rsidRPr="003F600A">
        <w:rPr>
          <w:rFonts w:asciiTheme="minorHAnsi" w:hAnsiTheme="minorHAnsi"/>
          <w:lang w:val="es-CO"/>
        </w:rPr>
        <w:t>2</w:t>
      </w:r>
      <w:r w:rsidRPr="003F600A">
        <w:rPr>
          <w:rFonts w:asciiTheme="minorHAnsi" w:hAnsiTheme="minorHAnsi"/>
          <w:lang w:val="es-CO"/>
        </w:rPr>
        <w:t xml:space="preserve">/16, ante la necesidad de obtención de justicia en el caso particular. </w:t>
      </w:r>
    </w:p>
    <w:p w14:paraId="19519C38" w14:textId="77777777" w:rsidR="00985D82" w:rsidRPr="003F600A" w:rsidRDefault="00985D82" w:rsidP="00985D82">
      <w:pPr>
        <w:tabs>
          <w:tab w:val="left" w:pos="0"/>
          <w:tab w:val="left" w:pos="810"/>
        </w:tabs>
        <w:spacing w:after="0" w:line="240" w:lineRule="auto"/>
        <w:jc w:val="both"/>
        <w:rPr>
          <w:rFonts w:asciiTheme="minorHAnsi" w:hAnsiTheme="minorHAnsi"/>
          <w:lang w:val="es-CO"/>
        </w:rPr>
      </w:pPr>
    </w:p>
    <w:p w14:paraId="5E429C0C" w14:textId="6FC73388" w:rsidR="00FF0C77" w:rsidRPr="003F600A" w:rsidRDefault="00985D82" w:rsidP="00FF0C77">
      <w:pPr>
        <w:spacing w:after="0" w:line="240" w:lineRule="auto"/>
        <w:ind w:firstLine="720"/>
        <w:jc w:val="both"/>
        <w:rPr>
          <w:rFonts w:asciiTheme="minorHAnsi" w:hAnsiTheme="minorHAnsi"/>
          <w:spacing w:val="-2"/>
          <w:lang w:val="es-ES"/>
        </w:rPr>
      </w:pPr>
      <w:r w:rsidRPr="003F600A">
        <w:rPr>
          <w:rFonts w:asciiTheme="minorHAnsi" w:hAnsiTheme="minorHAnsi"/>
          <w:lang w:val="es-CO"/>
        </w:rPr>
        <w:t>En ese sentido, la Comisión solicita a la Corte que concluya y declare la responsabilidad internacional del</w:t>
      </w:r>
      <w:r w:rsidRPr="003F600A">
        <w:rPr>
          <w:rFonts w:asciiTheme="minorHAnsi" w:hAnsiTheme="minorHAnsi" w:cs="Arial"/>
          <w:lang w:val="es-CL"/>
        </w:rPr>
        <w:t xml:space="preserve"> Estado de</w:t>
      </w:r>
      <w:r w:rsidR="00FF0C77" w:rsidRPr="003F600A">
        <w:rPr>
          <w:rFonts w:asciiTheme="minorHAnsi" w:hAnsiTheme="minorHAnsi" w:cs="Arial"/>
          <w:lang w:val="es-CL"/>
        </w:rPr>
        <w:t xml:space="preserve"> Guatemala por </w:t>
      </w:r>
      <w:r w:rsidR="00FF0C77" w:rsidRPr="003F600A">
        <w:rPr>
          <w:rFonts w:asciiTheme="minorHAnsi" w:hAnsiTheme="minorHAnsi" w:cs="Arial"/>
          <w:lang w:val="es-ES"/>
        </w:rPr>
        <w:t xml:space="preserve">la violación de los derechos a la vida, integridad personal y protección judicial, establecidos en los </w:t>
      </w:r>
      <w:r w:rsidR="00FF0C77" w:rsidRPr="003F600A">
        <w:rPr>
          <w:rFonts w:asciiTheme="minorHAnsi" w:hAnsiTheme="minorHAnsi"/>
          <w:lang w:val="es-ES"/>
        </w:rPr>
        <w:t>artículos</w:t>
      </w:r>
      <w:r w:rsidR="00FF0C77" w:rsidRPr="003F600A">
        <w:rPr>
          <w:rFonts w:asciiTheme="minorHAnsi" w:hAnsiTheme="minorHAnsi" w:cs="Arial"/>
          <w:lang w:val="es-ES"/>
        </w:rPr>
        <w:t xml:space="preserve"> 4.1, 5.1 y 25.1 de la Convención Americana en relación con las obligaciones establecidas en el artículo 1.1 del mismo instrumento, en perjuicio de las víctimas y </w:t>
      </w:r>
      <w:r w:rsidR="001820AC" w:rsidRPr="003F600A">
        <w:rPr>
          <w:rFonts w:asciiTheme="minorHAnsi" w:hAnsiTheme="minorHAnsi" w:cs="Arial"/>
          <w:lang w:val="es-ES"/>
        </w:rPr>
        <w:t xml:space="preserve">núcleos cercanos </w:t>
      </w:r>
      <w:r w:rsidR="00FF0C77" w:rsidRPr="003F600A">
        <w:rPr>
          <w:rFonts w:asciiTheme="minorHAnsi" w:hAnsiTheme="minorHAnsi" w:cs="Arial"/>
          <w:lang w:val="es-ES"/>
        </w:rPr>
        <w:t>establecidos a lo largo del informe</w:t>
      </w:r>
      <w:r w:rsidR="009F0CF6" w:rsidRPr="003F600A">
        <w:rPr>
          <w:rFonts w:asciiTheme="minorHAnsi" w:hAnsiTheme="minorHAnsi" w:cs="Arial"/>
          <w:lang w:val="es-ES"/>
        </w:rPr>
        <w:t xml:space="preserve"> de fondo</w:t>
      </w:r>
      <w:r w:rsidR="00FF0C77" w:rsidRPr="003F600A">
        <w:rPr>
          <w:rFonts w:asciiTheme="minorHAnsi" w:hAnsiTheme="minorHAnsi" w:cs="Arial"/>
          <w:lang w:val="es-ES"/>
        </w:rPr>
        <w:t xml:space="preserve">. </w:t>
      </w:r>
    </w:p>
    <w:p w14:paraId="0B2F47D9" w14:textId="7F8F4E82" w:rsidR="00985D82" w:rsidRPr="003F600A" w:rsidRDefault="00985D82" w:rsidP="00B8460F">
      <w:pPr>
        <w:tabs>
          <w:tab w:val="left" w:pos="810"/>
        </w:tabs>
        <w:spacing w:after="0" w:line="240" w:lineRule="auto"/>
        <w:jc w:val="both"/>
        <w:rPr>
          <w:rFonts w:asciiTheme="minorHAnsi" w:hAnsiTheme="minorHAnsi" w:cs="Arial"/>
          <w:lang w:val="es-CL"/>
        </w:rPr>
      </w:pPr>
    </w:p>
    <w:p w14:paraId="2FE40A21" w14:textId="77777777" w:rsidR="00985D82" w:rsidRPr="003F600A" w:rsidRDefault="00985D82" w:rsidP="00E9706C">
      <w:pPr>
        <w:tabs>
          <w:tab w:val="left" w:pos="810"/>
        </w:tabs>
        <w:autoSpaceDE w:val="0"/>
        <w:autoSpaceDN w:val="0"/>
        <w:adjustRightInd w:val="0"/>
        <w:spacing w:after="0" w:line="240" w:lineRule="auto"/>
        <w:ind w:firstLine="720"/>
        <w:jc w:val="both"/>
        <w:rPr>
          <w:rFonts w:asciiTheme="minorHAnsi" w:hAnsiTheme="minorHAnsi"/>
          <w:lang w:val="es-CO"/>
        </w:rPr>
      </w:pPr>
      <w:r w:rsidRPr="003F600A">
        <w:rPr>
          <w:rFonts w:asciiTheme="minorHAnsi" w:hAnsiTheme="minorHAnsi"/>
          <w:lang w:val="es-CO"/>
        </w:rPr>
        <w:t>La Comisión solicita a la Corte Interamericana que establezca las siguientes medidas de reparación:</w:t>
      </w:r>
    </w:p>
    <w:p w14:paraId="5A65539A" w14:textId="77777777" w:rsidR="00985D82" w:rsidRDefault="00985D82" w:rsidP="00E9706C">
      <w:pPr>
        <w:tabs>
          <w:tab w:val="left" w:pos="720"/>
          <w:tab w:val="left" w:pos="810"/>
        </w:tabs>
        <w:autoSpaceDE w:val="0"/>
        <w:autoSpaceDN w:val="0"/>
        <w:adjustRightInd w:val="0"/>
        <w:spacing w:after="0" w:line="240" w:lineRule="auto"/>
        <w:ind w:right="720"/>
        <w:jc w:val="both"/>
        <w:rPr>
          <w:rFonts w:asciiTheme="minorHAnsi" w:hAnsiTheme="minorHAnsi"/>
          <w:lang w:val="es-CO"/>
        </w:rPr>
      </w:pPr>
    </w:p>
    <w:p w14:paraId="58BB1FAA" w14:textId="77777777" w:rsidR="00F83286" w:rsidRDefault="00F83286" w:rsidP="00E9706C">
      <w:pPr>
        <w:tabs>
          <w:tab w:val="left" w:pos="720"/>
          <w:tab w:val="left" w:pos="810"/>
        </w:tabs>
        <w:autoSpaceDE w:val="0"/>
        <w:autoSpaceDN w:val="0"/>
        <w:adjustRightInd w:val="0"/>
        <w:spacing w:after="0" w:line="240" w:lineRule="auto"/>
        <w:ind w:right="720"/>
        <w:jc w:val="both"/>
        <w:rPr>
          <w:rFonts w:asciiTheme="minorHAnsi" w:hAnsiTheme="minorHAnsi"/>
          <w:lang w:val="es-CO"/>
        </w:rPr>
      </w:pPr>
    </w:p>
    <w:p w14:paraId="1DBA9E3E" w14:textId="6D176EF4" w:rsidR="00F83286" w:rsidRDefault="00F83286" w:rsidP="00E9706C">
      <w:pPr>
        <w:tabs>
          <w:tab w:val="left" w:pos="720"/>
          <w:tab w:val="left" w:pos="810"/>
        </w:tabs>
        <w:autoSpaceDE w:val="0"/>
        <w:autoSpaceDN w:val="0"/>
        <w:adjustRightInd w:val="0"/>
        <w:spacing w:after="0" w:line="240" w:lineRule="auto"/>
        <w:ind w:right="720"/>
        <w:jc w:val="both"/>
        <w:rPr>
          <w:rFonts w:asciiTheme="minorHAnsi" w:hAnsiTheme="minorHAnsi"/>
          <w:lang w:val="es-CO"/>
        </w:rPr>
      </w:pPr>
    </w:p>
    <w:p w14:paraId="683B5013" w14:textId="26E9C923" w:rsidR="00E9706C" w:rsidRPr="003F600A" w:rsidRDefault="00E9706C" w:rsidP="00E9706C">
      <w:pPr>
        <w:numPr>
          <w:ilvl w:val="0"/>
          <w:numId w:val="1"/>
        </w:numPr>
        <w:tabs>
          <w:tab w:val="clear" w:pos="1260"/>
          <w:tab w:val="left" w:pos="1080"/>
        </w:tabs>
        <w:suppressAutoHyphens/>
        <w:spacing w:after="0" w:line="240" w:lineRule="auto"/>
        <w:ind w:left="720" w:right="720" w:firstLine="0"/>
        <w:jc w:val="both"/>
        <w:rPr>
          <w:rFonts w:asciiTheme="minorHAnsi" w:hAnsiTheme="minorHAnsi" w:cs="BookAntiqua"/>
          <w:lang w:val="es-ES"/>
        </w:rPr>
      </w:pPr>
      <w:r w:rsidRPr="003F600A">
        <w:rPr>
          <w:rFonts w:asciiTheme="minorHAnsi" w:hAnsiTheme="minorHAnsi"/>
          <w:lang w:val="es-ES"/>
        </w:rPr>
        <w:lastRenderedPageBreak/>
        <w:t xml:space="preserve">Reparar integralmente a las víctimas sobrevivientes y a los familiares y seres queridos de todas las víctimas por las violaciones de derechos humanos declaradas en el informe, incluyendo tanto el aspecto material como moral. </w:t>
      </w:r>
    </w:p>
    <w:p w14:paraId="467BDC84" w14:textId="77777777" w:rsidR="00E9706C" w:rsidRPr="00AE408D" w:rsidRDefault="00E9706C" w:rsidP="00E9706C">
      <w:pPr>
        <w:tabs>
          <w:tab w:val="left" w:pos="1080"/>
        </w:tabs>
        <w:suppressAutoHyphens/>
        <w:spacing w:after="0" w:line="240" w:lineRule="auto"/>
        <w:ind w:left="720" w:right="720"/>
        <w:jc w:val="both"/>
        <w:rPr>
          <w:rFonts w:asciiTheme="minorHAnsi" w:hAnsiTheme="minorHAnsi" w:cs="BookAntiqua"/>
          <w:sz w:val="14"/>
          <w:szCs w:val="14"/>
          <w:lang w:val="es-ES"/>
        </w:rPr>
      </w:pPr>
    </w:p>
    <w:p w14:paraId="18C79836" w14:textId="60EFD0D5" w:rsidR="00E9706C" w:rsidRPr="003F600A" w:rsidRDefault="00E9706C" w:rsidP="00E9706C">
      <w:pPr>
        <w:numPr>
          <w:ilvl w:val="0"/>
          <w:numId w:val="1"/>
        </w:numPr>
        <w:tabs>
          <w:tab w:val="clear" w:pos="1260"/>
          <w:tab w:val="left" w:pos="1080"/>
        </w:tabs>
        <w:suppressAutoHyphens/>
        <w:spacing w:after="0" w:line="240" w:lineRule="auto"/>
        <w:ind w:left="720" w:right="720" w:firstLine="0"/>
        <w:jc w:val="both"/>
        <w:rPr>
          <w:rFonts w:asciiTheme="minorHAnsi" w:hAnsiTheme="minorHAnsi" w:cs="BookAntiqua"/>
          <w:lang w:val="es-ES"/>
        </w:rPr>
      </w:pPr>
      <w:r w:rsidRPr="003F600A">
        <w:rPr>
          <w:rFonts w:asciiTheme="minorHAnsi" w:hAnsiTheme="minorHAnsi" w:cs="BookAntiqua"/>
          <w:lang w:val="es-ES"/>
        </w:rPr>
        <w:t xml:space="preserve">Adoptar inmediatamente las medidas necesarias para asegurar que todas las víctimas sobrevivientes del presente caso cuenten con atención médica integral, según los estándares internacionales, que incluya entre otras necesidades: i) la realización de diagnósticos completos y de exámenes de seguimiento periódicos; ii) la provisión permanente e ininterrumpida de los medicamentos antiretrovirales requeridos y de otros que puedan necesitar derivados de su situación concreta de salud; iii) la atención en salud mental para las víctimas que así lo deseen; y iv) la atención diferenciada requerida por las víctimas mujeres en este caso, con especial consideración a su capacidad reproductiva. </w:t>
      </w:r>
      <w:r w:rsidR="00FB1C20" w:rsidRPr="003F600A">
        <w:rPr>
          <w:rFonts w:asciiTheme="minorHAnsi" w:hAnsiTheme="minorHAnsi" w:cs="BookAntiqua"/>
          <w:lang w:val="es-ES"/>
        </w:rPr>
        <w:t xml:space="preserve"> </w:t>
      </w:r>
      <w:r w:rsidRPr="003F600A">
        <w:rPr>
          <w:rFonts w:asciiTheme="minorHAnsi" w:hAnsiTheme="minorHAnsi" w:cs="BookAntiqua"/>
          <w:lang w:val="es-ES"/>
        </w:rPr>
        <w:t xml:space="preserve">El Estado deberá asegurar que las víctimas no tengan que sufrir obstáculos de accesibilidad o de otra índole para la obtención de la atención integral en los términos de la presente recomendación. </w:t>
      </w:r>
    </w:p>
    <w:p w14:paraId="3C270471" w14:textId="77777777" w:rsidR="00E9706C" w:rsidRPr="00AE408D" w:rsidRDefault="00E9706C" w:rsidP="00E9706C">
      <w:pPr>
        <w:tabs>
          <w:tab w:val="left" w:pos="1080"/>
        </w:tabs>
        <w:autoSpaceDE w:val="0"/>
        <w:autoSpaceDN w:val="0"/>
        <w:adjustRightInd w:val="0"/>
        <w:spacing w:after="0" w:line="240" w:lineRule="auto"/>
        <w:ind w:left="720" w:right="720"/>
        <w:jc w:val="both"/>
        <w:rPr>
          <w:rFonts w:asciiTheme="minorHAnsi" w:hAnsiTheme="minorHAnsi" w:cs="BookAntiqua"/>
          <w:sz w:val="14"/>
          <w:szCs w:val="14"/>
          <w:lang w:val="es-ES"/>
        </w:rPr>
      </w:pPr>
    </w:p>
    <w:p w14:paraId="3FE23F10" w14:textId="71D60FFD" w:rsidR="00E9706C" w:rsidRPr="003F600A" w:rsidRDefault="00E9706C" w:rsidP="00E9706C">
      <w:pPr>
        <w:numPr>
          <w:ilvl w:val="0"/>
          <w:numId w:val="1"/>
        </w:numPr>
        <w:tabs>
          <w:tab w:val="clear" w:pos="1260"/>
          <w:tab w:val="left" w:pos="1080"/>
        </w:tabs>
        <w:suppressAutoHyphens/>
        <w:spacing w:after="0" w:line="240" w:lineRule="auto"/>
        <w:ind w:left="720" w:right="720" w:firstLine="0"/>
        <w:jc w:val="both"/>
        <w:rPr>
          <w:rFonts w:asciiTheme="minorHAnsi" w:hAnsiTheme="minorHAnsi"/>
          <w:lang w:val="es-ES"/>
        </w:rPr>
      </w:pPr>
      <w:r w:rsidRPr="003F600A">
        <w:rPr>
          <w:rFonts w:asciiTheme="minorHAnsi" w:hAnsiTheme="minorHAnsi" w:cs="BookAntiqua"/>
          <w:lang w:val="es-ES"/>
        </w:rPr>
        <w:t xml:space="preserve">Disponer mecanismos de no repetición que incluyan, entre otras, i) la provisión de tratamiento y atención en salud gratuita, integral e ininterrumpida a las personas con VIH/SIDA que no cuenten con recursos para ello; </w:t>
      </w:r>
      <w:r w:rsidRPr="003F600A">
        <w:rPr>
          <w:rFonts w:asciiTheme="minorHAnsi" w:hAnsiTheme="minorHAnsi"/>
          <w:lang w:val="es-ES"/>
        </w:rPr>
        <w:t xml:space="preserve">ii) </w:t>
      </w:r>
      <w:r w:rsidRPr="003F600A">
        <w:rPr>
          <w:rFonts w:asciiTheme="minorHAnsi" w:hAnsiTheme="minorHAnsi" w:cs="BookAntiqua"/>
          <w:lang w:val="es-ES"/>
        </w:rPr>
        <w:t>la implementación de mecanismos serios y efectivos de supervisión y fiscalización periódica de los hospitales públicos a fin de asegurar que se brinde una atención integral en materia de salud a las personas con VIH/SIDA que no cuenten con recursos para ello; y iii) la implementación de programas de capacitación al personal de hospitales públicos a fin de asegurar que ejerzan sus labores de manera compatible con los estándares reconocidos internacionalmente y descritos en el informe.</w:t>
      </w:r>
    </w:p>
    <w:p w14:paraId="287B1464" w14:textId="085A4CB1" w:rsidR="00985D82" w:rsidRPr="00AE408D" w:rsidRDefault="00985D82" w:rsidP="00E9706C">
      <w:pPr>
        <w:tabs>
          <w:tab w:val="left" w:pos="0"/>
          <w:tab w:val="left" w:pos="1080"/>
        </w:tabs>
        <w:spacing w:after="0" w:line="240" w:lineRule="auto"/>
        <w:ind w:right="720"/>
        <w:jc w:val="both"/>
        <w:rPr>
          <w:rFonts w:asciiTheme="minorHAnsi" w:eastAsia="Times New Roman" w:hAnsiTheme="minorHAnsi"/>
          <w:sz w:val="14"/>
          <w:szCs w:val="14"/>
          <w:lang w:val="es-ES"/>
        </w:rPr>
      </w:pPr>
    </w:p>
    <w:p w14:paraId="14CA0497" w14:textId="319AA65D" w:rsidR="00985D82" w:rsidRPr="003F600A" w:rsidRDefault="00985D82" w:rsidP="00E9706C">
      <w:pPr>
        <w:spacing w:after="0" w:line="240" w:lineRule="auto"/>
        <w:ind w:firstLine="720"/>
        <w:jc w:val="both"/>
        <w:rPr>
          <w:rFonts w:asciiTheme="minorHAnsi" w:eastAsia="Times New Roman" w:hAnsiTheme="minorHAnsi" w:cs="Cambria"/>
          <w:color w:val="000000"/>
          <w:lang w:val="es-CO"/>
        </w:rPr>
      </w:pPr>
      <w:r w:rsidRPr="003F600A">
        <w:rPr>
          <w:rFonts w:asciiTheme="minorHAnsi" w:hAnsiTheme="minorHAnsi" w:cs="Arial"/>
          <w:color w:val="000000"/>
          <w:lang w:val="es-CL"/>
        </w:rPr>
        <w:t xml:space="preserve">Además de la necesidad de obtención de justicia, la Comisión destaca que el presente caso involucra cuestiones de orden público interamericano. </w:t>
      </w:r>
      <w:r w:rsidR="003F600A" w:rsidRPr="003F600A">
        <w:rPr>
          <w:rFonts w:asciiTheme="minorHAnsi" w:hAnsiTheme="minorHAnsi" w:cs="Arial"/>
          <w:color w:val="000000"/>
          <w:lang w:val="es-CL"/>
        </w:rPr>
        <w:t xml:space="preserve"> </w:t>
      </w:r>
      <w:r w:rsidRPr="003F600A">
        <w:rPr>
          <w:rFonts w:asciiTheme="minorHAnsi" w:hAnsiTheme="minorHAnsi" w:cs="Arial"/>
          <w:color w:val="000000"/>
          <w:lang w:val="es-CL"/>
        </w:rPr>
        <w:t>La</w:t>
      </w:r>
      <w:r w:rsidRPr="003F600A">
        <w:rPr>
          <w:rFonts w:asciiTheme="minorHAnsi" w:eastAsia="Times New Roman" w:hAnsiTheme="minorHAnsi" w:cs="Cambria"/>
          <w:color w:val="000000"/>
          <w:lang w:val="es-CO"/>
        </w:rPr>
        <w:t xml:space="preserve"> Comisión considera que</w:t>
      </w:r>
      <w:r w:rsidR="00525D7A" w:rsidRPr="003F600A">
        <w:rPr>
          <w:rFonts w:asciiTheme="minorHAnsi" w:eastAsia="Times New Roman" w:hAnsiTheme="minorHAnsi" w:cs="Cambria"/>
          <w:color w:val="000000"/>
          <w:lang w:val="es-CO"/>
        </w:rPr>
        <w:t xml:space="preserve"> el </w:t>
      </w:r>
      <w:r w:rsidR="00525D7A" w:rsidRPr="003F600A">
        <w:rPr>
          <w:rFonts w:asciiTheme="minorHAnsi" w:eastAsia="Times New Roman" w:hAnsiTheme="minorHAnsi" w:cs="Cambria"/>
          <w:lang w:val="es-CO"/>
        </w:rPr>
        <w:t xml:space="preserve">caso le permitirá a la Honorable Corte desarrollar su jurisprudencia sobre las obligaciones internacionales del Estado derivadas del derecho </w:t>
      </w:r>
      <w:r w:rsidR="002B2D9D" w:rsidRPr="003F600A">
        <w:rPr>
          <w:rFonts w:asciiTheme="minorHAnsi" w:eastAsia="Times New Roman" w:hAnsiTheme="minorHAnsi" w:cs="Cambria"/>
          <w:lang w:val="es-CO"/>
        </w:rPr>
        <w:t>a la  vida, integridad y salud</w:t>
      </w:r>
      <w:r w:rsidR="00525D7A" w:rsidRPr="003F600A">
        <w:rPr>
          <w:rFonts w:asciiTheme="minorHAnsi" w:eastAsia="Times New Roman" w:hAnsiTheme="minorHAnsi" w:cs="Cambria"/>
          <w:lang w:val="es-CO"/>
        </w:rPr>
        <w:t xml:space="preserve">, respecto de personas que viven con VIH/SIDA bajo su jurisdicción. </w:t>
      </w:r>
      <w:r w:rsidR="003F600A" w:rsidRPr="003F600A">
        <w:rPr>
          <w:rFonts w:asciiTheme="minorHAnsi" w:eastAsia="Times New Roman" w:hAnsiTheme="minorHAnsi" w:cs="Cambria"/>
          <w:lang w:val="es-CO"/>
        </w:rPr>
        <w:t xml:space="preserve"> </w:t>
      </w:r>
      <w:r w:rsidR="00525D7A" w:rsidRPr="003F600A">
        <w:rPr>
          <w:rFonts w:asciiTheme="minorHAnsi" w:eastAsia="Times New Roman" w:hAnsiTheme="minorHAnsi" w:cs="Cambria"/>
          <w:lang w:val="es-CO"/>
        </w:rPr>
        <w:t xml:space="preserve">Específicamente, el caso permitirá a la Corte profundizar en las especificidades de la atención integral en salud de que son titulares dichas personas, incluyendo </w:t>
      </w:r>
      <w:r w:rsidR="00525D7A" w:rsidRPr="003F600A">
        <w:rPr>
          <w:rFonts w:asciiTheme="minorHAnsi" w:hAnsiTheme="minorHAnsi"/>
          <w:lang w:val="es-ES"/>
        </w:rPr>
        <w:t xml:space="preserve">la realización de exámenes de diagnóstico y seguimiento, el otorgamiento de medicamentos antirretrovirales y el seguimiento físico y psicológico necesario. </w:t>
      </w:r>
      <w:r w:rsidR="003F600A" w:rsidRPr="003F600A">
        <w:rPr>
          <w:rFonts w:asciiTheme="minorHAnsi" w:hAnsiTheme="minorHAnsi"/>
          <w:lang w:val="es-ES"/>
        </w:rPr>
        <w:t xml:space="preserve"> </w:t>
      </w:r>
      <w:r w:rsidR="00525D7A" w:rsidRPr="003F600A">
        <w:rPr>
          <w:rFonts w:asciiTheme="minorHAnsi" w:hAnsiTheme="minorHAnsi"/>
          <w:lang w:val="es-ES"/>
        </w:rPr>
        <w:t>Asimismo, la Corte Interamericana podrá pronunci</w:t>
      </w:r>
      <w:r w:rsidR="000B3311" w:rsidRPr="003F600A">
        <w:rPr>
          <w:rFonts w:asciiTheme="minorHAnsi" w:hAnsiTheme="minorHAnsi"/>
          <w:lang w:val="es-ES"/>
        </w:rPr>
        <w:t xml:space="preserve">arse sobre las características </w:t>
      </w:r>
      <w:r w:rsidR="00525D7A" w:rsidRPr="003F600A">
        <w:rPr>
          <w:rFonts w:asciiTheme="minorHAnsi" w:hAnsiTheme="minorHAnsi"/>
          <w:lang w:val="es-ES"/>
        </w:rPr>
        <w:t xml:space="preserve">con las que debe contar un recurso para proteger la </w:t>
      </w:r>
      <w:r w:rsidR="00D1152B" w:rsidRPr="003F600A">
        <w:rPr>
          <w:rFonts w:asciiTheme="minorHAnsi" w:hAnsiTheme="minorHAnsi"/>
          <w:lang w:val="es-ES"/>
        </w:rPr>
        <w:t xml:space="preserve">vida, integridad personal y salud </w:t>
      </w:r>
      <w:r w:rsidR="00525D7A" w:rsidRPr="003F600A">
        <w:rPr>
          <w:rFonts w:asciiTheme="minorHAnsi" w:hAnsiTheme="minorHAnsi"/>
          <w:lang w:val="es-ES"/>
        </w:rPr>
        <w:t xml:space="preserve">de personas que viven con VIH/SIDA a fin de que sea considerado como sencillo y efectivo en los términos de la Convención. </w:t>
      </w:r>
    </w:p>
    <w:p w14:paraId="251EDA8A" w14:textId="77777777" w:rsidR="00985D82" w:rsidRPr="00AE408D" w:rsidRDefault="00985D82" w:rsidP="00985D82">
      <w:pPr>
        <w:tabs>
          <w:tab w:val="left" w:pos="810"/>
        </w:tabs>
        <w:autoSpaceDE w:val="0"/>
        <w:autoSpaceDN w:val="0"/>
        <w:adjustRightInd w:val="0"/>
        <w:spacing w:after="0" w:line="240" w:lineRule="auto"/>
        <w:jc w:val="both"/>
        <w:rPr>
          <w:rFonts w:asciiTheme="minorHAnsi" w:hAnsiTheme="minorHAnsi" w:cs="Arial"/>
          <w:sz w:val="14"/>
          <w:szCs w:val="14"/>
          <w:lang w:val="es-CL"/>
        </w:rPr>
      </w:pPr>
    </w:p>
    <w:p w14:paraId="2BB2B720" w14:textId="77777777" w:rsidR="00985D82" w:rsidRPr="003F600A" w:rsidRDefault="00985D82" w:rsidP="00985D82">
      <w:pPr>
        <w:tabs>
          <w:tab w:val="left" w:pos="810"/>
        </w:tabs>
        <w:autoSpaceDE w:val="0"/>
        <w:autoSpaceDN w:val="0"/>
        <w:adjustRightInd w:val="0"/>
        <w:spacing w:after="0" w:line="240" w:lineRule="auto"/>
        <w:ind w:firstLine="720"/>
        <w:jc w:val="both"/>
        <w:rPr>
          <w:rFonts w:asciiTheme="minorHAnsi" w:hAnsiTheme="minorHAnsi" w:cs="Arial"/>
          <w:lang w:val="es-CL"/>
        </w:rPr>
      </w:pPr>
      <w:r w:rsidRPr="003F600A">
        <w:rPr>
          <w:rFonts w:asciiTheme="minorHAnsi" w:hAnsiTheme="minorHAnsi" w:cs="Arial"/>
          <w:lang w:val="es-CL"/>
        </w:rPr>
        <w:t>En virtud de que estas cuestiones afectan de manera relevante el orden público interamericano, de conformidad con el artículo 35.1 f) del Reglamento de la Corte Interamericana, la Comisión se permite ofrecer la siguiente declaración pericial:</w:t>
      </w:r>
    </w:p>
    <w:p w14:paraId="02281C0C" w14:textId="77777777" w:rsidR="00985D82" w:rsidRPr="00AE408D" w:rsidRDefault="00985D82" w:rsidP="00985D82">
      <w:pPr>
        <w:tabs>
          <w:tab w:val="left" w:pos="810"/>
        </w:tabs>
        <w:autoSpaceDE w:val="0"/>
        <w:autoSpaceDN w:val="0"/>
        <w:adjustRightInd w:val="0"/>
        <w:spacing w:after="0" w:line="240" w:lineRule="auto"/>
        <w:ind w:right="480"/>
        <w:jc w:val="both"/>
        <w:rPr>
          <w:rFonts w:asciiTheme="minorHAnsi" w:hAnsiTheme="minorHAnsi" w:cs="Arial"/>
          <w:sz w:val="14"/>
          <w:szCs w:val="14"/>
          <w:lang w:val="es-CL"/>
        </w:rPr>
      </w:pPr>
    </w:p>
    <w:p w14:paraId="6A5795A3" w14:textId="77777777" w:rsidR="00F83286" w:rsidRPr="00F83286" w:rsidRDefault="00F83286" w:rsidP="00F83286">
      <w:pPr>
        <w:tabs>
          <w:tab w:val="left" w:pos="810"/>
          <w:tab w:val="left" w:pos="9356"/>
        </w:tabs>
        <w:spacing w:after="0" w:line="240" w:lineRule="auto"/>
        <w:ind w:right="4" w:firstLine="720"/>
        <w:jc w:val="both"/>
        <w:rPr>
          <w:rFonts w:asciiTheme="minorHAnsi" w:hAnsiTheme="minorHAnsi"/>
          <w:lang w:val="es-CO"/>
        </w:rPr>
      </w:pPr>
      <w:r w:rsidRPr="00F83286">
        <w:rPr>
          <w:rFonts w:asciiTheme="minorHAnsi" w:hAnsiTheme="minorHAnsi" w:cs="Courier New"/>
          <w:b/>
          <w:lang w:val="es-ES_tradnl"/>
        </w:rPr>
        <w:t>Perito/a cuyo nombre será informado a la brevedad</w:t>
      </w:r>
      <w:r w:rsidRPr="00F83286">
        <w:rPr>
          <w:rFonts w:asciiTheme="minorHAnsi" w:hAnsiTheme="minorHAnsi"/>
          <w:iCs/>
          <w:lang w:val="es-ES_tradnl"/>
        </w:rPr>
        <w:t xml:space="preserve">, quien declarará sobre los estándares internacionales que determinan las obligaciones estatales frente a las personas que viven con VIH/SIDA bajo su jurisdicción. El/la perito/a se referirá al alcance de la atención en salud a dichas personas para que pueda considerarse acorde con dichos estándares. Asimismo, el/la perito/a se referirá a las obligaciones estatales diferenciadas respecto de las mujeres que viven con VIH/SIDA, particularmente en edad reproductiva. El/la perito/a se referirá a las características que debe tener un recurso para ser considerado como sencillo y efectivo para proteger los derechos a la vida e integridad personal en relación con el derecho a la salud, en supuestos de falta de tratamiento adecuado para personas con </w:t>
      </w:r>
      <w:r w:rsidRPr="00F83286">
        <w:rPr>
          <w:rFonts w:asciiTheme="minorHAnsi" w:hAnsiTheme="minorHAnsi"/>
          <w:iCs/>
          <w:lang w:val="es-ES_tradnl"/>
        </w:rPr>
        <w:lastRenderedPageBreak/>
        <w:t>VIH/SIDA. El/la perito/a se referirá, en la medida de lo pertinente, a los hechos del caso a la luz de los estándares desarrollados en el peritaje.</w:t>
      </w:r>
    </w:p>
    <w:p w14:paraId="48DC7DC3" w14:textId="77777777" w:rsidR="00985D82" w:rsidRPr="00F83286" w:rsidRDefault="00985D82" w:rsidP="00985D82">
      <w:pPr>
        <w:tabs>
          <w:tab w:val="left" w:pos="810"/>
        </w:tabs>
        <w:spacing w:after="0" w:line="240" w:lineRule="auto"/>
        <w:jc w:val="both"/>
        <w:rPr>
          <w:rFonts w:asciiTheme="minorHAnsi" w:hAnsiTheme="minorHAnsi"/>
          <w:iCs/>
          <w:lang w:val="es-ES_tradnl"/>
        </w:rPr>
      </w:pPr>
    </w:p>
    <w:p w14:paraId="4DD170F7" w14:textId="3D865E15" w:rsidR="00985D82" w:rsidRPr="003F600A" w:rsidRDefault="00985D82" w:rsidP="00985D82">
      <w:pPr>
        <w:tabs>
          <w:tab w:val="left" w:pos="0"/>
          <w:tab w:val="left" w:pos="810"/>
        </w:tabs>
        <w:spacing w:after="0" w:line="240" w:lineRule="auto"/>
        <w:ind w:firstLine="720"/>
        <w:jc w:val="both"/>
        <w:rPr>
          <w:rFonts w:asciiTheme="minorHAnsi" w:hAnsiTheme="minorHAnsi"/>
          <w:lang w:val="es-CO"/>
        </w:rPr>
      </w:pPr>
      <w:r w:rsidRPr="003F600A">
        <w:rPr>
          <w:rFonts w:asciiTheme="minorHAnsi" w:hAnsiTheme="minorHAnsi"/>
          <w:lang w:val="es-AR"/>
        </w:rPr>
        <w:t>El CV del/la perito/</w:t>
      </w:r>
      <w:proofErr w:type="spellStart"/>
      <w:r w:rsidRPr="003F600A">
        <w:rPr>
          <w:rFonts w:asciiTheme="minorHAnsi" w:hAnsiTheme="minorHAnsi"/>
          <w:lang w:val="es-AR"/>
        </w:rPr>
        <w:t>a</w:t>
      </w:r>
      <w:proofErr w:type="spellEnd"/>
      <w:r w:rsidRPr="003F600A">
        <w:rPr>
          <w:rFonts w:asciiTheme="minorHAnsi" w:hAnsiTheme="minorHAnsi"/>
          <w:lang w:val="es-AR"/>
        </w:rPr>
        <w:t xml:space="preserve"> ofrecido/a </w:t>
      </w:r>
      <w:r w:rsidRPr="003F600A">
        <w:rPr>
          <w:rFonts w:asciiTheme="minorHAnsi" w:hAnsiTheme="minorHAnsi"/>
          <w:lang w:val="es-CO"/>
        </w:rPr>
        <w:t>se</w:t>
      </w:r>
      <w:r w:rsidR="009E7A58">
        <w:rPr>
          <w:rFonts w:asciiTheme="minorHAnsi" w:hAnsiTheme="minorHAnsi"/>
          <w:lang w:val="es-CO"/>
        </w:rPr>
        <w:t>rá</w:t>
      </w:r>
      <w:r w:rsidR="00B376ED">
        <w:rPr>
          <w:rFonts w:asciiTheme="minorHAnsi" w:hAnsiTheme="minorHAnsi"/>
          <w:lang w:val="es-CO"/>
        </w:rPr>
        <w:t xml:space="preserve"> incluido</w:t>
      </w:r>
      <w:r w:rsidR="009E7A58">
        <w:rPr>
          <w:rFonts w:asciiTheme="minorHAnsi" w:hAnsiTheme="minorHAnsi"/>
          <w:lang w:val="es-CO"/>
        </w:rPr>
        <w:t xml:space="preserve"> en los anexos al Informe de F</w:t>
      </w:r>
      <w:r w:rsidRPr="003F600A">
        <w:rPr>
          <w:rFonts w:asciiTheme="minorHAnsi" w:hAnsiTheme="minorHAnsi"/>
          <w:lang w:val="es-CO"/>
        </w:rPr>
        <w:t>ondo</w:t>
      </w:r>
      <w:r w:rsidR="009E7A58">
        <w:rPr>
          <w:rFonts w:asciiTheme="minorHAnsi" w:hAnsiTheme="minorHAnsi"/>
          <w:lang w:val="es-CO"/>
        </w:rPr>
        <w:t xml:space="preserve"> Nº</w:t>
      </w:r>
      <w:r w:rsidRPr="003F600A">
        <w:rPr>
          <w:rFonts w:asciiTheme="minorHAnsi" w:hAnsiTheme="minorHAnsi"/>
          <w:lang w:val="es-CO"/>
        </w:rPr>
        <w:t xml:space="preserve"> </w:t>
      </w:r>
      <w:r w:rsidR="00B77227" w:rsidRPr="003F600A">
        <w:rPr>
          <w:rFonts w:asciiTheme="minorHAnsi" w:hAnsiTheme="minorHAnsi"/>
          <w:lang w:val="es-CO"/>
        </w:rPr>
        <w:t>2</w:t>
      </w:r>
      <w:r w:rsidRPr="003F600A">
        <w:rPr>
          <w:rFonts w:asciiTheme="minorHAnsi" w:hAnsiTheme="minorHAnsi"/>
          <w:lang w:val="es-CO"/>
        </w:rPr>
        <w:t xml:space="preserve">/16. </w:t>
      </w:r>
    </w:p>
    <w:p w14:paraId="76E78660" w14:textId="77777777" w:rsidR="00985D82" w:rsidRPr="003F600A" w:rsidRDefault="00985D82" w:rsidP="00985D82">
      <w:pPr>
        <w:tabs>
          <w:tab w:val="left" w:pos="0"/>
          <w:tab w:val="left" w:pos="810"/>
        </w:tabs>
        <w:spacing w:after="0" w:line="240" w:lineRule="auto"/>
        <w:jc w:val="both"/>
        <w:rPr>
          <w:rFonts w:asciiTheme="minorHAnsi" w:hAnsiTheme="minorHAnsi"/>
          <w:lang w:val="es-CO"/>
        </w:rPr>
      </w:pPr>
    </w:p>
    <w:p w14:paraId="2B1AF821" w14:textId="700A963D" w:rsidR="00985D82" w:rsidRPr="003F600A" w:rsidRDefault="00985D82" w:rsidP="00985D82">
      <w:pPr>
        <w:tabs>
          <w:tab w:val="left" w:pos="0"/>
          <w:tab w:val="left" w:pos="810"/>
        </w:tabs>
        <w:spacing w:after="0" w:line="240" w:lineRule="auto"/>
        <w:ind w:firstLine="720"/>
        <w:jc w:val="both"/>
        <w:rPr>
          <w:rFonts w:asciiTheme="minorHAnsi" w:hAnsiTheme="minorHAnsi"/>
          <w:lang w:val="es-CO"/>
        </w:rPr>
      </w:pPr>
      <w:r w:rsidRPr="003F600A">
        <w:rPr>
          <w:rFonts w:asciiTheme="minorHAnsi" w:hAnsiTheme="minorHAnsi"/>
          <w:lang w:val="es-ES_tradnl"/>
        </w:rPr>
        <w:t xml:space="preserve">La Comisión pone en conocimiento de la Corte la siguiente información sobre quienes actuaron como peticionarios a lo largo </w:t>
      </w:r>
      <w:r w:rsidR="00265E62">
        <w:rPr>
          <w:rFonts w:asciiTheme="minorHAnsi" w:hAnsiTheme="minorHAnsi"/>
          <w:lang w:val="es-ES_tradnl"/>
        </w:rPr>
        <w:t>del trámite del caso:</w:t>
      </w:r>
    </w:p>
    <w:p w14:paraId="44ADC927" w14:textId="77777777" w:rsidR="00985D82" w:rsidRPr="003F600A" w:rsidRDefault="00985D82" w:rsidP="00985D82">
      <w:pPr>
        <w:widowControl w:val="0"/>
        <w:tabs>
          <w:tab w:val="left" w:pos="810"/>
        </w:tabs>
        <w:autoSpaceDE w:val="0"/>
        <w:autoSpaceDN w:val="0"/>
        <w:adjustRightInd w:val="0"/>
        <w:spacing w:after="0" w:line="240" w:lineRule="auto"/>
        <w:jc w:val="center"/>
        <w:rPr>
          <w:rFonts w:asciiTheme="minorHAnsi" w:eastAsia="Times New Roman" w:hAnsiTheme="minorHAnsi" w:cs="Tahoma"/>
          <w:lang w:val="es-ES" w:bidi="en-US"/>
        </w:rPr>
      </w:pPr>
    </w:p>
    <w:p w14:paraId="5337E803" w14:textId="77777777" w:rsidR="0083639E" w:rsidRPr="003F600A" w:rsidRDefault="0083639E" w:rsidP="0083639E">
      <w:pPr>
        <w:widowControl w:val="0"/>
        <w:autoSpaceDE w:val="0"/>
        <w:autoSpaceDN w:val="0"/>
        <w:adjustRightInd w:val="0"/>
        <w:spacing w:after="0" w:line="240" w:lineRule="auto"/>
        <w:ind w:left="2880" w:firstLine="720"/>
        <w:rPr>
          <w:rFonts w:asciiTheme="minorHAnsi" w:eastAsiaTheme="minorHAnsi" w:hAnsiTheme="minorHAnsi" w:cs="Times"/>
          <w:lang w:val="es-PE"/>
        </w:rPr>
      </w:pPr>
      <w:r w:rsidRPr="003F600A">
        <w:rPr>
          <w:rFonts w:asciiTheme="minorHAnsi" w:eastAsiaTheme="minorHAnsi" w:hAnsiTheme="minorHAnsi" w:cs="Times"/>
          <w:lang w:val="es-PE"/>
        </w:rPr>
        <w:t>CEJIL Mesoamérica</w:t>
      </w:r>
    </w:p>
    <w:p w14:paraId="68D0B140" w14:textId="33D30730" w:rsidR="00985D82" w:rsidRDefault="00565484" w:rsidP="0083639E">
      <w:pPr>
        <w:tabs>
          <w:tab w:val="left" w:pos="810"/>
        </w:tabs>
        <w:autoSpaceDE w:val="0"/>
        <w:autoSpaceDN w:val="0"/>
        <w:adjustRightInd w:val="0"/>
        <w:spacing w:after="0" w:line="240" w:lineRule="auto"/>
        <w:jc w:val="center"/>
        <w:rPr>
          <w:rFonts w:asciiTheme="minorHAnsi" w:eastAsiaTheme="minorHAnsi" w:hAnsiTheme="minorHAnsi" w:cs="Times"/>
          <w:lang w:val="es-PE"/>
        </w:rPr>
      </w:pPr>
      <w:proofErr w:type="spellStart"/>
      <w:proofErr w:type="gramStart"/>
      <w:r w:rsidRPr="00565484">
        <w:rPr>
          <w:rFonts w:asciiTheme="minorHAnsi" w:eastAsiaTheme="minorHAnsi" w:hAnsiTheme="minorHAnsi" w:cs="Times"/>
          <w:highlight w:val="black"/>
          <w:lang w:val="es-PE"/>
        </w:rPr>
        <w:t>xxxxxxxxxxxxxxxxxxxxxxxxxxxxxxxx</w:t>
      </w:r>
      <w:proofErr w:type="spellEnd"/>
      <w:proofErr w:type="gramEnd"/>
    </w:p>
    <w:p w14:paraId="1CF32637" w14:textId="77777777" w:rsidR="0083639E" w:rsidRPr="00265E62" w:rsidRDefault="0083639E" w:rsidP="00985D82">
      <w:pPr>
        <w:tabs>
          <w:tab w:val="left" w:pos="0"/>
          <w:tab w:val="left" w:pos="810"/>
        </w:tabs>
        <w:spacing w:after="0" w:line="240" w:lineRule="auto"/>
        <w:ind w:firstLine="720"/>
        <w:jc w:val="both"/>
        <w:rPr>
          <w:rFonts w:asciiTheme="minorHAnsi" w:hAnsiTheme="minorHAnsi" w:cs="Arial"/>
          <w:sz w:val="30"/>
          <w:szCs w:val="30"/>
          <w:lang w:val="es-CO"/>
        </w:rPr>
      </w:pPr>
      <w:bookmarkStart w:id="1" w:name="_GoBack"/>
      <w:bookmarkEnd w:id="1"/>
    </w:p>
    <w:p w14:paraId="292CC68F" w14:textId="77777777" w:rsidR="00985D82" w:rsidRPr="003F600A" w:rsidRDefault="00985D82" w:rsidP="00985D82">
      <w:pPr>
        <w:tabs>
          <w:tab w:val="left" w:pos="0"/>
          <w:tab w:val="left" w:pos="810"/>
        </w:tabs>
        <w:spacing w:after="0" w:line="240" w:lineRule="auto"/>
        <w:ind w:firstLine="720"/>
        <w:jc w:val="both"/>
        <w:rPr>
          <w:rFonts w:asciiTheme="minorHAnsi" w:hAnsiTheme="minorHAnsi" w:cs="Arial"/>
          <w:lang w:val="es-CO"/>
        </w:rPr>
      </w:pPr>
      <w:r w:rsidRPr="003F600A">
        <w:rPr>
          <w:rFonts w:asciiTheme="minorHAnsi" w:hAnsiTheme="minorHAnsi" w:cs="Arial"/>
          <w:lang w:val="es-CO"/>
        </w:rPr>
        <w:t>Aprovecho la oportunidad para saludar a usted muy atentamente,</w:t>
      </w:r>
    </w:p>
    <w:p w14:paraId="35CA1B6A" w14:textId="77777777" w:rsidR="00985D82" w:rsidRPr="003F600A" w:rsidRDefault="00985D82" w:rsidP="00985D82">
      <w:pPr>
        <w:tabs>
          <w:tab w:val="left" w:pos="810"/>
        </w:tabs>
        <w:suppressAutoHyphens/>
        <w:spacing w:after="0" w:line="240" w:lineRule="auto"/>
        <w:rPr>
          <w:rFonts w:asciiTheme="minorHAnsi" w:hAnsiTheme="minorHAnsi" w:cs="Arial"/>
          <w:snapToGrid w:val="0"/>
          <w:lang w:val="es-CO"/>
        </w:rPr>
      </w:pPr>
    </w:p>
    <w:p w14:paraId="258A8594" w14:textId="77777777" w:rsidR="00985D82" w:rsidRDefault="00985D82" w:rsidP="00985D82">
      <w:pPr>
        <w:tabs>
          <w:tab w:val="left" w:pos="810"/>
        </w:tabs>
        <w:suppressAutoHyphens/>
        <w:spacing w:after="0" w:line="240" w:lineRule="auto"/>
        <w:rPr>
          <w:rFonts w:asciiTheme="minorHAnsi" w:hAnsiTheme="minorHAnsi" w:cs="Arial"/>
          <w:snapToGrid w:val="0"/>
          <w:lang w:val="es-CO"/>
        </w:rPr>
      </w:pPr>
    </w:p>
    <w:p w14:paraId="6DA984EF" w14:textId="77777777" w:rsidR="00265E62" w:rsidRDefault="00265E62" w:rsidP="00985D82">
      <w:pPr>
        <w:tabs>
          <w:tab w:val="left" w:pos="810"/>
        </w:tabs>
        <w:suppressAutoHyphens/>
        <w:spacing w:after="0" w:line="240" w:lineRule="auto"/>
        <w:rPr>
          <w:rFonts w:asciiTheme="minorHAnsi" w:hAnsiTheme="minorHAnsi" w:cs="Arial"/>
          <w:snapToGrid w:val="0"/>
          <w:lang w:val="es-CO"/>
        </w:rPr>
      </w:pPr>
    </w:p>
    <w:p w14:paraId="3D746882" w14:textId="3F1865C6" w:rsidR="00565484" w:rsidRPr="001D0CC4" w:rsidRDefault="00565484" w:rsidP="00565484">
      <w:pPr>
        <w:suppressAutoHyphens/>
        <w:spacing w:after="0" w:line="240" w:lineRule="auto"/>
        <w:ind w:left="4320"/>
        <w:rPr>
          <w:rFonts w:ascii="Cambria" w:hAnsi="Cambria" w:cs="Arial"/>
          <w:i/>
          <w:snapToGrid w:val="0"/>
          <w:color w:val="A6A6A6"/>
          <w:sz w:val="20"/>
          <w:lang w:val="es-UY"/>
        </w:rPr>
      </w:pPr>
      <w:r>
        <w:rPr>
          <w:rFonts w:asciiTheme="minorHAnsi" w:hAnsiTheme="minorHAnsi" w:cs="Arial"/>
          <w:snapToGrid w:val="0"/>
          <w:lang w:val="es-CO"/>
        </w:rPr>
        <w:t xml:space="preserve">           </w:t>
      </w:r>
      <w:r w:rsidRPr="001D0CC4">
        <w:rPr>
          <w:i/>
          <w:color w:val="A6A6A6"/>
          <w:sz w:val="20"/>
          <w:lang w:val="es-UY"/>
        </w:rPr>
        <w:t>Firmado en el original</w:t>
      </w:r>
    </w:p>
    <w:p w14:paraId="4E3350F6" w14:textId="77777777" w:rsidR="00985D82" w:rsidRPr="003F600A" w:rsidRDefault="00985D82" w:rsidP="00985D82">
      <w:pPr>
        <w:tabs>
          <w:tab w:val="left" w:pos="810"/>
        </w:tabs>
        <w:suppressAutoHyphens/>
        <w:spacing w:after="0" w:line="240" w:lineRule="auto"/>
        <w:rPr>
          <w:rFonts w:asciiTheme="minorHAnsi" w:hAnsiTheme="minorHAnsi" w:cs="Arial"/>
          <w:snapToGrid w:val="0"/>
          <w:lang w:val="es-CO"/>
        </w:rPr>
      </w:pPr>
    </w:p>
    <w:p w14:paraId="42961CB1" w14:textId="77777777" w:rsidR="009E7A58" w:rsidRPr="00266B98" w:rsidRDefault="009E7A58" w:rsidP="009E7A58">
      <w:pPr>
        <w:spacing w:after="0" w:line="240" w:lineRule="auto"/>
        <w:ind w:left="2160"/>
        <w:jc w:val="center"/>
        <w:rPr>
          <w:lang w:val="es-PE"/>
        </w:rPr>
      </w:pPr>
      <w:r w:rsidRPr="00266B98">
        <w:rPr>
          <w:lang w:val="es-PE"/>
        </w:rPr>
        <w:t xml:space="preserve">  E. Débora Benchoam</w:t>
      </w:r>
    </w:p>
    <w:p w14:paraId="13D78819" w14:textId="77777777" w:rsidR="009E7A58" w:rsidRPr="00266B98" w:rsidRDefault="009E7A58" w:rsidP="009E7A58">
      <w:pPr>
        <w:spacing w:after="0" w:line="240" w:lineRule="auto"/>
        <w:ind w:left="2160"/>
        <w:jc w:val="center"/>
        <w:rPr>
          <w:lang w:val="es-PE"/>
        </w:rPr>
      </w:pPr>
      <w:r w:rsidRPr="00266B98">
        <w:rPr>
          <w:lang w:val="es-PE"/>
        </w:rPr>
        <w:t>Por autorización del Secretario Ejecutivo</w:t>
      </w:r>
    </w:p>
    <w:p w14:paraId="4E8CD9BC" w14:textId="77777777" w:rsidR="009E7A58" w:rsidRDefault="009E7A58" w:rsidP="009E7A58">
      <w:pPr>
        <w:spacing w:after="0" w:line="240" w:lineRule="auto"/>
        <w:jc w:val="both"/>
        <w:rPr>
          <w:lang w:val="es-PE"/>
        </w:rPr>
      </w:pPr>
    </w:p>
    <w:p w14:paraId="65B0329A" w14:textId="77777777" w:rsidR="00985D82" w:rsidRDefault="00985D82" w:rsidP="00985D82">
      <w:pPr>
        <w:tabs>
          <w:tab w:val="left" w:pos="810"/>
        </w:tabs>
        <w:spacing w:after="0" w:line="240" w:lineRule="auto"/>
        <w:rPr>
          <w:rFonts w:asciiTheme="minorHAnsi" w:hAnsiTheme="minorHAnsi"/>
          <w:lang w:val="es-PE"/>
        </w:rPr>
      </w:pPr>
    </w:p>
    <w:p w14:paraId="0C89D30C" w14:textId="77777777" w:rsidR="009E7A58" w:rsidRPr="009E7A58" w:rsidRDefault="009E7A58" w:rsidP="00985D82">
      <w:pPr>
        <w:tabs>
          <w:tab w:val="left" w:pos="810"/>
        </w:tabs>
        <w:spacing w:after="0" w:line="240" w:lineRule="auto"/>
        <w:rPr>
          <w:rFonts w:asciiTheme="minorHAnsi" w:hAnsiTheme="minorHAnsi"/>
          <w:lang w:val="es-PE"/>
        </w:rPr>
      </w:pPr>
    </w:p>
    <w:p w14:paraId="3392281F" w14:textId="6821AB8D" w:rsidR="00985D82" w:rsidRPr="00265E62" w:rsidRDefault="00265E62" w:rsidP="00985D82">
      <w:pPr>
        <w:tabs>
          <w:tab w:val="left" w:pos="810"/>
        </w:tabs>
        <w:spacing w:after="0" w:line="240" w:lineRule="auto"/>
        <w:rPr>
          <w:rFonts w:asciiTheme="minorHAnsi" w:hAnsiTheme="minorHAnsi"/>
          <w:lang w:val="es-ES_tradnl"/>
        </w:rPr>
      </w:pPr>
      <w:r>
        <w:rPr>
          <w:rFonts w:asciiTheme="minorHAnsi" w:hAnsiTheme="minorHAnsi"/>
          <w:lang w:val="es-ES_tradnl"/>
        </w:rPr>
        <w:t>Anexo</w:t>
      </w:r>
    </w:p>
    <w:sectPr w:rsidR="00985D82" w:rsidRPr="00265E62" w:rsidSect="00C0279B">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A577CE" w14:textId="77777777" w:rsidR="00322B0E" w:rsidRDefault="00322B0E" w:rsidP="005475CB">
      <w:pPr>
        <w:spacing w:after="0" w:line="240" w:lineRule="auto"/>
      </w:pPr>
      <w:r>
        <w:separator/>
      </w:r>
    </w:p>
  </w:endnote>
  <w:endnote w:type="continuationSeparator" w:id="0">
    <w:p w14:paraId="3D669054" w14:textId="77777777" w:rsidR="00322B0E" w:rsidRDefault="00322B0E" w:rsidP="00547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Antiqu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D91C2" w14:textId="77777777" w:rsidR="00C0279B" w:rsidRPr="00A72869" w:rsidRDefault="00E233F9">
    <w:pPr>
      <w:pStyle w:val="Footer"/>
      <w:jc w:val="center"/>
      <w:rPr>
        <w:color w:val="7F7F7F"/>
        <w:sz w:val="16"/>
      </w:rPr>
    </w:pPr>
    <w:r w:rsidRPr="00A72869">
      <w:rPr>
        <w:color w:val="7F7F7F"/>
        <w:sz w:val="16"/>
      </w:rPr>
      <w:fldChar w:fldCharType="begin"/>
    </w:r>
    <w:r w:rsidRPr="00A72869">
      <w:rPr>
        <w:color w:val="7F7F7F"/>
        <w:sz w:val="16"/>
      </w:rPr>
      <w:instrText xml:space="preserve"> PAGE   \* MERGEFORMAT </w:instrText>
    </w:r>
    <w:r w:rsidRPr="00A72869">
      <w:rPr>
        <w:color w:val="7F7F7F"/>
        <w:sz w:val="16"/>
      </w:rPr>
      <w:fldChar w:fldCharType="separate"/>
    </w:r>
    <w:r w:rsidR="00565484">
      <w:rPr>
        <w:noProof/>
        <w:color w:val="7F7F7F"/>
        <w:sz w:val="16"/>
      </w:rPr>
      <w:t>2</w:t>
    </w:r>
    <w:r w:rsidRPr="00A72869">
      <w:rPr>
        <w:noProof/>
        <w:color w:val="7F7F7F"/>
        <w:sz w:val="16"/>
      </w:rPr>
      <w:fldChar w:fldCharType="end"/>
    </w:r>
  </w:p>
  <w:p w14:paraId="279D9499" w14:textId="77777777" w:rsidR="00C0279B" w:rsidRDefault="00322B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2876C" w14:textId="77777777" w:rsidR="00C0279B" w:rsidRDefault="00322B0E" w:rsidP="00C0279B">
    <w:pPr>
      <w:pStyle w:val="Footer"/>
      <w:spacing w:line="360" w:lineRule="auto"/>
    </w:pPr>
    <w:r>
      <w:pict w14:anchorId="0D1EB8B0">
        <v:rect id="_x0000_i1027" style="width:0;height:1.5pt" o:hralign="center" o:hrstd="t" o:hr="t" fillcolor="#a0a0a0" stroked="f"/>
      </w:pict>
    </w:r>
  </w:p>
  <w:p w14:paraId="64D231E5" w14:textId="77777777" w:rsidR="00C0279B" w:rsidRDefault="00E233F9" w:rsidP="00C0279B">
    <w:pPr>
      <w:pStyle w:val="Footer"/>
      <w:jc w:val="center"/>
    </w:pPr>
    <w:r w:rsidRPr="008A5CB5">
      <w:rPr>
        <w:noProof/>
        <w:lang w:val="es-UY" w:eastAsia="es-UY"/>
      </w:rPr>
      <w:drawing>
        <wp:inline distT="0" distB="0" distL="0" distR="0" wp14:anchorId="6E9FF5AD" wp14:editId="09A0E177">
          <wp:extent cx="5118100" cy="317500"/>
          <wp:effectExtent l="0" t="0" r="12700" b="12700"/>
          <wp:docPr id="1" name="Picture 1"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8100" cy="3175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678614" w14:textId="77777777" w:rsidR="00322B0E" w:rsidRDefault="00322B0E" w:rsidP="005475CB">
      <w:pPr>
        <w:spacing w:after="0" w:line="240" w:lineRule="auto"/>
      </w:pPr>
      <w:r>
        <w:separator/>
      </w:r>
    </w:p>
  </w:footnote>
  <w:footnote w:type="continuationSeparator" w:id="0">
    <w:p w14:paraId="650D3134" w14:textId="77777777" w:rsidR="00322B0E" w:rsidRDefault="00322B0E" w:rsidP="005475CB">
      <w:pPr>
        <w:spacing w:after="0" w:line="240" w:lineRule="auto"/>
      </w:pPr>
      <w:r>
        <w:continuationSeparator/>
      </w:r>
    </w:p>
  </w:footnote>
  <w:footnote w:id="1">
    <w:p w14:paraId="2A431F64" w14:textId="22605603" w:rsidR="005475CB" w:rsidRPr="005475CB" w:rsidRDefault="00CA23D7" w:rsidP="00CA23D7">
      <w:pPr>
        <w:pStyle w:val="FootnoteText"/>
        <w:tabs>
          <w:tab w:val="left" w:pos="360"/>
        </w:tabs>
        <w:jc w:val="both"/>
        <w:rPr>
          <w:rFonts w:ascii="Cambria" w:hAnsi="Cambria"/>
          <w:sz w:val="18"/>
          <w:szCs w:val="18"/>
          <w:lang w:val="es-ES"/>
        </w:rPr>
      </w:pPr>
      <w:r>
        <w:rPr>
          <w:rFonts w:ascii="Cambria" w:hAnsi="Cambria"/>
          <w:sz w:val="18"/>
          <w:szCs w:val="18"/>
        </w:rPr>
        <w:tab/>
      </w:r>
      <w:r w:rsidR="005475CB" w:rsidRPr="005475CB">
        <w:rPr>
          <w:rStyle w:val="FootnoteReference"/>
          <w:rFonts w:ascii="Cambria" w:hAnsi="Cambria"/>
          <w:sz w:val="18"/>
          <w:szCs w:val="18"/>
        </w:rPr>
        <w:footnoteRef/>
      </w:r>
      <w:r w:rsidR="005475CB" w:rsidRPr="00FB1C20">
        <w:rPr>
          <w:rFonts w:ascii="Cambria" w:hAnsi="Cambria"/>
          <w:sz w:val="18"/>
          <w:szCs w:val="18"/>
          <w:lang w:val="es-PE"/>
        </w:rPr>
        <w:t xml:space="preserve"> </w:t>
      </w:r>
      <w:r w:rsidR="005475CB" w:rsidRPr="005475CB">
        <w:rPr>
          <w:rFonts w:ascii="Cambria" w:hAnsi="Cambria"/>
          <w:sz w:val="18"/>
          <w:szCs w:val="18"/>
          <w:lang w:val="es-ES"/>
        </w:rPr>
        <w:t>De acuerdo a la Organización Mundial para la Salud, el virus de la inmunodeficiencia humana (VIH) es una enfermedad que infecta a las células del sistema inmunitario de una persona, alterando o anulando su función. Por su parte, el síndrome de inmunodeficiencia adquirida (SIDA) es un término que se aplica a los estadios más avanzados de la infección por VIH y se define por la presencia de alguna de infecciones oportunistas o de cánceres relacionados con el VIH. En el presente caso, se alega que las presuntas víctimas tienen VIH y SIDA. En consecuencia, en el informe se</w:t>
      </w:r>
      <w:r w:rsidR="005E3026">
        <w:rPr>
          <w:rFonts w:ascii="Cambria" w:hAnsi="Cambria"/>
          <w:sz w:val="18"/>
          <w:szCs w:val="18"/>
          <w:lang w:val="es-ES"/>
        </w:rPr>
        <w:t xml:space="preserve"> utilizó </w:t>
      </w:r>
      <w:r w:rsidR="005475CB" w:rsidRPr="005475CB">
        <w:rPr>
          <w:rFonts w:ascii="Cambria" w:hAnsi="Cambria"/>
          <w:sz w:val="18"/>
          <w:szCs w:val="18"/>
          <w:lang w:val="es-ES"/>
        </w:rPr>
        <w:t>el término “VIH/SIDA”.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9AC94" w14:textId="77777777" w:rsidR="00C0279B" w:rsidRPr="0058688A" w:rsidRDefault="00E233F9" w:rsidP="00C0279B">
    <w:pPr>
      <w:pStyle w:val="Header"/>
      <w:jc w:val="center"/>
      <w:rPr>
        <w:lang w:val="es-ES_tradnl"/>
      </w:rPr>
    </w:pPr>
    <w:r>
      <w:rPr>
        <w:noProof/>
        <w:lang w:val="es-UY" w:eastAsia="es-UY"/>
      </w:rPr>
      <w:drawing>
        <wp:inline distT="0" distB="0" distL="0" distR="0" wp14:anchorId="6C8A928F" wp14:editId="1B257C46">
          <wp:extent cx="2286000" cy="120650"/>
          <wp:effectExtent l="0" t="0" r="0" b="6350"/>
          <wp:docPr id="4" name="Picture 4" descr="cidh-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h-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20650"/>
                  </a:xfrm>
                  <a:prstGeom prst="rect">
                    <a:avLst/>
                  </a:prstGeom>
                  <a:noFill/>
                  <a:ln>
                    <a:noFill/>
                  </a:ln>
                </pic:spPr>
              </pic:pic>
            </a:graphicData>
          </a:graphic>
        </wp:inline>
      </w:drawing>
    </w:r>
  </w:p>
  <w:p w14:paraId="2A2E7D50" w14:textId="77777777" w:rsidR="00C0279B" w:rsidRDefault="00322B0E">
    <w:pPr>
      <w:pStyle w:val="Header"/>
    </w:pPr>
    <w:r>
      <w:pict w14:anchorId="081D5AE1">
        <v:rect id="_x0000_i1025" style="width:0;height:1.5pt"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DAB5D" w14:textId="77777777" w:rsidR="00C0279B" w:rsidRDefault="00E233F9" w:rsidP="00C0279B">
    <w:pPr>
      <w:pStyle w:val="Header"/>
    </w:pPr>
    <w:r w:rsidRPr="008A5CB5">
      <w:rPr>
        <w:noProof/>
        <w:lang w:val="es-UY" w:eastAsia="es-UY"/>
      </w:rPr>
      <w:drawing>
        <wp:inline distT="0" distB="0" distL="0" distR="0" wp14:anchorId="69342E38" wp14:editId="11DE1B4C">
          <wp:extent cx="2349500" cy="457200"/>
          <wp:effectExtent l="0" t="0" r="12700" b="0"/>
          <wp:docPr id="3" name="Picture 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9500" cy="457200"/>
                  </a:xfrm>
                  <a:prstGeom prst="rect">
                    <a:avLst/>
                  </a:prstGeom>
                  <a:noFill/>
                  <a:ln>
                    <a:noFill/>
                  </a:ln>
                </pic:spPr>
              </pic:pic>
            </a:graphicData>
          </a:graphic>
        </wp:inline>
      </w:drawing>
    </w:r>
    <w:r>
      <w:tab/>
    </w:r>
    <w:r>
      <w:tab/>
    </w:r>
    <w:r w:rsidRPr="008A5CB5">
      <w:rPr>
        <w:noProof/>
        <w:lang w:val="es-UY" w:eastAsia="es-UY"/>
      </w:rPr>
      <w:drawing>
        <wp:inline distT="0" distB="0" distL="0" distR="0" wp14:anchorId="10C9FD3E" wp14:editId="3004E3B4">
          <wp:extent cx="1644650" cy="476250"/>
          <wp:effectExtent l="0" t="0" r="6350" b="6350"/>
          <wp:docPr id="2" name="Picture 2"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4650" cy="476250"/>
                  </a:xfrm>
                  <a:prstGeom prst="rect">
                    <a:avLst/>
                  </a:prstGeom>
                  <a:noFill/>
                  <a:ln>
                    <a:noFill/>
                  </a:ln>
                </pic:spPr>
              </pic:pic>
            </a:graphicData>
          </a:graphic>
        </wp:inline>
      </w:drawing>
    </w:r>
  </w:p>
  <w:p w14:paraId="1603C569" w14:textId="77777777" w:rsidR="00C0279B" w:rsidRDefault="00322B0E" w:rsidP="00C0279B">
    <w:pPr>
      <w:pStyle w:val="Header"/>
    </w:pPr>
  </w:p>
  <w:p w14:paraId="29B91095" w14:textId="77777777" w:rsidR="00C0279B" w:rsidRDefault="00322B0E" w:rsidP="00C0279B">
    <w:pPr>
      <w:pStyle w:val="Header"/>
    </w:pPr>
    <w:r>
      <w:pict w14:anchorId="46A0425D">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E20E2"/>
    <w:multiLevelType w:val="hybridMultilevel"/>
    <w:tmpl w:val="23F4BFF8"/>
    <w:lvl w:ilvl="0" w:tplc="E0607968">
      <w:start w:val="1"/>
      <w:numFmt w:val="decimal"/>
      <w:lvlText w:val="%1."/>
      <w:lvlJc w:val="left"/>
      <w:pPr>
        <w:tabs>
          <w:tab w:val="num" w:pos="900"/>
        </w:tabs>
        <w:ind w:left="900" w:hanging="360"/>
      </w:pPr>
      <w:rPr>
        <w:rFonts w:ascii="Cambria" w:hAnsi="Cambria" w:hint="default"/>
        <w:b w:val="0"/>
        <w:sz w:val="20"/>
        <w:szCs w:val="20"/>
      </w:r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lowerRoman"/>
      <w:lvlText w:val="%3."/>
      <w:lvlJc w:val="right"/>
      <w:pPr>
        <w:tabs>
          <w:tab w:val="num" w:pos="2880"/>
        </w:tabs>
        <w:ind w:left="2880" w:hanging="180"/>
      </w:pPr>
    </w:lvl>
    <w:lvl w:ilvl="3" w:tplc="823A65B8">
      <w:start w:val="1"/>
      <w:numFmt w:val="decimal"/>
      <w:lvlText w:val="%4."/>
      <w:lvlJc w:val="left"/>
      <w:pPr>
        <w:tabs>
          <w:tab w:val="num" w:pos="3600"/>
        </w:tabs>
        <w:ind w:left="3600" w:hanging="360"/>
      </w:pPr>
      <w:rPr>
        <w:rFonts w:ascii="Cambria" w:hAnsi="Cambria" w:hint="default"/>
        <w:b/>
        <w:i w:val="0"/>
        <w:sz w:val="20"/>
        <w:szCs w:val="20"/>
      </w:rPr>
    </w:lvl>
    <w:lvl w:ilvl="4" w:tplc="508EF038">
      <w:start w:val="1"/>
      <w:numFmt w:val="lowerLetter"/>
      <w:lvlText w:val="%5)"/>
      <w:lvlJc w:val="left"/>
      <w:pPr>
        <w:tabs>
          <w:tab w:val="num" w:pos="4680"/>
        </w:tabs>
        <w:ind w:left="4680" w:hanging="720"/>
      </w:pPr>
      <w:rPr>
        <w:rFonts w:hint="default"/>
      </w:r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3BBA7DE2"/>
    <w:multiLevelType w:val="hybridMultilevel"/>
    <w:tmpl w:val="5C886AE8"/>
    <w:lvl w:ilvl="0" w:tplc="B2804606">
      <w:start w:val="1"/>
      <w:numFmt w:val="decimal"/>
      <w:lvlText w:val="%1."/>
      <w:lvlJc w:val="left"/>
      <w:pPr>
        <w:tabs>
          <w:tab w:val="num" w:pos="1260"/>
        </w:tabs>
        <w:ind w:left="1260" w:hanging="360"/>
      </w:pPr>
      <w:rPr>
        <w:rFonts w:ascii="Cambria" w:hAnsi="Cambria" w:cs="Times New Roman" w:hint="default"/>
        <w:b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D82"/>
    <w:rsid w:val="00000E36"/>
    <w:rsid w:val="000024BD"/>
    <w:rsid w:val="0001571B"/>
    <w:rsid w:val="0007703C"/>
    <w:rsid w:val="000B3311"/>
    <w:rsid w:val="000B6202"/>
    <w:rsid w:val="000D1C13"/>
    <w:rsid w:val="000E0A18"/>
    <w:rsid w:val="001820AC"/>
    <w:rsid w:val="001E0631"/>
    <w:rsid w:val="001E2492"/>
    <w:rsid w:val="00261ABB"/>
    <w:rsid w:val="00265E62"/>
    <w:rsid w:val="00267984"/>
    <w:rsid w:val="002B2D9D"/>
    <w:rsid w:val="003029FE"/>
    <w:rsid w:val="00322B0E"/>
    <w:rsid w:val="003F600A"/>
    <w:rsid w:val="0041231A"/>
    <w:rsid w:val="004F08A1"/>
    <w:rsid w:val="00525D7A"/>
    <w:rsid w:val="005475CB"/>
    <w:rsid w:val="005537B0"/>
    <w:rsid w:val="00565484"/>
    <w:rsid w:val="005E3026"/>
    <w:rsid w:val="006065E7"/>
    <w:rsid w:val="00634269"/>
    <w:rsid w:val="00697655"/>
    <w:rsid w:val="006E20DE"/>
    <w:rsid w:val="0079663A"/>
    <w:rsid w:val="0083639E"/>
    <w:rsid w:val="0087429A"/>
    <w:rsid w:val="009557A4"/>
    <w:rsid w:val="00971574"/>
    <w:rsid w:val="00977437"/>
    <w:rsid w:val="00985D82"/>
    <w:rsid w:val="009E7A58"/>
    <w:rsid w:val="009F0CF6"/>
    <w:rsid w:val="00A27C5C"/>
    <w:rsid w:val="00A64D1B"/>
    <w:rsid w:val="00A91AEC"/>
    <w:rsid w:val="00A9314C"/>
    <w:rsid w:val="00AB5E31"/>
    <w:rsid w:val="00AE408D"/>
    <w:rsid w:val="00B17B1E"/>
    <w:rsid w:val="00B2739F"/>
    <w:rsid w:val="00B376ED"/>
    <w:rsid w:val="00B467A0"/>
    <w:rsid w:val="00B51435"/>
    <w:rsid w:val="00B75776"/>
    <w:rsid w:val="00B77227"/>
    <w:rsid w:val="00B8460F"/>
    <w:rsid w:val="00BE3B02"/>
    <w:rsid w:val="00C62039"/>
    <w:rsid w:val="00C809D7"/>
    <w:rsid w:val="00CA23D7"/>
    <w:rsid w:val="00D1152B"/>
    <w:rsid w:val="00D20CD3"/>
    <w:rsid w:val="00D30BB7"/>
    <w:rsid w:val="00DA2F85"/>
    <w:rsid w:val="00DE06B8"/>
    <w:rsid w:val="00DE7301"/>
    <w:rsid w:val="00E233F9"/>
    <w:rsid w:val="00E55000"/>
    <w:rsid w:val="00E95FA2"/>
    <w:rsid w:val="00E9706C"/>
    <w:rsid w:val="00EA5980"/>
    <w:rsid w:val="00ED50A8"/>
    <w:rsid w:val="00EF091A"/>
    <w:rsid w:val="00F42CD6"/>
    <w:rsid w:val="00F83286"/>
    <w:rsid w:val="00F97095"/>
    <w:rsid w:val="00FA1B55"/>
    <w:rsid w:val="00FA26C3"/>
    <w:rsid w:val="00FB1C20"/>
    <w:rsid w:val="00FF0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6F705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D82"/>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 Accent 11"/>
    <w:link w:val="ListParagraphChar"/>
    <w:uiPriority w:val="34"/>
    <w:qFormat/>
    <w:rsid w:val="00985D82"/>
    <w:pPr>
      <w:pBdr>
        <w:top w:val="nil"/>
        <w:left w:val="nil"/>
        <w:bottom w:val="nil"/>
        <w:right w:val="nil"/>
        <w:between w:val="nil"/>
        <w:bar w:val="nil"/>
      </w:pBdr>
      <w:ind w:left="720"/>
    </w:pPr>
    <w:rPr>
      <w:rFonts w:ascii="Cambria" w:eastAsia="Cambria" w:hAnsi="Cambria" w:cs="Cambria"/>
      <w:color w:val="000000"/>
      <w:u w:color="000000"/>
      <w:bdr w:val="nil"/>
      <w:lang w:eastAsia="es-ES"/>
    </w:rPr>
  </w:style>
  <w:style w:type="character" w:customStyle="1" w:styleId="ListParagraphChar">
    <w:name w:val="List Paragraph Char"/>
    <w:aliases w:val="Colorful List - Accent 11 Char"/>
    <w:link w:val="ListParagraph"/>
    <w:uiPriority w:val="34"/>
    <w:locked/>
    <w:rsid w:val="00985D82"/>
    <w:rPr>
      <w:rFonts w:ascii="Cambria" w:eastAsia="Cambria" w:hAnsi="Cambria" w:cs="Cambria"/>
      <w:color w:val="000000"/>
      <w:u w:color="000000"/>
      <w:bdr w:val="nil"/>
      <w:lang w:eastAsia="es-ES"/>
    </w:rPr>
  </w:style>
  <w:style w:type="paragraph" w:styleId="Header">
    <w:name w:val="header"/>
    <w:basedOn w:val="Normal"/>
    <w:link w:val="HeaderChar"/>
    <w:unhideWhenUsed/>
    <w:rsid w:val="00985D82"/>
    <w:pPr>
      <w:tabs>
        <w:tab w:val="center" w:pos="4680"/>
        <w:tab w:val="right" w:pos="9360"/>
      </w:tabs>
      <w:spacing w:after="0" w:line="240" w:lineRule="auto"/>
    </w:pPr>
    <w:rPr>
      <w:rFonts w:eastAsia="MS Mincho"/>
    </w:rPr>
  </w:style>
  <w:style w:type="character" w:customStyle="1" w:styleId="HeaderChar">
    <w:name w:val="Header Char"/>
    <w:basedOn w:val="DefaultParagraphFont"/>
    <w:link w:val="Header"/>
    <w:rsid w:val="00985D82"/>
    <w:rPr>
      <w:rFonts w:ascii="Calibri" w:eastAsia="MS Mincho" w:hAnsi="Calibri" w:cs="Times New Roman"/>
      <w:sz w:val="22"/>
      <w:szCs w:val="22"/>
    </w:rPr>
  </w:style>
  <w:style w:type="paragraph" w:styleId="Footer">
    <w:name w:val="footer"/>
    <w:basedOn w:val="Normal"/>
    <w:link w:val="FooterChar"/>
    <w:unhideWhenUsed/>
    <w:rsid w:val="00985D82"/>
    <w:pPr>
      <w:tabs>
        <w:tab w:val="center" w:pos="4680"/>
        <w:tab w:val="right" w:pos="9360"/>
      </w:tabs>
      <w:spacing w:after="0" w:line="240" w:lineRule="auto"/>
    </w:pPr>
    <w:rPr>
      <w:rFonts w:eastAsia="MS Mincho"/>
    </w:rPr>
  </w:style>
  <w:style w:type="character" w:customStyle="1" w:styleId="FooterChar">
    <w:name w:val="Footer Char"/>
    <w:basedOn w:val="DefaultParagraphFont"/>
    <w:link w:val="Footer"/>
    <w:rsid w:val="00985D82"/>
    <w:rPr>
      <w:rFonts w:ascii="Calibri" w:eastAsia="MS Mincho" w:hAnsi="Calibri" w:cs="Times New Roman"/>
      <w:sz w:val="22"/>
      <w:szCs w:val="22"/>
    </w:rPr>
  </w:style>
  <w:style w:type="paragraph" w:styleId="NormalWeb">
    <w:name w:val="Normal (Web)"/>
    <w:basedOn w:val="Normal"/>
    <w:uiPriority w:val="99"/>
    <w:semiHidden/>
    <w:unhideWhenUsed/>
    <w:rsid w:val="00985D82"/>
    <w:pPr>
      <w:spacing w:before="100" w:beforeAutospacing="1" w:after="100" w:afterAutospacing="1" w:line="240" w:lineRule="auto"/>
    </w:pPr>
    <w:rPr>
      <w:rFonts w:ascii="Times New Roman" w:eastAsiaTheme="minorHAnsi" w:hAnsi="Times New Roman"/>
      <w:sz w:val="24"/>
      <w:szCs w:val="24"/>
    </w:rPr>
  </w:style>
  <w:style w:type="paragraph" w:styleId="FootnoteText">
    <w:name w:val="footnote text"/>
    <w:basedOn w:val="Normal"/>
    <w:link w:val="FootnoteTextChar"/>
    <w:uiPriority w:val="99"/>
    <w:unhideWhenUsed/>
    <w:rsid w:val="005475CB"/>
    <w:pPr>
      <w:spacing w:after="0" w:line="240" w:lineRule="auto"/>
    </w:pPr>
    <w:rPr>
      <w:sz w:val="24"/>
      <w:szCs w:val="24"/>
    </w:rPr>
  </w:style>
  <w:style w:type="character" w:customStyle="1" w:styleId="FootnoteTextChar">
    <w:name w:val="Footnote Text Char"/>
    <w:basedOn w:val="DefaultParagraphFont"/>
    <w:link w:val="FootnoteText"/>
    <w:uiPriority w:val="99"/>
    <w:rsid w:val="005475CB"/>
    <w:rPr>
      <w:rFonts w:ascii="Calibri" w:eastAsia="Calibri" w:hAnsi="Calibri" w:cs="Times New Roman"/>
    </w:rPr>
  </w:style>
  <w:style w:type="character" w:styleId="FootnoteReference">
    <w:name w:val="footnote reference"/>
    <w:basedOn w:val="DefaultParagraphFont"/>
    <w:uiPriority w:val="99"/>
    <w:unhideWhenUsed/>
    <w:rsid w:val="005475CB"/>
    <w:rPr>
      <w:vertAlign w:val="superscript"/>
    </w:rPr>
  </w:style>
  <w:style w:type="paragraph" w:styleId="BalloonText">
    <w:name w:val="Balloon Text"/>
    <w:basedOn w:val="Normal"/>
    <w:link w:val="BalloonTextChar"/>
    <w:uiPriority w:val="99"/>
    <w:semiHidden/>
    <w:unhideWhenUsed/>
    <w:rsid w:val="00FB1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C20"/>
    <w:rPr>
      <w:rFonts w:ascii="Tahoma" w:eastAsia="Calibri" w:hAnsi="Tahoma" w:cs="Tahoma"/>
      <w:sz w:val="16"/>
      <w:szCs w:val="16"/>
    </w:rPr>
  </w:style>
  <w:style w:type="character" w:styleId="Hyperlink">
    <w:name w:val="Hyperlink"/>
    <w:basedOn w:val="DefaultParagraphFont"/>
    <w:uiPriority w:val="99"/>
    <w:unhideWhenUsed/>
    <w:rsid w:val="00265E6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D82"/>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 Accent 11"/>
    <w:link w:val="ListParagraphChar"/>
    <w:uiPriority w:val="34"/>
    <w:qFormat/>
    <w:rsid w:val="00985D82"/>
    <w:pPr>
      <w:pBdr>
        <w:top w:val="nil"/>
        <w:left w:val="nil"/>
        <w:bottom w:val="nil"/>
        <w:right w:val="nil"/>
        <w:between w:val="nil"/>
        <w:bar w:val="nil"/>
      </w:pBdr>
      <w:ind w:left="720"/>
    </w:pPr>
    <w:rPr>
      <w:rFonts w:ascii="Cambria" w:eastAsia="Cambria" w:hAnsi="Cambria" w:cs="Cambria"/>
      <w:color w:val="000000"/>
      <w:u w:color="000000"/>
      <w:bdr w:val="nil"/>
      <w:lang w:eastAsia="es-ES"/>
    </w:rPr>
  </w:style>
  <w:style w:type="character" w:customStyle="1" w:styleId="ListParagraphChar">
    <w:name w:val="List Paragraph Char"/>
    <w:aliases w:val="Colorful List - Accent 11 Char"/>
    <w:link w:val="ListParagraph"/>
    <w:uiPriority w:val="34"/>
    <w:locked/>
    <w:rsid w:val="00985D82"/>
    <w:rPr>
      <w:rFonts w:ascii="Cambria" w:eastAsia="Cambria" w:hAnsi="Cambria" w:cs="Cambria"/>
      <w:color w:val="000000"/>
      <w:u w:color="000000"/>
      <w:bdr w:val="nil"/>
      <w:lang w:eastAsia="es-ES"/>
    </w:rPr>
  </w:style>
  <w:style w:type="paragraph" w:styleId="Header">
    <w:name w:val="header"/>
    <w:basedOn w:val="Normal"/>
    <w:link w:val="HeaderChar"/>
    <w:unhideWhenUsed/>
    <w:rsid w:val="00985D82"/>
    <w:pPr>
      <w:tabs>
        <w:tab w:val="center" w:pos="4680"/>
        <w:tab w:val="right" w:pos="9360"/>
      </w:tabs>
      <w:spacing w:after="0" w:line="240" w:lineRule="auto"/>
    </w:pPr>
    <w:rPr>
      <w:rFonts w:eastAsia="MS Mincho"/>
    </w:rPr>
  </w:style>
  <w:style w:type="character" w:customStyle="1" w:styleId="HeaderChar">
    <w:name w:val="Header Char"/>
    <w:basedOn w:val="DefaultParagraphFont"/>
    <w:link w:val="Header"/>
    <w:rsid w:val="00985D82"/>
    <w:rPr>
      <w:rFonts w:ascii="Calibri" w:eastAsia="MS Mincho" w:hAnsi="Calibri" w:cs="Times New Roman"/>
      <w:sz w:val="22"/>
      <w:szCs w:val="22"/>
    </w:rPr>
  </w:style>
  <w:style w:type="paragraph" w:styleId="Footer">
    <w:name w:val="footer"/>
    <w:basedOn w:val="Normal"/>
    <w:link w:val="FooterChar"/>
    <w:unhideWhenUsed/>
    <w:rsid w:val="00985D82"/>
    <w:pPr>
      <w:tabs>
        <w:tab w:val="center" w:pos="4680"/>
        <w:tab w:val="right" w:pos="9360"/>
      </w:tabs>
      <w:spacing w:after="0" w:line="240" w:lineRule="auto"/>
    </w:pPr>
    <w:rPr>
      <w:rFonts w:eastAsia="MS Mincho"/>
    </w:rPr>
  </w:style>
  <w:style w:type="character" w:customStyle="1" w:styleId="FooterChar">
    <w:name w:val="Footer Char"/>
    <w:basedOn w:val="DefaultParagraphFont"/>
    <w:link w:val="Footer"/>
    <w:rsid w:val="00985D82"/>
    <w:rPr>
      <w:rFonts w:ascii="Calibri" w:eastAsia="MS Mincho" w:hAnsi="Calibri" w:cs="Times New Roman"/>
      <w:sz w:val="22"/>
      <w:szCs w:val="22"/>
    </w:rPr>
  </w:style>
  <w:style w:type="paragraph" w:styleId="NormalWeb">
    <w:name w:val="Normal (Web)"/>
    <w:basedOn w:val="Normal"/>
    <w:uiPriority w:val="99"/>
    <w:semiHidden/>
    <w:unhideWhenUsed/>
    <w:rsid w:val="00985D82"/>
    <w:pPr>
      <w:spacing w:before="100" w:beforeAutospacing="1" w:after="100" w:afterAutospacing="1" w:line="240" w:lineRule="auto"/>
    </w:pPr>
    <w:rPr>
      <w:rFonts w:ascii="Times New Roman" w:eastAsiaTheme="minorHAnsi" w:hAnsi="Times New Roman"/>
      <w:sz w:val="24"/>
      <w:szCs w:val="24"/>
    </w:rPr>
  </w:style>
  <w:style w:type="paragraph" w:styleId="FootnoteText">
    <w:name w:val="footnote text"/>
    <w:basedOn w:val="Normal"/>
    <w:link w:val="FootnoteTextChar"/>
    <w:uiPriority w:val="99"/>
    <w:unhideWhenUsed/>
    <w:rsid w:val="005475CB"/>
    <w:pPr>
      <w:spacing w:after="0" w:line="240" w:lineRule="auto"/>
    </w:pPr>
    <w:rPr>
      <w:sz w:val="24"/>
      <w:szCs w:val="24"/>
    </w:rPr>
  </w:style>
  <w:style w:type="character" w:customStyle="1" w:styleId="FootnoteTextChar">
    <w:name w:val="Footnote Text Char"/>
    <w:basedOn w:val="DefaultParagraphFont"/>
    <w:link w:val="FootnoteText"/>
    <w:uiPriority w:val="99"/>
    <w:rsid w:val="005475CB"/>
    <w:rPr>
      <w:rFonts w:ascii="Calibri" w:eastAsia="Calibri" w:hAnsi="Calibri" w:cs="Times New Roman"/>
    </w:rPr>
  </w:style>
  <w:style w:type="character" w:styleId="FootnoteReference">
    <w:name w:val="footnote reference"/>
    <w:basedOn w:val="DefaultParagraphFont"/>
    <w:uiPriority w:val="99"/>
    <w:unhideWhenUsed/>
    <w:rsid w:val="005475CB"/>
    <w:rPr>
      <w:vertAlign w:val="superscript"/>
    </w:rPr>
  </w:style>
  <w:style w:type="paragraph" w:styleId="BalloonText">
    <w:name w:val="Balloon Text"/>
    <w:basedOn w:val="Normal"/>
    <w:link w:val="BalloonTextChar"/>
    <w:uiPriority w:val="99"/>
    <w:semiHidden/>
    <w:unhideWhenUsed/>
    <w:rsid w:val="00FB1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C20"/>
    <w:rPr>
      <w:rFonts w:ascii="Tahoma" w:eastAsia="Calibri" w:hAnsi="Tahoma" w:cs="Tahoma"/>
      <w:sz w:val="16"/>
      <w:szCs w:val="16"/>
    </w:rPr>
  </w:style>
  <w:style w:type="character" w:styleId="Hyperlink">
    <w:name w:val="Hyperlink"/>
    <w:basedOn w:val="DefaultParagraphFont"/>
    <w:uiPriority w:val="99"/>
    <w:unhideWhenUsed/>
    <w:rsid w:val="00265E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7A31C-4B25-45C3-91FF-AEBBFAE15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1512</Words>
  <Characters>8319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Serrano</dc:creator>
  <cp:lastModifiedBy>Fontana, Maria Eva</cp:lastModifiedBy>
  <cp:revision>18</cp:revision>
  <cp:lastPrinted>2016-12-02T19:27:00Z</cp:lastPrinted>
  <dcterms:created xsi:type="dcterms:W3CDTF">2016-12-02T18:10:00Z</dcterms:created>
  <dcterms:modified xsi:type="dcterms:W3CDTF">2017-03-29T16:07:00Z</dcterms:modified>
</cp:coreProperties>
</file>