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AB31D" w14:textId="77777777" w:rsidR="00040C3A" w:rsidRPr="00420489" w:rsidRDefault="00C0075D" w:rsidP="00627C9F">
      <w:pPr>
        <w:jc w:val="both"/>
        <w:rPr>
          <w:rFonts w:asciiTheme="majorHAnsi" w:hAnsiTheme="majorHAnsi" w:cs="Univers"/>
          <w:b/>
          <w:bCs/>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E8B0562" wp14:editId="365A859A">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049EE" w14:textId="77777777" w:rsidR="006B2D8F" w:rsidRDefault="006B2D8F" w:rsidP="00AE5488">
                            <w:r>
                              <w:rPr>
                                <w:noProof/>
                              </w:rPr>
                              <w:drawing>
                                <wp:inline distT="0" distB="0" distL="0" distR="0" wp14:anchorId="1C6A85F2" wp14:editId="3DA1646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14:paraId="5C7049EE" w14:textId="77777777" w:rsidR="006B2D8F" w:rsidRDefault="006B2D8F" w:rsidP="00AE5488">
                      <w:r>
                        <w:rPr>
                          <w:noProof/>
                        </w:rPr>
                        <w:drawing>
                          <wp:inline distT="0" distB="0" distL="0" distR="0" wp14:anchorId="1C6A85F2" wp14:editId="3DA1646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9C4284E" wp14:editId="054B1D7E">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pt;margin-top:-34.55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" fillcolor="#4a7194" stroked="f" strokeweight="2pt">
                <v:path arrowok="t"/>
              </v:rect>
            </w:pict>
          </mc:Fallback>
        </mc:AlternateContent>
      </w:r>
    </w:p>
    <w:p w14:paraId="6AA66009" w14:textId="77777777" w:rsidR="00040C3A" w:rsidRPr="00420489" w:rsidRDefault="00040C3A" w:rsidP="00040C3A">
      <w:pPr>
        <w:tabs>
          <w:tab w:val="center" w:pos="5400"/>
        </w:tabs>
        <w:suppressAutoHyphens/>
        <w:jc w:val="both"/>
        <w:rPr>
          <w:rFonts w:asciiTheme="majorHAnsi" w:hAnsiTheme="majorHAnsi"/>
          <w:sz w:val="20"/>
          <w:szCs w:val="20"/>
          <w:lang w:val="es-ES_tradnl"/>
        </w:rPr>
      </w:pPr>
    </w:p>
    <w:p w14:paraId="0BBF26E5" w14:textId="77777777" w:rsidR="00040C3A" w:rsidRPr="00420489" w:rsidRDefault="00040C3A" w:rsidP="00040C3A">
      <w:pPr>
        <w:tabs>
          <w:tab w:val="center" w:pos="5400"/>
        </w:tabs>
        <w:suppressAutoHyphens/>
        <w:jc w:val="both"/>
        <w:rPr>
          <w:rFonts w:asciiTheme="majorHAnsi" w:hAnsiTheme="majorHAnsi"/>
          <w:sz w:val="20"/>
          <w:szCs w:val="20"/>
          <w:lang w:val="es-ES_tradnl"/>
        </w:rPr>
      </w:pPr>
    </w:p>
    <w:p w14:paraId="3F43C8B4" w14:textId="77777777" w:rsidR="005128E4" w:rsidRPr="00420489" w:rsidRDefault="005128E4" w:rsidP="00040C3A">
      <w:pPr>
        <w:tabs>
          <w:tab w:val="center" w:pos="5400"/>
        </w:tabs>
        <w:suppressAutoHyphens/>
        <w:rPr>
          <w:rFonts w:asciiTheme="majorHAnsi" w:hAnsiTheme="majorHAnsi"/>
          <w:sz w:val="20"/>
          <w:szCs w:val="20"/>
          <w:lang w:val="es-ES_tradnl"/>
        </w:rPr>
      </w:pPr>
    </w:p>
    <w:p w14:paraId="26776CFF" w14:textId="77777777" w:rsidR="005128E4" w:rsidRPr="00420489" w:rsidRDefault="005128E4" w:rsidP="00040C3A">
      <w:pPr>
        <w:tabs>
          <w:tab w:val="center" w:pos="5400"/>
        </w:tabs>
        <w:suppressAutoHyphens/>
        <w:rPr>
          <w:rFonts w:asciiTheme="majorHAnsi" w:hAnsiTheme="majorHAnsi"/>
          <w:sz w:val="20"/>
          <w:szCs w:val="20"/>
          <w:lang w:val="es-ES_tradnl"/>
        </w:rPr>
      </w:pPr>
    </w:p>
    <w:p w14:paraId="4E9D30AD" w14:textId="77777777" w:rsidR="005128E4" w:rsidRPr="00420489" w:rsidRDefault="005128E4" w:rsidP="00040C3A">
      <w:pPr>
        <w:tabs>
          <w:tab w:val="center" w:pos="5400"/>
        </w:tabs>
        <w:suppressAutoHyphens/>
        <w:rPr>
          <w:rFonts w:asciiTheme="majorHAnsi" w:hAnsiTheme="majorHAnsi"/>
          <w:sz w:val="20"/>
          <w:szCs w:val="20"/>
          <w:lang w:val="es-ES_tradnl"/>
        </w:rPr>
      </w:pPr>
    </w:p>
    <w:p w14:paraId="7F6145F8" w14:textId="77777777" w:rsidR="00040C3A" w:rsidRPr="00420489" w:rsidRDefault="00040C3A" w:rsidP="005128E4">
      <w:pPr>
        <w:tabs>
          <w:tab w:val="center" w:pos="5400"/>
        </w:tabs>
        <w:suppressAutoHyphens/>
        <w:jc w:val="center"/>
        <w:rPr>
          <w:rFonts w:asciiTheme="majorHAnsi" w:hAnsiTheme="majorHAnsi"/>
          <w:sz w:val="20"/>
          <w:szCs w:val="20"/>
          <w:lang w:val="es-ES_tradnl"/>
        </w:rPr>
      </w:pPr>
    </w:p>
    <w:p w14:paraId="51C6353A" w14:textId="77777777" w:rsidR="00040C3A" w:rsidRPr="00420489" w:rsidRDefault="00040C3A" w:rsidP="005128E4">
      <w:pPr>
        <w:tabs>
          <w:tab w:val="center" w:pos="5400"/>
        </w:tabs>
        <w:suppressAutoHyphens/>
        <w:jc w:val="center"/>
        <w:rPr>
          <w:rFonts w:asciiTheme="majorHAnsi" w:hAnsiTheme="majorHAnsi"/>
          <w:sz w:val="20"/>
          <w:szCs w:val="20"/>
          <w:lang w:val="es-ES_tradnl"/>
        </w:rPr>
      </w:pPr>
    </w:p>
    <w:p w14:paraId="3BF4CEE8" w14:textId="77777777" w:rsidR="005B52B0" w:rsidRPr="00420489" w:rsidRDefault="005B52B0" w:rsidP="005128E4">
      <w:pPr>
        <w:tabs>
          <w:tab w:val="center" w:pos="5400"/>
        </w:tabs>
        <w:suppressAutoHyphens/>
        <w:jc w:val="center"/>
        <w:rPr>
          <w:rFonts w:asciiTheme="majorHAnsi" w:hAnsiTheme="majorHAnsi"/>
          <w:sz w:val="20"/>
          <w:szCs w:val="20"/>
          <w:lang w:val="es-ES_tradnl"/>
        </w:rPr>
      </w:pPr>
    </w:p>
    <w:p w14:paraId="39B27625" w14:textId="77777777" w:rsidR="005B52B0" w:rsidRPr="00420489" w:rsidRDefault="005B52B0" w:rsidP="005128E4">
      <w:pPr>
        <w:tabs>
          <w:tab w:val="center" w:pos="5400"/>
        </w:tabs>
        <w:suppressAutoHyphens/>
        <w:jc w:val="center"/>
        <w:rPr>
          <w:rFonts w:asciiTheme="majorHAnsi" w:hAnsiTheme="majorHAnsi"/>
          <w:sz w:val="20"/>
          <w:szCs w:val="20"/>
          <w:lang w:val="es-ES_tradnl"/>
        </w:rPr>
      </w:pPr>
    </w:p>
    <w:p w14:paraId="0E6B3772" w14:textId="77777777" w:rsidR="005B52B0" w:rsidRPr="00420489" w:rsidRDefault="005B52B0" w:rsidP="005128E4">
      <w:pPr>
        <w:tabs>
          <w:tab w:val="center" w:pos="5400"/>
        </w:tabs>
        <w:suppressAutoHyphens/>
        <w:jc w:val="center"/>
        <w:rPr>
          <w:rFonts w:asciiTheme="majorHAnsi" w:hAnsiTheme="majorHAnsi"/>
          <w:sz w:val="20"/>
          <w:szCs w:val="20"/>
          <w:lang w:val="es-ES_tradnl"/>
        </w:rPr>
      </w:pPr>
    </w:p>
    <w:p w14:paraId="423AC743"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63FB2DAE"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36144BF8" w14:textId="77777777" w:rsidR="00040C3A"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DB7267E" wp14:editId="664C80B2">
                <wp:simplePos x="0" y="0"/>
                <wp:positionH relativeFrom="column">
                  <wp:posOffset>1352550</wp:posOffset>
                </wp:positionH>
                <wp:positionV relativeFrom="paragraph">
                  <wp:posOffset>107315</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9D9AA" w14:textId="7D27035A" w:rsidR="006B2D8F" w:rsidRPr="00B06C1C" w:rsidRDefault="006B2D8F"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75</w:t>
                            </w:r>
                            <w:r w:rsidRPr="00B06C1C">
                              <w:rPr>
                                <w:rFonts w:asciiTheme="majorHAnsi" w:hAnsiTheme="majorHAnsi" w:cs="Arial"/>
                                <w:b/>
                                <w:bCs/>
                                <w:color w:val="0D0D0D" w:themeColor="text1" w:themeTint="F2"/>
                                <w:sz w:val="36"/>
                                <w:szCs w:val="22"/>
                                <w:lang w:val="es-ES"/>
                              </w:rPr>
                              <w:t>/15</w:t>
                            </w:r>
                          </w:p>
                          <w:p w14:paraId="2C20096E" w14:textId="77777777" w:rsidR="006B2D8F" w:rsidRPr="00093196" w:rsidRDefault="006B2D8F"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12.923</w:t>
                            </w:r>
                          </w:p>
                          <w:p w14:paraId="64167D0D" w14:textId="77777777" w:rsidR="006B2D8F" w:rsidRPr="0010736F" w:rsidRDefault="006B2D8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4DC84F7D" w14:textId="77777777" w:rsidR="006B2D8F" w:rsidRPr="0010736F" w:rsidRDefault="006B2D8F"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89E3A3E" w14:textId="77777777" w:rsidR="006B2D8F" w:rsidRPr="005E21D4" w:rsidRDefault="006B2D8F" w:rsidP="00997BC5">
                            <w:pPr>
                              <w:spacing w:line="276" w:lineRule="auto"/>
                              <w:rPr>
                                <w:rFonts w:asciiTheme="majorHAnsi" w:hAnsiTheme="majorHAnsi" w:cs="Arial"/>
                                <w:color w:val="0D0D0D" w:themeColor="text1" w:themeTint="F2"/>
                                <w:szCs w:val="22"/>
                                <w:lang w:val="es-VE"/>
                              </w:rPr>
                            </w:pPr>
                            <w:r>
                              <w:rPr>
                                <w:rFonts w:ascii="Cambria" w:hAnsi="Cambria"/>
                                <w:lang w:val="es-ES"/>
                              </w:rPr>
                              <w:t>ROC</w:t>
                            </w:r>
                            <w:r>
                              <w:rPr>
                                <w:rFonts w:ascii="Cambria" w:hAnsi="Cambria"/>
                                <w:lang w:val="es-VE"/>
                              </w:rPr>
                              <w:t>ÍO SAN MIGUEL SOSA Y OTRAS</w:t>
                            </w:r>
                          </w:p>
                          <w:p w14:paraId="092D091C" w14:textId="0FB9791D" w:rsidR="006B2D8F" w:rsidRPr="0010736F" w:rsidRDefault="006B2D8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VENEZUELA</w:t>
                            </w:r>
                          </w:p>
                          <w:p w14:paraId="1FC32D92" w14:textId="77777777" w:rsidR="006B2D8F" w:rsidRPr="00AE5488" w:rsidRDefault="006B2D8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14:paraId="20F9D9AA" w14:textId="7D27035A" w:rsidR="006B2D8F" w:rsidRPr="00B06C1C" w:rsidRDefault="006B2D8F"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75</w:t>
                      </w:r>
                      <w:r w:rsidRPr="00B06C1C">
                        <w:rPr>
                          <w:rFonts w:asciiTheme="majorHAnsi" w:hAnsiTheme="majorHAnsi" w:cs="Arial"/>
                          <w:b/>
                          <w:bCs/>
                          <w:color w:val="0D0D0D" w:themeColor="text1" w:themeTint="F2"/>
                          <w:sz w:val="36"/>
                          <w:szCs w:val="22"/>
                          <w:lang w:val="es-ES"/>
                        </w:rPr>
                        <w:t>/15</w:t>
                      </w:r>
                    </w:p>
                    <w:p w14:paraId="2C20096E" w14:textId="77777777" w:rsidR="006B2D8F" w:rsidRPr="00093196" w:rsidRDefault="006B2D8F"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12.923</w:t>
                      </w:r>
                    </w:p>
                    <w:p w14:paraId="64167D0D" w14:textId="77777777" w:rsidR="006B2D8F" w:rsidRPr="0010736F" w:rsidRDefault="006B2D8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4DC84F7D" w14:textId="77777777" w:rsidR="006B2D8F" w:rsidRPr="0010736F" w:rsidRDefault="006B2D8F"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89E3A3E" w14:textId="77777777" w:rsidR="006B2D8F" w:rsidRPr="005E21D4" w:rsidRDefault="006B2D8F" w:rsidP="00997BC5">
                      <w:pPr>
                        <w:spacing w:line="276" w:lineRule="auto"/>
                        <w:rPr>
                          <w:rFonts w:asciiTheme="majorHAnsi" w:hAnsiTheme="majorHAnsi" w:cs="Arial"/>
                          <w:color w:val="0D0D0D" w:themeColor="text1" w:themeTint="F2"/>
                          <w:szCs w:val="22"/>
                          <w:lang w:val="es-VE"/>
                        </w:rPr>
                      </w:pPr>
                      <w:r>
                        <w:rPr>
                          <w:rFonts w:ascii="Cambria" w:hAnsi="Cambria"/>
                          <w:lang w:val="es-ES"/>
                        </w:rPr>
                        <w:t>ROC</w:t>
                      </w:r>
                      <w:r>
                        <w:rPr>
                          <w:rFonts w:ascii="Cambria" w:hAnsi="Cambria"/>
                          <w:lang w:val="es-VE"/>
                        </w:rPr>
                        <w:t>ÍO SAN MIGUEL SOSA Y OTRAS</w:t>
                      </w:r>
                    </w:p>
                    <w:p w14:paraId="092D091C" w14:textId="0FB9791D" w:rsidR="006B2D8F" w:rsidRPr="0010736F" w:rsidRDefault="006B2D8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VENEZUELA</w:t>
                      </w:r>
                    </w:p>
                    <w:p w14:paraId="1FC32D92" w14:textId="77777777" w:rsidR="006B2D8F" w:rsidRPr="00AE5488" w:rsidRDefault="006B2D8F" w:rsidP="007A5817">
                      <w:pPr>
                        <w:rPr>
                          <w:color w:val="0D0D0D" w:themeColor="text1" w:themeTint="F2"/>
                          <w:lang w:val="es-ES_tradnl"/>
                        </w:rPr>
                      </w:pP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FF20D19" wp14:editId="23ED492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1B8F2" w14:textId="77777777" w:rsidR="006B2D8F" w:rsidRPr="0094120E" w:rsidRDefault="006B2D8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14:paraId="5DC0F8C0" w14:textId="67EE46DF" w:rsidR="006B2D8F" w:rsidRPr="0094120E" w:rsidRDefault="006B2D8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w:t>
                            </w:r>
                          </w:p>
                          <w:p w14:paraId="4F13B99D" w14:textId="731F37EB" w:rsidR="006B2D8F" w:rsidRPr="00BB2B86" w:rsidRDefault="006B2D8F"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 xml:space="preserve">Octubre 28, </w:t>
                            </w:r>
                            <w:r w:rsidRPr="00BB2B86">
                              <w:rPr>
                                <w:rFonts w:asciiTheme="minorHAnsi" w:hAnsiTheme="minorHAnsi"/>
                                <w:color w:val="FFFFFF" w:themeColor="background1"/>
                                <w:sz w:val="22"/>
                                <w:lang w:val="es-VE"/>
                              </w:rPr>
                              <w:t xml:space="preserve"> 2015</w:t>
                            </w:r>
                          </w:p>
                          <w:p w14:paraId="42C48A09" w14:textId="77777777" w:rsidR="006B2D8F" w:rsidRPr="000C5BC3" w:rsidRDefault="006B2D8F"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3921B8F2" w14:textId="77777777" w:rsidR="006B2D8F" w:rsidRPr="0094120E" w:rsidRDefault="006B2D8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14:paraId="5DC0F8C0" w14:textId="67EE46DF" w:rsidR="006B2D8F" w:rsidRPr="0094120E" w:rsidRDefault="006B2D8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w:t>
                      </w:r>
                    </w:p>
                    <w:p w14:paraId="4F13B99D" w14:textId="731F37EB" w:rsidR="006B2D8F" w:rsidRPr="00BB2B86" w:rsidRDefault="006B2D8F"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 xml:space="preserve">Octubre 28, </w:t>
                      </w:r>
                      <w:r w:rsidRPr="00BB2B86">
                        <w:rPr>
                          <w:rFonts w:asciiTheme="minorHAnsi" w:hAnsiTheme="minorHAnsi"/>
                          <w:color w:val="FFFFFF" w:themeColor="background1"/>
                          <w:sz w:val="22"/>
                          <w:lang w:val="es-VE"/>
                        </w:rPr>
                        <w:t xml:space="preserve"> 2015</w:t>
                      </w:r>
                    </w:p>
                    <w:p w14:paraId="42C48A09" w14:textId="77777777" w:rsidR="006B2D8F" w:rsidRPr="000C5BC3" w:rsidRDefault="006B2D8F"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14:paraId="43B3482E"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4FE4D371"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189081E0" w14:textId="77777777" w:rsidR="00040C3A" w:rsidRPr="00420489" w:rsidRDefault="00040C3A" w:rsidP="00040C3A">
      <w:pPr>
        <w:tabs>
          <w:tab w:val="center" w:pos="5400"/>
        </w:tabs>
        <w:suppressAutoHyphens/>
        <w:jc w:val="center"/>
        <w:rPr>
          <w:rFonts w:asciiTheme="majorHAnsi" w:hAnsiTheme="majorHAnsi" w:cs="Arial"/>
          <w:sz w:val="20"/>
          <w:szCs w:val="20"/>
          <w:lang w:val="es-ES_tradnl"/>
        </w:rPr>
      </w:pPr>
    </w:p>
    <w:p w14:paraId="7AD33075"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12F700A7"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28E0BBCB"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50912C44"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6C5C1E84"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250BAAC9"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4BA3AC2C"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6110F4F1"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62919D09"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07425A29"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17897BFD"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10664904"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3F0BE975"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7080086"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1908F869"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82EA4EC"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0799DDF"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54AA26F6"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1EA598FE"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51EAFD3F"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3F0243D6"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54F13C70"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5A86A68"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6906E9D3"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9453FE2"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0B0A117" w14:textId="77777777" w:rsidR="00A50FCF"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11C4B89" wp14:editId="158AB5F7">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F3F07" w14:textId="055E0741" w:rsidR="006B2D8F" w:rsidRPr="00890650" w:rsidRDefault="006B2D8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21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28 de octubre de 2015</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156</w:t>
                            </w:r>
                            <w:r w:rsidRPr="00890650">
                              <w:rPr>
                                <w:rFonts w:asciiTheme="majorHAnsi" w:hAnsiTheme="majorHAnsi" w:cs="Univers"/>
                                <w:color w:val="0D0D0D" w:themeColor="text1" w:themeTint="F2"/>
                                <w:sz w:val="18"/>
                                <w:szCs w:val="20"/>
                                <w:lang w:val="es-ES_tradnl"/>
                              </w:rPr>
                              <w:t xml:space="preserve"> período ordinario de sesiones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077F3F07" w14:textId="055E0741" w:rsidR="006B2D8F" w:rsidRPr="00890650" w:rsidRDefault="006B2D8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21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28 de octubre de 2015</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156</w:t>
                      </w:r>
                      <w:r w:rsidRPr="00890650">
                        <w:rPr>
                          <w:rFonts w:asciiTheme="majorHAnsi" w:hAnsiTheme="majorHAnsi" w:cs="Univers"/>
                          <w:color w:val="0D0D0D" w:themeColor="text1" w:themeTint="F2"/>
                          <w:sz w:val="18"/>
                          <w:szCs w:val="20"/>
                          <w:lang w:val="es-ES_tradnl"/>
                        </w:rPr>
                        <w:t xml:space="preserve"> período ordinario de sesiones</w:t>
                      </w:r>
                    </w:p>
                  </w:txbxContent>
                </v:textbox>
              </v:shape>
            </w:pict>
          </mc:Fallback>
        </mc:AlternateContent>
      </w:r>
    </w:p>
    <w:p w14:paraId="1320969F"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643F0C21"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61C1466F"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EB7FCD2"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36ADEBB" w14:textId="77777777" w:rsidR="00A50FCF"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5738D7D" wp14:editId="3D07B633">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DEA2A" w14:textId="4C4B3F16" w:rsidR="006B2D8F" w:rsidRPr="007A737F" w:rsidRDefault="006B2D8F" w:rsidP="00093196">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75</w:t>
                            </w:r>
                            <w:r>
                              <w:rPr>
                                <w:rFonts w:asciiTheme="majorHAnsi" w:hAnsiTheme="majorHAnsi"/>
                                <w:color w:val="595959" w:themeColor="text1" w:themeTint="A6"/>
                                <w:sz w:val="18"/>
                                <w:szCs w:val="18"/>
                                <w:lang w:val="es-ES_tradnl"/>
                              </w:rPr>
                              <w:t>/15, Caso 12.923</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Rocío San Miguel Sosa y otras.</w:t>
                            </w:r>
                          </w:p>
                          <w:p w14:paraId="515D12B7" w14:textId="4A98B46F" w:rsidR="006B2D8F" w:rsidRPr="00093196" w:rsidRDefault="006B2D8F" w:rsidP="00113F73">
                            <w:pPr>
                              <w:spacing w:line="276" w:lineRule="auto"/>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28 de octubre de 2015</w:t>
                            </w:r>
                            <w:r w:rsidRPr="0009319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1A8DEA2A" w14:textId="4C4B3F16" w:rsidR="006B2D8F" w:rsidRPr="007A737F" w:rsidRDefault="006B2D8F" w:rsidP="00093196">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75</w:t>
                      </w:r>
                      <w:r>
                        <w:rPr>
                          <w:rFonts w:asciiTheme="majorHAnsi" w:hAnsiTheme="majorHAnsi"/>
                          <w:color w:val="595959" w:themeColor="text1" w:themeTint="A6"/>
                          <w:sz w:val="18"/>
                          <w:szCs w:val="18"/>
                          <w:lang w:val="es-ES_tradnl"/>
                        </w:rPr>
                        <w:t>/15, Caso 12.923</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Rocío San Miguel Sosa y otras.</w:t>
                      </w:r>
                    </w:p>
                    <w:p w14:paraId="515D12B7" w14:textId="4A98B46F" w:rsidR="006B2D8F" w:rsidRPr="00093196" w:rsidRDefault="006B2D8F" w:rsidP="00113F73">
                      <w:pPr>
                        <w:spacing w:line="276" w:lineRule="auto"/>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28 de octubre de 2015</w:t>
                      </w:r>
                      <w:r w:rsidRPr="00093196">
                        <w:rPr>
                          <w:rFonts w:asciiTheme="majorHAnsi" w:hAnsiTheme="majorHAnsi"/>
                          <w:color w:val="595959" w:themeColor="text1" w:themeTint="A6"/>
                          <w:sz w:val="18"/>
                          <w:szCs w:val="18"/>
                          <w:lang w:val="es-ES"/>
                        </w:rPr>
                        <w:t>.</w:t>
                      </w:r>
                    </w:p>
                  </w:txbxContent>
                </v:textbox>
              </v:shape>
            </w:pict>
          </mc:Fallback>
        </mc:AlternateContent>
      </w:r>
    </w:p>
    <w:p w14:paraId="35EF68A0"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3C8DA0E9" w14:textId="77777777" w:rsidR="0090270B" w:rsidRPr="00420489" w:rsidRDefault="00C0075D" w:rsidP="005516A1">
      <w:pPr>
        <w:tabs>
          <w:tab w:val="center" w:pos="5400"/>
        </w:tabs>
        <w:suppressAutoHyphens/>
        <w:jc w:val="center"/>
        <w:rPr>
          <w:rFonts w:asciiTheme="majorHAnsi" w:hAnsiTheme="majorHAnsi"/>
          <w:b/>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BE5886F" wp14:editId="5FAFF638">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C323D" w14:textId="77777777" w:rsidR="006B2D8F" w:rsidRPr="00D72DC6" w:rsidRDefault="006B2D8F" w:rsidP="00F02AD1">
                            <w:pPr>
                              <w:rPr>
                                <w:color w:val="FFFFFF" w:themeColor="background1"/>
                              </w:rPr>
                            </w:pPr>
                            <w:r w:rsidRPr="00D72DC6">
                              <w:rPr>
                                <w:noProof/>
                                <w:color w:val="FFFFFF" w:themeColor="background1"/>
                              </w:rPr>
                              <w:drawing>
                                <wp:inline distT="0" distB="0" distL="0" distR="0" wp14:anchorId="739605A1" wp14:editId="5D62EA7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14:paraId="7BAC323D" w14:textId="77777777" w:rsidR="006B2D8F" w:rsidRPr="00D72DC6" w:rsidRDefault="006B2D8F" w:rsidP="00F02AD1">
                      <w:pPr>
                        <w:rPr>
                          <w:color w:val="FFFFFF" w:themeColor="background1"/>
                        </w:rPr>
                      </w:pPr>
                      <w:r w:rsidRPr="00D72DC6">
                        <w:rPr>
                          <w:noProof/>
                          <w:color w:val="FFFFFF" w:themeColor="background1"/>
                        </w:rPr>
                        <w:drawing>
                          <wp:inline distT="0" distB="0" distL="0" distR="0" wp14:anchorId="739605A1" wp14:editId="5D62EA7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C85B1C2" wp14:editId="30016380">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A54B0" w14:textId="77777777" w:rsidR="006B2D8F" w:rsidRPr="004B7EB6" w:rsidRDefault="006B2D8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14:paraId="44DA54B0" w14:textId="77777777" w:rsidR="006B2D8F" w:rsidRPr="004B7EB6" w:rsidRDefault="006B2D8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062DBDE" w14:textId="77777777" w:rsidR="0070697F" w:rsidRPr="00420489" w:rsidRDefault="0070697F" w:rsidP="005516A1">
      <w:pPr>
        <w:tabs>
          <w:tab w:val="center" w:pos="5400"/>
        </w:tabs>
        <w:suppressAutoHyphens/>
        <w:jc w:val="center"/>
        <w:rPr>
          <w:rFonts w:asciiTheme="majorHAnsi" w:hAnsiTheme="majorHAnsi"/>
          <w:b/>
          <w:sz w:val="20"/>
          <w:szCs w:val="20"/>
          <w:lang w:val="es-ES_tradnl"/>
        </w:rPr>
        <w:sectPr w:rsidR="0070697F" w:rsidRPr="00420489"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0B99A998" w14:textId="4CEACFAD" w:rsidR="004B316C" w:rsidRPr="00420489" w:rsidRDefault="00BB2B86"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Pr>
          <w:rFonts w:asciiTheme="majorHAnsi" w:eastAsia="Times New Roman" w:hAnsiTheme="majorHAnsi"/>
          <w:b/>
          <w:sz w:val="20"/>
          <w:szCs w:val="20"/>
          <w:bdr w:val="none" w:sz="0" w:space="0" w:color="auto"/>
          <w:lang w:val="es-ES_tradnl"/>
        </w:rPr>
        <w:lastRenderedPageBreak/>
        <w:t>INFORME No. 75</w:t>
      </w:r>
      <w:r w:rsidR="00B06C1C" w:rsidRPr="00420489">
        <w:rPr>
          <w:rFonts w:asciiTheme="majorHAnsi" w:eastAsia="Times New Roman" w:hAnsiTheme="majorHAnsi"/>
          <w:b/>
          <w:sz w:val="20"/>
          <w:szCs w:val="20"/>
          <w:bdr w:val="none" w:sz="0" w:space="0" w:color="auto"/>
          <w:lang w:val="es-ES_tradnl"/>
        </w:rPr>
        <w:t>/15</w:t>
      </w:r>
    </w:p>
    <w:p w14:paraId="210BECCF" w14:textId="77777777" w:rsidR="004B316C" w:rsidRPr="00420489" w:rsidRDefault="005E21D4"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sidRPr="00420489">
        <w:rPr>
          <w:rFonts w:asciiTheme="majorHAnsi" w:eastAsia="Times New Roman" w:hAnsiTheme="majorHAnsi"/>
          <w:b/>
          <w:sz w:val="20"/>
          <w:szCs w:val="20"/>
          <w:bdr w:val="none" w:sz="0" w:space="0" w:color="auto"/>
          <w:lang w:val="es-ES_tradnl"/>
        </w:rPr>
        <w:t>CASO 12.923</w:t>
      </w:r>
    </w:p>
    <w:p w14:paraId="61888AB4" w14:textId="77777777" w:rsidR="004B316C" w:rsidRPr="00420489"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420489">
        <w:rPr>
          <w:rFonts w:asciiTheme="majorHAnsi" w:eastAsia="Times New Roman" w:hAnsiTheme="majorHAnsi"/>
          <w:sz w:val="20"/>
          <w:szCs w:val="20"/>
          <w:bdr w:val="none" w:sz="0" w:space="0" w:color="auto"/>
          <w:lang w:val="es-ES_tradnl"/>
        </w:rPr>
        <w:t>FONDO</w:t>
      </w:r>
    </w:p>
    <w:p w14:paraId="4E3DFC7F" w14:textId="77777777" w:rsidR="00B06C1C" w:rsidRPr="00420489" w:rsidRDefault="005E21D4"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420489">
        <w:rPr>
          <w:rFonts w:asciiTheme="majorHAnsi" w:eastAsia="Times New Roman" w:hAnsiTheme="majorHAnsi"/>
          <w:sz w:val="20"/>
          <w:szCs w:val="20"/>
          <w:bdr w:val="none" w:sz="0" w:space="0" w:color="auto"/>
          <w:lang w:val="es-ES_tradnl"/>
        </w:rPr>
        <w:t>ROCIO SAN MIGUEL SOSA Y OTRAS</w:t>
      </w:r>
    </w:p>
    <w:p w14:paraId="3B0C7D90" w14:textId="77777777" w:rsidR="00B06C1C" w:rsidRPr="00420489" w:rsidRDefault="005E21D4"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420489">
        <w:rPr>
          <w:rFonts w:asciiTheme="majorHAnsi" w:eastAsia="Times New Roman" w:hAnsiTheme="majorHAnsi"/>
          <w:sz w:val="20"/>
          <w:szCs w:val="20"/>
          <w:bdr w:val="none" w:sz="0" w:space="0" w:color="auto"/>
          <w:lang w:val="es-ES_tradnl"/>
        </w:rPr>
        <w:t>VENEZUELA</w:t>
      </w:r>
    </w:p>
    <w:p w14:paraId="6939C697" w14:textId="3CA6846B" w:rsidR="0073741F" w:rsidRPr="00420489" w:rsidRDefault="00BB2B86"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bdr w:val="none" w:sz="0" w:space="0" w:color="auto"/>
          <w:lang w:val="es-ES_tradnl"/>
        </w:rPr>
        <w:t>28</w:t>
      </w:r>
      <w:r w:rsidR="00E24E60" w:rsidRPr="00420489">
        <w:rPr>
          <w:rFonts w:asciiTheme="majorHAnsi" w:eastAsia="Times New Roman" w:hAnsiTheme="majorHAnsi"/>
          <w:sz w:val="20"/>
          <w:szCs w:val="20"/>
          <w:bdr w:val="none" w:sz="0" w:space="0" w:color="auto"/>
          <w:lang w:val="es-ES_tradnl"/>
        </w:rPr>
        <w:t xml:space="preserve"> DE </w:t>
      </w:r>
      <w:r w:rsidR="00B5326D" w:rsidRPr="00420489">
        <w:rPr>
          <w:rFonts w:asciiTheme="majorHAnsi" w:eastAsia="Times New Roman" w:hAnsiTheme="majorHAnsi"/>
          <w:sz w:val="20"/>
          <w:szCs w:val="20"/>
          <w:bdr w:val="none" w:sz="0" w:space="0" w:color="auto"/>
          <w:lang w:val="es-ES_tradnl"/>
        </w:rPr>
        <w:t>OCTUBRE</w:t>
      </w:r>
      <w:r w:rsidR="00E24E60" w:rsidRPr="00420489">
        <w:rPr>
          <w:rFonts w:asciiTheme="majorHAnsi" w:eastAsia="Times New Roman" w:hAnsiTheme="majorHAnsi"/>
          <w:sz w:val="20"/>
          <w:szCs w:val="20"/>
          <w:bdr w:val="none" w:sz="0" w:space="0" w:color="auto"/>
          <w:lang w:val="es-ES_tradnl"/>
        </w:rPr>
        <w:t xml:space="preserve"> DE 2015</w:t>
      </w:r>
    </w:p>
    <w:p w14:paraId="6884816B" w14:textId="77777777" w:rsidR="004B316C" w:rsidRPr="00420489"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lang w:val="es-ES_tradnl"/>
        </w:rPr>
      </w:pPr>
    </w:p>
    <w:p w14:paraId="3E65DBA9" w14:textId="77777777" w:rsidR="00F37106" w:rsidRPr="00420489" w:rsidRDefault="00AA09A2" w:rsidP="00DC7023">
      <w:pPr>
        <w:tabs>
          <w:tab w:val="center" w:pos="5400"/>
        </w:tabs>
        <w:suppressAutoHyphens/>
        <w:spacing w:line="276" w:lineRule="auto"/>
        <w:jc w:val="center"/>
        <w:rPr>
          <w:rFonts w:asciiTheme="majorHAnsi" w:hAnsiTheme="majorHAnsi"/>
          <w:b/>
          <w:sz w:val="20"/>
          <w:szCs w:val="20"/>
          <w:lang w:val="es-ES_tradnl"/>
        </w:rPr>
      </w:pPr>
      <w:r w:rsidRPr="00420489">
        <w:rPr>
          <w:rFonts w:asciiTheme="majorHAnsi" w:hAnsiTheme="majorHAnsi"/>
          <w:b/>
          <w:sz w:val="20"/>
          <w:szCs w:val="20"/>
          <w:lang w:val="es-ES_tradnl"/>
        </w:rPr>
        <w:t>Í</w:t>
      </w:r>
      <w:r w:rsidR="00DC7023" w:rsidRPr="00420489">
        <w:rPr>
          <w:rFonts w:asciiTheme="majorHAnsi" w:hAnsiTheme="majorHAnsi"/>
          <w:b/>
          <w:sz w:val="20"/>
          <w:szCs w:val="20"/>
          <w:lang w:val="es-ES_tradnl"/>
        </w:rPr>
        <w:t>NDICE</w:t>
      </w:r>
    </w:p>
    <w:p w14:paraId="64A8AA8C" w14:textId="77777777" w:rsidR="0070697F" w:rsidRPr="00BB2B86" w:rsidRDefault="0070697F" w:rsidP="00585E67">
      <w:pPr>
        <w:tabs>
          <w:tab w:val="left" w:pos="720"/>
          <w:tab w:val="center" w:pos="5400"/>
        </w:tabs>
        <w:suppressAutoHyphens/>
        <w:rPr>
          <w:rFonts w:asciiTheme="majorHAnsi" w:hAnsiTheme="majorHAnsi"/>
          <w:sz w:val="20"/>
          <w:szCs w:val="20"/>
          <w:lang w:val="es-VE"/>
        </w:rPr>
      </w:pPr>
    </w:p>
    <w:p w14:paraId="189C9F28" w14:textId="77777777" w:rsidR="00367A1A" w:rsidRPr="00367A1A" w:rsidRDefault="00526252" w:rsidP="00367A1A">
      <w:pPr>
        <w:pStyle w:val="TOC1"/>
        <w:tabs>
          <w:tab w:val="left" w:pos="1440"/>
          <w:tab w:val="right" w:leader="dot" w:pos="9360"/>
        </w:tabs>
        <w:rPr>
          <w:rFonts w:asciiTheme="majorHAnsi" w:eastAsiaTheme="minorEastAsia" w:hAnsiTheme="majorHAnsi" w:cstheme="minorBidi"/>
          <w:noProof/>
          <w:sz w:val="20"/>
          <w:szCs w:val="20"/>
          <w:bdr w:val="none" w:sz="0" w:space="0" w:color="auto"/>
        </w:rPr>
      </w:pPr>
      <w:r w:rsidRPr="00367A1A">
        <w:rPr>
          <w:rFonts w:asciiTheme="majorHAnsi" w:hAnsiTheme="majorHAnsi"/>
          <w:sz w:val="20"/>
          <w:szCs w:val="20"/>
          <w:lang w:val="es-ES_tradnl"/>
        </w:rPr>
        <w:fldChar w:fldCharType="begin"/>
      </w:r>
      <w:r w:rsidRPr="00367A1A">
        <w:rPr>
          <w:rFonts w:asciiTheme="majorHAnsi" w:hAnsiTheme="majorHAnsi"/>
          <w:sz w:val="20"/>
          <w:szCs w:val="20"/>
          <w:lang w:val="es-ES_tradnl"/>
        </w:rPr>
        <w:instrText xml:space="preserve"> TOC \o "1-3" \h \z \u </w:instrText>
      </w:r>
      <w:r w:rsidRPr="00367A1A">
        <w:rPr>
          <w:rFonts w:asciiTheme="majorHAnsi" w:hAnsiTheme="majorHAnsi"/>
          <w:sz w:val="20"/>
          <w:szCs w:val="20"/>
          <w:lang w:val="es-ES_tradnl"/>
        </w:rPr>
        <w:fldChar w:fldCharType="separate"/>
      </w:r>
      <w:hyperlink w:anchor="_Toc433308894" w:history="1">
        <w:r w:rsidR="00367A1A" w:rsidRPr="00367A1A">
          <w:rPr>
            <w:rStyle w:val="Hyperlink"/>
            <w:rFonts w:asciiTheme="majorHAnsi" w:hAnsiTheme="majorHAnsi"/>
            <w:noProof/>
            <w:sz w:val="20"/>
            <w:szCs w:val="20"/>
          </w:rPr>
          <w:t>I.</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RESUMEN</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_Toc433308894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2</w:t>
        </w:r>
        <w:r w:rsidR="00367A1A" w:rsidRPr="00367A1A">
          <w:rPr>
            <w:rFonts w:asciiTheme="majorHAnsi" w:hAnsiTheme="majorHAnsi"/>
            <w:noProof/>
            <w:webHidden/>
            <w:sz w:val="20"/>
            <w:szCs w:val="20"/>
          </w:rPr>
          <w:fldChar w:fldCharType="end"/>
        </w:r>
      </w:hyperlink>
    </w:p>
    <w:p w14:paraId="4B92851E" w14:textId="77777777" w:rsidR="00367A1A" w:rsidRPr="00367A1A" w:rsidRDefault="006B2D8F" w:rsidP="00367A1A">
      <w:pPr>
        <w:pStyle w:val="TOC1"/>
        <w:tabs>
          <w:tab w:val="left" w:pos="1440"/>
          <w:tab w:val="right" w:leader="dot" w:pos="9360"/>
        </w:tabs>
        <w:rPr>
          <w:rFonts w:asciiTheme="majorHAnsi" w:eastAsiaTheme="minorEastAsia" w:hAnsiTheme="majorHAnsi" w:cstheme="minorBidi"/>
          <w:noProof/>
          <w:sz w:val="20"/>
          <w:szCs w:val="20"/>
          <w:bdr w:val="none" w:sz="0" w:space="0" w:color="auto"/>
        </w:rPr>
      </w:pPr>
      <w:hyperlink w:anchor="_Toc433308895" w:history="1">
        <w:r w:rsidR="00367A1A" w:rsidRPr="00367A1A">
          <w:rPr>
            <w:rStyle w:val="Hyperlink"/>
            <w:rFonts w:asciiTheme="majorHAnsi" w:hAnsiTheme="majorHAnsi"/>
            <w:noProof/>
            <w:sz w:val="20"/>
            <w:szCs w:val="20"/>
          </w:rPr>
          <w:t>II.</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TRÁMITE ANTE LA COMISIÓN</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_Toc433308895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2</w:t>
        </w:r>
        <w:r w:rsidR="00367A1A" w:rsidRPr="00367A1A">
          <w:rPr>
            <w:rFonts w:asciiTheme="majorHAnsi" w:hAnsiTheme="majorHAnsi"/>
            <w:noProof/>
            <w:webHidden/>
            <w:sz w:val="20"/>
            <w:szCs w:val="20"/>
          </w:rPr>
          <w:fldChar w:fldCharType="end"/>
        </w:r>
      </w:hyperlink>
    </w:p>
    <w:p w14:paraId="4F09A398" w14:textId="77777777" w:rsidR="00367A1A" w:rsidRPr="00367A1A" w:rsidRDefault="006B2D8F" w:rsidP="00367A1A">
      <w:pPr>
        <w:pStyle w:val="TOC1"/>
        <w:tabs>
          <w:tab w:val="left" w:pos="1440"/>
          <w:tab w:val="right" w:leader="dot" w:pos="9360"/>
        </w:tabs>
        <w:rPr>
          <w:rFonts w:asciiTheme="majorHAnsi" w:eastAsiaTheme="minorEastAsia" w:hAnsiTheme="majorHAnsi" w:cstheme="minorBidi"/>
          <w:noProof/>
          <w:sz w:val="20"/>
          <w:szCs w:val="20"/>
          <w:bdr w:val="none" w:sz="0" w:space="0" w:color="auto"/>
        </w:rPr>
      </w:pPr>
      <w:hyperlink w:anchor="_Toc433308896" w:history="1">
        <w:r w:rsidR="00367A1A" w:rsidRPr="00367A1A">
          <w:rPr>
            <w:rStyle w:val="Hyperlink"/>
            <w:rFonts w:asciiTheme="majorHAnsi" w:hAnsiTheme="majorHAnsi"/>
            <w:noProof/>
            <w:sz w:val="20"/>
            <w:szCs w:val="20"/>
          </w:rPr>
          <w:t>III.</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POSICIONES DE LAS PARTES</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_Toc433308896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3</w:t>
        </w:r>
        <w:r w:rsidR="00367A1A" w:rsidRPr="00367A1A">
          <w:rPr>
            <w:rFonts w:asciiTheme="majorHAnsi" w:hAnsiTheme="majorHAnsi"/>
            <w:noProof/>
            <w:webHidden/>
            <w:sz w:val="20"/>
            <w:szCs w:val="20"/>
          </w:rPr>
          <w:fldChar w:fldCharType="end"/>
        </w:r>
      </w:hyperlink>
    </w:p>
    <w:p w14:paraId="3FD5D3F0" w14:textId="77777777" w:rsidR="00367A1A" w:rsidRPr="00367A1A" w:rsidRDefault="006B2D8F" w:rsidP="00367A1A">
      <w:pPr>
        <w:pStyle w:val="TOC2"/>
        <w:tabs>
          <w:tab w:val="clear" w:pos="9350"/>
          <w:tab w:val="right" w:leader="dot" w:pos="9360"/>
        </w:tabs>
        <w:rPr>
          <w:rFonts w:asciiTheme="majorHAnsi" w:eastAsiaTheme="minorEastAsia" w:hAnsiTheme="majorHAnsi" w:cstheme="minorBidi"/>
          <w:noProof/>
          <w:sz w:val="20"/>
          <w:szCs w:val="20"/>
          <w:bdr w:val="none" w:sz="0" w:space="0" w:color="auto"/>
        </w:rPr>
      </w:pPr>
      <w:hyperlink w:anchor="_Toc433308897" w:history="1">
        <w:r w:rsidR="00367A1A" w:rsidRPr="00367A1A">
          <w:rPr>
            <w:rStyle w:val="Hyperlink"/>
            <w:rFonts w:asciiTheme="majorHAnsi" w:hAnsiTheme="majorHAnsi"/>
            <w:noProof/>
            <w:sz w:val="20"/>
            <w:szCs w:val="20"/>
          </w:rPr>
          <w:t>A.</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Posición de los peticionarios</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_Toc433308897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3</w:t>
        </w:r>
        <w:r w:rsidR="00367A1A" w:rsidRPr="00367A1A">
          <w:rPr>
            <w:rFonts w:asciiTheme="majorHAnsi" w:hAnsiTheme="majorHAnsi"/>
            <w:noProof/>
            <w:webHidden/>
            <w:sz w:val="20"/>
            <w:szCs w:val="20"/>
          </w:rPr>
          <w:fldChar w:fldCharType="end"/>
        </w:r>
      </w:hyperlink>
    </w:p>
    <w:p w14:paraId="0930703D" w14:textId="77777777" w:rsidR="00367A1A" w:rsidRPr="00367A1A" w:rsidRDefault="006B2D8F" w:rsidP="00367A1A">
      <w:pPr>
        <w:pStyle w:val="TOC2"/>
        <w:tabs>
          <w:tab w:val="clear" w:pos="9350"/>
          <w:tab w:val="right" w:leader="dot" w:pos="9360"/>
        </w:tabs>
        <w:rPr>
          <w:rFonts w:asciiTheme="majorHAnsi" w:eastAsiaTheme="minorEastAsia" w:hAnsiTheme="majorHAnsi" w:cstheme="minorBidi"/>
          <w:noProof/>
          <w:sz w:val="20"/>
          <w:szCs w:val="20"/>
          <w:bdr w:val="none" w:sz="0" w:space="0" w:color="auto"/>
        </w:rPr>
      </w:pPr>
      <w:hyperlink w:anchor="_Toc433308898" w:history="1">
        <w:r w:rsidR="00367A1A" w:rsidRPr="00367A1A">
          <w:rPr>
            <w:rStyle w:val="Hyperlink"/>
            <w:rFonts w:asciiTheme="majorHAnsi" w:hAnsiTheme="majorHAnsi"/>
            <w:noProof/>
            <w:sz w:val="20"/>
            <w:szCs w:val="20"/>
          </w:rPr>
          <w:t>B.</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Posición del Estado</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_Toc433308898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7</w:t>
        </w:r>
        <w:r w:rsidR="00367A1A" w:rsidRPr="00367A1A">
          <w:rPr>
            <w:rFonts w:asciiTheme="majorHAnsi" w:hAnsiTheme="majorHAnsi"/>
            <w:noProof/>
            <w:webHidden/>
            <w:sz w:val="20"/>
            <w:szCs w:val="20"/>
          </w:rPr>
          <w:fldChar w:fldCharType="end"/>
        </w:r>
      </w:hyperlink>
    </w:p>
    <w:p w14:paraId="224E83AB" w14:textId="77777777" w:rsidR="00367A1A" w:rsidRPr="00367A1A" w:rsidRDefault="006B2D8F" w:rsidP="00367A1A">
      <w:pPr>
        <w:pStyle w:val="TOC1"/>
        <w:tabs>
          <w:tab w:val="left" w:pos="1440"/>
          <w:tab w:val="right" w:leader="dot" w:pos="9360"/>
        </w:tabs>
        <w:rPr>
          <w:rFonts w:asciiTheme="majorHAnsi" w:eastAsiaTheme="minorEastAsia" w:hAnsiTheme="majorHAnsi" w:cstheme="minorBidi"/>
          <w:noProof/>
          <w:sz w:val="20"/>
          <w:szCs w:val="20"/>
          <w:bdr w:val="none" w:sz="0" w:space="0" w:color="auto"/>
        </w:rPr>
      </w:pPr>
      <w:hyperlink w:anchor="_Toc433308899" w:history="1">
        <w:r w:rsidR="00367A1A" w:rsidRPr="00367A1A">
          <w:rPr>
            <w:rStyle w:val="Hyperlink"/>
            <w:rFonts w:asciiTheme="majorHAnsi" w:hAnsiTheme="majorHAnsi"/>
            <w:noProof/>
            <w:sz w:val="20"/>
            <w:szCs w:val="20"/>
          </w:rPr>
          <w:t>IV.</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HECHOS PROBADOS</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_Toc433308899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9</w:t>
        </w:r>
        <w:r w:rsidR="00367A1A" w:rsidRPr="00367A1A">
          <w:rPr>
            <w:rFonts w:asciiTheme="majorHAnsi" w:hAnsiTheme="majorHAnsi"/>
            <w:noProof/>
            <w:webHidden/>
            <w:sz w:val="20"/>
            <w:szCs w:val="20"/>
          </w:rPr>
          <w:fldChar w:fldCharType="end"/>
        </w:r>
      </w:hyperlink>
    </w:p>
    <w:p w14:paraId="391DF0BE" w14:textId="77777777" w:rsidR="00367A1A" w:rsidRPr="00367A1A" w:rsidRDefault="006B2D8F" w:rsidP="00367A1A">
      <w:pPr>
        <w:pStyle w:val="TOC2"/>
        <w:tabs>
          <w:tab w:val="clear" w:pos="9350"/>
          <w:tab w:val="right" w:leader="dot" w:pos="9360"/>
        </w:tabs>
        <w:rPr>
          <w:rFonts w:asciiTheme="majorHAnsi" w:eastAsiaTheme="minorEastAsia" w:hAnsiTheme="majorHAnsi" w:cstheme="minorBidi"/>
          <w:noProof/>
          <w:sz w:val="20"/>
          <w:szCs w:val="20"/>
          <w:bdr w:val="none" w:sz="0" w:space="0" w:color="auto"/>
        </w:rPr>
      </w:pPr>
      <w:hyperlink w:anchor="_Toc433308900" w:history="1">
        <w:r w:rsidR="00367A1A" w:rsidRPr="00367A1A">
          <w:rPr>
            <w:rStyle w:val="Hyperlink"/>
            <w:rFonts w:asciiTheme="majorHAnsi" w:hAnsiTheme="majorHAnsi"/>
            <w:noProof/>
            <w:sz w:val="20"/>
            <w:szCs w:val="20"/>
          </w:rPr>
          <w:t>A.</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Cuestión previa sobre el uso de cierta prueba</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_Toc433308900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9</w:t>
        </w:r>
        <w:r w:rsidR="00367A1A" w:rsidRPr="00367A1A">
          <w:rPr>
            <w:rFonts w:asciiTheme="majorHAnsi" w:hAnsiTheme="majorHAnsi"/>
            <w:noProof/>
            <w:webHidden/>
            <w:sz w:val="20"/>
            <w:szCs w:val="20"/>
          </w:rPr>
          <w:fldChar w:fldCharType="end"/>
        </w:r>
      </w:hyperlink>
    </w:p>
    <w:p w14:paraId="4CA976A6" w14:textId="77777777" w:rsidR="00367A1A" w:rsidRPr="00367A1A" w:rsidRDefault="006B2D8F" w:rsidP="00367A1A">
      <w:pPr>
        <w:pStyle w:val="TOC2"/>
        <w:tabs>
          <w:tab w:val="clear" w:pos="9350"/>
          <w:tab w:val="right" w:leader="dot" w:pos="9360"/>
        </w:tabs>
        <w:rPr>
          <w:rFonts w:asciiTheme="majorHAnsi" w:eastAsiaTheme="minorEastAsia" w:hAnsiTheme="majorHAnsi" w:cstheme="minorBidi"/>
          <w:noProof/>
          <w:sz w:val="20"/>
          <w:szCs w:val="20"/>
          <w:bdr w:val="none" w:sz="0" w:space="0" w:color="auto"/>
        </w:rPr>
      </w:pPr>
      <w:hyperlink w:anchor="_Toc433308901" w:history="1">
        <w:r w:rsidR="00367A1A" w:rsidRPr="00367A1A">
          <w:rPr>
            <w:rStyle w:val="Hyperlink"/>
            <w:rFonts w:asciiTheme="majorHAnsi" w:hAnsiTheme="majorHAnsi"/>
            <w:noProof/>
            <w:sz w:val="20"/>
            <w:szCs w:val="20"/>
          </w:rPr>
          <w:t>B.</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Contexto de la solicitud de firmas para la convocatoria del referendo consultivo y revocatorio del Presidente de la República</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_Toc433308901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10</w:t>
        </w:r>
        <w:r w:rsidR="00367A1A" w:rsidRPr="00367A1A">
          <w:rPr>
            <w:rFonts w:asciiTheme="majorHAnsi" w:hAnsiTheme="majorHAnsi"/>
            <w:noProof/>
            <w:webHidden/>
            <w:sz w:val="20"/>
            <w:szCs w:val="20"/>
          </w:rPr>
          <w:fldChar w:fldCharType="end"/>
        </w:r>
      </w:hyperlink>
    </w:p>
    <w:p w14:paraId="1C399F0A" w14:textId="77777777" w:rsidR="00367A1A" w:rsidRPr="00367A1A" w:rsidRDefault="006B2D8F" w:rsidP="0080408D">
      <w:pPr>
        <w:pStyle w:val="TOC2"/>
        <w:tabs>
          <w:tab w:val="clear" w:pos="9350"/>
          <w:tab w:val="right" w:leader="dot" w:pos="9360"/>
        </w:tabs>
        <w:jc w:val="both"/>
        <w:rPr>
          <w:rFonts w:asciiTheme="majorHAnsi" w:eastAsiaTheme="minorEastAsia" w:hAnsiTheme="majorHAnsi" w:cstheme="minorBidi"/>
          <w:noProof/>
          <w:sz w:val="20"/>
          <w:szCs w:val="20"/>
          <w:bdr w:val="none" w:sz="0" w:space="0" w:color="auto"/>
        </w:rPr>
      </w:pPr>
      <w:hyperlink w:anchor="_Toc433308902" w:history="1">
        <w:r w:rsidR="00367A1A" w:rsidRPr="00367A1A">
          <w:rPr>
            <w:rStyle w:val="Hyperlink"/>
            <w:rFonts w:asciiTheme="majorHAnsi" w:hAnsiTheme="majorHAnsi"/>
            <w:noProof/>
            <w:sz w:val="20"/>
            <w:szCs w:val="20"/>
          </w:rPr>
          <w:t>C.</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La relación laboral y terminación de los contratos de Rocío San Miguel Sosa, Magally Chang Girón y Thais Coromoto Peña</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_Toc433308902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17</w:t>
        </w:r>
        <w:r w:rsidR="00367A1A" w:rsidRPr="00367A1A">
          <w:rPr>
            <w:rFonts w:asciiTheme="majorHAnsi" w:hAnsiTheme="majorHAnsi"/>
            <w:noProof/>
            <w:webHidden/>
            <w:sz w:val="20"/>
            <w:szCs w:val="20"/>
          </w:rPr>
          <w:fldChar w:fldCharType="end"/>
        </w:r>
      </w:hyperlink>
    </w:p>
    <w:p w14:paraId="69970937" w14:textId="77777777" w:rsidR="00367A1A" w:rsidRPr="00367A1A" w:rsidRDefault="006B2D8F" w:rsidP="00367A1A">
      <w:pPr>
        <w:pStyle w:val="TOC2"/>
        <w:tabs>
          <w:tab w:val="clear" w:pos="9350"/>
          <w:tab w:val="right" w:leader="dot" w:pos="9360"/>
        </w:tabs>
        <w:rPr>
          <w:rFonts w:asciiTheme="majorHAnsi" w:eastAsiaTheme="minorEastAsia" w:hAnsiTheme="majorHAnsi" w:cstheme="minorBidi"/>
          <w:noProof/>
          <w:sz w:val="20"/>
          <w:szCs w:val="20"/>
          <w:bdr w:val="none" w:sz="0" w:space="0" w:color="auto"/>
        </w:rPr>
      </w:pPr>
      <w:hyperlink w:anchor="_Toc433308903" w:history="1">
        <w:r w:rsidR="00367A1A" w:rsidRPr="00367A1A">
          <w:rPr>
            <w:rStyle w:val="Hyperlink"/>
            <w:rFonts w:asciiTheme="majorHAnsi" w:hAnsiTheme="majorHAnsi"/>
            <w:noProof/>
            <w:sz w:val="20"/>
            <w:szCs w:val="20"/>
          </w:rPr>
          <w:t>D.</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Los procesos internos adelantados en relación con la terminación de los contratos</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_Toc433308903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23</w:t>
        </w:r>
        <w:r w:rsidR="00367A1A" w:rsidRPr="00367A1A">
          <w:rPr>
            <w:rFonts w:asciiTheme="majorHAnsi" w:hAnsiTheme="majorHAnsi"/>
            <w:noProof/>
            <w:webHidden/>
            <w:sz w:val="20"/>
            <w:szCs w:val="20"/>
          </w:rPr>
          <w:fldChar w:fldCharType="end"/>
        </w:r>
      </w:hyperlink>
    </w:p>
    <w:p w14:paraId="624960DD" w14:textId="77777777" w:rsidR="00367A1A" w:rsidRPr="00367A1A" w:rsidRDefault="006B2D8F" w:rsidP="00367A1A">
      <w:pPr>
        <w:pStyle w:val="TOC1"/>
        <w:tabs>
          <w:tab w:val="left" w:pos="1440"/>
          <w:tab w:val="right" w:leader="dot" w:pos="9360"/>
        </w:tabs>
        <w:rPr>
          <w:rFonts w:asciiTheme="majorHAnsi" w:eastAsiaTheme="minorEastAsia" w:hAnsiTheme="majorHAnsi" w:cstheme="minorBidi"/>
          <w:noProof/>
          <w:sz w:val="20"/>
          <w:szCs w:val="20"/>
          <w:bdr w:val="none" w:sz="0" w:space="0" w:color="auto"/>
        </w:rPr>
      </w:pPr>
      <w:hyperlink w:anchor="_Toc433308904" w:history="1">
        <w:r w:rsidR="00367A1A" w:rsidRPr="00367A1A">
          <w:rPr>
            <w:rStyle w:val="Hyperlink"/>
            <w:rFonts w:asciiTheme="majorHAnsi" w:hAnsiTheme="majorHAnsi"/>
            <w:noProof/>
            <w:sz w:val="20"/>
            <w:szCs w:val="20"/>
          </w:rPr>
          <w:t>V.</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ANALISIS DE DERECHO</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_Toc433308904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28</w:t>
        </w:r>
        <w:r w:rsidR="00367A1A" w:rsidRPr="00367A1A">
          <w:rPr>
            <w:rFonts w:asciiTheme="majorHAnsi" w:hAnsiTheme="majorHAnsi"/>
            <w:noProof/>
            <w:webHidden/>
            <w:sz w:val="20"/>
            <w:szCs w:val="20"/>
          </w:rPr>
          <w:fldChar w:fldCharType="end"/>
        </w:r>
      </w:hyperlink>
    </w:p>
    <w:p w14:paraId="3415EEFA" w14:textId="77777777" w:rsidR="00367A1A" w:rsidRPr="00367A1A" w:rsidRDefault="006B2D8F" w:rsidP="00367A1A">
      <w:pPr>
        <w:pStyle w:val="TOC2"/>
        <w:tabs>
          <w:tab w:val="clear" w:pos="9350"/>
          <w:tab w:val="right" w:leader="dot" w:pos="9360"/>
        </w:tabs>
        <w:rPr>
          <w:rFonts w:asciiTheme="majorHAnsi" w:eastAsiaTheme="minorEastAsia" w:hAnsiTheme="majorHAnsi" w:cstheme="minorBidi"/>
          <w:noProof/>
          <w:sz w:val="20"/>
          <w:szCs w:val="20"/>
          <w:bdr w:val="none" w:sz="0" w:space="0" w:color="auto"/>
        </w:rPr>
      </w:pPr>
      <w:hyperlink w:anchor="_Toc433308905" w:history="1">
        <w:r w:rsidR="00367A1A" w:rsidRPr="00367A1A">
          <w:rPr>
            <w:rStyle w:val="Hyperlink"/>
            <w:rFonts w:asciiTheme="majorHAnsi" w:hAnsiTheme="majorHAnsi"/>
            <w:noProof/>
            <w:sz w:val="20"/>
            <w:szCs w:val="20"/>
          </w:rPr>
          <w:t>A.</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lang w:val="es-ES"/>
          </w:rPr>
          <w:t>Los derechos políticos, la libertad de expresión y el principio de igualdad y no discriminación en el marco del despido (Artículos 23.1, 13.1 y 13.3, 24 y 1.1 de la Convención Americana)</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_Toc433308905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28</w:t>
        </w:r>
        <w:r w:rsidR="00367A1A" w:rsidRPr="00367A1A">
          <w:rPr>
            <w:rFonts w:asciiTheme="majorHAnsi" w:hAnsiTheme="majorHAnsi"/>
            <w:noProof/>
            <w:webHidden/>
            <w:sz w:val="20"/>
            <w:szCs w:val="20"/>
          </w:rPr>
          <w:fldChar w:fldCharType="end"/>
        </w:r>
      </w:hyperlink>
    </w:p>
    <w:p w14:paraId="487DCDDA" w14:textId="77777777" w:rsidR="00367A1A" w:rsidRPr="00367A1A" w:rsidRDefault="006B2D8F" w:rsidP="0080408D">
      <w:pPr>
        <w:pStyle w:val="TOC2"/>
        <w:tabs>
          <w:tab w:val="clear" w:pos="9350"/>
          <w:tab w:val="right" w:leader="dot" w:pos="9360"/>
        </w:tabs>
        <w:jc w:val="both"/>
        <w:rPr>
          <w:rFonts w:asciiTheme="majorHAnsi" w:eastAsiaTheme="minorEastAsia" w:hAnsiTheme="majorHAnsi" w:cstheme="minorBidi"/>
          <w:noProof/>
          <w:sz w:val="20"/>
          <w:szCs w:val="20"/>
          <w:bdr w:val="none" w:sz="0" w:space="0" w:color="auto"/>
        </w:rPr>
      </w:pPr>
      <w:hyperlink w:anchor="_Toc433308906" w:history="1">
        <w:r w:rsidR="00367A1A" w:rsidRPr="00367A1A">
          <w:rPr>
            <w:rStyle w:val="Hyperlink"/>
            <w:rFonts w:asciiTheme="majorHAnsi" w:hAnsiTheme="majorHAnsi"/>
            <w:noProof/>
            <w:sz w:val="20"/>
            <w:szCs w:val="20"/>
          </w:rPr>
          <w:t>B.</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hAnsiTheme="majorHAnsi"/>
            <w:noProof/>
            <w:sz w:val="20"/>
            <w:szCs w:val="20"/>
          </w:rPr>
          <w:t>Los derechos a las garantías judiciales y a la protección judicial (Artículos 8.1, 25.1 de la Convención Americana), en relación con la obligación de respetar los derechos (artículo 1.1 de la Convención Americana)</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_Toc433308906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38</w:t>
        </w:r>
        <w:r w:rsidR="00367A1A" w:rsidRPr="00367A1A">
          <w:rPr>
            <w:rFonts w:asciiTheme="majorHAnsi" w:hAnsiTheme="majorHAnsi"/>
            <w:noProof/>
            <w:webHidden/>
            <w:sz w:val="20"/>
            <w:szCs w:val="20"/>
          </w:rPr>
          <w:fldChar w:fldCharType="end"/>
        </w:r>
      </w:hyperlink>
    </w:p>
    <w:p w14:paraId="1D4F06A7" w14:textId="77777777" w:rsidR="00367A1A" w:rsidRPr="00367A1A" w:rsidRDefault="006B2D8F" w:rsidP="00367A1A">
      <w:pPr>
        <w:pStyle w:val="TOC1"/>
        <w:tabs>
          <w:tab w:val="left" w:pos="1440"/>
          <w:tab w:val="right" w:leader="dot" w:pos="9360"/>
        </w:tabs>
        <w:rPr>
          <w:rFonts w:asciiTheme="majorHAnsi" w:eastAsiaTheme="minorEastAsia" w:hAnsiTheme="majorHAnsi" w:cstheme="minorBidi"/>
          <w:noProof/>
          <w:sz w:val="20"/>
          <w:szCs w:val="20"/>
          <w:bdr w:val="none" w:sz="0" w:space="0" w:color="auto"/>
        </w:rPr>
      </w:pPr>
      <w:hyperlink w:anchor="_Toc433308907" w:history="1">
        <w:r w:rsidR="00367A1A" w:rsidRPr="00367A1A">
          <w:rPr>
            <w:rStyle w:val="Hyperlink"/>
            <w:rFonts w:asciiTheme="majorHAnsi" w:eastAsia="Times New Roman" w:hAnsiTheme="majorHAnsi"/>
            <w:bCs/>
            <w:noProof/>
            <w:sz w:val="20"/>
            <w:szCs w:val="20"/>
            <w:lang w:val="es-AR"/>
          </w:rPr>
          <w:t>VI.</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eastAsia="Times New Roman" w:hAnsiTheme="majorHAnsi"/>
            <w:noProof/>
            <w:sz w:val="20"/>
            <w:szCs w:val="20"/>
            <w:lang w:val="es-ES_tradnl"/>
          </w:rPr>
          <w:t>CONCLUSIONES</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_Toc433308907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44</w:t>
        </w:r>
        <w:r w:rsidR="00367A1A" w:rsidRPr="00367A1A">
          <w:rPr>
            <w:rFonts w:asciiTheme="majorHAnsi" w:hAnsiTheme="majorHAnsi"/>
            <w:noProof/>
            <w:webHidden/>
            <w:sz w:val="20"/>
            <w:szCs w:val="20"/>
          </w:rPr>
          <w:fldChar w:fldCharType="end"/>
        </w:r>
      </w:hyperlink>
    </w:p>
    <w:p w14:paraId="7BBF0211" w14:textId="77777777" w:rsidR="00367A1A" w:rsidRPr="00367A1A" w:rsidRDefault="006B2D8F" w:rsidP="00367A1A">
      <w:pPr>
        <w:pStyle w:val="TOC1"/>
        <w:tabs>
          <w:tab w:val="left" w:pos="1440"/>
          <w:tab w:val="right" w:leader="dot" w:pos="9360"/>
        </w:tabs>
        <w:rPr>
          <w:rFonts w:asciiTheme="majorHAnsi" w:eastAsiaTheme="minorEastAsia" w:hAnsiTheme="majorHAnsi" w:cstheme="minorBidi"/>
          <w:noProof/>
          <w:sz w:val="20"/>
          <w:szCs w:val="20"/>
          <w:bdr w:val="none" w:sz="0" w:space="0" w:color="auto"/>
        </w:rPr>
      </w:pPr>
      <w:hyperlink w:anchor="_Toc433308908" w:history="1">
        <w:r w:rsidR="00367A1A" w:rsidRPr="00367A1A">
          <w:rPr>
            <w:rStyle w:val="Hyperlink"/>
            <w:rFonts w:asciiTheme="majorHAnsi" w:eastAsia="Times New Roman" w:hAnsiTheme="majorHAnsi"/>
            <w:noProof/>
            <w:sz w:val="20"/>
            <w:szCs w:val="20"/>
            <w:lang w:val="es-ES_tradnl"/>
          </w:rPr>
          <w:t>VII.</w:t>
        </w:r>
        <w:r w:rsidR="00367A1A" w:rsidRPr="00367A1A">
          <w:rPr>
            <w:rFonts w:asciiTheme="majorHAnsi" w:eastAsiaTheme="minorEastAsia" w:hAnsiTheme="majorHAnsi" w:cstheme="minorBidi"/>
            <w:noProof/>
            <w:sz w:val="20"/>
            <w:szCs w:val="20"/>
            <w:bdr w:val="none" w:sz="0" w:space="0" w:color="auto"/>
          </w:rPr>
          <w:tab/>
        </w:r>
        <w:r w:rsidR="00367A1A" w:rsidRPr="00367A1A">
          <w:rPr>
            <w:rStyle w:val="Hyperlink"/>
            <w:rFonts w:asciiTheme="majorHAnsi" w:eastAsia="Times New Roman" w:hAnsiTheme="majorHAnsi"/>
            <w:noProof/>
            <w:sz w:val="20"/>
            <w:szCs w:val="20"/>
            <w:lang w:val="es-ES_tradnl"/>
          </w:rPr>
          <w:t>RECOMENDACIONES</w:t>
        </w:r>
        <w:r w:rsidR="00367A1A" w:rsidRPr="00367A1A">
          <w:rPr>
            <w:rFonts w:asciiTheme="majorHAnsi" w:hAnsiTheme="majorHAnsi"/>
            <w:noProof/>
            <w:webHidden/>
            <w:sz w:val="20"/>
            <w:szCs w:val="20"/>
          </w:rPr>
          <w:tab/>
        </w:r>
        <w:r w:rsidR="00367A1A" w:rsidRPr="00367A1A">
          <w:rPr>
            <w:rFonts w:asciiTheme="majorHAnsi" w:hAnsiTheme="majorHAnsi"/>
            <w:noProof/>
            <w:webHidden/>
            <w:sz w:val="20"/>
            <w:szCs w:val="20"/>
          </w:rPr>
          <w:fldChar w:fldCharType="begin"/>
        </w:r>
        <w:r w:rsidR="00367A1A" w:rsidRPr="00367A1A">
          <w:rPr>
            <w:rFonts w:asciiTheme="majorHAnsi" w:hAnsiTheme="majorHAnsi"/>
            <w:noProof/>
            <w:webHidden/>
            <w:sz w:val="20"/>
            <w:szCs w:val="20"/>
          </w:rPr>
          <w:instrText xml:space="preserve"> PAGEREF _Toc433308908 \h </w:instrText>
        </w:r>
        <w:r w:rsidR="00367A1A" w:rsidRPr="00367A1A">
          <w:rPr>
            <w:rFonts w:asciiTheme="majorHAnsi" w:hAnsiTheme="majorHAnsi"/>
            <w:noProof/>
            <w:webHidden/>
            <w:sz w:val="20"/>
            <w:szCs w:val="20"/>
          </w:rPr>
        </w:r>
        <w:r w:rsidR="00367A1A" w:rsidRPr="00367A1A">
          <w:rPr>
            <w:rFonts w:asciiTheme="majorHAnsi" w:hAnsiTheme="majorHAnsi"/>
            <w:noProof/>
            <w:webHidden/>
            <w:sz w:val="20"/>
            <w:szCs w:val="20"/>
          </w:rPr>
          <w:fldChar w:fldCharType="separate"/>
        </w:r>
        <w:r w:rsidR="00367A1A" w:rsidRPr="00367A1A">
          <w:rPr>
            <w:rFonts w:asciiTheme="majorHAnsi" w:hAnsiTheme="majorHAnsi"/>
            <w:noProof/>
            <w:webHidden/>
            <w:sz w:val="20"/>
            <w:szCs w:val="20"/>
          </w:rPr>
          <w:t>45</w:t>
        </w:r>
        <w:r w:rsidR="00367A1A" w:rsidRPr="00367A1A">
          <w:rPr>
            <w:rFonts w:asciiTheme="majorHAnsi" w:hAnsiTheme="majorHAnsi"/>
            <w:noProof/>
            <w:webHidden/>
            <w:sz w:val="20"/>
            <w:szCs w:val="20"/>
          </w:rPr>
          <w:fldChar w:fldCharType="end"/>
        </w:r>
      </w:hyperlink>
    </w:p>
    <w:p w14:paraId="224CC941" w14:textId="77777777" w:rsidR="0070697F" w:rsidRPr="00420489" w:rsidRDefault="00526252" w:rsidP="00585E67">
      <w:pPr>
        <w:tabs>
          <w:tab w:val="left" w:pos="720"/>
          <w:tab w:val="center" w:pos="5400"/>
        </w:tabs>
        <w:suppressAutoHyphens/>
        <w:rPr>
          <w:rFonts w:asciiTheme="majorHAnsi" w:hAnsiTheme="majorHAnsi"/>
          <w:sz w:val="20"/>
          <w:szCs w:val="20"/>
        </w:rPr>
      </w:pPr>
      <w:r w:rsidRPr="00367A1A">
        <w:rPr>
          <w:rFonts w:asciiTheme="majorHAnsi" w:hAnsiTheme="majorHAnsi"/>
          <w:sz w:val="20"/>
          <w:szCs w:val="20"/>
          <w:lang w:val="es-ES_tradnl"/>
        </w:rPr>
        <w:fldChar w:fldCharType="end"/>
      </w:r>
    </w:p>
    <w:p w14:paraId="76D18778" w14:textId="77777777" w:rsidR="002D2B26" w:rsidRPr="00420489" w:rsidRDefault="002D2B26">
      <w:pPr>
        <w:rPr>
          <w:rFonts w:asciiTheme="majorHAnsi" w:hAnsiTheme="majorHAnsi"/>
          <w:sz w:val="20"/>
          <w:szCs w:val="20"/>
        </w:rPr>
      </w:pPr>
      <w:r w:rsidRPr="00420489">
        <w:rPr>
          <w:rFonts w:asciiTheme="majorHAnsi" w:hAnsiTheme="majorHAnsi"/>
          <w:sz w:val="20"/>
          <w:szCs w:val="20"/>
        </w:rPr>
        <w:br w:type="page"/>
      </w:r>
    </w:p>
    <w:p w14:paraId="5F470406" w14:textId="3EE18E77" w:rsidR="004B316C" w:rsidRPr="00420489" w:rsidRDefault="00BB2B86"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Pr>
          <w:rFonts w:asciiTheme="majorHAnsi" w:eastAsia="Times New Roman" w:hAnsiTheme="majorHAnsi"/>
          <w:b/>
          <w:sz w:val="20"/>
          <w:szCs w:val="20"/>
          <w:bdr w:val="none" w:sz="0" w:space="0" w:color="auto"/>
          <w:lang w:val="es-CO"/>
        </w:rPr>
        <w:lastRenderedPageBreak/>
        <w:t>INFORME No. 75</w:t>
      </w:r>
      <w:r w:rsidR="00B06C1C" w:rsidRPr="00420489">
        <w:rPr>
          <w:rFonts w:asciiTheme="majorHAnsi" w:eastAsia="Times New Roman" w:hAnsiTheme="majorHAnsi"/>
          <w:b/>
          <w:sz w:val="20"/>
          <w:szCs w:val="20"/>
          <w:bdr w:val="none" w:sz="0" w:space="0" w:color="auto"/>
          <w:lang w:val="es-ES_tradnl"/>
        </w:rPr>
        <w:t>/15</w:t>
      </w:r>
    </w:p>
    <w:p w14:paraId="427236B7" w14:textId="77777777" w:rsidR="004B316C" w:rsidRPr="00420489" w:rsidRDefault="005E21D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sidRPr="00420489">
        <w:rPr>
          <w:rFonts w:asciiTheme="majorHAnsi" w:eastAsia="Times New Roman" w:hAnsiTheme="majorHAnsi"/>
          <w:b/>
          <w:sz w:val="20"/>
          <w:szCs w:val="20"/>
          <w:bdr w:val="none" w:sz="0" w:space="0" w:color="auto"/>
          <w:lang w:val="es-ES_tradnl"/>
        </w:rPr>
        <w:t>CASO 12.923</w:t>
      </w:r>
    </w:p>
    <w:p w14:paraId="32A9F0D5" w14:textId="77777777" w:rsidR="004B316C" w:rsidRPr="00420489" w:rsidRDefault="004B316C"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420489">
        <w:rPr>
          <w:rFonts w:asciiTheme="majorHAnsi" w:eastAsia="Times New Roman" w:hAnsiTheme="majorHAnsi"/>
          <w:sz w:val="20"/>
          <w:szCs w:val="20"/>
          <w:bdr w:val="none" w:sz="0" w:space="0" w:color="auto"/>
          <w:lang w:val="es-ES_tradnl"/>
        </w:rPr>
        <w:t>FONDO</w:t>
      </w:r>
    </w:p>
    <w:p w14:paraId="3C88F9DD" w14:textId="5DBE87D2" w:rsidR="00B06C1C" w:rsidRPr="00420489" w:rsidRDefault="005E21D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420489">
        <w:rPr>
          <w:rFonts w:asciiTheme="majorHAnsi" w:eastAsia="Times New Roman" w:hAnsiTheme="majorHAnsi"/>
          <w:sz w:val="20"/>
          <w:szCs w:val="20"/>
          <w:bdr w:val="none" w:sz="0" w:space="0" w:color="auto"/>
          <w:lang w:val="es-ES_tradnl"/>
        </w:rPr>
        <w:t>ROC</w:t>
      </w:r>
      <w:r w:rsidR="004D12DD">
        <w:rPr>
          <w:rFonts w:asciiTheme="majorHAnsi" w:eastAsia="Times New Roman" w:hAnsiTheme="majorHAnsi"/>
          <w:sz w:val="20"/>
          <w:szCs w:val="20"/>
          <w:bdr w:val="none" w:sz="0" w:space="0" w:color="auto"/>
          <w:lang w:val="es-CO"/>
        </w:rPr>
        <w:t>Í</w:t>
      </w:r>
      <w:r w:rsidRPr="00420489">
        <w:rPr>
          <w:rFonts w:asciiTheme="majorHAnsi" w:eastAsia="Times New Roman" w:hAnsiTheme="majorHAnsi"/>
          <w:sz w:val="20"/>
          <w:szCs w:val="20"/>
          <w:bdr w:val="none" w:sz="0" w:space="0" w:color="auto"/>
          <w:lang w:val="es-ES_tradnl"/>
        </w:rPr>
        <w:t>O SAN MIGUEL SOSA Y OTRAS</w:t>
      </w:r>
    </w:p>
    <w:p w14:paraId="6DE66EFF" w14:textId="77777777" w:rsidR="00B06C1C" w:rsidRPr="00420489" w:rsidRDefault="005E21D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420489">
        <w:rPr>
          <w:rFonts w:asciiTheme="majorHAnsi" w:eastAsia="Times New Roman" w:hAnsiTheme="majorHAnsi"/>
          <w:sz w:val="20"/>
          <w:szCs w:val="20"/>
          <w:bdr w:val="none" w:sz="0" w:space="0" w:color="auto"/>
          <w:lang w:val="es-ES_tradnl"/>
        </w:rPr>
        <w:t>VENEZUELA</w:t>
      </w:r>
    </w:p>
    <w:p w14:paraId="3C3D1310" w14:textId="1A7EB8F9" w:rsidR="004B316C" w:rsidRPr="00420489" w:rsidRDefault="00BB2B86"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bdr w:val="none" w:sz="0" w:space="0" w:color="auto"/>
          <w:lang w:val="es-ES_tradnl"/>
        </w:rPr>
        <w:t>28</w:t>
      </w:r>
      <w:r w:rsidR="00B5326D" w:rsidRPr="00420489">
        <w:rPr>
          <w:rFonts w:asciiTheme="majorHAnsi" w:eastAsia="Times New Roman" w:hAnsiTheme="majorHAnsi"/>
          <w:sz w:val="20"/>
          <w:szCs w:val="20"/>
          <w:bdr w:val="none" w:sz="0" w:space="0" w:color="auto"/>
          <w:lang w:val="es-ES_tradnl"/>
        </w:rPr>
        <w:t xml:space="preserve"> DE OCTUBRE</w:t>
      </w:r>
      <w:r w:rsidR="00E24E60" w:rsidRPr="00420489">
        <w:rPr>
          <w:rFonts w:asciiTheme="majorHAnsi" w:eastAsia="Times New Roman" w:hAnsiTheme="majorHAnsi"/>
          <w:sz w:val="20"/>
          <w:szCs w:val="20"/>
          <w:bdr w:val="none" w:sz="0" w:space="0" w:color="auto"/>
          <w:lang w:val="es-ES_tradnl"/>
        </w:rPr>
        <w:t xml:space="preserve"> DE 2015</w:t>
      </w:r>
    </w:p>
    <w:p w14:paraId="0E113258" w14:textId="77777777" w:rsidR="004B316C" w:rsidRPr="00420489" w:rsidRDefault="004B316C" w:rsidP="00E24E60">
      <w:pPr>
        <w:rPr>
          <w:rFonts w:asciiTheme="majorHAnsi" w:eastAsia="Times New Roman" w:hAnsiTheme="majorHAnsi"/>
          <w:b/>
          <w:sz w:val="20"/>
          <w:szCs w:val="20"/>
          <w:bdr w:val="none" w:sz="0" w:space="0" w:color="auto"/>
          <w:lang w:val="es-ES_tradnl"/>
        </w:rPr>
      </w:pPr>
    </w:p>
    <w:p w14:paraId="44C5122A" w14:textId="77777777" w:rsidR="004B316C" w:rsidRPr="00420489"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14:paraId="5756B7F0" w14:textId="77777777" w:rsidR="00E40449" w:rsidRPr="00420489" w:rsidRDefault="00E40449" w:rsidP="005E081B">
      <w:pPr>
        <w:pStyle w:val="Heading1"/>
        <w:numPr>
          <w:ilvl w:val="0"/>
          <w:numId w:val="55"/>
        </w:numPr>
        <w:tabs>
          <w:tab w:val="clear" w:pos="1440"/>
        </w:tabs>
      </w:pPr>
      <w:bookmarkStart w:id="2" w:name="_Toc370840743"/>
      <w:bookmarkStart w:id="3" w:name="_Toc370840839"/>
      <w:bookmarkStart w:id="4" w:name="_Toc423514405"/>
      <w:bookmarkStart w:id="5" w:name="_Toc433308894"/>
      <w:r w:rsidRPr="00420489">
        <w:t>RESUMEN</w:t>
      </w:r>
      <w:bookmarkEnd w:id="2"/>
      <w:bookmarkEnd w:id="3"/>
      <w:bookmarkEnd w:id="4"/>
      <w:bookmarkEnd w:id="5"/>
    </w:p>
    <w:p w14:paraId="34DB547F" w14:textId="77777777" w:rsidR="00E40449" w:rsidRPr="00420489" w:rsidRDefault="00E40449" w:rsidP="00E40449">
      <w:pPr>
        <w:jc w:val="both"/>
        <w:rPr>
          <w:rFonts w:asciiTheme="majorHAnsi" w:hAnsiTheme="majorHAnsi" w:cs="Arial"/>
          <w:sz w:val="20"/>
          <w:szCs w:val="20"/>
          <w:lang w:val="es-ES"/>
        </w:rPr>
      </w:pPr>
    </w:p>
    <w:p w14:paraId="5D454B99" w14:textId="5BF546D3" w:rsidR="005E21D4" w:rsidRPr="00420489" w:rsidRDefault="00E40449" w:rsidP="005E08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El </w:t>
      </w:r>
      <w:r w:rsidR="005E21D4" w:rsidRPr="00420489">
        <w:rPr>
          <w:rFonts w:asciiTheme="majorHAnsi" w:eastAsia="Calibri" w:hAnsiTheme="majorHAnsi"/>
          <w:sz w:val="20"/>
          <w:szCs w:val="20"/>
          <w:lang w:val="es-VE"/>
        </w:rPr>
        <w:t>7 de marzo de 2006 la Comisión Interamericana de Derechos Humanos (en adelante “la Comisión”</w:t>
      </w:r>
      <w:r w:rsidR="0046192F" w:rsidRPr="00420489">
        <w:rPr>
          <w:rFonts w:asciiTheme="majorHAnsi" w:eastAsia="Calibri" w:hAnsiTheme="majorHAnsi"/>
          <w:sz w:val="20"/>
          <w:szCs w:val="20"/>
          <w:lang w:val="es-VE"/>
        </w:rPr>
        <w:t>, “la Comisión Interamericana”</w:t>
      </w:r>
      <w:r w:rsidR="005E21D4" w:rsidRPr="00420489">
        <w:rPr>
          <w:rFonts w:asciiTheme="majorHAnsi" w:eastAsia="Calibri" w:hAnsiTheme="majorHAnsi"/>
          <w:sz w:val="20"/>
          <w:szCs w:val="20"/>
          <w:lang w:val="es-VE"/>
        </w:rPr>
        <w:t xml:space="preserve"> o “</w:t>
      </w:r>
      <w:r w:rsidR="0046192F" w:rsidRPr="00420489">
        <w:rPr>
          <w:rFonts w:asciiTheme="majorHAnsi" w:eastAsia="Calibri" w:hAnsiTheme="majorHAnsi"/>
          <w:sz w:val="20"/>
          <w:szCs w:val="20"/>
          <w:lang w:val="es-VE"/>
        </w:rPr>
        <w:t xml:space="preserve">la </w:t>
      </w:r>
      <w:r w:rsidR="005E21D4" w:rsidRPr="00420489">
        <w:rPr>
          <w:rFonts w:asciiTheme="majorHAnsi" w:eastAsia="Calibri" w:hAnsiTheme="majorHAnsi"/>
          <w:sz w:val="20"/>
          <w:szCs w:val="20"/>
          <w:lang w:val="es-VE"/>
        </w:rPr>
        <w:t xml:space="preserve">CIDH”) recibió una petición presentada por Ligia Bolívar Osuna y Héctor </w:t>
      </w:r>
      <w:proofErr w:type="spellStart"/>
      <w:r w:rsidR="005E21D4" w:rsidRPr="00420489">
        <w:rPr>
          <w:rFonts w:asciiTheme="majorHAnsi" w:eastAsia="Calibri" w:hAnsiTheme="majorHAnsi"/>
          <w:sz w:val="20"/>
          <w:szCs w:val="20"/>
          <w:lang w:val="es-VE"/>
        </w:rPr>
        <w:t>Faúndez</w:t>
      </w:r>
      <w:proofErr w:type="spellEnd"/>
      <w:r w:rsidR="005E21D4" w:rsidRPr="00420489">
        <w:rPr>
          <w:rFonts w:asciiTheme="majorHAnsi" w:eastAsia="Calibri" w:hAnsiTheme="majorHAnsi"/>
          <w:sz w:val="20"/>
          <w:szCs w:val="20"/>
          <w:lang w:val="es-VE"/>
        </w:rPr>
        <w:t xml:space="preserve"> Ledesma (en adelante “los peticionarios”) en la cual se alega la responsabilidad de la República Bolivariana de Venezuela (en adelante “el Estado”</w:t>
      </w:r>
      <w:r w:rsidR="008A0EC3" w:rsidRPr="00420489">
        <w:rPr>
          <w:rFonts w:asciiTheme="majorHAnsi" w:eastAsia="Calibri" w:hAnsiTheme="majorHAnsi"/>
          <w:sz w:val="20"/>
          <w:szCs w:val="20"/>
          <w:lang w:val="es-VE"/>
        </w:rPr>
        <w:t>,</w:t>
      </w:r>
      <w:r w:rsidR="005E21D4" w:rsidRPr="00420489">
        <w:rPr>
          <w:rFonts w:asciiTheme="majorHAnsi" w:eastAsia="Calibri" w:hAnsiTheme="majorHAnsi"/>
          <w:sz w:val="20"/>
          <w:szCs w:val="20"/>
          <w:lang w:val="es-VE"/>
        </w:rPr>
        <w:t xml:space="preserve"> “el Estado venezolano”</w:t>
      </w:r>
      <w:r w:rsidR="008A0EC3" w:rsidRPr="00420489">
        <w:rPr>
          <w:rFonts w:asciiTheme="majorHAnsi" w:eastAsia="Calibri" w:hAnsiTheme="majorHAnsi"/>
          <w:sz w:val="20"/>
          <w:szCs w:val="20"/>
          <w:lang w:val="es-VE"/>
        </w:rPr>
        <w:t xml:space="preserve"> o “Venezuela”</w:t>
      </w:r>
      <w:r w:rsidR="005E21D4" w:rsidRPr="00420489">
        <w:rPr>
          <w:rFonts w:asciiTheme="majorHAnsi" w:eastAsia="Calibri" w:hAnsiTheme="majorHAnsi"/>
          <w:sz w:val="20"/>
          <w:szCs w:val="20"/>
          <w:lang w:val="es-VE"/>
        </w:rPr>
        <w:t>) por la violación de</w:t>
      </w:r>
      <w:r w:rsidR="00646412" w:rsidRPr="00420489">
        <w:rPr>
          <w:rFonts w:asciiTheme="majorHAnsi" w:eastAsia="Calibri" w:hAnsiTheme="majorHAnsi"/>
          <w:sz w:val="20"/>
          <w:szCs w:val="20"/>
          <w:lang w:val="es-VE"/>
        </w:rPr>
        <w:t xml:space="preserve"> varias disposiciones de la Convención Americana sobre Derechos Humanos</w:t>
      </w:r>
      <w:r w:rsidR="00EF10AE" w:rsidRPr="00420489">
        <w:rPr>
          <w:rFonts w:asciiTheme="majorHAnsi" w:eastAsia="Calibri" w:hAnsiTheme="majorHAnsi"/>
          <w:sz w:val="20"/>
          <w:szCs w:val="20"/>
          <w:lang w:val="es-VE"/>
        </w:rPr>
        <w:t xml:space="preserve"> (en adelante “la Convención” o “la Convención Americana”) en perjuicio de Rocío San Miguel Sosa, </w:t>
      </w:r>
      <w:proofErr w:type="spellStart"/>
      <w:r w:rsidR="00EF10AE" w:rsidRPr="00420489">
        <w:rPr>
          <w:rFonts w:asciiTheme="majorHAnsi" w:eastAsia="Calibri" w:hAnsiTheme="majorHAnsi"/>
          <w:sz w:val="20"/>
          <w:szCs w:val="20"/>
          <w:lang w:val="es-VE"/>
        </w:rPr>
        <w:t>Magally</w:t>
      </w:r>
      <w:proofErr w:type="spellEnd"/>
      <w:r w:rsidR="00EF10AE" w:rsidRPr="00420489">
        <w:rPr>
          <w:rFonts w:asciiTheme="majorHAnsi" w:eastAsia="Calibri" w:hAnsiTheme="majorHAnsi"/>
          <w:sz w:val="20"/>
          <w:szCs w:val="20"/>
          <w:lang w:val="es-VE"/>
        </w:rPr>
        <w:t xml:space="preserve"> Chang Girón y Thais Coromoto Peña (en adelante “las presuntas víctimas”). </w:t>
      </w:r>
    </w:p>
    <w:p w14:paraId="46722704" w14:textId="77777777" w:rsidR="00E40449" w:rsidRPr="00420489" w:rsidRDefault="00E40449" w:rsidP="00EF10AE">
      <w:pPr>
        <w:tabs>
          <w:tab w:val="left" w:pos="1440"/>
        </w:tabs>
        <w:jc w:val="both"/>
        <w:rPr>
          <w:rFonts w:asciiTheme="majorHAnsi" w:eastAsia="Calibri" w:hAnsiTheme="majorHAnsi"/>
          <w:sz w:val="20"/>
          <w:szCs w:val="20"/>
          <w:lang w:val="es-VE"/>
        </w:rPr>
      </w:pPr>
    </w:p>
    <w:p w14:paraId="244F96A7" w14:textId="77777777" w:rsidR="005C29D7" w:rsidRPr="00420489" w:rsidRDefault="00E40449" w:rsidP="005C29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Los peticionarios </w:t>
      </w:r>
      <w:r w:rsidR="005C29D7" w:rsidRPr="00420489">
        <w:rPr>
          <w:rFonts w:asciiTheme="majorHAnsi" w:eastAsia="Calibri" w:hAnsiTheme="majorHAnsi"/>
          <w:sz w:val="20"/>
          <w:szCs w:val="20"/>
          <w:lang w:val="es-VE"/>
        </w:rPr>
        <w:t xml:space="preserve">alegaron que </w:t>
      </w:r>
      <w:r w:rsidR="00236BC1" w:rsidRPr="00420489">
        <w:rPr>
          <w:rFonts w:asciiTheme="majorHAnsi" w:eastAsia="Calibri" w:hAnsiTheme="majorHAnsi"/>
          <w:sz w:val="20"/>
          <w:szCs w:val="20"/>
          <w:lang w:val="es-VE"/>
        </w:rPr>
        <w:t xml:space="preserve">en 2004 </w:t>
      </w:r>
      <w:r w:rsidR="005C29D7" w:rsidRPr="00420489">
        <w:rPr>
          <w:rFonts w:asciiTheme="majorHAnsi" w:eastAsia="Calibri" w:hAnsiTheme="majorHAnsi"/>
          <w:sz w:val="20"/>
          <w:szCs w:val="20"/>
          <w:lang w:val="es-VE"/>
        </w:rPr>
        <w:t>las presuntas víctimas fueron despedidas de sus cargos en el Consejo Nacional de Fronteras</w:t>
      </w:r>
      <w:r w:rsidR="00030EEC" w:rsidRPr="00420489">
        <w:rPr>
          <w:rFonts w:asciiTheme="majorHAnsi" w:eastAsia="Calibri" w:hAnsiTheme="majorHAnsi"/>
          <w:sz w:val="20"/>
          <w:szCs w:val="20"/>
          <w:lang w:val="es-VE"/>
        </w:rPr>
        <w:t xml:space="preserve"> (en adelante “CN</w:t>
      </w:r>
      <w:r w:rsidR="00C84A25" w:rsidRPr="00420489">
        <w:rPr>
          <w:rFonts w:asciiTheme="majorHAnsi" w:eastAsia="Calibri" w:hAnsiTheme="majorHAnsi"/>
          <w:sz w:val="20"/>
          <w:szCs w:val="20"/>
          <w:lang w:val="es-VE"/>
        </w:rPr>
        <w:t>F</w:t>
      </w:r>
      <w:r w:rsidR="00030EEC" w:rsidRPr="00420489">
        <w:rPr>
          <w:rFonts w:asciiTheme="majorHAnsi" w:eastAsia="Calibri" w:hAnsiTheme="majorHAnsi"/>
          <w:sz w:val="20"/>
          <w:szCs w:val="20"/>
          <w:lang w:val="es-VE"/>
        </w:rPr>
        <w:t>”)</w:t>
      </w:r>
      <w:r w:rsidR="005C29D7" w:rsidRPr="00420489">
        <w:rPr>
          <w:rFonts w:asciiTheme="majorHAnsi" w:eastAsia="Calibri" w:hAnsiTheme="majorHAnsi"/>
          <w:sz w:val="20"/>
          <w:szCs w:val="20"/>
          <w:lang w:val="es-VE"/>
        </w:rPr>
        <w:t xml:space="preserve"> como represalia por haber firmado la</w:t>
      </w:r>
      <w:r w:rsidR="00236BC1" w:rsidRPr="00420489">
        <w:rPr>
          <w:rFonts w:asciiTheme="majorHAnsi" w:eastAsia="Calibri" w:hAnsiTheme="majorHAnsi"/>
          <w:sz w:val="20"/>
          <w:szCs w:val="20"/>
          <w:lang w:val="es-VE"/>
        </w:rPr>
        <w:t>s</w:t>
      </w:r>
      <w:r w:rsidR="005C29D7" w:rsidRPr="00420489">
        <w:rPr>
          <w:rFonts w:asciiTheme="majorHAnsi" w:eastAsia="Calibri" w:hAnsiTheme="majorHAnsi"/>
          <w:sz w:val="20"/>
          <w:szCs w:val="20"/>
          <w:lang w:val="es-VE"/>
        </w:rPr>
        <w:t xml:space="preserve"> solicitud</w:t>
      </w:r>
      <w:r w:rsidR="00236BC1" w:rsidRPr="00420489">
        <w:rPr>
          <w:rFonts w:asciiTheme="majorHAnsi" w:eastAsia="Calibri" w:hAnsiTheme="majorHAnsi"/>
          <w:sz w:val="20"/>
          <w:szCs w:val="20"/>
          <w:lang w:val="es-VE"/>
        </w:rPr>
        <w:t>es</w:t>
      </w:r>
      <w:r w:rsidR="005C29D7" w:rsidRPr="00420489">
        <w:rPr>
          <w:rFonts w:asciiTheme="majorHAnsi" w:eastAsia="Calibri" w:hAnsiTheme="majorHAnsi"/>
          <w:sz w:val="20"/>
          <w:szCs w:val="20"/>
          <w:lang w:val="es-VE"/>
        </w:rPr>
        <w:t xml:space="preserve"> para la realización del </w:t>
      </w:r>
      <w:r w:rsidR="001A3D33" w:rsidRPr="00420489">
        <w:rPr>
          <w:rFonts w:asciiTheme="majorHAnsi" w:eastAsia="Calibri" w:hAnsiTheme="majorHAnsi"/>
          <w:sz w:val="20"/>
          <w:szCs w:val="20"/>
          <w:lang w:val="es-VE"/>
        </w:rPr>
        <w:t xml:space="preserve">referendo </w:t>
      </w:r>
      <w:r w:rsidR="005C29D7" w:rsidRPr="00420489">
        <w:rPr>
          <w:rFonts w:asciiTheme="majorHAnsi" w:eastAsia="Calibri" w:hAnsiTheme="majorHAnsi"/>
          <w:sz w:val="20"/>
          <w:szCs w:val="20"/>
          <w:lang w:val="es-VE"/>
        </w:rPr>
        <w:t>revocatorio del mandato del entonces Presidente de la República, Hugo Chávez Frías</w:t>
      </w:r>
      <w:r w:rsidR="0055682B" w:rsidRPr="00420489">
        <w:rPr>
          <w:rFonts w:asciiTheme="majorHAnsi" w:eastAsia="Calibri" w:hAnsiTheme="majorHAnsi"/>
          <w:sz w:val="20"/>
          <w:szCs w:val="20"/>
          <w:lang w:val="es-VE"/>
        </w:rPr>
        <w:t xml:space="preserve"> </w:t>
      </w:r>
      <w:r w:rsidR="00236BC1" w:rsidRPr="00420489">
        <w:rPr>
          <w:rFonts w:asciiTheme="majorHAnsi" w:eastAsia="Calibri" w:hAnsiTheme="majorHAnsi"/>
          <w:sz w:val="20"/>
          <w:szCs w:val="20"/>
          <w:lang w:val="es-VE"/>
        </w:rPr>
        <w:t>en el año 2003</w:t>
      </w:r>
      <w:r w:rsidR="005C29D7" w:rsidRPr="00420489">
        <w:rPr>
          <w:rFonts w:asciiTheme="majorHAnsi" w:eastAsia="Calibri" w:hAnsiTheme="majorHAnsi"/>
          <w:sz w:val="20"/>
          <w:szCs w:val="20"/>
          <w:lang w:val="es-VE"/>
        </w:rPr>
        <w:t xml:space="preserve">. </w:t>
      </w:r>
      <w:r w:rsidR="00F4059E" w:rsidRPr="00420489">
        <w:rPr>
          <w:rFonts w:asciiTheme="majorHAnsi" w:eastAsia="Calibri" w:hAnsiTheme="majorHAnsi"/>
          <w:sz w:val="20"/>
          <w:szCs w:val="20"/>
          <w:lang w:val="es-VE"/>
        </w:rPr>
        <w:t xml:space="preserve">Asimismo, </w:t>
      </w:r>
      <w:r w:rsidR="005C29D7" w:rsidRPr="00420489">
        <w:rPr>
          <w:rFonts w:asciiTheme="majorHAnsi" w:eastAsia="Calibri" w:hAnsiTheme="majorHAnsi"/>
          <w:sz w:val="20"/>
          <w:szCs w:val="20"/>
          <w:lang w:val="es-VE"/>
        </w:rPr>
        <w:t xml:space="preserve">señalaron que las presuntas víctimas no fueron oídas por un tribunal que reuniera las exigencias mínimas de independencia e imparcialidad y que las escuchara con las debidas garantías para la restitución de sus derechos. </w:t>
      </w:r>
    </w:p>
    <w:p w14:paraId="1C53421D" w14:textId="77777777" w:rsidR="005C29D7" w:rsidRPr="00420489" w:rsidRDefault="005C29D7" w:rsidP="005C29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411C03EA" w14:textId="612EA3F8" w:rsidR="0055682B" w:rsidRPr="00420489" w:rsidRDefault="00352C95" w:rsidP="0055682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Por su parte, e</w:t>
      </w:r>
      <w:r w:rsidR="005C29D7" w:rsidRPr="00420489">
        <w:rPr>
          <w:rFonts w:asciiTheme="majorHAnsi" w:eastAsia="Calibri" w:hAnsiTheme="majorHAnsi"/>
          <w:sz w:val="20"/>
          <w:szCs w:val="20"/>
          <w:lang w:val="es-VE"/>
        </w:rPr>
        <w:t xml:space="preserve">l Estado </w:t>
      </w:r>
      <w:r w:rsidR="00CC2CE0" w:rsidRPr="00420489">
        <w:rPr>
          <w:rFonts w:asciiTheme="majorHAnsi" w:eastAsia="Calibri" w:hAnsiTheme="majorHAnsi"/>
          <w:sz w:val="20"/>
          <w:szCs w:val="20"/>
          <w:lang w:val="es-VE"/>
        </w:rPr>
        <w:t>venezolano</w:t>
      </w:r>
      <w:r w:rsidRPr="00420489">
        <w:rPr>
          <w:rFonts w:asciiTheme="majorHAnsi" w:eastAsia="Calibri" w:hAnsiTheme="majorHAnsi"/>
          <w:sz w:val="20"/>
          <w:szCs w:val="20"/>
          <w:lang w:val="es-VE"/>
        </w:rPr>
        <w:t xml:space="preserve"> no presentó observaciones de fondo. Los escritos del Estado con que cuenta la Comisión corresponden a la etapa de admisibilidad</w:t>
      </w:r>
      <w:r w:rsidR="009C3C4B" w:rsidRPr="00420489">
        <w:rPr>
          <w:rFonts w:asciiTheme="majorHAnsi" w:eastAsia="Calibri" w:hAnsiTheme="majorHAnsi"/>
          <w:sz w:val="20"/>
          <w:szCs w:val="20"/>
          <w:lang w:val="es-VE"/>
        </w:rPr>
        <w:t xml:space="preserve">. En dichos escritos, además de cuestiones de admisibilidad que no son relevantes para el análisis de fondo por encontrarse ya resueltas, el Estado alegó que no existe nexo causal entre las firmas y la resolución del contrato de las presuntas víctimas, pues ésta se dio en aplicación de la cláusula séptima de los respectivos contratos, conforme a la cual se facultaba al empleador a dar por terminados los servicios sin motivación alguna. Asimismo, indicó que las presuntas víctimas interpusieron diversos recursos, los cuales fueron debidamente resueltos por las autoridades judiciales.  </w:t>
      </w:r>
    </w:p>
    <w:p w14:paraId="6ACEF661" w14:textId="77777777" w:rsidR="0055682B" w:rsidRPr="00420489" w:rsidRDefault="0055682B" w:rsidP="0055682B">
      <w:pPr>
        <w:pStyle w:val="ListParagraph"/>
        <w:rPr>
          <w:rFonts w:asciiTheme="majorHAnsi" w:eastAsia="Calibri" w:hAnsiTheme="majorHAnsi"/>
          <w:sz w:val="20"/>
          <w:szCs w:val="20"/>
          <w:lang w:val="es-VE"/>
        </w:rPr>
      </w:pPr>
    </w:p>
    <w:p w14:paraId="20CEE74B" w14:textId="42A45D8B" w:rsidR="00E40449" w:rsidRPr="00EE1655" w:rsidRDefault="00E40449" w:rsidP="00EE165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EE1655">
        <w:rPr>
          <w:rFonts w:asciiTheme="majorHAnsi" w:eastAsia="Calibri" w:hAnsiTheme="majorHAnsi"/>
          <w:sz w:val="20"/>
          <w:szCs w:val="20"/>
          <w:lang w:val="es-VE"/>
        </w:rPr>
        <w:t>Tras analizar las posiciones de las partes, la Comisión Interamericana concluyó que el Estado</w:t>
      </w:r>
      <w:r w:rsidR="001D78C3" w:rsidRPr="00EE1655">
        <w:rPr>
          <w:rFonts w:asciiTheme="majorHAnsi" w:eastAsia="Calibri" w:hAnsiTheme="majorHAnsi"/>
          <w:sz w:val="20"/>
          <w:szCs w:val="20"/>
          <w:lang w:val="es-VE"/>
        </w:rPr>
        <w:t xml:space="preserve"> venezolano</w:t>
      </w:r>
      <w:r w:rsidRPr="00EE1655">
        <w:rPr>
          <w:rFonts w:asciiTheme="majorHAnsi" w:eastAsia="Calibri" w:hAnsiTheme="majorHAnsi"/>
          <w:sz w:val="20"/>
          <w:szCs w:val="20"/>
          <w:lang w:val="es-VE"/>
        </w:rPr>
        <w:t xml:space="preserve"> es responsable por la violación de los derechos consagrados en los artículos </w:t>
      </w:r>
      <w:r w:rsidR="00CC2CE0" w:rsidRPr="00EE1655">
        <w:rPr>
          <w:rFonts w:asciiTheme="majorHAnsi" w:eastAsia="Calibri" w:hAnsiTheme="majorHAnsi"/>
          <w:sz w:val="20"/>
          <w:szCs w:val="20"/>
          <w:lang w:val="es-VE"/>
        </w:rPr>
        <w:t>8</w:t>
      </w:r>
      <w:r w:rsidR="00EE1655" w:rsidRPr="00EE1655">
        <w:rPr>
          <w:rFonts w:asciiTheme="majorHAnsi" w:eastAsia="Calibri" w:hAnsiTheme="majorHAnsi"/>
          <w:sz w:val="20"/>
          <w:szCs w:val="20"/>
          <w:lang w:val="es-VE"/>
        </w:rPr>
        <w:t xml:space="preserve"> </w:t>
      </w:r>
      <w:r w:rsidR="00EE1655" w:rsidRPr="0018242E">
        <w:rPr>
          <w:rFonts w:asciiTheme="majorHAnsi" w:eastAsia="Calibri" w:hAnsiTheme="majorHAnsi"/>
          <w:sz w:val="20"/>
          <w:szCs w:val="20"/>
          <w:lang w:val="es-VE"/>
        </w:rPr>
        <w:t>(garantías judiciales)</w:t>
      </w:r>
      <w:r w:rsidR="00CC2CE0" w:rsidRPr="0018242E">
        <w:rPr>
          <w:rFonts w:asciiTheme="majorHAnsi" w:eastAsia="Calibri" w:hAnsiTheme="majorHAnsi"/>
          <w:sz w:val="20"/>
          <w:szCs w:val="20"/>
          <w:lang w:val="es-VE"/>
        </w:rPr>
        <w:t>, 13</w:t>
      </w:r>
      <w:r w:rsidR="00EE1655" w:rsidRPr="00930F4D">
        <w:rPr>
          <w:rFonts w:asciiTheme="majorHAnsi" w:eastAsia="Calibri" w:hAnsiTheme="majorHAnsi"/>
          <w:sz w:val="20"/>
          <w:szCs w:val="20"/>
          <w:lang w:val="es-VE"/>
        </w:rPr>
        <w:t xml:space="preserve"> (libertad de pensamiento y expresión)</w:t>
      </w:r>
      <w:r w:rsidR="00CC2CE0" w:rsidRPr="00EE1655">
        <w:rPr>
          <w:rFonts w:asciiTheme="majorHAnsi" w:eastAsia="Calibri" w:hAnsiTheme="majorHAnsi"/>
          <w:sz w:val="20"/>
          <w:szCs w:val="20"/>
          <w:lang w:val="es-VE"/>
        </w:rPr>
        <w:t>,</w:t>
      </w:r>
      <w:r w:rsidR="00A92D19" w:rsidRPr="00EE1655">
        <w:rPr>
          <w:rFonts w:asciiTheme="majorHAnsi" w:eastAsia="Calibri" w:hAnsiTheme="majorHAnsi"/>
          <w:sz w:val="20"/>
          <w:szCs w:val="20"/>
          <w:lang w:val="es-VE"/>
        </w:rPr>
        <w:t xml:space="preserve"> 23</w:t>
      </w:r>
      <w:r w:rsidR="00EE1655" w:rsidRPr="00EE1655">
        <w:rPr>
          <w:rFonts w:asciiTheme="majorHAnsi" w:eastAsia="Calibri" w:hAnsiTheme="majorHAnsi"/>
          <w:sz w:val="20"/>
          <w:szCs w:val="20"/>
          <w:lang w:val="es-VE"/>
        </w:rPr>
        <w:t xml:space="preserve"> (derechos políticos)</w:t>
      </w:r>
      <w:r w:rsidR="00A92D19" w:rsidRPr="00EE1655">
        <w:rPr>
          <w:rFonts w:asciiTheme="majorHAnsi" w:eastAsia="Calibri" w:hAnsiTheme="majorHAnsi"/>
          <w:sz w:val="20"/>
          <w:szCs w:val="20"/>
          <w:lang w:val="es-VE"/>
        </w:rPr>
        <w:t>,</w:t>
      </w:r>
      <w:r w:rsidR="00CC2CE0" w:rsidRPr="00EE1655">
        <w:rPr>
          <w:rFonts w:asciiTheme="majorHAnsi" w:eastAsia="Calibri" w:hAnsiTheme="majorHAnsi"/>
          <w:sz w:val="20"/>
          <w:szCs w:val="20"/>
          <w:lang w:val="es-VE"/>
        </w:rPr>
        <w:t xml:space="preserve"> 24</w:t>
      </w:r>
      <w:r w:rsidR="00EE1655" w:rsidRPr="00EE1655">
        <w:rPr>
          <w:rFonts w:asciiTheme="majorHAnsi" w:eastAsia="Calibri" w:hAnsiTheme="majorHAnsi"/>
          <w:sz w:val="20"/>
          <w:szCs w:val="20"/>
          <w:lang w:val="es-VE"/>
        </w:rPr>
        <w:t xml:space="preserve"> (igualdad y no discriminación)</w:t>
      </w:r>
      <w:r w:rsidR="00CC2CE0" w:rsidRPr="00EE1655">
        <w:rPr>
          <w:rFonts w:asciiTheme="majorHAnsi" w:eastAsia="Calibri" w:hAnsiTheme="majorHAnsi"/>
          <w:sz w:val="20"/>
          <w:szCs w:val="20"/>
          <w:lang w:val="es-VE"/>
        </w:rPr>
        <w:t xml:space="preserve"> y 25</w:t>
      </w:r>
      <w:r w:rsidR="00EE1655" w:rsidRPr="00EE1655">
        <w:rPr>
          <w:rFonts w:asciiTheme="majorHAnsi" w:eastAsia="Calibri" w:hAnsiTheme="majorHAnsi"/>
          <w:sz w:val="20"/>
          <w:szCs w:val="20"/>
          <w:lang w:val="es-VE"/>
        </w:rPr>
        <w:t xml:space="preserve"> (protección judicial)</w:t>
      </w:r>
      <w:r w:rsidRPr="00EE1655">
        <w:rPr>
          <w:rFonts w:asciiTheme="majorHAnsi" w:eastAsia="Calibri" w:hAnsiTheme="majorHAnsi"/>
          <w:sz w:val="20"/>
          <w:szCs w:val="20"/>
          <w:lang w:val="es-VE"/>
        </w:rPr>
        <w:t xml:space="preserve"> de la Convención Americana, en relación con las obligaciones establecidas en los artículos 1.1</w:t>
      </w:r>
      <w:r w:rsidR="007A737F">
        <w:rPr>
          <w:rFonts w:asciiTheme="majorHAnsi" w:eastAsia="Calibri" w:hAnsiTheme="majorHAnsi"/>
          <w:sz w:val="20"/>
          <w:szCs w:val="20"/>
          <w:lang w:val="es-VE"/>
        </w:rPr>
        <w:t xml:space="preserve"> (obligación de respetar los derechos) </w:t>
      </w:r>
      <w:r w:rsidRPr="00EE1655">
        <w:rPr>
          <w:rFonts w:asciiTheme="majorHAnsi" w:eastAsia="Calibri" w:hAnsiTheme="majorHAnsi"/>
          <w:sz w:val="20"/>
          <w:szCs w:val="20"/>
          <w:lang w:val="es-VE"/>
        </w:rPr>
        <w:t xml:space="preserve"> y 2</w:t>
      </w:r>
      <w:r w:rsidR="007A737F">
        <w:rPr>
          <w:rFonts w:asciiTheme="majorHAnsi" w:eastAsia="Calibri" w:hAnsiTheme="majorHAnsi"/>
          <w:sz w:val="20"/>
          <w:szCs w:val="20"/>
          <w:lang w:val="es-VE"/>
        </w:rPr>
        <w:t xml:space="preserve"> (deber de adoptar disposiciones de derecho interno)</w:t>
      </w:r>
      <w:r w:rsidRPr="00EE1655">
        <w:rPr>
          <w:rFonts w:asciiTheme="majorHAnsi" w:eastAsia="Calibri" w:hAnsiTheme="majorHAnsi"/>
          <w:sz w:val="20"/>
          <w:szCs w:val="20"/>
          <w:lang w:val="es-VE"/>
        </w:rPr>
        <w:t xml:space="preserve"> del mismo instrumento, en perjuicio de</w:t>
      </w:r>
      <w:r w:rsidR="009B3595" w:rsidRPr="00EE1655">
        <w:rPr>
          <w:rFonts w:asciiTheme="majorHAnsi" w:eastAsia="Calibri" w:hAnsiTheme="majorHAnsi"/>
          <w:sz w:val="20"/>
          <w:szCs w:val="20"/>
          <w:lang w:val="es-VE"/>
        </w:rPr>
        <w:t xml:space="preserve"> Rocío San Miguel Sosa, </w:t>
      </w:r>
      <w:proofErr w:type="spellStart"/>
      <w:r w:rsidR="009B3595" w:rsidRPr="00EE1655">
        <w:rPr>
          <w:rFonts w:asciiTheme="majorHAnsi" w:eastAsia="Calibri" w:hAnsiTheme="majorHAnsi"/>
          <w:sz w:val="20"/>
          <w:szCs w:val="20"/>
          <w:lang w:val="es-VE"/>
        </w:rPr>
        <w:t>Magally</w:t>
      </w:r>
      <w:proofErr w:type="spellEnd"/>
      <w:r w:rsidR="009B3595" w:rsidRPr="00EE1655">
        <w:rPr>
          <w:rFonts w:asciiTheme="majorHAnsi" w:eastAsia="Calibri" w:hAnsiTheme="majorHAnsi"/>
          <w:sz w:val="20"/>
          <w:szCs w:val="20"/>
          <w:lang w:val="es-VE"/>
        </w:rPr>
        <w:t xml:space="preserve"> Chang Girón y Thais Coromoto Peña</w:t>
      </w:r>
      <w:r w:rsidR="00050BD1" w:rsidRPr="00EE1655">
        <w:rPr>
          <w:rFonts w:asciiTheme="majorHAnsi" w:eastAsia="Calibri" w:hAnsiTheme="majorHAnsi"/>
          <w:sz w:val="20"/>
          <w:szCs w:val="20"/>
          <w:lang w:val="es-VE"/>
        </w:rPr>
        <w:t xml:space="preserve">. </w:t>
      </w:r>
      <w:r w:rsidR="00EE1655" w:rsidRPr="00EE1655">
        <w:rPr>
          <w:rFonts w:asciiTheme="majorHAnsi" w:eastAsia="Calibri" w:hAnsiTheme="majorHAnsi"/>
          <w:sz w:val="20"/>
          <w:szCs w:val="20"/>
          <w:lang w:val="es-VE"/>
        </w:rPr>
        <w:t xml:space="preserve"> Asimismo la Comisión concluyó que no cuenta con elementos para pronunciarse sobre el artículo 5 (integridad personal) de la Convención Americana de manera separada. </w:t>
      </w:r>
      <w:r w:rsidRPr="00EE1655">
        <w:rPr>
          <w:rFonts w:asciiTheme="majorHAnsi" w:eastAsia="Calibri" w:hAnsiTheme="majorHAnsi"/>
          <w:sz w:val="20"/>
          <w:szCs w:val="20"/>
          <w:lang w:val="es-VE"/>
        </w:rPr>
        <w:t xml:space="preserve">Finalmente, la Comisión formuló las recomendaciones respectivas. </w:t>
      </w:r>
    </w:p>
    <w:p w14:paraId="3C8BEC0F" w14:textId="77777777" w:rsidR="0055682B" w:rsidRPr="00420489" w:rsidRDefault="0055682B" w:rsidP="005568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highlight w:val="yellow"/>
          <w:lang w:val="es-VE"/>
        </w:rPr>
      </w:pPr>
    </w:p>
    <w:p w14:paraId="5EEBBDAF" w14:textId="77777777" w:rsidR="00E40449" w:rsidRPr="00420489" w:rsidRDefault="00E40449" w:rsidP="005E081B">
      <w:pPr>
        <w:pStyle w:val="Heading1"/>
        <w:numPr>
          <w:ilvl w:val="0"/>
          <w:numId w:val="55"/>
        </w:numPr>
        <w:tabs>
          <w:tab w:val="clear" w:pos="1440"/>
        </w:tabs>
      </w:pPr>
      <w:bookmarkStart w:id="6" w:name="_Toc370840744"/>
      <w:bookmarkStart w:id="7" w:name="_Toc370840840"/>
      <w:bookmarkStart w:id="8" w:name="_Toc423514406"/>
      <w:bookmarkStart w:id="9" w:name="_Toc433308895"/>
      <w:r w:rsidRPr="00420489">
        <w:t xml:space="preserve">TRÁMITE ANTE LA </w:t>
      </w:r>
      <w:bookmarkStart w:id="10" w:name="_Toc370840745"/>
      <w:bookmarkStart w:id="11" w:name="_Toc370840841"/>
      <w:bookmarkEnd w:id="6"/>
      <w:bookmarkEnd w:id="7"/>
      <w:r w:rsidRPr="00420489">
        <w:t>COMISIÓN</w:t>
      </w:r>
      <w:bookmarkEnd w:id="8"/>
      <w:bookmarkEnd w:id="9"/>
    </w:p>
    <w:p w14:paraId="14D8D24C" w14:textId="77777777" w:rsidR="00E40449" w:rsidRPr="00420489" w:rsidRDefault="00E40449" w:rsidP="00E40449">
      <w:pPr>
        <w:rPr>
          <w:rFonts w:asciiTheme="majorHAnsi" w:hAnsiTheme="majorHAnsi"/>
          <w:sz w:val="20"/>
          <w:szCs w:val="20"/>
          <w:lang w:val="es-ES"/>
        </w:rPr>
      </w:pPr>
    </w:p>
    <w:p w14:paraId="5D085A6A" w14:textId="77777777" w:rsidR="00E40449" w:rsidRPr="00420489" w:rsidRDefault="00E40449" w:rsidP="00E40449">
      <w:pPr>
        <w:ind w:left="708"/>
        <w:rPr>
          <w:rFonts w:asciiTheme="majorHAnsi" w:hAnsiTheme="majorHAnsi"/>
          <w:b/>
          <w:sz w:val="20"/>
          <w:szCs w:val="20"/>
          <w:lang w:val="es-ES"/>
        </w:rPr>
      </w:pPr>
      <w:r w:rsidRPr="00420489">
        <w:rPr>
          <w:rFonts w:asciiTheme="majorHAnsi" w:hAnsiTheme="majorHAnsi"/>
          <w:b/>
          <w:sz w:val="20"/>
          <w:szCs w:val="20"/>
          <w:lang w:val="es-ES"/>
        </w:rPr>
        <w:t>A.</w:t>
      </w:r>
      <w:r w:rsidRPr="00420489">
        <w:rPr>
          <w:rFonts w:asciiTheme="majorHAnsi" w:hAnsiTheme="majorHAnsi"/>
          <w:b/>
          <w:sz w:val="20"/>
          <w:szCs w:val="20"/>
          <w:lang w:val="es-ES"/>
        </w:rPr>
        <w:tab/>
        <w:t>Trámite del caso desde el informe de admisibilidad</w:t>
      </w:r>
    </w:p>
    <w:p w14:paraId="2481862D" w14:textId="77777777" w:rsidR="00E40449" w:rsidRPr="00420489" w:rsidRDefault="00E40449" w:rsidP="00E40449">
      <w:pPr>
        <w:rPr>
          <w:rFonts w:asciiTheme="majorHAnsi" w:hAnsiTheme="majorHAnsi"/>
          <w:sz w:val="20"/>
          <w:szCs w:val="20"/>
          <w:lang w:val="es-ES"/>
        </w:rPr>
      </w:pPr>
    </w:p>
    <w:p w14:paraId="180534E2" w14:textId="77777777" w:rsidR="00E40449" w:rsidRPr="00420489" w:rsidRDefault="00C35013" w:rsidP="005E081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El 7</w:t>
      </w:r>
      <w:r w:rsidR="00E40449" w:rsidRPr="00420489">
        <w:rPr>
          <w:rFonts w:asciiTheme="majorHAnsi" w:eastAsia="Calibri" w:hAnsiTheme="majorHAnsi"/>
          <w:sz w:val="20"/>
          <w:szCs w:val="20"/>
          <w:lang w:val="es-VE"/>
        </w:rPr>
        <w:t xml:space="preserve"> de </w:t>
      </w:r>
      <w:r w:rsidRPr="00420489">
        <w:rPr>
          <w:rFonts w:asciiTheme="majorHAnsi" w:eastAsia="Calibri" w:hAnsiTheme="majorHAnsi"/>
          <w:sz w:val="20"/>
          <w:szCs w:val="20"/>
          <w:lang w:val="es-VE"/>
        </w:rPr>
        <w:t>marzo de 2006</w:t>
      </w:r>
      <w:r w:rsidR="00E40449" w:rsidRPr="00420489">
        <w:rPr>
          <w:rFonts w:asciiTheme="majorHAnsi" w:eastAsia="Calibri" w:hAnsiTheme="majorHAnsi"/>
          <w:sz w:val="20"/>
          <w:szCs w:val="20"/>
          <w:lang w:val="es-VE"/>
        </w:rPr>
        <w:t xml:space="preserve"> la Comisión recibió la petición y la registró bajo el número </w:t>
      </w:r>
      <w:r w:rsidRPr="00420489">
        <w:rPr>
          <w:rFonts w:asciiTheme="majorHAnsi" w:eastAsia="Calibri" w:hAnsiTheme="majorHAnsi"/>
          <w:sz w:val="20"/>
          <w:szCs w:val="20"/>
          <w:lang w:val="es-VE"/>
        </w:rPr>
        <w:t>212-06</w:t>
      </w:r>
      <w:r w:rsidR="00E40449" w:rsidRPr="00420489">
        <w:rPr>
          <w:rFonts w:asciiTheme="majorHAnsi" w:eastAsia="Calibri" w:hAnsiTheme="majorHAnsi"/>
          <w:sz w:val="20"/>
          <w:szCs w:val="20"/>
          <w:lang w:val="es-VE"/>
        </w:rPr>
        <w:t>. El trámite hasta la decisión sobre admisibilidad se encuentra explicad</w:t>
      </w:r>
      <w:r w:rsidRPr="00420489">
        <w:rPr>
          <w:rFonts w:asciiTheme="majorHAnsi" w:eastAsia="Calibri" w:hAnsiTheme="majorHAnsi"/>
          <w:sz w:val="20"/>
          <w:szCs w:val="20"/>
          <w:lang w:val="es-VE"/>
        </w:rPr>
        <w:t>o en detalle en el Informe No. 59/13 de 16</w:t>
      </w:r>
      <w:r w:rsidR="00E40449" w:rsidRPr="00420489">
        <w:rPr>
          <w:rFonts w:asciiTheme="majorHAnsi" w:eastAsia="Calibri" w:hAnsiTheme="majorHAnsi"/>
          <w:sz w:val="20"/>
          <w:szCs w:val="20"/>
          <w:lang w:val="es-VE"/>
        </w:rPr>
        <w:t xml:space="preserve"> de julio de 2013</w:t>
      </w:r>
      <w:r w:rsidR="00E40449" w:rsidRPr="00420489">
        <w:rPr>
          <w:rFonts w:asciiTheme="majorHAnsi" w:eastAsia="Calibri" w:hAnsiTheme="majorHAnsi"/>
          <w:sz w:val="20"/>
          <w:szCs w:val="20"/>
          <w:vertAlign w:val="superscript"/>
        </w:rPr>
        <w:footnoteReference w:id="2"/>
      </w:r>
      <w:r w:rsidR="00E40449" w:rsidRPr="00420489">
        <w:rPr>
          <w:rFonts w:asciiTheme="majorHAnsi" w:eastAsia="Calibri" w:hAnsiTheme="majorHAnsi"/>
          <w:sz w:val="20"/>
          <w:szCs w:val="20"/>
          <w:lang w:val="es-VE"/>
        </w:rPr>
        <w:t xml:space="preserve">. En dicho informe la CIDH declaró la petición admisible en cuanto a la posible violación de los </w:t>
      </w:r>
      <w:r w:rsidR="00E40449" w:rsidRPr="00420489">
        <w:rPr>
          <w:rFonts w:asciiTheme="majorHAnsi" w:eastAsia="Calibri" w:hAnsiTheme="majorHAnsi"/>
          <w:sz w:val="20"/>
          <w:szCs w:val="20"/>
          <w:lang w:val="es-VE"/>
        </w:rPr>
        <w:lastRenderedPageBreak/>
        <w:t xml:space="preserve">derechos consagrados en los artículos </w:t>
      </w:r>
      <w:r w:rsidR="000F1BFB" w:rsidRPr="00420489">
        <w:rPr>
          <w:rFonts w:asciiTheme="majorHAnsi" w:eastAsia="Calibri" w:hAnsiTheme="majorHAnsi"/>
          <w:sz w:val="20"/>
          <w:szCs w:val="20"/>
          <w:lang w:val="es-VE"/>
        </w:rPr>
        <w:t>5, 8, 13, 23, 24 y 25</w:t>
      </w:r>
      <w:r w:rsidR="00E40449" w:rsidRPr="00420489">
        <w:rPr>
          <w:rFonts w:asciiTheme="majorHAnsi" w:eastAsia="Calibri" w:hAnsiTheme="majorHAnsi"/>
          <w:sz w:val="20"/>
          <w:szCs w:val="20"/>
          <w:lang w:val="es-VE"/>
        </w:rPr>
        <w:t xml:space="preserve">  de la Convención Americana, en conexión con los artículos 1.1 y 2</w:t>
      </w:r>
      <w:r w:rsidR="000F1BFB" w:rsidRPr="00420489">
        <w:rPr>
          <w:rFonts w:asciiTheme="majorHAnsi" w:eastAsia="Calibri" w:hAnsiTheme="majorHAnsi"/>
          <w:sz w:val="20"/>
          <w:szCs w:val="20"/>
          <w:lang w:val="es-VE"/>
        </w:rPr>
        <w:t xml:space="preserve"> de dicho instrumento.</w:t>
      </w:r>
      <w:r w:rsidR="00E40449" w:rsidRPr="00420489">
        <w:rPr>
          <w:rFonts w:asciiTheme="majorHAnsi" w:eastAsia="Calibri" w:hAnsiTheme="majorHAnsi"/>
          <w:sz w:val="20"/>
          <w:szCs w:val="20"/>
          <w:lang w:val="es-VE"/>
        </w:rPr>
        <w:t xml:space="preserve"> </w:t>
      </w:r>
    </w:p>
    <w:p w14:paraId="1ACA6EFC" w14:textId="77777777" w:rsidR="00E40449" w:rsidRPr="00420489" w:rsidRDefault="00E40449" w:rsidP="00E40449">
      <w:pPr>
        <w:tabs>
          <w:tab w:val="left" w:pos="1440"/>
        </w:tabs>
        <w:ind w:left="720"/>
        <w:jc w:val="both"/>
        <w:rPr>
          <w:rFonts w:asciiTheme="majorHAnsi" w:eastAsia="Calibri" w:hAnsiTheme="majorHAnsi"/>
          <w:sz w:val="20"/>
          <w:szCs w:val="20"/>
          <w:lang w:val="es-VE"/>
        </w:rPr>
      </w:pPr>
    </w:p>
    <w:p w14:paraId="63108BD1" w14:textId="06E62C5D" w:rsidR="00E40449" w:rsidRPr="00420489" w:rsidRDefault="00466F31" w:rsidP="00E4044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El 21</w:t>
      </w:r>
      <w:r w:rsidR="00E40449" w:rsidRPr="00420489">
        <w:rPr>
          <w:rFonts w:asciiTheme="majorHAnsi" w:eastAsia="Calibri" w:hAnsiTheme="majorHAnsi"/>
          <w:sz w:val="20"/>
          <w:szCs w:val="20"/>
          <w:lang w:val="es-VE"/>
        </w:rPr>
        <w:t xml:space="preserve"> de agosto de 2013 la Comisión notificó a las partes el informe de admisibilidad. Asi</w:t>
      </w:r>
      <w:r w:rsidR="00561F53">
        <w:rPr>
          <w:rFonts w:asciiTheme="majorHAnsi" w:eastAsia="Calibri" w:hAnsiTheme="majorHAnsi"/>
          <w:sz w:val="20"/>
          <w:szCs w:val="20"/>
          <w:lang w:val="es-VE"/>
        </w:rPr>
        <w:t>mismo, conforme al artículo 37.4</w:t>
      </w:r>
      <w:r w:rsidR="00E40449" w:rsidRPr="00420489">
        <w:rPr>
          <w:rFonts w:asciiTheme="majorHAnsi" w:eastAsia="Calibri" w:hAnsiTheme="majorHAnsi"/>
          <w:sz w:val="20"/>
          <w:szCs w:val="20"/>
          <w:lang w:val="es-VE"/>
        </w:rPr>
        <w:t xml:space="preserve"> de su Reglamento, se puso a disposición de las partes a fin de llegar a una solución amistosa y solicitó a los peticionarios que presentaran sus observaciones adicionales sobre el fondo en un plazo de cuatro meses. </w:t>
      </w:r>
      <w:r w:rsidRPr="00420489">
        <w:rPr>
          <w:rFonts w:asciiTheme="majorHAnsi" w:eastAsia="Calibri" w:hAnsiTheme="majorHAnsi"/>
          <w:sz w:val="20"/>
          <w:szCs w:val="20"/>
          <w:lang w:val="es-VE"/>
        </w:rPr>
        <w:t xml:space="preserve"> El 30 de enero de 2015 los peticionarios presentaron sus observaciones de fondo. </w:t>
      </w:r>
      <w:r w:rsidR="0018242E">
        <w:rPr>
          <w:rFonts w:asciiTheme="majorHAnsi" w:eastAsia="Calibri" w:hAnsiTheme="majorHAnsi"/>
          <w:sz w:val="20"/>
          <w:szCs w:val="20"/>
          <w:lang w:val="es-VE"/>
        </w:rPr>
        <w:t>Dichas</w:t>
      </w:r>
      <w:r w:rsidR="0018242E" w:rsidRPr="00420489">
        <w:rPr>
          <w:rFonts w:asciiTheme="majorHAnsi" w:eastAsia="Calibri" w:hAnsiTheme="majorHAnsi"/>
          <w:sz w:val="20"/>
          <w:szCs w:val="20"/>
          <w:lang w:val="es-VE"/>
        </w:rPr>
        <w:t xml:space="preserve"> </w:t>
      </w:r>
      <w:r w:rsidR="00E40449" w:rsidRPr="00420489">
        <w:rPr>
          <w:rFonts w:asciiTheme="majorHAnsi" w:eastAsia="Calibri" w:hAnsiTheme="majorHAnsi"/>
          <w:sz w:val="20"/>
          <w:szCs w:val="20"/>
          <w:lang w:val="es-VE"/>
        </w:rPr>
        <w:t xml:space="preserve">observaciones fueron transmitidas al Estado </w:t>
      </w:r>
      <w:r w:rsidRPr="00420489">
        <w:rPr>
          <w:rFonts w:asciiTheme="majorHAnsi" w:eastAsia="Calibri" w:hAnsiTheme="majorHAnsi"/>
          <w:sz w:val="20"/>
          <w:szCs w:val="20"/>
          <w:lang w:val="es-VE"/>
        </w:rPr>
        <w:t>venezolano</w:t>
      </w:r>
      <w:r w:rsidR="0018242E">
        <w:rPr>
          <w:rFonts w:asciiTheme="majorHAnsi" w:eastAsia="Calibri" w:hAnsiTheme="majorHAnsi"/>
          <w:sz w:val="20"/>
          <w:szCs w:val="20"/>
          <w:lang w:val="es-VE"/>
        </w:rPr>
        <w:t xml:space="preserve"> el 31 de marzo de 2015</w:t>
      </w:r>
      <w:r w:rsidR="00E40449" w:rsidRPr="00420489">
        <w:rPr>
          <w:rFonts w:asciiTheme="majorHAnsi" w:eastAsia="Calibri" w:hAnsiTheme="majorHAnsi"/>
          <w:sz w:val="20"/>
          <w:szCs w:val="20"/>
          <w:lang w:val="es-VE"/>
        </w:rPr>
        <w:t xml:space="preserve"> solicitándole que en el plazo reglamentario de cuatro meses presentara sus observaciones adicionales sobre el fondo.</w:t>
      </w:r>
      <w:r w:rsidR="00B25283" w:rsidRPr="00420489">
        <w:rPr>
          <w:rFonts w:asciiTheme="majorHAnsi" w:eastAsia="Calibri" w:hAnsiTheme="majorHAnsi"/>
          <w:sz w:val="20"/>
          <w:szCs w:val="20"/>
          <w:lang w:val="es-VE"/>
        </w:rPr>
        <w:t xml:space="preserve"> A la fecha de aprobación del presente informe, el Estado venezolano no ha presentado sus observaciones adicionales sobre el fondo. </w:t>
      </w:r>
    </w:p>
    <w:p w14:paraId="0CD0BBB4" w14:textId="77777777" w:rsidR="00E40449" w:rsidRPr="00420489" w:rsidRDefault="00E40449" w:rsidP="00E40449">
      <w:pPr>
        <w:rPr>
          <w:rFonts w:asciiTheme="majorHAnsi" w:hAnsiTheme="majorHAnsi"/>
          <w:sz w:val="20"/>
          <w:szCs w:val="20"/>
          <w:lang w:val="es-ES"/>
        </w:rPr>
      </w:pPr>
    </w:p>
    <w:p w14:paraId="3EBD95A6" w14:textId="77777777" w:rsidR="00E40449" w:rsidRPr="00420489" w:rsidRDefault="00E40449" w:rsidP="005E081B">
      <w:pPr>
        <w:pStyle w:val="Heading1"/>
        <w:numPr>
          <w:ilvl w:val="0"/>
          <w:numId w:val="55"/>
        </w:numPr>
        <w:tabs>
          <w:tab w:val="clear" w:pos="1440"/>
        </w:tabs>
      </w:pPr>
      <w:bookmarkStart w:id="12" w:name="_Toc423514407"/>
      <w:bookmarkStart w:id="13" w:name="_Toc433308896"/>
      <w:r w:rsidRPr="00420489">
        <w:t>POSICIONES DE LAS PARTES</w:t>
      </w:r>
      <w:bookmarkEnd w:id="10"/>
      <w:bookmarkEnd w:id="11"/>
      <w:bookmarkEnd w:id="12"/>
      <w:bookmarkEnd w:id="13"/>
    </w:p>
    <w:p w14:paraId="0A22D00F" w14:textId="77777777" w:rsidR="00E40449" w:rsidRPr="00420489" w:rsidRDefault="00E40449" w:rsidP="00E40449">
      <w:pPr>
        <w:rPr>
          <w:rFonts w:asciiTheme="majorHAnsi" w:hAnsiTheme="majorHAnsi"/>
          <w:sz w:val="20"/>
          <w:szCs w:val="20"/>
          <w:lang w:val="es-CO"/>
        </w:rPr>
      </w:pPr>
    </w:p>
    <w:p w14:paraId="74947F40" w14:textId="77777777" w:rsidR="00E40449" w:rsidRPr="00420489" w:rsidRDefault="00E40449" w:rsidP="005E081B">
      <w:pPr>
        <w:pStyle w:val="Heading2"/>
        <w:numPr>
          <w:ilvl w:val="0"/>
          <w:numId w:val="59"/>
        </w:numPr>
      </w:pPr>
      <w:bookmarkStart w:id="14" w:name="_Toc423514408"/>
      <w:bookmarkStart w:id="15" w:name="_Toc433308897"/>
      <w:r w:rsidRPr="00420489">
        <w:t>Posición de los peticionarios</w:t>
      </w:r>
      <w:bookmarkEnd w:id="14"/>
      <w:bookmarkEnd w:id="15"/>
    </w:p>
    <w:p w14:paraId="7FE2B61A"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37710D64" w14:textId="77777777" w:rsidR="00424452" w:rsidRPr="00420489" w:rsidRDefault="003401E5" w:rsidP="0052086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Durante la etapa de fondo l</w:t>
      </w:r>
      <w:r w:rsidR="00424452" w:rsidRPr="00420489">
        <w:rPr>
          <w:rFonts w:asciiTheme="majorHAnsi" w:eastAsia="Calibri" w:hAnsiTheme="majorHAnsi"/>
          <w:sz w:val="20"/>
          <w:szCs w:val="20"/>
          <w:lang w:val="es-VE"/>
        </w:rPr>
        <w:t xml:space="preserve">os peticionarios ratificaron en todas sus partes el contenido de su denuncia inicial de 7 de marzo de 2006. </w:t>
      </w:r>
      <w:r w:rsidRPr="00420489">
        <w:rPr>
          <w:rFonts w:asciiTheme="majorHAnsi" w:eastAsia="Calibri" w:hAnsiTheme="majorHAnsi"/>
          <w:sz w:val="20"/>
          <w:szCs w:val="20"/>
          <w:lang w:val="es-VE"/>
        </w:rPr>
        <w:t xml:space="preserve"> Al respecto, s</w:t>
      </w:r>
      <w:r w:rsidR="00520869" w:rsidRPr="00420489">
        <w:rPr>
          <w:rFonts w:asciiTheme="majorHAnsi" w:eastAsia="Calibri" w:hAnsiTheme="majorHAnsi"/>
          <w:sz w:val="20"/>
          <w:szCs w:val="20"/>
          <w:lang w:val="es-VE"/>
        </w:rPr>
        <w:t xml:space="preserve">eñalaron </w:t>
      </w:r>
      <w:r w:rsidR="00424452" w:rsidRPr="00420489">
        <w:rPr>
          <w:rFonts w:asciiTheme="majorHAnsi" w:eastAsia="Calibri" w:hAnsiTheme="majorHAnsi"/>
          <w:sz w:val="20"/>
          <w:szCs w:val="20"/>
          <w:lang w:val="es-VE"/>
        </w:rPr>
        <w:t xml:space="preserve">que las presuntas víctimas Rocío San Miguel Sosa, </w:t>
      </w:r>
      <w:proofErr w:type="spellStart"/>
      <w:r w:rsidR="00424452" w:rsidRPr="00420489">
        <w:rPr>
          <w:rFonts w:asciiTheme="majorHAnsi" w:eastAsia="Calibri" w:hAnsiTheme="majorHAnsi"/>
          <w:sz w:val="20"/>
          <w:szCs w:val="20"/>
          <w:lang w:val="es-VE"/>
        </w:rPr>
        <w:t>Magally</w:t>
      </w:r>
      <w:proofErr w:type="spellEnd"/>
      <w:r w:rsidR="00424452" w:rsidRPr="00420489">
        <w:rPr>
          <w:rFonts w:asciiTheme="majorHAnsi" w:eastAsia="Calibri" w:hAnsiTheme="majorHAnsi"/>
          <w:sz w:val="20"/>
          <w:szCs w:val="20"/>
          <w:lang w:val="es-VE"/>
        </w:rPr>
        <w:t xml:space="preserve"> Chang Girón y Thais </w:t>
      </w:r>
      <w:r w:rsidR="00872A3D" w:rsidRPr="00420489">
        <w:rPr>
          <w:rFonts w:asciiTheme="majorHAnsi" w:eastAsia="Calibri" w:hAnsiTheme="majorHAnsi"/>
          <w:sz w:val="20"/>
          <w:szCs w:val="20"/>
          <w:lang w:val="es-VE"/>
        </w:rPr>
        <w:t xml:space="preserve">Coromoto </w:t>
      </w:r>
      <w:r w:rsidR="00424452" w:rsidRPr="00420489">
        <w:rPr>
          <w:rFonts w:asciiTheme="majorHAnsi" w:eastAsia="Calibri" w:hAnsiTheme="majorHAnsi"/>
          <w:sz w:val="20"/>
          <w:szCs w:val="20"/>
          <w:lang w:val="es-VE"/>
        </w:rPr>
        <w:t>Peña trabajaban en el C</w:t>
      </w:r>
      <w:r w:rsidR="00030EEC" w:rsidRPr="00420489">
        <w:rPr>
          <w:rFonts w:asciiTheme="majorHAnsi" w:eastAsia="Calibri" w:hAnsiTheme="majorHAnsi"/>
          <w:sz w:val="20"/>
          <w:szCs w:val="20"/>
          <w:lang w:val="es-VE"/>
        </w:rPr>
        <w:t>N</w:t>
      </w:r>
      <w:r w:rsidR="00971ADF" w:rsidRPr="00420489">
        <w:rPr>
          <w:rFonts w:asciiTheme="majorHAnsi" w:eastAsia="Calibri" w:hAnsiTheme="majorHAnsi"/>
          <w:sz w:val="20"/>
          <w:szCs w:val="20"/>
          <w:lang w:val="es-VE"/>
        </w:rPr>
        <w:t>F</w:t>
      </w:r>
      <w:r w:rsidR="00424452" w:rsidRPr="00420489">
        <w:rPr>
          <w:rFonts w:asciiTheme="majorHAnsi" w:eastAsia="Calibri" w:hAnsiTheme="majorHAnsi"/>
          <w:sz w:val="20"/>
          <w:szCs w:val="20"/>
          <w:lang w:val="es-VE"/>
        </w:rPr>
        <w:t>, adscrito al Ministerio de Relaciones Exteriores de la República Bolivariana de Venezuela. Destacaron que</w:t>
      </w:r>
      <w:r w:rsidR="00297DAC" w:rsidRPr="00420489">
        <w:rPr>
          <w:rFonts w:asciiTheme="majorHAnsi" w:eastAsia="Calibri" w:hAnsiTheme="majorHAnsi"/>
          <w:sz w:val="20"/>
          <w:szCs w:val="20"/>
          <w:lang w:val="es-VE"/>
        </w:rPr>
        <w:t>: i)</w:t>
      </w:r>
      <w:r w:rsidR="00424452" w:rsidRPr="00420489">
        <w:rPr>
          <w:rFonts w:asciiTheme="majorHAnsi" w:eastAsia="Calibri" w:hAnsiTheme="majorHAnsi"/>
          <w:sz w:val="20"/>
          <w:szCs w:val="20"/>
          <w:lang w:val="es-VE"/>
        </w:rPr>
        <w:t xml:space="preserve"> Thais Coromoto Peña había trabajado al servicio de la Administración Pública por 20 años, 9 de ellos laborando en el </w:t>
      </w:r>
      <w:r w:rsidR="00030EEC" w:rsidRPr="00420489">
        <w:rPr>
          <w:rFonts w:asciiTheme="majorHAnsi" w:eastAsia="Calibri" w:hAnsiTheme="majorHAnsi"/>
          <w:sz w:val="20"/>
          <w:szCs w:val="20"/>
          <w:lang w:val="es-VE"/>
        </w:rPr>
        <w:t>CN</w:t>
      </w:r>
      <w:r w:rsidR="005D52C5" w:rsidRPr="00420489">
        <w:rPr>
          <w:rFonts w:asciiTheme="majorHAnsi" w:eastAsia="Calibri" w:hAnsiTheme="majorHAnsi"/>
          <w:sz w:val="20"/>
          <w:szCs w:val="20"/>
          <w:lang w:val="es-VE"/>
        </w:rPr>
        <w:t>F</w:t>
      </w:r>
      <w:r w:rsidR="00297DAC" w:rsidRPr="00420489">
        <w:rPr>
          <w:rFonts w:asciiTheme="majorHAnsi" w:eastAsia="Calibri" w:hAnsiTheme="majorHAnsi"/>
          <w:sz w:val="20"/>
          <w:szCs w:val="20"/>
          <w:lang w:val="es-VE"/>
        </w:rPr>
        <w:t>; ii)</w:t>
      </w:r>
      <w:r w:rsidR="00424452" w:rsidRPr="00420489">
        <w:rPr>
          <w:rFonts w:asciiTheme="majorHAnsi" w:eastAsia="Calibri" w:hAnsiTheme="majorHAnsi"/>
          <w:sz w:val="20"/>
          <w:szCs w:val="20"/>
          <w:lang w:val="es-VE"/>
        </w:rPr>
        <w:t xml:space="preserve"> Rocío San Miguel Sosa lo había hecho por un total de 13 años, 7 de los cuales se desempeñó en el C</w:t>
      </w:r>
      <w:r w:rsidR="00030EEC" w:rsidRPr="00420489">
        <w:rPr>
          <w:rFonts w:asciiTheme="majorHAnsi" w:eastAsia="Calibri" w:hAnsiTheme="majorHAnsi"/>
          <w:sz w:val="20"/>
          <w:szCs w:val="20"/>
          <w:lang w:val="es-VE"/>
        </w:rPr>
        <w:t>N</w:t>
      </w:r>
      <w:r w:rsidR="005D52C5" w:rsidRPr="00420489">
        <w:rPr>
          <w:rFonts w:asciiTheme="majorHAnsi" w:eastAsia="Calibri" w:hAnsiTheme="majorHAnsi"/>
          <w:sz w:val="20"/>
          <w:szCs w:val="20"/>
          <w:lang w:val="es-VE"/>
        </w:rPr>
        <w:t>F</w:t>
      </w:r>
      <w:r w:rsidR="00297DAC" w:rsidRPr="00420489">
        <w:rPr>
          <w:rFonts w:asciiTheme="majorHAnsi" w:eastAsia="Calibri" w:hAnsiTheme="majorHAnsi"/>
          <w:sz w:val="20"/>
          <w:szCs w:val="20"/>
          <w:lang w:val="es-VE"/>
        </w:rPr>
        <w:t>; y iii</w:t>
      </w:r>
      <w:r w:rsidR="00030EEC" w:rsidRPr="00420489">
        <w:rPr>
          <w:rFonts w:asciiTheme="majorHAnsi" w:eastAsia="Calibri" w:hAnsiTheme="majorHAnsi"/>
          <w:sz w:val="20"/>
          <w:szCs w:val="20"/>
          <w:lang w:val="es-VE"/>
        </w:rPr>
        <w:t xml:space="preserve">) </w:t>
      </w:r>
      <w:proofErr w:type="spellStart"/>
      <w:r w:rsidR="00030EEC" w:rsidRPr="00420489">
        <w:rPr>
          <w:rFonts w:asciiTheme="majorHAnsi" w:eastAsia="Calibri" w:hAnsiTheme="majorHAnsi"/>
          <w:sz w:val="20"/>
          <w:szCs w:val="20"/>
          <w:lang w:val="es-VE"/>
        </w:rPr>
        <w:t>Magally</w:t>
      </w:r>
      <w:proofErr w:type="spellEnd"/>
      <w:r w:rsidR="00424452" w:rsidRPr="00420489">
        <w:rPr>
          <w:rFonts w:asciiTheme="majorHAnsi" w:eastAsia="Calibri" w:hAnsiTheme="majorHAnsi"/>
          <w:sz w:val="20"/>
          <w:szCs w:val="20"/>
          <w:lang w:val="es-VE"/>
        </w:rPr>
        <w:t xml:space="preserve"> Chang Girón, por su parte, habría trabajado 6 años al servicio del C</w:t>
      </w:r>
      <w:r w:rsidR="00030EEC" w:rsidRPr="00420489">
        <w:rPr>
          <w:rFonts w:asciiTheme="majorHAnsi" w:eastAsia="Calibri" w:hAnsiTheme="majorHAnsi"/>
          <w:sz w:val="20"/>
          <w:szCs w:val="20"/>
          <w:lang w:val="es-VE"/>
        </w:rPr>
        <w:t>N</w:t>
      </w:r>
      <w:r w:rsidR="005D52C5" w:rsidRPr="00420489">
        <w:rPr>
          <w:rFonts w:asciiTheme="majorHAnsi" w:eastAsia="Calibri" w:hAnsiTheme="majorHAnsi"/>
          <w:sz w:val="20"/>
          <w:szCs w:val="20"/>
          <w:lang w:val="es-VE"/>
        </w:rPr>
        <w:t>F</w:t>
      </w:r>
      <w:r w:rsidR="00424452" w:rsidRPr="00420489">
        <w:rPr>
          <w:rFonts w:asciiTheme="majorHAnsi" w:eastAsia="Calibri" w:hAnsiTheme="majorHAnsi"/>
          <w:sz w:val="20"/>
          <w:szCs w:val="20"/>
          <w:lang w:val="es-VE"/>
        </w:rPr>
        <w:t>.</w:t>
      </w:r>
    </w:p>
    <w:p w14:paraId="071B783E"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43E09DDE" w14:textId="77777777" w:rsidR="00424452" w:rsidRPr="00420489" w:rsidRDefault="0067030C" w:rsidP="00CC7D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Los peticionarios relataron</w:t>
      </w:r>
      <w:r w:rsidR="00424452" w:rsidRPr="00420489">
        <w:rPr>
          <w:rFonts w:asciiTheme="majorHAnsi" w:eastAsia="Calibri" w:hAnsiTheme="majorHAnsi"/>
          <w:sz w:val="20"/>
          <w:szCs w:val="20"/>
          <w:lang w:val="es-VE"/>
        </w:rPr>
        <w:t xml:space="preserve"> que e</w:t>
      </w:r>
      <w:r w:rsidR="00A7190E" w:rsidRPr="00420489">
        <w:rPr>
          <w:rFonts w:asciiTheme="majorHAnsi" w:eastAsia="Calibri" w:hAnsiTheme="majorHAnsi"/>
          <w:sz w:val="20"/>
          <w:szCs w:val="20"/>
          <w:lang w:val="es-VE"/>
        </w:rPr>
        <w:t xml:space="preserve">n el mes </w:t>
      </w:r>
      <w:r w:rsidR="00424452" w:rsidRPr="00420489">
        <w:rPr>
          <w:rFonts w:asciiTheme="majorHAnsi" w:eastAsia="Calibri" w:hAnsiTheme="majorHAnsi"/>
          <w:sz w:val="20"/>
          <w:szCs w:val="20"/>
          <w:lang w:val="es-VE"/>
        </w:rPr>
        <w:t xml:space="preserve"> de marzo de 2004, Rocío San Miguel Sosa, </w:t>
      </w:r>
      <w:proofErr w:type="spellStart"/>
      <w:r w:rsidR="00424452" w:rsidRPr="00420489">
        <w:rPr>
          <w:rFonts w:asciiTheme="majorHAnsi" w:eastAsia="Calibri" w:hAnsiTheme="majorHAnsi"/>
          <w:sz w:val="20"/>
          <w:szCs w:val="20"/>
          <w:lang w:val="es-VE"/>
        </w:rPr>
        <w:t>Magally</w:t>
      </w:r>
      <w:proofErr w:type="spellEnd"/>
      <w:r w:rsidR="00424452" w:rsidRPr="00420489">
        <w:rPr>
          <w:rFonts w:asciiTheme="majorHAnsi" w:eastAsia="Calibri" w:hAnsiTheme="majorHAnsi"/>
          <w:sz w:val="20"/>
          <w:szCs w:val="20"/>
          <w:lang w:val="es-VE"/>
        </w:rPr>
        <w:t xml:space="preserve"> Chang Girón y Thais Coromoto Peña fueron</w:t>
      </w:r>
      <w:r w:rsidR="001B464B" w:rsidRPr="00420489">
        <w:rPr>
          <w:rFonts w:asciiTheme="majorHAnsi" w:eastAsia="Calibri" w:hAnsiTheme="majorHAnsi"/>
          <w:sz w:val="20"/>
          <w:szCs w:val="20"/>
          <w:lang w:val="es-VE"/>
        </w:rPr>
        <w:t xml:space="preserve"> informadas de la decisión del P</w:t>
      </w:r>
      <w:r w:rsidR="00424452" w:rsidRPr="00420489">
        <w:rPr>
          <w:rFonts w:asciiTheme="majorHAnsi" w:eastAsia="Calibri" w:hAnsiTheme="majorHAnsi"/>
          <w:sz w:val="20"/>
          <w:szCs w:val="20"/>
          <w:lang w:val="es-VE"/>
        </w:rPr>
        <w:t>residente del Consejo Nacional de Fronteras de dar por terminado su contrato de trabajo con dicha institución. A su juicio, dicha decisión se fundamentó en “razones estrictamente políticas”, vinculadas a la decisión de las presuntas víctimas de firmar la solicitud para la realización del refer</w:t>
      </w:r>
      <w:r w:rsidR="00CB5B57" w:rsidRPr="00420489">
        <w:rPr>
          <w:rFonts w:asciiTheme="majorHAnsi" w:eastAsia="Calibri" w:hAnsiTheme="majorHAnsi"/>
          <w:sz w:val="20"/>
          <w:szCs w:val="20"/>
          <w:lang w:val="es-VE"/>
        </w:rPr>
        <w:t>endo</w:t>
      </w:r>
      <w:r w:rsidR="00424452" w:rsidRPr="00420489">
        <w:rPr>
          <w:rFonts w:asciiTheme="majorHAnsi" w:eastAsia="Calibri" w:hAnsiTheme="majorHAnsi"/>
          <w:sz w:val="20"/>
          <w:szCs w:val="20"/>
          <w:lang w:val="es-VE"/>
        </w:rPr>
        <w:t xml:space="preserve"> revocatorio del mandato del Presidente de la República, de que trata el artículo 72 de la Constitución de ese país.</w:t>
      </w:r>
    </w:p>
    <w:p w14:paraId="1B152218"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14C9C165" w14:textId="77777777" w:rsidR="00CB5B57" w:rsidRPr="00420489" w:rsidRDefault="00297DAC" w:rsidP="00D810A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A título de antecedentes, l</w:t>
      </w:r>
      <w:r w:rsidR="00424452" w:rsidRPr="00420489">
        <w:rPr>
          <w:rFonts w:asciiTheme="majorHAnsi" w:eastAsia="Calibri" w:hAnsiTheme="majorHAnsi"/>
          <w:sz w:val="20"/>
          <w:szCs w:val="20"/>
          <w:lang w:val="es-VE"/>
        </w:rPr>
        <w:t xml:space="preserve">os peticionarios </w:t>
      </w:r>
      <w:r w:rsidR="00520869" w:rsidRPr="00420489">
        <w:rPr>
          <w:rFonts w:asciiTheme="majorHAnsi" w:eastAsia="Calibri" w:hAnsiTheme="majorHAnsi"/>
          <w:sz w:val="20"/>
          <w:szCs w:val="20"/>
          <w:lang w:val="es-VE"/>
        </w:rPr>
        <w:t>indicaron</w:t>
      </w:r>
      <w:r w:rsidR="00424452" w:rsidRPr="00420489">
        <w:rPr>
          <w:rFonts w:asciiTheme="majorHAnsi" w:eastAsia="Calibri" w:hAnsiTheme="majorHAnsi"/>
          <w:sz w:val="20"/>
          <w:szCs w:val="20"/>
          <w:lang w:val="es-VE"/>
        </w:rPr>
        <w:t xml:space="preserve"> que, en agosto de 2002</w:t>
      </w:r>
      <w:r w:rsidR="00E671D9" w:rsidRPr="00420489">
        <w:rPr>
          <w:rFonts w:asciiTheme="majorHAnsi" w:eastAsia="Calibri" w:hAnsiTheme="majorHAnsi"/>
          <w:sz w:val="20"/>
          <w:szCs w:val="20"/>
          <w:lang w:val="es-VE"/>
        </w:rPr>
        <w:t xml:space="preserve">  </w:t>
      </w:r>
      <w:r w:rsidR="008548E4" w:rsidRPr="00420489">
        <w:rPr>
          <w:rFonts w:asciiTheme="majorHAnsi" w:eastAsia="Calibri" w:hAnsiTheme="majorHAnsi"/>
          <w:sz w:val="20"/>
          <w:szCs w:val="20"/>
          <w:lang w:val="es-VE"/>
        </w:rPr>
        <w:t xml:space="preserve">varias entidades presentaron un listado de firmas </w:t>
      </w:r>
      <w:r w:rsidR="00E671D9" w:rsidRPr="00420489">
        <w:rPr>
          <w:rFonts w:asciiTheme="majorHAnsi" w:eastAsia="Calibri" w:hAnsiTheme="majorHAnsi"/>
          <w:sz w:val="20"/>
          <w:szCs w:val="20"/>
          <w:lang w:val="es-VE"/>
        </w:rPr>
        <w:t xml:space="preserve">al </w:t>
      </w:r>
      <w:r w:rsidR="00030EEC" w:rsidRPr="00420489">
        <w:rPr>
          <w:rFonts w:asciiTheme="majorHAnsi" w:eastAsia="Calibri" w:hAnsiTheme="majorHAnsi"/>
          <w:sz w:val="20"/>
          <w:szCs w:val="20"/>
          <w:lang w:val="es-VE"/>
        </w:rPr>
        <w:t>C</w:t>
      </w:r>
      <w:r w:rsidR="005A7A04" w:rsidRPr="00420489">
        <w:rPr>
          <w:rFonts w:asciiTheme="majorHAnsi" w:eastAsia="Calibri" w:hAnsiTheme="majorHAnsi"/>
          <w:sz w:val="20"/>
          <w:szCs w:val="20"/>
          <w:lang w:val="es-VE"/>
        </w:rPr>
        <w:t>onsejo Nacional Electoral (en adelante “el C</w:t>
      </w:r>
      <w:r w:rsidR="00030EEC" w:rsidRPr="00420489">
        <w:rPr>
          <w:rFonts w:asciiTheme="majorHAnsi" w:eastAsia="Calibri" w:hAnsiTheme="majorHAnsi"/>
          <w:sz w:val="20"/>
          <w:szCs w:val="20"/>
          <w:lang w:val="es-VE"/>
        </w:rPr>
        <w:t>NE</w:t>
      </w:r>
      <w:r w:rsidR="005A7A04" w:rsidRPr="00420489">
        <w:rPr>
          <w:rFonts w:asciiTheme="majorHAnsi" w:eastAsia="Calibri" w:hAnsiTheme="majorHAnsi"/>
          <w:sz w:val="20"/>
          <w:szCs w:val="20"/>
          <w:lang w:val="es-VE"/>
        </w:rPr>
        <w:t>”)</w:t>
      </w:r>
      <w:r w:rsidR="005260C9" w:rsidRPr="00420489">
        <w:rPr>
          <w:rFonts w:asciiTheme="majorHAnsi" w:eastAsia="Calibri" w:hAnsiTheme="majorHAnsi"/>
          <w:sz w:val="20"/>
          <w:szCs w:val="20"/>
          <w:lang w:val="es-VE"/>
        </w:rPr>
        <w:t xml:space="preserve"> solicitando realizar un referendo consultivo para lograr la renuncia de</w:t>
      </w:r>
      <w:r w:rsidR="00A7190E" w:rsidRPr="00420489">
        <w:rPr>
          <w:rFonts w:asciiTheme="majorHAnsi" w:eastAsia="Calibri" w:hAnsiTheme="majorHAnsi"/>
          <w:sz w:val="20"/>
          <w:szCs w:val="20"/>
          <w:lang w:val="es-VE"/>
        </w:rPr>
        <w:t xml:space="preserve">l Presidente de la República. </w:t>
      </w:r>
      <w:r w:rsidR="005260C9" w:rsidRPr="00420489">
        <w:rPr>
          <w:rFonts w:asciiTheme="majorHAnsi" w:eastAsia="Calibri" w:hAnsiTheme="majorHAnsi"/>
          <w:sz w:val="20"/>
          <w:szCs w:val="20"/>
          <w:lang w:val="es-VE"/>
        </w:rPr>
        <w:t>E</w:t>
      </w:r>
      <w:r w:rsidR="008548E4" w:rsidRPr="00420489">
        <w:rPr>
          <w:rFonts w:asciiTheme="majorHAnsi" w:eastAsia="Calibri" w:hAnsiTheme="majorHAnsi"/>
          <w:sz w:val="20"/>
          <w:szCs w:val="20"/>
          <w:lang w:val="es-VE"/>
        </w:rPr>
        <w:t>l 3 de diciembre de 2002 se convocó al referendo consultivo de mandato presidencial, sin embargo</w:t>
      </w:r>
      <w:r w:rsidR="000971C4" w:rsidRPr="00420489">
        <w:rPr>
          <w:rFonts w:asciiTheme="majorHAnsi" w:eastAsia="Calibri" w:hAnsiTheme="majorHAnsi"/>
          <w:sz w:val="20"/>
          <w:szCs w:val="20"/>
          <w:lang w:val="es-VE"/>
        </w:rPr>
        <w:t xml:space="preserve"> con posterioridad</w:t>
      </w:r>
      <w:r w:rsidR="008548E4" w:rsidRPr="00420489">
        <w:rPr>
          <w:rFonts w:asciiTheme="majorHAnsi" w:eastAsia="Calibri" w:hAnsiTheme="majorHAnsi"/>
          <w:sz w:val="20"/>
          <w:szCs w:val="20"/>
          <w:lang w:val="es-VE"/>
        </w:rPr>
        <w:t xml:space="preserve"> la Sala Electoral Accidental del Tribunal Supremo de Justicia suspendió dicha convocatoria </w:t>
      </w:r>
      <w:r w:rsidR="00EC6C07" w:rsidRPr="00420489">
        <w:rPr>
          <w:rFonts w:asciiTheme="majorHAnsi" w:eastAsia="Calibri" w:hAnsiTheme="majorHAnsi"/>
          <w:sz w:val="20"/>
          <w:szCs w:val="20"/>
          <w:lang w:val="es-VE"/>
        </w:rPr>
        <w:t>hasta que</w:t>
      </w:r>
      <w:r w:rsidR="008548E4" w:rsidRPr="00420489">
        <w:rPr>
          <w:rFonts w:asciiTheme="majorHAnsi" w:eastAsia="Calibri" w:hAnsiTheme="majorHAnsi"/>
          <w:sz w:val="20"/>
          <w:szCs w:val="20"/>
          <w:lang w:val="es-VE"/>
        </w:rPr>
        <w:t xml:space="preserve"> la Asamblea Nacional no designara a la</w:t>
      </w:r>
      <w:r w:rsidR="00AD7FD7" w:rsidRPr="00420489">
        <w:rPr>
          <w:rFonts w:asciiTheme="majorHAnsi" w:eastAsia="Calibri" w:hAnsiTheme="majorHAnsi"/>
          <w:sz w:val="20"/>
          <w:szCs w:val="20"/>
          <w:lang w:val="es-VE"/>
        </w:rPr>
        <w:t xml:space="preserve">s nuevas autoridades del CNE. </w:t>
      </w:r>
      <w:r w:rsidR="0047063A" w:rsidRPr="00420489">
        <w:rPr>
          <w:rFonts w:asciiTheme="majorHAnsi" w:eastAsia="Calibri" w:hAnsiTheme="majorHAnsi"/>
          <w:sz w:val="20"/>
          <w:szCs w:val="20"/>
          <w:lang w:val="es-VE"/>
        </w:rPr>
        <w:t>En febrero de 2003 se inició una nueva jornada de rec</w:t>
      </w:r>
      <w:r w:rsidR="00CB5B57" w:rsidRPr="00420489">
        <w:rPr>
          <w:rFonts w:asciiTheme="majorHAnsi" w:eastAsia="Calibri" w:hAnsiTheme="majorHAnsi"/>
          <w:sz w:val="20"/>
          <w:szCs w:val="20"/>
          <w:lang w:val="es-VE"/>
        </w:rPr>
        <w:t xml:space="preserve">olección de firmas denominada “El </w:t>
      </w:r>
      <w:proofErr w:type="spellStart"/>
      <w:r w:rsidR="00CB5B57" w:rsidRPr="00420489">
        <w:rPr>
          <w:rFonts w:asciiTheme="majorHAnsi" w:eastAsia="Calibri" w:hAnsiTheme="majorHAnsi"/>
          <w:sz w:val="20"/>
          <w:szCs w:val="20"/>
          <w:lang w:val="es-VE"/>
        </w:rPr>
        <w:t>F</w:t>
      </w:r>
      <w:r w:rsidR="0047063A" w:rsidRPr="00420489">
        <w:rPr>
          <w:rFonts w:asciiTheme="majorHAnsi" w:eastAsia="Calibri" w:hAnsiTheme="majorHAnsi"/>
          <w:sz w:val="20"/>
          <w:szCs w:val="20"/>
          <w:lang w:val="es-VE"/>
        </w:rPr>
        <w:t>irmazo</w:t>
      </w:r>
      <w:proofErr w:type="spellEnd"/>
      <w:r w:rsidR="0047063A" w:rsidRPr="00420489">
        <w:rPr>
          <w:rFonts w:asciiTheme="majorHAnsi" w:eastAsia="Calibri" w:hAnsiTheme="majorHAnsi"/>
          <w:sz w:val="20"/>
          <w:szCs w:val="20"/>
          <w:lang w:val="es-VE"/>
        </w:rPr>
        <w:t xml:space="preserve">” presentándose el 20 de agosto de 2003 más de 3 millones de firmas ante el CNE. </w:t>
      </w:r>
      <w:r w:rsidR="00D810A9" w:rsidRPr="00420489">
        <w:rPr>
          <w:rFonts w:asciiTheme="majorHAnsi" w:eastAsia="Calibri" w:hAnsiTheme="majorHAnsi"/>
          <w:sz w:val="20"/>
          <w:szCs w:val="20"/>
          <w:lang w:val="es-VE"/>
        </w:rPr>
        <w:t xml:space="preserve">No obstante, en esta ocasión el CNE declaró inadmisible la solicitud por tener carácter extemporáneo y estableció más de treinta condiciones técnicas para llevar a cabo el referendo. </w:t>
      </w:r>
    </w:p>
    <w:p w14:paraId="1B0D0EE5" w14:textId="77777777" w:rsidR="00D810A9" w:rsidRPr="00420489" w:rsidRDefault="00D810A9" w:rsidP="00D810A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5F011A71" w14:textId="77777777" w:rsidR="00424452" w:rsidRPr="00420489" w:rsidRDefault="00580031" w:rsidP="006C446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Finalmente, el CNE convocó y organizó una nueva jornada de recolección de firmas, que se realizó entre el 28 de noviembre y el 1 de diciembre de 2003, la cual fue conocida como “El </w:t>
      </w:r>
      <w:proofErr w:type="spellStart"/>
      <w:r w:rsidRPr="00420489">
        <w:rPr>
          <w:rFonts w:asciiTheme="majorHAnsi" w:eastAsia="Calibri" w:hAnsiTheme="majorHAnsi"/>
          <w:sz w:val="20"/>
          <w:szCs w:val="20"/>
          <w:lang w:val="es-VE"/>
        </w:rPr>
        <w:t>Reafirmazo</w:t>
      </w:r>
      <w:proofErr w:type="spellEnd"/>
      <w:r w:rsidRPr="00420489">
        <w:rPr>
          <w:rFonts w:asciiTheme="majorHAnsi" w:eastAsia="Calibri" w:hAnsiTheme="majorHAnsi"/>
          <w:sz w:val="20"/>
          <w:szCs w:val="20"/>
          <w:lang w:val="es-VE"/>
        </w:rPr>
        <w:t>”.</w:t>
      </w:r>
      <w:r w:rsidR="006C4468" w:rsidRPr="00420489">
        <w:rPr>
          <w:rFonts w:asciiTheme="majorHAnsi" w:eastAsia="Calibri" w:hAnsiTheme="majorHAnsi"/>
          <w:sz w:val="20"/>
          <w:szCs w:val="20"/>
          <w:lang w:val="es-VE"/>
        </w:rPr>
        <w:t xml:space="preserve">   Según indican los peticionarios, en las semanas previas a esta recolección de firmas tanto el </w:t>
      </w:r>
      <w:r w:rsidR="00424452" w:rsidRPr="00420489">
        <w:rPr>
          <w:rFonts w:asciiTheme="majorHAnsi" w:eastAsia="Calibri" w:hAnsiTheme="majorHAnsi"/>
          <w:sz w:val="20"/>
          <w:szCs w:val="20"/>
          <w:lang w:val="es-VE"/>
        </w:rPr>
        <w:t>Presidente de la República como otros altos funcionarios públicos realizaron declaraciones amenazantes tendientes a intimidar a los ciudadanos para que no participa</w:t>
      </w:r>
      <w:r w:rsidR="001F6B91" w:rsidRPr="00420489">
        <w:rPr>
          <w:rFonts w:asciiTheme="majorHAnsi" w:eastAsia="Calibri" w:hAnsiTheme="majorHAnsi"/>
          <w:sz w:val="20"/>
          <w:szCs w:val="20"/>
          <w:lang w:val="es-VE"/>
        </w:rPr>
        <w:t>ran</w:t>
      </w:r>
      <w:r w:rsidR="00424452" w:rsidRPr="00420489">
        <w:rPr>
          <w:rFonts w:asciiTheme="majorHAnsi" w:eastAsia="Calibri" w:hAnsiTheme="majorHAnsi"/>
          <w:sz w:val="20"/>
          <w:szCs w:val="20"/>
          <w:lang w:val="es-VE"/>
        </w:rPr>
        <w:t xml:space="preserve"> del proceso de recolección de firmas.</w:t>
      </w:r>
    </w:p>
    <w:p w14:paraId="4860442E" w14:textId="77777777" w:rsidR="00920930" w:rsidRPr="00420489" w:rsidRDefault="00920930" w:rsidP="00920930">
      <w:pPr>
        <w:pStyle w:val="ListParagraph"/>
        <w:rPr>
          <w:rFonts w:asciiTheme="majorHAnsi" w:eastAsia="Calibri" w:hAnsiTheme="majorHAnsi"/>
          <w:sz w:val="20"/>
          <w:szCs w:val="20"/>
          <w:lang w:val="es-VE"/>
        </w:rPr>
      </w:pPr>
    </w:p>
    <w:p w14:paraId="30247E77" w14:textId="77777777" w:rsidR="00424452" w:rsidRPr="00420489" w:rsidRDefault="002C006D" w:rsidP="00030EE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E</w:t>
      </w:r>
      <w:r w:rsidR="00424452" w:rsidRPr="00420489">
        <w:rPr>
          <w:rFonts w:asciiTheme="majorHAnsi" w:eastAsia="Calibri" w:hAnsiTheme="majorHAnsi"/>
          <w:sz w:val="20"/>
          <w:szCs w:val="20"/>
          <w:lang w:val="es-VE"/>
        </w:rPr>
        <w:t xml:space="preserve">l 2 de diciembre de 2003 el Ministro de Infraestructura informó al país que las firmas recabadas </w:t>
      </w:r>
      <w:r w:rsidR="00A7190E" w:rsidRPr="00420489">
        <w:rPr>
          <w:rFonts w:asciiTheme="majorHAnsi" w:eastAsia="Calibri" w:hAnsiTheme="majorHAnsi"/>
          <w:sz w:val="20"/>
          <w:szCs w:val="20"/>
          <w:lang w:val="es-VE"/>
        </w:rPr>
        <w:t xml:space="preserve">durante “el </w:t>
      </w:r>
      <w:proofErr w:type="spellStart"/>
      <w:r w:rsidR="00A7190E" w:rsidRPr="00420489">
        <w:rPr>
          <w:rFonts w:asciiTheme="majorHAnsi" w:eastAsia="Calibri" w:hAnsiTheme="majorHAnsi"/>
          <w:sz w:val="20"/>
          <w:szCs w:val="20"/>
          <w:lang w:val="es-VE"/>
        </w:rPr>
        <w:t>reafirmazo</w:t>
      </w:r>
      <w:proofErr w:type="spellEnd"/>
      <w:r w:rsidR="00A7190E" w:rsidRPr="00420489">
        <w:rPr>
          <w:rFonts w:asciiTheme="majorHAnsi" w:eastAsia="Calibri" w:hAnsiTheme="majorHAnsi"/>
          <w:sz w:val="20"/>
          <w:szCs w:val="20"/>
          <w:lang w:val="es-VE"/>
        </w:rPr>
        <w:t xml:space="preserve">” </w:t>
      </w:r>
      <w:r w:rsidR="00424452" w:rsidRPr="00420489">
        <w:rPr>
          <w:rFonts w:asciiTheme="majorHAnsi" w:eastAsia="Calibri" w:hAnsiTheme="majorHAnsi"/>
          <w:sz w:val="20"/>
          <w:szCs w:val="20"/>
          <w:lang w:val="es-VE"/>
        </w:rPr>
        <w:t>serían expuestas en los centros de recolección para qu</w:t>
      </w:r>
      <w:r w:rsidR="00030EEC" w:rsidRPr="00420489">
        <w:rPr>
          <w:rFonts w:asciiTheme="majorHAnsi" w:eastAsia="Calibri" w:hAnsiTheme="majorHAnsi"/>
          <w:sz w:val="20"/>
          <w:szCs w:val="20"/>
          <w:lang w:val="es-VE"/>
        </w:rPr>
        <w:t xml:space="preserve">e todos los venezolanos pudieran verificarlas. Agregaron que las firmas recolectadas fueron presentadas ante el CNE el 19 de diciembre de 2003 para su validación. </w:t>
      </w:r>
    </w:p>
    <w:p w14:paraId="03146856" w14:textId="77777777" w:rsidR="00030EEC" w:rsidRPr="00420489" w:rsidRDefault="00030EEC" w:rsidP="00030E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40F35B32" w14:textId="180ECFF7" w:rsidR="00424452" w:rsidRPr="00420489" w:rsidRDefault="00424452" w:rsidP="009673B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Los peticionarios s</w:t>
      </w:r>
      <w:r w:rsidR="00520869" w:rsidRPr="00420489">
        <w:rPr>
          <w:rFonts w:asciiTheme="majorHAnsi" w:eastAsia="Calibri" w:hAnsiTheme="majorHAnsi"/>
          <w:sz w:val="20"/>
          <w:szCs w:val="20"/>
          <w:lang w:val="es-VE"/>
        </w:rPr>
        <w:t>ubrayaron</w:t>
      </w:r>
      <w:r w:rsidRPr="00420489">
        <w:rPr>
          <w:rFonts w:asciiTheme="majorHAnsi" w:eastAsia="Calibri" w:hAnsiTheme="majorHAnsi"/>
          <w:sz w:val="20"/>
          <w:szCs w:val="20"/>
          <w:lang w:val="es-VE"/>
        </w:rPr>
        <w:t xml:space="preserve"> que el 30 de enero de 2004, antes de que el CNE validara las firmas consignadas, el Presidente de la República solicitó al CNE que entregase al diputado Luis </w:t>
      </w:r>
      <w:proofErr w:type="spellStart"/>
      <w:r w:rsidRPr="00420489">
        <w:rPr>
          <w:rFonts w:asciiTheme="majorHAnsi" w:eastAsia="Calibri" w:hAnsiTheme="majorHAnsi"/>
          <w:sz w:val="20"/>
          <w:szCs w:val="20"/>
          <w:lang w:val="es-VE"/>
        </w:rPr>
        <w:t>Tascón</w:t>
      </w:r>
      <w:proofErr w:type="spellEnd"/>
      <w:r w:rsidRPr="00420489">
        <w:rPr>
          <w:rFonts w:asciiTheme="majorHAnsi" w:eastAsia="Calibri" w:hAnsiTheme="majorHAnsi"/>
          <w:sz w:val="20"/>
          <w:szCs w:val="20"/>
          <w:lang w:val="es-VE"/>
        </w:rPr>
        <w:t xml:space="preserve"> copia de las planillas originales de todos los firmantes</w:t>
      </w:r>
      <w:r w:rsidR="00030EEC" w:rsidRPr="00420489">
        <w:rPr>
          <w:rFonts w:asciiTheme="majorHAnsi" w:eastAsia="Calibri" w:hAnsiTheme="majorHAnsi"/>
          <w:sz w:val="20"/>
          <w:szCs w:val="20"/>
          <w:lang w:val="es-VE"/>
        </w:rPr>
        <w:t>, quien al obtenerlas las publicó en su sitio web</w:t>
      </w:r>
      <w:r w:rsidR="00A4737C" w:rsidRPr="00420489">
        <w:rPr>
          <w:rFonts w:asciiTheme="majorHAnsi" w:eastAsia="Calibri" w:hAnsiTheme="majorHAnsi"/>
          <w:sz w:val="20"/>
          <w:szCs w:val="20"/>
          <w:lang w:val="es-VE"/>
        </w:rPr>
        <w:t xml:space="preserve"> junto con </w:t>
      </w:r>
      <w:r w:rsidR="00A4737C" w:rsidRPr="00420489">
        <w:rPr>
          <w:rFonts w:asciiTheme="majorHAnsi" w:eastAsia="Calibri" w:hAnsiTheme="majorHAnsi"/>
          <w:sz w:val="20"/>
          <w:szCs w:val="20"/>
          <w:lang w:val="es-VE"/>
        </w:rPr>
        <w:lastRenderedPageBreak/>
        <w:t xml:space="preserve">alegaciones de fraude de los firmantes.  Indicaron que </w:t>
      </w:r>
      <w:r w:rsidR="000A76B6" w:rsidRPr="00420489">
        <w:rPr>
          <w:rFonts w:asciiTheme="majorHAnsi" w:eastAsia="Calibri" w:hAnsiTheme="majorHAnsi"/>
          <w:sz w:val="20"/>
          <w:szCs w:val="20"/>
          <w:lang w:val="es-VE"/>
        </w:rPr>
        <w:t>el 15 de febrero de 2004, el Presidente de la República en su programa de televisión dom</w:t>
      </w:r>
      <w:r w:rsidR="009867A2">
        <w:rPr>
          <w:rFonts w:asciiTheme="majorHAnsi" w:eastAsia="Calibri" w:hAnsiTheme="majorHAnsi"/>
          <w:sz w:val="20"/>
          <w:szCs w:val="20"/>
          <w:lang w:val="es-VE"/>
        </w:rPr>
        <w:t>inical recomendó consultar la “l</w:t>
      </w:r>
      <w:r w:rsidR="000A76B6" w:rsidRPr="00420489">
        <w:rPr>
          <w:rFonts w:asciiTheme="majorHAnsi" w:eastAsia="Calibri" w:hAnsiTheme="majorHAnsi"/>
          <w:sz w:val="20"/>
          <w:szCs w:val="20"/>
          <w:lang w:val="es-VE"/>
        </w:rPr>
        <w:t xml:space="preserve">ista </w:t>
      </w:r>
      <w:proofErr w:type="spellStart"/>
      <w:r w:rsidR="000A76B6" w:rsidRPr="00420489">
        <w:rPr>
          <w:rFonts w:asciiTheme="majorHAnsi" w:eastAsia="Calibri" w:hAnsiTheme="majorHAnsi"/>
          <w:sz w:val="20"/>
          <w:szCs w:val="20"/>
          <w:lang w:val="es-VE"/>
        </w:rPr>
        <w:t>Tascón</w:t>
      </w:r>
      <w:proofErr w:type="spellEnd"/>
      <w:proofErr w:type="gramStart"/>
      <w:r w:rsidR="000A76B6" w:rsidRPr="00420489">
        <w:rPr>
          <w:rFonts w:asciiTheme="majorHAnsi" w:eastAsia="Calibri" w:hAnsiTheme="majorHAnsi"/>
          <w:sz w:val="20"/>
          <w:szCs w:val="20"/>
          <w:lang w:val="es-VE"/>
        </w:rPr>
        <w:t>“</w:t>
      </w:r>
      <w:r w:rsidR="00A4737C" w:rsidRPr="00420489">
        <w:rPr>
          <w:rFonts w:asciiTheme="majorHAnsi" w:eastAsia="Calibri" w:hAnsiTheme="majorHAnsi"/>
          <w:sz w:val="20"/>
          <w:szCs w:val="20"/>
          <w:lang w:val="es-VE"/>
        </w:rPr>
        <w:t xml:space="preserve"> identificando</w:t>
      </w:r>
      <w:proofErr w:type="gramEnd"/>
      <w:r w:rsidR="00A4737C" w:rsidRPr="00420489">
        <w:rPr>
          <w:rFonts w:asciiTheme="majorHAnsi" w:eastAsia="Calibri" w:hAnsiTheme="majorHAnsi"/>
          <w:sz w:val="20"/>
          <w:szCs w:val="20"/>
          <w:lang w:val="es-VE"/>
        </w:rPr>
        <w:t xml:space="preserve"> la página web donde se podía encontrar a quienes habían firmado en su contra. Los peticionarios </w:t>
      </w:r>
      <w:r w:rsidR="00A7190E" w:rsidRPr="00420489">
        <w:rPr>
          <w:rFonts w:asciiTheme="majorHAnsi" w:eastAsia="Calibri" w:hAnsiTheme="majorHAnsi"/>
          <w:sz w:val="20"/>
          <w:szCs w:val="20"/>
          <w:lang w:val="es-VE"/>
        </w:rPr>
        <w:t>refirieron</w:t>
      </w:r>
      <w:r w:rsidR="00A4737C" w:rsidRPr="00420489">
        <w:rPr>
          <w:rFonts w:asciiTheme="majorHAnsi" w:eastAsia="Calibri" w:hAnsiTheme="majorHAnsi"/>
          <w:sz w:val="20"/>
          <w:szCs w:val="20"/>
          <w:lang w:val="es-VE"/>
        </w:rPr>
        <w:t xml:space="preserve"> que dicho sitio web contaba con un buscador de firmas, que permitía obtener el nombre de los firmantes a través del ingreso de su número de cédula de identidad. La página web incluía una acusación de que los firmantes formaban parte de un fraude y eran traidores a la patria.   A criterio de los peticionarios, </w:t>
      </w:r>
      <w:r w:rsidR="009673BF" w:rsidRPr="00420489">
        <w:rPr>
          <w:rFonts w:asciiTheme="majorHAnsi" w:eastAsia="Calibri" w:hAnsiTheme="majorHAnsi"/>
          <w:sz w:val="20"/>
          <w:szCs w:val="20"/>
          <w:lang w:val="es-VE"/>
        </w:rPr>
        <w:t xml:space="preserve"> a partir del funcionamiento de dicha página web se comenzaría a presionar a los funcionarios y empleados públicos para que desconocieran sus firmas en el referendo o las retiraran en el proceso de reparos.  Según informaron los peticionarios, en el marco de este proceso habrían sido objetadas</w:t>
      </w:r>
      <w:r w:rsidR="00A7190E" w:rsidRPr="00420489">
        <w:rPr>
          <w:rFonts w:asciiTheme="majorHAnsi" w:eastAsia="Calibri" w:hAnsiTheme="majorHAnsi"/>
          <w:sz w:val="20"/>
          <w:szCs w:val="20"/>
          <w:lang w:val="es-VE"/>
        </w:rPr>
        <w:t xml:space="preserve"> más</w:t>
      </w:r>
      <w:r w:rsidR="009673BF" w:rsidRPr="00420489">
        <w:rPr>
          <w:rFonts w:asciiTheme="majorHAnsi" w:eastAsia="Calibri" w:hAnsiTheme="majorHAnsi"/>
          <w:sz w:val="20"/>
          <w:szCs w:val="20"/>
          <w:lang w:val="es-VE"/>
        </w:rPr>
        <w:t xml:space="preserve"> de un millón de firmas. </w:t>
      </w:r>
    </w:p>
    <w:p w14:paraId="52FE7098" w14:textId="77777777" w:rsidR="009673BF" w:rsidRPr="00420489" w:rsidRDefault="009673BF" w:rsidP="009673B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0632697D" w14:textId="0A433FBD" w:rsidR="00424452" w:rsidRPr="00420489" w:rsidRDefault="00702755" w:rsidP="004244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Según los peticionarios, f</w:t>
      </w:r>
      <w:r w:rsidR="00424452" w:rsidRPr="00420489">
        <w:rPr>
          <w:rFonts w:asciiTheme="majorHAnsi" w:eastAsia="Calibri" w:hAnsiTheme="majorHAnsi"/>
          <w:sz w:val="20"/>
          <w:szCs w:val="20"/>
          <w:lang w:val="es-VE"/>
        </w:rPr>
        <w:t xml:space="preserve">ue en este contexto que Rocío San Miguel Sosa, </w:t>
      </w:r>
      <w:proofErr w:type="spellStart"/>
      <w:r w:rsidR="00424452" w:rsidRPr="00420489">
        <w:rPr>
          <w:rFonts w:asciiTheme="majorHAnsi" w:eastAsia="Calibri" w:hAnsiTheme="majorHAnsi"/>
          <w:sz w:val="20"/>
          <w:szCs w:val="20"/>
          <w:lang w:val="es-VE"/>
        </w:rPr>
        <w:t>Magally</w:t>
      </w:r>
      <w:proofErr w:type="spellEnd"/>
      <w:r w:rsidR="00424452" w:rsidRPr="00420489">
        <w:rPr>
          <w:rFonts w:asciiTheme="majorHAnsi" w:eastAsia="Calibri" w:hAnsiTheme="majorHAnsi"/>
          <w:sz w:val="20"/>
          <w:szCs w:val="20"/>
          <w:lang w:val="es-VE"/>
        </w:rPr>
        <w:t xml:space="preserve"> Chang Girón y Thais Coromoto Peña fueron informadas de la decisión del Presidente del Consejo Nacional de Fronteras de dar por terminado su contrato de trabajo con dicha institución. Según los peticionarios, de las 22 personas que para ese momento trabajaban en el Consejo Nacional de Fronteras, las únicas que figuraban en la lista hecha pública por el diputado </w:t>
      </w:r>
      <w:proofErr w:type="spellStart"/>
      <w:r w:rsidR="00424452" w:rsidRPr="00420489">
        <w:rPr>
          <w:rFonts w:asciiTheme="majorHAnsi" w:eastAsia="Calibri" w:hAnsiTheme="majorHAnsi"/>
          <w:sz w:val="20"/>
          <w:szCs w:val="20"/>
          <w:lang w:val="es-VE"/>
        </w:rPr>
        <w:t>Tascón</w:t>
      </w:r>
      <w:proofErr w:type="spellEnd"/>
      <w:r w:rsidR="00424452" w:rsidRPr="00420489">
        <w:rPr>
          <w:rFonts w:asciiTheme="majorHAnsi" w:eastAsia="Calibri" w:hAnsiTheme="majorHAnsi"/>
          <w:sz w:val="20"/>
          <w:szCs w:val="20"/>
          <w:lang w:val="es-VE"/>
        </w:rPr>
        <w:t xml:space="preserve"> como firmantes de la solicitud de refer</w:t>
      </w:r>
      <w:r w:rsidR="00703A3A" w:rsidRPr="00420489">
        <w:rPr>
          <w:rFonts w:asciiTheme="majorHAnsi" w:eastAsia="Calibri" w:hAnsiTheme="majorHAnsi"/>
          <w:sz w:val="20"/>
          <w:szCs w:val="20"/>
          <w:lang w:val="es-VE"/>
        </w:rPr>
        <w:t xml:space="preserve">endo </w:t>
      </w:r>
      <w:r w:rsidR="00424452" w:rsidRPr="00420489">
        <w:rPr>
          <w:rFonts w:asciiTheme="majorHAnsi" w:eastAsia="Calibri" w:hAnsiTheme="majorHAnsi"/>
          <w:sz w:val="20"/>
          <w:szCs w:val="20"/>
          <w:lang w:val="es-VE"/>
        </w:rPr>
        <w:t>revocatorio del mandato del Presidente de la República eran Rocío San Miguel</w:t>
      </w:r>
      <w:r w:rsidR="00703A3A" w:rsidRPr="00420489">
        <w:rPr>
          <w:rFonts w:asciiTheme="majorHAnsi" w:eastAsia="Calibri" w:hAnsiTheme="majorHAnsi"/>
          <w:sz w:val="20"/>
          <w:szCs w:val="20"/>
          <w:lang w:val="es-VE"/>
        </w:rPr>
        <w:t xml:space="preserve"> Sosa</w:t>
      </w:r>
      <w:r w:rsidR="00424452" w:rsidRPr="00420489">
        <w:rPr>
          <w:rFonts w:asciiTheme="majorHAnsi" w:eastAsia="Calibri" w:hAnsiTheme="majorHAnsi"/>
          <w:sz w:val="20"/>
          <w:szCs w:val="20"/>
          <w:lang w:val="es-VE"/>
        </w:rPr>
        <w:t xml:space="preserve">, </w:t>
      </w:r>
      <w:proofErr w:type="spellStart"/>
      <w:r w:rsidR="00424452" w:rsidRPr="00420489">
        <w:rPr>
          <w:rFonts w:asciiTheme="majorHAnsi" w:eastAsia="Calibri" w:hAnsiTheme="majorHAnsi"/>
          <w:sz w:val="20"/>
          <w:szCs w:val="20"/>
          <w:lang w:val="es-VE"/>
        </w:rPr>
        <w:t>Magally</w:t>
      </w:r>
      <w:proofErr w:type="spellEnd"/>
      <w:r w:rsidR="00424452" w:rsidRPr="00420489">
        <w:rPr>
          <w:rFonts w:asciiTheme="majorHAnsi" w:eastAsia="Calibri" w:hAnsiTheme="majorHAnsi"/>
          <w:sz w:val="20"/>
          <w:szCs w:val="20"/>
          <w:lang w:val="es-VE"/>
        </w:rPr>
        <w:t xml:space="preserve"> Chang</w:t>
      </w:r>
      <w:r w:rsidR="00703A3A" w:rsidRPr="00420489">
        <w:rPr>
          <w:rFonts w:asciiTheme="majorHAnsi" w:eastAsia="Calibri" w:hAnsiTheme="majorHAnsi"/>
          <w:sz w:val="20"/>
          <w:szCs w:val="20"/>
          <w:lang w:val="es-VE"/>
        </w:rPr>
        <w:t xml:space="preserve"> Girón</w:t>
      </w:r>
      <w:r w:rsidR="00424452" w:rsidRPr="00420489">
        <w:rPr>
          <w:rFonts w:asciiTheme="majorHAnsi" w:eastAsia="Calibri" w:hAnsiTheme="majorHAnsi"/>
          <w:sz w:val="20"/>
          <w:szCs w:val="20"/>
          <w:lang w:val="es-VE"/>
        </w:rPr>
        <w:t>, Thais</w:t>
      </w:r>
      <w:r w:rsidR="00703A3A" w:rsidRPr="00420489">
        <w:rPr>
          <w:rFonts w:asciiTheme="majorHAnsi" w:eastAsia="Calibri" w:hAnsiTheme="majorHAnsi"/>
          <w:sz w:val="20"/>
          <w:szCs w:val="20"/>
          <w:lang w:val="es-VE"/>
        </w:rPr>
        <w:t xml:space="preserve"> Coromoto Peña</w:t>
      </w:r>
      <w:r w:rsidR="00424452" w:rsidRPr="00420489">
        <w:rPr>
          <w:rFonts w:asciiTheme="majorHAnsi" w:eastAsia="Calibri" w:hAnsiTheme="majorHAnsi"/>
          <w:sz w:val="20"/>
          <w:szCs w:val="20"/>
          <w:lang w:val="es-VE"/>
        </w:rPr>
        <w:t xml:space="preserve"> y Jorge Guerra Navarro</w:t>
      </w:r>
      <w:r w:rsidRPr="00420489">
        <w:rPr>
          <w:rFonts w:asciiTheme="majorHAnsi" w:eastAsia="Calibri" w:hAnsiTheme="majorHAnsi"/>
          <w:sz w:val="20"/>
          <w:szCs w:val="20"/>
          <w:lang w:val="es-VE"/>
        </w:rPr>
        <w:t>;</w:t>
      </w:r>
      <w:r w:rsidR="00424452" w:rsidRPr="00420489">
        <w:rPr>
          <w:rFonts w:asciiTheme="majorHAnsi" w:eastAsia="Calibri" w:hAnsiTheme="majorHAnsi"/>
          <w:sz w:val="20"/>
          <w:szCs w:val="20"/>
          <w:lang w:val="es-VE"/>
        </w:rPr>
        <w:t xml:space="preserve"> y a esas cuatro personas les fue notificada la terminación anticipada de sus empleos. </w:t>
      </w:r>
    </w:p>
    <w:p w14:paraId="570593F6"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0C0A1D03" w14:textId="3BA343F3" w:rsidR="00424452" w:rsidRPr="00420489" w:rsidRDefault="00424452" w:rsidP="004244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Los peticionarios señalaron que la notificación por escrito del despido no indica la razón del mismo. Afirmaron</w:t>
      </w:r>
      <w:r w:rsidR="004363AB" w:rsidRPr="00420489">
        <w:rPr>
          <w:rFonts w:asciiTheme="majorHAnsi" w:eastAsia="Calibri" w:hAnsiTheme="majorHAnsi"/>
          <w:sz w:val="20"/>
          <w:szCs w:val="20"/>
          <w:lang w:val="es-VE"/>
        </w:rPr>
        <w:t xml:space="preserve"> que,</w:t>
      </w:r>
      <w:r w:rsidRPr="00420489">
        <w:rPr>
          <w:rFonts w:asciiTheme="majorHAnsi" w:eastAsia="Calibri" w:hAnsiTheme="majorHAnsi"/>
          <w:sz w:val="20"/>
          <w:szCs w:val="20"/>
          <w:lang w:val="es-VE"/>
        </w:rPr>
        <w:t xml:space="preserve"> </w:t>
      </w:r>
      <w:r w:rsidR="004363AB" w:rsidRPr="00420489">
        <w:rPr>
          <w:rFonts w:asciiTheme="majorHAnsi" w:eastAsia="Calibri" w:hAnsiTheme="majorHAnsi"/>
          <w:sz w:val="20"/>
          <w:szCs w:val="20"/>
          <w:lang w:val="es-VE"/>
        </w:rPr>
        <w:t xml:space="preserve">sin embargo, </w:t>
      </w:r>
      <w:r w:rsidRPr="00420489">
        <w:rPr>
          <w:rFonts w:asciiTheme="majorHAnsi" w:eastAsia="Calibri" w:hAnsiTheme="majorHAnsi"/>
          <w:sz w:val="20"/>
          <w:szCs w:val="20"/>
          <w:lang w:val="es-VE"/>
        </w:rPr>
        <w:t>al momento de entregarles la notificación</w:t>
      </w:r>
      <w:r w:rsidR="00B24991" w:rsidRPr="00420489">
        <w:rPr>
          <w:rFonts w:asciiTheme="majorHAnsi" w:eastAsia="Calibri" w:hAnsiTheme="majorHAnsi"/>
          <w:sz w:val="20"/>
          <w:szCs w:val="20"/>
          <w:lang w:val="es-VE"/>
        </w:rPr>
        <w:t>,</w:t>
      </w:r>
      <w:r w:rsidRPr="00420489">
        <w:rPr>
          <w:rFonts w:asciiTheme="majorHAnsi" w:eastAsia="Calibri" w:hAnsiTheme="majorHAnsi"/>
          <w:sz w:val="20"/>
          <w:szCs w:val="20"/>
          <w:lang w:val="es-VE"/>
        </w:rPr>
        <w:t xml:space="preserve"> el Secretario Ejecutivo de la institución habría informado verbalmente, en forma separada, a las presuntas víctimas que sus despidos se debían a que habían firmado la solicitud de revocatoria del mandato del Presidente de la República. Los peticionarios sostuvieron que a la señora Thais Coromoto Peña se le ofreció dejar </w:t>
      </w:r>
      <w:r w:rsidR="00EE2B93" w:rsidRPr="00420489">
        <w:rPr>
          <w:rFonts w:asciiTheme="majorHAnsi" w:eastAsia="Calibri" w:hAnsiTheme="majorHAnsi"/>
          <w:sz w:val="20"/>
          <w:szCs w:val="20"/>
          <w:lang w:val="es-VE"/>
        </w:rPr>
        <w:t xml:space="preserve">sin efecto esta medida a cambio </w:t>
      </w:r>
      <w:r w:rsidRPr="00420489">
        <w:rPr>
          <w:rFonts w:asciiTheme="majorHAnsi" w:eastAsia="Calibri" w:hAnsiTheme="majorHAnsi"/>
          <w:sz w:val="20"/>
          <w:szCs w:val="20"/>
          <w:lang w:val="es-VE"/>
        </w:rPr>
        <w:t xml:space="preserve">de desconocer su firma en la jornada de reparos convocada por el Consejo Nacional Electoral. Indicaron además que el despido del señor Guerra Navarro no se materializó porque asumió el compromiso de no ratificar su firma ante las autoridades electorales. </w:t>
      </w:r>
    </w:p>
    <w:p w14:paraId="7B07AAFE"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7037C73C" w14:textId="77777777" w:rsidR="00424452" w:rsidRPr="00420489" w:rsidRDefault="00424452" w:rsidP="004244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Los peticionarios alegaron que el 20 de abril de 2004 el presidente del CNE anunció que más de un millón de firmas irían al proceso de reparo, indicando que en la “jornada de reparos”, además de la convalidación de la firmas, podrían retirarse aquellas firmas de los solicitantes que hubiesen cambiado de opinión. </w:t>
      </w:r>
      <w:r w:rsidR="00893EF9" w:rsidRPr="00420489">
        <w:rPr>
          <w:rFonts w:asciiTheme="majorHAnsi" w:eastAsia="Calibri" w:hAnsiTheme="majorHAnsi"/>
          <w:sz w:val="20"/>
          <w:szCs w:val="20"/>
          <w:lang w:val="es-VE"/>
        </w:rPr>
        <w:t>Indicaron que l</w:t>
      </w:r>
      <w:r w:rsidRPr="00420489">
        <w:rPr>
          <w:rFonts w:asciiTheme="majorHAnsi" w:eastAsia="Calibri" w:hAnsiTheme="majorHAnsi"/>
          <w:sz w:val="20"/>
          <w:szCs w:val="20"/>
          <w:lang w:val="es-VE"/>
        </w:rPr>
        <w:t>a referida jornada fue convocada por el CNE y llevada a cabo el 27 de junio de 2004. Los peticionarios señalaron que Rocío San Miguel, cuya firma había sido objetada, convalidó su firma en esa oportunidad. Indicaron además que el refer</w:t>
      </w:r>
      <w:r w:rsidR="00A94080" w:rsidRPr="00420489">
        <w:rPr>
          <w:rFonts w:asciiTheme="majorHAnsi" w:eastAsia="Calibri" w:hAnsiTheme="majorHAnsi"/>
          <w:sz w:val="20"/>
          <w:szCs w:val="20"/>
          <w:lang w:val="es-VE"/>
        </w:rPr>
        <w:t xml:space="preserve">endo </w:t>
      </w:r>
      <w:r w:rsidRPr="00420489">
        <w:rPr>
          <w:rFonts w:asciiTheme="majorHAnsi" w:eastAsia="Calibri" w:hAnsiTheme="majorHAnsi"/>
          <w:sz w:val="20"/>
          <w:szCs w:val="20"/>
          <w:lang w:val="es-VE"/>
        </w:rPr>
        <w:t xml:space="preserve">revocatorio presidencial fue realizado el 15 de agosto de 2004, por convocatoria del CNE, y que </w:t>
      </w:r>
      <w:r w:rsidR="00893EF9" w:rsidRPr="00420489">
        <w:rPr>
          <w:rFonts w:asciiTheme="majorHAnsi" w:eastAsia="Calibri" w:hAnsiTheme="majorHAnsi"/>
          <w:sz w:val="20"/>
          <w:szCs w:val="20"/>
          <w:lang w:val="es-VE"/>
        </w:rPr>
        <w:t xml:space="preserve">en él </w:t>
      </w:r>
      <w:r w:rsidRPr="00420489">
        <w:rPr>
          <w:rFonts w:asciiTheme="majorHAnsi" w:eastAsia="Calibri" w:hAnsiTheme="majorHAnsi"/>
          <w:sz w:val="20"/>
          <w:szCs w:val="20"/>
          <w:lang w:val="es-VE"/>
        </w:rPr>
        <w:t xml:space="preserve">participaron Rocío San Miguel Sosa, </w:t>
      </w:r>
      <w:proofErr w:type="spellStart"/>
      <w:r w:rsidRPr="00420489">
        <w:rPr>
          <w:rFonts w:asciiTheme="majorHAnsi" w:eastAsia="Calibri" w:hAnsiTheme="majorHAnsi"/>
          <w:sz w:val="20"/>
          <w:szCs w:val="20"/>
          <w:lang w:val="es-VE"/>
        </w:rPr>
        <w:t>Magally</w:t>
      </w:r>
      <w:proofErr w:type="spellEnd"/>
      <w:r w:rsidRPr="00420489">
        <w:rPr>
          <w:rFonts w:asciiTheme="majorHAnsi" w:eastAsia="Calibri" w:hAnsiTheme="majorHAnsi"/>
          <w:sz w:val="20"/>
          <w:szCs w:val="20"/>
          <w:lang w:val="es-VE"/>
        </w:rPr>
        <w:t xml:space="preserve"> Chang Girón y Thais Coromoto Peña.</w:t>
      </w:r>
    </w:p>
    <w:p w14:paraId="26E33778"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75D3B502" w14:textId="702FC943" w:rsidR="00424452" w:rsidRPr="00420489" w:rsidRDefault="00424452" w:rsidP="00C34E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Los peticionarios indicaron que el </w:t>
      </w:r>
      <w:r w:rsidR="00A94080" w:rsidRPr="00420489">
        <w:rPr>
          <w:rFonts w:asciiTheme="majorHAnsi" w:eastAsia="Calibri" w:hAnsiTheme="majorHAnsi"/>
          <w:sz w:val="20"/>
          <w:szCs w:val="20"/>
          <w:lang w:val="es-VE"/>
        </w:rPr>
        <w:t xml:space="preserve">referendo </w:t>
      </w:r>
      <w:r w:rsidRPr="00420489">
        <w:rPr>
          <w:rFonts w:asciiTheme="majorHAnsi" w:eastAsia="Calibri" w:hAnsiTheme="majorHAnsi"/>
          <w:sz w:val="20"/>
          <w:szCs w:val="20"/>
          <w:lang w:val="es-VE"/>
        </w:rPr>
        <w:t xml:space="preserve">fue </w:t>
      </w:r>
      <w:r w:rsidR="007264EF" w:rsidRPr="00420489">
        <w:rPr>
          <w:rFonts w:asciiTheme="majorHAnsi" w:eastAsia="Calibri" w:hAnsiTheme="majorHAnsi"/>
          <w:sz w:val="20"/>
          <w:szCs w:val="20"/>
          <w:lang w:val="es-VE"/>
        </w:rPr>
        <w:t xml:space="preserve">seguido de </w:t>
      </w:r>
      <w:r w:rsidRPr="00420489">
        <w:rPr>
          <w:rFonts w:asciiTheme="majorHAnsi" w:eastAsia="Calibri" w:hAnsiTheme="majorHAnsi"/>
          <w:sz w:val="20"/>
          <w:szCs w:val="20"/>
          <w:lang w:val="es-VE"/>
        </w:rPr>
        <w:t>represalias contra los firmantes y que, particularmente, “a finales de 2004 la señora Rocío San Miguel fue despedida también de la Escuela Superior de Guerra Aérea y de la Escuela Superior de Guerra Naval, donde ejercía labores de docencia”. Asimismo</w:t>
      </w:r>
      <w:r w:rsidR="007264EF" w:rsidRPr="00420489">
        <w:rPr>
          <w:rFonts w:asciiTheme="majorHAnsi" w:eastAsia="Calibri" w:hAnsiTheme="majorHAnsi"/>
          <w:sz w:val="20"/>
          <w:szCs w:val="20"/>
          <w:lang w:val="es-VE"/>
        </w:rPr>
        <w:t xml:space="preserve"> indicaron que</w:t>
      </w:r>
      <w:r w:rsidRPr="00420489">
        <w:rPr>
          <w:rFonts w:asciiTheme="majorHAnsi" w:eastAsia="Calibri" w:hAnsiTheme="majorHAnsi"/>
          <w:sz w:val="20"/>
          <w:szCs w:val="20"/>
          <w:lang w:val="es-VE"/>
        </w:rPr>
        <w:t xml:space="preserve"> a su esposo, oficial activo de la Fuerza Armada Nacional con rango de “Coronel de Aviación”, no se le habría asignado</w:t>
      </w:r>
      <w:r w:rsidR="00C34E9B" w:rsidRPr="00420489">
        <w:rPr>
          <w:rFonts w:asciiTheme="majorHAnsi" w:eastAsia="Calibri" w:hAnsiTheme="majorHAnsi"/>
          <w:sz w:val="20"/>
          <w:szCs w:val="20"/>
          <w:lang w:val="es-VE"/>
        </w:rPr>
        <w:t xml:space="preserve"> </w:t>
      </w:r>
      <w:r w:rsidR="0018242E">
        <w:rPr>
          <w:rFonts w:asciiTheme="majorHAnsi" w:eastAsia="Calibri" w:hAnsiTheme="majorHAnsi"/>
          <w:sz w:val="20"/>
          <w:szCs w:val="20"/>
          <w:lang w:val="es-VE"/>
        </w:rPr>
        <w:t xml:space="preserve">ningún </w:t>
      </w:r>
      <w:r w:rsidR="00C34E9B" w:rsidRPr="00420489">
        <w:rPr>
          <w:rFonts w:asciiTheme="majorHAnsi" w:eastAsia="Calibri" w:hAnsiTheme="majorHAnsi"/>
          <w:sz w:val="20"/>
          <w:szCs w:val="20"/>
          <w:lang w:val="es-VE"/>
        </w:rPr>
        <w:t>cargo en el componente de Aviación Militar,</w:t>
      </w:r>
      <w:r w:rsidRPr="00420489">
        <w:rPr>
          <w:rFonts w:asciiTheme="majorHAnsi" w:eastAsia="Calibri" w:hAnsiTheme="majorHAnsi"/>
          <w:sz w:val="20"/>
          <w:szCs w:val="20"/>
          <w:lang w:val="es-VE"/>
        </w:rPr>
        <w:t xml:space="preserve"> desde el 18 de agosto de 2004 hasta la fecha de</w:t>
      </w:r>
      <w:r w:rsidR="007264EF" w:rsidRPr="00420489">
        <w:rPr>
          <w:rFonts w:asciiTheme="majorHAnsi" w:eastAsia="Calibri" w:hAnsiTheme="majorHAnsi"/>
          <w:sz w:val="20"/>
          <w:szCs w:val="20"/>
          <w:lang w:val="es-VE"/>
        </w:rPr>
        <w:t xml:space="preserve"> la petición inicial. </w:t>
      </w:r>
    </w:p>
    <w:p w14:paraId="55D3F354"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3F2AC30B" w14:textId="41EDD28E" w:rsidR="00424452" w:rsidRPr="00420489" w:rsidRDefault="00424452" w:rsidP="004244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Informaron los peticionarios que el 15 de abril de 2005 el entonces Presidente de la República, Hugo Chávez Frías, ordenó públicamente “enterrar” la lista del diputado Luis </w:t>
      </w:r>
      <w:proofErr w:type="spellStart"/>
      <w:r w:rsidRPr="00420489">
        <w:rPr>
          <w:rFonts w:asciiTheme="majorHAnsi" w:eastAsia="Calibri" w:hAnsiTheme="majorHAnsi"/>
          <w:sz w:val="20"/>
          <w:szCs w:val="20"/>
          <w:lang w:val="es-VE"/>
        </w:rPr>
        <w:t>Tascón</w:t>
      </w:r>
      <w:proofErr w:type="spellEnd"/>
      <w:r w:rsidRPr="00420489">
        <w:rPr>
          <w:rFonts w:asciiTheme="majorHAnsi" w:eastAsia="Calibri" w:hAnsiTheme="majorHAnsi"/>
          <w:sz w:val="20"/>
          <w:szCs w:val="20"/>
          <w:lang w:val="es-VE"/>
        </w:rPr>
        <w:t>. Indicaron también que el 26 de abril de 2005 el Fiscal General de la República comisionó al Fiscal 49 del Área Metropolitana de Caracas para que investigara las denuncias por discriminación política, sin embargo las presuntas víctimas nunca habrían sido llamadas por el referido fiscal, a pesar de las denuncias interpuestas por ellas</w:t>
      </w:r>
      <w:r w:rsidR="004F5715">
        <w:rPr>
          <w:rFonts w:asciiTheme="majorHAnsi" w:eastAsia="Calibri" w:hAnsiTheme="majorHAnsi"/>
          <w:sz w:val="20"/>
          <w:szCs w:val="20"/>
          <w:lang w:val="es-VE"/>
        </w:rPr>
        <w:t xml:space="preserve"> desde el mes de mayo de 2004. </w:t>
      </w:r>
    </w:p>
    <w:p w14:paraId="66895B8E"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3E8A3944" w14:textId="77777777" w:rsidR="00424452" w:rsidRPr="00420489" w:rsidRDefault="00424452" w:rsidP="004244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Señalaron que el 24 de agosto de 2005 la Asociación de Defensa de los Firmantes denunció la existenc</w:t>
      </w:r>
      <w:r w:rsidR="00544FDE" w:rsidRPr="00420489">
        <w:rPr>
          <w:rFonts w:asciiTheme="majorHAnsi" w:eastAsia="Calibri" w:hAnsiTheme="majorHAnsi"/>
          <w:sz w:val="20"/>
          <w:szCs w:val="20"/>
          <w:lang w:val="es-VE"/>
        </w:rPr>
        <w:t xml:space="preserve">ia de una ‘segunda Lista </w:t>
      </w:r>
      <w:proofErr w:type="spellStart"/>
      <w:proofErr w:type="gramStart"/>
      <w:r w:rsidR="00544FDE" w:rsidRPr="00420489">
        <w:rPr>
          <w:rFonts w:asciiTheme="majorHAnsi" w:eastAsia="Calibri" w:hAnsiTheme="majorHAnsi"/>
          <w:sz w:val="20"/>
          <w:szCs w:val="20"/>
          <w:lang w:val="es-VE"/>
        </w:rPr>
        <w:t>Tascón</w:t>
      </w:r>
      <w:proofErr w:type="spellEnd"/>
      <w:r w:rsidR="00544FDE" w:rsidRPr="00420489">
        <w:rPr>
          <w:rFonts w:asciiTheme="majorHAnsi" w:eastAsia="Calibri" w:hAnsiTheme="majorHAnsi"/>
          <w:sz w:val="20"/>
          <w:szCs w:val="20"/>
          <w:lang w:val="es-VE"/>
        </w:rPr>
        <w:t>‘</w:t>
      </w:r>
      <w:r w:rsidRPr="00420489">
        <w:rPr>
          <w:rFonts w:asciiTheme="majorHAnsi" w:eastAsia="Calibri" w:hAnsiTheme="majorHAnsi"/>
          <w:sz w:val="20"/>
          <w:szCs w:val="20"/>
          <w:lang w:val="es-VE"/>
        </w:rPr>
        <w:t xml:space="preserve"> llamada</w:t>
      </w:r>
      <w:proofErr w:type="gramEnd"/>
      <w:r w:rsidRPr="00420489">
        <w:rPr>
          <w:rFonts w:asciiTheme="majorHAnsi" w:eastAsia="Calibri" w:hAnsiTheme="majorHAnsi"/>
          <w:sz w:val="20"/>
          <w:szCs w:val="20"/>
          <w:lang w:val="es-VE"/>
        </w:rPr>
        <w:t xml:space="preserve"> ‘Lista </w:t>
      </w:r>
      <w:proofErr w:type="spellStart"/>
      <w:r w:rsidRPr="00420489">
        <w:rPr>
          <w:rFonts w:asciiTheme="majorHAnsi" w:eastAsia="Calibri" w:hAnsiTheme="majorHAnsi"/>
          <w:sz w:val="20"/>
          <w:szCs w:val="20"/>
          <w:lang w:val="es-VE"/>
        </w:rPr>
        <w:t>Maisanta</w:t>
      </w:r>
      <w:proofErr w:type="spellEnd"/>
      <w:r w:rsidRPr="00420489">
        <w:rPr>
          <w:rFonts w:asciiTheme="majorHAnsi" w:eastAsia="Calibri" w:hAnsiTheme="majorHAnsi"/>
          <w:sz w:val="20"/>
          <w:szCs w:val="20"/>
          <w:lang w:val="es-VE"/>
        </w:rPr>
        <w:t xml:space="preserve">’ o ‘Programa </w:t>
      </w:r>
      <w:proofErr w:type="spellStart"/>
      <w:r w:rsidRPr="00420489">
        <w:rPr>
          <w:rFonts w:asciiTheme="majorHAnsi" w:eastAsia="Calibri" w:hAnsiTheme="majorHAnsi"/>
          <w:sz w:val="20"/>
          <w:szCs w:val="20"/>
          <w:lang w:val="es-VE"/>
        </w:rPr>
        <w:t>Maisanta</w:t>
      </w:r>
      <w:proofErr w:type="spellEnd"/>
      <w:r w:rsidRPr="00420489">
        <w:rPr>
          <w:rFonts w:asciiTheme="majorHAnsi" w:eastAsia="Calibri" w:hAnsiTheme="majorHAnsi"/>
          <w:sz w:val="20"/>
          <w:szCs w:val="20"/>
          <w:lang w:val="es-VE"/>
        </w:rPr>
        <w:t>’ contenida en un disco compacto distribuido entre los distintos organismos de la Administración Pública con fines discriminatorios.</w:t>
      </w:r>
    </w:p>
    <w:p w14:paraId="57C3C802"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0FB94DA9" w14:textId="3C42B1A4" w:rsidR="00424452" w:rsidRDefault="00424452" w:rsidP="000B6F5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lastRenderedPageBreak/>
        <w:t>En cuant</w:t>
      </w:r>
      <w:r w:rsidR="005F539F" w:rsidRPr="00420489">
        <w:rPr>
          <w:rFonts w:asciiTheme="majorHAnsi" w:eastAsia="Calibri" w:hAnsiTheme="majorHAnsi"/>
          <w:sz w:val="20"/>
          <w:szCs w:val="20"/>
          <w:lang w:val="es-VE"/>
        </w:rPr>
        <w:t xml:space="preserve">o a los recursos utilizados en la vía interna </w:t>
      </w:r>
      <w:r w:rsidRPr="00420489">
        <w:rPr>
          <w:rFonts w:asciiTheme="majorHAnsi" w:eastAsia="Calibri" w:hAnsiTheme="majorHAnsi"/>
          <w:sz w:val="20"/>
          <w:szCs w:val="20"/>
          <w:lang w:val="es-VE"/>
        </w:rPr>
        <w:t xml:space="preserve">los peticionarios señalaron que el 27 de mayo de 2004 </w:t>
      </w:r>
      <w:r w:rsidR="00215C4E" w:rsidRPr="00420489">
        <w:rPr>
          <w:rFonts w:asciiTheme="majorHAnsi" w:eastAsia="Calibri" w:hAnsiTheme="majorHAnsi"/>
          <w:sz w:val="20"/>
          <w:szCs w:val="20"/>
          <w:lang w:val="es-VE"/>
        </w:rPr>
        <w:t xml:space="preserve"> </w:t>
      </w:r>
      <w:r w:rsidRPr="00420489">
        <w:rPr>
          <w:rFonts w:asciiTheme="majorHAnsi" w:eastAsia="Calibri" w:hAnsiTheme="majorHAnsi"/>
          <w:sz w:val="20"/>
          <w:szCs w:val="20"/>
          <w:lang w:val="es-VE"/>
        </w:rPr>
        <w:t xml:space="preserve">Rocío San Miguel Sosa, </w:t>
      </w:r>
      <w:proofErr w:type="spellStart"/>
      <w:r w:rsidRPr="00420489">
        <w:rPr>
          <w:rFonts w:asciiTheme="majorHAnsi" w:eastAsia="Calibri" w:hAnsiTheme="majorHAnsi"/>
          <w:sz w:val="20"/>
          <w:szCs w:val="20"/>
          <w:lang w:val="es-VE"/>
        </w:rPr>
        <w:t>Magally</w:t>
      </w:r>
      <w:proofErr w:type="spellEnd"/>
      <w:r w:rsidRPr="00420489">
        <w:rPr>
          <w:rFonts w:asciiTheme="majorHAnsi" w:eastAsia="Calibri" w:hAnsiTheme="majorHAnsi"/>
          <w:sz w:val="20"/>
          <w:szCs w:val="20"/>
          <w:lang w:val="es-VE"/>
        </w:rPr>
        <w:t xml:space="preserve"> Chang Girón y Thais Coromoto Peña denunciaron ante el Fiscal General de la República de Venezuela los hechos objeto de la petición.</w:t>
      </w:r>
      <w:r w:rsidR="005F539F" w:rsidRPr="00420489">
        <w:rPr>
          <w:rFonts w:asciiTheme="majorHAnsi" w:eastAsia="Calibri" w:hAnsiTheme="majorHAnsi"/>
          <w:sz w:val="20"/>
          <w:szCs w:val="20"/>
          <w:lang w:val="es-VE"/>
        </w:rPr>
        <w:t xml:space="preserve"> Indicaron que e</w:t>
      </w:r>
      <w:r w:rsidRPr="00420489">
        <w:rPr>
          <w:rFonts w:asciiTheme="majorHAnsi" w:eastAsia="Calibri" w:hAnsiTheme="majorHAnsi"/>
          <w:sz w:val="20"/>
          <w:szCs w:val="20"/>
          <w:lang w:val="es-VE"/>
        </w:rPr>
        <w:t>l 4 de abril de 2005 el Tribunal 21 de Control del Circuito Judicial Penal del Área Metropolitana de Caracas dictó sentencia de sobreseimiento con base en la atipicidad de los hechos denunciados</w:t>
      </w:r>
      <w:r w:rsidR="005F539F" w:rsidRPr="00420489">
        <w:rPr>
          <w:rFonts w:asciiTheme="majorHAnsi" w:eastAsia="Calibri" w:hAnsiTheme="majorHAnsi"/>
          <w:sz w:val="20"/>
          <w:szCs w:val="20"/>
          <w:lang w:val="es-VE"/>
        </w:rPr>
        <w:t>. Agregaron que dicha sentencia fue confirmada e</w:t>
      </w:r>
      <w:r w:rsidRPr="00420489">
        <w:rPr>
          <w:rFonts w:asciiTheme="majorHAnsi" w:eastAsia="Calibri" w:hAnsiTheme="majorHAnsi"/>
          <w:sz w:val="20"/>
          <w:szCs w:val="20"/>
          <w:lang w:val="es-VE"/>
        </w:rPr>
        <w:t xml:space="preserve">l 12 de mayo de 2005. </w:t>
      </w:r>
      <w:r w:rsidR="005F539F" w:rsidRPr="00420489">
        <w:rPr>
          <w:rFonts w:asciiTheme="majorHAnsi" w:eastAsia="Calibri" w:hAnsiTheme="majorHAnsi"/>
          <w:sz w:val="20"/>
          <w:szCs w:val="20"/>
          <w:lang w:val="es-VE"/>
        </w:rPr>
        <w:t xml:space="preserve">Señalaron que el recurso de casación interpuesto por ellos también fue desestimado. </w:t>
      </w:r>
    </w:p>
    <w:p w14:paraId="37BA11E2" w14:textId="77777777" w:rsidR="009867A2" w:rsidRPr="009867A2" w:rsidRDefault="009867A2" w:rsidP="009867A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52E4F83A" w14:textId="77777777" w:rsidR="00424452" w:rsidRPr="00420489" w:rsidRDefault="00424452" w:rsidP="004244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Indicaron también que el 27 de mayo de 2004 las presuntas víctimas denunciaron los hechos ante la Defensoría del Pueblo. Según los peticionarios, la denuncia habría sido extraviada por la Defensoría y tras una nueva presentación de documentos, la misma dictó auto de apertura el 29 de junio de 2004. </w:t>
      </w:r>
      <w:r w:rsidR="00871537" w:rsidRPr="00420489">
        <w:rPr>
          <w:rFonts w:asciiTheme="majorHAnsi" w:eastAsia="Calibri" w:hAnsiTheme="majorHAnsi"/>
          <w:sz w:val="20"/>
          <w:szCs w:val="20"/>
          <w:lang w:val="es-VE"/>
        </w:rPr>
        <w:t>Señalaron que e</w:t>
      </w:r>
      <w:r w:rsidRPr="00420489">
        <w:rPr>
          <w:rFonts w:asciiTheme="majorHAnsi" w:eastAsia="Calibri" w:hAnsiTheme="majorHAnsi"/>
          <w:sz w:val="20"/>
          <w:szCs w:val="20"/>
          <w:lang w:val="es-VE"/>
        </w:rPr>
        <w:t>l 7 de agosto del mismo año la Defensoría</w:t>
      </w:r>
      <w:r w:rsidR="00871537" w:rsidRPr="00420489">
        <w:rPr>
          <w:rFonts w:asciiTheme="majorHAnsi" w:eastAsia="Calibri" w:hAnsiTheme="majorHAnsi"/>
          <w:sz w:val="20"/>
          <w:szCs w:val="20"/>
          <w:lang w:val="es-VE"/>
        </w:rPr>
        <w:t xml:space="preserve"> archivó el expediente. </w:t>
      </w:r>
    </w:p>
    <w:p w14:paraId="3513ACE0"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4EDBE51E" w14:textId="77777777" w:rsidR="00424452" w:rsidRPr="00420489" w:rsidRDefault="00424452" w:rsidP="004244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Asimismo, los peticionarios informaron que el 22 de julio de 2004 las presuntas víctimas presentaron ante el Juzgado Cuarto de Primera Instancia de Juicio del Trabajo del Área Metropolitana de Caracas un recurso de amparo constitucional</w:t>
      </w:r>
      <w:r w:rsidR="00F804AE" w:rsidRPr="00420489">
        <w:rPr>
          <w:rFonts w:asciiTheme="majorHAnsi" w:eastAsia="Calibri" w:hAnsiTheme="majorHAnsi"/>
          <w:sz w:val="20"/>
          <w:szCs w:val="20"/>
          <w:lang w:val="es-VE"/>
        </w:rPr>
        <w:t xml:space="preserve">, el cual fue </w:t>
      </w:r>
      <w:r w:rsidRPr="00420489">
        <w:rPr>
          <w:rFonts w:asciiTheme="majorHAnsi" w:eastAsia="Calibri" w:hAnsiTheme="majorHAnsi"/>
          <w:sz w:val="20"/>
          <w:szCs w:val="20"/>
          <w:lang w:val="es-VE"/>
        </w:rPr>
        <w:t xml:space="preserve">declarado improcedente en cuanto al fondo el 27 de julio de 2005. </w:t>
      </w:r>
      <w:r w:rsidR="00F804AE" w:rsidRPr="00420489">
        <w:rPr>
          <w:rFonts w:asciiTheme="majorHAnsi" w:eastAsia="Calibri" w:hAnsiTheme="majorHAnsi"/>
          <w:sz w:val="20"/>
          <w:szCs w:val="20"/>
          <w:lang w:val="es-VE"/>
        </w:rPr>
        <w:t xml:space="preserve">Agregaron que esta sentencia fue confirmada </w:t>
      </w:r>
      <w:r w:rsidRPr="00420489">
        <w:rPr>
          <w:rFonts w:asciiTheme="majorHAnsi" w:eastAsia="Calibri" w:hAnsiTheme="majorHAnsi"/>
          <w:sz w:val="20"/>
          <w:szCs w:val="20"/>
          <w:lang w:val="es-VE"/>
        </w:rPr>
        <w:t xml:space="preserve">el 9 de septiembre de 2005 </w:t>
      </w:r>
      <w:r w:rsidR="00F804AE" w:rsidRPr="00420489">
        <w:rPr>
          <w:rFonts w:asciiTheme="majorHAnsi" w:eastAsia="Calibri" w:hAnsiTheme="majorHAnsi"/>
          <w:sz w:val="20"/>
          <w:szCs w:val="20"/>
          <w:lang w:val="es-VE"/>
        </w:rPr>
        <w:t>por parte del</w:t>
      </w:r>
      <w:r w:rsidRPr="00420489">
        <w:rPr>
          <w:rFonts w:asciiTheme="majorHAnsi" w:eastAsia="Calibri" w:hAnsiTheme="majorHAnsi"/>
          <w:sz w:val="20"/>
          <w:szCs w:val="20"/>
          <w:lang w:val="es-VE"/>
        </w:rPr>
        <w:t xml:space="preserve"> Juzgado Tercero Superior del Trabajo del Circuito Judicial del Trabajo de la Circunscripción Judicial del Área Metropolitana de Caracas.</w:t>
      </w:r>
    </w:p>
    <w:p w14:paraId="64F17E46" w14:textId="77777777" w:rsidR="002F085C" w:rsidRPr="00420489" w:rsidRDefault="002F085C" w:rsidP="00253D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1F861D1F" w14:textId="1D26F5F8" w:rsidR="007155B6" w:rsidRPr="00420489" w:rsidRDefault="006D5C81" w:rsidP="004F11A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Pr>
          <w:rFonts w:asciiTheme="majorHAnsi" w:eastAsia="Calibri" w:hAnsiTheme="majorHAnsi"/>
          <w:sz w:val="20"/>
          <w:szCs w:val="20"/>
          <w:lang w:val="es-VE"/>
        </w:rPr>
        <w:t>En cuanto a la</w:t>
      </w:r>
      <w:r w:rsidR="002F085C" w:rsidRPr="00420489">
        <w:rPr>
          <w:rFonts w:asciiTheme="majorHAnsi" w:eastAsia="Calibri" w:hAnsiTheme="majorHAnsi"/>
          <w:sz w:val="20"/>
          <w:szCs w:val="20"/>
          <w:lang w:val="es-VE"/>
        </w:rPr>
        <w:t>s cuestiones de fondo presentadas por el Estado durante la etapa de admisibilidad, l</w:t>
      </w:r>
      <w:r w:rsidR="005E1D97" w:rsidRPr="00420489">
        <w:rPr>
          <w:rFonts w:asciiTheme="majorHAnsi" w:eastAsia="Calibri" w:hAnsiTheme="majorHAnsi"/>
          <w:sz w:val="20"/>
          <w:szCs w:val="20"/>
          <w:lang w:val="es-VE"/>
        </w:rPr>
        <w:t>os peticionarios i</w:t>
      </w:r>
      <w:r w:rsidR="004F11A9" w:rsidRPr="00420489">
        <w:rPr>
          <w:rFonts w:asciiTheme="majorHAnsi" w:eastAsia="Calibri" w:hAnsiTheme="majorHAnsi"/>
          <w:sz w:val="20"/>
          <w:szCs w:val="20"/>
          <w:lang w:val="es-VE"/>
        </w:rPr>
        <w:t>ndicaron que pese a que</w:t>
      </w:r>
      <w:r w:rsidR="002F085C" w:rsidRPr="00420489">
        <w:rPr>
          <w:rFonts w:asciiTheme="majorHAnsi" w:eastAsia="Calibri" w:hAnsiTheme="majorHAnsi"/>
          <w:sz w:val="20"/>
          <w:szCs w:val="20"/>
          <w:lang w:val="es-VE"/>
        </w:rPr>
        <w:t xml:space="preserve"> Venezuela</w:t>
      </w:r>
      <w:r w:rsidR="00215C4E" w:rsidRPr="00420489">
        <w:rPr>
          <w:rFonts w:asciiTheme="majorHAnsi" w:eastAsia="Calibri" w:hAnsiTheme="majorHAnsi"/>
          <w:sz w:val="20"/>
          <w:szCs w:val="20"/>
          <w:lang w:val="es-VE"/>
        </w:rPr>
        <w:t xml:space="preserve"> alega que la Lista </w:t>
      </w:r>
      <w:proofErr w:type="spellStart"/>
      <w:r w:rsidR="00215C4E" w:rsidRPr="00420489">
        <w:rPr>
          <w:rFonts w:asciiTheme="majorHAnsi" w:eastAsia="Calibri" w:hAnsiTheme="majorHAnsi"/>
          <w:sz w:val="20"/>
          <w:szCs w:val="20"/>
          <w:lang w:val="es-VE"/>
        </w:rPr>
        <w:t>Tascó</w:t>
      </w:r>
      <w:r w:rsidR="004F11A9" w:rsidRPr="00420489">
        <w:rPr>
          <w:rFonts w:asciiTheme="majorHAnsi" w:eastAsia="Calibri" w:hAnsiTheme="majorHAnsi"/>
          <w:sz w:val="20"/>
          <w:szCs w:val="20"/>
          <w:lang w:val="es-VE"/>
        </w:rPr>
        <w:t>n</w:t>
      </w:r>
      <w:proofErr w:type="spellEnd"/>
      <w:r w:rsidR="004F11A9" w:rsidRPr="00420489">
        <w:rPr>
          <w:rFonts w:asciiTheme="majorHAnsi" w:eastAsia="Calibri" w:hAnsiTheme="majorHAnsi"/>
          <w:sz w:val="20"/>
          <w:szCs w:val="20"/>
          <w:lang w:val="es-VE"/>
        </w:rPr>
        <w:t xml:space="preserve"> constituía una herramienta ciudadana para verificar la legalidad de las firmas para el refer</w:t>
      </w:r>
      <w:r w:rsidR="00215C4E" w:rsidRPr="00420489">
        <w:rPr>
          <w:rFonts w:asciiTheme="majorHAnsi" w:eastAsia="Calibri" w:hAnsiTheme="majorHAnsi"/>
          <w:sz w:val="20"/>
          <w:szCs w:val="20"/>
          <w:lang w:val="es-VE"/>
        </w:rPr>
        <w:t>endo</w:t>
      </w:r>
      <w:r w:rsidR="004F11A9" w:rsidRPr="00420489">
        <w:rPr>
          <w:rFonts w:asciiTheme="majorHAnsi" w:eastAsia="Calibri" w:hAnsiTheme="majorHAnsi"/>
          <w:sz w:val="20"/>
          <w:szCs w:val="20"/>
          <w:lang w:val="es-VE"/>
        </w:rPr>
        <w:t xml:space="preserve"> revocatorio, desde el 17 de octubre de 2003, el entonces Presidente </w:t>
      </w:r>
      <w:r w:rsidR="00BC4E19" w:rsidRPr="00420489">
        <w:rPr>
          <w:rFonts w:asciiTheme="majorHAnsi" w:eastAsia="Calibri" w:hAnsiTheme="majorHAnsi"/>
          <w:sz w:val="20"/>
          <w:szCs w:val="20"/>
          <w:lang w:val="es-VE"/>
        </w:rPr>
        <w:t xml:space="preserve">Hugo Chávez Frías amenazó con tomar represalias políticas a los firmantes en un acto público televisado.  </w:t>
      </w:r>
    </w:p>
    <w:p w14:paraId="0FF0159F" w14:textId="77777777" w:rsidR="001D1AB6" w:rsidRPr="00420489" w:rsidRDefault="001D1AB6" w:rsidP="001D1AB6">
      <w:pPr>
        <w:rPr>
          <w:rFonts w:asciiTheme="majorHAnsi" w:eastAsia="Calibri" w:hAnsiTheme="majorHAnsi"/>
          <w:sz w:val="20"/>
          <w:szCs w:val="20"/>
          <w:lang w:val="es-VE"/>
        </w:rPr>
      </w:pPr>
    </w:p>
    <w:p w14:paraId="087A283E" w14:textId="77777777" w:rsidR="007155B6" w:rsidRPr="00420489" w:rsidRDefault="00614C69" w:rsidP="0092093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En cuanto al argumento según el cual una cláusula de los respectivos contratos permitía </w:t>
      </w:r>
      <w:r w:rsidR="00920930" w:rsidRPr="00420489">
        <w:rPr>
          <w:rFonts w:asciiTheme="majorHAnsi" w:eastAsia="Calibri" w:hAnsiTheme="majorHAnsi"/>
          <w:sz w:val="20"/>
          <w:szCs w:val="20"/>
          <w:lang w:val="es-VE"/>
        </w:rPr>
        <w:t>darlos por terminados</w:t>
      </w:r>
      <w:r w:rsidRPr="00420489">
        <w:rPr>
          <w:rFonts w:asciiTheme="majorHAnsi" w:eastAsia="Calibri" w:hAnsiTheme="majorHAnsi"/>
          <w:sz w:val="20"/>
          <w:szCs w:val="20"/>
          <w:lang w:val="es-VE"/>
        </w:rPr>
        <w:t xml:space="preserve"> por razones de conveniencia, los peticionarios señalaron que </w:t>
      </w:r>
      <w:r w:rsidR="00920930" w:rsidRPr="00420489">
        <w:rPr>
          <w:rFonts w:asciiTheme="majorHAnsi" w:eastAsia="Calibri" w:hAnsiTheme="majorHAnsi"/>
          <w:sz w:val="20"/>
          <w:szCs w:val="20"/>
          <w:lang w:val="es-VE"/>
        </w:rPr>
        <w:t xml:space="preserve">ello no debe entenderse como una autorización para la arbitrariedad, ni exime al Estado de invocar motivos legítimos y racionales, distintos de cualquier forma de discriminación prohibida por el artículo 1.1 de la Convención. </w:t>
      </w:r>
      <w:r w:rsidR="007470B2" w:rsidRPr="00420489">
        <w:rPr>
          <w:rFonts w:asciiTheme="majorHAnsi" w:eastAsia="Calibri" w:hAnsiTheme="majorHAnsi"/>
          <w:sz w:val="20"/>
          <w:szCs w:val="20"/>
          <w:lang w:val="es-VE"/>
        </w:rPr>
        <w:t xml:space="preserve"> </w:t>
      </w:r>
    </w:p>
    <w:p w14:paraId="51667DD5" w14:textId="77777777" w:rsidR="007155B6" w:rsidRPr="00420489" w:rsidRDefault="007155B6" w:rsidP="001D1A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63F62DC4" w14:textId="06F71FBD" w:rsidR="00D603D4" w:rsidRPr="00420489" w:rsidRDefault="00D603D4" w:rsidP="001D1AB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Los peticionarios alegaron que</w:t>
      </w:r>
      <w:r w:rsidR="001D1AB6" w:rsidRPr="00420489">
        <w:rPr>
          <w:rFonts w:asciiTheme="majorHAnsi" w:eastAsia="Calibri" w:hAnsiTheme="majorHAnsi"/>
          <w:sz w:val="20"/>
          <w:szCs w:val="20"/>
          <w:lang w:val="es-VE"/>
        </w:rPr>
        <w:t xml:space="preserve"> por los hechos descritos con anterioridad el Estado violó </w:t>
      </w:r>
      <w:r w:rsidRPr="00420489">
        <w:rPr>
          <w:rFonts w:asciiTheme="majorHAnsi" w:eastAsia="Calibri" w:hAnsiTheme="majorHAnsi"/>
          <w:sz w:val="20"/>
          <w:szCs w:val="20"/>
          <w:lang w:val="es-VE"/>
        </w:rPr>
        <w:t>los artículos 5, 8, 13, 16, 23, 24, 25 y 26 de la Convención Americana, en relación con los artículos 1</w:t>
      </w:r>
      <w:r w:rsidR="008D02EA">
        <w:rPr>
          <w:rFonts w:asciiTheme="majorHAnsi" w:eastAsia="Calibri" w:hAnsiTheme="majorHAnsi"/>
          <w:sz w:val="20"/>
          <w:szCs w:val="20"/>
          <w:lang w:val="es-VE"/>
        </w:rPr>
        <w:t>.</w:t>
      </w:r>
      <w:r w:rsidRPr="00420489">
        <w:rPr>
          <w:rFonts w:asciiTheme="majorHAnsi" w:eastAsia="Calibri" w:hAnsiTheme="majorHAnsi"/>
          <w:sz w:val="20"/>
          <w:szCs w:val="20"/>
          <w:lang w:val="es-VE"/>
        </w:rPr>
        <w:t xml:space="preserve">1, 2 y 29  de dicho instrumento, en perjuicio de Rocío San Miguel Sosa, </w:t>
      </w:r>
      <w:proofErr w:type="spellStart"/>
      <w:r w:rsidRPr="00420489">
        <w:rPr>
          <w:rFonts w:asciiTheme="majorHAnsi" w:eastAsia="Calibri" w:hAnsiTheme="majorHAnsi"/>
          <w:sz w:val="20"/>
          <w:szCs w:val="20"/>
          <w:lang w:val="es-VE"/>
        </w:rPr>
        <w:t>Magally</w:t>
      </w:r>
      <w:proofErr w:type="spellEnd"/>
      <w:r w:rsidRPr="00420489">
        <w:rPr>
          <w:rFonts w:asciiTheme="majorHAnsi" w:eastAsia="Calibri" w:hAnsiTheme="majorHAnsi"/>
          <w:sz w:val="20"/>
          <w:szCs w:val="20"/>
          <w:lang w:val="es-VE"/>
        </w:rPr>
        <w:t xml:space="preserve"> Chang Girón y Thais Coromoto Peña.</w:t>
      </w:r>
    </w:p>
    <w:p w14:paraId="7646ACCA" w14:textId="77777777" w:rsidR="00EE0F71" w:rsidRPr="00420489" w:rsidRDefault="00EE0F71" w:rsidP="00D603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105FB380" w14:textId="77777777" w:rsidR="00424452" w:rsidRPr="00420489" w:rsidRDefault="00424452" w:rsidP="00B13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En relación a la presunta violación del </w:t>
      </w:r>
      <w:r w:rsidRPr="00420489">
        <w:rPr>
          <w:rFonts w:asciiTheme="majorHAnsi" w:eastAsia="Calibri" w:hAnsiTheme="majorHAnsi"/>
          <w:b/>
          <w:sz w:val="20"/>
          <w:szCs w:val="20"/>
          <w:lang w:val="es-VE"/>
        </w:rPr>
        <w:t>derecho a la integridad personal</w:t>
      </w:r>
      <w:r w:rsidRPr="00420489">
        <w:rPr>
          <w:rFonts w:asciiTheme="majorHAnsi" w:eastAsia="Calibri" w:hAnsiTheme="majorHAnsi"/>
          <w:sz w:val="20"/>
          <w:szCs w:val="20"/>
          <w:lang w:val="es-VE"/>
        </w:rPr>
        <w:t xml:space="preserve">, los peticionarios afirmaron que el Estado venezolano sometió a las presuntas víctimas a un trato cruel, inhumano y degradante, al castigarlas por el ejercicio de un derecho legítimo, </w:t>
      </w:r>
      <w:r w:rsidR="000F144C" w:rsidRPr="00420489">
        <w:rPr>
          <w:rFonts w:asciiTheme="majorHAnsi" w:eastAsia="Calibri" w:hAnsiTheme="majorHAnsi"/>
          <w:sz w:val="20"/>
          <w:szCs w:val="20"/>
          <w:lang w:val="es-VE"/>
        </w:rPr>
        <w:t xml:space="preserve">lo </w:t>
      </w:r>
      <w:r w:rsidRPr="00420489">
        <w:rPr>
          <w:rFonts w:asciiTheme="majorHAnsi" w:eastAsia="Calibri" w:hAnsiTheme="majorHAnsi"/>
          <w:sz w:val="20"/>
          <w:szCs w:val="20"/>
          <w:lang w:val="es-VE"/>
        </w:rPr>
        <w:t>que las privó de su fuente de subsistencia</w:t>
      </w:r>
      <w:r w:rsidR="00112E9A" w:rsidRPr="00420489">
        <w:rPr>
          <w:rFonts w:asciiTheme="majorHAnsi" w:eastAsia="Calibri" w:hAnsiTheme="majorHAnsi"/>
          <w:sz w:val="20"/>
          <w:szCs w:val="20"/>
          <w:lang w:val="es-VE"/>
        </w:rPr>
        <w:t xml:space="preserve"> y</w:t>
      </w:r>
      <w:r w:rsidRPr="00420489">
        <w:rPr>
          <w:rFonts w:asciiTheme="majorHAnsi" w:eastAsia="Calibri" w:hAnsiTheme="majorHAnsi"/>
          <w:sz w:val="20"/>
          <w:szCs w:val="20"/>
          <w:lang w:val="es-VE"/>
        </w:rPr>
        <w:t xml:space="preserve"> que las estigmatizó ante el resto de la sociedad</w:t>
      </w:r>
      <w:r w:rsidR="00B13D6E" w:rsidRPr="00420489">
        <w:rPr>
          <w:rFonts w:asciiTheme="majorHAnsi" w:eastAsia="Calibri" w:hAnsiTheme="majorHAnsi"/>
          <w:sz w:val="20"/>
          <w:szCs w:val="20"/>
          <w:lang w:val="es-VE"/>
        </w:rPr>
        <w:t xml:space="preserve">, alterando su tranquilidad espiritual y familiar y ocasionando sentimientos de frustración, lo cual afectó severamente su proyecto de vida. </w:t>
      </w:r>
    </w:p>
    <w:p w14:paraId="4276018D" w14:textId="77777777" w:rsidR="00B13D6E" w:rsidRPr="00420489" w:rsidRDefault="00B13D6E" w:rsidP="00B13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44266613" w14:textId="77777777" w:rsidR="00424452" w:rsidRPr="00420489" w:rsidRDefault="00424452" w:rsidP="00C05AA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En</w:t>
      </w:r>
      <w:r w:rsidR="005B7153" w:rsidRPr="00420489">
        <w:rPr>
          <w:rFonts w:asciiTheme="majorHAnsi" w:eastAsia="Calibri" w:hAnsiTheme="majorHAnsi"/>
          <w:sz w:val="20"/>
          <w:szCs w:val="20"/>
          <w:lang w:val="es-VE"/>
        </w:rPr>
        <w:t xml:space="preserve"> cuanto a la </w:t>
      </w:r>
      <w:r w:rsidRPr="00420489">
        <w:rPr>
          <w:rFonts w:asciiTheme="majorHAnsi" w:eastAsia="Calibri" w:hAnsiTheme="majorHAnsi"/>
          <w:sz w:val="20"/>
          <w:szCs w:val="20"/>
          <w:lang w:val="es-VE"/>
        </w:rPr>
        <w:t>presunta violación de</w:t>
      </w:r>
      <w:r w:rsidR="00003E8B" w:rsidRPr="00420489">
        <w:rPr>
          <w:rFonts w:asciiTheme="majorHAnsi" w:eastAsia="Calibri" w:hAnsiTheme="majorHAnsi"/>
          <w:sz w:val="20"/>
          <w:szCs w:val="20"/>
          <w:lang w:val="es-VE"/>
        </w:rPr>
        <w:t xml:space="preserve">l </w:t>
      </w:r>
      <w:r w:rsidR="00003E8B" w:rsidRPr="00420489">
        <w:rPr>
          <w:rFonts w:asciiTheme="majorHAnsi" w:eastAsia="Calibri" w:hAnsiTheme="majorHAnsi"/>
          <w:b/>
          <w:sz w:val="20"/>
          <w:szCs w:val="20"/>
          <w:lang w:val="es-VE"/>
        </w:rPr>
        <w:t xml:space="preserve">derecho a las </w:t>
      </w:r>
      <w:r w:rsidRPr="00420489">
        <w:rPr>
          <w:rFonts w:asciiTheme="majorHAnsi" w:eastAsia="Calibri" w:hAnsiTheme="majorHAnsi"/>
          <w:b/>
          <w:sz w:val="20"/>
          <w:szCs w:val="20"/>
          <w:lang w:val="es-VE"/>
        </w:rPr>
        <w:t>garantías judiciales</w:t>
      </w:r>
      <w:r w:rsidRPr="00420489">
        <w:rPr>
          <w:rFonts w:asciiTheme="majorHAnsi" w:eastAsia="Calibri" w:hAnsiTheme="majorHAnsi"/>
          <w:sz w:val="20"/>
          <w:szCs w:val="20"/>
          <w:lang w:val="es-VE"/>
        </w:rPr>
        <w:t xml:space="preserve">, los peticionarios señalaron, en primer término, que el despido fue una </w:t>
      </w:r>
      <w:r w:rsidR="00C05AAD" w:rsidRPr="00420489">
        <w:rPr>
          <w:rFonts w:asciiTheme="majorHAnsi" w:eastAsia="Calibri" w:hAnsiTheme="majorHAnsi"/>
          <w:sz w:val="20"/>
          <w:szCs w:val="20"/>
          <w:lang w:val="es-VE"/>
        </w:rPr>
        <w:t>verdadera sanción administrativa</w:t>
      </w:r>
      <w:r w:rsidRPr="00420489">
        <w:rPr>
          <w:rFonts w:asciiTheme="majorHAnsi" w:eastAsia="Calibri" w:hAnsiTheme="majorHAnsi"/>
          <w:sz w:val="20"/>
          <w:szCs w:val="20"/>
          <w:lang w:val="es-VE"/>
        </w:rPr>
        <w:t xml:space="preserve"> por el ejercicio de sus derechos. Para los peticionarios, si el Estado acusaba a las presuntas víctimas de haber cometido un ilícito, tenía el deber de notificarlas debidamente de la acusación, de poner en su conocimiento los elementos probatorios en su contra y de oír sus descargos. </w:t>
      </w:r>
      <w:r w:rsidR="001A6A3C" w:rsidRPr="00420489">
        <w:rPr>
          <w:rFonts w:asciiTheme="majorHAnsi" w:eastAsia="Calibri" w:hAnsiTheme="majorHAnsi"/>
          <w:sz w:val="20"/>
          <w:szCs w:val="20"/>
          <w:lang w:val="es-VE"/>
        </w:rPr>
        <w:t>En segundo término, los peticionarios alegaron que tanto el proceso penal como el de amparo constitucional estuvieron marcados por numerosas irregularidades y que el Estado no cumplió con el estándar mínimo de debida diligencia en la investigación de este t</w:t>
      </w:r>
      <w:r w:rsidR="00C05AAD" w:rsidRPr="00420489">
        <w:rPr>
          <w:rFonts w:asciiTheme="majorHAnsi" w:eastAsia="Calibri" w:hAnsiTheme="majorHAnsi"/>
          <w:sz w:val="20"/>
          <w:szCs w:val="20"/>
          <w:lang w:val="es-VE"/>
        </w:rPr>
        <w:t>ipo de denuncias</w:t>
      </w:r>
      <w:r w:rsidR="001A6A3C" w:rsidRPr="00420489">
        <w:rPr>
          <w:rFonts w:asciiTheme="majorHAnsi" w:eastAsia="Calibri" w:hAnsiTheme="majorHAnsi"/>
          <w:sz w:val="20"/>
          <w:szCs w:val="20"/>
          <w:lang w:val="es-VE"/>
        </w:rPr>
        <w:t>. Agregaron que en el trámite del recurso de amparo constitucional las presuntas víctimas no fueron oídas por un tribunal independiente e imparcial, dentro de un plazo razonable y con atención a las debidas garantías.</w:t>
      </w:r>
    </w:p>
    <w:p w14:paraId="1026B74E" w14:textId="77777777" w:rsidR="00424452" w:rsidRPr="00420489" w:rsidRDefault="00424452" w:rsidP="006703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3852DAFE" w14:textId="08FBF714" w:rsidR="00C05AAD" w:rsidRPr="00420489" w:rsidRDefault="00424452" w:rsidP="00C05AA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En cuanto a la denuncia penal, los peticionarios afirmaron que el Ministerio Público omitió la realización de diligencias de investigación necesarias</w:t>
      </w:r>
      <w:r w:rsidR="00C05AAD" w:rsidRPr="00420489">
        <w:rPr>
          <w:rFonts w:asciiTheme="majorHAnsi" w:eastAsia="Calibri" w:hAnsiTheme="majorHAnsi"/>
          <w:sz w:val="20"/>
          <w:szCs w:val="20"/>
          <w:lang w:val="es-VE"/>
        </w:rPr>
        <w:t xml:space="preserve">, </w:t>
      </w:r>
      <w:r w:rsidR="00825623" w:rsidRPr="00420489">
        <w:rPr>
          <w:rFonts w:asciiTheme="majorHAnsi" w:eastAsia="Calibri" w:hAnsiTheme="majorHAnsi"/>
          <w:sz w:val="20"/>
          <w:szCs w:val="20"/>
          <w:lang w:val="es-VE"/>
        </w:rPr>
        <w:t xml:space="preserve">como </w:t>
      </w:r>
      <w:r w:rsidRPr="00420489">
        <w:rPr>
          <w:rFonts w:asciiTheme="majorHAnsi" w:eastAsia="Calibri" w:hAnsiTheme="majorHAnsi"/>
          <w:sz w:val="20"/>
          <w:szCs w:val="20"/>
          <w:lang w:val="es-VE"/>
        </w:rPr>
        <w:t xml:space="preserve">una inspección del sitio del suceso </w:t>
      </w:r>
      <w:r w:rsidR="00825623" w:rsidRPr="00420489">
        <w:rPr>
          <w:rFonts w:asciiTheme="majorHAnsi" w:eastAsia="Calibri" w:hAnsiTheme="majorHAnsi"/>
          <w:sz w:val="20"/>
          <w:szCs w:val="20"/>
          <w:lang w:val="es-VE"/>
        </w:rPr>
        <w:t xml:space="preserve">o la entrevista </w:t>
      </w:r>
      <w:r w:rsidRPr="00420489">
        <w:rPr>
          <w:rFonts w:asciiTheme="majorHAnsi" w:eastAsia="Calibri" w:hAnsiTheme="majorHAnsi"/>
          <w:sz w:val="20"/>
          <w:szCs w:val="20"/>
          <w:lang w:val="es-VE"/>
        </w:rPr>
        <w:t xml:space="preserve">al personal adscrito al Consejo Nacional de Fronteras. Asimismo, alegaron que la decisión de sobreseimiento de la causa se verificó “a espaldas de las [presuntas] víctimas”. Al respecto, los peticionarios señalaron que el </w:t>
      </w:r>
      <w:r w:rsidRPr="00420489">
        <w:rPr>
          <w:rFonts w:asciiTheme="majorHAnsi" w:eastAsia="Calibri" w:hAnsiTheme="majorHAnsi"/>
          <w:sz w:val="20"/>
          <w:szCs w:val="20"/>
          <w:lang w:val="es-VE"/>
        </w:rPr>
        <w:lastRenderedPageBreak/>
        <w:t>Tribunal de Control no convocó a las partes a la celebración de una audiencia oral para recibir sus alegatos sobre la solicitud de sobreseimiento de la causa presentada por el Ministerio Público, conforme lo exige la legislación venezolana. Indicaron que mediante recurso de casación solicitaron a la Sala de Casación Penal del Tribunal Supremo de Justicia que ordenara la reposición de la causa, por no haberse realizado la audiencia de sobreseimiento</w:t>
      </w:r>
      <w:r w:rsidR="00825623" w:rsidRPr="00420489">
        <w:rPr>
          <w:rFonts w:asciiTheme="majorHAnsi" w:eastAsia="Calibri" w:hAnsiTheme="majorHAnsi"/>
          <w:sz w:val="20"/>
          <w:szCs w:val="20"/>
          <w:lang w:val="es-VE"/>
        </w:rPr>
        <w:t xml:space="preserve">, </w:t>
      </w:r>
      <w:r w:rsidR="00C05AAD" w:rsidRPr="00420489">
        <w:rPr>
          <w:rFonts w:asciiTheme="majorHAnsi" w:eastAsia="Calibri" w:hAnsiTheme="majorHAnsi"/>
          <w:sz w:val="20"/>
          <w:szCs w:val="20"/>
          <w:lang w:val="es-VE"/>
        </w:rPr>
        <w:t>lo cual fue rechazado a pesar de existir un criterio jurisprudencial que apoyaba su solicitud.</w:t>
      </w:r>
    </w:p>
    <w:p w14:paraId="5DA809D4" w14:textId="77777777" w:rsidR="00424452" w:rsidRPr="00420489" w:rsidRDefault="00C05AAD" w:rsidP="00C05A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 </w:t>
      </w:r>
    </w:p>
    <w:p w14:paraId="128DF5C4" w14:textId="77777777" w:rsidR="00424452" w:rsidRPr="00420489" w:rsidRDefault="00424452" w:rsidP="004244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En relación a la presunta violación </w:t>
      </w:r>
      <w:r w:rsidR="00B27BCD" w:rsidRPr="00420489">
        <w:rPr>
          <w:rFonts w:asciiTheme="majorHAnsi" w:eastAsia="Calibri" w:hAnsiTheme="majorHAnsi"/>
          <w:sz w:val="20"/>
          <w:szCs w:val="20"/>
          <w:lang w:val="es-VE"/>
        </w:rPr>
        <w:t xml:space="preserve">del </w:t>
      </w:r>
      <w:r w:rsidR="00B27BCD" w:rsidRPr="00420489">
        <w:rPr>
          <w:rFonts w:asciiTheme="majorHAnsi" w:eastAsia="Calibri" w:hAnsiTheme="majorHAnsi"/>
          <w:b/>
          <w:sz w:val="20"/>
          <w:szCs w:val="20"/>
          <w:lang w:val="es-VE"/>
        </w:rPr>
        <w:t xml:space="preserve">derecho a </w:t>
      </w:r>
      <w:r w:rsidRPr="00420489">
        <w:rPr>
          <w:rFonts w:asciiTheme="majorHAnsi" w:eastAsia="Calibri" w:hAnsiTheme="majorHAnsi"/>
          <w:b/>
          <w:sz w:val="20"/>
          <w:szCs w:val="20"/>
          <w:lang w:val="es-VE"/>
        </w:rPr>
        <w:t>la libertad de pensamiento y de expresión</w:t>
      </w:r>
      <w:r w:rsidRPr="00420489">
        <w:rPr>
          <w:rFonts w:asciiTheme="majorHAnsi" w:eastAsia="Calibri" w:hAnsiTheme="majorHAnsi"/>
          <w:sz w:val="20"/>
          <w:szCs w:val="20"/>
          <w:lang w:val="es-VE"/>
        </w:rPr>
        <w:t>, los peticionarios señalaron que las presuntas víctimas fueron despedidas como una sanción por manifestar una expresión política mediante su firma a la solicitud de convocatoria al refer</w:t>
      </w:r>
      <w:r w:rsidR="00C05AAD" w:rsidRPr="00420489">
        <w:rPr>
          <w:rFonts w:asciiTheme="majorHAnsi" w:eastAsia="Calibri" w:hAnsiTheme="majorHAnsi"/>
          <w:sz w:val="20"/>
          <w:szCs w:val="20"/>
          <w:lang w:val="es-VE"/>
        </w:rPr>
        <w:t xml:space="preserve">endo </w:t>
      </w:r>
      <w:r w:rsidRPr="00420489">
        <w:rPr>
          <w:rFonts w:asciiTheme="majorHAnsi" w:eastAsia="Calibri" w:hAnsiTheme="majorHAnsi"/>
          <w:sz w:val="20"/>
          <w:szCs w:val="20"/>
          <w:lang w:val="es-VE"/>
        </w:rPr>
        <w:t>y, de esa forma, su propia opinión sobre la gestión del gobierno de Venezuela. Los peticionarios consideraron además que la referida sanción tiene un efecto inhibidor</w:t>
      </w:r>
      <w:r w:rsidR="00131531" w:rsidRPr="00420489">
        <w:rPr>
          <w:rFonts w:asciiTheme="majorHAnsi" w:eastAsia="Calibri" w:hAnsiTheme="majorHAnsi"/>
          <w:sz w:val="20"/>
          <w:szCs w:val="20"/>
          <w:lang w:val="es-VE"/>
        </w:rPr>
        <w:t>.</w:t>
      </w:r>
      <w:r w:rsidRPr="00420489">
        <w:rPr>
          <w:rFonts w:asciiTheme="majorHAnsi" w:eastAsia="Calibri" w:hAnsiTheme="majorHAnsi"/>
          <w:sz w:val="20"/>
          <w:szCs w:val="20"/>
          <w:lang w:val="es-VE"/>
        </w:rPr>
        <w:t xml:space="preserve"> Destacaron que las expresiones concernientes a funcionarios públicos deben gozar de un margen de apertura amplio respecto de asuntos de interés público</w:t>
      </w:r>
      <w:r w:rsidR="00C1072B" w:rsidRPr="00420489">
        <w:rPr>
          <w:rFonts w:asciiTheme="majorHAnsi" w:eastAsia="Calibri" w:hAnsiTheme="majorHAnsi"/>
          <w:sz w:val="20"/>
          <w:szCs w:val="20"/>
          <w:lang w:val="es-VE"/>
        </w:rPr>
        <w:t>.</w:t>
      </w:r>
    </w:p>
    <w:p w14:paraId="6B1A1B52"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32B5A757" w14:textId="0B13B4F5" w:rsidR="00C05AAD" w:rsidRDefault="00424452" w:rsidP="00C05AA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Respecto del </w:t>
      </w:r>
      <w:r w:rsidRPr="00420489">
        <w:rPr>
          <w:rFonts w:asciiTheme="majorHAnsi" w:eastAsia="Calibri" w:hAnsiTheme="majorHAnsi"/>
          <w:b/>
          <w:sz w:val="20"/>
          <w:szCs w:val="20"/>
          <w:lang w:val="es-VE"/>
        </w:rPr>
        <w:t>derecho de asociación</w:t>
      </w:r>
      <w:r w:rsidRPr="00420489">
        <w:rPr>
          <w:rFonts w:asciiTheme="majorHAnsi" w:eastAsia="Calibri" w:hAnsiTheme="majorHAnsi"/>
          <w:sz w:val="20"/>
          <w:szCs w:val="20"/>
          <w:lang w:val="es-VE"/>
        </w:rPr>
        <w:t>, los peticionarios destacaron que</w:t>
      </w:r>
      <w:r w:rsidR="00C05AAD" w:rsidRPr="00420489">
        <w:rPr>
          <w:rFonts w:asciiTheme="majorHAnsi" w:eastAsia="Calibri" w:hAnsiTheme="majorHAnsi"/>
          <w:sz w:val="20"/>
          <w:szCs w:val="20"/>
          <w:lang w:val="es-VE"/>
        </w:rPr>
        <w:t xml:space="preserve"> se dio una asociación transitoria de los ciudadanos que aspiraban a revocar el mandato del Presidente de la República,  la cual tenía un fin legítimo que no podía ser objeto de interferencias estatales como lo fue el despido de las presuntas víctimas. </w:t>
      </w:r>
    </w:p>
    <w:p w14:paraId="0E11CA5D" w14:textId="77777777" w:rsidR="00170E57" w:rsidRPr="00170E57" w:rsidRDefault="00170E57" w:rsidP="00170E5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7DE182AD" w14:textId="5C27AFD5" w:rsidR="00424452" w:rsidRDefault="00424452" w:rsidP="004244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En relación con la presunta violación de los </w:t>
      </w:r>
      <w:r w:rsidRPr="00420489">
        <w:rPr>
          <w:rFonts w:asciiTheme="majorHAnsi" w:eastAsia="Calibri" w:hAnsiTheme="majorHAnsi"/>
          <w:b/>
          <w:sz w:val="20"/>
          <w:szCs w:val="20"/>
          <w:lang w:val="es-VE"/>
        </w:rPr>
        <w:t>derechos políticos</w:t>
      </w:r>
      <w:r w:rsidR="009000B2">
        <w:rPr>
          <w:rFonts w:asciiTheme="majorHAnsi" w:eastAsia="Calibri" w:hAnsiTheme="majorHAnsi"/>
          <w:b/>
          <w:sz w:val="20"/>
          <w:szCs w:val="20"/>
          <w:lang w:val="es-VE"/>
        </w:rPr>
        <w:t>,</w:t>
      </w:r>
      <w:r w:rsidRPr="00420489">
        <w:rPr>
          <w:rFonts w:asciiTheme="majorHAnsi" w:eastAsia="Calibri" w:hAnsiTheme="majorHAnsi"/>
          <w:sz w:val="20"/>
          <w:szCs w:val="20"/>
          <w:lang w:val="es-VE"/>
        </w:rPr>
        <w:t xml:space="preserve"> </w:t>
      </w:r>
      <w:r w:rsidR="00C05AAD" w:rsidRPr="00420489">
        <w:rPr>
          <w:rFonts w:asciiTheme="majorHAnsi" w:eastAsia="Calibri" w:hAnsiTheme="majorHAnsi"/>
          <w:sz w:val="20"/>
          <w:szCs w:val="20"/>
          <w:lang w:val="es-VE"/>
        </w:rPr>
        <w:t>los peticionarios argumentaron que</w:t>
      </w:r>
      <w:r w:rsidRPr="00420489">
        <w:rPr>
          <w:rFonts w:asciiTheme="majorHAnsi" w:eastAsia="Calibri" w:hAnsiTheme="majorHAnsi"/>
          <w:sz w:val="20"/>
          <w:szCs w:val="20"/>
          <w:lang w:val="es-VE"/>
        </w:rPr>
        <w:t xml:space="preserve"> las presuntas </w:t>
      </w:r>
      <w:r w:rsidR="000F60D7" w:rsidRPr="00420489">
        <w:rPr>
          <w:rFonts w:asciiTheme="majorHAnsi" w:eastAsia="Calibri" w:hAnsiTheme="majorHAnsi"/>
          <w:sz w:val="20"/>
          <w:szCs w:val="20"/>
          <w:lang w:val="es-VE"/>
        </w:rPr>
        <w:t>víctimas</w:t>
      </w:r>
      <w:r w:rsidRPr="00420489">
        <w:rPr>
          <w:rFonts w:asciiTheme="majorHAnsi" w:eastAsia="Calibri" w:hAnsiTheme="majorHAnsi"/>
          <w:sz w:val="20"/>
          <w:szCs w:val="20"/>
          <w:lang w:val="es-VE"/>
        </w:rPr>
        <w:t xml:space="preserve"> fueron objeto de presiones para no ejercer su derecho político a participar en el proce</w:t>
      </w:r>
      <w:r w:rsidR="00C05AAD" w:rsidRPr="00420489">
        <w:rPr>
          <w:rFonts w:asciiTheme="majorHAnsi" w:eastAsia="Calibri" w:hAnsiTheme="majorHAnsi"/>
          <w:sz w:val="20"/>
          <w:szCs w:val="20"/>
          <w:lang w:val="es-VE"/>
        </w:rPr>
        <w:t>so de convocatoria al referendo</w:t>
      </w:r>
      <w:r w:rsidRPr="00420489">
        <w:rPr>
          <w:rFonts w:asciiTheme="majorHAnsi" w:eastAsia="Calibri" w:hAnsiTheme="majorHAnsi"/>
          <w:sz w:val="20"/>
          <w:szCs w:val="20"/>
          <w:lang w:val="es-VE"/>
        </w:rPr>
        <w:t xml:space="preserve"> revocatorio presidencial y que su posterior despido implicó una sanción por ejercer </w:t>
      </w:r>
      <w:r w:rsidR="000F60D7" w:rsidRPr="00420489">
        <w:rPr>
          <w:rFonts w:asciiTheme="majorHAnsi" w:eastAsia="Calibri" w:hAnsiTheme="majorHAnsi"/>
          <w:sz w:val="20"/>
          <w:szCs w:val="20"/>
          <w:lang w:val="es-VE"/>
        </w:rPr>
        <w:t xml:space="preserve">dicho derecho. </w:t>
      </w:r>
      <w:r w:rsidRPr="00420489">
        <w:rPr>
          <w:rFonts w:asciiTheme="majorHAnsi" w:eastAsia="Calibri" w:hAnsiTheme="majorHAnsi"/>
          <w:sz w:val="20"/>
          <w:szCs w:val="20"/>
          <w:lang w:val="es-VE"/>
        </w:rPr>
        <w:t>Asimismo, los peticionarios alegaron que al hacerse pública la lista de quienes solicitaron la convocatoria del refer</w:t>
      </w:r>
      <w:r w:rsidR="00C05AAD" w:rsidRPr="00420489">
        <w:rPr>
          <w:rFonts w:asciiTheme="majorHAnsi" w:eastAsia="Calibri" w:hAnsiTheme="majorHAnsi"/>
          <w:sz w:val="20"/>
          <w:szCs w:val="20"/>
          <w:lang w:val="es-VE"/>
        </w:rPr>
        <w:t>endo</w:t>
      </w:r>
      <w:r w:rsidRPr="00420489">
        <w:rPr>
          <w:rFonts w:asciiTheme="majorHAnsi" w:eastAsia="Calibri" w:hAnsiTheme="majorHAnsi"/>
          <w:sz w:val="20"/>
          <w:szCs w:val="20"/>
          <w:lang w:val="es-VE"/>
        </w:rPr>
        <w:t>, se violó el derecho a</w:t>
      </w:r>
      <w:r w:rsidR="000F60D7" w:rsidRPr="00420489">
        <w:rPr>
          <w:rFonts w:asciiTheme="majorHAnsi" w:eastAsia="Calibri" w:hAnsiTheme="majorHAnsi"/>
          <w:sz w:val="20"/>
          <w:szCs w:val="20"/>
          <w:lang w:val="es-VE"/>
        </w:rPr>
        <w:t>l</w:t>
      </w:r>
      <w:r w:rsidRPr="00420489">
        <w:rPr>
          <w:rFonts w:asciiTheme="majorHAnsi" w:eastAsia="Calibri" w:hAnsiTheme="majorHAnsi"/>
          <w:sz w:val="20"/>
          <w:szCs w:val="20"/>
          <w:lang w:val="es-VE"/>
        </w:rPr>
        <w:t xml:space="preserve"> voto secreto establecido </w:t>
      </w:r>
      <w:r w:rsidR="000F60D7" w:rsidRPr="00420489">
        <w:rPr>
          <w:rFonts w:asciiTheme="majorHAnsi" w:eastAsia="Calibri" w:hAnsiTheme="majorHAnsi"/>
          <w:sz w:val="20"/>
          <w:szCs w:val="20"/>
          <w:lang w:val="es-VE"/>
        </w:rPr>
        <w:t>en</w:t>
      </w:r>
      <w:r w:rsidRPr="00420489">
        <w:rPr>
          <w:rFonts w:asciiTheme="majorHAnsi" w:eastAsia="Calibri" w:hAnsiTheme="majorHAnsi"/>
          <w:sz w:val="20"/>
          <w:szCs w:val="20"/>
          <w:lang w:val="es-VE"/>
        </w:rPr>
        <w:t xml:space="preserve"> el artículo 23.1.b de la Convención</w:t>
      </w:r>
      <w:r w:rsidR="000F60D7" w:rsidRPr="00420489">
        <w:rPr>
          <w:rFonts w:asciiTheme="majorHAnsi" w:eastAsia="Calibri" w:hAnsiTheme="majorHAnsi"/>
          <w:sz w:val="20"/>
          <w:szCs w:val="20"/>
          <w:lang w:val="es-VE"/>
        </w:rPr>
        <w:t xml:space="preserve">. </w:t>
      </w:r>
      <w:r w:rsidR="00CC54BA" w:rsidRPr="00420489">
        <w:rPr>
          <w:rFonts w:asciiTheme="majorHAnsi" w:eastAsia="Calibri" w:hAnsiTheme="majorHAnsi"/>
          <w:sz w:val="20"/>
          <w:szCs w:val="20"/>
          <w:lang w:val="es-VE"/>
        </w:rPr>
        <w:t xml:space="preserve"> Sostuvieron además la violación del artículo 23.1.c de la Convención pues al excluir de la administración pública a quienes no comparten la ideología oficial se impulsa un sistema de apartheid político.</w:t>
      </w:r>
    </w:p>
    <w:p w14:paraId="11D80765" w14:textId="77777777" w:rsidR="005334E2" w:rsidRPr="00420489" w:rsidRDefault="005334E2" w:rsidP="005334E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4F5F3164" w14:textId="77777777" w:rsidR="00424452" w:rsidRPr="00420489" w:rsidRDefault="00424452" w:rsidP="007127F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En relación </w:t>
      </w:r>
      <w:r w:rsidR="00EF5F2C" w:rsidRPr="00420489">
        <w:rPr>
          <w:rFonts w:asciiTheme="majorHAnsi" w:eastAsia="Calibri" w:hAnsiTheme="majorHAnsi"/>
          <w:sz w:val="20"/>
          <w:szCs w:val="20"/>
          <w:lang w:val="es-VE"/>
        </w:rPr>
        <w:t xml:space="preserve">con el </w:t>
      </w:r>
      <w:r w:rsidR="00EF5F2C" w:rsidRPr="00420489">
        <w:rPr>
          <w:rFonts w:asciiTheme="majorHAnsi" w:eastAsia="Calibri" w:hAnsiTheme="majorHAnsi"/>
          <w:b/>
          <w:sz w:val="20"/>
          <w:szCs w:val="20"/>
          <w:lang w:val="es-VE"/>
        </w:rPr>
        <w:t>derecho a la igualdad ante la ley</w:t>
      </w:r>
      <w:r w:rsidR="00BE31DC" w:rsidRPr="00420489">
        <w:rPr>
          <w:rFonts w:asciiTheme="majorHAnsi" w:eastAsia="Calibri" w:hAnsiTheme="majorHAnsi"/>
          <w:b/>
          <w:sz w:val="20"/>
          <w:szCs w:val="20"/>
          <w:lang w:val="es-VE"/>
        </w:rPr>
        <w:t xml:space="preserve"> y el principio de no discriminación</w:t>
      </w:r>
      <w:r w:rsidR="00A7408E" w:rsidRPr="00420489">
        <w:rPr>
          <w:rFonts w:asciiTheme="majorHAnsi" w:eastAsia="Calibri" w:hAnsiTheme="majorHAnsi"/>
          <w:sz w:val="20"/>
          <w:szCs w:val="20"/>
          <w:lang w:val="es-VE"/>
        </w:rPr>
        <w:t xml:space="preserve">, los </w:t>
      </w:r>
      <w:r w:rsidRPr="00420489">
        <w:rPr>
          <w:rFonts w:asciiTheme="majorHAnsi" w:eastAsia="Calibri" w:hAnsiTheme="majorHAnsi"/>
          <w:sz w:val="20"/>
          <w:szCs w:val="20"/>
          <w:lang w:val="es-VE"/>
        </w:rPr>
        <w:t>peticionarios afirma</w:t>
      </w:r>
      <w:r w:rsidR="00D32082" w:rsidRPr="00420489">
        <w:rPr>
          <w:rFonts w:asciiTheme="majorHAnsi" w:eastAsia="Calibri" w:hAnsiTheme="majorHAnsi"/>
          <w:sz w:val="20"/>
          <w:szCs w:val="20"/>
          <w:lang w:val="es-VE"/>
        </w:rPr>
        <w:t>ron</w:t>
      </w:r>
      <w:r w:rsidRPr="00420489">
        <w:rPr>
          <w:rFonts w:asciiTheme="majorHAnsi" w:eastAsia="Calibri" w:hAnsiTheme="majorHAnsi"/>
          <w:sz w:val="20"/>
          <w:szCs w:val="20"/>
          <w:lang w:val="es-VE"/>
        </w:rPr>
        <w:t xml:space="preserve"> que a diferencia de las presuntas víctimas, los funcionarios públicos que estaban comprometidos con el proyecto político del entonces Presidente de la República podían manifestar libremente sus opiniones sin ser despedidos del gobierno. </w:t>
      </w:r>
      <w:r w:rsidR="001B512E" w:rsidRPr="00420489">
        <w:rPr>
          <w:rFonts w:asciiTheme="majorHAnsi" w:eastAsia="Calibri" w:hAnsiTheme="majorHAnsi"/>
          <w:sz w:val="20"/>
          <w:szCs w:val="20"/>
          <w:lang w:val="es-VE"/>
        </w:rPr>
        <w:t xml:space="preserve">Asimismo, alegaron que </w:t>
      </w:r>
      <w:r w:rsidR="007127FA" w:rsidRPr="00420489">
        <w:rPr>
          <w:rFonts w:asciiTheme="majorHAnsi" w:eastAsia="Calibri" w:hAnsiTheme="majorHAnsi"/>
          <w:sz w:val="20"/>
          <w:szCs w:val="20"/>
          <w:lang w:val="es-VE"/>
        </w:rPr>
        <w:t xml:space="preserve">el caso constituye </w:t>
      </w:r>
      <w:r w:rsidR="001B512E" w:rsidRPr="00420489">
        <w:rPr>
          <w:rFonts w:asciiTheme="majorHAnsi" w:eastAsia="Calibri" w:hAnsiTheme="majorHAnsi"/>
          <w:sz w:val="20"/>
          <w:szCs w:val="20"/>
          <w:lang w:val="es-VE"/>
        </w:rPr>
        <w:t>un claro ejemplo de discriminación pol</w:t>
      </w:r>
      <w:r w:rsidR="007127FA" w:rsidRPr="00420489">
        <w:rPr>
          <w:rFonts w:asciiTheme="majorHAnsi" w:eastAsia="Calibri" w:hAnsiTheme="majorHAnsi"/>
          <w:sz w:val="20"/>
          <w:szCs w:val="20"/>
          <w:lang w:val="es-VE"/>
        </w:rPr>
        <w:t>ítica pues</w:t>
      </w:r>
      <w:r w:rsidR="001B512E" w:rsidRPr="00420489">
        <w:rPr>
          <w:rFonts w:asciiTheme="majorHAnsi" w:eastAsia="Calibri" w:hAnsiTheme="majorHAnsi"/>
          <w:sz w:val="20"/>
          <w:szCs w:val="20"/>
          <w:lang w:val="es-VE"/>
        </w:rPr>
        <w:t xml:space="preserve"> la publicación de la llamada “Lista </w:t>
      </w:r>
      <w:proofErr w:type="spellStart"/>
      <w:r w:rsidR="001B512E" w:rsidRPr="00420489">
        <w:rPr>
          <w:rFonts w:asciiTheme="majorHAnsi" w:eastAsia="Calibri" w:hAnsiTheme="majorHAnsi"/>
          <w:sz w:val="20"/>
          <w:szCs w:val="20"/>
          <w:lang w:val="es-VE"/>
        </w:rPr>
        <w:t>Tascón</w:t>
      </w:r>
      <w:proofErr w:type="spellEnd"/>
      <w:r w:rsidR="001B512E" w:rsidRPr="00420489">
        <w:rPr>
          <w:rFonts w:asciiTheme="majorHAnsi" w:eastAsia="Calibri" w:hAnsiTheme="majorHAnsi"/>
          <w:sz w:val="20"/>
          <w:szCs w:val="20"/>
          <w:lang w:val="es-VE"/>
        </w:rPr>
        <w:t>” tuvo como efecto exponer al odio y al desprecio público a quienes firmaron la convocatoria al refer</w:t>
      </w:r>
      <w:r w:rsidR="00A7408E" w:rsidRPr="00420489">
        <w:rPr>
          <w:rFonts w:asciiTheme="majorHAnsi" w:eastAsia="Calibri" w:hAnsiTheme="majorHAnsi"/>
          <w:sz w:val="20"/>
          <w:szCs w:val="20"/>
          <w:lang w:val="es-VE"/>
        </w:rPr>
        <w:t>endo</w:t>
      </w:r>
      <w:r w:rsidR="001B512E" w:rsidRPr="00420489">
        <w:rPr>
          <w:rFonts w:asciiTheme="majorHAnsi" w:eastAsia="Calibri" w:hAnsiTheme="majorHAnsi"/>
          <w:sz w:val="20"/>
          <w:szCs w:val="20"/>
          <w:lang w:val="es-VE"/>
        </w:rPr>
        <w:t xml:space="preserve"> revocatorio</w:t>
      </w:r>
      <w:r w:rsidR="00D57732" w:rsidRPr="00420489">
        <w:rPr>
          <w:rFonts w:asciiTheme="majorHAnsi" w:eastAsia="Calibri" w:hAnsiTheme="majorHAnsi"/>
          <w:sz w:val="20"/>
          <w:szCs w:val="20"/>
          <w:lang w:val="es-VE"/>
        </w:rPr>
        <w:t xml:space="preserve">. Agregaron que </w:t>
      </w:r>
      <w:r w:rsidR="001B512E" w:rsidRPr="00420489">
        <w:rPr>
          <w:rFonts w:asciiTheme="majorHAnsi" w:eastAsia="Calibri" w:hAnsiTheme="majorHAnsi"/>
          <w:sz w:val="20"/>
          <w:szCs w:val="20"/>
          <w:lang w:val="es-VE"/>
        </w:rPr>
        <w:t>los firmantes de la lista sufrieron diversas represalias, como ver impedido su acceso a las instalaciones públicas, la cancelación de sus contratos con la administración pública, obstáculos en la obtención de documentos de identidad, así como la publicación de sus nombres en las carteleras de las oficinas públicas y su calificación como “traidores de la patria”.</w:t>
      </w:r>
    </w:p>
    <w:p w14:paraId="11F69DA0" w14:textId="77777777" w:rsidR="00424452" w:rsidRPr="00420489" w:rsidRDefault="00424452"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14:paraId="3D09C3DD" w14:textId="77777777" w:rsidR="00424452" w:rsidRPr="00420489" w:rsidRDefault="00424452" w:rsidP="007F48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 xml:space="preserve">Respecto del </w:t>
      </w:r>
      <w:r w:rsidRPr="00420489">
        <w:rPr>
          <w:rFonts w:asciiTheme="majorHAnsi" w:eastAsia="Calibri" w:hAnsiTheme="majorHAnsi"/>
          <w:b/>
          <w:sz w:val="20"/>
          <w:szCs w:val="20"/>
          <w:lang w:val="es-VE"/>
        </w:rPr>
        <w:t>derecho a la protección judicial</w:t>
      </w:r>
      <w:r w:rsidRPr="00420489">
        <w:rPr>
          <w:rFonts w:asciiTheme="majorHAnsi" w:eastAsia="Calibri" w:hAnsiTheme="majorHAnsi"/>
          <w:sz w:val="20"/>
          <w:szCs w:val="20"/>
          <w:lang w:val="es-VE"/>
        </w:rPr>
        <w:t xml:space="preserve">, los peticionarios señalaron que las presuntas víctimas no ocupaban cargos de confianza en razón de que: (i) el Estado no había dado cumplimiento a lo establecido en el artículo 53 de la Ley del Estatuto de la Función Pública, en el cual se indica que los cargos de confianza deben indicarse expresamente en los reglamentos orgánicos de los entes de la administración pública; (ii) las presuntas víctimas nunca fueron invitadas a participar de reuniones de alto nivel; y (iii) todas ellas habían servido a la administración pública en el Consejo Nacional de Fronteras durante más de dos gobiernos, sin haber sido sustituidas por el cambio de Gobierno. </w:t>
      </w:r>
      <w:r w:rsidR="009B53F0" w:rsidRPr="00420489">
        <w:rPr>
          <w:rFonts w:asciiTheme="majorHAnsi" w:eastAsia="Calibri" w:hAnsiTheme="majorHAnsi"/>
          <w:sz w:val="20"/>
          <w:szCs w:val="20"/>
          <w:lang w:val="es-VE"/>
        </w:rPr>
        <w:t xml:space="preserve">Agregaron que esta clasificación equivocada fue la que les impidió contar con un </w:t>
      </w:r>
      <w:r w:rsidRPr="00420489">
        <w:rPr>
          <w:rFonts w:asciiTheme="majorHAnsi" w:eastAsia="Calibri" w:hAnsiTheme="majorHAnsi"/>
          <w:sz w:val="20"/>
          <w:szCs w:val="20"/>
          <w:lang w:val="es-VE"/>
        </w:rPr>
        <w:t xml:space="preserve">recurso sencillo y rápido </w:t>
      </w:r>
      <w:r w:rsidR="009B53F0" w:rsidRPr="00420489">
        <w:rPr>
          <w:rFonts w:asciiTheme="majorHAnsi" w:eastAsia="Calibri" w:hAnsiTheme="majorHAnsi"/>
          <w:sz w:val="20"/>
          <w:szCs w:val="20"/>
          <w:lang w:val="es-VE"/>
        </w:rPr>
        <w:t xml:space="preserve">para la protección de sus derechos. </w:t>
      </w:r>
      <w:r w:rsidR="003A5F02" w:rsidRPr="00420489">
        <w:rPr>
          <w:rFonts w:asciiTheme="majorHAnsi" w:eastAsia="Calibri" w:hAnsiTheme="majorHAnsi"/>
          <w:sz w:val="20"/>
          <w:szCs w:val="20"/>
          <w:lang w:val="es-VE"/>
        </w:rPr>
        <w:t xml:space="preserve"> En términos generales sostuvieron que “en ausencia de un Estado de Derecho, en el que operen tribunales independientes e imparciales, cualquier recurso de protección ante los tribunales venezolanos hubiera resultado ineficaz”.</w:t>
      </w:r>
    </w:p>
    <w:p w14:paraId="3AABCCBA" w14:textId="77777777" w:rsidR="00424452" w:rsidRPr="00420489" w:rsidRDefault="00424452" w:rsidP="00A7408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6BD9D46F" w14:textId="582FEF89" w:rsidR="00424452" w:rsidRPr="00420489" w:rsidRDefault="00424452" w:rsidP="004244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420489">
        <w:rPr>
          <w:rFonts w:asciiTheme="majorHAnsi" w:eastAsia="Calibri" w:hAnsiTheme="majorHAnsi"/>
          <w:sz w:val="20"/>
          <w:szCs w:val="20"/>
          <w:lang w:val="es-VE"/>
        </w:rPr>
        <w:t>En cuanto al</w:t>
      </w:r>
      <w:r w:rsidR="00FB4364" w:rsidRPr="00420489">
        <w:rPr>
          <w:rFonts w:asciiTheme="majorHAnsi" w:eastAsia="Calibri" w:hAnsiTheme="majorHAnsi"/>
          <w:sz w:val="20"/>
          <w:szCs w:val="20"/>
          <w:lang w:val="es-VE"/>
        </w:rPr>
        <w:t xml:space="preserve"> </w:t>
      </w:r>
      <w:r w:rsidR="00FB4364" w:rsidRPr="00420489">
        <w:rPr>
          <w:rFonts w:asciiTheme="majorHAnsi" w:eastAsia="Calibri" w:hAnsiTheme="majorHAnsi"/>
          <w:b/>
          <w:sz w:val="20"/>
          <w:szCs w:val="20"/>
          <w:lang w:val="es-VE"/>
        </w:rPr>
        <w:t>desarrollo progresivo de los derechos económicos, sociales y culturales</w:t>
      </w:r>
      <w:r w:rsidR="00DC651A">
        <w:rPr>
          <w:rFonts w:asciiTheme="majorHAnsi" w:eastAsia="Calibri" w:hAnsiTheme="majorHAnsi"/>
          <w:b/>
          <w:sz w:val="20"/>
          <w:szCs w:val="20"/>
          <w:lang w:val="es-VE"/>
        </w:rPr>
        <w:t>,</w:t>
      </w:r>
      <w:r w:rsidRPr="00420489">
        <w:rPr>
          <w:rFonts w:asciiTheme="majorHAnsi" w:eastAsia="Calibri" w:hAnsiTheme="majorHAnsi"/>
          <w:sz w:val="20"/>
          <w:szCs w:val="20"/>
          <w:lang w:val="es-VE"/>
        </w:rPr>
        <w:t xml:space="preserve"> los peticionarios señalaron que el despido de las presuntas víctimas atentó contra su derecho al trabajo</w:t>
      </w:r>
      <w:r w:rsidR="007D10B3" w:rsidRPr="00420489">
        <w:rPr>
          <w:rFonts w:asciiTheme="majorHAnsi" w:eastAsia="Calibri" w:hAnsiTheme="majorHAnsi"/>
          <w:sz w:val="20"/>
          <w:szCs w:val="20"/>
          <w:lang w:val="es-VE"/>
        </w:rPr>
        <w:t xml:space="preserve"> previsto en el </w:t>
      </w:r>
      <w:r w:rsidRPr="00420489">
        <w:rPr>
          <w:rFonts w:asciiTheme="majorHAnsi" w:eastAsia="Calibri" w:hAnsiTheme="majorHAnsi"/>
          <w:sz w:val="20"/>
          <w:szCs w:val="20"/>
          <w:lang w:val="es-VE"/>
        </w:rPr>
        <w:t>artículo 45</w:t>
      </w:r>
      <w:r w:rsidR="007D10B3" w:rsidRPr="00420489">
        <w:rPr>
          <w:rFonts w:asciiTheme="majorHAnsi" w:eastAsia="Calibri" w:hAnsiTheme="majorHAnsi"/>
          <w:sz w:val="20"/>
          <w:szCs w:val="20"/>
          <w:lang w:val="es-VE"/>
        </w:rPr>
        <w:t xml:space="preserve"> de la Carta de la OEA</w:t>
      </w:r>
      <w:r w:rsidR="008909B7" w:rsidRPr="00420489">
        <w:rPr>
          <w:rFonts w:asciiTheme="majorHAnsi" w:eastAsia="Calibri" w:hAnsiTheme="majorHAnsi"/>
          <w:sz w:val="20"/>
          <w:szCs w:val="20"/>
          <w:lang w:val="es-VE"/>
        </w:rPr>
        <w:t xml:space="preserve"> a la cual remite el artículo 26 de la Convención.</w:t>
      </w:r>
      <w:r w:rsidR="00D20BD7" w:rsidRPr="00420489">
        <w:rPr>
          <w:rFonts w:asciiTheme="majorHAnsi" w:eastAsia="Calibri" w:hAnsiTheme="majorHAnsi"/>
          <w:sz w:val="20"/>
          <w:szCs w:val="20"/>
          <w:lang w:val="es-VE"/>
        </w:rPr>
        <w:t xml:space="preserve"> Agregaron que el principio de no discriminación resulta fundamental en cuanto a los derechos económicos, sociales y culturales. </w:t>
      </w:r>
    </w:p>
    <w:p w14:paraId="1EB79080" w14:textId="77777777" w:rsidR="00424452" w:rsidRPr="00420489" w:rsidRDefault="00424452" w:rsidP="00DA05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032F40D1" w14:textId="77777777" w:rsidR="00E40449" w:rsidRPr="00420489" w:rsidRDefault="00E40449" w:rsidP="005E081B">
      <w:pPr>
        <w:pStyle w:val="Heading2"/>
        <w:numPr>
          <w:ilvl w:val="0"/>
          <w:numId w:val="59"/>
        </w:numPr>
      </w:pPr>
      <w:bookmarkStart w:id="16" w:name="_Toc370840747"/>
      <w:bookmarkStart w:id="17" w:name="_Toc370840843"/>
      <w:bookmarkStart w:id="18" w:name="_Toc423514409"/>
      <w:bookmarkStart w:id="19" w:name="_Toc433308898"/>
      <w:r w:rsidRPr="00420489">
        <w:lastRenderedPageBreak/>
        <w:t>Posición del Estado</w:t>
      </w:r>
      <w:bookmarkEnd w:id="16"/>
      <w:bookmarkEnd w:id="17"/>
      <w:bookmarkEnd w:id="18"/>
      <w:bookmarkEnd w:id="19"/>
    </w:p>
    <w:p w14:paraId="46D63BE3" w14:textId="77777777" w:rsidR="00E40449" w:rsidRPr="00420489" w:rsidRDefault="00E40449" w:rsidP="00E40449">
      <w:pPr>
        <w:jc w:val="both"/>
        <w:rPr>
          <w:rFonts w:asciiTheme="majorHAnsi" w:hAnsiTheme="majorHAnsi"/>
          <w:sz w:val="20"/>
          <w:szCs w:val="20"/>
        </w:rPr>
      </w:pPr>
    </w:p>
    <w:p w14:paraId="23C44285" w14:textId="77777777" w:rsidR="00A24801" w:rsidRPr="00420489" w:rsidRDefault="00E10B87"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El Estado no presentó sus observaciones adicionales sobre el fondo. En ese sentido, la presente sección se basa en lo alegado por el Estado en la etapa de admisibilidad, en la medida de lo pertinente para el análisis de fondo. </w:t>
      </w:r>
    </w:p>
    <w:p w14:paraId="3B38A4A2" w14:textId="77777777" w:rsidR="00A24801" w:rsidRPr="00420489" w:rsidRDefault="00A24801" w:rsidP="00A2480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14:paraId="0710BD29" w14:textId="77777777" w:rsidR="00A7408E" w:rsidRPr="00420489" w:rsidRDefault="00A24801" w:rsidP="00A7408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Al referirse al proceso de solicitud de firmas para la convocatoria del refer</w:t>
      </w:r>
      <w:r w:rsidR="00A7408E" w:rsidRPr="00420489">
        <w:rPr>
          <w:rFonts w:asciiTheme="majorHAnsi" w:eastAsia="Times New Roman" w:hAnsiTheme="majorHAnsi"/>
          <w:sz w:val="20"/>
          <w:szCs w:val="20"/>
          <w:bdr w:val="none" w:sz="0" w:space="0" w:color="auto"/>
          <w:lang w:val="es-AR"/>
        </w:rPr>
        <w:t xml:space="preserve">endo </w:t>
      </w:r>
      <w:r w:rsidRPr="00420489">
        <w:rPr>
          <w:rFonts w:asciiTheme="majorHAnsi" w:eastAsia="Times New Roman" w:hAnsiTheme="majorHAnsi"/>
          <w:sz w:val="20"/>
          <w:szCs w:val="20"/>
          <w:bdr w:val="none" w:sz="0" w:space="0" w:color="auto"/>
          <w:lang w:val="es-AR"/>
        </w:rPr>
        <w:t xml:space="preserve">revocatorio del Presidente de la República, el Estado explicó que </w:t>
      </w:r>
      <w:r w:rsidR="00BA683E" w:rsidRPr="00420489">
        <w:rPr>
          <w:rFonts w:asciiTheme="majorHAnsi" w:eastAsia="Times New Roman" w:hAnsiTheme="majorHAnsi"/>
          <w:sz w:val="20"/>
          <w:szCs w:val="20"/>
          <w:bdr w:val="none" w:sz="0" w:space="0" w:color="auto"/>
          <w:lang w:val="es-AR"/>
        </w:rPr>
        <w:t xml:space="preserve">el mismo </w:t>
      </w:r>
      <w:r w:rsidRPr="00420489">
        <w:rPr>
          <w:rFonts w:asciiTheme="majorHAnsi" w:eastAsia="Times New Roman" w:hAnsiTheme="majorHAnsi"/>
          <w:sz w:val="20"/>
          <w:szCs w:val="20"/>
          <w:bdr w:val="none" w:sz="0" w:space="0" w:color="auto"/>
          <w:lang w:val="es-AR"/>
        </w:rPr>
        <w:t xml:space="preserve">exige recoger las firmas de por lo menos el veinte por ciento de los electores, tal como lo dispone el artículo 72 de la Constitución de ese país. </w:t>
      </w:r>
      <w:r w:rsidR="00BA683E" w:rsidRPr="00420489">
        <w:rPr>
          <w:rFonts w:asciiTheme="majorHAnsi" w:eastAsia="Times New Roman" w:hAnsiTheme="majorHAnsi"/>
          <w:sz w:val="20"/>
          <w:szCs w:val="20"/>
          <w:bdr w:val="none" w:sz="0" w:space="0" w:color="auto"/>
          <w:lang w:val="es-AR"/>
        </w:rPr>
        <w:t xml:space="preserve">Indicó que </w:t>
      </w:r>
      <w:r w:rsidRPr="00420489">
        <w:rPr>
          <w:rFonts w:asciiTheme="majorHAnsi" w:eastAsia="Times New Roman" w:hAnsiTheme="majorHAnsi"/>
          <w:sz w:val="20"/>
          <w:szCs w:val="20"/>
          <w:bdr w:val="none" w:sz="0" w:space="0" w:color="auto"/>
          <w:lang w:val="es-AR"/>
        </w:rPr>
        <w:t>el CNE analizó las firmas recibidas y objetó algunas debido a irregularidades. Según el Estado, esta</w:t>
      </w:r>
      <w:r w:rsidR="00BA683E" w:rsidRPr="00420489">
        <w:rPr>
          <w:rFonts w:asciiTheme="majorHAnsi" w:eastAsia="Times New Roman" w:hAnsiTheme="majorHAnsi"/>
          <w:sz w:val="20"/>
          <w:szCs w:val="20"/>
          <w:bdr w:val="none" w:sz="0" w:space="0" w:color="auto"/>
          <w:lang w:val="es-AR"/>
        </w:rPr>
        <w:t xml:space="preserve"> fue la</w:t>
      </w:r>
      <w:r w:rsidRPr="00420489">
        <w:rPr>
          <w:rFonts w:asciiTheme="majorHAnsi" w:eastAsia="Times New Roman" w:hAnsiTheme="majorHAnsi"/>
          <w:sz w:val="20"/>
          <w:szCs w:val="20"/>
          <w:bdr w:val="none" w:sz="0" w:space="0" w:color="auto"/>
          <w:lang w:val="es-AR"/>
        </w:rPr>
        <w:t xml:space="preserve"> situación que llevó a crear la base de datos que los peticionarios cuestionan, la cual fue pensada como una herramienta ciudadana</w:t>
      </w:r>
      <w:r w:rsidR="001A0A80" w:rsidRPr="00420489">
        <w:rPr>
          <w:rFonts w:asciiTheme="majorHAnsi" w:eastAsia="Times New Roman" w:hAnsiTheme="majorHAnsi"/>
          <w:sz w:val="20"/>
          <w:szCs w:val="20"/>
          <w:bdr w:val="none" w:sz="0" w:space="0" w:color="auto"/>
          <w:lang w:val="es-AR"/>
        </w:rPr>
        <w:t>,</w:t>
      </w:r>
      <w:r w:rsidRPr="00420489">
        <w:rPr>
          <w:rFonts w:asciiTheme="majorHAnsi" w:eastAsia="Times New Roman" w:hAnsiTheme="majorHAnsi"/>
          <w:sz w:val="20"/>
          <w:szCs w:val="20"/>
          <w:bdr w:val="none" w:sz="0" w:space="0" w:color="auto"/>
          <w:lang w:val="es-AR"/>
        </w:rPr>
        <w:t xml:space="preserve"> </w:t>
      </w:r>
      <w:r w:rsidR="001A0A80" w:rsidRPr="00420489">
        <w:rPr>
          <w:rFonts w:asciiTheme="majorHAnsi" w:eastAsia="Times New Roman" w:hAnsiTheme="majorHAnsi"/>
          <w:sz w:val="20"/>
          <w:szCs w:val="20"/>
          <w:bdr w:val="none" w:sz="0" w:space="0" w:color="auto"/>
          <w:lang w:val="es-AR"/>
        </w:rPr>
        <w:t xml:space="preserve"> para verificar si en la solicitud de referendo se habían incluido </w:t>
      </w:r>
      <w:r w:rsidR="00A7408E" w:rsidRPr="00420489">
        <w:rPr>
          <w:rFonts w:asciiTheme="majorHAnsi" w:eastAsia="Times New Roman" w:hAnsiTheme="majorHAnsi"/>
          <w:sz w:val="20"/>
          <w:szCs w:val="20"/>
          <w:bdr w:val="none" w:sz="0" w:space="0" w:color="auto"/>
          <w:lang w:val="es-AR"/>
        </w:rPr>
        <w:t>firmas de manera fraudulenta</w:t>
      </w:r>
      <w:r w:rsidR="001A0A80" w:rsidRPr="00420489">
        <w:rPr>
          <w:rFonts w:asciiTheme="majorHAnsi" w:eastAsia="Times New Roman" w:hAnsiTheme="majorHAnsi"/>
          <w:sz w:val="20"/>
          <w:szCs w:val="20"/>
          <w:bdr w:val="none" w:sz="0" w:space="0" w:color="auto"/>
          <w:lang w:val="es-AR"/>
        </w:rPr>
        <w:t>.</w:t>
      </w:r>
    </w:p>
    <w:p w14:paraId="28358D5C" w14:textId="77777777" w:rsidR="00A24801" w:rsidRPr="00420489" w:rsidRDefault="00A7408E" w:rsidP="00A7408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 xml:space="preserve"> </w:t>
      </w:r>
    </w:p>
    <w:p w14:paraId="297CD67E" w14:textId="77777777" w:rsidR="00A24801" w:rsidRPr="0042048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420489">
        <w:rPr>
          <w:rFonts w:asciiTheme="majorHAnsi" w:eastAsia="Times New Roman" w:hAnsiTheme="majorHAnsi"/>
          <w:sz w:val="20"/>
          <w:szCs w:val="20"/>
          <w:bdr w:val="none" w:sz="0" w:space="0" w:color="auto"/>
          <w:lang w:val="es-AR"/>
        </w:rPr>
        <w:t xml:space="preserve">El Estado explicó que el 2 de marzo de 2004 el CNE dictó normas para regular el proceso de reparo tendiente a verificar la veracidad de las firmas, el cual se llevaría a cabo el 20 de abril de 2004. Señaló el Estado que el acto de reparo de firmas se realizó el 27 de junio de 2004 y que en virtud de que la firma de Rocío San Miguel era una de las que había sido objetada por supuestas irregularidades, </w:t>
      </w:r>
      <w:r w:rsidR="00231B3A" w:rsidRPr="00420489">
        <w:rPr>
          <w:rFonts w:asciiTheme="majorHAnsi" w:eastAsia="Times New Roman" w:hAnsiTheme="majorHAnsi"/>
          <w:sz w:val="20"/>
          <w:szCs w:val="20"/>
          <w:bdr w:val="none" w:sz="0" w:space="0" w:color="auto"/>
          <w:lang w:val="es-AR"/>
        </w:rPr>
        <w:t xml:space="preserve">su </w:t>
      </w:r>
      <w:r w:rsidRPr="00420489">
        <w:rPr>
          <w:rFonts w:asciiTheme="majorHAnsi" w:eastAsia="Times New Roman" w:hAnsiTheme="majorHAnsi"/>
          <w:sz w:val="20"/>
          <w:szCs w:val="20"/>
          <w:bdr w:val="none" w:sz="0" w:space="0" w:color="auto"/>
          <w:lang w:val="es-AR"/>
        </w:rPr>
        <w:t>contrato no pudo haber sido resuelto en razón de una firma que tomó fuerza legal al momento del reparo, esto es, una vez concluido todo el proceso de solicitud de referéndum presidencial.</w:t>
      </w:r>
    </w:p>
    <w:p w14:paraId="353D71F9"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114A1AE7" w14:textId="77777777" w:rsidR="00A24801" w:rsidRPr="00420489" w:rsidRDefault="00A24801" w:rsidP="000E4DE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Según el Estado, los procesos de rescisión de los contratos fueron adelantados con total apego a la ley y respetando el principio de la voluntad de las partes signatarias.</w:t>
      </w:r>
      <w:r w:rsidR="00D200F6" w:rsidRPr="00420489">
        <w:rPr>
          <w:rFonts w:asciiTheme="majorHAnsi" w:eastAsia="Times New Roman" w:hAnsiTheme="majorHAnsi"/>
          <w:sz w:val="20"/>
          <w:szCs w:val="20"/>
          <w:bdr w:val="none" w:sz="0" w:space="0" w:color="auto"/>
          <w:lang w:val="es-AR"/>
        </w:rPr>
        <w:t xml:space="preserve"> Precisó que </w:t>
      </w:r>
      <w:r w:rsidRPr="00420489">
        <w:rPr>
          <w:rFonts w:asciiTheme="majorHAnsi" w:eastAsia="Times New Roman" w:hAnsiTheme="majorHAnsi"/>
          <w:sz w:val="20"/>
          <w:szCs w:val="20"/>
          <w:bdr w:val="none" w:sz="0" w:space="0" w:color="auto"/>
          <w:lang w:val="es-AR"/>
        </w:rPr>
        <w:t xml:space="preserve">el 31 de diciembre de 2003 las presuntas </w:t>
      </w:r>
      <w:r w:rsidR="00D200F6" w:rsidRPr="00420489">
        <w:rPr>
          <w:rFonts w:asciiTheme="majorHAnsi" w:eastAsia="Times New Roman" w:hAnsiTheme="majorHAnsi"/>
          <w:sz w:val="20"/>
          <w:szCs w:val="20"/>
          <w:bdr w:val="none" w:sz="0" w:space="0" w:color="auto"/>
          <w:lang w:val="es-AR"/>
        </w:rPr>
        <w:t>víctimas</w:t>
      </w:r>
      <w:r w:rsidRPr="00420489">
        <w:rPr>
          <w:rFonts w:asciiTheme="majorHAnsi" w:eastAsia="Times New Roman" w:hAnsiTheme="majorHAnsi"/>
          <w:sz w:val="20"/>
          <w:szCs w:val="20"/>
          <w:bdr w:val="none" w:sz="0" w:space="0" w:color="auto"/>
          <w:lang w:val="es-AR"/>
        </w:rPr>
        <w:t xml:space="preserve"> firmaron un nuevo contrato con el Consejo Nacional de Fronteras con vigencia del 1 de enero hasta el 31 de diciembre de 2004. El Estado informó que </w:t>
      </w:r>
      <w:r w:rsidR="00231B3A" w:rsidRPr="00420489">
        <w:rPr>
          <w:rFonts w:asciiTheme="majorHAnsi" w:eastAsia="Times New Roman" w:hAnsiTheme="majorHAnsi"/>
          <w:sz w:val="20"/>
          <w:szCs w:val="20"/>
          <w:bdr w:val="none" w:sz="0" w:space="0" w:color="auto"/>
          <w:lang w:val="es-AR"/>
        </w:rPr>
        <w:t xml:space="preserve">en </w:t>
      </w:r>
      <w:r w:rsidRPr="00420489">
        <w:rPr>
          <w:rFonts w:asciiTheme="majorHAnsi" w:eastAsia="Times New Roman" w:hAnsiTheme="majorHAnsi"/>
          <w:sz w:val="20"/>
          <w:szCs w:val="20"/>
          <w:bdr w:val="none" w:sz="0" w:space="0" w:color="auto"/>
          <w:lang w:val="es-AR"/>
        </w:rPr>
        <w:t xml:space="preserve">marzo de 2004, el presidente del Consejo Nacional de Fronteras decidió dar por terminados los contratos de </w:t>
      </w:r>
      <w:r w:rsidRPr="00420489">
        <w:rPr>
          <w:rFonts w:asciiTheme="majorHAnsi" w:eastAsia="Times New Roman" w:hAnsiTheme="majorHAnsi"/>
          <w:sz w:val="20"/>
          <w:szCs w:val="20"/>
          <w:bdr w:val="none" w:sz="0" w:space="0" w:color="auto"/>
          <w:lang w:val="es-ES"/>
        </w:rPr>
        <w:t xml:space="preserve">Rocío San Miguel Sosa, </w:t>
      </w:r>
      <w:proofErr w:type="spellStart"/>
      <w:r w:rsidRPr="00420489">
        <w:rPr>
          <w:rFonts w:asciiTheme="majorHAnsi" w:eastAsia="Times New Roman" w:hAnsiTheme="majorHAnsi"/>
          <w:sz w:val="20"/>
          <w:szCs w:val="20"/>
          <w:bdr w:val="none" w:sz="0" w:space="0" w:color="auto"/>
          <w:lang w:val="es-ES"/>
        </w:rPr>
        <w:t>Magally</w:t>
      </w:r>
      <w:proofErr w:type="spellEnd"/>
      <w:r w:rsidRPr="00420489">
        <w:rPr>
          <w:rFonts w:asciiTheme="majorHAnsi" w:eastAsia="Times New Roman" w:hAnsiTheme="majorHAnsi"/>
          <w:sz w:val="20"/>
          <w:szCs w:val="20"/>
          <w:bdr w:val="none" w:sz="0" w:space="0" w:color="auto"/>
          <w:lang w:val="es-ES"/>
        </w:rPr>
        <w:t xml:space="preserve"> Chang Girón y Thais Coromoto Peña</w:t>
      </w:r>
      <w:r w:rsidRPr="00420489">
        <w:rPr>
          <w:rFonts w:asciiTheme="majorHAnsi" w:eastAsia="Times New Roman" w:hAnsiTheme="majorHAnsi"/>
          <w:sz w:val="20"/>
          <w:szCs w:val="20"/>
          <w:bdr w:val="none" w:sz="0" w:space="0" w:color="auto"/>
          <w:lang w:val="es-AR"/>
        </w:rPr>
        <w:t xml:space="preserve"> aplicando la cláusula séptima de esos contratos</w:t>
      </w:r>
      <w:r w:rsidR="00087C95" w:rsidRPr="00420489">
        <w:rPr>
          <w:rFonts w:asciiTheme="majorHAnsi" w:eastAsia="Times New Roman" w:hAnsiTheme="majorHAnsi"/>
          <w:sz w:val="20"/>
          <w:szCs w:val="20"/>
          <w:bdr w:val="none" w:sz="0" w:space="0" w:color="auto"/>
          <w:lang w:val="es-AR"/>
        </w:rPr>
        <w:t xml:space="preserve">. </w:t>
      </w:r>
    </w:p>
    <w:p w14:paraId="62F6C14B" w14:textId="77777777" w:rsidR="00A24801" w:rsidRPr="00420489" w:rsidRDefault="00A24801" w:rsidP="00A2480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AR"/>
        </w:rPr>
      </w:pPr>
    </w:p>
    <w:p w14:paraId="2F624EFC" w14:textId="77777777" w:rsidR="00A24801" w:rsidRPr="00420489" w:rsidRDefault="00CB6CDB"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E</w:t>
      </w:r>
      <w:r w:rsidR="00A24801" w:rsidRPr="00420489">
        <w:rPr>
          <w:rFonts w:asciiTheme="majorHAnsi" w:eastAsia="Times New Roman" w:hAnsiTheme="majorHAnsi"/>
          <w:sz w:val="20"/>
          <w:szCs w:val="20"/>
          <w:bdr w:val="none" w:sz="0" w:space="0" w:color="auto"/>
          <w:lang w:val="es-AR"/>
        </w:rPr>
        <w:t>l Estado</w:t>
      </w:r>
      <w:r w:rsidRPr="00420489">
        <w:rPr>
          <w:rFonts w:asciiTheme="majorHAnsi" w:eastAsia="Times New Roman" w:hAnsiTheme="majorHAnsi"/>
          <w:sz w:val="20"/>
          <w:szCs w:val="20"/>
          <w:bdr w:val="none" w:sz="0" w:space="0" w:color="auto"/>
          <w:lang w:val="es-AR"/>
        </w:rPr>
        <w:t xml:space="preserve"> indicó que para cuando iniciaron los supuestos “llamados a la discriminación política”</w:t>
      </w:r>
      <w:r w:rsidR="00A24801" w:rsidRPr="00420489">
        <w:rPr>
          <w:rFonts w:asciiTheme="majorHAnsi" w:eastAsia="Times New Roman" w:hAnsiTheme="majorHAnsi"/>
          <w:sz w:val="20"/>
          <w:szCs w:val="20"/>
          <w:bdr w:val="none" w:sz="0" w:space="0" w:color="auto"/>
          <w:lang w:val="es-AR"/>
        </w:rPr>
        <w:t xml:space="preserve"> los contratos de las presuntas </w:t>
      </w:r>
      <w:r w:rsidR="000E4DE0" w:rsidRPr="00420489">
        <w:rPr>
          <w:rFonts w:asciiTheme="majorHAnsi" w:eastAsia="Times New Roman" w:hAnsiTheme="majorHAnsi"/>
          <w:sz w:val="20"/>
          <w:szCs w:val="20"/>
          <w:bdr w:val="none" w:sz="0" w:space="0" w:color="auto"/>
          <w:lang w:val="es-AR"/>
        </w:rPr>
        <w:t xml:space="preserve">víctimas </w:t>
      </w:r>
      <w:r w:rsidR="00A24801" w:rsidRPr="00420489">
        <w:rPr>
          <w:rFonts w:asciiTheme="majorHAnsi" w:eastAsia="Times New Roman" w:hAnsiTheme="majorHAnsi"/>
          <w:sz w:val="20"/>
          <w:szCs w:val="20"/>
          <w:bdr w:val="none" w:sz="0" w:space="0" w:color="auto"/>
          <w:lang w:val="es-AR"/>
        </w:rPr>
        <w:t>ya habían sido rescindidos</w:t>
      </w:r>
      <w:r w:rsidR="00C047D5" w:rsidRPr="00420489">
        <w:rPr>
          <w:rFonts w:asciiTheme="majorHAnsi" w:eastAsia="Times New Roman" w:hAnsiTheme="majorHAnsi"/>
          <w:sz w:val="20"/>
          <w:szCs w:val="20"/>
          <w:bdr w:val="none" w:sz="0" w:space="0" w:color="auto"/>
          <w:lang w:val="es-AR"/>
        </w:rPr>
        <w:t xml:space="preserve">, por lo que no existe un </w:t>
      </w:r>
      <w:r w:rsidR="00A24801" w:rsidRPr="00420489">
        <w:rPr>
          <w:rFonts w:asciiTheme="majorHAnsi" w:eastAsia="Times New Roman" w:hAnsiTheme="majorHAnsi"/>
          <w:sz w:val="20"/>
          <w:szCs w:val="20"/>
          <w:bdr w:val="none" w:sz="0" w:space="0" w:color="auto"/>
          <w:lang w:val="es-AR"/>
        </w:rPr>
        <w:t>nexo causal entre la participación del proceso de recolección de firmas y la terminación de los contratos.</w:t>
      </w:r>
    </w:p>
    <w:p w14:paraId="697CF33C" w14:textId="77777777" w:rsidR="00A24801" w:rsidRPr="00420489" w:rsidRDefault="00A24801" w:rsidP="00A2480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p>
    <w:p w14:paraId="798C2EE4" w14:textId="69823A70" w:rsidR="00A24801" w:rsidRPr="0042048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El Estado sostuvo que, como co</w:t>
      </w:r>
      <w:r w:rsidR="00523F23">
        <w:rPr>
          <w:rFonts w:asciiTheme="majorHAnsi" w:eastAsia="Times New Roman" w:hAnsiTheme="majorHAnsi"/>
          <w:sz w:val="20"/>
          <w:szCs w:val="20"/>
          <w:bdr w:val="none" w:sz="0" w:space="0" w:color="auto"/>
          <w:lang w:val="es-AR"/>
        </w:rPr>
        <w:t xml:space="preserve">nsecuencia de la terminación de sus </w:t>
      </w:r>
      <w:r w:rsidRPr="00420489">
        <w:rPr>
          <w:rFonts w:asciiTheme="majorHAnsi" w:eastAsia="Times New Roman" w:hAnsiTheme="majorHAnsi"/>
          <w:sz w:val="20"/>
          <w:szCs w:val="20"/>
          <w:bdr w:val="none" w:sz="0" w:space="0" w:color="auto"/>
          <w:lang w:val="es-AR"/>
        </w:rPr>
        <w:t>contrato</w:t>
      </w:r>
      <w:r w:rsidR="00523F23">
        <w:rPr>
          <w:rFonts w:asciiTheme="majorHAnsi" w:eastAsia="Times New Roman" w:hAnsiTheme="majorHAnsi"/>
          <w:sz w:val="20"/>
          <w:szCs w:val="20"/>
          <w:bdr w:val="none" w:sz="0" w:space="0" w:color="auto"/>
          <w:lang w:val="es-AR"/>
        </w:rPr>
        <w:t>s</w:t>
      </w:r>
      <w:r w:rsidRPr="00420489">
        <w:rPr>
          <w:rFonts w:asciiTheme="majorHAnsi" w:eastAsia="Times New Roman" w:hAnsiTheme="majorHAnsi"/>
          <w:sz w:val="20"/>
          <w:szCs w:val="20"/>
          <w:bdr w:val="none" w:sz="0" w:space="0" w:color="auto"/>
          <w:lang w:val="es-AR"/>
        </w:rPr>
        <w:t xml:space="preserve">, las presuntas </w:t>
      </w:r>
      <w:r w:rsidR="007848A4" w:rsidRPr="00420489">
        <w:rPr>
          <w:rFonts w:asciiTheme="majorHAnsi" w:eastAsia="Times New Roman" w:hAnsiTheme="majorHAnsi"/>
          <w:sz w:val="20"/>
          <w:szCs w:val="20"/>
          <w:bdr w:val="none" w:sz="0" w:space="0" w:color="auto"/>
          <w:lang w:val="es-AR"/>
        </w:rPr>
        <w:t>víctimas</w:t>
      </w:r>
      <w:r w:rsidRPr="00420489">
        <w:rPr>
          <w:rFonts w:asciiTheme="majorHAnsi" w:eastAsia="Times New Roman" w:hAnsiTheme="majorHAnsi"/>
          <w:sz w:val="20"/>
          <w:szCs w:val="20"/>
          <w:bdr w:val="none" w:sz="0" w:space="0" w:color="auto"/>
          <w:lang w:val="es-AR"/>
        </w:rPr>
        <w:t xml:space="preserve"> interpusieron el 22 de junio de 2004 un recurso de amparo constitucional. El Estado señaló que el 27 de julio de 2005 se declaró improcedente el recurso de amparo constitucional en cuanto al fondo </w:t>
      </w:r>
      <w:r w:rsidR="000C246A" w:rsidRPr="00420489">
        <w:rPr>
          <w:rFonts w:asciiTheme="majorHAnsi" w:eastAsia="Times New Roman" w:hAnsiTheme="majorHAnsi"/>
          <w:sz w:val="20"/>
          <w:szCs w:val="20"/>
          <w:bdr w:val="none" w:sz="0" w:space="0" w:color="auto"/>
          <w:lang w:val="es-AR"/>
        </w:rPr>
        <w:t xml:space="preserve">y que el </w:t>
      </w:r>
      <w:r w:rsidRPr="00420489">
        <w:rPr>
          <w:rFonts w:asciiTheme="majorHAnsi" w:eastAsia="Times New Roman" w:hAnsiTheme="majorHAnsi"/>
          <w:sz w:val="20"/>
          <w:szCs w:val="20"/>
          <w:bdr w:val="none" w:sz="0" w:space="0" w:color="auto"/>
          <w:lang w:val="es-AR"/>
        </w:rPr>
        <w:t>9 de septiembre de 2005 el Juzgado Tercero Superior de Juicio ratificó la decisión</w:t>
      </w:r>
      <w:r w:rsidR="000C246A" w:rsidRPr="00420489">
        <w:rPr>
          <w:rFonts w:asciiTheme="majorHAnsi" w:eastAsia="Times New Roman" w:hAnsiTheme="majorHAnsi"/>
          <w:sz w:val="20"/>
          <w:szCs w:val="20"/>
          <w:bdr w:val="none" w:sz="0" w:space="0" w:color="auto"/>
          <w:lang w:val="es-AR"/>
        </w:rPr>
        <w:t>.</w:t>
      </w:r>
    </w:p>
    <w:p w14:paraId="11EFE8D3"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3BC3B434" w14:textId="77777777" w:rsidR="00A24801" w:rsidRPr="0042048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El Estado afirmó que las presuntas víctimas presentaron una denuncia ante la Defensoría del Pueblo el 27 de mayo de 2004</w:t>
      </w:r>
      <w:r w:rsidR="00492F3F" w:rsidRPr="00420489">
        <w:rPr>
          <w:rFonts w:asciiTheme="majorHAnsi" w:eastAsia="Times New Roman" w:hAnsiTheme="majorHAnsi"/>
          <w:sz w:val="20"/>
          <w:szCs w:val="20"/>
          <w:bdr w:val="none" w:sz="0" w:space="0" w:color="auto"/>
          <w:lang w:val="es-AR"/>
        </w:rPr>
        <w:t xml:space="preserve"> y que el </w:t>
      </w:r>
      <w:r w:rsidRPr="00420489">
        <w:rPr>
          <w:rFonts w:asciiTheme="majorHAnsi" w:eastAsia="Times New Roman" w:hAnsiTheme="majorHAnsi"/>
          <w:sz w:val="20"/>
          <w:szCs w:val="20"/>
          <w:bdr w:val="none" w:sz="0" w:space="0" w:color="auto"/>
          <w:lang w:val="es-AR"/>
        </w:rPr>
        <w:t>17 de agosto de 2004</w:t>
      </w:r>
      <w:r w:rsidR="00492F3F" w:rsidRPr="00420489">
        <w:rPr>
          <w:rFonts w:asciiTheme="majorHAnsi" w:eastAsia="Times New Roman" w:hAnsiTheme="majorHAnsi"/>
          <w:sz w:val="20"/>
          <w:szCs w:val="20"/>
          <w:bdr w:val="none" w:sz="0" w:space="0" w:color="auto"/>
          <w:lang w:val="es-AR"/>
        </w:rPr>
        <w:t xml:space="preserve"> dicha entidad </w:t>
      </w:r>
      <w:r w:rsidRPr="00420489">
        <w:rPr>
          <w:rFonts w:asciiTheme="majorHAnsi" w:eastAsia="Times New Roman" w:hAnsiTheme="majorHAnsi"/>
          <w:sz w:val="20"/>
          <w:szCs w:val="20"/>
          <w:bdr w:val="none" w:sz="0" w:space="0" w:color="auto"/>
          <w:lang w:val="es-AR"/>
        </w:rPr>
        <w:t xml:space="preserve">emitió acta de cierre del procedimiento como consecuencia de no haberse encontrado suficientes indicios que permitan establecer que hubo una violación de derechos humanos. Por otra parte, el Estado destacó que las presuntas </w:t>
      </w:r>
      <w:r w:rsidR="00492F3F" w:rsidRPr="00420489">
        <w:rPr>
          <w:rFonts w:asciiTheme="majorHAnsi" w:eastAsia="Times New Roman" w:hAnsiTheme="majorHAnsi"/>
          <w:sz w:val="20"/>
          <w:szCs w:val="20"/>
          <w:bdr w:val="none" w:sz="0" w:space="0" w:color="auto"/>
          <w:lang w:val="es-AR"/>
        </w:rPr>
        <w:t>víctimas</w:t>
      </w:r>
      <w:r w:rsidRPr="00420489">
        <w:rPr>
          <w:rFonts w:asciiTheme="majorHAnsi" w:eastAsia="Times New Roman" w:hAnsiTheme="majorHAnsi"/>
          <w:sz w:val="20"/>
          <w:szCs w:val="20"/>
          <w:bdr w:val="none" w:sz="0" w:space="0" w:color="auto"/>
          <w:lang w:val="es-AR"/>
        </w:rPr>
        <w:t xml:space="preserve"> nunca acudieron al CNE a exponer su caso para que éste organismo pudiese determinar si existió vulneración de sus derechos políticos.</w:t>
      </w:r>
    </w:p>
    <w:p w14:paraId="5DE508A7"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3689DFBC" w14:textId="77777777" w:rsidR="00A24801" w:rsidRPr="0042048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 xml:space="preserve">El Estado sostuvo que el 6 de julio de 2004 las presuntas víctimas presentaron una denuncia ante el Ministerio Público, pero el 1 de enero de 2005 la Fiscalía Trigésima Séptima del Ministerio Público a </w:t>
      </w:r>
      <w:r w:rsidR="00F866A6" w:rsidRPr="00420489">
        <w:rPr>
          <w:rFonts w:asciiTheme="majorHAnsi" w:eastAsia="Times New Roman" w:hAnsiTheme="majorHAnsi"/>
          <w:sz w:val="20"/>
          <w:szCs w:val="20"/>
          <w:bdr w:val="none" w:sz="0" w:space="0" w:color="auto"/>
          <w:lang w:val="es-AR"/>
        </w:rPr>
        <w:t>N</w:t>
      </w:r>
      <w:r w:rsidRPr="00420489">
        <w:rPr>
          <w:rFonts w:asciiTheme="majorHAnsi" w:eastAsia="Times New Roman" w:hAnsiTheme="majorHAnsi"/>
          <w:sz w:val="20"/>
          <w:szCs w:val="20"/>
          <w:bdr w:val="none" w:sz="0" w:space="0" w:color="auto"/>
          <w:lang w:val="es-AR"/>
        </w:rPr>
        <w:t xml:space="preserve">ivel </w:t>
      </w:r>
      <w:r w:rsidR="00F866A6" w:rsidRPr="00420489">
        <w:rPr>
          <w:rFonts w:asciiTheme="majorHAnsi" w:eastAsia="Times New Roman" w:hAnsiTheme="majorHAnsi"/>
          <w:sz w:val="20"/>
          <w:szCs w:val="20"/>
          <w:bdr w:val="none" w:sz="0" w:space="0" w:color="auto"/>
          <w:lang w:val="es-AR"/>
        </w:rPr>
        <w:t>N</w:t>
      </w:r>
      <w:r w:rsidRPr="00420489">
        <w:rPr>
          <w:rFonts w:asciiTheme="majorHAnsi" w:eastAsia="Times New Roman" w:hAnsiTheme="majorHAnsi"/>
          <w:sz w:val="20"/>
          <w:szCs w:val="20"/>
          <w:bdr w:val="none" w:sz="0" w:space="0" w:color="auto"/>
          <w:lang w:val="es-AR"/>
        </w:rPr>
        <w:t>acional con Competencia Plena solicitó el sobreseimiento de la causa</w:t>
      </w:r>
      <w:r w:rsidR="00F866A6" w:rsidRPr="00420489">
        <w:rPr>
          <w:rFonts w:asciiTheme="majorHAnsi" w:eastAsia="Times New Roman" w:hAnsiTheme="majorHAnsi"/>
          <w:sz w:val="20"/>
          <w:szCs w:val="20"/>
          <w:bdr w:val="none" w:sz="0" w:space="0" w:color="auto"/>
          <w:lang w:val="es-AR"/>
        </w:rPr>
        <w:t>,</w:t>
      </w:r>
      <w:r w:rsidRPr="00420489">
        <w:rPr>
          <w:rFonts w:asciiTheme="majorHAnsi" w:eastAsia="Times New Roman" w:hAnsiTheme="majorHAnsi"/>
          <w:sz w:val="20"/>
          <w:szCs w:val="20"/>
          <w:bdr w:val="none" w:sz="0" w:space="0" w:color="auto"/>
          <w:lang w:val="es-AR"/>
        </w:rPr>
        <w:t xml:space="preserve"> decisión</w:t>
      </w:r>
      <w:r w:rsidR="00C2517B" w:rsidRPr="00420489">
        <w:rPr>
          <w:rFonts w:asciiTheme="majorHAnsi" w:eastAsia="Times New Roman" w:hAnsiTheme="majorHAnsi"/>
          <w:sz w:val="20"/>
          <w:szCs w:val="20"/>
          <w:bdr w:val="none" w:sz="0" w:space="0" w:color="auto"/>
          <w:lang w:val="es-AR"/>
        </w:rPr>
        <w:t xml:space="preserve"> que</w:t>
      </w:r>
      <w:r w:rsidRPr="00420489">
        <w:rPr>
          <w:rFonts w:asciiTheme="majorHAnsi" w:eastAsia="Times New Roman" w:hAnsiTheme="majorHAnsi"/>
          <w:sz w:val="20"/>
          <w:szCs w:val="20"/>
          <w:bdr w:val="none" w:sz="0" w:space="0" w:color="auto"/>
          <w:lang w:val="es-AR"/>
        </w:rPr>
        <w:t xml:space="preserve"> fue confirmada en instancia de apelación. Asimismo, el Estado </w:t>
      </w:r>
      <w:r w:rsidR="007C01B1" w:rsidRPr="00420489">
        <w:rPr>
          <w:rFonts w:asciiTheme="majorHAnsi" w:eastAsia="Times New Roman" w:hAnsiTheme="majorHAnsi"/>
          <w:sz w:val="20"/>
          <w:szCs w:val="20"/>
          <w:bdr w:val="none" w:sz="0" w:space="0" w:color="auto"/>
          <w:lang w:val="es-AR"/>
        </w:rPr>
        <w:t xml:space="preserve">indicó </w:t>
      </w:r>
      <w:r w:rsidRPr="00420489">
        <w:rPr>
          <w:rFonts w:asciiTheme="majorHAnsi" w:eastAsia="Times New Roman" w:hAnsiTheme="majorHAnsi"/>
          <w:sz w:val="20"/>
          <w:szCs w:val="20"/>
          <w:bdr w:val="none" w:sz="0" w:space="0" w:color="auto"/>
          <w:lang w:val="es-AR"/>
        </w:rPr>
        <w:t>que las presuntas</w:t>
      </w:r>
      <w:r w:rsidR="007C01B1" w:rsidRPr="00420489">
        <w:rPr>
          <w:rFonts w:asciiTheme="majorHAnsi" w:eastAsia="Times New Roman" w:hAnsiTheme="majorHAnsi"/>
          <w:sz w:val="20"/>
          <w:szCs w:val="20"/>
          <w:bdr w:val="none" w:sz="0" w:space="0" w:color="auto"/>
          <w:lang w:val="es-AR"/>
        </w:rPr>
        <w:t xml:space="preserve"> víctimas </w:t>
      </w:r>
      <w:r w:rsidRPr="00420489">
        <w:rPr>
          <w:rFonts w:asciiTheme="majorHAnsi" w:eastAsia="Times New Roman" w:hAnsiTheme="majorHAnsi"/>
          <w:sz w:val="20"/>
          <w:szCs w:val="20"/>
          <w:bdr w:val="none" w:sz="0" w:space="0" w:color="auto"/>
          <w:lang w:val="es-AR"/>
        </w:rPr>
        <w:t>interpusieron un recurso de casación</w:t>
      </w:r>
      <w:r w:rsidR="007C01B1" w:rsidRPr="00420489">
        <w:rPr>
          <w:rFonts w:asciiTheme="majorHAnsi" w:eastAsia="Times New Roman" w:hAnsiTheme="majorHAnsi"/>
          <w:sz w:val="20"/>
          <w:szCs w:val="20"/>
          <w:bdr w:val="none" w:sz="0" w:space="0" w:color="auto"/>
          <w:lang w:val="es-AR"/>
        </w:rPr>
        <w:t>, el cual fue rechazado.</w:t>
      </w:r>
    </w:p>
    <w:p w14:paraId="62590CCE"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0D4D2F0E" w14:textId="77777777" w:rsidR="00A24801" w:rsidRPr="0042048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En cuanto a la violación del derecho a la integridad personal el Estado señaló que la aplicación de una cláusula contractual difícilmente puede ser considerada como trato cruel. También indicó que las denunciantes no lograron acreditar que fueran amenazadas y destacó que en virtud de</w:t>
      </w:r>
      <w:r w:rsidR="0005571E" w:rsidRPr="00420489">
        <w:rPr>
          <w:rFonts w:asciiTheme="majorHAnsi" w:eastAsia="Times New Roman" w:hAnsiTheme="majorHAnsi"/>
          <w:sz w:val="20"/>
          <w:szCs w:val="20"/>
          <w:bdr w:val="none" w:sz="0" w:space="0" w:color="auto"/>
          <w:lang w:val="es-AR"/>
        </w:rPr>
        <w:t xml:space="preserve"> su régimen laboral, las presuntas víctimas </w:t>
      </w:r>
      <w:r w:rsidRPr="00420489">
        <w:rPr>
          <w:rFonts w:asciiTheme="majorHAnsi" w:eastAsia="Times New Roman" w:hAnsiTheme="majorHAnsi"/>
          <w:sz w:val="20"/>
          <w:szCs w:val="20"/>
          <w:bdr w:val="none" w:sz="0" w:space="0" w:color="auto"/>
          <w:lang w:val="es-AR"/>
        </w:rPr>
        <w:t>podrían acceder a cargos en la Administración Pública a través de un concurso.</w:t>
      </w:r>
    </w:p>
    <w:p w14:paraId="6512D4FF"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1E821B39" w14:textId="77777777" w:rsidR="00A24801" w:rsidRPr="00420489" w:rsidRDefault="00325794" w:rsidP="00F1755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lastRenderedPageBreak/>
        <w:t xml:space="preserve">En cuanto a los alegatos relativos al derecho a las garantías judiciales, el Estado indicó que </w:t>
      </w:r>
      <w:r w:rsidR="00A24801" w:rsidRPr="00420489">
        <w:rPr>
          <w:rFonts w:asciiTheme="majorHAnsi" w:eastAsia="Times New Roman" w:hAnsiTheme="majorHAnsi"/>
          <w:sz w:val="20"/>
          <w:szCs w:val="20"/>
          <w:bdr w:val="none" w:sz="0" w:space="0" w:color="auto"/>
          <w:lang w:val="es-AR"/>
        </w:rPr>
        <w:t>las presuntas víctimas no fueron objeto de una sanción administrativa sino de la aplicación de una cláusula contractual que otorga la potestad al empleador e incluso al mismo empleado de dar por terminada la relación laboral con la mera notificación del cese de las actividades, sin expresar motivos. Al respecto, el Estado consideró que las denunciantes no fueron “destituidas” (término utilizado para los funcionarios públicos) sino que el régimen legal que les era aplicable era el de sus respectivos contratos y, supletoriamente, el de la Ley Orgánica del Trabajo, que establece el pago de ciertas sumas de dinero mientras el trabajador despedido consigue un nuevo trabajo</w:t>
      </w:r>
      <w:r w:rsidR="00F1755B" w:rsidRPr="00420489">
        <w:rPr>
          <w:rFonts w:asciiTheme="majorHAnsi" w:eastAsia="Times New Roman" w:hAnsiTheme="majorHAnsi"/>
          <w:sz w:val="20"/>
          <w:szCs w:val="20"/>
          <w:bdr w:val="none" w:sz="0" w:space="0" w:color="auto"/>
          <w:lang w:val="es-AR"/>
        </w:rPr>
        <w:t>.</w:t>
      </w:r>
      <w:r w:rsidR="00A24801" w:rsidRPr="00420489">
        <w:rPr>
          <w:rFonts w:asciiTheme="majorHAnsi" w:eastAsia="Times New Roman" w:hAnsiTheme="majorHAnsi"/>
          <w:sz w:val="20"/>
          <w:szCs w:val="20"/>
          <w:bdr w:val="none" w:sz="0" w:space="0" w:color="auto"/>
          <w:lang w:val="es-AR"/>
        </w:rPr>
        <w:t xml:space="preserve"> El Estado destacó que se pusieron a disposición de las presuntas víctimas los montos que por ley se les adeudaban</w:t>
      </w:r>
      <w:r w:rsidR="00A24801" w:rsidRPr="00420489">
        <w:rPr>
          <w:rFonts w:asciiTheme="majorHAnsi" w:eastAsia="Times New Roman" w:hAnsiTheme="majorHAnsi"/>
          <w:b/>
          <w:sz w:val="20"/>
          <w:szCs w:val="20"/>
          <w:bdr w:val="none" w:sz="0" w:space="0" w:color="auto"/>
          <w:lang w:val="es-AR"/>
        </w:rPr>
        <w:t xml:space="preserve">. </w:t>
      </w:r>
      <w:r w:rsidR="00A24801" w:rsidRPr="00420489">
        <w:rPr>
          <w:rFonts w:asciiTheme="majorHAnsi" w:eastAsia="Times New Roman" w:hAnsiTheme="majorHAnsi"/>
          <w:sz w:val="20"/>
          <w:szCs w:val="20"/>
          <w:bdr w:val="none" w:sz="0" w:space="0" w:color="auto"/>
          <w:lang w:val="es-AR"/>
        </w:rPr>
        <w:t>E</w:t>
      </w:r>
      <w:r w:rsidRPr="00420489">
        <w:rPr>
          <w:rFonts w:asciiTheme="majorHAnsi" w:eastAsia="Times New Roman" w:hAnsiTheme="majorHAnsi"/>
          <w:sz w:val="20"/>
          <w:szCs w:val="20"/>
          <w:bdr w:val="none" w:sz="0" w:space="0" w:color="auto"/>
          <w:lang w:val="es-AR"/>
        </w:rPr>
        <w:t xml:space="preserve">l Estado </w:t>
      </w:r>
      <w:r w:rsidR="00AF44C3" w:rsidRPr="00420489">
        <w:rPr>
          <w:rFonts w:asciiTheme="majorHAnsi" w:eastAsia="Times New Roman" w:hAnsiTheme="majorHAnsi"/>
          <w:sz w:val="20"/>
          <w:szCs w:val="20"/>
          <w:bdr w:val="none" w:sz="0" w:space="0" w:color="auto"/>
          <w:lang w:val="es-AR"/>
        </w:rPr>
        <w:t>destacó</w:t>
      </w:r>
      <w:r w:rsidRPr="00420489">
        <w:rPr>
          <w:rFonts w:asciiTheme="majorHAnsi" w:eastAsia="Times New Roman" w:hAnsiTheme="majorHAnsi"/>
          <w:sz w:val="20"/>
          <w:szCs w:val="20"/>
          <w:bdr w:val="none" w:sz="0" w:space="0" w:color="auto"/>
          <w:lang w:val="es-AR"/>
        </w:rPr>
        <w:t xml:space="preserve"> que </w:t>
      </w:r>
      <w:r w:rsidR="00A24801" w:rsidRPr="00420489">
        <w:rPr>
          <w:rFonts w:asciiTheme="majorHAnsi" w:eastAsia="Times New Roman" w:hAnsiTheme="majorHAnsi"/>
          <w:sz w:val="20"/>
          <w:szCs w:val="20"/>
          <w:bdr w:val="none" w:sz="0" w:space="0" w:color="auto"/>
          <w:lang w:val="es-AR"/>
        </w:rPr>
        <w:t>la ley</w:t>
      </w:r>
      <w:r w:rsidRPr="00420489">
        <w:rPr>
          <w:rFonts w:asciiTheme="majorHAnsi" w:eastAsia="Times New Roman" w:hAnsiTheme="majorHAnsi"/>
          <w:sz w:val="20"/>
          <w:szCs w:val="20"/>
          <w:bdr w:val="none" w:sz="0" w:space="0" w:color="auto"/>
          <w:lang w:val="es-AR"/>
        </w:rPr>
        <w:t xml:space="preserve"> no contempla</w:t>
      </w:r>
      <w:r w:rsidR="00A24801" w:rsidRPr="00420489">
        <w:rPr>
          <w:rFonts w:asciiTheme="majorHAnsi" w:eastAsia="Times New Roman" w:hAnsiTheme="majorHAnsi"/>
          <w:sz w:val="20"/>
          <w:szCs w:val="20"/>
          <w:bdr w:val="none" w:sz="0" w:space="0" w:color="auto"/>
          <w:lang w:val="es-AR"/>
        </w:rPr>
        <w:t xml:space="preserve"> la existencia de un procedimiento previo para dar por terminado el contrato y no era preciso alegar motivos en los actos de despido. Al respecto, </w:t>
      </w:r>
      <w:r w:rsidR="00AF44C3" w:rsidRPr="00420489">
        <w:rPr>
          <w:rFonts w:asciiTheme="majorHAnsi" w:eastAsia="Times New Roman" w:hAnsiTheme="majorHAnsi"/>
          <w:sz w:val="20"/>
          <w:szCs w:val="20"/>
          <w:bdr w:val="none" w:sz="0" w:space="0" w:color="auto"/>
          <w:lang w:val="es-AR"/>
        </w:rPr>
        <w:t xml:space="preserve">insistió en que </w:t>
      </w:r>
      <w:r w:rsidR="00A24801" w:rsidRPr="00420489">
        <w:rPr>
          <w:rFonts w:asciiTheme="majorHAnsi" w:eastAsia="Times New Roman" w:hAnsiTheme="majorHAnsi"/>
          <w:sz w:val="20"/>
          <w:szCs w:val="20"/>
          <w:bdr w:val="none" w:sz="0" w:space="0" w:color="auto"/>
          <w:lang w:val="es-AR"/>
        </w:rPr>
        <w:t xml:space="preserve">las presuntas víctimas no eran funcionarias públicas, tal y como lo establece la Constitución y el Estatuto de la Función Pública. </w:t>
      </w:r>
    </w:p>
    <w:p w14:paraId="005B125B" w14:textId="77777777" w:rsidR="00A24801" w:rsidRPr="00420489" w:rsidRDefault="00A24801" w:rsidP="00C2517B">
      <w:pPr>
        <w:rPr>
          <w:rFonts w:asciiTheme="majorHAnsi" w:eastAsia="Times New Roman" w:hAnsiTheme="majorHAnsi"/>
          <w:sz w:val="20"/>
          <w:szCs w:val="20"/>
          <w:bdr w:val="none" w:sz="0" w:space="0" w:color="auto"/>
          <w:lang w:val="es-AR"/>
        </w:rPr>
      </w:pPr>
    </w:p>
    <w:p w14:paraId="40DBECD3" w14:textId="77777777" w:rsidR="00A24801" w:rsidRPr="0042048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 xml:space="preserve">El Estado afirmó que las presuntas víctimas presentaron erróneamente una denuncia ante el Ministerio Público en fecha 27 de mayo de 2004. Al respecto, </w:t>
      </w:r>
      <w:r w:rsidR="00AF44C3" w:rsidRPr="00420489">
        <w:rPr>
          <w:rFonts w:asciiTheme="majorHAnsi" w:eastAsia="Times New Roman" w:hAnsiTheme="majorHAnsi"/>
          <w:sz w:val="20"/>
          <w:szCs w:val="20"/>
          <w:bdr w:val="none" w:sz="0" w:space="0" w:color="auto"/>
          <w:lang w:val="es-AR"/>
        </w:rPr>
        <w:t xml:space="preserve">indicó </w:t>
      </w:r>
      <w:r w:rsidRPr="00420489">
        <w:rPr>
          <w:rFonts w:asciiTheme="majorHAnsi" w:eastAsia="Times New Roman" w:hAnsiTheme="majorHAnsi"/>
          <w:sz w:val="20"/>
          <w:szCs w:val="20"/>
          <w:bdr w:val="none" w:sz="0" w:space="0" w:color="auto"/>
          <w:lang w:val="es-AR"/>
        </w:rPr>
        <w:t xml:space="preserve">que “pretenden confundir a la CIDH con la interposición de recursos no idóneos para la reparación de su derecho presuntamente violado, sin distinguir entre la responsabilidad penal que tienen a cargo los funcionarios de la Administración Pública como consecuencias de sus funciones y del patrimonio público a su cargo, y, por otro lado, las consecuencias y obligaciones que devienen de la terminación de la relación laboral, que se resuelve en la jurisdicción laboral y no en la penal”.  </w:t>
      </w:r>
    </w:p>
    <w:p w14:paraId="5019243C"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6F8FE1E5" w14:textId="77777777" w:rsidR="00A24801" w:rsidRPr="0042048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En cuanto a la alegada violación del derecho a la libertad de expresión</w:t>
      </w:r>
      <w:r w:rsidR="00F1755B" w:rsidRPr="00420489">
        <w:rPr>
          <w:rFonts w:asciiTheme="majorHAnsi" w:eastAsia="Times New Roman" w:hAnsiTheme="majorHAnsi"/>
          <w:sz w:val="20"/>
          <w:szCs w:val="20"/>
          <w:bdr w:val="none" w:sz="0" w:space="0" w:color="auto"/>
          <w:lang w:val="es-AR"/>
        </w:rPr>
        <w:t xml:space="preserve">, </w:t>
      </w:r>
      <w:r w:rsidRPr="00420489">
        <w:rPr>
          <w:rFonts w:asciiTheme="majorHAnsi" w:eastAsia="Times New Roman" w:hAnsiTheme="majorHAnsi"/>
          <w:sz w:val="20"/>
          <w:szCs w:val="20"/>
          <w:bdr w:val="none" w:sz="0" w:space="0" w:color="auto"/>
          <w:lang w:val="es-AR"/>
        </w:rPr>
        <w:t xml:space="preserve">el Estado reiteró que la rescisión del contrato de las presuntas </w:t>
      </w:r>
      <w:r w:rsidR="00AF44C3" w:rsidRPr="00420489">
        <w:rPr>
          <w:rFonts w:asciiTheme="majorHAnsi" w:eastAsia="Times New Roman" w:hAnsiTheme="majorHAnsi"/>
          <w:sz w:val="20"/>
          <w:szCs w:val="20"/>
          <w:bdr w:val="none" w:sz="0" w:space="0" w:color="auto"/>
          <w:lang w:val="es-AR"/>
        </w:rPr>
        <w:t xml:space="preserve">víctimas </w:t>
      </w:r>
      <w:r w:rsidRPr="00420489">
        <w:rPr>
          <w:rFonts w:asciiTheme="majorHAnsi" w:eastAsia="Times New Roman" w:hAnsiTheme="majorHAnsi"/>
          <w:sz w:val="20"/>
          <w:szCs w:val="20"/>
          <w:bdr w:val="none" w:sz="0" w:space="0" w:color="auto"/>
          <w:lang w:val="es-AR"/>
        </w:rPr>
        <w:t>no fue una sanción, sino que se trató de la simple aplicación de una cláusula contractual de conformidad con la ley. El Estado destacó que no se iniciaron procedimientos judiciales contra las denunciantes por emitir declaraciones de tipo político, ni se ha sancionado o censurado a medios de comunicación por haber sido vehículo de la expresión de los ciudadanos que apoyaban la convocatoria del refer</w:t>
      </w:r>
      <w:r w:rsidR="00032C1D" w:rsidRPr="00420489">
        <w:rPr>
          <w:rFonts w:asciiTheme="majorHAnsi" w:eastAsia="Times New Roman" w:hAnsiTheme="majorHAnsi"/>
          <w:sz w:val="20"/>
          <w:szCs w:val="20"/>
          <w:bdr w:val="none" w:sz="0" w:space="0" w:color="auto"/>
          <w:lang w:val="es-AR"/>
        </w:rPr>
        <w:t>endo</w:t>
      </w:r>
      <w:r w:rsidRPr="00420489">
        <w:rPr>
          <w:rFonts w:asciiTheme="majorHAnsi" w:eastAsia="Times New Roman" w:hAnsiTheme="majorHAnsi"/>
          <w:sz w:val="20"/>
          <w:szCs w:val="20"/>
          <w:bdr w:val="none" w:sz="0" w:space="0" w:color="auto"/>
          <w:lang w:val="es-AR"/>
        </w:rPr>
        <w:t xml:space="preserve"> revocatorio. </w:t>
      </w:r>
    </w:p>
    <w:p w14:paraId="7DD9EEB2"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2CA72112" w14:textId="77777777" w:rsidR="00A24801" w:rsidRPr="0042048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Asimismo, para el Estado venezolano no se violó el derecho a la libertad de asociación  ya que el ejercicio de ese derecho en una materia de tanta trascendencia nacional como un refer</w:t>
      </w:r>
      <w:r w:rsidR="00032C1D" w:rsidRPr="00420489">
        <w:rPr>
          <w:rFonts w:asciiTheme="majorHAnsi" w:eastAsia="Times New Roman" w:hAnsiTheme="majorHAnsi"/>
          <w:sz w:val="20"/>
          <w:szCs w:val="20"/>
          <w:bdr w:val="none" w:sz="0" w:space="0" w:color="auto"/>
          <w:lang w:val="es-AR"/>
        </w:rPr>
        <w:t>endo</w:t>
      </w:r>
      <w:r w:rsidRPr="00420489">
        <w:rPr>
          <w:rFonts w:asciiTheme="majorHAnsi" w:eastAsia="Times New Roman" w:hAnsiTheme="majorHAnsi"/>
          <w:sz w:val="20"/>
          <w:szCs w:val="20"/>
          <w:bdr w:val="none" w:sz="0" w:space="0" w:color="auto"/>
          <w:lang w:val="es-AR"/>
        </w:rPr>
        <w:t xml:space="preserve"> revocatorio presidencial, debe estar debidamente reglamentado. En efecto, el Estado destacó que el 25 de septiembre de 2003 el CNE dictó las “Normas para Regular los Procesos de Referendos Revocatorios de Mandatos de Cargos de Elección Popular”, hecho que garantiza el cumplimiento de las obligaciones del Estado frente al ejercicio democrático de la voluntad popular. El Estado expresó que los diversos procesos referendarios llevados a cabo en Venezuela constituyen un hecho público y notorio internacionalmente, en los cuales se evidenció la participación de la ciudadanía, la colaboración del CNE y las autoridades del Estado. </w:t>
      </w:r>
    </w:p>
    <w:p w14:paraId="22AC7380"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4CD7C5AC" w14:textId="77777777" w:rsidR="00A24801" w:rsidRPr="0042048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En cuanto a la</w:t>
      </w:r>
      <w:r w:rsidR="00635014" w:rsidRPr="00420489">
        <w:rPr>
          <w:rFonts w:asciiTheme="majorHAnsi" w:eastAsia="Times New Roman" w:hAnsiTheme="majorHAnsi"/>
          <w:sz w:val="20"/>
          <w:szCs w:val="20"/>
          <w:bdr w:val="none" w:sz="0" w:space="0" w:color="auto"/>
          <w:lang w:val="es-AR"/>
        </w:rPr>
        <w:t xml:space="preserve"> alegada</w:t>
      </w:r>
      <w:r w:rsidRPr="00420489">
        <w:rPr>
          <w:rFonts w:asciiTheme="majorHAnsi" w:eastAsia="Times New Roman" w:hAnsiTheme="majorHAnsi"/>
          <w:sz w:val="20"/>
          <w:szCs w:val="20"/>
          <w:bdr w:val="none" w:sz="0" w:space="0" w:color="auto"/>
          <w:lang w:val="es-AR"/>
        </w:rPr>
        <w:t xml:space="preserve"> vulneración de los derechos políticos </w:t>
      </w:r>
      <w:r w:rsidR="00921F55" w:rsidRPr="00420489">
        <w:rPr>
          <w:rFonts w:asciiTheme="majorHAnsi" w:eastAsia="Times New Roman" w:hAnsiTheme="majorHAnsi"/>
          <w:sz w:val="20"/>
          <w:szCs w:val="20"/>
          <w:bdr w:val="none" w:sz="0" w:space="0" w:color="auto"/>
          <w:lang w:val="es-AR"/>
        </w:rPr>
        <w:t>el Estado indic</w:t>
      </w:r>
      <w:r w:rsidR="008D0EC6" w:rsidRPr="00420489">
        <w:rPr>
          <w:rFonts w:asciiTheme="majorHAnsi" w:eastAsia="Times New Roman" w:hAnsiTheme="majorHAnsi"/>
          <w:sz w:val="20"/>
          <w:szCs w:val="20"/>
          <w:bdr w:val="none" w:sz="0" w:space="0" w:color="auto"/>
          <w:lang w:val="es-AR"/>
        </w:rPr>
        <w:t xml:space="preserve">ó que los peticionarios </w:t>
      </w:r>
      <w:r w:rsidRPr="00420489">
        <w:rPr>
          <w:rFonts w:asciiTheme="majorHAnsi" w:eastAsia="Times New Roman" w:hAnsiTheme="majorHAnsi"/>
          <w:sz w:val="20"/>
          <w:szCs w:val="20"/>
          <w:bdr w:val="none" w:sz="0" w:space="0" w:color="auto"/>
          <w:lang w:val="es-AR"/>
        </w:rPr>
        <w:t xml:space="preserve">no aportaron una prueba idónea y legal en la que conste que fueron objeto de presiones políticas para no ejercer sus derechos políticos. En este sentido, </w:t>
      </w:r>
      <w:r w:rsidR="008D0EC6" w:rsidRPr="00420489">
        <w:rPr>
          <w:rFonts w:asciiTheme="majorHAnsi" w:eastAsia="Times New Roman" w:hAnsiTheme="majorHAnsi"/>
          <w:sz w:val="20"/>
          <w:szCs w:val="20"/>
          <w:bdr w:val="none" w:sz="0" w:space="0" w:color="auto"/>
          <w:lang w:val="es-AR"/>
        </w:rPr>
        <w:t xml:space="preserve">destacó </w:t>
      </w:r>
      <w:r w:rsidRPr="00420489">
        <w:rPr>
          <w:rFonts w:asciiTheme="majorHAnsi" w:eastAsia="Times New Roman" w:hAnsiTheme="majorHAnsi"/>
          <w:sz w:val="20"/>
          <w:szCs w:val="20"/>
          <w:bdr w:val="none" w:sz="0" w:space="0" w:color="auto"/>
          <w:lang w:val="es-AR"/>
        </w:rPr>
        <w:t>que la resolución de un contrato laboral no es concebida en el ordenamiento venezolano como una sanción. Por otra parte, afirmó que mal pueden indicar l</w:t>
      </w:r>
      <w:r w:rsidR="008D0EC6" w:rsidRPr="00420489">
        <w:rPr>
          <w:rFonts w:asciiTheme="majorHAnsi" w:eastAsia="Times New Roman" w:hAnsiTheme="majorHAnsi"/>
          <w:sz w:val="20"/>
          <w:szCs w:val="20"/>
          <w:bdr w:val="none" w:sz="0" w:space="0" w:color="auto"/>
          <w:lang w:val="es-AR"/>
        </w:rPr>
        <w:t xml:space="preserve">os peticionarios </w:t>
      </w:r>
      <w:r w:rsidRPr="00420489">
        <w:rPr>
          <w:rFonts w:asciiTheme="majorHAnsi" w:eastAsia="Times New Roman" w:hAnsiTheme="majorHAnsi"/>
          <w:sz w:val="20"/>
          <w:szCs w:val="20"/>
          <w:bdr w:val="none" w:sz="0" w:space="0" w:color="auto"/>
          <w:lang w:val="es-AR"/>
        </w:rPr>
        <w:t xml:space="preserve">que el Estado ha infringido su derecho a tener acceso </w:t>
      </w:r>
      <w:r w:rsidR="00635014" w:rsidRPr="00420489">
        <w:rPr>
          <w:rFonts w:asciiTheme="majorHAnsi" w:eastAsia="Times New Roman" w:hAnsiTheme="majorHAnsi"/>
          <w:sz w:val="20"/>
          <w:szCs w:val="20"/>
          <w:bdr w:val="none" w:sz="0" w:space="0" w:color="auto"/>
          <w:lang w:val="es-AR"/>
        </w:rPr>
        <w:t>en</w:t>
      </w:r>
      <w:r w:rsidRPr="00420489">
        <w:rPr>
          <w:rFonts w:asciiTheme="majorHAnsi" w:eastAsia="Times New Roman" w:hAnsiTheme="majorHAnsi"/>
          <w:sz w:val="20"/>
          <w:szCs w:val="20"/>
          <w:bdr w:val="none" w:sz="0" w:space="0" w:color="auto"/>
          <w:lang w:val="es-AR"/>
        </w:rPr>
        <w:t xml:space="preserve"> condiciones de igualdad a las funciones públicas, pues </w:t>
      </w:r>
      <w:r w:rsidR="00032C1D" w:rsidRPr="00420489">
        <w:rPr>
          <w:rFonts w:asciiTheme="majorHAnsi" w:eastAsia="Times New Roman" w:hAnsiTheme="majorHAnsi"/>
          <w:sz w:val="20"/>
          <w:szCs w:val="20"/>
          <w:bdr w:val="none" w:sz="0" w:space="0" w:color="auto"/>
          <w:lang w:val="es-AR"/>
        </w:rPr>
        <w:t xml:space="preserve">lo que ocurrió fue </w:t>
      </w:r>
      <w:r w:rsidRPr="00420489">
        <w:rPr>
          <w:rFonts w:asciiTheme="majorHAnsi" w:eastAsia="Times New Roman" w:hAnsiTheme="majorHAnsi"/>
          <w:sz w:val="20"/>
          <w:szCs w:val="20"/>
          <w:bdr w:val="none" w:sz="0" w:space="0" w:color="auto"/>
          <w:lang w:val="es-AR"/>
        </w:rPr>
        <w:t xml:space="preserve">la resolución de un contrato laboral, en </w:t>
      </w:r>
      <w:r w:rsidR="008D0EC6" w:rsidRPr="00420489">
        <w:rPr>
          <w:rFonts w:asciiTheme="majorHAnsi" w:eastAsia="Times New Roman" w:hAnsiTheme="majorHAnsi"/>
          <w:sz w:val="20"/>
          <w:szCs w:val="20"/>
          <w:bdr w:val="none" w:sz="0" w:space="0" w:color="auto"/>
          <w:lang w:val="es-AR"/>
        </w:rPr>
        <w:t>el</w:t>
      </w:r>
      <w:r w:rsidRPr="00420489">
        <w:rPr>
          <w:rFonts w:asciiTheme="majorHAnsi" w:eastAsia="Times New Roman" w:hAnsiTheme="majorHAnsi"/>
          <w:sz w:val="20"/>
          <w:szCs w:val="20"/>
          <w:bdr w:val="none" w:sz="0" w:space="0" w:color="auto"/>
          <w:lang w:val="es-AR"/>
        </w:rPr>
        <w:t xml:space="preserve"> cuál las presuntas víctimas carecían del estatus de funcionario público. Enfatizó que no consta que las ciudadanas hayan participado en concurso alguno para aspirar a cargos en la administración pública</w:t>
      </w:r>
      <w:r w:rsidR="008D0EC6" w:rsidRPr="00420489">
        <w:rPr>
          <w:rFonts w:asciiTheme="majorHAnsi" w:eastAsia="Times New Roman" w:hAnsiTheme="majorHAnsi"/>
          <w:sz w:val="20"/>
          <w:szCs w:val="20"/>
          <w:bdr w:val="none" w:sz="0" w:space="0" w:color="auto"/>
          <w:lang w:val="es-AR"/>
        </w:rPr>
        <w:t>.</w:t>
      </w:r>
      <w:r w:rsidRPr="00420489">
        <w:rPr>
          <w:rFonts w:asciiTheme="majorHAnsi" w:eastAsia="Times New Roman" w:hAnsiTheme="majorHAnsi"/>
          <w:sz w:val="20"/>
          <w:szCs w:val="20"/>
          <w:bdr w:val="none" w:sz="0" w:space="0" w:color="auto"/>
          <w:lang w:val="es-AR"/>
        </w:rPr>
        <w:t xml:space="preserve"> </w:t>
      </w:r>
    </w:p>
    <w:p w14:paraId="0CC73EF7"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06D25902" w14:textId="391DC70B" w:rsidR="00E3119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E31199">
        <w:rPr>
          <w:rFonts w:asciiTheme="majorHAnsi" w:eastAsia="Times New Roman" w:hAnsiTheme="majorHAnsi"/>
          <w:sz w:val="20"/>
          <w:szCs w:val="20"/>
          <w:bdr w:val="none" w:sz="0" w:space="0" w:color="auto"/>
          <w:lang w:val="es-AR"/>
        </w:rPr>
        <w:t xml:space="preserve">En cuanto a la alegada violación al derecho a la igualdad ante la ley el Estado </w:t>
      </w:r>
      <w:r w:rsidR="008D0EC6" w:rsidRPr="00E31199">
        <w:rPr>
          <w:rFonts w:asciiTheme="majorHAnsi" w:eastAsia="Times New Roman" w:hAnsiTheme="majorHAnsi"/>
          <w:sz w:val="20"/>
          <w:szCs w:val="20"/>
          <w:bdr w:val="none" w:sz="0" w:space="0" w:color="auto"/>
          <w:lang w:val="es-AR"/>
        </w:rPr>
        <w:t>reiteró sus argumentos sobre la naturaleza del contrato de las presuntas víctimas</w:t>
      </w:r>
      <w:r w:rsidR="00E31199" w:rsidRPr="00E31199">
        <w:rPr>
          <w:rFonts w:asciiTheme="majorHAnsi" w:eastAsia="Times New Roman" w:hAnsiTheme="majorHAnsi"/>
          <w:sz w:val="20"/>
          <w:szCs w:val="20"/>
          <w:bdr w:val="none" w:sz="0" w:space="0" w:color="auto"/>
          <w:lang w:val="es-AR"/>
        </w:rPr>
        <w:t>, indicando que estas pretenden vincular la terminación de una relación laboral con el ejercicio de un derecho político, a partir de deducciones imprecisas, así como grabaciones obtenidas de forma ilegal, rechazada por los tribunales nacionales venezolanos. El Estado alegó que las presuntas víctimas estaban conscientes  de la naturaleza de sus contratos, lo que se ve reflejado en la autoridad ante la cual presentaron su recurso de amparo</w:t>
      </w:r>
      <w:r w:rsidR="00E31199">
        <w:rPr>
          <w:rFonts w:asciiTheme="majorHAnsi" w:eastAsia="Times New Roman" w:hAnsiTheme="majorHAnsi"/>
          <w:sz w:val="20"/>
          <w:szCs w:val="20"/>
          <w:bdr w:val="none" w:sz="0" w:space="0" w:color="auto"/>
          <w:lang w:val="es-AR"/>
        </w:rPr>
        <w:t>.</w:t>
      </w:r>
    </w:p>
    <w:p w14:paraId="3FA0D625"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18440F21" w14:textId="77777777" w:rsidR="00A24801" w:rsidRPr="00420489" w:rsidRDefault="00A24801" w:rsidP="00A2480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 xml:space="preserve">En cuanto a la violación al derecho a la protección judicial alegada por los peticionarios, el Estado señaló que el hecho de que el amparo constitucional haya sido considerado improcedente no implicó </w:t>
      </w:r>
      <w:r w:rsidRPr="00420489">
        <w:rPr>
          <w:rFonts w:asciiTheme="majorHAnsi" w:eastAsia="Times New Roman" w:hAnsiTheme="majorHAnsi"/>
          <w:sz w:val="20"/>
          <w:szCs w:val="20"/>
          <w:bdr w:val="none" w:sz="0" w:space="0" w:color="auto"/>
          <w:lang w:val="es-AR"/>
        </w:rPr>
        <w:lastRenderedPageBreak/>
        <w:t>una violación de las disposiciones convencionales, ya que pese a la existencia de la vía judicial ordinaria laboral, el amparo, acción de carácter extraordinario, fue admitido y tramitado conforme a la ley. Según el Estado, el juez que intervino en el caso, a través de la sana critica, valoró las pruebas aportadas por las partes y decidi</w:t>
      </w:r>
      <w:r w:rsidR="007E61C5" w:rsidRPr="00420489">
        <w:rPr>
          <w:rFonts w:asciiTheme="majorHAnsi" w:eastAsia="Times New Roman" w:hAnsiTheme="majorHAnsi"/>
          <w:sz w:val="20"/>
          <w:szCs w:val="20"/>
          <w:bdr w:val="none" w:sz="0" w:space="0" w:color="auto"/>
          <w:lang w:val="es-AR"/>
        </w:rPr>
        <w:t>ó</w:t>
      </w:r>
      <w:r w:rsidRPr="00420489">
        <w:rPr>
          <w:rFonts w:asciiTheme="majorHAnsi" w:eastAsia="Times New Roman" w:hAnsiTheme="majorHAnsi"/>
          <w:sz w:val="20"/>
          <w:szCs w:val="20"/>
          <w:bdr w:val="none" w:sz="0" w:space="0" w:color="auto"/>
          <w:lang w:val="es-AR"/>
        </w:rPr>
        <w:t xml:space="preserve"> conforme a derecho. Asimismo, el Estado consideró que las presuntas </w:t>
      </w:r>
      <w:r w:rsidR="00DF0F2C" w:rsidRPr="00420489">
        <w:rPr>
          <w:rFonts w:asciiTheme="majorHAnsi" w:eastAsia="Times New Roman" w:hAnsiTheme="majorHAnsi"/>
          <w:sz w:val="20"/>
          <w:szCs w:val="20"/>
          <w:bdr w:val="none" w:sz="0" w:space="0" w:color="auto"/>
          <w:lang w:val="es-AR"/>
        </w:rPr>
        <w:t xml:space="preserve">víctimas </w:t>
      </w:r>
      <w:r w:rsidRPr="00420489">
        <w:rPr>
          <w:rFonts w:asciiTheme="majorHAnsi" w:eastAsia="Times New Roman" w:hAnsiTheme="majorHAnsi"/>
          <w:sz w:val="20"/>
          <w:szCs w:val="20"/>
          <w:bdr w:val="none" w:sz="0" w:space="0" w:color="auto"/>
          <w:lang w:val="es-AR"/>
        </w:rPr>
        <w:t>tenían un recurso apto en la jurisdicción laboral, pero eligieron la vía menos idónea del recurso de amparo constitucional como un mecanismo para acceder “de manera temeraria</w:t>
      </w:r>
      <w:r w:rsidR="00DF0F2C" w:rsidRPr="00420489">
        <w:rPr>
          <w:rFonts w:asciiTheme="majorHAnsi" w:eastAsia="Times New Roman" w:hAnsiTheme="majorHAnsi"/>
          <w:sz w:val="20"/>
          <w:szCs w:val="20"/>
          <w:bdr w:val="none" w:sz="0" w:space="0" w:color="auto"/>
          <w:lang w:val="es-AR"/>
        </w:rPr>
        <w:t xml:space="preserve">” a las instancias internacionales. </w:t>
      </w:r>
    </w:p>
    <w:p w14:paraId="0605159F" w14:textId="77777777" w:rsidR="00A24801" w:rsidRPr="00420489" w:rsidRDefault="00A24801" w:rsidP="00A24801">
      <w:pPr>
        <w:pStyle w:val="ListParagraph"/>
        <w:rPr>
          <w:rFonts w:asciiTheme="majorHAnsi" w:eastAsia="Times New Roman" w:hAnsiTheme="majorHAnsi"/>
          <w:sz w:val="20"/>
          <w:szCs w:val="20"/>
          <w:bdr w:val="none" w:sz="0" w:space="0" w:color="auto"/>
          <w:lang w:val="es-AR"/>
        </w:rPr>
      </w:pPr>
    </w:p>
    <w:p w14:paraId="0C1B23D2" w14:textId="77777777" w:rsidR="00A24801" w:rsidRPr="00420489" w:rsidRDefault="00A24801" w:rsidP="00985C1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El Estado también consideró que no fue transgredido el artículo 26</w:t>
      </w:r>
      <w:r w:rsidR="000819B7" w:rsidRPr="00420489">
        <w:rPr>
          <w:rFonts w:asciiTheme="majorHAnsi" w:eastAsia="Times New Roman" w:hAnsiTheme="majorHAnsi"/>
          <w:sz w:val="20"/>
          <w:szCs w:val="20"/>
          <w:bdr w:val="none" w:sz="0" w:space="0" w:color="auto"/>
          <w:lang w:val="es-AR"/>
        </w:rPr>
        <w:t xml:space="preserve"> de la Convención </w:t>
      </w:r>
      <w:r w:rsidRPr="00420489">
        <w:rPr>
          <w:rFonts w:asciiTheme="majorHAnsi" w:eastAsia="Times New Roman" w:hAnsiTheme="majorHAnsi"/>
          <w:sz w:val="20"/>
          <w:szCs w:val="20"/>
          <w:bdr w:val="none" w:sz="0" w:space="0" w:color="auto"/>
          <w:lang w:val="es-AR"/>
        </w:rPr>
        <w:t xml:space="preserve"> debido a que la Ley venezolana establece los criterios para proveer una reparación pecuniaria al trabajador en caso de despido, así como el pago de las prestaciones sociales de acuerdo a lo dispuesto en la Ley Orgánica del Trabajo. El Estado consideró que la finalización de una relación laboral fue realizada a través de una cláusula del contrato que así lo permite, y que ello no puede implicar una violación de los derechos de los trabajadores o disminución de las garantías que los amparan, ya que </w:t>
      </w:r>
      <w:r w:rsidR="00032C1D" w:rsidRPr="00420489">
        <w:rPr>
          <w:rFonts w:asciiTheme="majorHAnsi" w:eastAsia="Times New Roman" w:hAnsiTheme="majorHAnsi"/>
          <w:sz w:val="20"/>
          <w:szCs w:val="20"/>
          <w:bdr w:val="none" w:sz="0" w:space="0" w:color="auto"/>
          <w:lang w:val="es-AR"/>
        </w:rPr>
        <w:t xml:space="preserve">el empleador </w:t>
      </w:r>
      <w:r w:rsidRPr="00420489">
        <w:rPr>
          <w:rFonts w:asciiTheme="majorHAnsi" w:eastAsia="Times New Roman" w:hAnsiTheme="majorHAnsi"/>
          <w:sz w:val="20"/>
          <w:szCs w:val="20"/>
          <w:bdr w:val="none" w:sz="0" w:space="0" w:color="auto"/>
          <w:lang w:val="es-AR"/>
        </w:rPr>
        <w:t xml:space="preserve">no está en obligación de mantener una relación vitalicia laboral. </w:t>
      </w:r>
    </w:p>
    <w:p w14:paraId="0839E577" w14:textId="77777777" w:rsidR="00A24801" w:rsidRPr="00420489" w:rsidRDefault="00A24801" w:rsidP="000F02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p>
    <w:p w14:paraId="3024C638" w14:textId="77777777" w:rsidR="00A24801" w:rsidRPr="00420489" w:rsidRDefault="00A24801" w:rsidP="000F02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lang w:val="es-AR"/>
        </w:rPr>
      </w:pPr>
      <w:r w:rsidRPr="00420489">
        <w:rPr>
          <w:rFonts w:asciiTheme="majorHAnsi" w:eastAsia="Times New Roman" w:hAnsiTheme="majorHAnsi"/>
          <w:sz w:val="20"/>
          <w:szCs w:val="20"/>
          <w:bdr w:val="none" w:sz="0" w:space="0" w:color="auto"/>
          <w:lang w:val="es-AR"/>
        </w:rPr>
        <w:t>Al referirse a las alegadas violaciones del artículo 1.1 de la Convención, el Estado reiteró que las presuntas víctimas no fueron discriminadas por razones políticas ni de otra índole</w:t>
      </w:r>
      <w:r w:rsidR="000819B7" w:rsidRPr="00420489">
        <w:rPr>
          <w:rFonts w:asciiTheme="majorHAnsi" w:eastAsia="Times New Roman" w:hAnsiTheme="majorHAnsi"/>
          <w:sz w:val="20"/>
          <w:szCs w:val="20"/>
          <w:bdr w:val="none" w:sz="0" w:space="0" w:color="auto"/>
          <w:lang w:val="es-AR"/>
        </w:rPr>
        <w:t>. Reiteró que</w:t>
      </w:r>
      <w:r w:rsidRPr="00420489">
        <w:rPr>
          <w:rFonts w:asciiTheme="majorHAnsi" w:eastAsia="Times New Roman" w:hAnsiTheme="majorHAnsi"/>
          <w:sz w:val="20"/>
          <w:szCs w:val="20"/>
          <w:bdr w:val="none" w:sz="0" w:space="0" w:color="auto"/>
          <w:lang w:val="es-AR"/>
        </w:rPr>
        <w:t xml:space="preserve"> simplemente</w:t>
      </w:r>
      <w:r w:rsidR="000819B7" w:rsidRPr="00420489">
        <w:rPr>
          <w:rFonts w:asciiTheme="majorHAnsi" w:eastAsia="Times New Roman" w:hAnsiTheme="majorHAnsi"/>
          <w:sz w:val="20"/>
          <w:szCs w:val="20"/>
          <w:bdr w:val="none" w:sz="0" w:space="0" w:color="auto"/>
          <w:lang w:val="es-AR"/>
        </w:rPr>
        <w:t xml:space="preserve"> las presuntas víctimas </w:t>
      </w:r>
      <w:r w:rsidRPr="00420489">
        <w:rPr>
          <w:rFonts w:asciiTheme="majorHAnsi" w:eastAsia="Times New Roman" w:hAnsiTheme="majorHAnsi"/>
          <w:sz w:val="20"/>
          <w:szCs w:val="20"/>
          <w:bdr w:val="none" w:sz="0" w:space="0" w:color="auto"/>
          <w:lang w:val="es-AR"/>
        </w:rPr>
        <w:t xml:space="preserve">no tenían </w:t>
      </w:r>
      <w:r w:rsidR="000819B7" w:rsidRPr="00420489">
        <w:rPr>
          <w:rFonts w:asciiTheme="majorHAnsi" w:eastAsia="Times New Roman" w:hAnsiTheme="majorHAnsi"/>
          <w:sz w:val="20"/>
          <w:szCs w:val="20"/>
          <w:bdr w:val="none" w:sz="0" w:space="0" w:color="auto"/>
          <w:lang w:val="es-AR"/>
        </w:rPr>
        <w:t xml:space="preserve">la calidad </w:t>
      </w:r>
      <w:r w:rsidRPr="00420489">
        <w:rPr>
          <w:rFonts w:asciiTheme="majorHAnsi" w:eastAsia="Times New Roman" w:hAnsiTheme="majorHAnsi"/>
          <w:sz w:val="20"/>
          <w:szCs w:val="20"/>
          <w:bdr w:val="none" w:sz="0" w:space="0" w:color="auto"/>
          <w:lang w:val="es-AR"/>
        </w:rPr>
        <w:t>de funcionarias públicas y estaban sometidas al régimen de la Ley Orgánica de</w:t>
      </w:r>
      <w:r w:rsidR="009C3C4B" w:rsidRPr="00420489">
        <w:rPr>
          <w:rFonts w:asciiTheme="majorHAnsi" w:eastAsia="Times New Roman" w:hAnsiTheme="majorHAnsi"/>
          <w:sz w:val="20"/>
          <w:szCs w:val="20"/>
          <w:bdr w:val="none" w:sz="0" w:space="0" w:color="auto"/>
          <w:lang w:val="es-AR"/>
        </w:rPr>
        <w:t>l</w:t>
      </w:r>
      <w:r w:rsidRPr="00420489">
        <w:rPr>
          <w:rFonts w:asciiTheme="majorHAnsi" w:eastAsia="Times New Roman" w:hAnsiTheme="majorHAnsi"/>
          <w:sz w:val="20"/>
          <w:szCs w:val="20"/>
          <w:bdr w:val="none" w:sz="0" w:space="0" w:color="auto"/>
          <w:lang w:val="es-AR"/>
        </w:rPr>
        <w:t xml:space="preserve"> Trabajo. Al respecto, enfatizó que la terminación de una relación laboral por la aplicación de una cláusula contractual no puede ser entendida como discriminatoria.  </w:t>
      </w:r>
    </w:p>
    <w:p w14:paraId="46BF10BA" w14:textId="77777777" w:rsidR="00F75A47" w:rsidRPr="00420489" w:rsidRDefault="00F75A47" w:rsidP="000F02CF">
      <w:pPr>
        <w:rPr>
          <w:rFonts w:asciiTheme="majorHAnsi" w:eastAsia="Times New Roman" w:hAnsiTheme="majorHAnsi"/>
          <w:sz w:val="20"/>
          <w:szCs w:val="20"/>
          <w:bdr w:val="none" w:sz="0" w:space="0" w:color="auto"/>
          <w:lang w:val="es-AR"/>
        </w:rPr>
      </w:pPr>
    </w:p>
    <w:p w14:paraId="2AF19600" w14:textId="77777777" w:rsidR="00E40449" w:rsidRPr="00420489" w:rsidRDefault="00E40449" w:rsidP="00985C1C">
      <w:pPr>
        <w:pStyle w:val="Heading1"/>
        <w:numPr>
          <w:ilvl w:val="0"/>
          <w:numId w:val="55"/>
        </w:numPr>
        <w:tabs>
          <w:tab w:val="clear" w:pos="1440"/>
        </w:tabs>
      </w:pPr>
      <w:bookmarkStart w:id="20" w:name="_Toc370840748"/>
      <w:bookmarkStart w:id="21" w:name="_Toc370840844"/>
      <w:bookmarkStart w:id="22" w:name="_Toc423514410"/>
      <w:bookmarkStart w:id="23" w:name="_Toc433308899"/>
      <w:r w:rsidRPr="00420489">
        <w:t>HECHOS PROBADOS</w:t>
      </w:r>
      <w:bookmarkEnd w:id="20"/>
      <w:bookmarkEnd w:id="21"/>
      <w:bookmarkEnd w:id="22"/>
      <w:bookmarkEnd w:id="23"/>
    </w:p>
    <w:p w14:paraId="11143D18" w14:textId="77777777" w:rsidR="00F75A47" w:rsidRPr="00420489" w:rsidRDefault="00E40449" w:rsidP="00F75A47">
      <w:pPr>
        <w:ind w:right="720"/>
        <w:jc w:val="both"/>
        <w:rPr>
          <w:rFonts w:asciiTheme="majorHAnsi" w:hAnsiTheme="majorHAnsi"/>
          <w:sz w:val="20"/>
          <w:szCs w:val="20"/>
        </w:rPr>
      </w:pPr>
      <w:r w:rsidRPr="00420489">
        <w:rPr>
          <w:rFonts w:asciiTheme="majorHAnsi" w:hAnsiTheme="majorHAnsi"/>
          <w:sz w:val="20"/>
          <w:szCs w:val="20"/>
        </w:rPr>
        <w:t xml:space="preserve"> </w:t>
      </w:r>
    </w:p>
    <w:p w14:paraId="507872F2" w14:textId="16CA4CE6" w:rsidR="00CE59DE" w:rsidRPr="00420489" w:rsidRDefault="008E07BC" w:rsidP="00F95DB0">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Tomando en cuenta la información disponible en el expediente, así como información de público conocimiento, los hechos probados </w:t>
      </w:r>
      <w:r w:rsidR="00E40449" w:rsidRPr="00420489">
        <w:rPr>
          <w:rFonts w:asciiTheme="majorHAnsi" w:hAnsiTheme="majorHAnsi"/>
          <w:sz w:val="20"/>
          <w:szCs w:val="20"/>
          <w:lang w:val="es-VE"/>
        </w:rPr>
        <w:t>serán descritos en el siguiente orden: A)</w:t>
      </w:r>
      <w:r w:rsidR="00F75A47" w:rsidRPr="00420489">
        <w:rPr>
          <w:rFonts w:asciiTheme="majorHAnsi" w:hAnsiTheme="majorHAnsi"/>
          <w:sz w:val="20"/>
          <w:szCs w:val="20"/>
          <w:lang w:val="es-VE"/>
        </w:rPr>
        <w:t xml:space="preserve"> Cuestión previa sobre el uso de cierta prueba; B)</w:t>
      </w:r>
      <w:r w:rsidR="00E40449" w:rsidRPr="00420489">
        <w:rPr>
          <w:rFonts w:asciiTheme="majorHAnsi" w:hAnsiTheme="majorHAnsi"/>
          <w:sz w:val="20"/>
          <w:szCs w:val="20"/>
          <w:lang w:val="es-VE"/>
        </w:rPr>
        <w:t xml:space="preserve"> </w:t>
      </w:r>
      <w:r w:rsidR="001F21BE" w:rsidRPr="00420489">
        <w:rPr>
          <w:rFonts w:asciiTheme="majorHAnsi" w:hAnsiTheme="majorHAnsi"/>
          <w:sz w:val="20"/>
          <w:szCs w:val="20"/>
          <w:lang w:val="es-VE"/>
        </w:rPr>
        <w:t>C</w:t>
      </w:r>
      <w:r w:rsidR="00E40449" w:rsidRPr="00420489">
        <w:rPr>
          <w:rFonts w:asciiTheme="majorHAnsi" w:hAnsiTheme="majorHAnsi"/>
          <w:sz w:val="20"/>
          <w:szCs w:val="20"/>
          <w:lang w:val="es-VE"/>
        </w:rPr>
        <w:t xml:space="preserve">ontexto de </w:t>
      </w:r>
      <w:r w:rsidR="00FA0D48" w:rsidRPr="00420489">
        <w:rPr>
          <w:rFonts w:asciiTheme="majorHAnsi" w:hAnsiTheme="majorHAnsi"/>
          <w:sz w:val="20"/>
          <w:szCs w:val="20"/>
          <w:lang w:val="es-VE"/>
        </w:rPr>
        <w:t xml:space="preserve">la </w:t>
      </w:r>
      <w:r w:rsidR="00FA0D48" w:rsidRPr="00420489">
        <w:rPr>
          <w:rFonts w:asciiTheme="majorHAnsi" w:eastAsia="Times New Roman" w:hAnsiTheme="majorHAnsi"/>
          <w:sz w:val="20"/>
          <w:szCs w:val="20"/>
          <w:bdr w:val="none" w:sz="0" w:space="0" w:color="auto"/>
          <w:lang w:val="es-AR"/>
        </w:rPr>
        <w:t xml:space="preserve">solicitud de firmas para la convocatoria del referéndum </w:t>
      </w:r>
      <w:r w:rsidRPr="00420489">
        <w:rPr>
          <w:rFonts w:asciiTheme="majorHAnsi" w:eastAsia="Times New Roman" w:hAnsiTheme="majorHAnsi"/>
          <w:sz w:val="20"/>
          <w:szCs w:val="20"/>
          <w:bdr w:val="none" w:sz="0" w:space="0" w:color="auto"/>
          <w:lang w:val="es-AR"/>
        </w:rPr>
        <w:t xml:space="preserve">consultivo y </w:t>
      </w:r>
      <w:r w:rsidR="00FA0D48" w:rsidRPr="00420489">
        <w:rPr>
          <w:rFonts w:asciiTheme="majorHAnsi" w:eastAsia="Times New Roman" w:hAnsiTheme="majorHAnsi"/>
          <w:sz w:val="20"/>
          <w:szCs w:val="20"/>
          <w:bdr w:val="none" w:sz="0" w:space="0" w:color="auto"/>
          <w:lang w:val="es-AR"/>
        </w:rPr>
        <w:t xml:space="preserve">revocatorio del Presidente de la </w:t>
      </w:r>
      <w:r w:rsidR="00AE05ED" w:rsidRPr="00420489">
        <w:rPr>
          <w:rFonts w:asciiTheme="majorHAnsi" w:eastAsia="Times New Roman" w:hAnsiTheme="majorHAnsi"/>
          <w:sz w:val="20"/>
          <w:szCs w:val="20"/>
          <w:bdr w:val="none" w:sz="0" w:space="0" w:color="auto"/>
          <w:lang w:val="es-AR"/>
        </w:rPr>
        <w:t xml:space="preserve">República; </w:t>
      </w:r>
      <w:r w:rsidR="00F75A47" w:rsidRPr="00420489">
        <w:rPr>
          <w:rFonts w:asciiTheme="majorHAnsi" w:eastAsia="Times New Roman" w:hAnsiTheme="majorHAnsi"/>
          <w:sz w:val="20"/>
          <w:szCs w:val="20"/>
          <w:bdr w:val="none" w:sz="0" w:space="0" w:color="auto"/>
          <w:lang w:val="es-AR"/>
        </w:rPr>
        <w:t>C</w:t>
      </w:r>
      <w:r w:rsidR="00FA08DD" w:rsidRPr="00420489">
        <w:rPr>
          <w:rFonts w:asciiTheme="majorHAnsi" w:eastAsia="Times New Roman" w:hAnsiTheme="majorHAnsi"/>
          <w:sz w:val="20"/>
          <w:szCs w:val="20"/>
          <w:bdr w:val="none" w:sz="0" w:space="0" w:color="auto"/>
          <w:lang w:val="es-AR"/>
        </w:rPr>
        <w:t>) La</w:t>
      </w:r>
      <w:r w:rsidR="00CE59DE" w:rsidRPr="00420489">
        <w:rPr>
          <w:rFonts w:asciiTheme="majorHAnsi" w:eastAsia="Times New Roman" w:hAnsiTheme="majorHAnsi"/>
          <w:sz w:val="20"/>
          <w:szCs w:val="20"/>
          <w:bdr w:val="none" w:sz="0" w:space="0" w:color="auto"/>
          <w:lang w:val="es-AR"/>
        </w:rPr>
        <w:t xml:space="preserve"> relación laboral y terminación de </w:t>
      </w:r>
      <w:r w:rsidR="00FA08DD" w:rsidRPr="00420489">
        <w:rPr>
          <w:rFonts w:asciiTheme="majorHAnsi" w:eastAsia="Times New Roman" w:hAnsiTheme="majorHAnsi"/>
          <w:sz w:val="20"/>
          <w:szCs w:val="20"/>
          <w:bdr w:val="none" w:sz="0" w:space="0" w:color="auto"/>
          <w:lang w:val="es-AR"/>
        </w:rPr>
        <w:t xml:space="preserve">los contratos de Rocío San Miguel Sosa, </w:t>
      </w:r>
      <w:proofErr w:type="spellStart"/>
      <w:r w:rsidR="00FA08DD" w:rsidRPr="00420489">
        <w:rPr>
          <w:rFonts w:asciiTheme="majorHAnsi" w:eastAsia="Times New Roman" w:hAnsiTheme="majorHAnsi"/>
          <w:sz w:val="20"/>
          <w:szCs w:val="20"/>
          <w:bdr w:val="none" w:sz="0" w:space="0" w:color="auto"/>
          <w:lang w:val="es-AR"/>
        </w:rPr>
        <w:t>Magally</w:t>
      </w:r>
      <w:proofErr w:type="spellEnd"/>
      <w:r w:rsidR="00FA08DD" w:rsidRPr="00420489">
        <w:rPr>
          <w:rFonts w:asciiTheme="majorHAnsi" w:eastAsia="Times New Roman" w:hAnsiTheme="majorHAnsi"/>
          <w:sz w:val="20"/>
          <w:szCs w:val="20"/>
          <w:bdr w:val="none" w:sz="0" w:space="0" w:color="auto"/>
          <w:lang w:val="es-AR"/>
        </w:rPr>
        <w:t xml:space="preserve"> Chang Girón y Thais Coromoto Peña</w:t>
      </w:r>
      <w:r w:rsidR="007B0EC9" w:rsidRPr="00420489">
        <w:rPr>
          <w:rFonts w:asciiTheme="majorHAnsi" w:eastAsia="Times New Roman" w:hAnsiTheme="majorHAnsi"/>
          <w:sz w:val="20"/>
          <w:szCs w:val="20"/>
          <w:bdr w:val="none" w:sz="0" w:space="0" w:color="auto"/>
          <w:lang w:val="es-AR"/>
        </w:rPr>
        <w:t>; y</w:t>
      </w:r>
      <w:r w:rsidR="00FA08DD" w:rsidRPr="00420489">
        <w:rPr>
          <w:rFonts w:asciiTheme="majorHAnsi" w:eastAsia="Times New Roman" w:hAnsiTheme="majorHAnsi"/>
          <w:sz w:val="20"/>
          <w:szCs w:val="20"/>
          <w:bdr w:val="none" w:sz="0" w:space="0" w:color="auto"/>
          <w:lang w:val="es-AR"/>
        </w:rPr>
        <w:t xml:space="preserve"> </w:t>
      </w:r>
      <w:r w:rsidR="00F75A47" w:rsidRPr="00420489">
        <w:rPr>
          <w:rFonts w:asciiTheme="majorHAnsi" w:eastAsia="Times New Roman" w:hAnsiTheme="majorHAnsi"/>
          <w:sz w:val="20"/>
          <w:szCs w:val="20"/>
          <w:bdr w:val="none" w:sz="0" w:space="0" w:color="auto"/>
          <w:lang w:val="es-AR"/>
        </w:rPr>
        <w:t>D</w:t>
      </w:r>
      <w:r w:rsidR="00FA08DD" w:rsidRPr="00420489">
        <w:rPr>
          <w:rFonts w:asciiTheme="majorHAnsi" w:eastAsia="Times New Roman" w:hAnsiTheme="majorHAnsi"/>
          <w:sz w:val="20"/>
          <w:szCs w:val="20"/>
          <w:bdr w:val="none" w:sz="0" w:space="0" w:color="auto"/>
          <w:lang w:val="es-AR"/>
        </w:rPr>
        <w:t xml:space="preserve">) </w:t>
      </w:r>
      <w:r w:rsidRPr="00420489">
        <w:rPr>
          <w:rFonts w:asciiTheme="majorHAnsi" w:eastAsia="Times New Roman" w:hAnsiTheme="majorHAnsi"/>
          <w:sz w:val="20"/>
          <w:szCs w:val="20"/>
          <w:bdr w:val="none" w:sz="0" w:space="0" w:color="auto"/>
          <w:lang w:val="es-AR"/>
        </w:rPr>
        <w:t>L</w:t>
      </w:r>
      <w:r w:rsidR="00FA08DD" w:rsidRPr="00420489">
        <w:rPr>
          <w:rFonts w:asciiTheme="majorHAnsi" w:eastAsia="Times New Roman" w:hAnsiTheme="majorHAnsi"/>
          <w:sz w:val="20"/>
          <w:szCs w:val="20"/>
          <w:bdr w:val="none" w:sz="0" w:space="0" w:color="auto"/>
          <w:lang w:val="es-AR"/>
        </w:rPr>
        <w:t xml:space="preserve">os procesos </w:t>
      </w:r>
      <w:r w:rsidR="00FA0D48" w:rsidRPr="00420489">
        <w:rPr>
          <w:rFonts w:asciiTheme="majorHAnsi" w:eastAsia="Times New Roman" w:hAnsiTheme="majorHAnsi"/>
          <w:sz w:val="20"/>
          <w:szCs w:val="20"/>
          <w:bdr w:val="none" w:sz="0" w:space="0" w:color="auto"/>
          <w:lang w:val="es-AR"/>
        </w:rPr>
        <w:t>internos adelantados en relaci</w:t>
      </w:r>
      <w:r w:rsidR="001F21BE" w:rsidRPr="00420489">
        <w:rPr>
          <w:rFonts w:asciiTheme="majorHAnsi" w:eastAsia="Times New Roman" w:hAnsiTheme="majorHAnsi"/>
          <w:sz w:val="20"/>
          <w:szCs w:val="20"/>
          <w:bdr w:val="none" w:sz="0" w:space="0" w:color="auto"/>
          <w:lang w:val="es-AR"/>
        </w:rPr>
        <w:t>ón con la terminación de los contratos</w:t>
      </w:r>
      <w:r w:rsidR="00E571A2" w:rsidRPr="00420489">
        <w:rPr>
          <w:rFonts w:asciiTheme="majorHAnsi" w:eastAsia="Times New Roman" w:hAnsiTheme="majorHAnsi"/>
          <w:sz w:val="20"/>
          <w:szCs w:val="20"/>
          <w:bdr w:val="none" w:sz="0" w:space="0" w:color="auto"/>
          <w:lang w:val="es-AR"/>
        </w:rPr>
        <w:t>.</w:t>
      </w:r>
      <w:r w:rsidR="001F21BE" w:rsidRPr="00420489">
        <w:rPr>
          <w:rFonts w:asciiTheme="majorHAnsi" w:eastAsia="Times New Roman" w:hAnsiTheme="majorHAnsi"/>
          <w:sz w:val="20"/>
          <w:szCs w:val="20"/>
          <w:bdr w:val="none" w:sz="0" w:space="0" w:color="auto"/>
          <w:lang w:val="es-AR"/>
        </w:rPr>
        <w:t xml:space="preserve"> </w:t>
      </w:r>
    </w:p>
    <w:p w14:paraId="37DE94B7" w14:textId="77777777" w:rsidR="00CE59DE" w:rsidRPr="00420489" w:rsidRDefault="00CE59DE" w:rsidP="00FA08DD">
      <w:pPr>
        <w:jc w:val="both"/>
        <w:rPr>
          <w:rFonts w:asciiTheme="majorHAnsi" w:hAnsiTheme="majorHAnsi"/>
          <w:sz w:val="20"/>
          <w:szCs w:val="20"/>
          <w:lang w:val="es-VE"/>
        </w:rPr>
      </w:pPr>
    </w:p>
    <w:p w14:paraId="70FC1269" w14:textId="77777777" w:rsidR="00F75A47" w:rsidRPr="00653813" w:rsidRDefault="00F75A47" w:rsidP="005E081B">
      <w:pPr>
        <w:pStyle w:val="Heading2"/>
        <w:numPr>
          <w:ilvl w:val="0"/>
          <w:numId w:val="60"/>
        </w:numPr>
      </w:pPr>
      <w:bookmarkStart w:id="24" w:name="_Toc433308900"/>
      <w:bookmarkStart w:id="25" w:name="_Toc423514411"/>
      <w:r w:rsidRPr="00653813">
        <w:t>Cuestión previa sobre el uso de cierta prueba</w:t>
      </w:r>
      <w:bookmarkEnd w:id="24"/>
    </w:p>
    <w:p w14:paraId="115B2F7F" w14:textId="77777777" w:rsidR="00F75A47" w:rsidRPr="00653813" w:rsidRDefault="00F75A47" w:rsidP="00F75A47">
      <w:pPr>
        <w:rPr>
          <w:rFonts w:asciiTheme="majorHAnsi" w:hAnsiTheme="majorHAnsi"/>
          <w:sz w:val="20"/>
          <w:szCs w:val="20"/>
          <w:lang w:val="es-ES_tradnl"/>
        </w:rPr>
      </w:pPr>
    </w:p>
    <w:p w14:paraId="45031435" w14:textId="39DAD902" w:rsidR="00A0334E" w:rsidRPr="00653813" w:rsidRDefault="00A0334E"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ES_tradnl"/>
        </w:rPr>
      </w:pPr>
      <w:r w:rsidRPr="00653813">
        <w:rPr>
          <w:rFonts w:asciiTheme="majorHAnsi" w:hAnsiTheme="majorHAnsi"/>
          <w:sz w:val="20"/>
          <w:szCs w:val="20"/>
          <w:lang w:val="es-ES_tradnl"/>
        </w:rPr>
        <w:t xml:space="preserve">La Comisión observa que el Estado indicó que las grabaciones constituyeron prueba obtenida </w:t>
      </w:r>
      <w:r w:rsidR="00586F50" w:rsidRPr="00653813">
        <w:rPr>
          <w:rFonts w:asciiTheme="majorHAnsi" w:hAnsiTheme="majorHAnsi"/>
          <w:sz w:val="20"/>
          <w:szCs w:val="20"/>
          <w:lang w:val="es-ES_tradnl"/>
        </w:rPr>
        <w:t>i</w:t>
      </w:r>
      <w:r w:rsidRPr="00653813">
        <w:rPr>
          <w:rFonts w:asciiTheme="majorHAnsi" w:hAnsiTheme="majorHAnsi"/>
          <w:sz w:val="20"/>
          <w:szCs w:val="20"/>
          <w:lang w:val="es-ES_tradnl"/>
        </w:rPr>
        <w:t xml:space="preserve">legalmente, lo que llevó a que </w:t>
      </w:r>
      <w:r w:rsidR="009867A2">
        <w:rPr>
          <w:rFonts w:asciiTheme="majorHAnsi" w:hAnsiTheme="majorHAnsi"/>
          <w:sz w:val="20"/>
          <w:szCs w:val="20"/>
          <w:lang w:val="es-ES_tradnl"/>
        </w:rPr>
        <w:t>l</w:t>
      </w:r>
      <w:r w:rsidRPr="00653813">
        <w:rPr>
          <w:rFonts w:asciiTheme="majorHAnsi" w:hAnsiTheme="majorHAnsi"/>
          <w:sz w:val="20"/>
          <w:szCs w:val="20"/>
          <w:lang w:val="es-ES_tradnl"/>
        </w:rPr>
        <w:t xml:space="preserve">a misma fuera rechazada en los procedimientos internos. Al respecto, la Comisión recuerda que </w:t>
      </w:r>
      <w:r w:rsidRPr="00653813">
        <w:rPr>
          <w:rFonts w:ascii="Cambria" w:hAnsi="Cambria" w:cs="Arial"/>
          <w:sz w:val="20"/>
          <w:szCs w:val="20"/>
          <w:lang w:val="es-ES"/>
        </w:rPr>
        <w:t>la jurisprudencia del sistema interamericano ha indicado que los criterios de valoración de la prueba son menos rígidos que los sistemas legales internos y ha sostenido que puede “evaluar libremente las pruebas”</w:t>
      </w:r>
      <w:r w:rsidRPr="00653813">
        <w:rPr>
          <w:rStyle w:val="FootnoteReference"/>
          <w:rFonts w:ascii="Cambria" w:hAnsi="Cambria" w:cs="Arial"/>
          <w:sz w:val="20"/>
          <w:szCs w:val="20"/>
          <w:lang w:val="es-ES"/>
        </w:rPr>
        <w:footnoteReference w:id="3"/>
      </w:r>
      <w:r w:rsidRPr="00653813">
        <w:rPr>
          <w:rFonts w:ascii="Cambria" w:hAnsi="Cambria" w:cs="Arial"/>
          <w:sz w:val="20"/>
          <w:szCs w:val="20"/>
          <w:lang w:val="es-ES"/>
        </w:rPr>
        <w:t xml:space="preserve">. En este sentido, la Corte Interamericana ha señalado que se “debe aplicar una valoración de la prueba que tenga en </w:t>
      </w:r>
      <w:r w:rsidRPr="00653813">
        <w:rPr>
          <w:rFonts w:asciiTheme="majorHAnsi" w:hAnsiTheme="majorHAnsi"/>
          <w:sz w:val="20"/>
          <w:szCs w:val="20"/>
          <w:lang w:val="es-VE"/>
        </w:rPr>
        <w:t>cuenta</w:t>
      </w:r>
      <w:r w:rsidRPr="00653813">
        <w:rPr>
          <w:rFonts w:ascii="Cambria" w:hAnsi="Cambria" w:cs="Arial"/>
          <w:sz w:val="20"/>
          <w:szCs w:val="20"/>
          <w:lang w:val="es-ES"/>
        </w:rPr>
        <w:t xml:space="preserve"> la gravedad de la atribución de la responsabilidad internacional del Estado y que, sin perjuicio de ello, sea capaz de crear la convicción de la verdad de los hechos alegados”</w:t>
      </w:r>
      <w:r w:rsidRPr="00653813">
        <w:rPr>
          <w:rStyle w:val="FootnoteReference"/>
          <w:rFonts w:ascii="Cambria" w:hAnsi="Cambria" w:cs="Arial"/>
          <w:sz w:val="20"/>
          <w:szCs w:val="20"/>
          <w:lang w:val="es-ES"/>
        </w:rPr>
        <w:footnoteReference w:id="4"/>
      </w:r>
      <w:r w:rsidRPr="00653813">
        <w:rPr>
          <w:rFonts w:ascii="Cambria" w:hAnsi="Cambria" w:cs="Arial"/>
          <w:sz w:val="20"/>
          <w:szCs w:val="20"/>
          <w:lang w:val="es-ES"/>
        </w:rPr>
        <w:t>. La Corte ha indicado que es “legítimo el uso de la prueba circunstancial, los indicios y las presunciones para fundar una sentencia, siempre que de ellos puedan inferirse conclusiones  consistentes sobre los hechos”</w:t>
      </w:r>
      <w:r w:rsidRPr="00653813">
        <w:rPr>
          <w:rStyle w:val="FootnoteReference"/>
          <w:rFonts w:ascii="Cambria" w:hAnsi="Cambria" w:cs="Arial"/>
          <w:sz w:val="20"/>
          <w:szCs w:val="20"/>
          <w:lang w:val="es-ES"/>
        </w:rPr>
        <w:footnoteReference w:id="5"/>
      </w:r>
      <w:r w:rsidRPr="00653813">
        <w:rPr>
          <w:rFonts w:ascii="Cambria" w:hAnsi="Cambria" w:cs="Arial"/>
          <w:sz w:val="20"/>
          <w:szCs w:val="20"/>
          <w:lang w:val="es-ES"/>
        </w:rPr>
        <w:t>.</w:t>
      </w:r>
    </w:p>
    <w:p w14:paraId="709C6A10" w14:textId="0AD21470" w:rsidR="00A0334E" w:rsidRPr="00653813" w:rsidRDefault="00D17BB1" w:rsidP="00D17BB1">
      <w:pPr>
        <w:tabs>
          <w:tab w:val="num" w:pos="1440"/>
          <w:tab w:val="left" w:pos="2177"/>
        </w:tabs>
        <w:rPr>
          <w:rFonts w:asciiTheme="majorHAnsi" w:hAnsiTheme="majorHAnsi"/>
          <w:sz w:val="20"/>
          <w:szCs w:val="20"/>
          <w:lang w:val="es-ES_tradnl"/>
        </w:rPr>
      </w:pPr>
      <w:r>
        <w:rPr>
          <w:rFonts w:asciiTheme="majorHAnsi" w:hAnsiTheme="majorHAnsi"/>
          <w:sz w:val="20"/>
          <w:szCs w:val="20"/>
          <w:lang w:val="es-ES_tradnl"/>
        </w:rPr>
        <w:tab/>
      </w:r>
    </w:p>
    <w:p w14:paraId="090F6B0D" w14:textId="3530F8DB" w:rsidR="00A0334E" w:rsidRPr="00653813" w:rsidRDefault="00A0334E"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ES_tradnl"/>
        </w:rPr>
      </w:pPr>
      <w:r w:rsidRPr="00653813">
        <w:rPr>
          <w:rFonts w:asciiTheme="majorHAnsi" w:hAnsiTheme="majorHAnsi"/>
          <w:sz w:val="20"/>
          <w:szCs w:val="20"/>
          <w:lang w:val="es-ES_tradnl"/>
        </w:rPr>
        <w:t xml:space="preserve">Si bien es cierto que la Corte Interamericana ha indicado que </w:t>
      </w:r>
      <w:r w:rsidR="00A81D4D" w:rsidRPr="00653813">
        <w:rPr>
          <w:rFonts w:asciiTheme="majorHAnsi" w:hAnsiTheme="majorHAnsi"/>
          <w:sz w:val="20"/>
          <w:szCs w:val="20"/>
          <w:lang w:val="es-ES_tradnl"/>
        </w:rPr>
        <w:t xml:space="preserve">las conversaciones telefónicas </w:t>
      </w:r>
      <w:r w:rsidRPr="00653813">
        <w:rPr>
          <w:rFonts w:asciiTheme="majorHAnsi" w:hAnsiTheme="majorHAnsi"/>
          <w:sz w:val="20"/>
          <w:szCs w:val="20"/>
          <w:lang w:val="es-ES_tradnl"/>
        </w:rPr>
        <w:t xml:space="preserve">se encuentran protegidas bajo el artículo </w:t>
      </w:r>
      <w:r w:rsidR="00A81D4D" w:rsidRPr="00653813">
        <w:rPr>
          <w:rFonts w:asciiTheme="majorHAnsi" w:hAnsiTheme="majorHAnsi"/>
          <w:sz w:val="20"/>
          <w:szCs w:val="20"/>
          <w:lang w:val="es-ES_tradnl"/>
        </w:rPr>
        <w:t>11 de la Convención Americana</w:t>
      </w:r>
      <w:r w:rsidRPr="00653813">
        <w:rPr>
          <w:rStyle w:val="FootnoteReference"/>
          <w:rFonts w:asciiTheme="majorHAnsi" w:hAnsiTheme="majorHAnsi"/>
          <w:sz w:val="20"/>
          <w:szCs w:val="20"/>
          <w:lang w:val="es-ES_tradnl"/>
        </w:rPr>
        <w:footnoteReference w:id="6"/>
      </w:r>
      <w:r w:rsidRPr="00653813">
        <w:rPr>
          <w:rFonts w:asciiTheme="majorHAnsi" w:hAnsiTheme="majorHAnsi"/>
          <w:sz w:val="20"/>
          <w:szCs w:val="20"/>
          <w:lang w:val="es-ES_tradnl"/>
        </w:rPr>
        <w:t xml:space="preserve">, también lo es que la jurisprudencia constante de los órganos del sistema interamericano ha establecido que “el derecho a la vida privada no es un </w:t>
      </w:r>
      <w:r w:rsidRPr="00653813">
        <w:rPr>
          <w:rFonts w:asciiTheme="majorHAnsi" w:hAnsiTheme="majorHAnsi"/>
          <w:sz w:val="20"/>
          <w:szCs w:val="20"/>
          <w:lang w:val="es-ES_tradnl"/>
        </w:rPr>
        <w:lastRenderedPageBreak/>
        <w:t>derecho absoluto y, por lo tanto, puede ser restringido por los Estados siempre que las injerencias no sean abusivas o arbitrarias; por ello, deben estar previstas en ley, perseguir un fin legítimo y ser necesarias en una sociedad democrática”</w:t>
      </w:r>
      <w:r w:rsidRPr="00653813">
        <w:rPr>
          <w:rStyle w:val="FootnoteReference"/>
          <w:rFonts w:asciiTheme="majorHAnsi" w:hAnsiTheme="majorHAnsi"/>
          <w:sz w:val="20"/>
          <w:szCs w:val="20"/>
          <w:lang w:val="es-ES_tradnl"/>
        </w:rPr>
        <w:footnoteReference w:id="7"/>
      </w:r>
      <w:r w:rsidRPr="00653813">
        <w:rPr>
          <w:rFonts w:asciiTheme="majorHAnsi" w:hAnsiTheme="majorHAnsi"/>
          <w:sz w:val="20"/>
          <w:szCs w:val="20"/>
          <w:lang w:val="es-ES_tradnl"/>
        </w:rPr>
        <w:t>.</w:t>
      </w:r>
    </w:p>
    <w:p w14:paraId="63B6E6A2" w14:textId="77777777" w:rsidR="00A0334E" w:rsidRPr="00653813" w:rsidRDefault="00A0334E" w:rsidP="00D17BB1">
      <w:pPr>
        <w:pStyle w:val="ListParagraph"/>
        <w:tabs>
          <w:tab w:val="num" w:pos="1440"/>
        </w:tabs>
        <w:rPr>
          <w:rFonts w:asciiTheme="majorHAnsi" w:hAnsiTheme="majorHAnsi"/>
          <w:sz w:val="20"/>
          <w:szCs w:val="20"/>
          <w:lang w:val="es-ES_tradnl"/>
        </w:rPr>
      </w:pPr>
    </w:p>
    <w:p w14:paraId="6EFD1AB5" w14:textId="2C9B2207" w:rsidR="00A0334E" w:rsidRPr="00653813" w:rsidRDefault="00A0334E"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ES_tradnl"/>
        </w:rPr>
      </w:pPr>
      <w:r w:rsidRPr="00653813">
        <w:rPr>
          <w:rFonts w:asciiTheme="majorHAnsi" w:hAnsiTheme="majorHAnsi"/>
          <w:sz w:val="20"/>
          <w:szCs w:val="20"/>
          <w:lang w:val="es-CO"/>
        </w:rPr>
        <w:t xml:space="preserve">En el presente caso, </w:t>
      </w:r>
      <w:r w:rsidR="002B44BF" w:rsidRPr="00653813">
        <w:rPr>
          <w:rFonts w:asciiTheme="majorHAnsi" w:hAnsiTheme="majorHAnsi"/>
          <w:sz w:val="20"/>
          <w:szCs w:val="20"/>
          <w:lang w:val="es-CO"/>
        </w:rPr>
        <w:t>los contenidos de las conversaciones no son</w:t>
      </w:r>
      <w:r w:rsidRPr="00653813">
        <w:rPr>
          <w:rFonts w:asciiTheme="majorHAnsi" w:hAnsiTheme="majorHAnsi"/>
          <w:sz w:val="20"/>
          <w:szCs w:val="20"/>
          <w:lang w:val="es-CO"/>
        </w:rPr>
        <w:t xml:space="preserve"> asuntos vinculados a la vida privada o reputación de los intervinientes en la conversación. Por el contrario, las conversaciones giran en torno a las razones que sustentaron el despido, particularmente, si la firma para convocar el referendo revocatorio fue la verdadera motivación. En ese </w:t>
      </w:r>
      <w:r w:rsidRPr="00653813">
        <w:rPr>
          <w:rFonts w:asciiTheme="majorHAnsi" w:hAnsiTheme="majorHAnsi"/>
          <w:sz w:val="20"/>
          <w:szCs w:val="20"/>
          <w:lang w:val="es-ES_tradnl"/>
        </w:rPr>
        <w:t>sentido</w:t>
      </w:r>
      <w:r w:rsidRPr="00653813">
        <w:rPr>
          <w:rFonts w:asciiTheme="majorHAnsi" w:hAnsiTheme="majorHAnsi"/>
          <w:sz w:val="20"/>
          <w:szCs w:val="20"/>
          <w:lang w:val="es-CO"/>
        </w:rPr>
        <w:t>, el uso de las conversaciones en el presente informe, no hace públicos aspectos de la vida privada de las personas involucradas sino más bien podrían válidamente calificarse como cuestiones de interés público, tomando en especial consideración que se alega la existencia de un contexto más general de represalias.</w:t>
      </w:r>
      <w:r w:rsidRPr="00653813">
        <w:rPr>
          <w:rFonts w:asciiTheme="majorHAnsi" w:hAnsiTheme="majorHAnsi"/>
          <w:sz w:val="20"/>
          <w:szCs w:val="20"/>
          <w:lang w:val="es-ES_tradnl"/>
        </w:rPr>
        <w:t xml:space="preserve"> </w:t>
      </w:r>
    </w:p>
    <w:p w14:paraId="593E67DD" w14:textId="77777777" w:rsidR="002B44BF" w:rsidRPr="00653813" w:rsidRDefault="002B44BF" w:rsidP="00D17BB1">
      <w:pPr>
        <w:pStyle w:val="ListParagraph"/>
        <w:tabs>
          <w:tab w:val="num" w:pos="1440"/>
        </w:tabs>
        <w:rPr>
          <w:rFonts w:asciiTheme="majorHAnsi" w:hAnsiTheme="majorHAnsi"/>
          <w:sz w:val="20"/>
          <w:szCs w:val="20"/>
          <w:lang w:val="es-ES_tradnl"/>
        </w:rPr>
      </w:pPr>
    </w:p>
    <w:p w14:paraId="4A238165" w14:textId="561DBD24" w:rsidR="002B44BF" w:rsidRPr="00653813" w:rsidRDefault="002B44BF"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CO"/>
        </w:rPr>
      </w:pPr>
      <w:r w:rsidRPr="00653813">
        <w:rPr>
          <w:rFonts w:asciiTheme="majorHAnsi" w:hAnsiTheme="majorHAnsi"/>
          <w:sz w:val="20"/>
          <w:szCs w:val="20"/>
          <w:lang w:val="es-ES_tradnl"/>
        </w:rPr>
        <w:t xml:space="preserve">La Corte Europea se ha pronunciado sobre sanciones a medios de comunicación por difundir la grabación de una conversación telefónica entre altos funcionarios estatales. </w:t>
      </w:r>
      <w:r w:rsidRPr="00653813">
        <w:rPr>
          <w:rFonts w:asciiTheme="majorHAnsi" w:hAnsiTheme="majorHAnsi"/>
          <w:sz w:val="20"/>
          <w:szCs w:val="20"/>
          <w:lang w:val="es-CO"/>
        </w:rPr>
        <w:t xml:space="preserve">En el caso de la </w:t>
      </w:r>
      <w:r w:rsidRPr="00653813">
        <w:rPr>
          <w:rFonts w:asciiTheme="majorHAnsi" w:hAnsiTheme="majorHAnsi"/>
          <w:i/>
          <w:sz w:val="20"/>
          <w:szCs w:val="20"/>
          <w:lang w:val="es-CO"/>
        </w:rPr>
        <w:t>Radio Twist vs. Eslovaquia</w:t>
      </w:r>
      <w:r w:rsidRPr="00653813">
        <w:rPr>
          <w:rStyle w:val="FootnoteReference"/>
          <w:rFonts w:asciiTheme="majorHAnsi" w:hAnsiTheme="majorHAnsi"/>
          <w:i/>
          <w:sz w:val="20"/>
          <w:szCs w:val="20"/>
          <w:lang w:val="es-CO"/>
        </w:rPr>
        <w:footnoteReference w:id="8"/>
      </w:r>
      <w:r w:rsidRPr="00653813">
        <w:rPr>
          <w:rFonts w:asciiTheme="majorHAnsi" w:hAnsiTheme="majorHAnsi"/>
          <w:i/>
          <w:sz w:val="20"/>
          <w:szCs w:val="20"/>
          <w:lang w:val="es-CO"/>
        </w:rPr>
        <w:t xml:space="preserve">, </w:t>
      </w:r>
      <w:r w:rsidRPr="00653813">
        <w:rPr>
          <w:rFonts w:asciiTheme="majorHAnsi" w:hAnsiTheme="majorHAnsi"/>
          <w:sz w:val="20"/>
          <w:szCs w:val="20"/>
          <w:lang w:val="es-CO"/>
        </w:rPr>
        <w:t xml:space="preserve">dicha Corte señaló que del contexto y contenido de la conversación, resultaba evidente su carácter político y de interés público, sin que fuera posible determinar una dimensión relacionada con la vida privada de las referidas personas. En consecuencia, la Corte Europea determinó que el estándar de especial tolerancia </w:t>
      </w:r>
      <w:r w:rsidRPr="00653813">
        <w:rPr>
          <w:rFonts w:asciiTheme="majorHAnsi" w:hAnsiTheme="majorHAnsi"/>
          <w:sz w:val="20"/>
          <w:szCs w:val="20"/>
          <w:lang w:val="es-ES_tradnl"/>
        </w:rPr>
        <w:t>establecido</w:t>
      </w:r>
      <w:r w:rsidRPr="00653813">
        <w:rPr>
          <w:rFonts w:asciiTheme="majorHAnsi" w:hAnsiTheme="majorHAnsi"/>
          <w:sz w:val="20"/>
          <w:szCs w:val="20"/>
          <w:lang w:val="es-CO"/>
        </w:rPr>
        <w:t xml:space="preserve"> en su jurisprudencia, resultaba aplicable y determinó que la sanción impuesta no era necesaria en una sociedad democrática. </w:t>
      </w:r>
    </w:p>
    <w:p w14:paraId="72A12AFB" w14:textId="77777777" w:rsidR="009A092B" w:rsidRPr="00653813" w:rsidRDefault="009A092B" w:rsidP="00D17BB1">
      <w:pPr>
        <w:tabs>
          <w:tab w:val="num" w:pos="1440"/>
        </w:tabs>
        <w:ind w:right="4"/>
        <w:jc w:val="both"/>
        <w:rPr>
          <w:rFonts w:asciiTheme="majorHAnsi" w:hAnsiTheme="majorHAnsi"/>
          <w:sz w:val="20"/>
          <w:szCs w:val="20"/>
          <w:lang w:val="es-CO"/>
        </w:rPr>
      </w:pPr>
    </w:p>
    <w:p w14:paraId="1878CB46" w14:textId="77777777" w:rsidR="00586F50" w:rsidRPr="00653813" w:rsidRDefault="009A092B"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CO"/>
        </w:rPr>
      </w:pPr>
      <w:r w:rsidRPr="00653813">
        <w:rPr>
          <w:rFonts w:asciiTheme="majorHAnsi" w:hAnsiTheme="majorHAnsi"/>
          <w:sz w:val="20"/>
          <w:szCs w:val="20"/>
          <w:lang w:val="es-CO"/>
        </w:rPr>
        <w:t xml:space="preserve">Otro elemento que la Comisión considera relevante tomar en cuenta se relaciona con </w:t>
      </w:r>
      <w:r w:rsidR="001C65BC" w:rsidRPr="00653813">
        <w:rPr>
          <w:rFonts w:asciiTheme="majorHAnsi" w:hAnsiTheme="majorHAnsi"/>
          <w:sz w:val="20"/>
          <w:szCs w:val="20"/>
          <w:lang w:val="es-CO"/>
        </w:rPr>
        <w:t xml:space="preserve">las </w:t>
      </w:r>
      <w:r w:rsidR="00C30AC4" w:rsidRPr="00653813">
        <w:rPr>
          <w:rFonts w:asciiTheme="majorHAnsi" w:hAnsiTheme="majorHAnsi"/>
          <w:sz w:val="20"/>
          <w:szCs w:val="20"/>
          <w:lang w:val="es-CO"/>
        </w:rPr>
        <w:t>car</w:t>
      </w:r>
      <w:r w:rsidR="00A3207B" w:rsidRPr="00653813">
        <w:rPr>
          <w:rFonts w:asciiTheme="majorHAnsi" w:hAnsiTheme="majorHAnsi"/>
          <w:sz w:val="20"/>
          <w:szCs w:val="20"/>
          <w:lang w:val="es-CO"/>
        </w:rPr>
        <w:t>a</w:t>
      </w:r>
      <w:r w:rsidR="001C65BC" w:rsidRPr="00653813">
        <w:rPr>
          <w:rFonts w:asciiTheme="majorHAnsi" w:hAnsiTheme="majorHAnsi"/>
          <w:sz w:val="20"/>
          <w:szCs w:val="20"/>
          <w:lang w:val="es-CO"/>
        </w:rPr>
        <w:t>cterísticas</w:t>
      </w:r>
      <w:r w:rsidRPr="00653813">
        <w:rPr>
          <w:rFonts w:asciiTheme="majorHAnsi" w:hAnsiTheme="majorHAnsi"/>
          <w:sz w:val="20"/>
          <w:szCs w:val="20"/>
          <w:lang w:val="es-CO"/>
        </w:rPr>
        <w:t xml:space="preserve"> del presente caso.</w:t>
      </w:r>
      <w:r w:rsidR="00710113" w:rsidRPr="00653813">
        <w:rPr>
          <w:rFonts w:asciiTheme="majorHAnsi" w:hAnsiTheme="majorHAnsi"/>
          <w:sz w:val="20"/>
          <w:szCs w:val="20"/>
          <w:lang w:val="es-CO"/>
        </w:rPr>
        <w:t xml:space="preserve"> El debate central que debe resolver la Comisión</w:t>
      </w:r>
      <w:r w:rsidR="00F4462C" w:rsidRPr="00653813">
        <w:rPr>
          <w:rFonts w:asciiTheme="majorHAnsi" w:hAnsiTheme="majorHAnsi"/>
          <w:sz w:val="20"/>
          <w:szCs w:val="20"/>
          <w:lang w:val="es-CO"/>
        </w:rPr>
        <w:t xml:space="preserve"> es si la separación del cargo de las tres presuntas víctimas se basó en sus firmas </w:t>
      </w:r>
      <w:r w:rsidR="001C65BC" w:rsidRPr="00653813">
        <w:rPr>
          <w:rFonts w:asciiTheme="majorHAnsi" w:hAnsiTheme="majorHAnsi"/>
          <w:sz w:val="20"/>
          <w:szCs w:val="20"/>
          <w:lang w:val="es-CO"/>
        </w:rPr>
        <w:t xml:space="preserve">para la convocatoria del referendo revocatorio del entonces Presidente de la República. En ese sentido, lo que se argumenta es una supuesta discriminación encubierta tras un velo de legalidad consistente en una cláusula contractual. En este tipo de casos, por su propia naturaleza, </w:t>
      </w:r>
      <w:r w:rsidR="00C30AC4" w:rsidRPr="00653813">
        <w:rPr>
          <w:rFonts w:asciiTheme="majorHAnsi" w:hAnsiTheme="majorHAnsi"/>
          <w:sz w:val="20"/>
          <w:szCs w:val="20"/>
          <w:lang w:val="es-CO"/>
        </w:rPr>
        <w:t xml:space="preserve">generalmente </w:t>
      </w:r>
      <w:r w:rsidR="001C65BC" w:rsidRPr="00653813">
        <w:rPr>
          <w:rFonts w:asciiTheme="majorHAnsi" w:hAnsiTheme="majorHAnsi"/>
          <w:sz w:val="20"/>
          <w:szCs w:val="20"/>
          <w:lang w:val="es-CO"/>
        </w:rPr>
        <w:t xml:space="preserve">no existen pruebas directas sobre la presencia de un criterio prohibido de discriminación, en </w:t>
      </w:r>
      <w:r w:rsidR="001C65BC" w:rsidRPr="00653813">
        <w:rPr>
          <w:rFonts w:asciiTheme="majorHAnsi" w:hAnsiTheme="majorHAnsi"/>
          <w:sz w:val="20"/>
          <w:szCs w:val="20"/>
          <w:lang w:val="es-ES_tradnl"/>
        </w:rPr>
        <w:t>este</w:t>
      </w:r>
      <w:r w:rsidR="001C65BC" w:rsidRPr="00653813">
        <w:rPr>
          <w:rFonts w:asciiTheme="majorHAnsi" w:hAnsiTheme="majorHAnsi"/>
          <w:sz w:val="20"/>
          <w:szCs w:val="20"/>
          <w:lang w:val="es-CO"/>
        </w:rPr>
        <w:t xml:space="preserve"> caso, la opinión política.</w:t>
      </w:r>
      <w:r w:rsidR="005A4777" w:rsidRPr="00653813">
        <w:rPr>
          <w:rFonts w:asciiTheme="majorHAnsi" w:hAnsiTheme="majorHAnsi"/>
          <w:sz w:val="20"/>
          <w:szCs w:val="20"/>
          <w:lang w:val="es-CO"/>
        </w:rPr>
        <w:t xml:space="preserve"> Esta situación explica las razones por las cuales la Comisión debe acudir a prueba indiciaria </w:t>
      </w:r>
      <w:r w:rsidR="00103220" w:rsidRPr="00653813">
        <w:rPr>
          <w:rFonts w:asciiTheme="majorHAnsi" w:hAnsiTheme="majorHAnsi"/>
          <w:sz w:val="20"/>
          <w:szCs w:val="20"/>
          <w:lang w:val="es-CO"/>
        </w:rPr>
        <w:t>y circunstancial en este tipo de casos. Dentro de dicha prueba, las conversaciones telefónicas constituyen un elemento más dentro del cúmulo de indicios aportados a la CIDH.</w:t>
      </w:r>
      <w:r w:rsidR="00C9263A" w:rsidRPr="00653813">
        <w:rPr>
          <w:rFonts w:asciiTheme="majorHAnsi" w:hAnsiTheme="majorHAnsi"/>
          <w:sz w:val="20"/>
          <w:szCs w:val="20"/>
          <w:lang w:val="es-CO"/>
        </w:rPr>
        <w:t xml:space="preserve"> </w:t>
      </w:r>
    </w:p>
    <w:p w14:paraId="402729C9" w14:textId="77777777" w:rsidR="00586F50" w:rsidRPr="00653813" w:rsidRDefault="00586F50" w:rsidP="00D17BB1">
      <w:pPr>
        <w:pStyle w:val="ListParagraph"/>
        <w:tabs>
          <w:tab w:val="num" w:pos="1440"/>
        </w:tabs>
        <w:rPr>
          <w:rFonts w:asciiTheme="majorHAnsi" w:hAnsiTheme="majorHAnsi"/>
          <w:sz w:val="20"/>
          <w:szCs w:val="20"/>
          <w:lang w:val="es-CO"/>
        </w:rPr>
      </w:pPr>
    </w:p>
    <w:p w14:paraId="4518A8AB" w14:textId="6D1B01F6" w:rsidR="002A62C7" w:rsidRPr="00653813" w:rsidRDefault="00586F50"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CO"/>
        </w:rPr>
      </w:pPr>
      <w:r w:rsidRPr="00653813">
        <w:rPr>
          <w:rFonts w:asciiTheme="majorHAnsi" w:hAnsiTheme="majorHAnsi"/>
          <w:sz w:val="20"/>
          <w:szCs w:val="20"/>
          <w:lang w:val="es-CO"/>
        </w:rPr>
        <w:t xml:space="preserve">Tomando en cuenta todos los anteriores elementos en su conjunto, la Comisión considera que el uso de las </w:t>
      </w:r>
      <w:r w:rsidRPr="00653813">
        <w:rPr>
          <w:rFonts w:asciiTheme="majorHAnsi" w:hAnsiTheme="majorHAnsi"/>
          <w:sz w:val="20"/>
          <w:szCs w:val="20"/>
          <w:lang w:val="es-ES_tradnl"/>
        </w:rPr>
        <w:t>transcripciones</w:t>
      </w:r>
      <w:r w:rsidRPr="00653813">
        <w:rPr>
          <w:rFonts w:asciiTheme="majorHAnsi" w:hAnsiTheme="majorHAnsi"/>
          <w:sz w:val="20"/>
          <w:szCs w:val="20"/>
          <w:lang w:val="es-CO"/>
        </w:rPr>
        <w:t xml:space="preserve"> y las grabaciones de las conversaciones telefónicas se encuentra justificado en el presente caso y, por lo tanto, procederá a considerarlas en las determinaciones fácticas subsiguientes, conjuntamente con el resto de la prueba obrante en el expediente.</w:t>
      </w:r>
    </w:p>
    <w:p w14:paraId="2EE9CADD" w14:textId="77777777" w:rsidR="00586F50" w:rsidRDefault="00586F50" w:rsidP="00586F50">
      <w:pPr>
        <w:pStyle w:val="ListParagraph"/>
        <w:rPr>
          <w:rFonts w:asciiTheme="majorHAnsi" w:hAnsiTheme="majorHAnsi"/>
          <w:sz w:val="20"/>
          <w:szCs w:val="20"/>
          <w:lang w:val="es-CO"/>
        </w:rPr>
      </w:pPr>
    </w:p>
    <w:p w14:paraId="5E0B7EBD" w14:textId="77777777" w:rsidR="00E40449" w:rsidRPr="00420489" w:rsidRDefault="00E40449" w:rsidP="0025353A">
      <w:pPr>
        <w:pStyle w:val="Heading2"/>
        <w:numPr>
          <w:ilvl w:val="0"/>
          <w:numId w:val="60"/>
        </w:numPr>
        <w:tabs>
          <w:tab w:val="left" w:pos="1440"/>
        </w:tabs>
      </w:pPr>
      <w:bookmarkStart w:id="26" w:name="_Toc433308901"/>
      <w:r w:rsidRPr="00420489">
        <w:t xml:space="preserve">Contexto de </w:t>
      </w:r>
      <w:bookmarkEnd w:id="25"/>
      <w:r w:rsidR="00FA08DD" w:rsidRPr="00420489">
        <w:t xml:space="preserve">la solicitud de firmas para la convocatoria del </w:t>
      </w:r>
      <w:r w:rsidR="006A6F86" w:rsidRPr="00420489">
        <w:t xml:space="preserve">referendo </w:t>
      </w:r>
      <w:r w:rsidR="00CC5A69" w:rsidRPr="00420489">
        <w:t xml:space="preserve">consultivo y </w:t>
      </w:r>
      <w:r w:rsidR="00FA08DD" w:rsidRPr="00420489">
        <w:t>revocatorio del Presidente de la República</w:t>
      </w:r>
      <w:bookmarkEnd w:id="26"/>
      <w:r w:rsidR="00FA08DD" w:rsidRPr="00420489">
        <w:t xml:space="preserve"> </w:t>
      </w:r>
    </w:p>
    <w:p w14:paraId="7A09F199" w14:textId="77777777" w:rsidR="00E571A2" w:rsidRPr="0025353A" w:rsidRDefault="00E571A2" w:rsidP="00E571A2">
      <w:pPr>
        <w:jc w:val="both"/>
        <w:rPr>
          <w:rFonts w:asciiTheme="majorHAnsi" w:hAnsiTheme="majorHAnsi"/>
          <w:b/>
          <w:sz w:val="20"/>
          <w:szCs w:val="20"/>
          <w:lang w:val="es-ES_tradnl"/>
        </w:rPr>
      </w:pPr>
    </w:p>
    <w:p w14:paraId="6A866BB9" w14:textId="77777777" w:rsidR="00E571A2" w:rsidRPr="00420489" w:rsidRDefault="00E571A2" w:rsidP="00152586">
      <w:pPr>
        <w:pStyle w:val="ListParagraph"/>
        <w:numPr>
          <w:ilvl w:val="1"/>
          <w:numId w:val="55"/>
        </w:numPr>
        <w:tabs>
          <w:tab w:val="clear" w:pos="1800"/>
          <w:tab w:val="left" w:pos="1440"/>
        </w:tabs>
        <w:ind w:left="1440" w:hanging="720"/>
        <w:jc w:val="both"/>
        <w:rPr>
          <w:rFonts w:asciiTheme="majorHAnsi" w:hAnsiTheme="majorHAnsi"/>
          <w:b/>
          <w:sz w:val="20"/>
          <w:szCs w:val="20"/>
          <w:lang w:val="es-ES"/>
        </w:rPr>
      </w:pPr>
      <w:r w:rsidRPr="00420489">
        <w:rPr>
          <w:rFonts w:asciiTheme="majorHAnsi" w:hAnsiTheme="majorHAnsi"/>
          <w:b/>
          <w:sz w:val="20"/>
          <w:szCs w:val="20"/>
          <w:lang w:val="es-ES"/>
        </w:rPr>
        <w:t xml:space="preserve">La primera recolección de firmas para el referendo consultivo presidencial </w:t>
      </w:r>
    </w:p>
    <w:p w14:paraId="41DF7CD6" w14:textId="77777777" w:rsidR="004119AE" w:rsidRPr="00420489" w:rsidRDefault="004119AE" w:rsidP="00D17BB1">
      <w:pPr>
        <w:tabs>
          <w:tab w:val="left" w:pos="1440"/>
        </w:tabs>
        <w:ind w:firstLine="720"/>
        <w:rPr>
          <w:rFonts w:asciiTheme="majorHAnsi" w:hAnsiTheme="majorHAnsi"/>
          <w:sz w:val="20"/>
          <w:szCs w:val="20"/>
          <w:lang w:val="es-ES"/>
        </w:rPr>
      </w:pPr>
    </w:p>
    <w:p w14:paraId="35C4F569" w14:textId="77777777" w:rsidR="00E8734C" w:rsidRPr="00420489" w:rsidRDefault="00E8734C"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La Constitución Política Venezolana, promulgada en 1999, contempla en los artículos 71 y 72 la posibilidad de revocar todos los cargos y magistraturas de elección popular transcurrida la mitad del período para el cual fue elegido el funcionario o funcionaria por medio de la solicitud de convocatoria de un referendo, por un número no menor del veinte por ciento de los electores o electoras inscritos en la correspondiente circunscripción</w:t>
      </w:r>
      <w:r w:rsidRPr="00420489">
        <w:rPr>
          <w:rStyle w:val="FootnoteTextChar"/>
          <w:rFonts w:asciiTheme="majorHAnsi" w:hAnsiTheme="majorHAnsi"/>
          <w:sz w:val="20"/>
          <w:szCs w:val="20"/>
          <w:vertAlign w:val="superscript"/>
        </w:rPr>
        <w:footnoteReference w:id="9"/>
      </w:r>
      <w:r w:rsidRPr="00420489">
        <w:rPr>
          <w:rFonts w:asciiTheme="majorHAnsi" w:hAnsiTheme="majorHAnsi"/>
          <w:sz w:val="20"/>
          <w:szCs w:val="20"/>
          <w:lang w:val="es-VE"/>
        </w:rPr>
        <w:t xml:space="preserve">. </w:t>
      </w:r>
    </w:p>
    <w:p w14:paraId="6007848D" w14:textId="77777777" w:rsidR="00910D7B" w:rsidRPr="00420489" w:rsidRDefault="00910D7B" w:rsidP="00D17BB1">
      <w:pPr>
        <w:tabs>
          <w:tab w:val="num" w:pos="1440"/>
        </w:tabs>
        <w:ind w:firstLine="720"/>
        <w:rPr>
          <w:rFonts w:asciiTheme="majorHAnsi" w:hAnsiTheme="majorHAnsi"/>
          <w:sz w:val="20"/>
          <w:szCs w:val="20"/>
          <w:lang w:val="es-VE"/>
        </w:rPr>
      </w:pPr>
    </w:p>
    <w:p w14:paraId="1B74F309" w14:textId="77777777" w:rsidR="002A357B" w:rsidRPr="00420489" w:rsidRDefault="00E8734C"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Durante 2001 y 2002 Venezuela enfrentó una grave crisis institucional y  política</w:t>
      </w:r>
      <w:r w:rsidR="004862FF" w:rsidRPr="00420489">
        <w:rPr>
          <w:rFonts w:asciiTheme="majorHAnsi" w:hAnsiTheme="majorHAnsi"/>
          <w:sz w:val="20"/>
          <w:szCs w:val="20"/>
          <w:lang w:val="es-VE"/>
        </w:rPr>
        <w:t xml:space="preserve"> en el marco de la cual </w:t>
      </w:r>
      <w:r w:rsidRPr="00420489">
        <w:rPr>
          <w:rFonts w:asciiTheme="majorHAnsi" w:hAnsiTheme="majorHAnsi"/>
          <w:sz w:val="20"/>
          <w:szCs w:val="20"/>
          <w:lang w:val="es-VE"/>
        </w:rPr>
        <w:t xml:space="preserve">partidos políticos de oposición y organizaciones de la sociedad civil promovieron un referendo consultivo para solicitar la renuncia del entonces Presidente Hugo Chávez Frías. </w:t>
      </w:r>
      <w:r w:rsidR="00A95C6E" w:rsidRPr="00420489">
        <w:rPr>
          <w:rFonts w:asciiTheme="majorHAnsi" w:hAnsiTheme="majorHAnsi"/>
          <w:sz w:val="20"/>
          <w:szCs w:val="20"/>
          <w:lang w:val="es-VE"/>
        </w:rPr>
        <w:t xml:space="preserve">Para tal efecto, </w:t>
      </w:r>
      <w:r w:rsidR="00CB3D2A" w:rsidRPr="00420489">
        <w:rPr>
          <w:rFonts w:asciiTheme="majorHAnsi" w:hAnsiTheme="majorHAnsi"/>
          <w:sz w:val="20"/>
          <w:szCs w:val="20"/>
          <w:lang w:val="es-VE"/>
        </w:rPr>
        <w:t xml:space="preserve">dichas organizaciones recolectaron firmas y </w:t>
      </w:r>
      <w:r w:rsidR="007A539D" w:rsidRPr="00420489">
        <w:rPr>
          <w:rFonts w:asciiTheme="majorHAnsi" w:hAnsiTheme="majorHAnsi"/>
          <w:sz w:val="20"/>
          <w:szCs w:val="20"/>
          <w:lang w:val="es-VE"/>
        </w:rPr>
        <w:t>el 4 de noviembre de 2002 entregaron al Consejo Nacional Electoral más de dos millones de firmas</w:t>
      </w:r>
      <w:r w:rsidR="007A539D" w:rsidRPr="00420489">
        <w:rPr>
          <w:rStyle w:val="FootnoteReference"/>
          <w:rFonts w:asciiTheme="majorHAnsi" w:hAnsiTheme="majorHAnsi"/>
          <w:sz w:val="20"/>
          <w:szCs w:val="20"/>
          <w:lang w:val="es-VE"/>
        </w:rPr>
        <w:footnoteReference w:id="10"/>
      </w:r>
      <w:r w:rsidR="007A539D" w:rsidRPr="00420489">
        <w:rPr>
          <w:rFonts w:asciiTheme="majorHAnsi" w:hAnsiTheme="majorHAnsi"/>
          <w:sz w:val="20"/>
          <w:szCs w:val="20"/>
          <w:lang w:val="es-VE"/>
        </w:rPr>
        <w:t xml:space="preserve">.   </w:t>
      </w:r>
    </w:p>
    <w:p w14:paraId="709C63A1" w14:textId="77777777" w:rsidR="002A357B" w:rsidRPr="00420489" w:rsidRDefault="002A357B" w:rsidP="00D17BB1">
      <w:pPr>
        <w:pBdr>
          <w:left w:val="none" w:sz="0" w:space="0" w:color="auto"/>
          <w:bottom w:val="none" w:sz="0" w:space="0" w:color="auto"/>
          <w:right w:val="none" w:sz="0" w:space="0" w:color="auto"/>
          <w:between w:val="none" w:sz="0" w:space="0" w:color="auto"/>
          <w:bar w:val="none" w:sz="0" w:color="auto"/>
        </w:pBdr>
        <w:tabs>
          <w:tab w:val="num" w:pos="1440"/>
        </w:tabs>
        <w:ind w:left="720" w:firstLine="720"/>
        <w:jc w:val="both"/>
        <w:rPr>
          <w:rFonts w:asciiTheme="majorHAnsi" w:hAnsiTheme="majorHAnsi"/>
          <w:sz w:val="20"/>
          <w:szCs w:val="20"/>
          <w:lang w:val="es-VE"/>
        </w:rPr>
      </w:pPr>
    </w:p>
    <w:p w14:paraId="3AA6FCA4" w14:textId="77777777" w:rsidR="007A539D" w:rsidRPr="00420489" w:rsidRDefault="00045932"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En noviembre de 2002 durante un programa de televisión el Presidente Chávez afirmó que no renunciaría a su cargo indicando que “</w:t>
      </w:r>
      <w:r w:rsidR="004F46D8" w:rsidRPr="00420489">
        <w:rPr>
          <w:rFonts w:asciiTheme="majorHAnsi" w:hAnsiTheme="majorHAnsi"/>
          <w:sz w:val="20"/>
          <w:szCs w:val="20"/>
          <w:lang w:val="es-VE"/>
        </w:rPr>
        <w:t>n</w:t>
      </w:r>
      <w:r w:rsidRPr="00420489">
        <w:rPr>
          <w:rFonts w:asciiTheme="majorHAnsi" w:hAnsiTheme="majorHAnsi"/>
          <w:sz w:val="20"/>
          <w:szCs w:val="20"/>
          <w:lang w:val="es-VE"/>
        </w:rPr>
        <w:t>i en el supuesto de que el Consejo Nacional Electoral decrete que la pregunta (del referéndum consultivo) es válida. Ni en el supuesto de que el Tribunal Supremo de Justicia también lo diga. Ni en el supuesto de que hagan ese referéndum y saquen 90% de los votos, ¡yo no voy a renunciar!”</w:t>
      </w:r>
      <w:r w:rsidR="00AF77AE" w:rsidRPr="00420489">
        <w:rPr>
          <w:rStyle w:val="FootnoteReference"/>
          <w:rFonts w:asciiTheme="majorHAnsi" w:hAnsiTheme="majorHAnsi"/>
          <w:sz w:val="20"/>
          <w:szCs w:val="20"/>
          <w:lang w:val="es-VE"/>
        </w:rPr>
        <w:footnoteReference w:id="11"/>
      </w:r>
      <w:r w:rsidRPr="00420489">
        <w:rPr>
          <w:rFonts w:asciiTheme="majorHAnsi" w:hAnsiTheme="majorHAnsi"/>
          <w:sz w:val="20"/>
          <w:szCs w:val="20"/>
          <w:lang w:val="es-VE"/>
        </w:rPr>
        <w:t xml:space="preserve"> .</w:t>
      </w:r>
    </w:p>
    <w:p w14:paraId="333701CF" w14:textId="77777777" w:rsidR="00802182" w:rsidRPr="00420489" w:rsidRDefault="00802182" w:rsidP="00D17BB1">
      <w:pPr>
        <w:pStyle w:val="ListParagraph"/>
        <w:tabs>
          <w:tab w:val="num" w:pos="1440"/>
        </w:tabs>
        <w:ind w:firstLine="720"/>
        <w:rPr>
          <w:rFonts w:asciiTheme="majorHAnsi" w:hAnsiTheme="majorHAnsi"/>
          <w:sz w:val="20"/>
          <w:szCs w:val="20"/>
          <w:lang w:val="es-VE"/>
        </w:rPr>
      </w:pPr>
    </w:p>
    <w:p w14:paraId="604D410F" w14:textId="77777777" w:rsidR="00733A89" w:rsidRPr="00420489" w:rsidRDefault="004F46D8"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E</w:t>
      </w:r>
      <w:r w:rsidR="000E1735" w:rsidRPr="00420489">
        <w:rPr>
          <w:rFonts w:asciiTheme="majorHAnsi" w:hAnsiTheme="majorHAnsi"/>
          <w:sz w:val="20"/>
          <w:szCs w:val="20"/>
          <w:lang w:val="es-VE"/>
        </w:rPr>
        <w:t>l 3 de diciembre de 2002, mediante</w:t>
      </w:r>
      <w:r w:rsidR="0071162D" w:rsidRPr="00420489">
        <w:rPr>
          <w:rFonts w:asciiTheme="majorHAnsi" w:hAnsiTheme="majorHAnsi"/>
          <w:sz w:val="20"/>
          <w:szCs w:val="20"/>
          <w:lang w:val="es-VE"/>
        </w:rPr>
        <w:t xml:space="preserve"> la</w:t>
      </w:r>
      <w:r w:rsidR="000E1735" w:rsidRPr="00420489">
        <w:rPr>
          <w:rFonts w:asciiTheme="majorHAnsi" w:hAnsiTheme="majorHAnsi"/>
          <w:sz w:val="20"/>
          <w:szCs w:val="20"/>
          <w:lang w:val="es-VE"/>
        </w:rPr>
        <w:t xml:space="preserve"> resolución 021203-457</w:t>
      </w:r>
      <w:r w:rsidR="004862FF" w:rsidRPr="00420489">
        <w:rPr>
          <w:rFonts w:asciiTheme="majorHAnsi" w:hAnsiTheme="majorHAnsi"/>
          <w:sz w:val="20"/>
          <w:szCs w:val="20"/>
          <w:lang w:val="es-VE"/>
        </w:rPr>
        <w:t>,</w:t>
      </w:r>
      <w:r w:rsidR="000E1735" w:rsidRPr="00420489">
        <w:rPr>
          <w:rFonts w:asciiTheme="majorHAnsi" w:hAnsiTheme="majorHAnsi"/>
          <w:sz w:val="20"/>
          <w:szCs w:val="20"/>
          <w:lang w:val="es-VE"/>
        </w:rPr>
        <w:t xml:space="preserve"> el Consejo Nacional Electoral convocó a los electores a participar en el referendo consultivo nacional de mandato presidencial para el 2 de febrero de 2003</w:t>
      </w:r>
      <w:r w:rsidR="000E1735" w:rsidRPr="00420489">
        <w:rPr>
          <w:rStyle w:val="FootnoteReference"/>
          <w:rFonts w:asciiTheme="majorHAnsi" w:hAnsiTheme="majorHAnsi"/>
          <w:sz w:val="20"/>
          <w:szCs w:val="20"/>
          <w:lang w:val="es-VE"/>
        </w:rPr>
        <w:footnoteReference w:id="12"/>
      </w:r>
      <w:r w:rsidR="000E1735" w:rsidRPr="00420489">
        <w:rPr>
          <w:rFonts w:asciiTheme="majorHAnsi" w:hAnsiTheme="majorHAnsi"/>
          <w:sz w:val="20"/>
          <w:szCs w:val="20"/>
          <w:lang w:val="es-VE"/>
        </w:rPr>
        <w:t xml:space="preserve"> </w:t>
      </w:r>
      <w:r w:rsidR="00991BFF" w:rsidRPr="00420489">
        <w:rPr>
          <w:rFonts w:asciiTheme="majorHAnsi" w:hAnsiTheme="majorHAnsi"/>
          <w:sz w:val="20"/>
          <w:szCs w:val="20"/>
          <w:lang w:val="es-VE"/>
        </w:rPr>
        <w:t xml:space="preserve">. </w:t>
      </w:r>
    </w:p>
    <w:p w14:paraId="0EC5B4A5" w14:textId="77777777" w:rsidR="00733A89" w:rsidRPr="00420489" w:rsidRDefault="00733A89" w:rsidP="00D17BB1">
      <w:pPr>
        <w:pStyle w:val="ListParagraph"/>
        <w:tabs>
          <w:tab w:val="num" w:pos="1440"/>
        </w:tabs>
        <w:ind w:firstLine="720"/>
        <w:rPr>
          <w:rFonts w:asciiTheme="majorHAnsi" w:hAnsiTheme="majorHAnsi"/>
          <w:sz w:val="20"/>
          <w:szCs w:val="20"/>
          <w:lang w:val="es-VE"/>
        </w:rPr>
      </w:pPr>
    </w:p>
    <w:p w14:paraId="51AFC966" w14:textId="77777777" w:rsidR="00733A89" w:rsidRPr="00420489" w:rsidRDefault="008C710F"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Seguidamente,</w:t>
      </w:r>
      <w:r w:rsidR="00733A89" w:rsidRPr="00420489">
        <w:rPr>
          <w:rFonts w:asciiTheme="majorHAnsi" w:hAnsiTheme="majorHAnsi"/>
          <w:sz w:val="20"/>
          <w:szCs w:val="20"/>
          <w:lang w:val="es-VE"/>
        </w:rPr>
        <w:t xml:space="preserve"> el 30 de diciembre de 2002, </w:t>
      </w:r>
      <w:r w:rsidR="00FA2595" w:rsidRPr="00420489">
        <w:rPr>
          <w:rFonts w:asciiTheme="majorHAnsi" w:hAnsiTheme="majorHAnsi"/>
          <w:sz w:val="20"/>
          <w:szCs w:val="20"/>
          <w:lang w:val="es-VE"/>
        </w:rPr>
        <w:t xml:space="preserve">tres diputados del partido político Movimiento Quinta República presentaron un recurso de </w:t>
      </w:r>
      <w:r w:rsidR="00D95A66" w:rsidRPr="00420489">
        <w:rPr>
          <w:rFonts w:asciiTheme="majorHAnsi" w:hAnsiTheme="majorHAnsi"/>
          <w:sz w:val="20"/>
          <w:szCs w:val="20"/>
          <w:lang w:val="es-VE"/>
        </w:rPr>
        <w:t>“anulación con solicitud de amparo constitucional”</w:t>
      </w:r>
      <w:r w:rsidR="00FA2595" w:rsidRPr="00420489">
        <w:rPr>
          <w:rFonts w:asciiTheme="majorHAnsi" w:hAnsiTheme="majorHAnsi"/>
          <w:sz w:val="20"/>
          <w:szCs w:val="20"/>
          <w:lang w:val="es-VE"/>
        </w:rPr>
        <w:t xml:space="preserve"> </w:t>
      </w:r>
      <w:r w:rsidR="00733A89" w:rsidRPr="00420489">
        <w:rPr>
          <w:rFonts w:asciiTheme="majorHAnsi" w:hAnsiTheme="majorHAnsi"/>
          <w:color w:val="000000"/>
          <w:sz w:val="20"/>
          <w:szCs w:val="20"/>
          <w:lang w:val="es-VE"/>
        </w:rPr>
        <w:t>en contra la Resolución Nº 021203-457 del 3 de diciembre de 2002, publicada en la Gaceta Electoral Nº 168 del 5 de diciembre de 2002</w:t>
      </w:r>
      <w:r w:rsidR="00733A89" w:rsidRPr="00420489">
        <w:rPr>
          <w:rStyle w:val="FootnoteReference"/>
          <w:rFonts w:asciiTheme="majorHAnsi" w:hAnsiTheme="majorHAnsi"/>
          <w:sz w:val="20"/>
          <w:szCs w:val="20"/>
          <w:lang w:val="es-VE"/>
        </w:rPr>
        <w:footnoteReference w:id="13"/>
      </w:r>
      <w:r w:rsidR="00733A89" w:rsidRPr="00420489">
        <w:rPr>
          <w:rFonts w:asciiTheme="majorHAnsi" w:hAnsiTheme="majorHAnsi"/>
          <w:color w:val="000000"/>
          <w:sz w:val="20"/>
          <w:szCs w:val="20"/>
          <w:lang w:val="es-VE"/>
        </w:rPr>
        <w:t>.</w:t>
      </w:r>
    </w:p>
    <w:p w14:paraId="5FCE3561" w14:textId="77777777" w:rsidR="00D95A66" w:rsidRPr="00420489" w:rsidRDefault="00D95A66" w:rsidP="00D17BB1">
      <w:pPr>
        <w:pStyle w:val="ListParagraph"/>
        <w:tabs>
          <w:tab w:val="num" w:pos="1440"/>
        </w:tabs>
        <w:ind w:firstLine="720"/>
        <w:rPr>
          <w:rFonts w:asciiTheme="majorHAnsi" w:hAnsiTheme="majorHAnsi"/>
          <w:sz w:val="20"/>
          <w:szCs w:val="20"/>
          <w:lang w:val="es-VE"/>
        </w:rPr>
      </w:pPr>
    </w:p>
    <w:p w14:paraId="04E2B697" w14:textId="7C785E52" w:rsidR="00105C91" w:rsidRPr="00420489" w:rsidRDefault="00D95A66"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El 22 de enero de 2003, a 10 días de la fecha señalada para llevar a cabo el referendo consultivo, la Sala Electoral Accidental del TSJ </w:t>
      </w:r>
      <w:r w:rsidR="004F5715">
        <w:rPr>
          <w:rFonts w:asciiTheme="majorHAnsi" w:hAnsiTheme="majorHAnsi"/>
          <w:sz w:val="20"/>
          <w:szCs w:val="20"/>
          <w:lang w:val="es-VE"/>
        </w:rPr>
        <w:t xml:space="preserve">decidió </w:t>
      </w:r>
      <w:r w:rsidR="00BF2146" w:rsidRPr="00420489">
        <w:rPr>
          <w:rFonts w:asciiTheme="majorHAnsi" w:hAnsiTheme="majorHAnsi"/>
          <w:sz w:val="20"/>
          <w:szCs w:val="20"/>
          <w:lang w:val="es-VE"/>
        </w:rPr>
        <w:t xml:space="preserve">la solicitud de amparo con recurso de anulación y ordenó al CNE: </w:t>
      </w:r>
      <w:r w:rsidR="00105C91" w:rsidRPr="00420489">
        <w:rPr>
          <w:rFonts w:asciiTheme="majorHAnsi" w:hAnsiTheme="majorHAnsi"/>
          <w:sz w:val="20"/>
          <w:szCs w:val="20"/>
          <w:lang w:val="es-VE"/>
        </w:rPr>
        <w:t>a) a</w:t>
      </w:r>
      <w:r w:rsidR="008C710F" w:rsidRPr="00420489">
        <w:rPr>
          <w:rFonts w:asciiTheme="majorHAnsi" w:hAnsiTheme="majorHAnsi"/>
          <w:sz w:val="20"/>
          <w:szCs w:val="20"/>
          <w:lang w:val="es-VE"/>
        </w:rPr>
        <w:t>bstenerse de iniciar procesos electorales o referendarios y suspender los ya iniciados</w:t>
      </w:r>
      <w:r w:rsidR="0071162D" w:rsidRPr="00420489">
        <w:rPr>
          <w:rFonts w:asciiTheme="majorHAnsi" w:hAnsiTheme="majorHAnsi"/>
          <w:sz w:val="20"/>
          <w:szCs w:val="20"/>
          <w:lang w:val="es-VE"/>
        </w:rPr>
        <w:t>;</w:t>
      </w:r>
      <w:r w:rsidR="008C710F" w:rsidRPr="00420489">
        <w:rPr>
          <w:rFonts w:asciiTheme="majorHAnsi" w:hAnsiTheme="majorHAnsi"/>
          <w:sz w:val="20"/>
          <w:szCs w:val="20"/>
          <w:lang w:val="es-VE"/>
        </w:rPr>
        <w:t xml:space="preserve"> b) Abstenerse de sesionar con la participación de Leonardo </w:t>
      </w:r>
      <w:proofErr w:type="spellStart"/>
      <w:r w:rsidR="008C710F" w:rsidRPr="00420489">
        <w:rPr>
          <w:rFonts w:asciiTheme="majorHAnsi" w:hAnsiTheme="majorHAnsi"/>
          <w:sz w:val="20"/>
          <w:szCs w:val="20"/>
          <w:lang w:val="es-VE"/>
        </w:rPr>
        <w:t>Pizani</w:t>
      </w:r>
      <w:proofErr w:type="spellEnd"/>
      <w:r w:rsidR="0071162D" w:rsidRPr="00420489">
        <w:rPr>
          <w:rFonts w:asciiTheme="majorHAnsi" w:hAnsiTheme="majorHAnsi"/>
          <w:sz w:val="20"/>
          <w:szCs w:val="20"/>
          <w:lang w:val="es-VE"/>
        </w:rPr>
        <w:t>; y</w:t>
      </w:r>
      <w:r w:rsidR="008C710F" w:rsidRPr="00420489">
        <w:rPr>
          <w:rFonts w:asciiTheme="majorHAnsi" w:hAnsiTheme="majorHAnsi"/>
          <w:sz w:val="20"/>
          <w:szCs w:val="20"/>
          <w:lang w:val="es-VE"/>
        </w:rPr>
        <w:t xml:space="preserve"> c) Suspender los efectos de la Resolución No. 021203-</w:t>
      </w:r>
      <w:r w:rsidR="00105C91" w:rsidRPr="00420489">
        <w:rPr>
          <w:rFonts w:asciiTheme="majorHAnsi" w:hAnsiTheme="majorHAnsi"/>
          <w:sz w:val="20"/>
          <w:szCs w:val="20"/>
          <w:lang w:val="es-VE"/>
        </w:rPr>
        <w:t>457</w:t>
      </w:r>
      <w:r w:rsidR="00105C91" w:rsidRPr="00420489">
        <w:rPr>
          <w:rStyle w:val="FootnoteReference"/>
          <w:rFonts w:asciiTheme="majorHAnsi" w:hAnsiTheme="majorHAnsi"/>
          <w:sz w:val="20"/>
          <w:szCs w:val="20"/>
          <w:lang w:val="es-VE"/>
        </w:rPr>
        <w:footnoteReference w:id="14"/>
      </w:r>
      <w:r w:rsidR="00BF2146" w:rsidRPr="00420489">
        <w:rPr>
          <w:rFonts w:asciiTheme="majorHAnsi" w:hAnsiTheme="majorHAnsi"/>
          <w:sz w:val="20"/>
          <w:szCs w:val="20"/>
          <w:lang w:val="es-VE"/>
        </w:rPr>
        <w:t xml:space="preserve"> en vista de que en la aprobación de dicha decisión participó dentro del Directorio </w:t>
      </w:r>
      <w:r w:rsidR="0071162D" w:rsidRPr="00420489">
        <w:rPr>
          <w:rFonts w:asciiTheme="majorHAnsi" w:hAnsiTheme="majorHAnsi"/>
          <w:sz w:val="20"/>
          <w:szCs w:val="20"/>
          <w:lang w:val="es-VE"/>
        </w:rPr>
        <w:t xml:space="preserve">una persona que </w:t>
      </w:r>
      <w:r w:rsidR="00BF2146" w:rsidRPr="00420489">
        <w:rPr>
          <w:rFonts w:asciiTheme="majorHAnsi" w:hAnsiTheme="majorHAnsi"/>
          <w:sz w:val="20"/>
          <w:szCs w:val="20"/>
          <w:lang w:val="es-VE"/>
        </w:rPr>
        <w:t xml:space="preserve">ya había renunciado al cargo de suplente por lo que dicha decisión resulta atentatoria “del derecho a la participación en los asuntos públicos que tienen, tanto los recurrentes, como en general todos los electores </w:t>
      </w:r>
      <w:r w:rsidR="00BF2146" w:rsidRPr="00420489">
        <w:rPr>
          <w:rFonts w:asciiTheme="majorHAnsi" w:hAnsiTheme="majorHAnsi"/>
          <w:sz w:val="20"/>
          <w:szCs w:val="20"/>
          <w:lang w:val="es-VE"/>
        </w:rPr>
        <w:lastRenderedPageBreak/>
        <w:t>(…)”</w:t>
      </w:r>
      <w:r w:rsidR="00BF2146" w:rsidRPr="00420489">
        <w:rPr>
          <w:rStyle w:val="FootnoteReference"/>
          <w:rFonts w:asciiTheme="majorHAnsi" w:hAnsiTheme="majorHAnsi"/>
          <w:sz w:val="20"/>
          <w:szCs w:val="20"/>
          <w:lang w:val="es-VE"/>
        </w:rPr>
        <w:footnoteReference w:id="15"/>
      </w:r>
      <w:r w:rsidR="00BF2146" w:rsidRPr="00420489">
        <w:rPr>
          <w:rFonts w:asciiTheme="majorHAnsi" w:hAnsiTheme="majorHAnsi"/>
          <w:sz w:val="20"/>
          <w:szCs w:val="20"/>
          <w:lang w:val="es-VE"/>
        </w:rPr>
        <w:t xml:space="preserve">. </w:t>
      </w:r>
      <w:r w:rsidR="00A512A5" w:rsidRPr="00420489">
        <w:rPr>
          <w:rFonts w:asciiTheme="majorHAnsi" w:hAnsiTheme="majorHAnsi"/>
          <w:sz w:val="20"/>
          <w:szCs w:val="20"/>
          <w:lang w:val="es-VE"/>
        </w:rPr>
        <w:t>En virtud de lo anterior</w:t>
      </w:r>
      <w:r w:rsidR="008C710F" w:rsidRPr="00420489">
        <w:rPr>
          <w:rFonts w:asciiTheme="majorHAnsi" w:hAnsiTheme="majorHAnsi"/>
          <w:sz w:val="20"/>
          <w:szCs w:val="20"/>
          <w:lang w:val="es-VE"/>
        </w:rPr>
        <w:t xml:space="preserve"> </w:t>
      </w:r>
      <w:r w:rsidR="00105C91" w:rsidRPr="00420489">
        <w:rPr>
          <w:rFonts w:asciiTheme="majorHAnsi" w:hAnsiTheme="majorHAnsi"/>
          <w:sz w:val="20"/>
          <w:szCs w:val="20"/>
          <w:lang w:val="es-VE"/>
        </w:rPr>
        <w:t>el CNE suspendió la convocatoria de referendo consultivo y restringió sus actividades a aquellas de carácter administrativo</w:t>
      </w:r>
      <w:r w:rsidR="00105C91" w:rsidRPr="00420489">
        <w:rPr>
          <w:rStyle w:val="FootnoteTextChar"/>
          <w:rFonts w:asciiTheme="majorHAnsi" w:hAnsiTheme="majorHAnsi"/>
          <w:sz w:val="20"/>
          <w:szCs w:val="20"/>
          <w:vertAlign w:val="superscript"/>
        </w:rPr>
        <w:footnoteReference w:id="16"/>
      </w:r>
      <w:r w:rsidR="008A6C80" w:rsidRPr="00420489">
        <w:rPr>
          <w:rFonts w:asciiTheme="majorHAnsi" w:hAnsiTheme="majorHAnsi"/>
          <w:sz w:val="20"/>
          <w:szCs w:val="20"/>
          <w:lang w:val="es-VE"/>
        </w:rPr>
        <w:t>.</w:t>
      </w:r>
    </w:p>
    <w:p w14:paraId="088364FF" w14:textId="77777777" w:rsidR="00280D03" w:rsidRPr="00420489" w:rsidRDefault="00280D03" w:rsidP="00280D03">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33C64F92" w14:textId="77777777" w:rsidR="00EB0584" w:rsidRPr="00420489" w:rsidRDefault="0021289C" w:rsidP="000E4F9D">
      <w:pPr>
        <w:pStyle w:val="ListParagraph"/>
        <w:numPr>
          <w:ilvl w:val="1"/>
          <w:numId w:val="55"/>
        </w:numPr>
        <w:tabs>
          <w:tab w:val="clear" w:pos="1800"/>
          <w:tab w:val="num" w:pos="1440"/>
        </w:tabs>
        <w:ind w:left="1440" w:hanging="720"/>
        <w:jc w:val="both"/>
        <w:rPr>
          <w:rFonts w:asciiTheme="majorHAnsi" w:hAnsiTheme="majorHAnsi"/>
          <w:b/>
          <w:sz w:val="20"/>
          <w:szCs w:val="20"/>
          <w:lang w:val="es-ES"/>
        </w:rPr>
      </w:pPr>
      <w:r w:rsidRPr="00420489">
        <w:rPr>
          <w:rFonts w:asciiTheme="majorHAnsi" w:hAnsiTheme="majorHAnsi"/>
          <w:b/>
          <w:sz w:val="20"/>
          <w:szCs w:val="20"/>
          <w:lang w:val="es-ES"/>
        </w:rPr>
        <w:t>La segunda recolección</w:t>
      </w:r>
      <w:r w:rsidR="00E45D84" w:rsidRPr="00420489">
        <w:rPr>
          <w:rFonts w:asciiTheme="majorHAnsi" w:hAnsiTheme="majorHAnsi"/>
          <w:b/>
          <w:sz w:val="20"/>
          <w:szCs w:val="20"/>
          <w:lang w:val="es-ES"/>
        </w:rPr>
        <w:t xml:space="preserve"> de firmas</w:t>
      </w:r>
      <w:r w:rsidR="00625B29" w:rsidRPr="00420489">
        <w:rPr>
          <w:rFonts w:asciiTheme="majorHAnsi" w:hAnsiTheme="majorHAnsi"/>
          <w:b/>
          <w:sz w:val="20"/>
          <w:szCs w:val="20"/>
          <w:lang w:val="es-ES"/>
        </w:rPr>
        <w:t>:</w:t>
      </w:r>
      <w:r w:rsidR="00E45D84" w:rsidRPr="00420489">
        <w:rPr>
          <w:rFonts w:asciiTheme="majorHAnsi" w:hAnsiTheme="majorHAnsi"/>
          <w:b/>
          <w:sz w:val="20"/>
          <w:szCs w:val="20"/>
          <w:lang w:val="es-ES"/>
        </w:rPr>
        <w:t xml:space="preserve"> “El </w:t>
      </w:r>
      <w:proofErr w:type="spellStart"/>
      <w:r w:rsidR="00E45D84" w:rsidRPr="00420489">
        <w:rPr>
          <w:rFonts w:asciiTheme="majorHAnsi" w:hAnsiTheme="majorHAnsi"/>
          <w:b/>
          <w:sz w:val="20"/>
          <w:szCs w:val="20"/>
          <w:lang w:val="es-ES"/>
        </w:rPr>
        <w:t>Firmazo</w:t>
      </w:r>
      <w:proofErr w:type="spellEnd"/>
      <w:r w:rsidR="00E45D84" w:rsidRPr="00420489">
        <w:rPr>
          <w:rFonts w:asciiTheme="majorHAnsi" w:hAnsiTheme="majorHAnsi"/>
          <w:b/>
          <w:sz w:val="20"/>
          <w:szCs w:val="20"/>
          <w:lang w:val="es-ES"/>
        </w:rPr>
        <w:t>”</w:t>
      </w:r>
    </w:p>
    <w:p w14:paraId="59E77213" w14:textId="77777777" w:rsidR="008C710F" w:rsidRPr="00420489" w:rsidRDefault="008C710F" w:rsidP="00E40449">
      <w:pPr>
        <w:rPr>
          <w:rFonts w:asciiTheme="majorHAnsi" w:hAnsiTheme="majorHAnsi"/>
          <w:sz w:val="20"/>
          <w:szCs w:val="20"/>
          <w:lang w:val="es-VE"/>
        </w:rPr>
      </w:pPr>
    </w:p>
    <w:p w14:paraId="1F101B2C" w14:textId="2BD897FE" w:rsidR="00CB6563" w:rsidRPr="00420489" w:rsidRDefault="00CB6563"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En vista de la decisi</w:t>
      </w:r>
      <w:r w:rsidR="0063388A" w:rsidRPr="00420489">
        <w:rPr>
          <w:rFonts w:asciiTheme="majorHAnsi" w:hAnsiTheme="majorHAnsi"/>
          <w:sz w:val="20"/>
          <w:szCs w:val="20"/>
          <w:lang w:val="es-VE"/>
        </w:rPr>
        <w:t>ón de la Sala Electoral del TSJ, partidos políticos y miembros de la sociedad civil determinaron lleva</w:t>
      </w:r>
      <w:r w:rsidR="006303C3" w:rsidRPr="00420489">
        <w:rPr>
          <w:rFonts w:asciiTheme="majorHAnsi" w:hAnsiTheme="majorHAnsi"/>
          <w:sz w:val="20"/>
          <w:szCs w:val="20"/>
          <w:lang w:val="es-VE"/>
        </w:rPr>
        <w:t>r a cabo el 2 de febrero de 2003</w:t>
      </w:r>
      <w:r w:rsidR="00B67DA3">
        <w:rPr>
          <w:rFonts w:asciiTheme="majorHAnsi" w:hAnsiTheme="majorHAnsi"/>
          <w:sz w:val="20"/>
          <w:szCs w:val="20"/>
          <w:lang w:val="es-VE"/>
        </w:rPr>
        <w:t xml:space="preserve"> una</w:t>
      </w:r>
      <w:r w:rsidR="00280D03" w:rsidRPr="00420489">
        <w:rPr>
          <w:rFonts w:asciiTheme="majorHAnsi" w:hAnsiTheme="majorHAnsi"/>
          <w:sz w:val="20"/>
          <w:szCs w:val="20"/>
          <w:lang w:val="es-VE"/>
        </w:rPr>
        <w:t xml:space="preserve"> segunda recolección de firmas conocida como </w:t>
      </w:r>
      <w:r w:rsidR="0063388A" w:rsidRPr="00420489">
        <w:rPr>
          <w:rFonts w:asciiTheme="majorHAnsi" w:hAnsiTheme="majorHAnsi"/>
          <w:sz w:val="20"/>
          <w:szCs w:val="20"/>
          <w:lang w:val="es-VE"/>
        </w:rPr>
        <w:t xml:space="preserve">“El  </w:t>
      </w:r>
      <w:proofErr w:type="spellStart"/>
      <w:r w:rsidR="0063388A" w:rsidRPr="00420489">
        <w:rPr>
          <w:rFonts w:asciiTheme="majorHAnsi" w:hAnsiTheme="majorHAnsi"/>
          <w:sz w:val="20"/>
          <w:szCs w:val="20"/>
          <w:lang w:val="es-VE"/>
        </w:rPr>
        <w:t>Firmazo</w:t>
      </w:r>
      <w:proofErr w:type="spellEnd"/>
      <w:r w:rsidR="0063388A" w:rsidRPr="00420489">
        <w:rPr>
          <w:rFonts w:asciiTheme="majorHAnsi" w:hAnsiTheme="majorHAnsi"/>
          <w:sz w:val="20"/>
          <w:szCs w:val="20"/>
          <w:lang w:val="es-VE"/>
        </w:rPr>
        <w:t>”</w:t>
      </w:r>
      <w:r w:rsidR="00280D03" w:rsidRPr="00420489">
        <w:rPr>
          <w:rFonts w:asciiTheme="majorHAnsi" w:hAnsiTheme="majorHAnsi"/>
          <w:sz w:val="20"/>
          <w:szCs w:val="20"/>
          <w:lang w:val="es-VE"/>
        </w:rPr>
        <w:t>, esta vez para un referendo de carácter revocatorio del mandato presidencial</w:t>
      </w:r>
      <w:r w:rsidR="0063388A" w:rsidRPr="00420489">
        <w:rPr>
          <w:rFonts w:asciiTheme="majorHAnsi" w:hAnsiTheme="majorHAnsi"/>
          <w:sz w:val="20"/>
          <w:szCs w:val="20"/>
          <w:lang w:val="es-VE"/>
        </w:rPr>
        <w:t xml:space="preserve">. </w:t>
      </w:r>
      <w:r w:rsidR="004E1DE1" w:rsidRPr="00420489">
        <w:rPr>
          <w:rFonts w:asciiTheme="majorHAnsi" w:hAnsiTheme="majorHAnsi"/>
          <w:sz w:val="20"/>
          <w:szCs w:val="20"/>
          <w:lang w:val="es-VE"/>
        </w:rPr>
        <w:t xml:space="preserve"> En dicha jornada se </w:t>
      </w:r>
      <w:r w:rsidR="002F5DAF" w:rsidRPr="00420489">
        <w:rPr>
          <w:rFonts w:asciiTheme="majorHAnsi" w:hAnsiTheme="majorHAnsi"/>
          <w:sz w:val="20"/>
          <w:szCs w:val="20"/>
          <w:lang w:val="es-VE"/>
        </w:rPr>
        <w:t>recolectaron</w:t>
      </w:r>
      <w:r w:rsidR="004E1DE1" w:rsidRPr="00420489">
        <w:rPr>
          <w:rFonts w:asciiTheme="majorHAnsi" w:hAnsiTheme="majorHAnsi"/>
          <w:sz w:val="20"/>
          <w:szCs w:val="20"/>
          <w:lang w:val="es-VE"/>
        </w:rPr>
        <w:t xml:space="preserve"> más de </w:t>
      </w:r>
      <w:r w:rsidR="0046125C" w:rsidRPr="00420489">
        <w:rPr>
          <w:rFonts w:asciiTheme="majorHAnsi" w:hAnsiTheme="majorHAnsi"/>
          <w:sz w:val="20"/>
          <w:szCs w:val="20"/>
          <w:lang w:val="es-VE"/>
        </w:rPr>
        <w:t>tres millones</w:t>
      </w:r>
      <w:r w:rsidR="002F5DAF" w:rsidRPr="00420489">
        <w:rPr>
          <w:rFonts w:asciiTheme="majorHAnsi" w:hAnsiTheme="majorHAnsi"/>
          <w:sz w:val="20"/>
          <w:szCs w:val="20"/>
          <w:lang w:val="es-VE"/>
        </w:rPr>
        <w:t xml:space="preserve"> de firmas</w:t>
      </w:r>
      <w:r w:rsidR="00D20AB9" w:rsidRPr="00420489">
        <w:rPr>
          <w:rStyle w:val="FootnoteTextChar"/>
          <w:rFonts w:asciiTheme="majorHAnsi" w:hAnsiTheme="majorHAnsi"/>
          <w:sz w:val="20"/>
          <w:szCs w:val="20"/>
          <w:vertAlign w:val="superscript"/>
        </w:rPr>
        <w:footnoteReference w:id="17"/>
      </w:r>
      <w:r w:rsidR="00D078F2" w:rsidRPr="00420489">
        <w:rPr>
          <w:rFonts w:asciiTheme="majorHAnsi" w:hAnsiTheme="majorHAnsi"/>
          <w:sz w:val="20"/>
          <w:szCs w:val="20"/>
          <w:lang w:val="es-VE"/>
        </w:rPr>
        <w:t xml:space="preserve">. </w:t>
      </w:r>
    </w:p>
    <w:p w14:paraId="47EF1969" w14:textId="77777777" w:rsidR="00891F36" w:rsidRPr="00420489" w:rsidRDefault="00891F36" w:rsidP="00D17BB1">
      <w:pPr>
        <w:pBdr>
          <w:left w:val="none" w:sz="0" w:space="0" w:color="auto"/>
          <w:bottom w:val="none" w:sz="0" w:space="0" w:color="auto"/>
          <w:right w:val="none" w:sz="0" w:space="0" w:color="auto"/>
          <w:between w:val="none" w:sz="0" w:space="0" w:color="auto"/>
          <w:bar w:val="none" w:sz="0" w:color="auto"/>
        </w:pBdr>
        <w:tabs>
          <w:tab w:val="num" w:pos="1440"/>
        </w:tabs>
        <w:ind w:left="720"/>
        <w:jc w:val="both"/>
        <w:rPr>
          <w:rFonts w:asciiTheme="majorHAnsi" w:hAnsiTheme="majorHAnsi"/>
          <w:sz w:val="20"/>
          <w:szCs w:val="20"/>
          <w:lang w:val="es-VE"/>
        </w:rPr>
      </w:pPr>
    </w:p>
    <w:p w14:paraId="3AAEB45A" w14:textId="77777777" w:rsidR="00891F36" w:rsidRPr="00420489" w:rsidRDefault="00891F36"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El Centro Carter y la OEA</w:t>
      </w:r>
      <w:r w:rsidR="00265475" w:rsidRPr="00420489">
        <w:rPr>
          <w:rFonts w:asciiTheme="majorHAnsi" w:hAnsiTheme="majorHAnsi"/>
          <w:sz w:val="20"/>
          <w:szCs w:val="20"/>
          <w:lang w:val="es-VE"/>
        </w:rPr>
        <w:t xml:space="preserve">, </w:t>
      </w:r>
      <w:r w:rsidR="0071162D" w:rsidRPr="00420489">
        <w:rPr>
          <w:rFonts w:asciiTheme="majorHAnsi" w:hAnsiTheme="majorHAnsi"/>
          <w:sz w:val="20"/>
          <w:szCs w:val="20"/>
          <w:lang w:val="es-VE"/>
        </w:rPr>
        <w:t xml:space="preserve">en calidad de </w:t>
      </w:r>
      <w:r w:rsidR="00265475" w:rsidRPr="00420489">
        <w:rPr>
          <w:rFonts w:asciiTheme="majorHAnsi" w:hAnsiTheme="majorHAnsi"/>
          <w:sz w:val="20"/>
          <w:szCs w:val="20"/>
          <w:lang w:val="es-VE"/>
        </w:rPr>
        <w:t>observadores</w:t>
      </w:r>
      <w:r w:rsidR="000738B8" w:rsidRPr="00420489">
        <w:rPr>
          <w:rFonts w:asciiTheme="majorHAnsi" w:hAnsiTheme="majorHAnsi"/>
          <w:sz w:val="20"/>
          <w:szCs w:val="20"/>
          <w:lang w:val="es-VE"/>
        </w:rPr>
        <w:t xml:space="preserve">, </w:t>
      </w:r>
      <w:r w:rsidRPr="00420489">
        <w:rPr>
          <w:rFonts w:asciiTheme="majorHAnsi" w:hAnsiTheme="majorHAnsi"/>
          <w:sz w:val="20"/>
          <w:szCs w:val="20"/>
          <w:lang w:val="es-VE"/>
        </w:rPr>
        <w:t xml:space="preserve"> indicaron que</w:t>
      </w:r>
      <w:r w:rsidR="000738B8" w:rsidRPr="00420489">
        <w:rPr>
          <w:rFonts w:asciiTheme="majorHAnsi" w:hAnsiTheme="majorHAnsi"/>
          <w:sz w:val="20"/>
          <w:szCs w:val="20"/>
          <w:lang w:val="es-VE"/>
        </w:rPr>
        <w:t xml:space="preserve"> </w:t>
      </w:r>
      <w:r w:rsidR="00280D03" w:rsidRPr="00420489">
        <w:rPr>
          <w:rFonts w:asciiTheme="majorHAnsi" w:hAnsiTheme="majorHAnsi"/>
          <w:sz w:val="20"/>
          <w:szCs w:val="20"/>
          <w:lang w:val="es-VE"/>
        </w:rPr>
        <w:t xml:space="preserve">“El </w:t>
      </w:r>
      <w:proofErr w:type="spellStart"/>
      <w:r w:rsidR="00265475" w:rsidRPr="00420489">
        <w:rPr>
          <w:rFonts w:asciiTheme="majorHAnsi" w:hAnsiTheme="majorHAnsi"/>
          <w:sz w:val="20"/>
          <w:szCs w:val="20"/>
          <w:lang w:val="es-VE"/>
        </w:rPr>
        <w:t>Firmazo</w:t>
      </w:r>
      <w:proofErr w:type="spellEnd"/>
      <w:r w:rsidR="00265475" w:rsidRPr="00420489">
        <w:rPr>
          <w:rFonts w:asciiTheme="majorHAnsi" w:hAnsiTheme="majorHAnsi"/>
          <w:sz w:val="20"/>
          <w:szCs w:val="20"/>
          <w:lang w:val="es-VE"/>
        </w:rPr>
        <w:t>”</w:t>
      </w:r>
      <w:r w:rsidR="000738B8" w:rsidRPr="00420489">
        <w:rPr>
          <w:rFonts w:asciiTheme="majorHAnsi" w:hAnsiTheme="majorHAnsi"/>
          <w:sz w:val="20"/>
          <w:szCs w:val="20"/>
          <w:lang w:val="es-VE"/>
        </w:rPr>
        <w:t xml:space="preserve"> </w:t>
      </w:r>
      <w:r w:rsidRPr="00420489">
        <w:rPr>
          <w:rFonts w:asciiTheme="majorHAnsi" w:hAnsiTheme="majorHAnsi"/>
          <w:sz w:val="20"/>
          <w:szCs w:val="20"/>
          <w:lang w:val="es-VE"/>
        </w:rPr>
        <w:t>se desarrolló con normalidad</w:t>
      </w:r>
      <w:r w:rsidR="000738B8" w:rsidRPr="00420489">
        <w:rPr>
          <w:rFonts w:asciiTheme="majorHAnsi" w:hAnsiTheme="majorHAnsi"/>
          <w:sz w:val="20"/>
          <w:szCs w:val="20"/>
          <w:lang w:val="es-VE"/>
        </w:rPr>
        <w:t>. No obstante, representantes del gobierno tildaron de fraudulenta la jornada y negaron que se hubieran recolectado suficientes firmas para convocar al referendo</w:t>
      </w:r>
      <w:r w:rsidR="000738B8" w:rsidRPr="00420489">
        <w:rPr>
          <w:rStyle w:val="FootnoteTextChar"/>
          <w:rFonts w:asciiTheme="majorHAnsi" w:hAnsiTheme="majorHAnsi"/>
          <w:sz w:val="20"/>
          <w:szCs w:val="20"/>
          <w:vertAlign w:val="superscript"/>
        </w:rPr>
        <w:footnoteReference w:id="18"/>
      </w:r>
      <w:r w:rsidR="000738B8" w:rsidRPr="00420489">
        <w:rPr>
          <w:rFonts w:asciiTheme="majorHAnsi" w:hAnsiTheme="majorHAnsi"/>
          <w:sz w:val="20"/>
          <w:szCs w:val="20"/>
          <w:lang w:val="es-VE"/>
        </w:rPr>
        <w:t xml:space="preserve">. </w:t>
      </w:r>
    </w:p>
    <w:p w14:paraId="5B49A70D" w14:textId="77777777" w:rsidR="00891F36" w:rsidRPr="00420489" w:rsidRDefault="00891F36" w:rsidP="00D17BB1">
      <w:pPr>
        <w:tabs>
          <w:tab w:val="num" w:pos="1440"/>
        </w:tabs>
        <w:rPr>
          <w:rFonts w:asciiTheme="majorHAnsi" w:hAnsiTheme="majorHAnsi"/>
          <w:sz w:val="20"/>
          <w:szCs w:val="20"/>
          <w:lang w:val="es-VE"/>
        </w:rPr>
      </w:pPr>
    </w:p>
    <w:p w14:paraId="339A8D11" w14:textId="33F413F1" w:rsidR="00D46A1F" w:rsidRPr="00420489" w:rsidRDefault="00D46A1F"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Tomando en cuenta que una decisión de la Sala Constitucional estableció que “las firmas para el revocatorio deberán consignarse ante el Consejo Nacional Electoral (CNE), una vez que el Presidente Chávez o cualquier funcionario de elección popular cumpla la mitad del mandato”</w:t>
      </w:r>
      <w:r w:rsidRPr="00420489">
        <w:rPr>
          <w:rStyle w:val="FootnoteTextChar"/>
          <w:rFonts w:asciiTheme="majorHAnsi" w:hAnsiTheme="majorHAnsi"/>
          <w:sz w:val="20"/>
          <w:szCs w:val="20"/>
          <w:vertAlign w:val="superscript"/>
        </w:rPr>
        <w:footnoteReference w:id="19"/>
      </w:r>
      <w:r w:rsidR="001B0DAD" w:rsidRPr="001B0DAD">
        <w:rPr>
          <w:rFonts w:asciiTheme="majorHAnsi" w:hAnsiTheme="majorHAnsi"/>
          <w:sz w:val="20"/>
          <w:szCs w:val="20"/>
          <w:lang w:val="es-VE"/>
        </w:rPr>
        <w:t xml:space="preserve"> </w:t>
      </w:r>
      <w:r w:rsidR="00B67DA3">
        <w:rPr>
          <w:rFonts w:asciiTheme="majorHAnsi" w:hAnsiTheme="majorHAnsi"/>
          <w:sz w:val="20"/>
          <w:szCs w:val="20"/>
          <w:lang w:val="es-VE"/>
        </w:rPr>
        <w:t xml:space="preserve"> las firmas obtenidas </w:t>
      </w:r>
      <w:r w:rsidRPr="00420489">
        <w:rPr>
          <w:rFonts w:asciiTheme="majorHAnsi" w:hAnsiTheme="majorHAnsi"/>
          <w:sz w:val="20"/>
          <w:szCs w:val="20"/>
          <w:lang w:val="es-VE"/>
        </w:rPr>
        <w:t>fueron presentadas ante el CNE el 20 de agosto de 2003</w:t>
      </w:r>
      <w:r w:rsidR="00E2717A" w:rsidRPr="00420489">
        <w:rPr>
          <w:rStyle w:val="FootnoteTextChar"/>
          <w:rFonts w:asciiTheme="majorHAnsi" w:hAnsiTheme="majorHAnsi"/>
          <w:sz w:val="20"/>
          <w:szCs w:val="20"/>
          <w:vertAlign w:val="superscript"/>
        </w:rPr>
        <w:footnoteReference w:id="20"/>
      </w:r>
      <w:r w:rsidRPr="00420489">
        <w:rPr>
          <w:rFonts w:asciiTheme="majorHAnsi" w:hAnsiTheme="majorHAnsi"/>
          <w:sz w:val="20"/>
          <w:szCs w:val="20"/>
          <w:lang w:val="es-VE"/>
        </w:rPr>
        <w:t xml:space="preserve">. </w:t>
      </w:r>
    </w:p>
    <w:p w14:paraId="4B229BDE" w14:textId="77777777" w:rsidR="00DD5B44" w:rsidRPr="00420489" w:rsidRDefault="00DD5B44" w:rsidP="00D17BB1">
      <w:pPr>
        <w:pStyle w:val="ListParagraph"/>
        <w:tabs>
          <w:tab w:val="num" w:pos="1440"/>
        </w:tabs>
        <w:rPr>
          <w:rFonts w:asciiTheme="majorHAnsi" w:hAnsiTheme="majorHAnsi"/>
          <w:sz w:val="20"/>
          <w:szCs w:val="20"/>
          <w:lang w:val="es-VE"/>
        </w:rPr>
      </w:pPr>
    </w:p>
    <w:p w14:paraId="09C2738F" w14:textId="77777777" w:rsidR="00DD5B44" w:rsidRPr="00420489" w:rsidRDefault="008A2501"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El 12 de septiembre de 2003 mediante la resolución No. 030912-461 el CNE declaró inadmisible la solicitud de referendo revocatorio  en contra del Presidente Hugo Chávez Frías, </w:t>
      </w:r>
      <w:r w:rsidR="0046125C" w:rsidRPr="00420489">
        <w:rPr>
          <w:rFonts w:asciiTheme="majorHAnsi" w:hAnsiTheme="majorHAnsi"/>
          <w:sz w:val="20"/>
          <w:szCs w:val="20"/>
          <w:lang w:val="es-VE"/>
        </w:rPr>
        <w:t>argumentado</w:t>
      </w:r>
      <w:r w:rsidR="00EB1348" w:rsidRPr="00420489">
        <w:rPr>
          <w:rFonts w:asciiTheme="majorHAnsi" w:hAnsiTheme="majorHAnsi"/>
          <w:sz w:val="20"/>
          <w:szCs w:val="20"/>
          <w:lang w:val="es-VE"/>
        </w:rPr>
        <w:t xml:space="preserve"> entre otras cosas: 1)</w:t>
      </w:r>
      <w:r w:rsidR="0046125C" w:rsidRPr="00420489">
        <w:rPr>
          <w:rFonts w:asciiTheme="majorHAnsi" w:hAnsiTheme="majorHAnsi"/>
          <w:sz w:val="20"/>
          <w:szCs w:val="20"/>
          <w:lang w:val="es-VE"/>
        </w:rPr>
        <w:t xml:space="preserve"> la extemporaneidad de las firmas ya que fueron recogidas 6 meses y 18 días antes de que se cumpliera la mitad del mandato del Presidente, por lo que “no pueden recabarse las firmas para acompañar una solicitud para cuyo objeto el firmante no tiene derecho todavía”</w:t>
      </w:r>
      <w:r w:rsidR="0046125C" w:rsidRPr="00420489">
        <w:rPr>
          <w:rStyle w:val="FootnoteTextChar"/>
          <w:rFonts w:asciiTheme="majorHAnsi" w:hAnsiTheme="majorHAnsi"/>
          <w:sz w:val="20"/>
          <w:szCs w:val="20"/>
          <w:vertAlign w:val="superscript"/>
        </w:rPr>
        <w:footnoteReference w:id="21"/>
      </w:r>
      <w:r w:rsidR="00D25DA5" w:rsidRPr="00420489">
        <w:rPr>
          <w:rFonts w:asciiTheme="majorHAnsi" w:hAnsiTheme="majorHAnsi"/>
          <w:sz w:val="20"/>
          <w:szCs w:val="20"/>
          <w:lang w:val="es-VE"/>
        </w:rPr>
        <w:t>; y</w:t>
      </w:r>
      <w:r w:rsidR="00EB1348" w:rsidRPr="00420489">
        <w:rPr>
          <w:rFonts w:asciiTheme="majorHAnsi" w:hAnsiTheme="majorHAnsi"/>
          <w:sz w:val="20"/>
          <w:szCs w:val="20"/>
          <w:lang w:val="es-VE"/>
        </w:rPr>
        <w:t xml:space="preserve"> 2) </w:t>
      </w:r>
      <w:r w:rsidR="00D25DA5" w:rsidRPr="00420489">
        <w:rPr>
          <w:rFonts w:asciiTheme="majorHAnsi" w:hAnsiTheme="majorHAnsi"/>
          <w:sz w:val="20"/>
          <w:szCs w:val="20"/>
          <w:lang w:val="es-VE"/>
        </w:rPr>
        <w:t xml:space="preserve">que </w:t>
      </w:r>
      <w:r w:rsidR="00EB1348" w:rsidRPr="00420489">
        <w:rPr>
          <w:rFonts w:asciiTheme="majorHAnsi" w:hAnsiTheme="majorHAnsi"/>
          <w:sz w:val="20"/>
          <w:szCs w:val="20"/>
          <w:lang w:val="es-VE"/>
        </w:rPr>
        <w:t>la solicitud no est</w:t>
      </w:r>
      <w:r w:rsidR="00D25DA5" w:rsidRPr="00420489">
        <w:rPr>
          <w:rFonts w:asciiTheme="majorHAnsi" w:hAnsiTheme="majorHAnsi"/>
          <w:sz w:val="20"/>
          <w:szCs w:val="20"/>
          <w:lang w:val="es-VE"/>
        </w:rPr>
        <w:t>aba</w:t>
      </w:r>
      <w:r w:rsidR="00EB1348" w:rsidRPr="00420489">
        <w:rPr>
          <w:rFonts w:asciiTheme="majorHAnsi" w:hAnsiTheme="majorHAnsi"/>
          <w:sz w:val="20"/>
          <w:szCs w:val="20"/>
          <w:lang w:val="es-VE"/>
        </w:rPr>
        <w:t xml:space="preserve"> dirigida al CNE y “el texto se refiere a una supuesta iniciativa que tienen los firmantes de convocar ellos el referendo, cuando sólo la tienen para activarlo a través del Órgano Electoral competente para convocarlo”</w:t>
      </w:r>
      <w:r w:rsidR="00EB1348" w:rsidRPr="00420489">
        <w:rPr>
          <w:rStyle w:val="FootnoteTextChar"/>
          <w:rFonts w:asciiTheme="majorHAnsi" w:hAnsiTheme="majorHAnsi"/>
          <w:sz w:val="20"/>
          <w:szCs w:val="20"/>
          <w:vertAlign w:val="superscript"/>
        </w:rPr>
        <w:footnoteReference w:id="22"/>
      </w:r>
      <w:r w:rsidR="00EB1348" w:rsidRPr="00420489">
        <w:rPr>
          <w:rFonts w:asciiTheme="majorHAnsi" w:hAnsiTheme="majorHAnsi"/>
          <w:sz w:val="20"/>
          <w:szCs w:val="20"/>
          <w:lang w:val="es-VE"/>
        </w:rPr>
        <w:t xml:space="preserve">. </w:t>
      </w:r>
    </w:p>
    <w:p w14:paraId="03D7FB9C" w14:textId="77777777" w:rsidR="00E90B04" w:rsidRPr="00420489" w:rsidRDefault="00E90B04" w:rsidP="0055682B">
      <w:pPr>
        <w:jc w:val="both"/>
        <w:rPr>
          <w:rFonts w:asciiTheme="majorHAnsi" w:hAnsiTheme="majorHAnsi"/>
          <w:b/>
          <w:sz w:val="20"/>
          <w:szCs w:val="20"/>
          <w:lang w:val="es-ES"/>
        </w:rPr>
      </w:pPr>
    </w:p>
    <w:p w14:paraId="0FDC4E2A" w14:textId="77777777" w:rsidR="00E90B04" w:rsidRPr="00420489" w:rsidRDefault="00E90B04" w:rsidP="0021178E">
      <w:pPr>
        <w:pStyle w:val="ListParagraph"/>
        <w:numPr>
          <w:ilvl w:val="1"/>
          <w:numId w:val="55"/>
        </w:numPr>
        <w:tabs>
          <w:tab w:val="clear" w:pos="1800"/>
          <w:tab w:val="num" w:pos="1440"/>
        </w:tabs>
        <w:ind w:left="1440" w:hanging="720"/>
        <w:jc w:val="both"/>
        <w:rPr>
          <w:rFonts w:asciiTheme="majorHAnsi" w:hAnsiTheme="majorHAnsi"/>
          <w:b/>
          <w:sz w:val="20"/>
          <w:szCs w:val="20"/>
          <w:lang w:val="es-ES"/>
        </w:rPr>
      </w:pPr>
      <w:r w:rsidRPr="00420489">
        <w:rPr>
          <w:rFonts w:asciiTheme="majorHAnsi" w:hAnsiTheme="majorHAnsi"/>
          <w:b/>
          <w:sz w:val="20"/>
          <w:szCs w:val="20"/>
          <w:lang w:val="es-ES"/>
        </w:rPr>
        <w:t xml:space="preserve">La tercera recolección de firmas: “El </w:t>
      </w:r>
      <w:proofErr w:type="spellStart"/>
      <w:r w:rsidRPr="00420489">
        <w:rPr>
          <w:rFonts w:asciiTheme="majorHAnsi" w:hAnsiTheme="majorHAnsi"/>
          <w:b/>
          <w:sz w:val="20"/>
          <w:szCs w:val="20"/>
          <w:lang w:val="es-ES"/>
        </w:rPr>
        <w:t>Reafirmazo</w:t>
      </w:r>
      <w:proofErr w:type="spellEnd"/>
      <w:r w:rsidRPr="00420489">
        <w:rPr>
          <w:rFonts w:asciiTheme="majorHAnsi" w:hAnsiTheme="majorHAnsi"/>
          <w:b/>
          <w:sz w:val="20"/>
          <w:szCs w:val="20"/>
          <w:lang w:val="es-ES"/>
        </w:rPr>
        <w:t>”</w:t>
      </w:r>
    </w:p>
    <w:p w14:paraId="11AF6778" w14:textId="77777777" w:rsidR="00CF1FAC" w:rsidRPr="00420489" w:rsidRDefault="00CF1FAC" w:rsidP="00CF1FAC">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112121A4" w14:textId="77777777" w:rsidR="0075120E" w:rsidRPr="00420489" w:rsidRDefault="00CF1FAC"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Luego de la inadmisibilidad de la solicitud de referendo revocatorio del “</w:t>
      </w:r>
      <w:proofErr w:type="spellStart"/>
      <w:r w:rsidRPr="00420489">
        <w:rPr>
          <w:rFonts w:asciiTheme="majorHAnsi" w:hAnsiTheme="majorHAnsi"/>
          <w:sz w:val="20"/>
          <w:szCs w:val="20"/>
          <w:lang w:val="es-VE"/>
        </w:rPr>
        <w:t>Firmazo</w:t>
      </w:r>
      <w:proofErr w:type="spellEnd"/>
      <w:r w:rsidRPr="00420489">
        <w:rPr>
          <w:rFonts w:asciiTheme="majorHAnsi" w:hAnsiTheme="majorHAnsi"/>
          <w:sz w:val="20"/>
          <w:szCs w:val="20"/>
          <w:lang w:val="es-VE"/>
        </w:rPr>
        <w:t xml:space="preserve">”, en septiembre de 2003, </w:t>
      </w:r>
      <w:r w:rsidR="0057447D" w:rsidRPr="00420489">
        <w:rPr>
          <w:rFonts w:asciiTheme="majorHAnsi" w:hAnsiTheme="majorHAnsi"/>
          <w:sz w:val="20"/>
          <w:szCs w:val="20"/>
          <w:lang w:val="es-VE"/>
        </w:rPr>
        <w:t xml:space="preserve">el CNE aprobó la normativa para </w:t>
      </w:r>
      <w:r w:rsidR="00FE7413" w:rsidRPr="00420489">
        <w:rPr>
          <w:rFonts w:asciiTheme="majorHAnsi" w:hAnsiTheme="majorHAnsi"/>
          <w:sz w:val="20"/>
          <w:szCs w:val="20"/>
          <w:lang w:val="es-VE"/>
        </w:rPr>
        <w:t xml:space="preserve">regular los procesos de referendos revocatorios </w:t>
      </w:r>
      <w:r w:rsidR="00CB2365" w:rsidRPr="00420489">
        <w:rPr>
          <w:rFonts w:asciiTheme="majorHAnsi" w:hAnsiTheme="majorHAnsi"/>
          <w:sz w:val="20"/>
          <w:szCs w:val="20"/>
          <w:lang w:val="es-VE"/>
        </w:rPr>
        <w:t>estableciendo diversas condiciones técnicas para llevar a cabo un referéndum revocatorio</w:t>
      </w:r>
      <w:r w:rsidR="00175520" w:rsidRPr="00420489">
        <w:rPr>
          <w:rStyle w:val="FootnoteTextChar"/>
          <w:rFonts w:asciiTheme="majorHAnsi" w:hAnsiTheme="majorHAnsi"/>
          <w:sz w:val="20"/>
          <w:szCs w:val="20"/>
          <w:vertAlign w:val="superscript"/>
        </w:rPr>
        <w:footnoteReference w:id="23"/>
      </w:r>
      <w:r w:rsidR="00036090" w:rsidRPr="00420489">
        <w:rPr>
          <w:rFonts w:asciiTheme="majorHAnsi" w:hAnsiTheme="majorHAnsi"/>
          <w:sz w:val="20"/>
          <w:szCs w:val="20"/>
          <w:lang w:val="es-VE"/>
        </w:rPr>
        <w:t xml:space="preserve"> y </w:t>
      </w:r>
      <w:r w:rsidRPr="00420489">
        <w:rPr>
          <w:rFonts w:asciiTheme="majorHAnsi" w:hAnsiTheme="majorHAnsi"/>
          <w:sz w:val="20"/>
          <w:szCs w:val="20"/>
          <w:lang w:val="es-VE"/>
        </w:rPr>
        <w:t xml:space="preserve"> decidió </w:t>
      </w:r>
      <w:r w:rsidRPr="00420489">
        <w:rPr>
          <w:rFonts w:asciiTheme="majorHAnsi" w:hAnsiTheme="majorHAnsi"/>
          <w:sz w:val="20"/>
          <w:szCs w:val="20"/>
          <w:lang w:val="es-VE"/>
        </w:rPr>
        <w:lastRenderedPageBreak/>
        <w:t>convocar a una nueva recolección de firmas para referendo revocatorio presidencial, a llevarse a cabo entre el 28 de noviembre y el 1 de diciembre de 2003</w:t>
      </w:r>
      <w:r w:rsidR="007353CB" w:rsidRPr="00420489">
        <w:rPr>
          <w:rStyle w:val="FootnoteTextChar"/>
          <w:rFonts w:asciiTheme="majorHAnsi" w:hAnsiTheme="majorHAnsi"/>
          <w:sz w:val="20"/>
          <w:szCs w:val="20"/>
          <w:vertAlign w:val="superscript"/>
        </w:rPr>
        <w:footnoteReference w:id="24"/>
      </w:r>
      <w:r w:rsidR="00405BC8" w:rsidRPr="00420489">
        <w:rPr>
          <w:rFonts w:asciiTheme="majorHAnsi" w:hAnsiTheme="majorHAnsi"/>
          <w:sz w:val="20"/>
          <w:szCs w:val="20"/>
          <w:lang w:val="es-VE"/>
        </w:rPr>
        <w:t>.</w:t>
      </w:r>
      <w:r w:rsidR="00F96160" w:rsidRPr="00420489">
        <w:rPr>
          <w:rFonts w:asciiTheme="majorHAnsi" w:hAnsiTheme="majorHAnsi"/>
          <w:sz w:val="20"/>
          <w:szCs w:val="20"/>
          <w:lang w:val="es-VE"/>
        </w:rPr>
        <w:t xml:space="preserve"> </w:t>
      </w:r>
    </w:p>
    <w:p w14:paraId="3F144926" w14:textId="77777777" w:rsidR="0075120E" w:rsidRPr="00420489" w:rsidRDefault="0075120E" w:rsidP="00D17BB1">
      <w:pPr>
        <w:pStyle w:val="ListParagraph"/>
        <w:tabs>
          <w:tab w:val="num" w:pos="1440"/>
        </w:tabs>
        <w:rPr>
          <w:rFonts w:asciiTheme="majorHAnsi" w:hAnsiTheme="majorHAnsi"/>
          <w:sz w:val="20"/>
          <w:szCs w:val="20"/>
          <w:lang w:val="es-VE"/>
        </w:rPr>
      </w:pPr>
    </w:p>
    <w:p w14:paraId="084715F8" w14:textId="3CC58038" w:rsidR="0068775D" w:rsidRPr="00420489" w:rsidRDefault="00CF1FAC"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También, emitió la </w:t>
      </w:r>
      <w:r w:rsidR="00F96160" w:rsidRPr="00420489">
        <w:rPr>
          <w:rFonts w:asciiTheme="majorHAnsi" w:hAnsiTheme="majorHAnsi"/>
          <w:sz w:val="20"/>
          <w:szCs w:val="20"/>
          <w:lang w:val="es-VE"/>
        </w:rPr>
        <w:t xml:space="preserve">resolución </w:t>
      </w:r>
      <w:r w:rsidR="00405BC8" w:rsidRPr="00420489">
        <w:rPr>
          <w:rFonts w:asciiTheme="majorHAnsi" w:hAnsiTheme="majorHAnsi"/>
          <w:sz w:val="20"/>
          <w:szCs w:val="20"/>
          <w:lang w:val="es-VE"/>
        </w:rPr>
        <w:t>031027-710 mediante la cual “</w:t>
      </w:r>
      <w:r w:rsidR="00D25DA5" w:rsidRPr="00420489">
        <w:rPr>
          <w:rFonts w:asciiTheme="majorHAnsi" w:hAnsiTheme="majorHAnsi"/>
          <w:sz w:val="20"/>
          <w:szCs w:val="20"/>
          <w:lang w:val="es-VE"/>
        </w:rPr>
        <w:t>e</w:t>
      </w:r>
      <w:r w:rsidR="00405BC8" w:rsidRPr="00420489">
        <w:rPr>
          <w:rFonts w:asciiTheme="majorHAnsi" w:hAnsiTheme="majorHAnsi"/>
          <w:sz w:val="20"/>
          <w:szCs w:val="20"/>
          <w:lang w:val="es-VE"/>
        </w:rPr>
        <w:t>xhorta tanto a los organismos del sector público, en cualquiera de los niveles político territorial</w:t>
      </w:r>
      <w:r w:rsidR="00A20407">
        <w:rPr>
          <w:rFonts w:asciiTheme="majorHAnsi" w:hAnsiTheme="majorHAnsi"/>
          <w:sz w:val="20"/>
          <w:szCs w:val="20"/>
          <w:lang w:val="es-VE"/>
        </w:rPr>
        <w:t>es de gobierno (nacional, estadual</w:t>
      </w:r>
      <w:r w:rsidR="00405BC8" w:rsidRPr="00420489">
        <w:rPr>
          <w:rFonts w:asciiTheme="majorHAnsi" w:hAnsiTheme="majorHAnsi"/>
          <w:sz w:val="20"/>
          <w:szCs w:val="20"/>
          <w:lang w:val="es-VE"/>
        </w:rPr>
        <w:t xml:space="preserve"> y municipal) como a los organismos privados que cuenten con personal a su servicio, abstenerse de poner en práctica cualquier medida directa o indirecta que busque influir o impida el libre ejercicio y goce pacífico del derecho constitucional a la participación política involucrado en cada una de las fases procedimentales del referendo revocatorio, regulado mediante las normas para regular los Procesos de Referendos Revocatorios de Mandatos de Cargos de Elección Popular”</w:t>
      </w:r>
      <w:r w:rsidR="00405BC8" w:rsidRPr="00420489">
        <w:rPr>
          <w:rStyle w:val="FootnoteTextChar"/>
          <w:rFonts w:asciiTheme="majorHAnsi" w:hAnsiTheme="majorHAnsi"/>
          <w:sz w:val="20"/>
          <w:szCs w:val="20"/>
          <w:vertAlign w:val="superscript"/>
        </w:rPr>
        <w:footnoteReference w:id="25"/>
      </w:r>
      <w:r w:rsidRPr="00420489">
        <w:rPr>
          <w:rFonts w:asciiTheme="majorHAnsi" w:hAnsiTheme="majorHAnsi"/>
          <w:sz w:val="20"/>
          <w:szCs w:val="20"/>
          <w:lang w:val="es-VE"/>
        </w:rPr>
        <w:t xml:space="preserve"> y la resolución </w:t>
      </w:r>
      <w:r w:rsidR="00B40FB2" w:rsidRPr="00420489">
        <w:rPr>
          <w:rFonts w:asciiTheme="majorHAnsi" w:hAnsiTheme="majorHAnsi"/>
          <w:sz w:val="20"/>
          <w:szCs w:val="20"/>
          <w:lang w:val="es-VE"/>
        </w:rPr>
        <w:t>No. 031120-794 por medio de la cual dicta las “Normas sobre los criterios de validación de las firmas y de las planillas de recolección de firmas para los procesos de referendo revocatorio de mandatos de cargos de elección popular”</w:t>
      </w:r>
      <w:r w:rsidR="00B40FB2" w:rsidRPr="00420489">
        <w:rPr>
          <w:rStyle w:val="FootnoteTextChar"/>
          <w:rFonts w:asciiTheme="majorHAnsi" w:hAnsiTheme="majorHAnsi"/>
          <w:sz w:val="20"/>
          <w:szCs w:val="20"/>
          <w:vertAlign w:val="superscript"/>
        </w:rPr>
        <w:footnoteReference w:id="26"/>
      </w:r>
      <w:r w:rsidR="00B40FB2" w:rsidRPr="00420489">
        <w:rPr>
          <w:rFonts w:asciiTheme="majorHAnsi" w:hAnsiTheme="majorHAnsi"/>
          <w:sz w:val="20"/>
          <w:szCs w:val="20"/>
          <w:lang w:val="es-VE"/>
        </w:rPr>
        <w:t>.</w:t>
      </w:r>
    </w:p>
    <w:p w14:paraId="2A22726F" w14:textId="77777777" w:rsidR="00C76DF0" w:rsidRPr="00420489" w:rsidRDefault="00C76DF0" w:rsidP="00D17BB1">
      <w:pPr>
        <w:pBdr>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lang w:val="es-VE"/>
        </w:rPr>
      </w:pPr>
    </w:p>
    <w:p w14:paraId="068CCDAA" w14:textId="7850011C" w:rsidR="00F10D7E" w:rsidRPr="00420489" w:rsidRDefault="00BC6855"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En los </w:t>
      </w:r>
      <w:r w:rsidR="00F10D7E" w:rsidRPr="00420489">
        <w:rPr>
          <w:rFonts w:asciiTheme="majorHAnsi" w:hAnsiTheme="majorHAnsi"/>
          <w:sz w:val="20"/>
          <w:szCs w:val="20"/>
          <w:lang w:val="es-VE"/>
        </w:rPr>
        <w:t xml:space="preserve">meses y </w:t>
      </w:r>
      <w:r w:rsidRPr="00420489">
        <w:rPr>
          <w:rFonts w:asciiTheme="majorHAnsi" w:hAnsiTheme="majorHAnsi"/>
          <w:sz w:val="20"/>
          <w:szCs w:val="20"/>
          <w:lang w:val="es-VE"/>
        </w:rPr>
        <w:t xml:space="preserve">días previos a las fechas estipuladas por el CNE para la recolección de firmas, </w:t>
      </w:r>
      <w:r w:rsidR="001C5071" w:rsidRPr="00420489">
        <w:rPr>
          <w:rFonts w:asciiTheme="majorHAnsi" w:hAnsiTheme="majorHAnsi"/>
          <w:sz w:val="20"/>
          <w:szCs w:val="20"/>
          <w:lang w:val="es-VE"/>
        </w:rPr>
        <w:t xml:space="preserve">según reportaron distintos medios de comunicación, </w:t>
      </w:r>
      <w:r w:rsidRPr="00420489">
        <w:rPr>
          <w:rFonts w:asciiTheme="majorHAnsi" w:hAnsiTheme="majorHAnsi"/>
          <w:sz w:val="20"/>
          <w:szCs w:val="20"/>
          <w:lang w:val="es-VE"/>
        </w:rPr>
        <w:t xml:space="preserve">algunos funcionarios públicos sugirieron que la recolección </w:t>
      </w:r>
      <w:r w:rsidR="001C5071" w:rsidRPr="00420489">
        <w:rPr>
          <w:rFonts w:asciiTheme="majorHAnsi" w:hAnsiTheme="majorHAnsi"/>
          <w:sz w:val="20"/>
          <w:szCs w:val="20"/>
          <w:lang w:val="es-VE"/>
        </w:rPr>
        <w:t xml:space="preserve">de firmas </w:t>
      </w:r>
      <w:r w:rsidRPr="00420489">
        <w:rPr>
          <w:rFonts w:asciiTheme="majorHAnsi" w:hAnsiTheme="majorHAnsi"/>
          <w:sz w:val="20"/>
          <w:szCs w:val="20"/>
          <w:lang w:val="es-VE"/>
        </w:rPr>
        <w:t>podr</w:t>
      </w:r>
      <w:r w:rsidR="001C5071" w:rsidRPr="00420489">
        <w:rPr>
          <w:rFonts w:asciiTheme="majorHAnsi" w:hAnsiTheme="majorHAnsi"/>
          <w:sz w:val="20"/>
          <w:szCs w:val="20"/>
          <w:lang w:val="es-VE"/>
        </w:rPr>
        <w:t>ía ser fraudulenta o amenazaron a quienes participaran en el referendo</w:t>
      </w:r>
      <w:r w:rsidR="00EE42B2" w:rsidRPr="00420489">
        <w:rPr>
          <w:rStyle w:val="FootnoteTextChar"/>
          <w:rFonts w:asciiTheme="majorHAnsi" w:hAnsiTheme="majorHAnsi"/>
          <w:sz w:val="20"/>
          <w:szCs w:val="20"/>
          <w:vertAlign w:val="superscript"/>
        </w:rPr>
        <w:footnoteReference w:id="27"/>
      </w:r>
      <w:r w:rsidR="001C5071" w:rsidRPr="00420489">
        <w:rPr>
          <w:rFonts w:asciiTheme="majorHAnsi" w:hAnsiTheme="majorHAnsi"/>
          <w:sz w:val="20"/>
          <w:szCs w:val="20"/>
          <w:lang w:val="es-VE"/>
        </w:rPr>
        <w:t xml:space="preserve">. </w:t>
      </w:r>
      <w:r w:rsidR="00CF1FAC" w:rsidRPr="00420489">
        <w:rPr>
          <w:rFonts w:asciiTheme="majorHAnsi" w:hAnsiTheme="majorHAnsi"/>
          <w:sz w:val="20"/>
          <w:szCs w:val="20"/>
          <w:lang w:val="es-VE"/>
        </w:rPr>
        <w:t xml:space="preserve"> Por ejemplo, en octubre de 2003 </w:t>
      </w:r>
      <w:r w:rsidR="00F10D7E" w:rsidRPr="00420489">
        <w:rPr>
          <w:rFonts w:asciiTheme="majorHAnsi" w:hAnsiTheme="majorHAnsi"/>
          <w:sz w:val="20"/>
          <w:szCs w:val="20"/>
          <w:lang w:val="es-VE"/>
        </w:rPr>
        <w:t>el Presidente</w:t>
      </w:r>
      <w:r w:rsidR="00CF1FAC" w:rsidRPr="00420489">
        <w:rPr>
          <w:rFonts w:asciiTheme="majorHAnsi" w:hAnsiTheme="majorHAnsi"/>
          <w:sz w:val="20"/>
          <w:szCs w:val="20"/>
          <w:lang w:val="es-VE"/>
        </w:rPr>
        <w:t xml:space="preserve"> </w:t>
      </w:r>
      <w:r w:rsidR="00F10D7E" w:rsidRPr="00420489">
        <w:rPr>
          <w:rFonts w:asciiTheme="majorHAnsi" w:hAnsiTheme="majorHAnsi"/>
          <w:sz w:val="20"/>
          <w:szCs w:val="20"/>
          <w:lang w:val="es-VE"/>
        </w:rPr>
        <w:t>Chávez declaró que “el que firme contra Chávez allí quedara su nombre registrado para la historia porque va a tener que poner su nombre y su apellido y su firma y su número de cédula y su huella digital”</w:t>
      </w:r>
      <w:r w:rsidR="00F10D7E" w:rsidRPr="00420489">
        <w:rPr>
          <w:rStyle w:val="FootnoteReference"/>
          <w:rFonts w:asciiTheme="majorHAnsi" w:hAnsiTheme="majorHAnsi"/>
          <w:sz w:val="20"/>
          <w:szCs w:val="20"/>
          <w:lang w:val="es-VE"/>
        </w:rPr>
        <w:footnoteReference w:id="28"/>
      </w:r>
      <w:r w:rsidR="00F10D7E" w:rsidRPr="00420489">
        <w:rPr>
          <w:rFonts w:asciiTheme="majorHAnsi" w:hAnsiTheme="majorHAnsi"/>
          <w:sz w:val="20"/>
          <w:szCs w:val="20"/>
          <w:lang w:val="es-VE"/>
        </w:rPr>
        <w:t xml:space="preserve">. </w:t>
      </w:r>
    </w:p>
    <w:p w14:paraId="62BAB538" w14:textId="77777777" w:rsidR="00F10D7E" w:rsidRPr="00420489" w:rsidRDefault="00F10D7E" w:rsidP="00D17BB1">
      <w:pPr>
        <w:tabs>
          <w:tab w:val="num" w:pos="1440"/>
        </w:tabs>
        <w:rPr>
          <w:rFonts w:asciiTheme="majorHAnsi" w:hAnsiTheme="majorHAnsi"/>
          <w:sz w:val="20"/>
          <w:szCs w:val="20"/>
          <w:lang w:val="es-VE"/>
        </w:rPr>
      </w:pPr>
    </w:p>
    <w:p w14:paraId="35FDE58B" w14:textId="2D4196CA" w:rsidR="00DE1F91" w:rsidRDefault="001C5071" w:rsidP="00DE1F9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A</w:t>
      </w:r>
      <w:r w:rsidR="00F10D7E" w:rsidRPr="00420489">
        <w:rPr>
          <w:rFonts w:asciiTheme="majorHAnsi" w:hAnsiTheme="majorHAnsi"/>
          <w:sz w:val="20"/>
          <w:szCs w:val="20"/>
          <w:lang w:val="es-VE"/>
        </w:rPr>
        <w:t xml:space="preserve"> su vez</w:t>
      </w:r>
      <w:r w:rsidRPr="00420489">
        <w:rPr>
          <w:rFonts w:asciiTheme="majorHAnsi" w:hAnsiTheme="majorHAnsi"/>
          <w:sz w:val="20"/>
          <w:szCs w:val="20"/>
          <w:lang w:val="es-VE"/>
        </w:rPr>
        <w:t>, e</w:t>
      </w:r>
      <w:r w:rsidR="00493B99" w:rsidRPr="00420489">
        <w:rPr>
          <w:rFonts w:asciiTheme="majorHAnsi" w:hAnsiTheme="majorHAnsi"/>
          <w:sz w:val="20"/>
          <w:szCs w:val="20"/>
          <w:lang w:val="es-VE"/>
        </w:rPr>
        <w:t xml:space="preserve">l 22 de noviembre </w:t>
      </w:r>
      <w:r w:rsidRPr="00420489">
        <w:rPr>
          <w:rFonts w:asciiTheme="majorHAnsi" w:hAnsiTheme="majorHAnsi"/>
          <w:sz w:val="20"/>
          <w:szCs w:val="20"/>
          <w:lang w:val="es-VE"/>
        </w:rPr>
        <w:t xml:space="preserve">de 2003, </w:t>
      </w:r>
      <w:r w:rsidR="00493B99" w:rsidRPr="00420489">
        <w:rPr>
          <w:rFonts w:asciiTheme="majorHAnsi" w:hAnsiTheme="majorHAnsi"/>
          <w:sz w:val="20"/>
          <w:szCs w:val="20"/>
          <w:lang w:val="es-VE"/>
        </w:rPr>
        <w:t xml:space="preserve">Lina Ron, Coordinadora de Círculos Bolivarianos y entonces Presidenta del Fondo Único </w:t>
      </w:r>
      <w:r w:rsidR="007650EA" w:rsidRPr="00420489">
        <w:rPr>
          <w:rFonts w:asciiTheme="majorHAnsi" w:hAnsiTheme="majorHAnsi"/>
          <w:sz w:val="20"/>
          <w:szCs w:val="20"/>
          <w:lang w:val="es-VE"/>
        </w:rPr>
        <w:t xml:space="preserve">Social, institución </w:t>
      </w:r>
      <w:r w:rsidR="00916E0F" w:rsidRPr="00420489">
        <w:rPr>
          <w:rFonts w:asciiTheme="majorHAnsi" w:hAnsiTheme="majorHAnsi"/>
          <w:sz w:val="20"/>
          <w:szCs w:val="20"/>
          <w:lang w:val="es-VE"/>
        </w:rPr>
        <w:t xml:space="preserve">pública </w:t>
      </w:r>
      <w:r w:rsidR="007650EA" w:rsidRPr="00420489">
        <w:rPr>
          <w:rFonts w:asciiTheme="majorHAnsi" w:hAnsiTheme="majorHAnsi"/>
          <w:sz w:val="20"/>
          <w:szCs w:val="20"/>
          <w:lang w:val="es-VE"/>
        </w:rPr>
        <w:t>encargada de administrar recursos destinados al financiamiento y regulación de programas sociales</w:t>
      </w:r>
      <w:r w:rsidR="0097544B" w:rsidRPr="00420489">
        <w:rPr>
          <w:rFonts w:asciiTheme="majorHAnsi" w:hAnsiTheme="majorHAnsi"/>
          <w:sz w:val="20"/>
          <w:szCs w:val="20"/>
          <w:lang w:val="es-VE"/>
        </w:rPr>
        <w:t>,</w:t>
      </w:r>
      <w:r w:rsidR="007650EA" w:rsidRPr="00420489">
        <w:rPr>
          <w:rFonts w:asciiTheme="majorHAnsi" w:hAnsiTheme="majorHAnsi"/>
          <w:sz w:val="20"/>
          <w:szCs w:val="20"/>
          <w:lang w:val="es-VE"/>
        </w:rPr>
        <w:t xml:space="preserve"> </w:t>
      </w:r>
      <w:r w:rsidR="00493B99" w:rsidRPr="00420489">
        <w:rPr>
          <w:rFonts w:asciiTheme="majorHAnsi" w:hAnsiTheme="majorHAnsi"/>
          <w:sz w:val="20"/>
          <w:szCs w:val="20"/>
          <w:lang w:val="es-VE"/>
        </w:rPr>
        <w:t xml:space="preserve">declaró que “yo no voy a permitir </w:t>
      </w:r>
      <w:r w:rsidR="00AE02FB" w:rsidRPr="00420489">
        <w:rPr>
          <w:rFonts w:asciiTheme="majorHAnsi" w:hAnsiTheme="majorHAnsi"/>
          <w:sz w:val="20"/>
          <w:szCs w:val="20"/>
          <w:lang w:val="es-VE"/>
        </w:rPr>
        <w:t xml:space="preserve">que </w:t>
      </w:r>
      <w:r w:rsidR="00493B99" w:rsidRPr="00420489">
        <w:rPr>
          <w:rFonts w:asciiTheme="majorHAnsi" w:hAnsiTheme="majorHAnsi"/>
          <w:sz w:val="20"/>
          <w:szCs w:val="20"/>
          <w:lang w:val="es-VE"/>
        </w:rPr>
        <w:t>en ningún puesto de recolección firme</w:t>
      </w:r>
      <w:r w:rsidR="00AE02FB" w:rsidRPr="00420489">
        <w:rPr>
          <w:rFonts w:asciiTheme="majorHAnsi" w:hAnsiTheme="majorHAnsi"/>
          <w:sz w:val="20"/>
          <w:szCs w:val="20"/>
          <w:lang w:val="es-VE"/>
        </w:rPr>
        <w:t>n</w:t>
      </w:r>
      <w:r w:rsidR="00493B99" w:rsidRPr="00420489">
        <w:rPr>
          <w:rFonts w:asciiTheme="majorHAnsi" w:hAnsiTheme="majorHAnsi"/>
          <w:sz w:val="20"/>
          <w:szCs w:val="20"/>
          <w:lang w:val="es-VE"/>
        </w:rPr>
        <w:t xml:space="preserve"> contra mi comandante en jefe, contra el hombre más grande de esta patria, contra el mesías de esta tierra, contra el hombre más bueno que nunca tuvo la patria, quien lo haga, o me matan a mí o yo los mato a ellos”</w:t>
      </w:r>
      <w:r w:rsidR="00493B99" w:rsidRPr="00420489">
        <w:rPr>
          <w:rStyle w:val="FootnoteTextChar"/>
          <w:rFonts w:asciiTheme="majorHAnsi" w:hAnsiTheme="majorHAnsi"/>
          <w:sz w:val="20"/>
          <w:szCs w:val="20"/>
          <w:vertAlign w:val="superscript"/>
        </w:rPr>
        <w:footnoteReference w:id="29"/>
      </w:r>
      <w:r w:rsidRPr="00420489">
        <w:rPr>
          <w:rFonts w:asciiTheme="majorHAnsi" w:hAnsiTheme="majorHAnsi"/>
          <w:sz w:val="20"/>
          <w:szCs w:val="20"/>
          <w:lang w:val="es-VE"/>
        </w:rPr>
        <w:t>. Asimismo,</w:t>
      </w:r>
      <w:r w:rsidR="00AA42C4" w:rsidRPr="00420489">
        <w:rPr>
          <w:rFonts w:asciiTheme="majorHAnsi" w:hAnsiTheme="majorHAnsi"/>
          <w:sz w:val="20"/>
          <w:szCs w:val="20"/>
          <w:lang w:val="es-VE"/>
        </w:rPr>
        <w:t xml:space="preserve"> nuevamente, </w:t>
      </w:r>
      <w:r w:rsidRPr="00420489">
        <w:rPr>
          <w:rFonts w:asciiTheme="majorHAnsi" w:hAnsiTheme="majorHAnsi"/>
          <w:sz w:val="20"/>
          <w:szCs w:val="20"/>
          <w:lang w:val="es-VE"/>
        </w:rPr>
        <w:t xml:space="preserve"> el 1 de diciembre de 2003 el Presidente Hugo Chávez refiriéndose al “</w:t>
      </w:r>
      <w:proofErr w:type="spellStart"/>
      <w:r w:rsidRPr="00420489">
        <w:rPr>
          <w:rFonts w:asciiTheme="majorHAnsi" w:hAnsiTheme="majorHAnsi"/>
          <w:sz w:val="20"/>
          <w:szCs w:val="20"/>
          <w:lang w:val="es-VE"/>
        </w:rPr>
        <w:t>Reafirmazo</w:t>
      </w:r>
      <w:proofErr w:type="spellEnd"/>
      <w:r w:rsidRPr="00420489">
        <w:rPr>
          <w:rFonts w:asciiTheme="majorHAnsi" w:hAnsiTheme="majorHAnsi"/>
          <w:sz w:val="20"/>
          <w:szCs w:val="20"/>
          <w:lang w:val="es-VE"/>
        </w:rPr>
        <w:t>” declaró “¿seguro que a nosotros no nos van a hacer fraude? Como dice el pueblo aquí en estas calles de Dios “la trampa sale”</w:t>
      </w:r>
      <w:r w:rsidRPr="00420489">
        <w:rPr>
          <w:rStyle w:val="FootnoteTextChar"/>
          <w:rFonts w:asciiTheme="majorHAnsi" w:hAnsiTheme="majorHAnsi"/>
          <w:sz w:val="20"/>
          <w:szCs w:val="20"/>
          <w:vertAlign w:val="superscript"/>
        </w:rPr>
        <w:footnoteReference w:id="30"/>
      </w:r>
      <w:r w:rsidRPr="00420489">
        <w:rPr>
          <w:rFonts w:asciiTheme="majorHAnsi" w:hAnsiTheme="majorHAnsi"/>
          <w:sz w:val="20"/>
          <w:szCs w:val="20"/>
          <w:lang w:val="es-VE"/>
        </w:rPr>
        <w:t xml:space="preserve">. </w:t>
      </w:r>
    </w:p>
    <w:p w14:paraId="48427E0D" w14:textId="77777777" w:rsidR="00DE1F91" w:rsidRPr="00DE1F91" w:rsidRDefault="00DE1F91" w:rsidP="00DE1F9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7CC40352" w14:textId="77777777" w:rsidR="00B40FB2" w:rsidRPr="00420489" w:rsidRDefault="0097544B"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lastRenderedPageBreak/>
        <w:t xml:space="preserve">En las </w:t>
      </w:r>
      <w:r w:rsidR="008F1E69" w:rsidRPr="00420489">
        <w:rPr>
          <w:rFonts w:asciiTheme="majorHAnsi" w:hAnsiTheme="majorHAnsi"/>
          <w:sz w:val="20"/>
          <w:szCs w:val="20"/>
          <w:lang w:val="es-VE"/>
        </w:rPr>
        <w:t xml:space="preserve">fechas estipuladas, </w:t>
      </w:r>
      <w:r w:rsidR="00BE65AE" w:rsidRPr="00420489">
        <w:rPr>
          <w:rFonts w:asciiTheme="majorHAnsi" w:hAnsiTheme="majorHAnsi"/>
          <w:sz w:val="20"/>
          <w:szCs w:val="20"/>
          <w:lang w:val="es-VE"/>
        </w:rPr>
        <w:t>se realizaron nuevamente jornadas para recolección de firmas</w:t>
      </w:r>
      <w:r w:rsidR="008F1E69" w:rsidRPr="00420489">
        <w:rPr>
          <w:rFonts w:asciiTheme="majorHAnsi" w:hAnsiTheme="majorHAnsi"/>
          <w:sz w:val="20"/>
          <w:szCs w:val="20"/>
          <w:lang w:val="es-VE"/>
        </w:rPr>
        <w:t xml:space="preserve"> y el 19 de diciembre de 2003</w:t>
      </w:r>
      <w:r w:rsidR="00442850" w:rsidRPr="00420489">
        <w:rPr>
          <w:rFonts w:asciiTheme="majorHAnsi" w:hAnsiTheme="majorHAnsi"/>
          <w:sz w:val="20"/>
          <w:szCs w:val="20"/>
          <w:lang w:val="es-VE"/>
        </w:rPr>
        <w:t xml:space="preserve"> se presentaron al CNE más de 3 millones de firmas solicitando el referendo revocatorio presidencial</w:t>
      </w:r>
      <w:r w:rsidRPr="00420489">
        <w:rPr>
          <w:rStyle w:val="FootnoteTextChar"/>
          <w:rFonts w:asciiTheme="majorHAnsi" w:hAnsiTheme="majorHAnsi"/>
          <w:sz w:val="20"/>
          <w:szCs w:val="20"/>
          <w:vertAlign w:val="superscript"/>
        </w:rPr>
        <w:footnoteReference w:id="31"/>
      </w:r>
      <w:r w:rsidR="00442850" w:rsidRPr="00420489">
        <w:rPr>
          <w:rFonts w:asciiTheme="majorHAnsi" w:hAnsiTheme="majorHAnsi"/>
          <w:sz w:val="20"/>
          <w:szCs w:val="20"/>
          <w:lang w:val="es-VE"/>
        </w:rPr>
        <w:t xml:space="preserve">. </w:t>
      </w:r>
    </w:p>
    <w:p w14:paraId="06C06B7C" w14:textId="77777777" w:rsidR="00AA42C4" w:rsidRPr="00420489" w:rsidRDefault="00AA42C4" w:rsidP="00AA42C4">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1EE83B75" w14:textId="77777777" w:rsidR="002861AB" w:rsidRPr="00420489" w:rsidRDefault="002861AB" w:rsidP="00D73A2C">
      <w:pPr>
        <w:pStyle w:val="ListParagraph"/>
        <w:numPr>
          <w:ilvl w:val="1"/>
          <w:numId w:val="55"/>
        </w:numPr>
        <w:tabs>
          <w:tab w:val="clear" w:pos="1800"/>
          <w:tab w:val="num" w:pos="1440"/>
        </w:tabs>
        <w:ind w:left="1440" w:hanging="720"/>
        <w:jc w:val="both"/>
        <w:rPr>
          <w:rFonts w:asciiTheme="majorHAnsi" w:hAnsiTheme="majorHAnsi"/>
          <w:b/>
          <w:sz w:val="20"/>
          <w:szCs w:val="20"/>
          <w:lang w:val="es-ES"/>
        </w:rPr>
      </w:pPr>
      <w:r w:rsidRPr="00420489">
        <w:rPr>
          <w:rFonts w:asciiTheme="majorHAnsi" w:hAnsiTheme="majorHAnsi"/>
          <w:b/>
          <w:sz w:val="20"/>
          <w:szCs w:val="20"/>
          <w:lang w:val="es-ES"/>
        </w:rPr>
        <w:t xml:space="preserve">La “Lista </w:t>
      </w:r>
      <w:proofErr w:type="spellStart"/>
      <w:r w:rsidRPr="00420489">
        <w:rPr>
          <w:rFonts w:asciiTheme="majorHAnsi" w:hAnsiTheme="majorHAnsi"/>
          <w:b/>
          <w:sz w:val="20"/>
          <w:szCs w:val="20"/>
          <w:lang w:val="es-ES"/>
        </w:rPr>
        <w:t>Tascón</w:t>
      </w:r>
      <w:proofErr w:type="spellEnd"/>
      <w:r w:rsidRPr="00420489">
        <w:rPr>
          <w:rFonts w:asciiTheme="majorHAnsi" w:hAnsiTheme="majorHAnsi"/>
          <w:b/>
          <w:sz w:val="20"/>
          <w:szCs w:val="20"/>
          <w:lang w:val="es-ES"/>
        </w:rPr>
        <w:t>”</w:t>
      </w:r>
    </w:p>
    <w:p w14:paraId="4E3DAEF3" w14:textId="77777777" w:rsidR="0056639B" w:rsidRPr="00420489" w:rsidRDefault="0056639B" w:rsidP="0008124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2F6D8A01" w14:textId="77777777" w:rsidR="005F2751" w:rsidRPr="00420489" w:rsidRDefault="002861AB"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El 30 de enero de 2004 el Presidente de la República </w:t>
      </w:r>
      <w:r w:rsidR="00590B1D" w:rsidRPr="00420489">
        <w:rPr>
          <w:rFonts w:asciiTheme="majorHAnsi" w:hAnsiTheme="majorHAnsi"/>
          <w:sz w:val="20"/>
          <w:szCs w:val="20"/>
          <w:lang w:val="es-VE"/>
        </w:rPr>
        <w:t xml:space="preserve">solicitó al presidente del Consejo Nacional Electoral, </w:t>
      </w:r>
      <w:r w:rsidR="00DC2B87" w:rsidRPr="00420489">
        <w:rPr>
          <w:rFonts w:asciiTheme="majorHAnsi" w:hAnsiTheme="majorHAnsi"/>
          <w:sz w:val="20"/>
          <w:szCs w:val="20"/>
          <w:lang w:val="es-VE"/>
        </w:rPr>
        <w:t>entregar</w:t>
      </w:r>
      <w:r w:rsidR="00590B1D" w:rsidRPr="00420489">
        <w:rPr>
          <w:rFonts w:asciiTheme="majorHAnsi" w:hAnsiTheme="majorHAnsi"/>
          <w:sz w:val="20"/>
          <w:szCs w:val="20"/>
          <w:lang w:val="es-VE"/>
        </w:rPr>
        <w:t xml:space="preserve"> al diputado Luis </w:t>
      </w:r>
      <w:proofErr w:type="spellStart"/>
      <w:r w:rsidR="00590B1D" w:rsidRPr="00420489">
        <w:rPr>
          <w:rFonts w:asciiTheme="majorHAnsi" w:hAnsiTheme="majorHAnsi"/>
          <w:sz w:val="20"/>
          <w:szCs w:val="20"/>
          <w:lang w:val="es-VE"/>
        </w:rPr>
        <w:t>Tascón</w:t>
      </w:r>
      <w:proofErr w:type="spellEnd"/>
      <w:r w:rsidR="00590B1D" w:rsidRPr="00420489">
        <w:rPr>
          <w:rFonts w:asciiTheme="majorHAnsi" w:hAnsiTheme="majorHAnsi"/>
          <w:sz w:val="20"/>
          <w:szCs w:val="20"/>
          <w:lang w:val="es-VE"/>
        </w:rPr>
        <w:t xml:space="preserve"> “las copias certificadas de las  planillas utilizadas durante el evento del 4 de abril en el cual un grupo de ciudadanos solicita activar el referéndum revocatorio de mi mandato”</w:t>
      </w:r>
      <w:r w:rsidR="00590B1D" w:rsidRPr="00420489">
        <w:rPr>
          <w:rFonts w:asciiTheme="majorHAnsi" w:hAnsiTheme="majorHAnsi"/>
          <w:sz w:val="20"/>
          <w:szCs w:val="20"/>
          <w:vertAlign w:val="superscript"/>
        </w:rPr>
        <w:footnoteReference w:id="32"/>
      </w:r>
      <w:r w:rsidR="00590B1D" w:rsidRPr="00420489">
        <w:rPr>
          <w:rFonts w:asciiTheme="majorHAnsi" w:hAnsiTheme="majorHAnsi"/>
          <w:sz w:val="20"/>
          <w:szCs w:val="20"/>
          <w:lang w:val="es-VE"/>
        </w:rPr>
        <w:t>.</w:t>
      </w:r>
      <w:r w:rsidR="00DC2B87" w:rsidRPr="00420489">
        <w:rPr>
          <w:rFonts w:asciiTheme="majorHAnsi" w:hAnsiTheme="majorHAnsi"/>
          <w:sz w:val="20"/>
          <w:szCs w:val="20"/>
          <w:lang w:val="es-VE"/>
        </w:rPr>
        <w:t xml:space="preserve"> </w:t>
      </w:r>
      <w:r w:rsidR="0025362D" w:rsidRPr="00420489">
        <w:rPr>
          <w:rFonts w:asciiTheme="majorHAnsi" w:hAnsiTheme="majorHAnsi"/>
          <w:sz w:val="20"/>
          <w:szCs w:val="20"/>
          <w:lang w:val="es-VE"/>
        </w:rPr>
        <w:t xml:space="preserve"> </w:t>
      </w:r>
      <w:r w:rsidR="005F2751" w:rsidRPr="00420489">
        <w:rPr>
          <w:rFonts w:asciiTheme="majorHAnsi" w:hAnsiTheme="majorHAnsi"/>
          <w:sz w:val="20"/>
          <w:szCs w:val="20"/>
          <w:lang w:val="es-VE"/>
        </w:rPr>
        <w:t xml:space="preserve"> Con anterioridad a recibir las copias de las planillas, </w:t>
      </w:r>
      <w:r w:rsidR="0025362D" w:rsidRPr="00420489">
        <w:rPr>
          <w:rFonts w:asciiTheme="majorHAnsi" w:hAnsiTheme="majorHAnsi"/>
          <w:sz w:val="20"/>
          <w:szCs w:val="20"/>
          <w:lang w:val="es-VE"/>
        </w:rPr>
        <w:t xml:space="preserve"> </w:t>
      </w:r>
      <w:r w:rsidR="005F2751" w:rsidRPr="00420489">
        <w:rPr>
          <w:rFonts w:asciiTheme="majorHAnsi" w:hAnsiTheme="majorHAnsi"/>
          <w:sz w:val="20"/>
          <w:szCs w:val="20"/>
          <w:lang w:val="es-VE"/>
        </w:rPr>
        <w:t xml:space="preserve">el diputado Luis </w:t>
      </w:r>
      <w:proofErr w:type="spellStart"/>
      <w:r w:rsidR="005F2751" w:rsidRPr="00420489">
        <w:rPr>
          <w:rFonts w:asciiTheme="majorHAnsi" w:hAnsiTheme="majorHAnsi"/>
          <w:sz w:val="20"/>
          <w:szCs w:val="20"/>
          <w:lang w:val="es-VE"/>
        </w:rPr>
        <w:t>Tascón</w:t>
      </w:r>
      <w:proofErr w:type="spellEnd"/>
      <w:r w:rsidR="005F2751" w:rsidRPr="00420489">
        <w:rPr>
          <w:rFonts w:asciiTheme="majorHAnsi" w:hAnsiTheme="majorHAnsi"/>
          <w:sz w:val="20"/>
          <w:szCs w:val="20"/>
          <w:lang w:val="es-VE"/>
        </w:rPr>
        <w:t xml:space="preserve"> declaró que “ahora con las planillas vamos a tener la oport</w:t>
      </w:r>
      <w:r w:rsidR="00A23138" w:rsidRPr="00420489">
        <w:rPr>
          <w:rFonts w:asciiTheme="majorHAnsi" w:hAnsiTheme="majorHAnsi"/>
          <w:sz w:val="20"/>
          <w:szCs w:val="20"/>
          <w:lang w:val="es-VE"/>
        </w:rPr>
        <w:t>unidad de darle rostro al fraude (…)”</w:t>
      </w:r>
      <w:r w:rsidR="005F2751" w:rsidRPr="00420489">
        <w:rPr>
          <w:rFonts w:asciiTheme="majorHAnsi" w:hAnsiTheme="majorHAnsi"/>
          <w:sz w:val="20"/>
          <w:szCs w:val="20"/>
          <w:vertAlign w:val="superscript"/>
        </w:rPr>
        <w:footnoteReference w:id="33"/>
      </w:r>
      <w:r w:rsidR="005F2751" w:rsidRPr="00420489">
        <w:rPr>
          <w:rFonts w:asciiTheme="majorHAnsi" w:hAnsiTheme="majorHAnsi"/>
          <w:sz w:val="20"/>
          <w:szCs w:val="20"/>
          <w:lang w:val="es-VE"/>
        </w:rPr>
        <w:t xml:space="preserve">. </w:t>
      </w:r>
    </w:p>
    <w:p w14:paraId="18540728" w14:textId="77777777" w:rsidR="005F2751" w:rsidRPr="00420489" w:rsidRDefault="005F2751" w:rsidP="00D17BB1">
      <w:pPr>
        <w:pBdr>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olor w:val="080808"/>
          <w:sz w:val="20"/>
          <w:szCs w:val="20"/>
          <w:shd w:val="clear" w:color="auto" w:fill="FFFFFF"/>
          <w:lang w:val="es-VE"/>
        </w:rPr>
      </w:pPr>
    </w:p>
    <w:p w14:paraId="5EF71333" w14:textId="77777777" w:rsidR="006E54B0" w:rsidRDefault="00B737FD"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color w:val="080808"/>
          <w:sz w:val="20"/>
          <w:szCs w:val="20"/>
          <w:shd w:val="clear" w:color="auto" w:fill="FFFFFF"/>
          <w:lang w:val="es-VE"/>
        </w:rPr>
      </w:pPr>
      <w:r w:rsidRPr="00420489">
        <w:rPr>
          <w:rFonts w:asciiTheme="majorHAnsi" w:hAnsiTheme="majorHAnsi"/>
          <w:color w:val="080808"/>
          <w:sz w:val="20"/>
          <w:szCs w:val="20"/>
          <w:shd w:val="clear" w:color="auto" w:fill="FFFFFF"/>
          <w:lang w:val="es-VE"/>
        </w:rPr>
        <w:t xml:space="preserve">Con posterioridad a que </w:t>
      </w:r>
      <w:r w:rsidR="005F2751" w:rsidRPr="00420489">
        <w:rPr>
          <w:rFonts w:asciiTheme="majorHAnsi" w:hAnsiTheme="majorHAnsi"/>
          <w:color w:val="080808"/>
          <w:sz w:val="20"/>
          <w:szCs w:val="20"/>
          <w:shd w:val="clear" w:color="auto" w:fill="FFFFFF"/>
          <w:lang w:val="es-VE"/>
        </w:rPr>
        <w:t xml:space="preserve">el CNE entregó las copias de las planillas al diputado </w:t>
      </w:r>
      <w:proofErr w:type="spellStart"/>
      <w:r w:rsidR="005F2751" w:rsidRPr="00420489">
        <w:rPr>
          <w:rFonts w:asciiTheme="majorHAnsi" w:hAnsiTheme="majorHAnsi"/>
          <w:color w:val="080808"/>
          <w:sz w:val="20"/>
          <w:szCs w:val="20"/>
          <w:shd w:val="clear" w:color="auto" w:fill="FFFFFF"/>
          <w:lang w:val="es-VE"/>
        </w:rPr>
        <w:t>Tasc</w:t>
      </w:r>
      <w:r w:rsidR="00081241" w:rsidRPr="00420489">
        <w:rPr>
          <w:rFonts w:asciiTheme="majorHAnsi" w:hAnsiTheme="majorHAnsi"/>
          <w:color w:val="080808"/>
          <w:sz w:val="20"/>
          <w:szCs w:val="20"/>
          <w:shd w:val="clear" w:color="auto" w:fill="FFFFFF"/>
          <w:lang w:val="es-VE"/>
        </w:rPr>
        <w:t>ón</w:t>
      </w:r>
      <w:proofErr w:type="spellEnd"/>
      <w:r w:rsidR="00081241" w:rsidRPr="00420489">
        <w:rPr>
          <w:rFonts w:asciiTheme="majorHAnsi" w:hAnsiTheme="majorHAnsi"/>
          <w:color w:val="080808"/>
          <w:sz w:val="20"/>
          <w:szCs w:val="20"/>
          <w:shd w:val="clear" w:color="auto" w:fill="FFFFFF"/>
          <w:lang w:val="es-VE"/>
        </w:rPr>
        <w:t>, este p</w:t>
      </w:r>
      <w:r w:rsidR="00F61FE4" w:rsidRPr="00420489">
        <w:rPr>
          <w:rFonts w:asciiTheme="majorHAnsi" w:hAnsiTheme="majorHAnsi"/>
          <w:color w:val="080808"/>
          <w:sz w:val="20"/>
          <w:szCs w:val="20"/>
          <w:shd w:val="clear" w:color="auto" w:fill="FFFFFF"/>
          <w:lang w:val="es-VE"/>
        </w:rPr>
        <w:t>ublicó</w:t>
      </w:r>
      <w:r w:rsidR="00081241" w:rsidRPr="00420489">
        <w:rPr>
          <w:rFonts w:asciiTheme="majorHAnsi" w:hAnsiTheme="majorHAnsi"/>
          <w:color w:val="080808"/>
          <w:sz w:val="20"/>
          <w:szCs w:val="20"/>
          <w:shd w:val="clear" w:color="auto" w:fill="FFFFFF"/>
          <w:lang w:val="es-VE"/>
        </w:rPr>
        <w:t xml:space="preserve"> dichas listas en la página web </w:t>
      </w:r>
      <w:r w:rsidRPr="00420489">
        <w:rPr>
          <w:rFonts w:asciiTheme="majorHAnsi" w:hAnsiTheme="majorHAnsi"/>
          <w:color w:val="080808"/>
          <w:sz w:val="20"/>
          <w:szCs w:val="20"/>
          <w:shd w:val="clear" w:color="auto" w:fill="FFFFFF"/>
          <w:lang w:val="es-VE"/>
        </w:rPr>
        <w:t>www.</w:t>
      </w:r>
      <w:r w:rsidR="00081241" w:rsidRPr="00420489">
        <w:rPr>
          <w:rFonts w:asciiTheme="majorHAnsi" w:hAnsiTheme="majorHAnsi"/>
          <w:color w:val="080808"/>
          <w:sz w:val="20"/>
          <w:szCs w:val="20"/>
          <w:shd w:val="clear" w:color="auto" w:fill="FFFFFF"/>
          <w:lang w:val="es-VE"/>
        </w:rPr>
        <w:t xml:space="preserve">luistascon.com, acusando a los firmantes de participar en </w:t>
      </w:r>
      <w:r w:rsidR="00C02EA6" w:rsidRPr="00420489">
        <w:rPr>
          <w:rFonts w:asciiTheme="majorHAnsi" w:hAnsiTheme="majorHAnsi"/>
          <w:color w:val="080808"/>
          <w:sz w:val="20"/>
          <w:szCs w:val="20"/>
          <w:shd w:val="clear" w:color="auto" w:fill="FFFFFF"/>
          <w:lang w:val="es-VE"/>
        </w:rPr>
        <w:t>“</w:t>
      </w:r>
      <w:r w:rsidR="00081241" w:rsidRPr="00420489">
        <w:rPr>
          <w:rFonts w:asciiTheme="majorHAnsi" w:hAnsiTheme="majorHAnsi"/>
          <w:color w:val="080808"/>
          <w:sz w:val="20"/>
          <w:szCs w:val="20"/>
          <w:shd w:val="clear" w:color="auto" w:fill="FFFFFF"/>
          <w:lang w:val="es-VE"/>
        </w:rPr>
        <w:t xml:space="preserve">un </w:t>
      </w:r>
      <w:proofErr w:type="spellStart"/>
      <w:r w:rsidR="00081241" w:rsidRPr="00420489">
        <w:rPr>
          <w:rFonts w:asciiTheme="majorHAnsi" w:hAnsiTheme="majorHAnsi"/>
          <w:color w:val="080808"/>
          <w:sz w:val="20"/>
          <w:szCs w:val="20"/>
          <w:shd w:val="clear" w:color="auto" w:fill="FFFFFF"/>
          <w:lang w:val="es-VE"/>
        </w:rPr>
        <w:t>megafraude</w:t>
      </w:r>
      <w:proofErr w:type="spellEnd"/>
      <w:r w:rsidR="00C02EA6" w:rsidRPr="00420489">
        <w:rPr>
          <w:rFonts w:asciiTheme="majorHAnsi" w:hAnsiTheme="majorHAnsi"/>
          <w:color w:val="080808"/>
          <w:sz w:val="20"/>
          <w:szCs w:val="20"/>
          <w:shd w:val="clear" w:color="auto" w:fill="FFFFFF"/>
          <w:lang w:val="es-VE"/>
        </w:rPr>
        <w:t>”</w:t>
      </w:r>
      <w:r w:rsidR="00081241" w:rsidRPr="00420489">
        <w:rPr>
          <w:rFonts w:asciiTheme="majorHAnsi" w:hAnsiTheme="majorHAnsi"/>
          <w:color w:val="080808"/>
          <w:sz w:val="20"/>
          <w:szCs w:val="20"/>
          <w:shd w:val="clear" w:color="auto" w:fill="FFFFFF"/>
          <w:lang w:val="es-VE"/>
        </w:rPr>
        <w:t xml:space="preserve">.  En la página se </w:t>
      </w:r>
      <w:r w:rsidR="00C85E9A" w:rsidRPr="00420489">
        <w:rPr>
          <w:rFonts w:asciiTheme="majorHAnsi" w:hAnsiTheme="majorHAnsi"/>
          <w:color w:val="080808"/>
          <w:sz w:val="20"/>
          <w:szCs w:val="20"/>
          <w:shd w:val="clear" w:color="auto" w:fill="FFFFFF"/>
          <w:lang w:val="es-VE"/>
        </w:rPr>
        <w:t xml:space="preserve">podía acceder a la lista de firmantes de la solicitud de referendo revocatorio presidencial, ingresando el número de cédula luego de un texto que rezaba </w:t>
      </w:r>
      <w:r w:rsidR="00081241" w:rsidRPr="00420489">
        <w:rPr>
          <w:rFonts w:asciiTheme="majorHAnsi" w:hAnsiTheme="majorHAnsi"/>
          <w:color w:val="080808"/>
          <w:sz w:val="20"/>
          <w:szCs w:val="20"/>
          <w:shd w:val="clear" w:color="auto" w:fill="FFFFFF"/>
          <w:lang w:val="es-VE"/>
        </w:rPr>
        <w:t xml:space="preserve">“Ingrese aquí su Cédula (solo números) para ver si aparece en el ¡…MEGA FRAUDE…!”. Al referirse a la página web,  el parlamentario </w:t>
      </w:r>
      <w:proofErr w:type="spellStart"/>
      <w:r w:rsidR="00AA42C4" w:rsidRPr="00420489">
        <w:rPr>
          <w:rFonts w:asciiTheme="majorHAnsi" w:hAnsiTheme="majorHAnsi"/>
          <w:color w:val="080808"/>
          <w:sz w:val="20"/>
          <w:szCs w:val="20"/>
          <w:shd w:val="clear" w:color="auto" w:fill="FFFFFF"/>
          <w:lang w:val="es-VE"/>
        </w:rPr>
        <w:t>Tascón</w:t>
      </w:r>
      <w:proofErr w:type="spellEnd"/>
      <w:r w:rsidR="00AA42C4" w:rsidRPr="00420489">
        <w:rPr>
          <w:rFonts w:asciiTheme="majorHAnsi" w:hAnsiTheme="majorHAnsi"/>
          <w:color w:val="080808"/>
          <w:sz w:val="20"/>
          <w:szCs w:val="20"/>
          <w:shd w:val="clear" w:color="auto" w:fill="FFFFFF"/>
          <w:lang w:val="es-VE"/>
        </w:rPr>
        <w:t xml:space="preserve"> </w:t>
      </w:r>
      <w:r w:rsidR="00081241" w:rsidRPr="00420489">
        <w:rPr>
          <w:rFonts w:asciiTheme="majorHAnsi" w:hAnsiTheme="majorHAnsi"/>
          <w:color w:val="080808"/>
          <w:sz w:val="20"/>
          <w:szCs w:val="20"/>
          <w:shd w:val="clear" w:color="auto" w:fill="FFFFFF"/>
          <w:lang w:val="es-VE"/>
        </w:rPr>
        <w:t xml:space="preserve">indicó que </w:t>
      </w:r>
      <w:r w:rsidR="00F61FE4" w:rsidRPr="00420489">
        <w:rPr>
          <w:rFonts w:asciiTheme="majorHAnsi" w:hAnsiTheme="majorHAnsi"/>
          <w:color w:val="080808"/>
          <w:sz w:val="20"/>
          <w:szCs w:val="20"/>
          <w:shd w:val="clear" w:color="auto" w:fill="FFFFFF"/>
          <w:lang w:val="es-VE"/>
        </w:rPr>
        <w:t>“este</w:t>
      </w:r>
      <w:r w:rsidR="00081241" w:rsidRPr="00420489">
        <w:rPr>
          <w:rFonts w:asciiTheme="majorHAnsi" w:hAnsiTheme="majorHAnsi"/>
          <w:color w:val="080808"/>
          <w:sz w:val="20"/>
          <w:szCs w:val="20"/>
          <w:shd w:val="clear" w:color="auto" w:fill="FFFFFF"/>
          <w:lang w:val="es-VE"/>
        </w:rPr>
        <w:t xml:space="preserve"> es un servicio también para la gente de oposición que firmó, si ellos firmaron, ¡felicitaciones! ¿ok? Pero lamentablemente ustedes participaron, y por eso lo dice la página. Usted participó en el fraude</w:t>
      </w:r>
      <w:r w:rsidR="00976577" w:rsidRPr="00420489">
        <w:rPr>
          <w:rFonts w:asciiTheme="majorHAnsi" w:hAnsiTheme="majorHAnsi"/>
          <w:color w:val="080808"/>
          <w:sz w:val="20"/>
          <w:szCs w:val="20"/>
          <w:shd w:val="clear" w:color="auto" w:fill="FFFFFF"/>
          <w:lang w:val="es-VE"/>
        </w:rPr>
        <w:t>”</w:t>
      </w:r>
      <w:r w:rsidR="00F61FE4" w:rsidRPr="00420489">
        <w:rPr>
          <w:rStyle w:val="FootnoteTextChar"/>
          <w:rFonts w:asciiTheme="majorHAnsi" w:hAnsiTheme="majorHAnsi"/>
          <w:sz w:val="20"/>
          <w:szCs w:val="20"/>
          <w:vertAlign w:val="superscript"/>
        </w:rPr>
        <w:footnoteReference w:id="34"/>
      </w:r>
      <w:r w:rsidR="00081241" w:rsidRPr="00420489">
        <w:rPr>
          <w:rFonts w:asciiTheme="majorHAnsi" w:hAnsiTheme="majorHAnsi"/>
          <w:color w:val="080808"/>
          <w:sz w:val="20"/>
          <w:szCs w:val="20"/>
          <w:shd w:val="clear" w:color="auto" w:fill="FFFFFF"/>
          <w:lang w:val="es-VE"/>
        </w:rPr>
        <w:t xml:space="preserve">. </w:t>
      </w:r>
    </w:p>
    <w:p w14:paraId="242E42D6" w14:textId="77777777" w:rsidR="006E54B0" w:rsidRDefault="006E54B0" w:rsidP="00D17BB1">
      <w:pPr>
        <w:pStyle w:val="ListParagraph"/>
        <w:tabs>
          <w:tab w:val="num" w:pos="1440"/>
        </w:tabs>
        <w:rPr>
          <w:rFonts w:asciiTheme="majorHAnsi" w:hAnsiTheme="majorHAnsi"/>
          <w:color w:val="080808"/>
          <w:sz w:val="20"/>
          <w:szCs w:val="20"/>
          <w:shd w:val="clear" w:color="auto" w:fill="FFFFFF"/>
          <w:lang w:val="es-VE"/>
        </w:rPr>
      </w:pPr>
    </w:p>
    <w:p w14:paraId="1AB6806D" w14:textId="77777777" w:rsidR="00405A32" w:rsidRDefault="00F61FE4"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color w:val="080808"/>
          <w:sz w:val="20"/>
          <w:szCs w:val="20"/>
          <w:shd w:val="clear" w:color="auto" w:fill="FFFFFF"/>
          <w:lang w:val="es-VE"/>
        </w:rPr>
      </w:pPr>
      <w:r w:rsidRPr="006E54B0">
        <w:rPr>
          <w:rFonts w:asciiTheme="majorHAnsi" w:hAnsiTheme="majorHAnsi"/>
          <w:color w:val="080808"/>
          <w:sz w:val="20"/>
          <w:szCs w:val="20"/>
          <w:shd w:val="clear" w:color="auto" w:fill="FFFFFF"/>
          <w:lang w:val="es-VE"/>
        </w:rPr>
        <w:t xml:space="preserve">También refiriéndose a la página web, en un programa </w:t>
      </w:r>
      <w:r w:rsidR="00976577" w:rsidRPr="006E54B0">
        <w:rPr>
          <w:rFonts w:asciiTheme="majorHAnsi" w:hAnsiTheme="majorHAnsi"/>
          <w:color w:val="080808"/>
          <w:sz w:val="20"/>
          <w:szCs w:val="20"/>
          <w:shd w:val="clear" w:color="auto" w:fill="FFFFFF"/>
          <w:lang w:val="es-VE"/>
        </w:rPr>
        <w:t>televisado</w:t>
      </w:r>
      <w:r w:rsidRPr="006E54B0">
        <w:rPr>
          <w:rFonts w:asciiTheme="majorHAnsi" w:hAnsiTheme="majorHAnsi"/>
          <w:color w:val="080808"/>
          <w:sz w:val="20"/>
          <w:szCs w:val="20"/>
          <w:shd w:val="clear" w:color="auto" w:fill="FFFFFF"/>
          <w:lang w:val="es-VE"/>
        </w:rPr>
        <w:t xml:space="preserve">, el Presidente Hugo Chávez Frías declaró que “me informan que el diputado Luis </w:t>
      </w:r>
      <w:proofErr w:type="spellStart"/>
      <w:r w:rsidRPr="006E54B0">
        <w:rPr>
          <w:rFonts w:asciiTheme="majorHAnsi" w:hAnsiTheme="majorHAnsi"/>
          <w:color w:val="080808"/>
          <w:sz w:val="20"/>
          <w:szCs w:val="20"/>
          <w:shd w:val="clear" w:color="auto" w:fill="FFFFFF"/>
          <w:lang w:val="es-VE"/>
        </w:rPr>
        <w:t>Tascón</w:t>
      </w:r>
      <w:proofErr w:type="spellEnd"/>
      <w:r w:rsidRPr="006E54B0">
        <w:rPr>
          <w:rFonts w:asciiTheme="majorHAnsi" w:hAnsiTheme="majorHAnsi"/>
          <w:color w:val="080808"/>
          <w:sz w:val="20"/>
          <w:szCs w:val="20"/>
          <w:shd w:val="clear" w:color="auto" w:fill="FFFFFF"/>
          <w:lang w:val="es-VE"/>
        </w:rPr>
        <w:t xml:space="preserve"> tiene una página web. En su página web, </w:t>
      </w:r>
      <w:proofErr w:type="gramStart"/>
      <w:r w:rsidRPr="006E54B0">
        <w:rPr>
          <w:rFonts w:asciiTheme="majorHAnsi" w:hAnsiTheme="majorHAnsi"/>
          <w:color w:val="080808"/>
          <w:sz w:val="20"/>
          <w:szCs w:val="20"/>
          <w:shd w:val="clear" w:color="auto" w:fill="FFFFFF"/>
          <w:lang w:val="es-VE"/>
        </w:rPr>
        <w:t>bueno</w:t>
      </w:r>
      <w:proofErr w:type="gramEnd"/>
      <w:r w:rsidRPr="006E54B0">
        <w:rPr>
          <w:rFonts w:asciiTheme="majorHAnsi" w:hAnsiTheme="majorHAnsi"/>
          <w:color w:val="080808"/>
          <w:sz w:val="20"/>
          <w:szCs w:val="20"/>
          <w:shd w:val="clear" w:color="auto" w:fill="FFFFFF"/>
          <w:lang w:val="es-VE"/>
        </w:rPr>
        <w:t xml:space="preserve">, la lista, de todas estas cosas, sobre todo los números de cédula, de quienes supuestamente firmaron, ¡Yo llamo al pueblo venezolano a revisar, y que salgan los rostros! Allí está </w:t>
      </w:r>
      <w:hyperlink r:id="rId15" w:history="1">
        <w:r w:rsidRPr="006E54B0">
          <w:rPr>
            <w:rStyle w:val="Hyperlink"/>
            <w:rFonts w:asciiTheme="majorHAnsi" w:hAnsiTheme="majorHAnsi"/>
            <w:sz w:val="20"/>
            <w:szCs w:val="20"/>
            <w:shd w:val="clear" w:color="auto" w:fill="FFFFFF"/>
            <w:lang w:val="es-VE"/>
          </w:rPr>
          <w:t>www.luistascon.com</w:t>
        </w:r>
      </w:hyperlink>
      <w:r w:rsidRPr="006E54B0">
        <w:rPr>
          <w:rFonts w:asciiTheme="majorHAnsi" w:hAnsiTheme="majorHAnsi"/>
          <w:color w:val="080808"/>
          <w:sz w:val="20"/>
          <w:szCs w:val="20"/>
          <w:shd w:val="clear" w:color="auto" w:fill="FFFFFF"/>
          <w:lang w:val="es-VE"/>
        </w:rPr>
        <w:t>. Métanse allí”</w:t>
      </w:r>
      <w:r w:rsidRPr="00420489">
        <w:rPr>
          <w:rStyle w:val="FootnoteTextChar"/>
          <w:rFonts w:asciiTheme="majorHAnsi" w:hAnsiTheme="majorHAnsi"/>
          <w:sz w:val="20"/>
          <w:szCs w:val="20"/>
          <w:vertAlign w:val="superscript"/>
        </w:rPr>
        <w:footnoteReference w:id="35"/>
      </w:r>
      <w:r w:rsidRPr="006E54B0">
        <w:rPr>
          <w:rFonts w:asciiTheme="majorHAnsi" w:hAnsiTheme="majorHAnsi"/>
          <w:color w:val="080808"/>
          <w:sz w:val="20"/>
          <w:szCs w:val="20"/>
          <w:shd w:val="clear" w:color="auto" w:fill="FFFFFF"/>
          <w:lang w:val="es-VE"/>
        </w:rPr>
        <w:t xml:space="preserve">. </w:t>
      </w:r>
    </w:p>
    <w:p w14:paraId="7957D419" w14:textId="77777777" w:rsidR="00405A32" w:rsidRDefault="00405A32" w:rsidP="00405A32">
      <w:pPr>
        <w:pStyle w:val="ListParagraph"/>
        <w:rPr>
          <w:rFonts w:asciiTheme="majorHAnsi" w:hAnsiTheme="majorHAnsi"/>
          <w:b/>
          <w:sz w:val="20"/>
          <w:szCs w:val="20"/>
          <w:lang w:val="es-VE"/>
        </w:rPr>
      </w:pPr>
    </w:p>
    <w:p w14:paraId="04C96D6C" w14:textId="66698673" w:rsidR="00C85E9A" w:rsidRPr="00405A32" w:rsidRDefault="00345593" w:rsidP="000A3D54">
      <w:pPr>
        <w:pStyle w:val="ListParagraph"/>
        <w:numPr>
          <w:ilvl w:val="1"/>
          <w:numId w:val="55"/>
        </w:numPr>
        <w:tabs>
          <w:tab w:val="clear" w:pos="1800"/>
          <w:tab w:val="left" w:pos="1440"/>
        </w:tabs>
        <w:ind w:left="1440" w:hanging="720"/>
        <w:jc w:val="both"/>
        <w:rPr>
          <w:rFonts w:asciiTheme="majorHAnsi" w:hAnsiTheme="majorHAnsi"/>
          <w:b/>
          <w:sz w:val="20"/>
          <w:szCs w:val="20"/>
          <w:lang w:val="es-ES"/>
        </w:rPr>
      </w:pPr>
      <w:r w:rsidRPr="00405A32">
        <w:rPr>
          <w:rFonts w:asciiTheme="majorHAnsi" w:hAnsiTheme="majorHAnsi"/>
          <w:b/>
          <w:sz w:val="20"/>
          <w:szCs w:val="20"/>
          <w:lang w:val="es-ES"/>
        </w:rPr>
        <w:t>Denuncias</w:t>
      </w:r>
      <w:r w:rsidR="00C85E9A" w:rsidRPr="006E54B0">
        <w:rPr>
          <w:rFonts w:asciiTheme="majorHAnsi" w:hAnsiTheme="majorHAnsi"/>
          <w:b/>
          <w:sz w:val="20"/>
          <w:szCs w:val="20"/>
          <w:lang w:val="es-ES"/>
        </w:rPr>
        <w:t xml:space="preserve"> de  despido</w:t>
      </w:r>
      <w:r w:rsidR="00172BA6" w:rsidRPr="006E54B0">
        <w:rPr>
          <w:rFonts w:asciiTheme="majorHAnsi" w:hAnsiTheme="majorHAnsi"/>
          <w:b/>
          <w:sz w:val="20"/>
          <w:szCs w:val="20"/>
          <w:lang w:val="es-ES"/>
        </w:rPr>
        <w:t xml:space="preserve"> y amenazas de despido</w:t>
      </w:r>
      <w:r w:rsidR="00C85E9A" w:rsidRPr="006E54B0">
        <w:rPr>
          <w:rFonts w:asciiTheme="majorHAnsi" w:hAnsiTheme="majorHAnsi"/>
          <w:b/>
          <w:sz w:val="20"/>
          <w:szCs w:val="20"/>
          <w:lang w:val="es-ES"/>
        </w:rPr>
        <w:t xml:space="preserve"> </w:t>
      </w:r>
      <w:r w:rsidR="00AA42C4" w:rsidRPr="006E54B0">
        <w:rPr>
          <w:rFonts w:asciiTheme="majorHAnsi" w:hAnsiTheme="majorHAnsi"/>
          <w:b/>
          <w:sz w:val="20"/>
          <w:szCs w:val="20"/>
          <w:lang w:val="es-ES"/>
        </w:rPr>
        <w:t>a</w:t>
      </w:r>
      <w:r w:rsidRPr="006E54B0">
        <w:rPr>
          <w:rFonts w:asciiTheme="majorHAnsi" w:hAnsiTheme="majorHAnsi"/>
          <w:b/>
          <w:sz w:val="20"/>
          <w:szCs w:val="20"/>
          <w:lang w:val="es-ES"/>
        </w:rPr>
        <w:t xml:space="preserve"> funcionarios </w:t>
      </w:r>
      <w:r w:rsidR="00AA42C4" w:rsidRPr="006E54B0">
        <w:rPr>
          <w:rFonts w:asciiTheme="majorHAnsi" w:hAnsiTheme="majorHAnsi"/>
          <w:b/>
          <w:sz w:val="20"/>
          <w:szCs w:val="20"/>
          <w:lang w:val="es-ES"/>
        </w:rPr>
        <w:t>que firmaron las</w:t>
      </w:r>
      <w:r w:rsidR="004F46D8" w:rsidRPr="006E54B0">
        <w:rPr>
          <w:rFonts w:asciiTheme="majorHAnsi" w:hAnsiTheme="majorHAnsi"/>
          <w:b/>
          <w:sz w:val="20"/>
          <w:szCs w:val="20"/>
          <w:lang w:val="es-ES"/>
        </w:rPr>
        <w:t xml:space="preserve"> solicitudes de referendo presidencial  </w:t>
      </w:r>
    </w:p>
    <w:p w14:paraId="3E7772F2" w14:textId="77777777" w:rsidR="00C85E9A" w:rsidRPr="00420489" w:rsidRDefault="00C85E9A" w:rsidP="00C85E9A">
      <w:pPr>
        <w:rPr>
          <w:rFonts w:asciiTheme="majorHAnsi" w:hAnsiTheme="majorHAnsi"/>
          <w:sz w:val="20"/>
          <w:szCs w:val="20"/>
          <w:lang w:val="es-ES"/>
        </w:rPr>
      </w:pPr>
    </w:p>
    <w:p w14:paraId="078175ED" w14:textId="6DA960CA" w:rsidR="00976577" w:rsidRPr="00807593" w:rsidRDefault="00C85E9A"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color w:val="080808"/>
          <w:sz w:val="20"/>
          <w:szCs w:val="20"/>
          <w:shd w:val="clear" w:color="auto" w:fill="FFFFFF"/>
          <w:lang w:val="es-VE"/>
        </w:rPr>
      </w:pPr>
      <w:r w:rsidRPr="00420489">
        <w:rPr>
          <w:rFonts w:asciiTheme="majorHAnsi" w:hAnsiTheme="majorHAnsi"/>
          <w:color w:val="080808"/>
          <w:sz w:val="20"/>
          <w:szCs w:val="20"/>
          <w:shd w:val="clear" w:color="auto" w:fill="FFFFFF"/>
          <w:lang w:val="es-VE"/>
        </w:rPr>
        <w:t>Según información de público conocimiento</w:t>
      </w:r>
      <w:r w:rsidR="004F46D8" w:rsidRPr="00420489">
        <w:rPr>
          <w:rFonts w:asciiTheme="majorHAnsi" w:hAnsiTheme="majorHAnsi"/>
          <w:color w:val="080808"/>
          <w:sz w:val="20"/>
          <w:szCs w:val="20"/>
          <w:shd w:val="clear" w:color="auto" w:fill="FFFFFF"/>
          <w:lang w:val="es-VE"/>
        </w:rPr>
        <w:t>,</w:t>
      </w:r>
      <w:r w:rsidRPr="00420489">
        <w:rPr>
          <w:rFonts w:asciiTheme="majorHAnsi" w:hAnsiTheme="majorHAnsi"/>
          <w:color w:val="080808"/>
          <w:sz w:val="20"/>
          <w:szCs w:val="20"/>
          <w:shd w:val="clear" w:color="auto" w:fill="FFFFFF"/>
          <w:lang w:val="es-VE"/>
        </w:rPr>
        <w:t xml:space="preserve"> </w:t>
      </w:r>
      <w:r w:rsidR="00E93ACE" w:rsidRPr="00420489">
        <w:rPr>
          <w:rFonts w:asciiTheme="majorHAnsi" w:hAnsiTheme="majorHAnsi"/>
          <w:color w:val="080808"/>
          <w:sz w:val="20"/>
          <w:szCs w:val="20"/>
          <w:shd w:val="clear" w:color="auto" w:fill="FFFFFF"/>
          <w:lang w:val="es-VE"/>
        </w:rPr>
        <w:t>con posterioridad</w:t>
      </w:r>
      <w:r w:rsidR="00976577" w:rsidRPr="00420489">
        <w:rPr>
          <w:rFonts w:asciiTheme="majorHAnsi" w:hAnsiTheme="majorHAnsi"/>
          <w:color w:val="080808"/>
          <w:sz w:val="20"/>
          <w:szCs w:val="20"/>
          <w:shd w:val="clear" w:color="auto" w:fill="FFFFFF"/>
          <w:lang w:val="es-VE"/>
        </w:rPr>
        <w:t xml:space="preserve"> a la publicación de la </w:t>
      </w:r>
      <w:r w:rsidR="000B6F56" w:rsidRPr="00807593">
        <w:rPr>
          <w:rFonts w:asciiTheme="majorHAnsi" w:hAnsiTheme="majorHAnsi"/>
          <w:color w:val="080808"/>
          <w:sz w:val="20"/>
          <w:szCs w:val="20"/>
          <w:shd w:val="clear" w:color="auto" w:fill="FFFFFF"/>
          <w:lang w:val="es-VE"/>
        </w:rPr>
        <w:t>L</w:t>
      </w:r>
      <w:r w:rsidR="00976577" w:rsidRPr="00807593">
        <w:rPr>
          <w:rFonts w:asciiTheme="majorHAnsi" w:hAnsiTheme="majorHAnsi"/>
          <w:color w:val="080808"/>
          <w:sz w:val="20"/>
          <w:szCs w:val="20"/>
          <w:shd w:val="clear" w:color="auto" w:fill="FFFFFF"/>
          <w:lang w:val="es-VE"/>
        </w:rPr>
        <w:t xml:space="preserve">ista </w:t>
      </w:r>
      <w:proofErr w:type="spellStart"/>
      <w:r w:rsidR="00AA42C4" w:rsidRPr="00807593">
        <w:rPr>
          <w:rFonts w:asciiTheme="majorHAnsi" w:hAnsiTheme="majorHAnsi"/>
          <w:color w:val="080808"/>
          <w:sz w:val="20"/>
          <w:szCs w:val="20"/>
          <w:shd w:val="clear" w:color="auto" w:fill="FFFFFF"/>
          <w:lang w:val="es-VE"/>
        </w:rPr>
        <w:t>Tascón</w:t>
      </w:r>
      <w:proofErr w:type="spellEnd"/>
      <w:r w:rsidR="00AA42C4" w:rsidRPr="00807593">
        <w:rPr>
          <w:rFonts w:asciiTheme="majorHAnsi" w:hAnsiTheme="majorHAnsi"/>
          <w:color w:val="080808"/>
          <w:sz w:val="20"/>
          <w:szCs w:val="20"/>
          <w:shd w:val="clear" w:color="auto" w:fill="FFFFFF"/>
          <w:lang w:val="es-VE"/>
        </w:rPr>
        <w:t xml:space="preserve"> </w:t>
      </w:r>
      <w:r w:rsidR="004F5715" w:rsidRPr="00807593">
        <w:rPr>
          <w:rFonts w:asciiTheme="majorHAnsi" w:hAnsiTheme="majorHAnsi"/>
          <w:color w:val="080808"/>
          <w:sz w:val="20"/>
          <w:szCs w:val="20"/>
          <w:shd w:val="clear" w:color="auto" w:fill="FFFFFF"/>
          <w:lang w:val="es-VE"/>
        </w:rPr>
        <w:t xml:space="preserve"> los medios de comunicación se refirieron a denuncias </w:t>
      </w:r>
      <w:r w:rsidR="00345593" w:rsidRPr="00807593">
        <w:rPr>
          <w:rFonts w:asciiTheme="majorHAnsi" w:hAnsiTheme="majorHAnsi"/>
          <w:color w:val="080808"/>
          <w:sz w:val="20"/>
          <w:szCs w:val="20"/>
          <w:shd w:val="clear" w:color="auto" w:fill="FFFFFF"/>
          <w:lang w:val="es-VE"/>
        </w:rPr>
        <w:t>sobre despidos de trabajadores públicos como represalia a su firma en el referendo revocatorio presidencial</w:t>
      </w:r>
      <w:r w:rsidR="004F46D8" w:rsidRPr="00420489">
        <w:rPr>
          <w:rStyle w:val="FootnoteTextChar"/>
          <w:rFonts w:asciiTheme="majorHAnsi" w:hAnsiTheme="majorHAnsi"/>
          <w:sz w:val="20"/>
          <w:szCs w:val="20"/>
          <w:vertAlign w:val="superscript"/>
        </w:rPr>
        <w:footnoteReference w:id="36"/>
      </w:r>
      <w:r w:rsidR="00345593" w:rsidRPr="00807593">
        <w:rPr>
          <w:rFonts w:asciiTheme="majorHAnsi" w:hAnsiTheme="majorHAnsi"/>
          <w:color w:val="080808"/>
          <w:sz w:val="20"/>
          <w:szCs w:val="20"/>
          <w:shd w:val="clear" w:color="auto" w:fill="FFFFFF"/>
          <w:lang w:val="es-VE"/>
        </w:rPr>
        <w:t>. Algun</w:t>
      </w:r>
      <w:r w:rsidR="00E00BED" w:rsidRPr="00807593">
        <w:rPr>
          <w:rFonts w:asciiTheme="majorHAnsi" w:hAnsiTheme="majorHAnsi"/>
          <w:color w:val="080808"/>
          <w:sz w:val="20"/>
          <w:szCs w:val="20"/>
          <w:shd w:val="clear" w:color="auto" w:fill="FFFFFF"/>
          <w:lang w:val="es-VE"/>
        </w:rPr>
        <w:t>o</w:t>
      </w:r>
      <w:r w:rsidR="00345593" w:rsidRPr="00807593">
        <w:rPr>
          <w:rFonts w:asciiTheme="majorHAnsi" w:hAnsiTheme="majorHAnsi"/>
          <w:color w:val="080808"/>
          <w:sz w:val="20"/>
          <w:szCs w:val="20"/>
          <w:shd w:val="clear" w:color="auto" w:fill="FFFFFF"/>
          <w:lang w:val="es-VE"/>
        </w:rPr>
        <w:t xml:space="preserve">s de los despidos fueron precedidos de declaraciones de funcionarios públicos acusando a los firmantes de traición. </w:t>
      </w:r>
    </w:p>
    <w:p w14:paraId="0C95A791" w14:textId="77777777" w:rsidR="00C85E9A" w:rsidRPr="00420489" w:rsidRDefault="00C85E9A" w:rsidP="00D17BB1">
      <w:pPr>
        <w:pBdr>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olor w:val="080808"/>
          <w:sz w:val="20"/>
          <w:szCs w:val="20"/>
          <w:shd w:val="clear" w:color="auto" w:fill="FFFFFF"/>
          <w:lang w:val="es-VE"/>
        </w:rPr>
      </w:pPr>
    </w:p>
    <w:p w14:paraId="644A2E6E" w14:textId="785359CA" w:rsidR="00C85E9A" w:rsidRPr="00420489" w:rsidRDefault="00345593"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cs="Arial"/>
          <w:color w:val="000000"/>
          <w:sz w:val="20"/>
          <w:szCs w:val="20"/>
          <w:shd w:val="clear" w:color="auto" w:fill="FFFFFF"/>
          <w:lang w:val="es-VE"/>
        </w:rPr>
      </w:pPr>
      <w:r w:rsidRPr="00420489">
        <w:rPr>
          <w:rFonts w:asciiTheme="majorHAnsi" w:hAnsiTheme="majorHAnsi"/>
          <w:sz w:val="20"/>
          <w:szCs w:val="20"/>
          <w:lang w:val="es-VE"/>
        </w:rPr>
        <w:t>Al respecto,</w:t>
      </w:r>
      <w:r w:rsidR="00C85E9A" w:rsidRPr="00420489">
        <w:rPr>
          <w:rFonts w:asciiTheme="majorHAnsi" w:hAnsiTheme="majorHAnsi"/>
          <w:sz w:val="20"/>
          <w:szCs w:val="20"/>
          <w:lang w:val="es-VE"/>
        </w:rPr>
        <w:t xml:space="preserve"> el 20 de marzo de 2004, Roger </w:t>
      </w:r>
      <w:proofErr w:type="spellStart"/>
      <w:r w:rsidR="00C85E9A" w:rsidRPr="00420489">
        <w:rPr>
          <w:rFonts w:asciiTheme="majorHAnsi" w:hAnsiTheme="majorHAnsi"/>
          <w:sz w:val="20"/>
          <w:szCs w:val="20"/>
          <w:lang w:val="es-VE"/>
        </w:rPr>
        <w:t>Capella</w:t>
      </w:r>
      <w:proofErr w:type="spellEnd"/>
      <w:r w:rsidR="00C85E9A" w:rsidRPr="00420489">
        <w:rPr>
          <w:rFonts w:asciiTheme="majorHAnsi" w:hAnsiTheme="majorHAnsi"/>
          <w:sz w:val="20"/>
          <w:szCs w:val="20"/>
          <w:lang w:val="es-VE"/>
        </w:rPr>
        <w:t xml:space="preserve">, </w:t>
      </w:r>
      <w:r w:rsidR="00280936" w:rsidRPr="00420489">
        <w:rPr>
          <w:rFonts w:asciiTheme="majorHAnsi" w:hAnsiTheme="majorHAnsi"/>
          <w:sz w:val="20"/>
          <w:szCs w:val="20"/>
          <w:lang w:val="es-VE"/>
        </w:rPr>
        <w:t xml:space="preserve">entonces </w:t>
      </w:r>
      <w:r w:rsidR="00C85E9A" w:rsidRPr="00420489">
        <w:rPr>
          <w:rFonts w:asciiTheme="majorHAnsi" w:hAnsiTheme="majorHAnsi"/>
          <w:sz w:val="20"/>
          <w:szCs w:val="20"/>
          <w:lang w:val="es-VE"/>
        </w:rPr>
        <w:t>Ministro de Salud y Desarrollo Social declaró que “</w:t>
      </w:r>
      <w:r w:rsidR="00E92C44" w:rsidRPr="00420489">
        <w:rPr>
          <w:rFonts w:asciiTheme="majorHAnsi" w:hAnsiTheme="majorHAnsi"/>
          <w:sz w:val="20"/>
          <w:szCs w:val="20"/>
          <w:lang w:val="es-VE"/>
        </w:rPr>
        <w:t>u</w:t>
      </w:r>
      <w:r w:rsidR="00C85E9A" w:rsidRPr="00420489">
        <w:rPr>
          <w:rFonts w:asciiTheme="majorHAnsi" w:hAnsiTheme="majorHAnsi"/>
          <w:sz w:val="20"/>
          <w:szCs w:val="20"/>
          <w:lang w:val="es-VE"/>
        </w:rPr>
        <w:t xml:space="preserve">n traidor no puede estar en un cargo de confianza y este Estado tiene una política y una correspondencia con el Gobierno que tiene, donde no hay espacio para los traidores. Los que hayan firmado </w:t>
      </w:r>
      <w:r w:rsidR="00C85E9A" w:rsidRPr="00420489">
        <w:rPr>
          <w:rFonts w:asciiTheme="majorHAnsi" w:hAnsiTheme="majorHAnsi"/>
          <w:sz w:val="20"/>
          <w:szCs w:val="20"/>
          <w:lang w:val="es-VE"/>
        </w:rPr>
        <w:lastRenderedPageBreak/>
        <w:t>están botados</w:t>
      </w:r>
      <w:r w:rsidR="00FC149A" w:rsidRPr="00420489">
        <w:rPr>
          <w:rFonts w:asciiTheme="majorHAnsi" w:hAnsiTheme="majorHAnsi"/>
          <w:sz w:val="20"/>
          <w:szCs w:val="20"/>
          <w:lang w:val="es-VE"/>
        </w:rPr>
        <w:t>”</w:t>
      </w:r>
      <w:r w:rsidR="00FC149A" w:rsidRPr="00420489">
        <w:rPr>
          <w:rStyle w:val="FootnoteTextChar"/>
          <w:rFonts w:asciiTheme="majorHAnsi" w:hAnsiTheme="majorHAnsi"/>
          <w:sz w:val="20"/>
          <w:szCs w:val="20"/>
          <w:vertAlign w:val="superscript"/>
        </w:rPr>
        <w:footnoteReference w:id="37"/>
      </w:r>
      <w:r w:rsidR="00493B99" w:rsidRPr="00420489">
        <w:rPr>
          <w:rFonts w:asciiTheme="majorHAnsi" w:hAnsiTheme="majorHAnsi"/>
          <w:sz w:val="20"/>
          <w:szCs w:val="20"/>
          <w:lang w:val="es-VE"/>
        </w:rPr>
        <w:t xml:space="preserve">.  El mismo funcionario declaró que </w:t>
      </w:r>
      <w:r w:rsidR="00C85E9A" w:rsidRPr="00420489">
        <w:rPr>
          <w:rFonts w:asciiTheme="majorHAnsi" w:hAnsiTheme="majorHAnsi" w:cs="Arial"/>
          <w:color w:val="000000"/>
          <w:sz w:val="20"/>
          <w:szCs w:val="20"/>
          <w:shd w:val="clear" w:color="auto" w:fill="FFFFFF"/>
          <w:lang w:val="es-VE"/>
        </w:rPr>
        <w:t>"quienes hayan firmado contra el presidente Chávez" serán despedidos "porque se trata de un acto de terrorismo"</w:t>
      </w:r>
      <w:r w:rsidR="00C85E9A" w:rsidRPr="00420489">
        <w:rPr>
          <w:rStyle w:val="FootnoteTextChar"/>
          <w:rFonts w:asciiTheme="majorHAnsi" w:hAnsiTheme="majorHAnsi"/>
          <w:sz w:val="20"/>
          <w:szCs w:val="20"/>
          <w:vertAlign w:val="superscript"/>
        </w:rPr>
        <w:footnoteReference w:id="38"/>
      </w:r>
      <w:r w:rsidR="00C85E9A" w:rsidRPr="00420489">
        <w:rPr>
          <w:rFonts w:asciiTheme="majorHAnsi" w:hAnsiTheme="majorHAnsi" w:cs="Arial"/>
          <w:color w:val="000000"/>
          <w:sz w:val="20"/>
          <w:szCs w:val="20"/>
          <w:shd w:val="clear" w:color="auto" w:fill="FFFFFF"/>
          <w:lang w:val="es-VE"/>
        </w:rPr>
        <w:t>.</w:t>
      </w:r>
    </w:p>
    <w:p w14:paraId="0CE41A1D" w14:textId="77777777" w:rsidR="00600363" w:rsidRPr="00420489" w:rsidRDefault="00600363" w:rsidP="00D17BB1">
      <w:pPr>
        <w:pStyle w:val="ListParagraph"/>
        <w:tabs>
          <w:tab w:val="num" w:pos="1440"/>
        </w:tabs>
        <w:rPr>
          <w:rFonts w:asciiTheme="majorHAnsi" w:hAnsiTheme="majorHAnsi" w:cs="Arial"/>
          <w:sz w:val="20"/>
          <w:szCs w:val="20"/>
          <w:shd w:val="clear" w:color="auto" w:fill="FFFFFF"/>
          <w:lang w:val="es-VE"/>
        </w:rPr>
      </w:pPr>
    </w:p>
    <w:p w14:paraId="25CA9072" w14:textId="77777777" w:rsidR="00600363" w:rsidRPr="00420489" w:rsidRDefault="00600363"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cs="Arial"/>
          <w:color w:val="000000"/>
          <w:sz w:val="20"/>
          <w:szCs w:val="20"/>
          <w:shd w:val="clear" w:color="auto" w:fill="FFFFFF"/>
          <w:lang w:val="es-VE"/>
        </w:rPr>
      </w:pPr>
      <w:r w:rsidRPr="00420489">
        <w:rPr>
          <w:rFonts w:asciiTheme="majorHAnsi" w:hAnsiTheme="majorHAnsi" w:cs="Arial"/>
          <w:color w:val="000000"/>
          <w:sz w:val="20"/>
          <w:szCs w:val="20"/>
          <w:shd w:val="clear" w:color="auto" w:fill="FFFFFF"/>
          <w:lang w:val="es-VE"/>
        </w:rPr>
        <w:t xml:space="preserve">El 29 de marzo de 2004 el Ministro de Relaciones Exteriores declaró ante los medios de comunicación lo siguiente: “considero lógico que un funcionario con cargo de confianza que haya firmado contra Hugo Chávez, ponga su cargo a la orden; en caso contrario será transferido a otras funciones dentro de la cancillería. No será despedido, pero ya no podrá ser un cercano colaborador, </w:t>
      </w:r>
      <w:proofErr w:type="spellStart"/>
      <w:r w:rsidRPr="00420489">
        <w:rPr>
          <w:rFonts w:asciiTheme="majorHAnsi" w:hAnsiTheme="majorHAnsi" w:cs="Arial"/>
          <w:color w:val="000000"/>
          <w:sz w:val="20"/>
          <w:szCs w:val="20"/>
          <w:shd w:val="clear" w:color="auto" w:fill="FFFFFF"/>
          <w:lang w:val="es-VE"/>
        </w:rPr>
        <w:t>por que</w:t>
      </w:r>
      <w:proofErr w:type="spellEnd"/>
      <w:r w:rsidRPr="00420489">
        <w:rPr>
          <w:rFonts w:asciiTheme="majorHAnsi" w:hAnsiTheme="majorHAnsi" w:cs="Arial"/>
          <w:color w:val="000000"/>
          <w:sz w:val="20"/>
          <w:szCs w:val="20"/>
          <w:shd w:val="clear" w:color="auto" w:fill="FFFFFF"/>
          <w:lang w:val="es-VE"/>
        </w:rPr>
        <w:t xml:space="preserve"> no cree en la política definida por el Presidente</w:t>
      </w:r>
      <w:r w:rsidRPr="00420489">
        <w:rPr>
          <w:rFonts w:asciiTheme="majorHAnsi" w:hAnsiTheme="majorHAnsi" w:cs="Arial"/>
          <w:sz w:val="20"/>
          <w:szCs w:val="20"/>
          <w:shd w:val="clear" w:color="auto" w:fill="FFFFFF"/>
          <w:lang w:val="es-VE"/>
        </w:rPr>
        <w:t>”</w:t>
      </w:r>
      <w:r w:rsidR="004B520F" w:rsidRPr="00420489">
        <w:rPr>
          <w:rStyle w:val="FootnoteReference"/>
          <w:rFonts w:asciiTheme="majorHAnsi" w:hAnsiTheme="majorHAnsi" w:cs="Arial"/>
          <w:sz w:val="20"/>
          <w:szCs w:val="20"/>
          <w:shd w:val="clear" w:color="auto" w:fill="FFFFFF"/>
          <w:lang w:val="es-VE"/>
        </w:rPr>
        <w:footnoteReference w:id="39"/>
      </w:r>
      <w:r w:rsidRPr="00420489">
        <w:rPr>
          <w:rFonts w:asciiTheme="majorHAnsi" w:hAnsiTheme="majorHAnsi" w:cs="Arial"/>
          <w:sz w:val="20"/>
          <w:szCs w:val="20"/>
          <w:shd w:val="clear" w:color="auto" w:fill="FFFFFF"/>
          <w:lang w:val="es-VE"/>
        </w:rPr>
        <w:t xml:space="preserve">. </w:t>
      </w:r>
    </w:p>
    <w:p w14:paraId="67142AF2" w14:textId="77777777" w:rsidR="00557F06" w:rsidRPr="00420489" w:rsidRDefault="00557F06" w:rsidP="00D17BB1">
      <w:pPr>
        <w:pStyle w:val="ListParagraph"/>
        <w:tabs>
          <w:tab w:val="num" w:pos="1440"/>
        </w:tabs>
        <w:rPr>
          <w:rFonts w:asciiTheme="majorHAnsi" w:hAnsiTheme="majorHAnsi" w:cs="Arial"/>
          <w:sz w:val="20"/>
          <w:szCs w:val="20"/>
          <w:shd w:val="clear" w:color="auto" w:fill="FFFFFF"/>
          <w:lang w:val="es-VE"/>
        </w:rPr>
      </w:pPr>
    </w:p>
    <w:p w14:paraId="0BC07556" w14:textId="4FB34BE1" w:rsidR="00557F06" w:rsidRPr="00420489" w:rsidRDefault="00557F06"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cs="Arial"/>
          <w:color w:val="000000"/>
          <w:sz w:val="20"/>
          <w:szCs w:val="20"/>
          <w:shd w:val="clear" w:color="auto" w:fill="FFFFFF"/>
          <w:lang w:val="es-VE"/>
        </w:rPr>
      </w:pPr>
      <w:r w:rsidRPr="00420489">
        <w:rPr>
          <w:rFonts w:asciiTheme="majorHAnsi" w:hAnsiTheme="majorHAnsi" w:cs="Arial"/>
          <w:color w:val="000000"/>
          <w:sz w:val="20"/>
          <w:szCs w:val="20"/>
          <w:shd w:val="clear" w:color="auto" w:fill="FFFFFF"/>
          <w:lang w:val="es-VE"/>
        </w:rPr>
        <w:t xml:space="preserve">También, el entonces presidente de </w:t>
      </w:r>
      <w:r w:rsidR="002502FA" w:rsidRPr="00420489">
        <w:rPr>
          <w:rFonts w:asciiTheme="majorHAnsi" w:hAnsiTheme="majorHAnsi" w:cs="Arial"/>
          <w:color w:val="000000"/>
          <w:sz w:val="20"/>
          <w:szCs w:val="20"/>
          <w:shd w:val="clear" w:color="auto" w:fill="FFFFFF"/>
          <w:lang w:val="es-VE"/>
        </w:rPr>
        <w:t>Petróleos de Venezuela (</w:t>
      </w:r>
      <w:r w:rsidRPr="00420489">
        <w:rPr>
          <w:rFonts w:asciiTheme="majorHAnsi" w:hAnsiTheme="majorHAnsi" w:cs="Arial"/>
          <w:color w:val="000000"/>
          <w:sz w:val="20"/>
          <w:szCs w:val="20"/>
          <w:shd w:val="clear" w:color="auto" w:fill="FFFFFF"/>
          <w:lang w:val="es-VE"/>
        </w:rPr>
        <w:t>PDVSA</w:t>
      </w:r>
      <w:r w:rsidR="002502FA" w:rsidRPr="00420489">
        <w:rPr>
          <w:rFonts w:asciiTheme="majorHAnsi" w:hAnsiTheme="majorHAnsi" w:cs="Arial"/>
          <w:color w:val="000000"/>
          <w:sz w:val="20"/>
          <w:szCs w:val="20"/>
          <w:shd w:val="clear" w:color="auto" w:fill="FFFFFF"/>
          <w:lang w:val="es-VE"/>
        </w:rPr>
        <w:t>)</w:t>
      </w:r>
      <w:r w:rsidRPr="00420489">
        <w:rPr>
          <w:rFonts w:asciiTheme="majorHAnsi" w:hAnsiTheme="majorHAnsi" w:cs="Arial"/>
          <w:color w:val="000000"/>
          <w:sz w:val="20"/>
          <w:szCs w:val="20"/>
          <w:shd w:val="clear" w:color="auto" w:fill="FFFFFF"/>
          <w:lang w:val="es-VE"/>
        </w:rPr>
        <w:t xml:space="preserve"> advirtió</w:t>
      </w:r>
      <w:r w:rsidR="002A51F5" w:rsidRPr="00420489">
        <w:rPr>
          <w:rFonts w:asciiTheme="majorHAnsi" w:hAnsiTheme="majorHAnsi" w:cs="Arial"/>
          <w:color w:val="000000"/>
          <w:sz w:val="20"/>
          <w:szCs w:val="20"/>
          <w:shd w:val="clear" w:color="auto" w:fill="FFFFFF"/>
          <w:lang w:val="es-VE"/>
        </w:rPr>
        <w:t xml:space="preserve"> que</w:t>
      </w:r>
      <w:r w:rsidRPr="00420489">
        <w:rPr>
          <w:rFonts w:asciiTheme="majorHAnsi" w:hAnsiTheme="majorHAnsi" w:cs="Arial"/>
          <w:color w:val="000000"/>
          <w:sz w:val="20"/>
          <w:szCs w:val="20"/>
          <w:shd w:val="clear" w:color="auto" w:fill="FFFFFF"/>
          <w:lang w:val="es-VE"/>
        </w:rPr>
        <w:t xml:space="preserve"> </w:t>
      </w:r>
      <w:r w:rsidR="00F74E0A" w:rsidRPr="00420489">
        <w:rPr>
          <w:rFonts w:asciiTheme="majorHAnsi" w:hAnsiTheme="majorHAnsi" w:cs="Arial"/>
          <w:color w:val="000000"/>
          <w:sz w:val="20"/>
          <w:szCs w:val="20"/>
          <w:shd w:val="clear" w:color="auto" w:fill="FFFFFF"/>
          <w:lang w:val="es-VE"/>
        </w:rPr>
        <w:t>“no causaría extrañeza si los trabajadores que firmaron la petición de convocatoria fueran despedidos de sus empleos</w:t>
      </w:r>
      <w:r w:rsidR="002A51F5" w:rsidRPr="00420489">
        <w:rPr>
          <w:rFonts w:asciiTheme="majorHAnsi" w:hAnsiTheme="majorHAnsi" w:cs="Arial"/>
          <w:color w:val="000000"/>
          <w:sz w:val="20"/>
          <w:szCs w:val="20"/>
          <w:shd w:val="clear" w:color="auto" w:fill="FFFFFF"/>
          <w:lang w:val="es-VE"/>
        </w:rPr>
        <w:t>”</w:t>
      </w:r>
      <w:r w:rsidR="002A51F5" w:rsidRPr="00420489">
        <w:rPr>
          <w:rStyle w:val="FootnoteTextChar"/>
          <w:rFonts w:asciiTheme="majorHAnsi" w:hAnsiTheme="majorHAnsi"/>
          <w:sz w:val="20"/>
          <w:szCs w:val="20"/>
          <w:vertAlign w:val="superscript"/>
        </w:rPr>
        <w:footnoteReference w:id="40"/>
      </w:r>
      <w:r w:rsidR="00F74E0A" w:rsidRPr="00420489">
        <w:rPr>
          <w:rFonts w:asciiTheme="majorHAnsi" w:hAnsiTheme="majorHAnsi" w:cs="Arial"/>
          <w:color w:val="000000"/>
          <w:sz w:val="20"/>
          <w:szCs w:val="20"/>
          <w:shd w:val="clear" w:color="auto" w:fill="FFFFFF"/>
          <w:lang w:val="es-VE"/>
        </w:rPr>
        <w:t xml:space="preserve">. Según un informe de Human </w:t>
      </w:r>
      <w:proofErr w:type="spellStart"/>
      <w:r w:rsidR="00F74E0A" w:rsidRPr="00420489">
        <w:rPr>
          <w:rFonts w:asciiTheme="majorHAnsi" w:hAnsiTheme="majorHAnsi" w:cs="Arial"/>
          <w:color w:val="000000"/>
          <w:sz w:val="20"/>
          <w:szCs w:val="20"/>
          <w:shd w:val="clear" w:color="auto" w:fill="FFFFFF"/>
          <w:lang w:val="es-VE"/>
        </w:rPr>
        <w:t>Rights</w:t>
      </w:r>
      <w:proofErr w:type="spellEnd"/>
      <w:r w:rsidR="00F74E0A" w:rsidRPr="00420489">
        <w:rPr>
          <w:rFonts w:asciiTheme="majorHAnsi" w:hAnsiTheme="majorHAnsi" w:cs="Arial"/>
          <w:color w:val="000000"/>
          <w:sz w:val="20"/>
          <w:szCs w:val="20"/>
          <w:shd w:val="clear" w:color="auto" w:fill="FFFFFF"/>
          <w:lang w:val="es-VE"/>
        </w:rPr>
        <w:t xml:space="preserve"> </w:t>
      </w:r>
      <w:proofErr w:type="spellStart"/>
      <w:r w:rsidR="00F74E0A" w:rsidRPr="00420489">
        <w:rPr>
          <w:rFonts w:asciiTheme="majorHAnsi" w:hAnsiTheme="majorHAnsi" w:cs="Arial"/>
          <w:color w:val="000000"/>
          <w:sz w:val="20"/>
          <w:szCs w:val="20"/>
          <w:shd w:val="clear" w:color="auto" w:fill="FFFFFF"/>
          <w:lang w:val="es-VE"/>
        </w:rPr>
        <w:t>Watch</w:t>
      </w:r>
      <w:proofErr w:type="spellEnd"/>
      <w:r w:rsidR="00F74E0A" w:rsidRPr="00420489">
        <w:rPr>
          <w:rFonts w:asciiTheme="majorHAnsi" w:hAnsiTheme="majorHAnsi" w:cs="Arial"/>
          <w:color w:val="000000"/>
          <w:sz w:val="20"/>
          <w:szCs w:val="20"/>
          <w:shd w:val="clear" w:color="auto" w:fill="FFFFFF"/>
          <w:lang w:val="es-VE"/>
        </w:rPr>
        <w:t xml:space="preserve"> “algunos empleados de PDVSA denunciaron más tarde a la prensa que habían sido despedidos y que, cuando preguntaron el motivo, se les dijo que era porque habían firmado la petición de referendo”</w:t>
      </w:r>
      <w:r w:rsidR="00F74E0A" w:rsidRPr="00420489">
        <w:rPr>
          <w:rStyle w:val="FootnoteTextChar"/>
          <w:rFonts w:asciiTheme="majorHAnsi" w:hAnsiTheme="majorHAnsi"/>
          <w:sz w:val="20"/>
          <w:szCs w:val="20"/>
          <w:vertAlign w:val="superscript"/>
        </w:rPr>
        <w:footnoteReference w:id="41"/>
      </w:r>
      <w:r w:rsidR="00F74E0A" w:rsidRPr="00420489">
        <w:rPr>
          <w:rFonts w:asciiTheme="majorHAnsi" w:hAnsiTheme="majorHAnsi" w:cs="Arial"/>
          <w:color w:val="000000"/>
          <w:sz w:val="20"/>
          <w:szCs w:val="20"/>
          <w:shd w:val="clear" w:color="auto" w:fill="FFFFFF"/>
          <w:lang w:val="es-VE"/>
        </w:rPr>
        <w:t xml:space="preserve">. </w:t>
      </w:r>
      <w:r w:rsidR="00097326">
        <w:rPr>
          <w:rFonts w:asciiTheme="majorHAnsi" w:hAnsiTheme="majorHAnsi" w:cs="Arial"/>
          <w:color w:val="000000"/>
          <w:sz w:val="20"/>
          <w:szCs w:val="20"/>
          <w:shd w:val="clear" w:color="auto" w:fill="FFFFFF"/>
          <w:lang w:val="es-VE"/>
        </w:rPr>
        <w:t xml:space="preserve"> </w:t>
      </w:r>
    </w:p>
    <w:p w14:paraId="71621B89" w14:textId="77777777" w:rsidR="00B90E79" w:rsidRPr="00420489" w:rsidRDefault="00B90E79" w:rsidP="00D17BB1">
      <w:pPr>
        <w:pStyle w:val="ListParagraph"/>
        <w:tabs>
          <w:tab w:val="num" w:pos="1440"/>
        </w:tabs>
        <w:rPr>
          <w:rFonts w:asciiTheme="majorHAnsi" w:hAnsiTheme="majorHAnsi" w:cs="Arial"/>
          <w:sz w:val="20"/>
          <w:szCs w:val="20"/>
          <w:shd w:val="clear" w:color="auto" w:fill="FFFFFF"/>
          <w:lang w:val="es-VE"/>
        </w:rPr>
      </w:pPr>
    </w:p>
    <w:p w14:paraId="5BC758EB" w14:textId="0B924CA5" w:rsidR="00C85E9A" w:rsidRPr="00097326" w:rsidRDefault="00097326"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Pr>
          <w:rFonts w:asciiTheme="majorHAnsi" w:hAnsiTheme="majorHAnsi" w:cs="Arial"/>
          <w:color w:val="000000"/>
          <w:sz w:val="20"/>
          <w:szCs w:val="20"/>
          <w:shd w:val="clear" w:color="auto" w:fill="FFFFFF"/>
          <w:lang w:val="es-VE"/>
        </w:rPr>
        <w:t>Dicho informe, así como un informe realizado por una organización venezolana, documentaron una serie de casos de supuestos despidos motivados en la participación de funcionarios en la solicitud de referendo revocatorio</w:t>
      </w:r>
      <w:r w:rsidRPr="00420489">
        <w:rPr>
          <w:rStyle w:val="FootnoteTextChar"/>
          <w:rFonts w:asciiTheme="majorHAnsi" w:hAnsiTheme="majorHAnsi"/>
          <w:sz w:val="20"/>
          <w:szCs w:val="20"/>
          <w:vertAlign w:val="superscript"/>
        </w:rPr>
        <w:footnoteReference w:id="42"/>
      </w:r>
      <w:r>
        <w:rPr>
          <w:rFonts w:asciiTheme="majorHAnsi" w:hAnsiTheme="majorHAnsi" w:cs="Arial"/>
          <w:color w:val="000000"/>
          <w:sz w:val="20"/>
          <w:szCs w:val="20"/>
          <w:shd w:val="clear" w:color="auto" w:fill="FFFFFF"/>
          <w:lang w:val="es-VE"/>
        </w:rPr>
        <w:t xml:space="preserve">. </w:t>
      </w:r>
      <w:r w:rsidR="009A4B37" w:rsidRPr="00097326">
        <w:rPr>
          <w:rFonts w:asciiTheme="majorHAnsi" w:hAnsiTheme="majorHAnsi" w:cs="Arial"/>
          <w:color w:val="000000"/>
          <w:sz w:val="20"/>
          <w:szCs w:val="20"/>
          <w:shd w:val="clear" w:color="auto" w:fill="FFFFFF"/>
          <w:lang w:val="es-VE"/>
        </w:rPr>
        <w:t xml:space="preserve">  Dentro de ellos destacó el</w:t>
      </w:r>
      <w:r w:rsidR="00AA42C4" w:rsidRPr="00097326">
        <w:rPr>
          <w:rFonts w:asciiTheme="majorHAnsi" w:hAnsiTheme="majorHAnsi" w:cs="Arial"/>
          <w:color w:val="000000"/>
          <w:sz w:val="20"/>
          <w:szCs w:val="20"/>
          <w:shd w:val="clear" w:color="auto" w:fill="FFFFFF"/>
          <w:lang w:val="es-VE"/>
        </w:rPr>
        <w:t xml:space="preserve"> caso de 80 empleados públicos </w:t>
      </w:r>
      <w:r w:rsidR="009A4B37" w:rsidRPr="00097326">
        <w:rPr>
          <w:rFonts w:asciiTheme="majorHAnsi" w:hAnsiTheme="majorHAnsi" w:cs="Arial"/>
          <w:color w:val="000000"/>
          <w:sz w:val="20"/>
          <w:szCs w:val="20"/>
          <w:shd w:val="clear" w:color="auto" w:fill="FFFFFF"/>
          <w:lang w:val="es-VE"/>
        </w:rPr>
        <w:t xml:space="preserve">del Fondo de Garantías de Depósitos y Protección Bancaria, despedidos supuestamente por estar incluidos en “una lista, basada en parte sobre la base de la lista </w:t>
      </w:r>
      <w:proofErr w:type="spellStart"/>
      <w:r w:rsidR="009A4B37" w:rsidRPr="00097326">
        <w:rPr>
          <w:rFonts w:asciiTheme="majorHAnsi" w:hAnsiTheme="majorHAnsi" w:cs="Arial"/>
          <w:color w:val="000000"/>
          <w:sz w:val="20"/>
          <w:szCs w:val="20"/>
          <w:shd w:val="clear" w:color="auto" w:fill="FFFFFF"/>
          <w:lang w:val="es-VE"/>
        </w:rPr>
        <w:t>Tascón</w:t>
      </w:r>
      <w:proofErr w:type="spellEnd"/>
      <w:r w:rsidR="009A4B37" w:rsidRPr="00097326">
        <w:rPr>
          <w:rFonts w:asciiTheme="majorHAnsi" w:hAnsiTheme="majorHAnsi" w:cs="Arial"/>
          <w:color w:val="000000"/>
          <w:sz w:val="20"/>
          <w:szCs w:val="20"/>
          <w:shd w:val="clear" w:color="auto" w:fill="FFFFFF"/>
          <w:lang w:val="es-VE"/>
        </w:rPr>
        <w:t>, que circuló dentro de la institución</w:t>
      </w:r>
      <w:r w:rsidR="00331D6B" w:rsidRPr="00097326">
        <w:rPr>
          <w:rFonts w:asciiTheme="majorHAnsi" w:hAnsiTheme="majorHAnsi" w:cs="Arial"/>
          <w:color w:val="000000"/>
          <w:sz w:val="20"/>
          <w:szCs w:val="20"/>
          <w:shd w:val="clear" w:color="auto" w:fill="FFFFFF"/>
          <w:lang w:val="es-VE"/>
        </w:rPr>
        <w:t>”</w:t>
      </w:r>
      <w:r w:rsidR="00627893" w:rsidRPr="00420489">
        <w:rPr>
          <w:rStyle w:val="FootnoteTextChar"/>
          <w:rFonts w:asciiTheme="majorHAnsi" w:hAnsiTheme="majorHAnsi"/>
          <w:sz w:val="20"/>
          <w:szCs w:val="20"/>
          <w:vertAlign w:val="superscript"/>
        </w:rPr>
        <w:footnoteReference w:id="43"/>
      </w:r>
      <w:r w:rsidR="009A4B37" w:rsidRPr="00097326">
        <w:rPr>
          <w:rFonts w:asciiTheme="majorHAnsi" w:hAnsiTheme="majorHAnsi" w:cs="Arial"/>
          <w:color w:val="000000"/>
          <w:sz w:val="20"/>
          <w:szCs w:val="20"/>
          <w:shd w:val="clear" w:color="auto" w:fill="FFFFFF"/>
          <w:lang w:val="es-VE"/>
        </w:rPr>
        <w:t xml:space="preserve">. </w:t>
      </w:r>
      <w:r w:rsidR="00331D6B" w:rsidRPr="00097326">
        <w:rPr>
          <w:rFonts w:asciiTheme="majorHAnsi" w:hAnsiTheme="majorHAnsi" w:cs="Arial"/>
          <w:color w:val="000000"/>
          <w:sz w:val="20"/>
          <w:szCs w:val="20"/>
          <w:shd w:val="clear" w:color="auto" w:fill="FFFFFF"/>
          <w:lang w:val="es-VE"/>
        </w:rPr>
        <w:t xml:space="preserve"> </w:t>
      </w:r>
      <w:r w:rsidR="0009791F" w:rsidRPr="00097326">
        <w:rPr>
          <w:rFonts w:asciiTheme="majorHAnsi" w:hAnsiTheme="majorHAnsi" w:cs="Arial"/>
          <w:color w:val="000000"/>
          <w:sz w:val="20"/>
          <w:szCs w:val="20"/>
          <w:shd w:val="clear" w:color="auto" w:fill="FFFFFF"/>
          <w:lang w:val="es-VE"/>
        </w:rPr>
        <w:t xml:space="preserve">Al respecto, algunos empleados habrían declarado que en el listado que se distribuyó dentro de la organización aparecía el nombre de cada empleado, su perfil político (desde 1 para chavistas militantes a 6 para oposición política radical) y una inicial indicando si el empleado había firmado la petición de referendo </w:t>
      </w:r>
      <w:r w:rsidR="00AA42C4" w:rsidRPr="00097326">
        <w:rPr>
          <w:rFonts w:asciiTheme="majorHAnsi" w:hAnsiTheme="majorHAnsi" w:cs="Arial"/>
          <w:color w:val="000000"/>
          <w:sz w:val="20"/>
          <w:szCs w:val="20"/>
          <w:shd w:val="clear" w:color="auto" w:fill="FFFFFF"/>
          <w:lang w:val="es-VE"/>
        </w:rPr>
        <w:t xml:space="preserve">consultivo, o de los </w:t>
      </w:r>
      <w:r w:rsidR="0009791F" w:rsidRPr="00097326">
        <w:rPr>
          <w:rFonts w:asciiTheme="majorHAnsi" w:hAnsiTheme="majorHAnsi" w:cs="Arial"/>
          <w:color w:val="000000"/>
          <w:sz w:val="20"/>
          <w:szCs w:val="20"/>
          <w:shd w:val="clear" w:color="auto" w:fill="FFFFFF"/>
          <w:lang w:val="es-VE"/>
        </w:rPr>
        <w:t>revocatorio</w:t>
      </w:r>
      <w:r w:rsidR="00AA42C4" w:rsidRPr="00097326">
        <w:rPr>
          <w:rFonts w:asciiTheme="majorHAnsi" w:hAnsiTheme="majorHAnsi" w:cs="Arial"/>
          <w:color w:val="000000"/>
          <w:sz w:val="20"/>
          <w:szCs w:val="20"/>
          <w:shd w:val="clear" w:color="auto" w:fill="FFFFFF"/>
          <w:lang w:val="es-VE"/>
        </w:rPr>
        <w:t>s</w:t>
      </w:r>
      <w:r w:rsidR="0016638B" w:rsidRPr="00097326">
        <w:rPr>
          <w:rFonts w:asciiTheme="majorHAnsi" w:hAnsiTheme="majorHAnsi" w:cs="Arial"/>
          <w:color w:val="000000"/>
          <w:sz w:val="20"/>
          <w:szCs w:val="20"/>
          <w:shd w:val="clear" w:color="auto" w:fill="FFFFFF"/>
          <w:lang w:val="es-VE"/>
        </w:rPr>
        <w:t xml:space="preserve"> </w:t>
      </w:r>
      <w:r w:rsidR="0009791F" w:rsidRPr="00097326">
        <w:rPr>
          <w:rFonts w:asciiTheme="majorHAnsi" w:hAnsiTheme="majorHAnsi" w:cs="Arial"/>
          <w:color w:val="000000"/>
          <w:sz w:val="20"/>
          <w:szCs w:val="20"/>
          <w:shd w:val="clear" w:color="auto" w:fill="FFFFFF"/>
          <w:lang w:val="es-VE"/>
        </w:rPr>
        <w:t xml:space="preserve">según los datos de la lista </w:t>
      </w:r>
      <w:proofErr w:type="spellStart"/>
      <w:r w:rsidR="0009791F" w:rsidRPr="00097326">
        <w:rPr>
          <w:rFonts w:asciiTheme="majorHAnsi" w:hAnsiTheme="majorHAnsi" w:cs="Arial"/>
          <w:color w:val="000000"/>
          <w:sz w:val="20"/>
          <w:szCs w:val="20"/>
          <w:shd w:val="clear" w:color="auto" w:fill="FFFFFF"/>
          <w:lang w:val="es-VE"/>
        </w:rPr>
        <w:t>Tascón</w:t>
      </w:r>
      <w:proofErr w:type="spellEnd"/>
      <w:r w:rsidR="0009791F" w:rsidRPr="00420489">
        <w:rPr>
          <w:rStyle w:val="FootnoteReference"/>
          <w:rFonts w:asciiTheme="majorHAnsi" w:hAnsiTheme="majorHAnsi" w:cs="Arial"/>
          <w:color w:val="000000"/>
          <w:sz w:val="20"/>
          <w:szCs w:val="20"/>
          <w:shd w:val="clear" w:color="auto" w:fill="FFFFFF"/>
          <w:lang w:val="es-VE"/>
        </w:rPr>
        <w:footnoteReference w:id="44"/>
      </w:r>
      <w:r w:rsidR="0009791F" w:rsidRPr="00097326">
        <w:rPr>
          <w:rFonts w:asciiTheme="majorHAnsi" w:hAnsiTheme="majorHAnsi" w:cs="Arial"/>
          <w:color w:val="000000"/>
          <w:sz w:val="20"/>
          <w:szCs w:val="20"/>
          <w:shd w:val="clear" w:color="auto" w:fill="FFFFFF"/>
          <w:lang w:val="es-VE"/>
        </w:rPr>
        <w:t xml:space="preserve">. </w:t>
      </w:r>
      <w:r w:rsidR="00272A9A" w:rsidRPr="00097326">
        <w:rPr>
          <w:rFonts w:asciiTheme="majorHAnsi" w:hAnsiTheme="majorHAnsi" w:cs="Arial"/>
          <w:color w:val="000000"/>
          <w:sz w:val="20"/>
          <w:szCs w:val="20"/>
          <w:shd w:val="clear" w:color="auto" w:fill="FFFFFF"/>
          <w:lang w:val="es-VE"/>
        </w:rPr>
        <w:t>De acuerdo con los empleados</w:t>
      </w:r>
      <w:r w:rsidR="00AA42C4" w:rsidRPr="00097326">
        <w:rPr>
          <w:rFonts w:asciiTheme="majorHAnsi" w:hAnsiTheme="majorHAnsi" w:cs="Arial"/>
          <w:color w:val="000000"/>
          <w:sz w:val="20"/>
          <w:szCs w:val="20"/>
          <w:shd w:val="clear" w:color="auto" w:fill="FFFFFF"/>
          <w:lang w:val="es-VE"/>
        </w:rPr>
        <w:t xml:space="preserve"> cesados en sus cargos</w:t>
      </w:r>
      <w:r w:rsidR="00272A9A" w:rsidRPr="00097326">
        <w:rPr>
          <w:rFonts w:asciiTheme="majorHAnsi" w:hAnsiTheme="majorHAnsi" w:cs="Arial"/>
          <w:color w:val="000000"/>
          <w:sz w:val="20"/>
          <w:szCs w:val="20"/>
          <w:shd w:val="clear" w:color="auto" w:fill="FFFFFF"/>
          <w:lang w:val="es-VE"/>
        </w:rPr>
        <w:t>, todos ellos se encontraban clasificados como opositores al gobierno en la lista que circuló</w:t>
      </w:r>
      <w:r w:rsidR="00272A9A" w:rsidRPr="00420489">
        <w:rPr>
          <w:rStyle w:val="FootnoteReference"/>
          <w:rFonts w:asciiTheme="majorHAnsi" w:hAnsiTheme="majorHAnsi" w:cs="Arial"/>
          <w:color w:val="000000"/>
          <w:sz w:val="20"/>
          <w:szCs w:val="20"/>
          <w:shd w:val="clear" w:color="auto" w:fill="FFFFFF"/>
          <w:lang w:val="es-VE"/>
        </w:rPr>
        <w:footnoteReference w:id="45"/>
      </w:r>
      <w:r w:rsidR="00272A9A" w:rsidRPr="00097326">
        <w:rPr>
          <w:rFonts w:asciiTheme="majorHAnsi" w:hAnsiTheme="majorHAnsi" w:cs="Arial"/>
          <w:color w:val="000000"/>
          <w:sz w:val="20"/>
          <w:szCs w:val="20"/>
          <w:shd w:val="clear" w:color="auto" w:fill="FFFFFF"/>
          <w:lang w:val="es-VE"/>
        </w:rPr>
        <w:t xml:space="preserve">. </w:t>
      </w:r>
      <w:r w:rsidR="00331D6B" w:rsidRPr="00097326">
        <w:rPr>
          <w:rFonts w:asciiTheme="majorHAnsi" w:hAnsiTheme="majorHAnsi" w:cs="Arial"/>
          <w:color w:val="000000"/>
          <w:sz w:val="20"/>
          <w:szCs w:val="20"/>
          <w:shd w:val="clear" w:color="auto" w:fill="FFFFFF"/>
          <w:lang w:val="es-VE"/>
        </w:rPr>
        <w:t>Según información pública disponible, el Director de dicha institución</w:t>
      </w:r>
      <w:r w:rsidR="00AA42C4" w:rsidRPr="00097326">
        <w:rPr>
          <w:rFonts w:asciiTheme="majorHAnsi" w:hAnsiTheme="majorHAnsi" w:cs="Arial"/>
          <w:color w:val="000000"/>
          <w:sz w:val="20"/>
          <w:szCs w:val="20"/>
          <w:shd w:val="clear" w:color="auto" w:fill="FFFFFF"/>
          <w:lang w:val="es-VE"/>
        </w:rPr>
        <w:t xml:space="preserve"> pública,</w:t>
      </w:r>
      <w:r w:rsidR="00331D6B" w:rsidRPr="00097326">
        <w:rPr>
          <w:rFonts w:asciiTheme="majorHAnsi" w:hAnsiTheme="majorHAnsi" w:cs="Arial"/>
          <w:color w:val="000000"/>
          <w:sz w:val="20"/>
          <w:szCs w:val="20"/>
          <w:shd w:val="clear" w:color="auto" w:fill="FFFFFF"/>
          <w:lang w:val="es-VE"/>
        </w:rPr>
        <w:t xml:space="preserve"> al referirse a los despidos declaró que “se trataba de funcionarios de libre remoción y que venían arrastrando una cultura no cónsona con el proyecto que está contemplado para el desarrollo socioeconómico”</w:t>
      </w:r>
      <w:r w:rsidR="004003F0" w:rsidRPr="00420489">
        <w:rPr>
          <w:rStyle w:val="FootnoteTextChar"/>
          <w:rFonts w:asciiTheme="majorHAnsi" w:hAnsiTheme="majorHAnsi"/>
          <w:sz w:val="20"/>
          <w:szCs w:val="20"/>
          <w:vertAlign w:val="superscript"/>
        </w:rPr>
        <w:footnoteReference w:id="46"/>
      </w:r>
      <w:r w:rsidR="00331D6B" w:rsidRPr="00097326">
        <w:rPr>
          <w:rFonts w:asciiTheme="majorHAnsi" w:hAnsiTheme="majorHAnsi" w:cs="Arial"/>
          <w:color w:val="000000"/>
          <w:sz w:val="20"/>
          <w:szCs w:val="20"/>
          <w:shd w:val="clear" w:color="auto" w:fill="FFFFFF"/>
          <w:lang w:val="es-VE"/>
        </w:rPr>
        <w:t xml:space="preserve">. </w:t>
      </w:r>
      <w:r w:rsidR="0009791F" w:rsidRPr="00097326">
        <w:rPr>
          <w:rFonts w:asciiTheme="majorHAnsi" w:hAnsiTheme="majorHAnsi" w:cs="Arial"/>
          <w:color w:val="000000"/>
          <w:sz w:val="20"/>
          <w:szCs w:val="20"/>
          <w:shd w:val="clear" w:color="auto" w:fill="FFFFFF"/>
          <w:lang w:val="es-VE"/>
        </w:rPr>
        <w:t xml:space="preserve"> </w:t>
      </w:r>
      <w:r w:rsidR="00B4060E" w:rsidRPr="00097326">
        <w:rPr>
          <w:rFonts w:asciiTheme="majorHAnsi" w:hAnsiTheme="majorHAnsi" w:cs="Arial"/>
          <w:color w:val="000000"/>
          <w:sz w:val="20"/>
          <w:szCs w:val="20"/>
          <w:shd w:val="clear" w:color="auto" w:fill="FFFFFF"/>
          <w:lang w:val="es-VE"/>
        </w:rPr>
        <w:t xml:space="preserve"> </w:t>
      </w:r>
    </w:p>
    <w:p w14:paraId="09AB1CD8" w14:textId="77777777" w:rsidR="00B4060E" w:rsidRPr="00420489" w:rsidRDefault="00B4060E" w:rsidP="007913CC">
      <w:pPr>
        <w:pStyle w:val="ListParagraph"/>
        <w:tabs>
          <w:tab w:val="num" w:pos="1440"/>
        </w:tabs>
        <w:rPr>
          <w:rFonts w:asciiTheme="majorHAnsi" w:hAnsiTheme="majorHAnsi"/>
          <w:sz w:val="20"/>
          <w:szCs w:val="20"/>
          <w:lang w:val="es-VE"/>
        </w:rPr>
      </w:pPr>
    </w:p>
    <w:p w14:paraId="047E4C69" w14:textId="77777777" w:rsidR="00860B5F" w:rsidRPr="00420489" w:rsidRDefault="00172BA6"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También en marzo de 2004, Froilán Barrios, miembro del Comité Ejecutivo de la Confederación de Trabajadores de Venezuela denunció que la industria petrolera “tiene una lista de 1999 trabajadores entre activos y jubilados sobre quienes recae la amenaza de una eventual remoción o traslado de cargo por haber participado en el </w:t>
      </w:r>
      <w:proofErr w:type="spellStart"/>
      <w:r w:rsidRPr="00420489">
        <w:rPr>
          <w:rFonts w:asciiTheme="majorHAnsi" w:hAnsiTheme="majorHAnsi"/>
          <w:sz w:val="20"/>
          <w:szCs w:val="20"/>
          <w:lang w:val="es-VE"/>
        </w:rPr>
        <w:t>reafirmazo</w:t>
      </w:r>
      <w:proofErr w:type="spellEnd"/>
      <w:r w:rsidRPr="00420489">
        <w:rPr>
          <w:rFonts w:asciiTheme="majorHAnsi" w:hAnsiTheme="majorHAnsi"/>
          <w:sz w:val="20"/>
          <w:szCs w:val="20"/>
          <w:lang w:val="es-VE"/>
        </w:rPr>
        <w:t>”</w:t>
      </w:r>
      <w:r w:rsidRPr="00420489">
        <w:rPr>
          <w:rStyle w:val="FootnoteTextChar"/>
          <w:rFonts w:asciiTheme="majorHAnsi" w:hAnsiTheme="majorHAnsi"/>
          <w:sz w:val="20"/>
          <w:szCs w:val="20"/>
          <w:vertAlign w:val="superscript"/>
        </w:rPr>
        <w:footnoteReference w:id="47"/>
      </w:r>
      <w:r w:rsidRPr="00420489">
        <w:rPr>
          <w:rFonts w:asciiTheme="majorHAnsi" w:hAnsiTheme="majorHAnsi"/>
          <w:sz w:val="20"/>
          <w:szCs w:val="20"/>
          <w:lang w:val="es-VE"/>
        </w:rPr>
        <w:t xml:space="preserve">. </w:t>
      </w:r>
      <w:r w:rsidR="00F75F3C" w:rsidRPr="00420489">
        <w:rPr>
          <w:rFonts w:asciiTheme="majorHAnsi" w:hAnsiTheme="majorHAnsi"/>
          <w:sz w:val="20"/>
          <w:szCs w:val="20"/>
          <w:lang w:val="es-VE"/>
        </w:rPr>
        <w:t xml:space="preserve"> </w:t>
      </w:r>
    </w:p>
    <w:p w14:paraId="7C46059F" w14:textId="77777777" w:rsidR="00860B5F" w:rsidRPr="00420489" w:rsidRDefault="00860B5F" w:rsidP="00D17BB1">
      <w:pPr>
        <w:pStyle w:val="ListParagraph"/>
        <w:tabs>
          <w:tab w:val="num" w:pos="1440"/>
        </w:tabs>
        <w:rPr>
          <w:rFonts w:asciiTheme="majorHAnsi" w:hAnsiTheme="majorHAnsi"/>
          <w:sz w:val="20"/>
          <w:szCs w:val="20"/>
          <w:lang w:val="es-VE"/>
        </w:rPr>
      </w:pPr>
    </w:p>
    <w:p w14:paraId="2552AEC8" w14:textId="09F1F008" w:rsidR="00172BA6" w:rsidRPr="00420489" w:rsidRDefault="00860B5F"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A su vez, algunos medios de comunicación documentaron otras denuncias de represalias a empleados que participaron en los procesos de referendo en otras instituciones estatales como </w:t>
      </w:r>
      <w:r w:rsidR="00F75F3C" w:rsidRPr="00420489">
        <w:rPr>
          <w:rFonts w:asciiTheme="majorHAnsi" w:hAnsiTheme="majorHAnsi"/>
          <w:sz w:val="20"/>
          <w:szCs w:val="20"/>
          <w:lang w:val="es-VE"/>
        </w:rPr>
        <w:t xml:space="preserve">el Centro Nacional de Tecnologías de Información, Gobernación del Estado Miranda, </w:t>
      </w:r>
      <w:r w:rsidR="00267FD8" w:rsidRPr="00420489">
        <w:rPr>
          <w:rFonts w:asciiTheme="majorHAnsi" w:hAnsiTheme="majorHAnsi"/>
          <w:sz w:val="20"/>
          <w:szCs w:val="20"/>
          <w:lang w:val="es-VE"/>
        </w:rPr>
        <w:t xml:space="preserve">Ministerio para la Economía Popular, el Instituto de Previsión y Asistencia Social para el Personal del Ministerio de Educación, </w:t>
      </w:r>
      <w:r w:rsidR="009E695C" w:rsidRPr="00420489">
        <w:rPr>
          <w:rFonts w:asciiTheme="majorHAnsi" w:hAnsiTheme="majorHAnsi"/>
          <w:sz w:val="20"/>
          <w:szCs w:val="20"/>
          <w:lang w:val="es-VE"/>
        </w:rPr>
        <w:t xml:space="preserve">Dirección de Educación de Miranda, </w:t>
      </w:r>
      <w:r w:rsidR="00AC5686">
        <w:rPr>
          <w:rFonts w:asciiTheme="majorHAnsi" w:hAnsiTheme="majorHAnsi"/>
          <w:sz w:val="20"/>
          <w:szCs w:val="20"/>
          <w:lang w:val="es-VE"/>
        </w:rPr>
        <w:t xml:space="preserve">y el </w:t>
      </w:r>
      <w:r w:rsidR="00827229" w:rsidRPr="00420489">
        <w:rPr>
          <w:rFonts w:asciiTheme="majorHAnsi" w:hAnsiTheme="majorHAnsi"/>
          <w:sz w:val="20"/>
          <w:szCs w:val="20"/>
          <w:lang w:val="es-VE"/>
        </w:rPr>
        <w:t>Consejo Nacional Electoral</w:t>
      </w:r>
      <w:r w:rsidR="00827229" w:rsidRPr="00420489">
        <w:rPr>
          <w:rStyle w:val="FootnoteReference"/>
          <w:rFonts w:asciiTheme="majorHAnsi" w:hAnsiTheme="majorHAnsi"/>
          <w:sz w:val="20"/>
          <w:szCs w:val="20"/>
          <w:lang w:val="es-VE"/>
        </w:rPr>
        <w:footnoteReference w:id="48"/>
      </w:r>
      <w:r w:rsidR="00827229" w:rsidRPr="00420489">
        <w:rPr>
          <w:rFonts w:asciiTheme="majorHAnsi" w:hAnsiTheme="majorHAnsi"/>
          <w:sz w:val="20"/>
          <w:szCs w:val="20"/>
          <w:lang w:val="es-VE"/>
        </w:rPr>
        <w:t xml:space="preserve">. </w:t>
      </w:r>
    </w:p>
    <w:p w14:paraId="7007F89C" w14:textId="77777777" w:rsidR="00827229" w:rsidRPr="00420489" w:rsidRDefault="00827229" w:rsidP="00827229">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80808"/>
          <w:sz w:val="20"/>
          <w:szCs w:val="20"/>
          <w:shd w:val="clear" w:color="auto" w:fill="FFFFFF"/>
          <w:lang w:val="es-VE"/>
        </w:rPr>
      </w:pPr>
    </w:p>
    <w:p w14:paraId="7CD95D39" w14:textId="77777777" w:rsidR="00265475" w:rsidRPr="00420489" w:rsidRDefault="00827229" w:rsidP="007913CC">
      <w:pPr>
        <w:pStyle w:val="ListParagraph"/>
        <w:numPr>
          <w:ilvl w:val="1"/>
          <w:numId w:val="55"/>
        </w:numPr>
        <w:tabs>
          <w:tab w:val="clear" w:pos="1800"/>
          <w:tab w:val="num" w:pos="1440"/>
        </w:tabs>
        <w:ind w:left="1440" w:hanging="720"/>
        <w:jc w:val="both"/>
        <w:rPr>
          <w:rFonts w:asciiTheme="majorHAnsi" w:hAnsiTheme="majorHAnsi"/>
          <w:b/>
          <w:sz w:val="20"/>
          <w:szCs w:val="20"/>
          <w:lang w:val="es-VE"/>
        </w:rPr>
      </w:pPr>
      <w:r w:rsidRPr="00420489">
        <w:rPr>
          <w:rFonts w:asciiTheme="majorHAnsi" w:hAnsiTheme="majorHAnsi"/>
          <w:b/>
          <w:sz w:val="20"/>
          <w:szCs w:val="20"/>
          <w:lang w:val="es-VE"/>
        </w:rPr>
        <w:t>Resultados del procedimiento revocatorio del “</w:t>
      </w:r>
      <w:proofErr w:type="spellStart"/>
      <w:r w:rsidRPr="00420489">
        <w:rPr>
          <w:rFonts w:asciiTheme="majorHAnsi" w:hAnsiTheme="majorHAnsi"/>
          <w:b/>
          <w:sz w:val="20"/>
          <w:szCs w:val="20"/>
          <w:lang w:val="es-VE"/>
        </w:rPr>
        <w:t>Reafirmazo</w:t>
      </w:r>
      <w:proofErr w:type="spellEnd"/>
      <w:r w:rsidRPr="00420489">
        <w:rPr>
          <w:rFonts w:asciiTheme="majorHAnsi" w:hAnsiTheme="majorHAnsi"/>
          <w:b/>
          <w:sz w:val="20"/>
          <w:szCs w:val="20"/>
          <w:lang w:val="es-VE"/>
        </w:rPr>
        <w:t xml:space="preserve">” y  realización del referendo revocatorio </w:t>
      </w:r>
    </w:p>
    <w:p w14:paraId="39DA4AEB" w14:textId="77777777" w:rsidR="00265475" w:rsidRPr="00420489" w:rsidRDefault="00E92441" w:rsidP="00FD4EC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r w:rsidRPr="00420489">
        <w:rPr>
          <w:rFonts w:asciiTheme="majorHAnsi" w:hAnsiTheme="majorHAnsi"/>
          <w:sz w:val="20"/>
          <w:szCs w:val="20"/>
          <w:lang w:val="es-VE"/>
        </w:rPr>
        <w:t xml:space="preserve"> </w:t>
      </w:r>
    </w:p>
    <w:p w14:paraId="0678F2EA" w14:textId="77777777" w:rsidR="0044121F" w:rsidRPr="00420489" w:rsidRDefault="00265475"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lang w:val="es-VE"/>
        </w:rPr>
      </w:pPr>
      <w:r w:rsidRPr="00420489">
        <w:rPr>
          <w:rFonts w:asciiTheme="majorHAnsi" w:hAnsiTheme="majorHAnsi"/>
          <w:sz w:val="20"/>
          <w:szCs w:val="20"/>
          <w:lang w:val="es-VE"/>
        </w:rPr>
        <w:t>Luego de la recepción de las firmas del “</w:t>
      </w:r>
      <w:proofErr w:type="spellStart"/>
      <w:r w:rsidRPr="00420489">
        <w:rPr>
          <w:rFonts w:asciiTheme="majorHAnsi" w:hAnsiTheme="majorHAnsi"/>
          <w:sz w:val="20"/>
          <w:szCs w:val="20"/>
          <w:lang w:val="es-VE"/>
        </w:rPr>
        <w:t>Reafirmazo</w:t>
      </w:r>
      <w:proofErr w:type="spellEnd"/>
      <w:r w:rsidRPr="00420489">
        <w:rPr>
          <w:rFonts w:asciiTheme="majorHAnsi" w:hAnsiTheme="majorHAnsi"/>
          <w:sz w:val="20"/>
          <w:szCs w:val="20"/>
          <w:lang w:val="es-VE"/>
        </w:rPr>
        <w:t xml:space="preserve">” </w:t>
      </w:r>
      <w:r w:rsidR="001179C8" w:rsidRPr="00420489">
        <w:rPr>
          <w:rFonts w:asciiTheme="majorHAnsi" w:hAnsiTheme="majorHAnsi"/>
          <w:sz w:val="20"/>
          <w:szCs w:val="20"/>
          <w:lang w:val="es-VE"/>
        </w:rPr>
        <w:t>el</w:t>
      </w:r>
      <w:r w:rsidR="00F36BBC" w:rsidRPr="00420489">
        <w:rPr>
          <w:rFonts w:asciiTheme="majorHAnsi" w:hAnsiTheme="majorHAnsi"/>
          <w:sz w:val="20"/>
          <w:szCs w:val="20"/>
          <w:lang w:val="es-VE"/>
        </w:rPr>
        <w:t xml:space="preserve">  2 de marzo de 2004 el Consejo Nacional Electoral emitió la resolución No. 040302-131 con los resultados preliminares del procedimiento revocatorio iniciado en relación con el </w:t>
      </w:r>
      <w:r w:rsidR="0044121F" w:rsidRPr="00420489">
        <w:rPr>
          <w:rFonts w:asciiTheme="majorHAnsi" w:hAnsiTheme="majorHAnsi"/>
          <w:sz w:val="20"/>
          <w:szCs w:val="20"/>
          <w:lang w:val="es-VE"/>
        </w:rPr>
        <w:t>Presidente</w:t>
      </w:r>
      <w:r w:rsidR="00F36BBC" w:rsidRPr="00420489">
        <w:rPr>
          <w:rFonts w:asciiTheme="majorHAnsi" w:hAnsiTheme="majorHAnsi"/>
          <w:sz w:val="20"/>
          <w:szCs w:val="20"/>
          <w:lang w:val="es-VE"/>
        </w:rPr>
        <w:t xml:space="preserve"> Hugo Chávez Frías</w:t>
      </w:r>
      <w:r w:rsidR="00F36BBC" w:rsidRPr="00420489">
        <w:rPr>
          <w:rStyle w:val="FootnoteTextChar"/>
          <w:rFonts w:asciiTheme="majorHAnsi" w:hAnsiTheme="majorHAnsi"/>
          <w:sz w:val="20"/>
          <w:szCs w:val="20"/>
          <w:vertAlign w:val="superscript"/>
        </w:rPr>
        <w:footnoteReference w:id="49"/>
      </w:r>
      <w:r w:rsidR="0044121F" w:rsidRPr="00420489">
        <w:rPr>
          <w:rFonts w:asciiTheme="majorHAnsi" w:hAnsiTheme="majorHAnsi"/>
          <w:sz w:val="20"/>
          <w:szCs w:val="20"/>
          <w:lang w:val="es-VE"/>
        </w:rPr>
        <w:t xml:space="preserve">.  El 20 de abril de 2004 </w:t>
      </w:r>
      <w:r w:rsidR="00A82EA7" w:rsidRPr="00420489">
        <w:rPr>
          <w:rFonts w:asciiTheme="majorHAnsi" w:hAnsiTheme="majorHAnsi"/>
          <w:sz w:val="20"/>
          <w:szCs w:val="20"/>
          <w:lang w:val="es-VE"/>
        </w:rPr>
        <w:t xml:space="preserve">el </w:t>
      </w:r>
      <w:r w:rsidR="001179C8" w:rsidRPr="00420489">
        <w:rPr>
          <w:rFonts w:asciiTheme="majorHAnsi" w:hAnsiTheme="majorHAnsi"/>
          <w:sz w:val="20"/>
          <w:szCs w:val="20"/>
          <w:lang w:val="es-VE"/>
        </w:rPr>
        <w:t>Consejo Nacional Electoral, siguiendo las normas sobre el ejercicio del derecho de reparo en los procedimientos revocatorios de mandatos de cargos de elección popular</w:t>
      </w:r>
      <w:r w:rsidR="001179C8" w:rsidRPr="00420489">
        <w:rPr>
          <w:rFonts w:asciiTheme="majorHAnsi" w:hAnsiTheme="majorHAnsi"/>
          <w:sz w:val="20"/>
          <w:szCs w:val="20"/>
          <w:vertAlign w:val="superscript"/>
        </w:rPr>
        <w:footnoteReference w:id="50"/>
      </w:r>
      <w:r w:rsidR="001179C8" w:rsidRPr="00420489">
        <w:rPr>
          <w:rFonts w:asciiTheme="majorHAnsi" w:hAnsiTheme="majorHAnsi"/>
          <w:sz w:val="20"/>
          <w:szCs w:val="20"/>
          <w:lang w:val="es-VE"/>
        </w:rPr>
        <w:t xml:space="preserve"> determinó que </w:t>
      </w:r>
      <w:r w:rsidR="00A82EA7" w:rsidRPr="00420489">
        <w:rPr>
          <w:rFonts w:asciiTheme="majorHAnsi" w:hAnsiTheme="majorHAnsi"/>
          <w:sz w:val="20"/>
          <w:szCs w:val="20"/>
          <w:lang w:val="es-VE"/>
        </w:rPr>
        <w:t>1</w:t>
      </w:r>
      <w:r w:rsidR="00075027" w:rsidRPr="00420489">
        <w:rPr>
          <w:rFonts w:asciiTheme="majorHAnsi" w:hAnsiTheme="majorHAnsi"/>
          <w:sz w:val="20"/>
          <w:szCs w:val="20"/>
          <w:lang w:val="es-VE"/>
        </w:rPr>
        <w:t>.</w:t>
      </w:r>
      <w:r w:rsidR="00A82EA7" w:rsidRPr="00420489">
        <w:rPr>
          <w:rFonts w:asciiTheme="majorHAnsi" w:hAnsiTheme="majorHAnsi"/>
          <w:sz w:val="20"/>
          <w:szCs w:val="20"/>
          <w:lang w:val="es-VE"/>
        </w:rPr>
        <w:t>192</w:t>
      </w:r>
      <w:r w:rsidR="00075027" w:rsidRPr="00420489">
        <w:rPr>
          <w:rFonts w:asciiTheme="majorHAnsi" w:hAnsiTheme="majorHAnsi"/>
          <w:sz w:val="20"/>
          <w:szCs w:val="20"/>
          <w:lang w:val="es-VE"/>
        </w:rPr>
        <w:t>.</w:t>
      </w:r>
      <w:r w:rsidR="00A82EA7" w:rsidRPr="00420489">
        <w:rPr>
          <w:rFonts w:asciiTheme="majorHAnsi" w:hAnsiTheme="majorHAnsi"/>
          <w:sz w:val="20"/>
          <w:szCs w:val="20"/>
          <w:lang w:val="es-VE"/>
        </w:rPr>
        <w:t>914 firmas debían ir a reparo</w:t>
      </w:r>
      <w:r w:rsidR="00A82EA7" w:rsidRPr="00420489">
        <w:rPr>
          <w:rStyle w:val="FootnoteReference"/>
          <w:rFonts w:asciiTheme="majorHAnsi" w:hAnsiTheme="majorHAnsi"/>
          <w:sz w:val="20"/>
          <w:szCs w:val="20"/>
          <w:lang w:val="es-VE"/>
        </w:rPr>
        <w:footnoteReference w:id="51"/>
      </w:r>
      <w:r w:rsidR="00A82EA7" w:rsidRPr="00420489">
        <w:rPr>
          <w:rFonts w:asciiTheme="majorHAnsi" w:hAnsiTheme="majorHAnsi"/>
          <w:sz w:val="20"/>
          <w:szCs w:val="20"/>
          <w:lang w:val="es-VE"/>
        </w:rPr>
        <w:t xml:space="preserve"> en la fecha que indicara el ente comicial.  </w:t>
      </w:r>
      <w:r w:rsidR="00772C4C" w:rsidRPr="00420489">
        <w:rPr>
          <w:rFonts w:asciiTheme="majorHAnsi" w:hAnsiTheme="majorHAnsi"/>
          <w:sz w:val="20"/>
          <w:szCs w:val="20"/>
          <w:lang w:val="es-VE"/>
        </w:rPr>
        <w:t>Los reparos exigían la convalidación de las firmas sujetas a reparo y  permitían retirar firmas por parte de aquellos solicitantes que hubiesen cambiado de opinión.</w:t>
      </w:r>
      <w:r w:rsidR="000862C6" w:rsidRPr="00420489">
        <w:rPr>
          <w:rFonts w:asciiTheme="majorHAnsi" w:hAnsiTheme="majorHAnsi"/>
          <w:sz w:val="20"/>
          <w:szCs w:val="20"/>
          <w:lang w:val="es-VE"/>
        </w:rPr>
        <w:t xml:space="preserve">  </w:t>
      </w:r>
      <w:r w:rsidR="00772C4C" w:rsidRPr="00420489">
        <w:rPr>
          <w:rFonts w:asciiTheme="majorHAnsi" w:hAnsiTheme="majorHAnsi"/>
          <w:sz w:val="20"/>
          <w:szCs w:val="20"/>
          <w:lang w:val="es-VE"/>
        </w:rPr>
        <w:t xml:space="preserve">El acto de reparos </w:t>
      </w:r>
      <w:r w:rsidR="000862C6" w:rsidRPr="00420489">
        <w:rPr>
          <w:rFonts w:asciiTheme="majorHAnsi" w:hAnsiTheme="majorHAnsi"/>
          <w:sz w:val="20"/>
          <w:szCs w:val="20"/>
          <w:lang w:val="es-VE"/>
        </w:rPr>
        <w:t>fue realizado el 27 de junio de 2004.</w:t>
      </w:r>
    </w:p>
    <w:p w14:paraId="690BB0CE" w14:textId="77777777" w:rsidR="0044121F" w:rsidRPr="00420489" w:rsidRDefault="0044121F" w:rsidP="00D17BB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VE"/>
        </w:rPr>
      </w:pPr>
    </w:p>
    <w:p w14:paraId="008AB8B7" w14:textId="77777777" w:rsidR="00AF127A" w:rsidRPr="00420489" w:rsidRDefault="000862C6"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El 25 de junio de 2004 mediante resolución 040615-852 el Consejo Nacional Electoral resolvió ratificar la convocatoria para la celebración del referendo revocatorio </w:t>
      </w:r>
      <w:r w:rsidR="00F36BBC" w:rsidRPr="00420489">
        <w:rPr>
          <w:rFonts w:asciiTheme="majorHAnsi" w:hAnsiTheme="majorHAnsi"/>
          <w:sz w:val="20"/>
          <w:szCs w:val="20"/>
          <w:lang w:val="es-VE"/>
        </w:rPr>
        <w:t>presidencial</w:t>
      </w:r>
      <w:r w:rsidRPr="00420489">
        <w:rPr>
          <w:rFonts w:asciiTheme="majorHAnsi" w:hAnsiTheme="majorHAnsi"/>
          <w:sz w:val="20"/>
          <w:szCs w:val="20"/>
          <w:lang w:val="es-VE"/>
        </w:rPr>
        <w:t xml:space="preserve"> para el día 15 de agosto de 2004</w:t>
      </w:r>
      <w:r w:rsidR="00F36BBC" w:rsidRPr="00420489">
        <w:rPr>
          <w:rStyle w:val="FootnoteReference"/>
          <w:rFonts w:asciiTheme="majorHAnsi" w:hAnsiTheme="majorHAnsi"/>
          <w:sz w:val="20"/>
          <w:szCs w:val="20"/>
          <w:lang w:val="es-VE"/>
        </w:rPr>
        <w:footnoteReference w:id="52"/>
      </w:r>
      <w:r w:rsidRPr="00420489">
        <w:rPr>
          <w:rFonts w:asciiTheme="majorHAnsi" w:hAnsiTheme="majorHAnsi"/>
          <w:sz w:val="20"/>
          <w:szCs w:val="20"/>
          <w:lang w:val="es-VE"/>
        </w:rPr>
        <w:t xml:space="preserve">. </w:t>
      </w:r>
      <w:r w:rsidR="0044121F" w:rsidRPr="00420489">
        <w:rPr>
          <w:rFonts w:asciiTheme="majorHAnsi" w:hAnsiTheme="majorHAnsi"/>
          <w:sz w:val="20"/>
          <w:szCs w:val="20"/>
          <w:lang w:val="es-VE"/>
        </w:rPr>
        <w:t xml:space="preserve">Dicha convocatoria se llevó a cabo obteniendo como resultado </w:t>
      </w:r>
      <w:r w:rsidR="0058101F" w:rsidRPr="00420489">
        <w:rPr>
          <w:rFonts w:asciiTheme="majorHAnsi" w:hAnsiTheme="majorHAnsi"/>
          <w:sz w:val="20"/>
          <w:szCs w:val="20"/>
          <w:lang w:val="es-VE"/>
        </w:rPr>
        <w:t>un total de 3, 989, 008 votos a favor de la revocatoria del mandato del Presidente, y 5, 800, 629 votos en contra de la revocatoria</w:t>
      </w:r>
      <w:r w:rsidR="004C4D01" w:rsidRPr="00420489">
        <w:rPr>
          <w:rFonts w:asciiTheme="majorHAnsi" w:hAnsiTheme="majorHAnsi"/>
          <w:sz w:val="20"/>
          <w:szCs w:val="20"/>
          <w:lang w:val="es-VE"/>
        </w:rPr>
        <w:t>,</w:t>
      </w:r>
      <w:r w:rsidR="0058101F" w:rsidRPr="00420489">
        <w:rPr>
          <w:rFonts w:asciiTheme="majorHAnsi" w:hAnsiTheme="majorHAnsi"/>
          <w:sz w:val="20"/>
          <w:szCs w:val="20"/>
          <w:lang w:val="es-VE"/>
        </w:rPr>
        <w:t xml:space="preserve"> por lo que el CNE declaró como ratificado el mandato del Presidente de la República</w:t>
      </w:r>
      <w:r w:rsidR="0058101F" w:rsidRPr="00420489">
        <w:rPr>
          <w:rStyle w:val="FootnoteReference"/>
          <w:rFonts w:asciiTheme="majorHAnsi" w:hAnsiTheme="majorHAnsi"/>
          <w:sz w:val="20"/>
          <w:szCs w:val="20"/>
          <w:lang w:val="es-VE"/>
        </w:rPr>
        <w:footnoteReference w:id="53"/>
      </w:r>
      <w:r w:rsidR="0058101F" w:rsidRPr="00420489">
        <w:rPr>
          <w:rFonts w:asciiTheme="majorHAnsi" w:hAnsiTheme="majorHAnsi"/>
          <w:sz w:val="20"/>
          <w:szCs w:val="20"/>
          <w:lang w:val="es-VE"/>
        </w:rPr>
        <w:t xml:space="preserve">. </w:t>
      </w:r>
      <w:r w:rsidR="004C526B" w:rsidRPr="00420489">
        <w:rPr>
          <w:rFonts w:asciiTheme="majorHAnsi" w:hAnsiTheme="majorHAnsi"/>
          <w:sz w:val="20"/>
          <w:szCs w:val="20"/>
          <w:lang w:val="es-VE"/>
        </w:rPr>
        <w:t xml:space="preserve"> La OEA y el Centro Carter, observadores de este proceso, declararon la legitimidad de los resultados</w:t>
      </w:r>
      <w:r w:rsidR="004C526B" w:rsidRPr="00420489">
        <w:rPr>
          <w:rStyle w:val="FootnoteReference"/>
          <w:rFonts w:asciiTheme="majorHAnsi" w:hAnsiTheme="majorHAnsi"/>
          <w:sz w:val="20"/>
          <w:szCs w:val="20"/>
          <w:lang w:val="es-VE"/>
        </w:rPr>
        <w:footnoteReference w:id="54"/>
      </w:r>
      <w:r w:rsidR="004C526B" w:rsidRPr="00420489">
        <w:rPr>
          <w:rFonts w:asciiTheme="majorHAnsi" w:hAnsiTheme="majorHAnsi"/>
          <w:sz w:val="20"/>
          <w:szCs w:val="20"/>
          <w:lang w:val="es-VE"/>
        </w:rPr>
        <w:t xml:space="preserve">. </w:t>
      </w:r>
    </w:p>
    <w:p w14:paraId="64DCEAD8" w14:textId="77777777" w:rsidR="004709B0" w:rsidRPr="00420489" w:rsidRDefault="004709B0" w:rsidP="00172BA6">
      <w:pPr>
        <w:pStyle w:val="ListParagraph"/>
        <w:ind w:left="1800"/>
        <w:jc w:val="both"/>
        <w:rPr>
          <w:rFonts w:asciiTheme="majorHAnsi" w:hAnsiTheme="majorHAnsi"/>
          <w:b/>
          <w:sz w:val="20"/>
          <w:szCs w:val="20"/>
          <w:lang w:val="es-VE"/>
        </w:rPr>
      </w:pPr>
    </w:p>
    <w:p w14:paraId="0A2A3A50" w14:textId="77777777" w:rsidR="00B64AE2" w:rsidRPr="00420489" w:rsidRDefault="00172BA6" w:rsidP="007913CC">
      <w:pPr>
        <w:pStyle w:val="ListParagraph"/>
        <w:numPr>
          <w:ilvl w:val="1"/>
          <w:numId w:val="55"/>
        </w:numPr>
        <w:tabs>
          <w:tab w:val="clear" w:pos="1800"/>
          <w:tab w:val="num" w:pos="1440"/>
        </w:tabs>
        <w:ind w:left="1440" w:hanging="720"/>
        <w:jc w:val="both"/>
        <w:rPr>
          <w:rFonts w:asciiTheme="majorHAnsi" w:hAnsiTheme="majorHAnsi"/>
          <w:b/>
          <w:sz w:val="20"/>
          <w:szCs w:val="20"/>
          <w:lang w:val="es-VE"/>
        </w:rPr>
      </w:pPr>
      <w:r w:rsidRPr="00420489">
        <w:rPr>
          <w:rFonts w:asciiTheme="majorHAnsi" w:hAnsiTheme="majorHAnsi"/>
          <w:b/>
          <w:sz w:val="20"/>
          <w:szCs w:val="20"/>
          <w:lang w:val="es-VE"/>
        </w:rPr>
        <w:t>Investigación del Ministerio Público respecto de las denuncias por discriminación</w:t>
      </w:r>
    </w:p>
    <w:p w14:paraId="110BC5D7" w14:textId="77777777" w:rsidR="00265475" w:rsidRPr="00420489" w:rsidRDefault="00265475" w:rsidP="004C0442">
      <w:pPr>
        <w:rPr>
          <w:rFonts w:asciiTheme="majorHAnsi" w:hAnsiTheme="majorHAnsi"/>
          <w:sz w:val="20"/>
          <w:szCs w:val="20"/>
          <w:lang w:val="es-VE"/>
        </w:rPr>
      </w:pPr>
    </w:p>
    <w:p w14:paraId="0BB1741E" w14:textId="18D39564" w:rsidR="00B36D53" w:rsidRPr="00420489" w:rsidRDefault="007673D9"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Tomando en cuenta las denuncias consignadas en diversos medios de comunicación respecto de discriminación política y despidos de funcionarios públicos como </w:t>
      </w:r>
      <w:r w:rsidR="00421205">
        <w:rPr>
          <w:rFonts w:asciiTheme="majorHAnsi" w:hAnsiTheme="majorHAnsi"/>
          <w:sz w:val="20"/>
          <w:szCs w:val="20"/>
          <w:lang w:val="es-VE"/>
        </w:rPr>
        <w:t xml:space="preserve">alegada </w:t>
      </w:r>
      <w:r w:rsidRPr="00420489">
        <w:rPr>
          <w:rFonts w:asciiTheme="majorHAnsi" w:hAnsiTheme="majorHAnsi"/>
          <w:sz w:val="20"/>
          <w:szCs w:val="20"/>
          <w:lang w:val="es-VE"/>
        </w:rPr>
        <w:t>represalia a su aparición en las listas de firmantes que solicitaron el referendo revocatorio presidencial, el Fiscal General de la República ordenó al fiscal 49</w:t>
      </w:r>
      <w:r w:rsidR="005C1183" w:rsidRPr="00420489">
        <w:rPr>
          <w:rFonts w:asciiTheme="majorHAnsi" w:hAnsiTheme="majorHAnsi"/>
          <w:sz w:val="20"/>
          <w:szCs w:val="20"/>
          <w:lang w:val="es-VE"/>
        </w:rPr>
        <w:t xml:space="preserve"> del Área Metropolitana</w:t>
      </w:r>
      <w:r w:rsidRPr="00420489">
        <w:rPr>
          <w:rFonts w:asciiTheme="majorHAnsi" w:hAnsiTheme="majorHAnsi"/>
          <w:sz w:val="20"/>
          <w:szCs w:val="20"/>
          <w:lang w:val="es-VE"/>
        </w:rPr>
        <w:t xml:space="preserve"> de Caracas abrir una investigación</w:t>
      </w:r>
      <w:r w:rsidRPr="00420489">
        <w:rPr>
          <w:rFonts w:asciiTheme="majorHAnsi" w:hAnsiTheme="majorHAnsi"/>
          <w:sz w:val="20"/>
          <w:szCs w:val="20"/>
          <w:vertAlign w:val="superscript"/>
          <w:lang w:val="es-VE"/>
        </w:rPr>
        <w:footnoteReference w:id="55"/>
      </w:r>
      <w:r w:rsidRPr="00420489">
        <w:rPr>
          <w:rFonts w:asciiTheme="majorHAnsi" w:hAnsiTheme="majorHAnsi"/>
          <w:sz w:val="20"/>
          <w:szCs w:val="20"/>
          <w:lang w:val="es-VE"/>
        </w:rPr>
        <w:t xml:space="preserve">.  Mediante comunicado de 27 de abril de 2005, </w:t>
      </w:r>
      <w:r w:rsidR="00A23138" w:rsidRPr="00420489">
        <w:rPr>
          <w:rFonts w:asciiTheme="majorHAnsi" w:hAnsiTheme="majorHAnsi"/>
          <w:sz w:val="20"/>
          <w:szCs w:val="20"/>
          <w:lang w:val="es-VE"/>
        </w:rPr>
        <w:t xml:space="preserve">el Ministerio Público </w:t>
      </w:r>
      <w:r w:rsidR="00C713D2" w:rsidRPr="00420489">
        <w:rPr>
          <w:rFonts w:asciiTheme="majorHAnsi" w:hAnsiTheme="majorHAnsi"/>
          <w:sz w:val="20"/>
          <w:szCs w:val="20"/>
          <w:lang w:val="es-VE"/>
        </w:rPr>
        <w:t>informó que el fiscal 49</w:t>
      </w:r>
      <w:r w:rsidR="00A139B1" w:rsidRPr="00420489">
        <w:rPr>
          <w:rFonts w:asciiTheme="majorHAnsi" w:hAnsiTheme="majorHAnsi"/>
          <w:sz w:val="20"/>
          <w:szCs w:val="20"/>
          <w:lang w:val="es-VE"/>
        </w:rPr>
        <w:t xml:space="preserve"> del Área Metropolitana de C</w:t>
      </w:r>
      <w:r w:rsidR="00661A1B" w:rsidRPr="00420489">
        <w:rPr>
          <w:rFonts w:asciiTheme="majorHAnsi" w:hAnsiTheme="majorHAnsi"/>
          <w:sz w:val="20"/>
          <w:szCs w:val="20"/>
          <w:lang w:val="es-VE"/>
        </w:rPr>
        <w:t xml:space="preserve">aracas </w:t>
      </w:r>
      <w:r w:rsidR="00B64AE2" w:rsidRPr="00420489">
        <w:rPr>
          <w:rFonts w:asciiTheme="majorHAnsi" w:hAnsiTheme="majorHAnsi"/>
          <w:sz w:val="20"/>
          <w:szCs w:val="20"/>
          <w:lang w:val="es-VE"/>
        </w:rPr>
        <w:t>inició las “investigaciones legales pertinentes para indagar si hubo delitos concretos en los que pudieran haber incurrido tanto funcionarios como particulares en el uso de los referidos listados”. En el mismo comunicado añadió que ninguna norma “establece que no se pueda</w:t>
      </w:r>
      <w:r w:rsidR="00A9366F" w:rsidRPr="00420489">
        <w:rPr>
          <w:rFonts w:asciiTheme="majorHAnsi" w:hAnsiTheme="majorHAnsi"/>
          <w:sz w:val="20"/>
          <w:szCs w:val="20"/>
          <w:lang w:val="es-VE"/>
        </w:rPr>
        <w:t>n</w:t>
      </w:r>
      <w:r w:rsidR="00B64AE2" w:rsidRPr="00420489">
        <w:rPr>
          <w:rFonts w:asciiTheme="majorHAnsi" w:hAnsiTheme="majorHAnsi"/>
          <w:sz w:val="20"/>
          <w:szCs w:val="20"/>
          <w:lang w:val="es-VE"/>
        </w:rPr>
        <w:t xml:space="preserve"> difundir las lista</w:t>
      </w:r>
      <w:r w:rsidR="00A9366F" w:rsidRPr="00420489">
        <w:rPr>
          <w:rFonts w:asciiTheme="majorHAnsi" w:hAnsiTheme="majorHAnsi"/>
          <w:sz w:val="20"/>
          <w:szCs w:val="20"/>
          <w:lang w:val="es-VE"/>
        </w:rPr>
        <w:t>s</w:t>
      </w:r>
      <w:r w:rsidR="00B64AE2" w:rsidRPr="00420489">
        <w:rPr>
          <w:rFonts w:asciiTheme="majorHAnsi" w:hAnsiTheme="majorHAnsi"/>
          <w:sz w:val="20"/>
          <w:szCs w:val="20"/>
          <w:lang w:val="es-VE"/>
        </w:rPr>
        <w:t xml:space="preserve"> de firmantes y, por el contrario, una de las razones para su difusión es, precisamente, evitar el uso indebido de firmas que pudieran perjudicar la autenticidad y transparencia del proceso</w:t>
      </w:r>
      <w:r w:rsidR="00C713D2" w:rsidRPr="00420489">
        <w:rPr>
          <w:rFonts w:asciiTheme="majorHAnsi" w:hAnsiTheme="majorHAnsi"/>
          <w:sz w:val="20"/>
          <w:szCs w:val="20"/>
          <w:lang w:val="es-VE"/>
        </w:rPr>
        <w:t>”</w:t>
      </w:r>
      <w:r w:rsidR="00A139B1" w:rsidRPr="00420489">
        <w:rPr>
          <w:rFonts w:asciiTheme="majorHAnsi" w:hAnsiTheme="majorHAnsi"/>
          <w:sz w:val="20"/>
          <w:szCs w:val="20"/>
          <w:vertAlign w:val="superscript"/>
          <w:lang w:val="es-VE"/>
        </w:rPr>
        <w:footnoteReference w:id="56"/>
      </w:r>
      <w:r w:rsidR="00B64AE2" w:rsidRPr="00420489">
        <w:rPr>
          <w:rFonts w:asciiTheme="majorHAnsi" w:hAnsiTheme="majorHAnsi"/>
          <w:sz w:val="20"/>
          <w:szCs w:val="20"/>
          <w:lang w:val="es-VE"/>
        </w:rPr>
        <w:t xml:space="preserve">. </w:t>
      </w:r>
      <w:r w:rsidR="00B36D53" w:rsidRPr="00420489">
        <w:rPr>
          <w:rFonts w:asciiTheme="majorHAnsi" w:hAnsiTheme="majorHAnsi"/>
          <w:sz w:val="20"/>
          <w:szCs w:val="20"/>
          <w:lang w:val="es-VE"/>
        </w:rPr>
        <w:t xml:space="preserve">La Comisión no cuenta con información respecto de los resultados de dicha investigación. </w:t>
      </w:r>
    </w:p>
    <w:p w14:paraId="31C0606A" w14:textId="77777777" w:rsidR="001D568D" w:rsidRPr="00420489" w:rsidRDefault="001D568D" w:rsidP="00F90CE4">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3C3FA138" w14:textId="40263A11" w:rsidR="001D568D" w:rsidRPr="00420489" w:rsidRDefault="001D568D" w:rsidP="007913CC">
      <w:pPr>
        <w:pStyle w:val="ListParagraph"/>
        <w:numPr>
          <w:ilvl w:val="1"/>
          <w:numId w:val="55"/>
        </w:numPr>
        <w:tabs>
          <w:tab w:val="clear" w:pos="1800"/>
          <w:tab w:val="num" w:pos="1440"/>
        </w:tabs>
        <w:ind w:left="1440" w:hanging="720"/>
        <w:jc w:val="both"/>
        <w:rPr>
          <w:rFonts w:asciiTheme="majorHAnsi" w:hAnsiTheme="majorHAnsi"/>
          <w:b/>
          <w:sz w:val="20"/>
          <w:szCs w:val="20"/>
          <w:lang w:val="es-VE"/>
        </w:rPr>
      </w:pPr>
      <w:r w:rsidRPr="00420489">
        <w:rPr>
          <w:rFonts w:asciiTheme="majorHAnsi" w:hAnsiTheme="majorHAnsi"/>
          <w:b/>
          <w:sz w:val="20"/>
          <w:szCs w:val="20"/>
          <w:lang w:val="es-VE"/>
        </w:rPr>
        <w:t xml:space="preserve">El fin de la “Lista </w:t>
      </w:r>
      <w:proofErr w:type="spellStart"/>
      <w:r w:rsidRPr="00420489">
        <w:rPr>
          <w:rFonts w:asciiTheme="majorHAnsi" w:hAnsiTheme="majorHAnsi"/>
          <w:b/>
          <w:sz w:val="20"/>
          <w:szCs w:val="20"/>
          <w:lang w:val="es-VE"/>
        </w:rPr>
        <w:t>Tascón</w:t>
      </w:r>
      <w:proofErr w:type="spellEnd"/>
      <w:r w:rsidRPr="00420489">
        <w:rPr>
          <w:rFonts w:asciiTheme="majorHAnsi" w:hAnsiTheme="majorHAnsi"/>
          <w:b/>
          <w:sz w:val="20"/>
          <w:szCs w:val="20"/>
          <w:lang w:val="es-VE"/>
        </w:rPr>
        <w:t xml:space="preserve">” y </w:t>
      </w:r>
      <w:r w:rsidR="002D6432" w:rsidRPr="00420489">
        <w:rPr>
          <w:rFonts w:asciiTheme="majorHAnsi" w:hAnsiTheme="majorHAnsi"/>
          <w:b/>
          <w:sz w:val="20"/>
          <w:szCs w:val="20"/>
          <w:lang w:val="es-VE"/>
        </w:rPr>
        <w:t xml:space="preserve">el inicio de la </w:t>
      </w:r>
      <w:r w:rsidRPr="00420489">
        <w:rPr>
          <w:rFonts w:asciiTheme="majorHAnsi" w:hAnsiTheme="majorHAnsi"/>
          <w:b/>
          <w:sz w:val="20"/>
          <w:szCs w:val="20"/>
          <w:lang w:val="es-VE"/>
        </w:rPr>
        <w:t xml:space="preserve">“la </w:t>
      </w:r>
      <w:r w:rsidR="00421205">
        <w:rPr>
          <w:rFonts w:asciiTheme="majorHAnsi" w:hAnsiTheme="majorHAnsi"/>
          <w:b/>
          <w:sz w:val="20"/>
          <w:szCs w:val="20"/>
          <w:lang w:val="es-VE"/>
        </w:rPr>
        <w:t>L</w:t>
      </w:r>
      <w:r w:rsidRPr="00420489">
        <w:rPr>
          <w:rFonts w:asciiTheme="majorHAnsi" w:hAnsiTheme="majorHAnsi"/>
          <w:b/>
          <w:sz w:val="20"/>
          <w:szCs w:val="20"/>
          <w:lang w:val="es-VE"/>
        </w:rPr>
        <w:t xml:space="preserve">ista </w:t>
      </w:r>
      <w:proofErr w:type="spellStart"/>
      <w:r w:rsidR="00421205">
        <w:rPr>
          <w:rFonts w:asciiTheme="majorHAnsi" w:hAnsiTheme="majorHAnsi"/>
          <w:b/>
          <w:sz w:val="20"/>
          <w:szCs w:val="20"/>
          <w:lang w:val="es-VE"/>
        </w:rPr>
        <w:t>M</w:t>
      </w:r>
      <w:r w:rsidRPr="00420489">
        <w:rPr>
          <w:rFonts w:asciiTheme="majorHAnsi" w:hAnsiTheme="majorHAnsi"/>
          <w:b/>
          <w:sz w:val="20"/>
          <w:szCs w:val="20"/>
          <w:lang w:val="es-VE"/>
        </w:rPr>
        <w:t>aisanta</w:t>
      </w:r>
      <w:proofErr w:type="spellEnd"/>
      <w:r w:rsidRPr="00420489">
        <w:rPr>
          <w:rFonts w:asciiTheme="majorHAnsi" w:hAnsiTheme="majorHAnsi"/>
          <w:b/>
          <w:sz w:val="20"/>
          <w:szCs w:val="20"/>
          <w:lang w:val="es-VE"/>
        </w:rPr>
        <w:t>”</w:t>
      </w:r>
    </w:p>
    <w:p w14:paraId="7018AB98" w14:textId="77777777" w:rsidR="001D568D" w:rsidRPr="00420489" w:rsidRDefault="001D568D" w:rsidP="001D568D">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7D7BE6A4" w14:textId="77777777" w:rsidR="00F90CE4" w:rsidRPr="00420489" w:rsidRDefault="0023138D"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Según información recibida por la Comisión, el 15 de abril de 2005 el entonces Presidente de la República Hugo Chávez, refiriéndose a la Lista </w:t>
      </w:r>
      <w:proofErr w:type="spellStart"/>
      <w:r w:rsidRPr="00420489">
        <w:rPr>
          <w:rFonts w:asciiTheme="majorHAnsi" w:hAnsiTheme="majorHAnsi"/>
          <w:sz w:val="20"/>
          <w:szCs w:val="20"/>
          <w:lang w:val="es-VE"/>
        </w:rPr>
        <w:t>Tascón</w:t>
      </w:r>
      <w:proofErr w:type="spellEnd"/>
      <w:r w:rsidRPr="00420489">
        <w:rPr>
          <w:rFonts w:asciiTheme="majorHAnsi" w:hAnsiTheme="majorHAnsi"/>
          <w:sz w:val="20"/>
          <w:szCs w:val="20"/>
          <w:lang w:val="es-VE"/>
        </w:rPr>
        <w:t xml:space="preserve"> declaró que </w:t>
      </w:r>
      <w:r w:rsidR="006A4388" w:rsidRPr="00420489">
        <w:rPr>
          <w:rFonts w:asciiTheme="majorHAnsi" w:hAnsiTheme="majorHAnsi"/>
          <w:sz w:val="20"/>
          <w:szCs w:val="20"/>
          <w:lang w:val="es-VE"/>
        </w:rPr>
        <w:t xml:space="preserve">“fue un momento que ya quedó atrás. Si alguno de nosotros para tomar una decisión personal con alguien va a buscar la lista, lo que está es trayendo situaciones pasadas al presente y contribuyendo a recrearlas. </w:t>
      </w:r>
      <w:r w:rsidRPr="00420489">
        <w:rPr>
          <w:rFonts w:asciiTheme="majorHAnsi" w:hAnsiTheme="majorHAnsi"/>
          <w:sz w:val="20"/>
          <w:szCs w:val="20"/>
          <w:lang w:val="es-VE"/>
        </w:rPr>
        <w:t xml:space="preserve">[…] La famosa lista seguramente cumplió un papel importante en un momento determinado, pero eso pasó. Vamos a llamar a todo el país a tender puentes. Digo esto porque por allí me han llegado algunas cartas, de tantos papeles que me llegan, que me hacen pensar que todavía en algunos espacios tienen la lista de </w:t>
      </w:r>
      <w:proofErr w:type="spellStart"/>
      <w:r w:rsidRPr="00420489">
        <w:rPr>
          <w:rFonts w:asciiTheme="majorHAnsi" w:hAnsiTheme="majorHAnsi"/>
          <w:sz w:val="20"/>
          <w:szCs w:val="20"/>
          <w:lang w:val="es-VE"/>
        </w:rPr>
        <w:t>Tascón</w:t>
      </w:r>
      <w:proofErr w:type="spellEnd"/>
      <w:r w:rsidRPr="00420489">
        <w:rPr>
          <w:rFonts w:asciiTheme="majorHAnsi" w:hAnsiTheme="majorHAnsi"/>
          <w:sz w:val="20"/>
          <w:szCs w:val="20"/>
          <w:lang w:val="es-VE"/>
        </w:rPr>
        <w:t xml:space="preserve"> en la mesa para determinar si alguien va a trabajar o no va a trabajar. Entiérrese la lista de Luis </w:t>
      </w:r>
      <w:proofErr w:type="spellStart"/>
      <w:r w:rsidRPr="00420489">
        <w:rPr>
          <w:rFonts w:asciiTheme="majorHAnsi" w:hAnsiTheme="majorHAnsi"/>
          <w:sz w:val="20"/>
          <w:szCs w:val="20"/>
          <w:lang w:val="es-VE"/>
        </w:rPr>
        <w:t>Tascón</w:t>
      </w:r>
      <w:proofErr w:type="spellEnd"/>
      <w:r w:rsidRPr="00420489">
        <w:rPr>
          <w:rFonts w:asciiTheme="majorHAnsi" w:hAnsiTheme="majorHAnsi"/>
          <w:sz w:val="20"/>
          <w:szCs w:val="20"/>
          <w:lang w:val="es-VE"/>
        </w:rPr>
        <w:t>”</w:t>
      </w:r>
      <w:r w:rsidR="003332ED" w:rsidRPr="00420489">
        <w:rPr>
          <w:rStyle w:val="FootnoteReference"/>
          <w:rFonts w:asciiTheme="majorHAnsi" w:hAnsiTheme="majorHAnsi"/>
          <w:sz w:val="20"/>
          <w:szCs w:val="20"/>
          <w:lang w:val="es-VE"/>
        </w:rPr>
        <w:footnoteReference w:id="57"/>
      </w:r>
      <w:r w:rsidRPr="00420489">
        <w:rPr>
          <w:rFonts w:asciiTheme="majorHAnsi" w:hAnsiTheme="majorHAnsi"/>
          <w:sz w:val="20"/>
          <w:szCs w:val="20"/>
          <w:lang w:val="es-VE"/>
        </w:rPr>
        <w:t>.</w:t>
      </w:r>
      <w:r w:rsidR="001A4150" w:rsidRPr="00420489">
        <w:rPr>
          <w:rFonts w:asciiTheme="majorHAnsi" w:hAnsiTheme="majorHAnsi"/>
          <w:sz w:val="20"/>
          <w:szCs w:val="20"/>
          <w:lang w:val="es-VE"/>
        </w:rPr>
        <w:t xml:space="preserve">     </w:t>
      </w:r>
    </w:p>
    <w:p w14:paraId="154C2EAC" w14:textId="77777777" w:rsidR="00F90CE4" w:rsidRPr="00420489" w:rsidRDefault="00F90CE4" w:rsidP="00D17BB1">
      <w:pPr>
        <w:pBdr>
          <w:left w:val="none" w:sz="0" w:space="0" w:color="auto"/>
          <w:bottom w:val="none" w:sz="0" w:space="0" w:color="auto"/>
          <w:right w:val="none" w:sz="0" w:space="0" w:color="auto"/>
          <w:between w:val="none" w:sz="0" w:space="0" w:color="auto"/>
          <w:bar w:val="none" w:sz="0" w:color="auto"/>
        </w:pBdr>
        <w:tabs>
          <w:tab w:val="num" w:pos="1440"/>
        </w:tabs>
        <w:ind w:left="720"/>
        <w:jc w:val="both"/>
        <w:rPr>
          <w:rFonts w:asciiTheme="majorHAnsi" w:hAnsiTheme="majorHAnsi"/>
          <w:sz w:val="20"/>
          <w:szCs w:val="20"/>
          <w:lang w:val="es-VE"/>
        </w:rPr>
      </w:pPr>
    </w:p>
    <w:p w14:paraId="26A73129" w14:textId="70EDBAFA" w:rsidR="00F90CE4" w:rsidRPr="00420489" w:rsidRDefault="001A4150"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eastAsia="Times New Roman" w:hAnsiTheme="majorHAnsi"/>
          <w:color w:val="000000"/>
          <w:sz w:val="20"/>
          <w:szCs w:val="20"/>
          <w:bdr w:val="none" w:sz="0" w:space="0" w:color="auto"/>
          <w:lang w:val="es-AR"/>
        </w:rPr>
      </w:pPr>
      <w:r w:rsidRPr="00420489">
        <w:rPr>
          <w:rFonts w:asciiTheme="majorHAnsi" w:hAnsiTheme="majorHAnsi"/>
          <w:sz w:val="20"/>
          <w:szCs w:val="20"/>
          <w:lang w:val="es-VE"/>
        </w:rPr>
        <w:t xml:space="preserve">En su informe de 2009 sobre Democracia y </w:t>
      </w:r>
      <w:r w:rsidR="00D00C12" w:rsidRPr="00420489">
        <w:rPr>
          <w:rFonts w:asciiTheme="majorHAnsi" w:hAnsiTheme="majorHAnsi"/>
          <w:sz w:val="20"/>
          <w:szCs w:val="20"/>
          <w:lang w:val="es-VE"/>
        </w:rPr>
        <w:t>D</w:t>
      </w:r>
      <w:r w:rsidRPr="00420489">
        <w:rPr>
          <w:rFonts w:asciiTheme="majorHAnsi" w:hAnsiTheme="majorHAnsi"/>
          <w:sz w:val="20"/>
          <w:szCs w:val="20"/>
          <w:lang w:val="es-VE"/>
        </w:rPr>
        <w:t xml:space="preserve">erechos </w:t>
      </w:r>
      <w:r w:rsidR="00D00C12" w:rsidRPr="00420489">
        <w:rPr>
          <w:rFonts w:asciiTheme="majorHAnsi" w:hAnsiTheme="majorHAnsi"/>
          <w:sz w:val="20"/>
          <w:szCs w:val="20"/>
          <w:lang w:val="es-VE"/>
        </w:rPr>
        <w:t>H</w:t>
      </w:r>
      <w:r w:rsidRPr="00420489">
        <w:rPr>
          <w:rFonts w:asciiTheme="majorHAnsi" w:hAnsiTheme="majorHAnsi"/>
          <w:sz w:val="20"/>
          <w:szCs w:val="20"/>
          <w:lang w:val="es-VE"/>
        </w:rPr>
        <w:t xml:space="preserve">umanos en Venezuela, la CIDH </w:t>
      </w:r>
      <w:r w:rsidR="00421205">
        <w:rPr>
          <w:rFonts w:asciiTheme="majorHAnsi" w:hAnsiTheme="majorHAnsi"/>
          <w:sz w:val="20"/>
          <w:szCs w:val="20"/>
          <w:lang w:val="es-VE"/>
        </w:rPr>
        <w:t>tomó nota de</w:t>
      </w:r>
      <w:r w:rsidR="00421205" w:rsidRPr="00420489">
        <w:rPr>
          <w:rFonts w:asciiTheme="majorHAnsi" w:hAnsiTheme="majorHAnsi"/>
          <w:sz w:val="20"/>
          <w:szCs w:val="20"/>
          <w:lang w:val="es-VE"/>
        </w:rPr>
        <w:t xml:space="preserve"> </w:t>
      </w:r>
      <w:r w:rsidR="00421205">
        <w:rPr>
          <w:rFonts w:asciiTheme="majorHAnsi" w:hAnsiTheme="majorHAnsi"/>
          <w:sz w:val="20"/>
          <w:szCs w:val="20"/>
          <w:lang w:val="es-VE"/>
        </w:rPr>
        <w:t>la</w:t>
      </w:r>
      <w:r w:rsidR="00421205" w:rsidRPr="00420489">
        <w:rPr>
          <w:rFonts w:asciiTheme="majorHAnsi" w:hAnsiTheme="majorHAnsi"/>
          <w:sz w:val="20"/>
          <w:szCs w:val="20"/>
          <w:lang w:val="es-VE"/>
        </w:rPr>
        <w:t xml:space="preserve"> </w:t>
      </w:r>
      <w:r w:rsidRPr="00420489">
        <w:rPr>
          <w:rFonts w:asciiTheme="majorHAnsi" w:hAnsiTheme="majorHAnsi"/>
          <w:sz w:val="20"/>
          <w:szCs w:val="20"/>
          <w:lang w:val="es-VE"/>
        </w:rPr>
        <w:t>declaración en la que el Presidente de la República habría reconocido que dicha lista fue utilizada con objetivos de discriminación política, para entre otros, despedir a trabajadores o bloquear solicitudes de empleo y</w:t>
      </w:r>
      <w:r w:rsidR="00D00C12" w:rsidRPr="00420489">
        <w:rPr>
          <w:rFonts w:asciiTheme="majorHAnsi" w:hAnsiTheme="majorHAnsi"/>
          <w:sz w:val="20"/>
          <w:szCs w:val="20"/>
          <w:lang w:val="es-VE"/>
        </w:rPr>
        <w:t>,</w:t>
      </w:r>
      <w:r w:rsidRPr="00420489">
        <w:rPr>
          <w:rFonts w:asciiTheme="majorHAnsi" w:hAnsiTheme="majorHAnsi"/>
          <w:sz w:val="20"/>
          <w:szCs w:val="20"/>
          <w:lang w:val="es-VE"/>
        </w:rPr>
        <w:t xml:space="preserve"> mediante la cual</w:t>
      </w:r>
      <w:r w:rsidR="00D00C12" w:rsidRPr="00420489">
        <w:rPr>
          <w:rFonts w:asciiTheme="majorHAnsi" w:hAnsiTheme="majorHAnsi"/>
          <w:sz w:val="20"/>
          <w:szCs w:val="20"/>
          <w:lang w:val="es-VE"/>
        </w:rPr>
        <w:t>,</w:t>
      </w:r>
      <w:r w:rsidRPr="00420489">
        <w:rPr>
          <w:rFonts w:asciiTheme="majorHAnsi" w:hAnsiTheme="majorHAnsi"/>
          <w:sz w:val="20"/>
          <w:szCs w:val="20"/>
          <w:lang w:val="es-VE"/>
        </w:rPr>
        <w:t xml:space="preserve"> el Presidente hizo un llamado a las autoridades regionales </w:t>
      </w:r>
      <w:r w:rsidR="00F90CE4" w:rsidRPr="00420489">
        <w:rPr>
          <w:rFonts w:asciiTheme="majorHAnsi" w:hAnsiTheme="majorHAnsi"/>
          <w:sz w:val="20"/>
          <w:szCs w:val="20"/>
          <w:lang w:val="es-VE"/>
        </w:rPr>
        <w:t xml:space="preserve">y a sus colaboradores de archivar y enterrar la “lista </w:t>
      </w:r>
      <w:proofErr w:type="spellStart"/>
      <w:r w:rsidR="00F90CE4" w:rsidRPr="00420489">
        <w:rPr>
          <w:rFonts w:asciiTheme="majorHAnsi" w:hAnsiTheme="majorHAnsi"/>
          <w:sz w:val="20"/>
          <w:szCs w:val="20"/>
          <w:lang w:val="es-VE"/>
        </w:rPr>
        <w:t>Tascón</w:t>
      </w:r>
      <w:proofErr w:type="spellEnd"/>
      <w:r w:rsidR="00F90CE4" w:rsidRPr="00420489">
        <w:rPr>
          <w:rFonts w:asciiTheme="majorHAnsi" w:hAnsiTheme="majorHAnsi"/>
          <w:sz w:val="20"/>
          <w:szCs w:val="20"/>
          <w:lang w:val="es-VE"/>
        </w:rPr>
        <w:t>”</w:t>
      </w:r>
      <w:r w:rsidR="00F90CE4" w:rsidRPr="00420489">
        <w:rPr>
          <w:rStyle w:val="FootnoteReference"/>
          <w:rFonts w:asciiTheme="majorHAnsi" w:hAnsiTheme="majorHAnsi"/>
          <w:sz w:val="20"/>
          <w:szCs w:val="20"/>
          <w:lang w:val="es-VE"/>
        </w:rPr>
        <w:footnoteReference w:id="58"/>
      </w:r>
      <w:r w:rsidR="00F90CE4" w:rsidRPr="00420489">
        <w:rPr>
          <w:rFonts w:asciiTheme="majorHAnsi" w:hAnsiTheme="majorHAnsi"/>
          <w:sz w:val="20"/>
          <w:szCs w:val="20"/>
          <w:lang w:val="es-VE"/>
        </w:rPr>
        <w:t>. No obstante la CIDH también refirió que según información recibida</w:t>
      </w:r>
      <w:r w:rsidR="00D00C12" w:rsidRPr="00420489">
        <w:rPr>
          <w:rFonts w:asciiTheme="majorHAnsi" w:hAnsiTheme="majorHAnsi"/>
          <w:sz w:val="20"/>
          <w:szCs w:val="20"/>
          <w:lang w:val="es-VE"/>
        </w:rPr>
        <w:t>,</w:t>
      </w:r>
      <w:r w:rsidR="00F90CE4" w:rsidRPr="00420489">
        <w:rPr>
          <w:rFonts w:asciiTheme="majorHAnsi" w:hAnsiTheme="majorHAnsi"/>
          <w:sz w:val="20"/>
          <w:szCs w:val="20"/>
          <w:lang w:val="es-VE"/>
        </w:rPr>
        <w:t xml:space="preserve"> la lista seguiría siendo utilizada a nivel público y privado como instrumento para discriminar por razones políticas a cientos de personas, y mostró preocupación por información según la cual </w:t>
      </w:r>
      <w:r w:rsidR="00F90CE4" w:rsidRPr="00420489">
        <w:rPr>
          <w:rFonts w:asciiTheme="majorHAnsi" w:eastAsia="Times New Roman" w:hAnsiTheme="majorHAnsi"/>
          <w:color w:val="000000"/>
          <w:sz w:val="20"/>
          <w:szCs w:val="20"/>
          <w:bdr w:val="none" w:sz="0" w:space="0" w:color="auto"/>
          <w:lang w:val="es-AR"/>
        </w:rPr>
        <w:t xml:space="preserve">durante las elecciones legislativas del año 2005 se creó una herramienta aún más sofisticada, conocida como la “lista </w:t>
      </w:r>
      <w:proofErr w:type="spellStart"/>
      <w:r w:rsidR="00F90CE4" w:rsidRPr="00420489">
        <w:rPr>
          <w:rFonts w:asciiTheme="majorHAnsi" w:eastAsia="Times New Roman" w:hAnsiTheme="majorHAnsi"/>
          <w:color w:val="000000"/>
          <w:sz w:val="20"/>
          <w:szCs w:val="20"/>
          <w:bdr w:val="none" w:sz="0" w:space="0" w:color="auto"/>
          <w:lang w:val="es-AR"/>
        </w:rPr>
        <w:t>Maisanta</w:t>
      </w:r>
      <w:proofErr w:type="spellEnd"/>
      <w:r w:rsidR="00F90CE4" w:rsidRPr="00420489">
        <w:rPr>
          <w:rFonts w:asciiTheme="majorHAnsi" w:eastAsia="Times New Roman" w:hAnsiTheme="majorHAnsi"/>
          <w:color w:val="000000"/>
          <w:sz w:val="20"/>
          <w:szCs w:val="20"/>
          <w:bdr w:val="none" w:sz="0" w:space="0" w:color="auto"/>
          <w:lang w:val="es-AR"/>
        </w:rPr>
        <w:t>”, que no sólo contiene los nombres de quienes firmaron la petición de referendo revocatorio, sino información detallada sobre los votantes registrados y su posición política y consideró que la creación de esta lista afecta la garantía del voto secreto contenida en el artículo 23 de la Convención Americana</w:t>
      </w:r>
      <w:r w:rsidR="00F90CE4" w:rsidRPr="00420489">
        <w:rPr>
          <w:rStyle w:val="FootnoteReference"/>
          <w:rFonts w:asciiTheme="majorHAnsi" w:eastAsia="Times New Roman" w:hAnsiTheme="majorHAnsi"/>
          <w:color w:val="000000"/>
          <w:sz w:val="20"/>
          <w:szCs w:val="20"/>
          <w:bdr w:val="none" w:sz="0" w:space="0" w:color="auto"/>
          <w:lang w:val="es-AR"/>
        </w:rPr>
        <w:footnoteReference w:id="59"/>
      </w:r>
      <w:r w:rsidR="00F90CE4" w:rsidRPr="00420489">
        <w:rPr>
          <w:rFonts w:asciiTheme="majorHAnsi" w:eastAsia="Times New Roman" w:hAnsiTheme="majorHAnsi"/>
          <w:color w:val="000000"/>
          <w:sz w:val="20"/>
          <w:szCs w:val="20"/>
          <w:bdr w:val="none" w:sz="0" w:space="0" w:color="auto"/>
          <w:lang w:val="es-AR"/>
        </w:rPr>
        <w:t xml:space="preserve">. </w:t>
      </w:r>
    </w:p>
    <w:p w14:paraId="7715BFF7" w14:textId="77777777" w:rsidR="00F90CE4" w:rsidRPr="00420489" w:rsidRDefault="00F90CE4" w:rsidP="004C0442">
      <w:pPr>
        <w:rPr>
          <w:rFonts w:asciiTheme="majorHAnsi" w:hAnsiTheme="majorHAnsi"/>
          <w:sz w:val="20"/>
          <w:szCs w:val="20"/>
          <w:lang w:val="es-VE"/>
        </w:rPr>
      </w:pPr>
    </w:p>
    <w:p w14:paraId="18727147" w14:textId="77777777" w:rsidR="00E40449" w:rsidRPr="00420489" w:rsidRDefault="00FA08DD" w:rsidP="007913CC">
      <w:pPr>
        <w:pStyle w:val="Heading2"/>
        <w:numPr>
          <w:ilvl w:val="0"/>
          <w:numId w:val="60"/>
        </w:numPr>
      </w:pPr>
      <w:bookmarkStart w:id="28" w:name="_Toc433308902"/>
      <w:r w:rsidRPr="00420489">
        <w:t>La</w:t>
      </w:r>
      <w:r w:rsidR="00027093" w:rsidRPr="00420489">
        <w:t xml:space="preserve"> relación laboral y</w:t>
      </w:r>
      <w:r w:rsidRPr="00420489">
        <w:t xml:space="preserve"> terminación de los contratos de Rocío San Miguel Sosa, </w:t>
      </w:r>
      <w:proofErr w:type="spellStart"/>
      <w:r w:rsidRPr="00420489">
        <w:t>Magally</w:t>
      </w:r>
      <w:proofErr w:type="spellEnd"/>
      <w:r w:rsidRPr="00420489">
        <w:t xml:space="preserve"> Chang Girón y Thais Coromoto Peña</w:t>
      </w:r>
      <w:bookmarkEnd w:id="28"/>
      <w:r w:rsidRPr="00420489">
        <w:t xml:space="preserve"> </w:t>
      </w:r>
    </w:p>
    <w:p w14:paraId="79705EB9" w14:textId="77777777" w:rsidR="002C1C64" w:rsidRPr="00420489" w:rsidRDefault="002C1C64" w:rsidP="002C1C64">
      <w:pPr>
        <w:rPr>
          <w:rFonts w:asciiTheme="majorHAnsi" w:hAnsiTheme="majorHAnsi"/>
          <w:sz w:val="20"/>
          <w:szCs w:val="20"/>
          <w:lang w:val="es-ES_tradnl"/>
        </w:rPr>
      </w:pPr>
    </w:p>
    <w:p w14:paraId="66EEC64E" w14:textId="1A495B34" w:rsidR="006868CE" w:rsidRPr="00420489" w:rsidRDefault="00C713D2"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ES_tradnl"/>
        </w:rPr>
      </w:pPr>
      <w:r w:rsidRPr="00420489">
        <w:rPr>
          <w:rFonts w:asciiTheme="majorHAnsi" w:hAnsiTheme="majorHAnsi"/>
          <w:sz w:val="20"/>
          <w:szCs w:val="20"/>
          <w:lang w:val="es-VE"/>
        </w:rPr>
        <w:lastRenderedPageBreak/>
        <w:t>Las tres presuntas víctimas del presente caso</w:t>
      </w:r>
      <w:r w:rsidR="003E111D" w:rsidRPr="00420489">
        <w:rPr>
          <w:rFonts w:asciiTheme="majorHAnsi" w:hAnsiTheme="majorHAnsi"/>
          <w:sz w:val="20"/>
          <w:szCs w:val="20"/>
          <w:lang w:val="es-VE"/>
        </w:rPr>
        <w:t>,</w:t>
      </w:r>
      <w:r w:rsidRPr="00420489">
        <w:rPr>
          <w:rFonts w:asciiTheme="majorHAnsi" w:hAnsiTheme="majorHAnsi"/>
          <w:sz w:val="20"/>
          <w:szCs w:val="20"/>
          <w:lang w:val="es-VE"/>
        </w:rPr>
        <w:t xml:space="preserve"> Rocío San Miguel Sosa, </w:t>
      </w:r>
      <w:proofErr w:type="spellStart"/>
      <w:r w:rsidRPr="00420489">
        <w:rPr>
          <w:rFonts w:asciiTheme="majorHAnsi" w:hAnsiTheme="majorHAnsi"/>
          <w:sz w:val="20"/>
          <w:szCs w:val="20"/>
          <w:lang w:val="es-VE"/>
        </w:rPr>
        <w:t>Magally</w:t>
      </w:r>
      <w:proofErr w:type="spellEnd"/>
      <w:r w:rsidRPr="00420489">
        <w:rPr>
          <w:rFonts w:asciiTheme="majorHAnsi" w:hAnsiTheme="majorHAnsi"/>
          <w:sz w:val="20"/>
          <w:szCs w:val="20"/>
          <w:lang w:val="es-VE"/>
        </w:rPr>
        <w:t xml:space="preserve"> Chang Girón y Thais Coromoto Peña</w:t>
      </w:r>
      <w:r w:rsidR="003E111D" w:rsidRPr="00420489">
        <w:rPr>
          <w:rFonts w:asciiTheme="majorHAnsi" w:hAnsiTheme="majorHAnsi"/>
          <w:sz w:val="20"/>
          <w:szCs w:val="20"/>
          <w:lang w:val="es-VE"/>
        </w:rPr>
        <w:t>,</w:t>
      </w:r>
      <w:r w:rsidRPr="00420489">
        <w:rPr>
          <w:rFonts w:asciiTheme="majorHAnsi" w:hAnsiTheme="majorHAnsi"/>
          <w:sz w:val="20"/>
          <w:szCs w:val="20"/>
          <w:lang w:val="es-VE"/>
        </w:rPr>
        <w:t xml:space="preserve"> laboraban para el Consejo Nacional de Fronteras</w:t>
      </w:r>
      <w:r w:rsidR="006868CE" w:rsidRPr="00420489">
        <w:rPr>
          <w:rFonts w:asciiTheme="majorHAnsi" w:hAnsiTheme="majorHAnsi"/>
          <w:sz w:val="20"/>
          <w:szCs w:val="20"/>
          <w:lang w:val="es-VE"/>
        </w:rPr>
        <w:t xml:space="preserve"> bajo la figura de contra</w:t>
      </w:r>
      <w:r w:rsidR="00FB176F">
        <w:rPr>
          <w:rFonts w:asciiTheme="majorHAnsi" w:hAnsiTheme="majorHAnsi"/>
          <w:sz w:val="20"/>
          <w:szCs w:val="20"/>
          <w:lang w:val="es-VE"/>
        </w:rPr>
        <w:t xml:space="preserve">to de servicios profesionales. </w:t>
      </w:r>
      <w:r w:rsidR="006868CE" w:rsidRPr="00420489">
        <w:rPr>
          <w:rFonts w:asciiTheme="majorHAnsi" w:hAnsiTheme="majorHAnsi"/>
          <w:sz w:val="20"/>
          <w:szCs w:val="20"/>
          <w:lang w:val="es-VE"/>
        </w:rPr>
        <w:t xml:space="preserve">Según un informe de la Oficina de </w:t>
      </w:r>
      <w:r w:rsidR="006868CE" w:rsidRPr="00420489">
        <w:rPr>
          <w:rFonts w:asciiTheme="majorHAnsi" w:hAnsiTheme="majorHAnsi"/>
          <w:sz w:val="20"/>
          <w:szCs w:val="20"/>
          <w:lang w:val="es-ES_tradnl"/>
        </w:rPr>
        <w:t>Análisis y Asesoría Jurídica de la Vicepresidencia, la utilización de dichos contratos sin las garantías de estabilidad propias de los funcionarios fijos, obedeció a la falta de aprobación de la Ley Orgánica de Fronteras, la cual crearía un organismo para dirigir los asuntos fronterizos del Estado y permitiría la estabilidad de sus funcionarios</w:t>
      </w:r>
      <w:r w:rsidR="006868CE" w:rsidRPr="00420489">
        <w:rPr>
          <w:rStyle w:val="FootnoteReference"/>
          <w:rFonts w:asciiTheme="majorHAnsi" w:hAnsiTheme="majorHAnsi"/>
          <w:sz w:val="20"/>
          <w:szCs w:val="20"/>
          <w:lang w:val="es-ES_tradnl"/>
        </w:rPr>
        <w:footnoteReference w:id="60"/>
      </w:r>
      <w:r w:rsidR="006868CE" w:rsidRPr="00420489">
        <w:rPr>
          <w:rFonts w:asciiTheme="majorHAnsi" w:hAnsiTheme="majorHAnsi"/>
          <w:sz w:val="20"/>
          <w:szCs w:val="20"/>
          <w:lang w:val="es-ES_tradnl"/>
        </w:rPr>
        <w:t>.</w:t>
      </w:r>
    </w:p>
    <w:p w14:paraId="713A9C23" w14:textId="77777777" w:rsidR="006868CE" w:rsidRPr="00420489" w:rsidRDefault="006868CE" w:rsidP="00D17BB1">
      <w:pPr>
        <w:pBdr>
          <w:left w:val="none" w:sz="0" w:space="0" w:color="auto"/>
          <w:bottom w:val="none" w:sz="0" w:space="0" w:color="auto"/>
          <w:right w:val="none" w:sz="0" w:space="0" w:color="auto"/>
          <w:between w:val="none" w:sz="0" w:space="0" w:color="auto"/>
          <w:bar w:val="none" w:sz="0" w:color="auto"/>
        </w:pBdr>
        <w:tabs>
          <w:tab w:val="num" w:pos="1440"/>
        </w:tabs>
        <w:ind w:left="720"/>
        <w:jc w:val="both"/>
        <w:rPr>
          <w:rFonts w:asciiTheme="majorHAnsi" w:hAnsiTheme="majorHAnsi"/>
          <w:sz w:val="20"/>
          <w:szCs w:val="20"/>
          <w:lang w:val="es-ES_tradnl"/>
        </w:rPr>
      </w:pPr>
    </w:p>
    <w:p w14:paraId="7084E9F1" w14:textId="77777777" w:rsidR="00BA528B" w:rsidRPr="00420489" w:rsidRDefault="006868CE"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ES_tradnl"/>
        </w:rPr>
        <w:t>Rocío San Miguel</w:t>
      </w:r>
      <w:r w:rsidR="002822DA" w:rsidRPr="00420489">
        <w:rPr>
          <w:rFonts w:asciiTheme="majorHAnsi" w:hAnsiTheme="majorHAnsi"/>
          <w:sz w:val="20"/>
          <w:szCs w:val="20"/>
          <w:lang w:val="es-ES_tradnl"/>
        </w:rPr>
        <w:t xml:space="preserve"> </w:t>
      </w:r>
      <w:r w:rsidR="00A67020" w:rsidRPr="00420489">
        <w:rPr>
          <w:rFonts w:asciiTheme="majorHAnsi" w:hAnsiTheme="majorHAnsi"/>
          <w:sz w:val="20"/>
          <w:szCs w:val="20"/>
          <w:lang w:val="es-ES_tradnl"/>
        </w:rPr>
        <w:t xml:space="preserve">Sosa </w:t>
      </w:r>
      <w:r w:rsidRPr="00420489">
        <w:rPr>
          <w:rFonts w:asciiTheme="majorHAnsi" w:hAnsiTheme="majorHAnsi"/>
          <w:sz w:val="20"/>
          <w:szCs w:val="20"/>
          <w:lang w:val="es-ES_tradnl"/>
        </w:rPr>
        <w:t xml:space="preserve">inició a laborar </w:t>
      </w:r>
      <w:r w:rsidR="00560543" w:rsidRPr="00420489">
        <w:rPr>
          <w:rFonts w:asciiTheme="majorHAnsi" w:hAnsiTheme="majorHAnsi"/>
          <w:sz w:val="20"/>
          <w:szCs w:val="20"/>
          <w:lang w:val="es-VE"/>
        </w:rPr>
        <w:t>como asesora jurídica en el Consejo Nacional de Fronteras en julio de 1996 y mediante la suscripción continuada de</w:t>
      </w:r>
      <w:r w:rsidR="00882A03" w:rsidRPr="00420489">
        <w:rPr>
          <w:rFonts w:asciiTheme="majorHAnsi" w:hAnsiTheme="majorHAnsi"/>
          <w:sz w:val="20"/>
          <w:szCs w:val="20"/>
          <w:lang w:val="es-VE"/>
        </w:rPr>
        <w:t xml:space="preserve"> contrato</w:t>
      </w:r>
      <w:r w:rsidR="00560543" w:rsidRPr="00420489">
        <w:rPr>
          <w:rFonts w:asciiTheme="majorHAnsi" w:hAnsiTheme="majorHAnsi"/>
          <w:sz w:val="20"/>
          <w:szCs w:val="20"/>
          <w:lang w:val="es-VE"/>
        </w:rPr>
        <w:t>s de servicios</w:t>
      </w:r>
      <w:r w:rsidR="00882A03" w:rsidRPr="00420489">
        <w:rPr>
          <w:rStyle w:val="FootnoteReference"/>
          <w:rFonts w:asciiTheme="majorHAnsi" w:hAnsiTheme="majorHAnsi"/>
          <w:sz w:val="20"/>
          <w:szCs w:val="20"/>
          <w:lang w:val="es-VE"/>
        </w:rPr>
        <w:footnoteReference w:id="61"/>
      </w:r>
      <w:r w:rsidR="00560543" w:rsidRPr="00420489">
        <w:rPr>
          <w:rFonts w:asciiTheme="majorHAnsi" w:hAnsiTheme="majorHAnsi"/>
          <w:sz w:val="20"/>
          <w:szCs w:val="20"/>
          <w:lang w:val="es-VE"/>
        </w:rPr>
        <w:t xml:space="preserve"> trabajó en dicha institución hasta </w:t>
      </w:r>
      <w:r w:rsidR="00882A03" w:rsidRPr="00420489">
        <w:rPr>
          <w:rFonts w:asciiTheme="majorHAnsi" w:hAnsiTheme="majorHAnsi"/>
          <w:sz w:val="20"/>
          <w:szCs w:val="20"/>
          <w:lang w:val="es-VE"/>
        </w:rPr>
        <w:t>el fin del mes de mayo de 2004</w:t>
      </w:r>
      <w:r w:rsidR="00560543" w:rsidRPr="00420489">
        <w:rPr>
          <w:rFonts w:asciiTheme="majorHAnsi" w:hAnsiTheme="majorHAnsi"/>
          <w:sz w:val="20"/>
          <w:szCs w:val="20"/>
          <w:lang w:val="es-VE"/>
        </w:rPr>
        <w:t xml:space="preserve">. </w:t>
      </w:r>
      <w:r w:rsidR="00882A03" w:rsidRPr="00420489">
        <w:rPr>
          <w:rFonts w:asciiTheme="majorHAnsi" w:hAnsiTheme="majorHAnsi"/>
          <w:sz w:val="20"/>
          <w:szCs w:val="20"/>
          <w:lang w:val="es-VE"/>
        </w:rPr>
        <w:t xml:space="preserve">Su último contrato se </w:t>
      </w:r>
      <w:r w:rsidR="00114A3E" w:rsidRPr="00420489">
        <w:rPr>
          <w:rFonts w:asciiTheme="majorHAnsi" w:hAnsiTheme="majorHAnsi"/>
          <w:sz w:val="20"/>
          <w:szCs w:val="20"/>
          <w:lang w:val="es-VE"/>
        </w:rPr>
        <w:t>suscribió</w:t>
      </w:r>
      <w:r w:rsidR="00882A03" w:rsidRPr="00420489">
        <w:rPr>
          <w:rFonts w:asciiTheme="majorHAnsi" w:hAnsiTheme="majorHAnsi"/>
          <w:sz w:val="20"/>
          <w:szCs w:val="20"/>
          <w:lang w:val="es-VE"/>
        </w:rPr>
        <w:t xml:space="preserve"> por el plazo de un año desde el 1 de enero al 31 de diciembre de 2004</w:t>
      </w:r>
      <w:r w:rsidR="00D41BBF" w:rsidRPr="00420489">
        <w:rPr>
          <w:rFonts w:asciiTheme="majorHAnsi" w:hAnsiTheme="majorHAnsi"/>
          <w:sz w:val="20"/>
          <w:szCs w:val="20"/>
          <w:vertAlign w:val="superscript"/>
          <w:lang w:val="es-VE"/>
        </w:rPr>
        <w:footnoteReference w:id="62"/>
      </w:r>
      <w:r w:rsidR="00D41BBF" w:rsidRPr="00420489">
        <w:rPr>
          <w:rFonts w:asciiTheme="majorHAnsi" w:hAnsiTheme="majorHAnsi"/>
          <w:sz w:val="20"/>
          <w:szCs w:val="20"/>
          <w:lang w:val="es-VE"/>
        </w:rPr>
        <w:t xml:space="preserve">.  </w:t>
      </w:r>
    </w:p>
    <w:p w14:paraId="360FACE0" w14:textId="77777777" w:rsidR="00BA528B" w:rsidRPr="00420489" w:rsidRDefault="00BA528B" w:rsidP="00D17BB1">
      <w:pPr>
        <w:pStyle w:val="ListParagraph"/>
        <w:tabs>
          <w:tab w:val="num" w:pos="1440"/>
        </w:tabs>
        <w:rPr>
          <w:rFonts w:asciiTheme="majorHAnsi" w:hAnsiTheme="majorHAnsi"/>
          <w:sz w:val="20"/>
          <w:szCs w:val="20"/>
          <w:lang w:val="es-VE"/>
        </w:rPr>
      </w:pPr>
    </w:p>
    <w:p w14:paraId="1267DDA0" w14:textId="77777777" w:rsidR="00BA528B" w:rsidRPr="00420489" w:rsidRDefault="00BA528B"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proofErr w:type="spellStart"/>
      <w:r w:rsidRPr="00420489">
        <w:rPr>
          <w:rFonts w:asciiTheme="majorHAnsi" w:hAnsiTheme="majorHAnsi"/>
          <w:sz w:val="20"/>
          <w:szCs w:val="20"/>
          <w:lang w:val="es-VE"/>
        </w:rPr>
        <w:t>Magally</w:t>
      </w:r>
      <w:proofErr w:type="spellEnd"/>
      <w:r w:rsidRPr="00420489">
        <w:rPr>
          <w:rFonts w:asciiTheme="majorHAnsi" w:hAnsiTheme="majorHAnsi"/>
          <w:sz w:val="20"/>
          <w:szCs w:val="20"/>
          <w:lang w:val="es-VE"/>
        </w:rPr>
        <w:t xml:space="preserve"> Chang Girón </w:t>
      </w:r>
      <w:r w:rsidR="00114A3E" w:rsidRPr="00420489">
        <w:rPr>
          <w:rFonts w:asciiTheme="majorHAnsi" w:hAnsiTheme="majorHAnsi"/>
          <w:sz w:val="20"/>
          <w:szCs w:val="20"/>
          <w:lang w:val="es-VE"/>
        </w:rPr>
        <w:t xml:space="preserve">inicio sus labores como Asistente de Personal y luego como Coordinadora de Personal del Consejo Nacional de Fronteras en mayo de 1997 celebrando contratos mensuales, semestrales y anuales con dicha institución para </w:t>
      </w:r>
      <w:r w:rsidR="00326114" w:rsidRPr="00420489">
        <w:rPr>
          <w:rFonts w:asciiTheme="majorHAnsi" w:hAnsiTheme="majorHAnsi"/>
          <w:sz w:val="20"/>
          <w:szCs w:val="20"/>
          <w:lang w:val="es-VE"/>
        </w:rPr>
        <w:t>continuar su prestación de servicios profesionales a dicha institución</w:t>
      </w:r>
      <w:r w:rsidR="00326114" w:rsidRPr="00420489">
        <w:rPr>
          <w:rStyle w:val="FootnoteReference"/>
          <w:rFonts w:asciiTheme="majorHAnsi" w:hAnsiTheme="majorHAnsi"/>
          <w:sz w:val="20"/>
          <w:szCs w:val="20"/>
          <w:lang w:val="es-VE"/>
        </w:rPr>
        <w:footnoteReference w:id="63"/>
      </w:r>
      <w:r w:rsidRPr="00420489">
        <w:rPr>
          <w:rFonts w:asciiTheme="majorHAnsi" w:hAnsiTheme="majorHAnsi"/>
          <w:sz w:val="20"/>
          <w:szCs w:val="20"/>
          <w:lang w:val="es-VE"/>
        </w:rPr>
        <w:t xml:space="preserve">. Su último contrato se realizó por el plazo de un año desde el </w:t>
      </w:r>
      <w:r w:rsidRPr="00420489">
        <w:rPr>
          <w:rFonts w:asciiTheme="majorHAnsi" w:hAnsiTheme="majorHAnsi"/>
          <w:sz w:val="20"/>
          <w:szCs w:val="20"/>
          <w:lang w:val="es-ES_tradnl"/>
        </w:rPr>
        <w:t>1 de enero al 31 de diciembre de 2004</w:t>
      </w:r>
      <w:r w:rsidRPr="00420489">
        <w:rPr>
          <w:rStyle w:val="FootnoteReference"/>
          <w:rFonts w:asciiTheme="majorHAnsi" w:hAnsiTheme="majorHAnsi"/>
          <w:sz w:val="20"/>
          <w:szCs w:val="20"/>
          <w:lang w:val="es-ES_tradnl"/>
        </w:rPr>
        <w:footnoteReference w:id="64"/>
      </w:r>
      <w:r w:rsidRPr="00420489">
        <w:rPr>
          <w:rFonts w:asciiTheme="majorHAnsi" w:hAnsiTheme="majorHAnsi"/>
          <w:sz w:val="20"/>
          <w:szCs w:val="20"/>
          <w:lang w:val="es-ES_tradnl"/>
        </w:rPr>
        <w:t xml:space="preserve">.  </w:t>
      </w:r>
    </w:p>
    <w:p w14:paraId="35AE0B35" w14:textId="77777777" w:rsidR="00BA528B" w:rsidRPr="00420489" w:rsidRDefault="00BA528B" w:rsidP="00D17BB1">
      <w:pPr>
        <w:pStyle w:val="ListParagraph"/>
        <w:tabs>
          <w:tab w:val="num" w:pos="1440"/>
        </w:tabs>
        <w:rPr>
          <w:rFonts w:asciiTheme="majorHAnsi" w:hAnsiTheme="majorHAnsi"/>
          <w:sz w:val="20"/>
          <w:szCs w:val="20"/>
          <w:lang w:val="es-VE"/>
        </w:rPr>
      </w:pPr>
    </w:p>
    <w:p w14:paraId="70F0C00D" w14:textId="77777777" w:rsidR="00740D0C" w:rsidRPr="00420489" w:rsidRDefault="00BA528B"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Thais Coromoto Peña se desempeñó como Ejecutiva de Relaciones Públicas o Secretaria del Consejo Nacional de Fronteras entre el 1 de abril de 2000 y el 12 de marzo de 2004 celebrando diversos contratos anuales con dicha institución</w:t>
      </w:r>
      <w:r w:rsidRPr="00420489">
        <w:rPr>
          <w:rStyle w:val="FootnoteReference"/>
          <w:rFonts w:asciiTheme="majorHAnsi" w:hAnsiTheme="majorHAnsi"/>
          <w:sz w:val="20"/>
          <w:szCs w:val="20"/>
          <w:lang w:val="es-VE"/>
        </w:rPr>
        <w:footnoteReference w:id="65"/>
      </w:r>
      <w:r w:rsidRPr="00420489">
        <w:rPr>
          <w:rFonts w:asciiTheme="majorHAnsi" w:hAnsiTheme="majorHAnsi"/>
          <w:sz w:val="20"/>
          <w:szCs w:val="20"/>
          <w:lang w:val="es-VE"/>
        </w:rPr>
        <w:t>.  Su último contrato se realizó por el plazo de un año desde el 1 de enero al 31 de diciembre de 2004</w:t>
      </w:r>
      <w:r w:rsidRPr="00420489">
        <w:rPr>
          <w:rStyle w:val="FootnoteReference"/>
          <w:rFonts w:asciiTheme="majorHAnsi" w:hAnsiTheme="majorHAnsi"/>
          <w:sz w:val="20"/>
          <w:szCs w:val="20"/>
          <w:lang w:val="es-ES_tradnl"/>
        </w:rPr>
        <w:footnoteReference w:id="66"/>
      </w:r>
      <w:r w:rsidR="00740D0C" w:rsidRPr="00420489">
        <w:rPr>
          <w:rFonts w:asciiTheme="majorHAnsi" w:hAnsiTheme="majorHAnsi"/>
          <w:sz w:val="20"/>
          <w:szCs w:val="20"/>
          <w:lang w:val="es-ES_tradnl"/>
        </w:rPr>
        <w:t xml:space="preserve">. </w:t>
      </w:r>
    </w:p>
    <w:p w14:paraId="5F049DB8" w14:textId="77777777" w:rsidR="00740D0C" w:rsidRPr="00420489" w:rsidRDefault="00740D0C" w:rsidP="00D17BB1">
      <w:pPr>
        <w:pStyle w:val="ListParagraph"/>
        <w:tabs>
          <w:tab w:val="num" w:pos="1440"/>
        </w:tabs>
        <w:rPr>
          <w:rFonts w:asciiTheme="majorHAnsi" w:hAnsiTheme="majorHAnsi"/>
          <w:sz w:val="20"/>
          <w:szCs w:val="20"/>
          <w:lang w:val="es-VE"/>
        </w:rPr>
      </w:pPr>
    </w:p>
    <w:p w14:paraId="4F23845E" w14:textId="77777777" w:rsidR="00740D0C" w:rsidRPr="00420489" w:rsidRDefault="0059641C"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En </w:t>
      </w:r>
      <w:r w:rsidR="00D00C12" w:rsidRPr="00420489">
        <w:rPr>
          <w:rFonts w:asciiTheme="majorHAnsi" w:hAnsiTheme="majorHAnsi"/>
          <w:sz w:val="20"/>
          <w:szCs w:val="20"/>
          <w:lang w:val="es-VE"/>
        </w:rPr>
        <w:t xml:space="preserve">los </w:t>
      </w:r>
      <w:r w:rsidRPr="00420489">
        <w:rPr>
          <w:rFonts w:asciiTheme="majorHAnsi" w:hAnsiTheme="majorHAnsi"/>
          <w:sz w:val="20"/>
          <w:szCs w:val="20"/>
          <w:lang w:val="es-VE"/>
        </w:rPr>
        <w:t>mes</w:t>
      </w:r>
      <w:r w:rsidR="00D00C12" w:rsidRPr="00420489">
        <w:rPr>
          <w:rFonts w:asciiTheme="majorHAnsi" w:hAnsiTheme="majorHAnsi"/>
          <w:sz w:val="20"/>
          <w:szCs w:val="20"/>
          <w:lang w:val="es-VE"/>
        </w:rPr>
        <w:t>es</w:t>
      </w:r>
      <w:r w:rsidRPr="00420489">
        <w:rPr>
          <w:rFonts w:asciiTheme="majorHAnsi" w:hAnsiTheme="majorHAnsi"/>
          <w:sz w:val="20"/>
          <w:szCs w:val="20"/>
          <w:lang w:val="es-VE"/>
        </w:rPr>
        <w:t xml:space="preserve"> de noviembre y diciembre de 2003 </w:t>
      </w:r>
      <w:r w:rsidR="00740D0C" w:rsidRPr="00420489">
        <w:rPr>
          <w:rFonts w:asciiTheme="majorHAnsi" w:hAnsiTheme="majorHAnsi"/>
          <w:sz w:val="20"/>
          <w:szCs w:val="20"/>
          <w:lang w:val="es-VE"/>
        </w:rPr>
        <w:t xml:space="preserve">las tres presuntas víctimas </w:t>
      </w:r>
      <w:r w:rsidR="00740D0C" w:rsidRPr="00420489">
        <w:rPr>
          <w:rFonts w:asciiTheme="majorHAnsi" w:hAnsiTheme="majorHAnsi"/>
          <w:sz w:val="20"/>
          <w:szCs w:val="20"/>
          <w:lang w:val="es-ES_tradnl"/>
        </w:rPr>
        <w:t>decidieron</w:t>
      </w:r>
      <w:r w:rsidR="00824A3F" w:rsidRPr="00420489">
        <w:rPr>
          <w:rFonts w:asciiTheme="majorHAnsi" w:hAnsiTheme="majorHAnsi"/>
          <w:sz w:val="20"/>
          <w:szCs w:val="20"/>
          <w:lang w:val="es-ES_tradnl"/>
        </w:rPr>
        <w:t xml:space="preserve"> participar en el “</w:t>
      </w:r>
      <w:proofErr w:type="spellStart"/>
      <w:r w:rsidR="00824A3F" w:rsidRPr="00420489">
        <w:rPr>
          <w:rFonts w:asciiTheme="majorHAnsi" w:hAnsiTheme="majorHAnsi"/>
          <w:sz w:val="20"/>
          <w:szCs w:val="20"/>
          <w:lang w:val="es-ES_tradnl"/>
        </w:rPr>
        <w:t>reafirmazo</w:t>
      </w:r>
      <w:proofErr w:type="spellEnd"/>
      <w:r w:rsidR="00824A3F" w:rsidRPr="00420489">
        <w:rPr>
          <w:rFonts w:asciiTheme="majorHAnsi" w:hAnsiTheme="majorHAnsi"/>
          <w:sz w:val="20"/>
          <w:szCs w:val="20"/>
          <w:lang w:val="es-ES_tradnl"/>
        </w:rPr>
        <w:t xml:space="preserve">” y </w:t>
      </w:r>
      <w:r w:rsidR="00740D0C" w:rsidRPr="00420489">
        <w:rPr>
          <w:rFonts w:asciiTheme="majorHAnsi" w:hAnsiTheme="majorHAnsi"/>
          <w:sz w:val="20"/>
          <w:szCs w:val="20"/>
          <w:lang w:val="es-ES_tradnl"/>
        </w:rPr>
        <w:t>firmar</w:t>
      </w:r>
      <w:r w:rsidR="00824A3F" w:rsidRPr="00420489">
        <w:rPr>
          <w:rFonts w:asciiTheme="majorHAnsi" w:hAnsiTheme="majorHAnsi"/>
          <w:sz w:val="20"/>
          <w:szCs w:val="20"/>
          <w:lang w:val="es-ES_tradnl"/>
        </w:rPr>
        <w:t>on</w:t>
      </w:r>
      <w:r w:rsidR="00740D0C" w:rsidRPr="00420489">
        <w:rPr>
          <w:rFonts w:asciiTheme="majorHAnsi" w:hAnsiTheme="majorHAnsi"/>
          <w:sz w:val="20"/>
          <w:szCs w:val="20"/>
          <w:lang w:val="es-ES_tradnl"/>
        </w:rPr>
        <w:t xml:space="preserve"> la solicitud de </w:t>
      </w:r>
      <w:r w:rsidR="00090355" w:rsidRPr="00420489">
        <w:rPr>
          <w:rFonts w:asciiTheme="majorHAnsi" w:hAnsiTheme="majorHAnsi"/>
          <w:sz w:val="20"/>
          <w:szCs w:val="20"/>
          <w:lang w:val="es-ES_tradnl"/>
        </w:rPr>
        <w:t xml:space="preserve">referendo </w:t>
      </w:r>
      <w:r w:rsidR="00740D0C" w:rsidRPr="00420489">
        <w:rPr>
          <w:rFonts w:asciiTheme="majorHAnsi" w:hAnsiTheme="majorHAnsi"/>
          <w:sz w:val="20"/>
          <w:szCs w:val="20"/>
          <w:lang w:val="es-ES_tradnl"/>
        </w:rPr>
        <w:t xml:space="preserve">revocatorio del entonces Presidente de la </w:t>
      </w:r>
      <w:r w:rsidR="00740D0C" w:rsidRPr="00420489">
        <w:rPr>
          <w:rFonts w:asciiTheme="majorHAnsi" w:hAnsiTheme="majorHAnsi"/>
          <w:sz w:val="20"/>
          <w:szCs w:val="20"/>
          <w:lang w:val="es-ES_tradnl"/>
        </w:rPr>
        <w:lastRenderedPageBreak/>
        <w:t>República Hugo Chávez Frías</w:t>
      </w:r>
      <w:r w:rsidR="00740D0C" w:rsidRPr="00420489">
        <w:rPr>
          <w:rStyle w:val="FootnoteReference"/>
          <w:rFonts w:asciiTheme="majorHAnsi" w:hAnsiTheme="majorHAnsi"/>
          <w:sz w:val="20"/>
          <w:szCs w:val="20"/>
          <w:lang w:val="es-ES_tradnl"/>
        </w:rPr>
        <w:footnoteReference w:id="67"/>
      </w:r>
      <w:r w:rsidRPr="00420489">
        <w:rPr>
          <w:rFonts w:asciiTheme="majorHAnsi" w:hAnsiTheme="majorHAnsi"/>
          <w:sz w:val="20"/>
          <w:szCs w:val="20"/>
          <w:lang w:val="es-ES_tradnl"/>
        </w:rPr>
        <w:t>.</w:t>
      </w:r>
      <w:r w:rsidR="002B5C25" w:rsidRPr="00420489">
        <w:rPr>
          <w:rFonts w:asciiTheme="majorHAnsi" w:hAnsiTheme="majorHAnsi"/>
          <w:sz w:val="20"/>
          <w:szCs w:val="20"/>
          <w:lang w:val="es-ES_tradnl"/>
        </w:rPr>
        <w:t xml:space="preserve"> También firmó dicha solicitud de referendo</w:t>
      </w:r>
      <w:r w:rsidR="00090355" w:rsidRPr="00420489">
        <w:rPr>
          <w:rFonts w:asciiTheme="majorHAnsi" w:hAnsiTheme="majorHAnsi"/>
          <w:sz w:val="20"/>
          <w:szCs w:val="20"/>
          <w:lang w:val="es-ES_tradnl"/>
        </w:rPr>
        <w:t xml:space="preserve"> </w:t>
      </w:r>
      <w:r w:rsidR="002B5C25" w:rsidRPr="00420489">
        <w:rPr>
          <w:rFonts w:asciiTheme="majorHAnsi" w:hAnsiTheme="majorHAnsi"/>
          <w:sz w:val="20"/>
          <w:szCs w:val="20"/>
          <w:lang w:val="es-ES_tradnl"/>
        </w:rPr>
        <w:t xml:space="preserve">el señor Jorge Guerra, </w:t>
      </w:r>
      <w:r w:rsidR="00F90590" w:rsidRPr="00420489">
        <w:rPr>
          <w:rFonts w:asciiTheme="majorHAnsi" w:hAnsiTheme="majorHAnsi"/>
          <w:sz w:val="20"/>
          <w:szCs w:val="20"/>
          <w:lang w:val="es-ES_tradnl"/>
        </w:rPr>
        <w:t>quien se desempeñaba como fotógrafo</w:t>
      </w:r>
      <w:r w:rsidR="002B5C25" w:rsidRPr="00420489">
        <w:rPr>
          <w:rFonts w:asciiTheme="majorHAnsi" w:hAnsiTheme="majorHAnsi"/>
          <w:sz w:val="20"/>
          <w:szCs w:val="20"/>
          <w:lang w:val="es-ES_tradnl"/>
        </w:rPr>
        <w:t xml:space="preserve"> del Consejo Nacional de Fronteras</w:t>
      </w:r>
      <w:r w:rsidR="00F90590" w:rsidRPr="00420489">
        <w:rPr>
          <w:rStyle w:val="FootnoteReference"/>
          <w:rFonts w:asciiTheme="majorHAnsi" w:hAnsiTheme="majorHAnsi"/>
          <w:sz w:val="20"/>
          <w:szCs w:val="20"/>
          <w:lang w:val="es-ES_tradnl"/>
        </w:rPr>
        <w:footnoteReference w:id="68"/>
      </w:r>
      <w:r w:rsidR="002B5C25" w:rsidRPr="00420489">
        <w:rPr>
          <w:rFonts w:asciiTheme="majorHAnsi" w:hAnsiTheme="majorHAnsi"/>
          <w:sz w:val="20"/>
          <w:szCs w:val="20"/>
          <w:lang w:val="es-ES_tradnl"/>
        </w:rPr>
        <w:t xml:space="preserve">.  </w:t>
      </w:r>
    </w:p>
    <w:p w14:paraId="2099F2E7" w14:textId="77777777" w:rsidR="002B5C25" w:rsidRPr="00420489" w:rsidRDefault="002B5C25" w:rsidP="00D17BB1">
      <w:pPr>
        <w:pBdr>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lang w:val="es-VE"/>
        </w:rPr>
      </w:pPr>
    </w:p>
    <w:p w14:paraId="4D0838D8" w14:textId="6B2B0C9E" w:rsidR="002822DA" w:rsidRPr="00420489" w:rsidRDefault="00877CD0"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Por medio de comunicación </w:t>
      </w:r>
      <w:r w:rsidR="007543A5" w:rsidRPr="00420489">
        <w:rPr>
          <w:rFonts w:asciiTheme="majorHAnsi" w:hAnsiTheme="majorHAnsi"/>
          <w:sz w:val="20"/>
          <w:szCs w:val="20"/>
          <w:lang w:val="es-VE"/>
        </w:rPr>
        <w:t>fechada</w:t>
      </w:r>
      <w:r w:rsidRPr="00420489">
        <w:rPr>
          <w:rFonts w:asciiTheme="majorHAnsi" w:hAnsiTheme="majorHAnsi"/>
          <w:sz w:val="20"/>
          <w:szCs w:val="20"/>
          <w:lang w:val="es-VE"/>
        </w:rPr>
        <w:t xml:space="preserve"> 12</w:t>
      </w:r>
      <w:r w:rsidR="00BA528B" w:rsidRPr="00420489">
        <w:rPr>
          <w:rFonts w:asciiTheme="majorHAnsi" w:hAnsiTheme="majorHAnsi"/>
          <w:sz w:val="20"/>
          <w:szCs w:val="20"/>
          <w:lang w:val="es-VE"/>
        </w:rPr>
        <w:t xml:space="preserve"> de </w:t>
      </w:r>
      <w:r w:rsidRPr="00420489">
        <w:rPr>
          <w:rFonts w:asciiTheme="majorHAnsi" w:hAnsiTheme="majorHAnsi"/>
          <w:sz w:val="20"/>
          <w:szCs w:val="20"/>
          <w:lang w:val="es-VE"/>
        </w:rPr>
        <w:t>marzo</w:t>
      </w:r>
      <w:r w:rsidR="00BA528B" w:rsidRPr="00420489">
        <w:rPr>
          <w:rFonts w:asciiTheme="majorHAnsi" w:hAnsiTheme="majorHAnsi"/>
          <w:sz w:val="20"/>
          <w:szCs w:val="20"/>
          <w:lang w:val="es-VE"/>
        </w:rPr>
        <w:t xml:space="preserve"> de 2004</w:t>
      </w:r>
      <w:r w:rsidR="007543A5" w:rsidRPr="00420489">
        <w:rPr>
          <w:rStyle w:val="FootnoteReference"/>
          <w:rFonts w:asciiTheme="majorHAnsi" w:hAnsiTheme="majorHAnsi"/>
          <w:sz w:val="20"/>
          <w:szCs w:val="20"/>
          <w:lang w:val="es-VE"/>
        </w:rPr>
        <w:footnoteReference w:id="69"/>
      </w:r>
      <w:r w:rsidRPr="00420489">
        <w:rPr>
          <w:rFonts w:asciiTheme="majorHAnsi" w:hAnsiTheme="majorHAnsi"/>
          <w:sz w:val="20"/>
          <w:szCs w:val="20"/>
          <w:lang w:val="es-VE"/>
        </w:rPr>
        <w:t xml:space="preserve">, </w:t>
      </w:r>
      <w:r w:rsidR="00BA528B" w:rsidRPr="00420489">
        <w:rPr>
          <w:rFonts w:asciiTheme="majorHAnsi" w:hAnsiTheme="majorHAnsi"/>
          <w:sz w:val="20"/>
          <w:szCs w:val="20"/>
          <w:lang w:val="es-VE"/>
        </w:rPr>
        <w:t xml:space="preserve">el Presidente del Consejo Nacional de Fronteras le comunicó a </w:t>
      </w:r>
      <w:r w:rsidR="00090355" w:rsidRPr="00420489">
        <w:rPr>
          <w:rFonts w:asciiTheme="majorHAnsi" w:hAnsiTheme="majorHAnsi"/>
          <w:sz w:val="20"/>
          <w:szCs w:val="20"/>
          <w:lang w:val="es-VE"/>
        </w:rPr>
        <w:t>Rocío San Miguel</w:t>
      </w:r>
      <w:r w:rsidR="00A67020" w:rsidRPr="00420489">
        <w:rPr>
          <w:rFonts w:asciiTheme="majorHAnsi" w:hAnsiTheme="majorHAnsi"/>
          <w:sz w:val="20"/>
          <w:szCs w:val="20"/>
          <w:lang w:val="es-VE"/>
        </w:rPr>
        <w:t xml:space="preserve"> Sosa</w:t>
      </w:r>
      <w:r w:rsidR="00090355" w:rsidRPr="00420489">
        <w:rPr>
          <w:rFonts w:asciiTheme="majorHAnsi" w:hAnsiTheme="majorHAnsi"/>
          <w:sz w:val="20"/>
          <w:szCs w:val="20"/>
          <w:lang w:val="es-VE"/>
        </w:rPr>
        <w:t xml:space="preserve">, </w:t>
      </w:r>
      <w:proofErr w:type="spellStart"/>
      <w:r w:rsidR="00090355" w:rsidRPr="00420489">
        <w:rPr>
          <w:rFonts w:asciiTheme="majorHAnsi" w:hAnsiTheme="majorHAnsi"/>
          <w:sz w:val="20"/>
          <w:szCs w:val="20"/>
          <w:lang w:val="es-VE"/>
        </w:rPr>
        <w:t>Magally</w:t>
      </w:r>
      <w:proofErr w:type="spellEnd"/>
      <w:r w:rsidR="00090355" w:rsidRPr="00420489">
        <w:rPr>
          <w:rFonts w:asciiTheme="majorHAnsi" w:hAnsiTheme="majorHAnsi"/>
          <w:sz w:val="20"/>
          <w:szCs w:val="20"/>
          <w:lang w:val="es-VE"/>
        </w:rPr>
        <w:t xml:space="preserve"> Chang Girón, Thais Coromoto Peña y Jorge Guerra</w:t>
      </w:r>
      <w:r w:rsidR="00BA528B" w:rsidRPr="00420489">
        <w:rPr>
          <w:rFonts w:asciiTheme="majorHAnsi" w:hAnsiTheme="majorHAnsi"/>
          <w:sz w:val="20"/>
          <w:szCs w:val="20"/>
          <w:lang w:val="es-VE"/>
        </w:rPr>
        <w:t xml:space="preserve"> su decisión de dar por terminados sus contratos a partir del 1 de abril de 2004</w:t>
      </w:r>
      <w:r w:rsidR="00BA528B" w:rsidRPr="00420489">
        <w:rPr>
          <w:rFonts w:asciiTheme="majorHAnsi" w:hAnsiTheme="majorHAnsi"/>
          <w:sz w:val="20"/>
          <w:szCs w:val="20"/>
          <w:vertAlign w:val="superscript"/>
          <w:lang w:val="es-VE"/>
        </w:rPr>
        <w:footnoteReference w:id="70"/>
      </w:r>
      <w:r w:rsidR="00BA528B" w:rsidRPr="00420489">
        <w:rPr>
          <w:rFonts w:asciiTheme="majorHAnsi" w:hAnsiTheme="majorHAnsi"/>
          <w:sz w:val="20"/>
          <w:szCs w:val="20"/>
          <w:lang w:val="es-VE"/>
        </w:rPr>
        <w:t xml:space="preserve">. </w:t>
      </w:r>
      <w:r w:rsidR="002B5C25" w:rsidRPr="00420489">
        <w:rPr>
          <w:rFonts w:asciiTheme="majorHAnsi" w:hAnsiTheme="majorHAnsi"/>
          <w:sz w:val="20"/>
          <w:szCs w:val="20"/>
          <w:lang w:val="es-VE"/>
        </w:rPr>
        <w:t xml:space="preserve"> En el caso de Jorge Guerra </w:t>
      </w:r>
      <w:r w:rsidR="00824A3F" w:rsidRPr="00420489">
        <w:rPr>
          <w:rFonts w:asciiTheme="majorHAnsi" w:hAnsiTheme="majorHAnsi"/>
          <w:sz w:val="20"/>
          <w:szCs w:val="20"/>
          <w:lang w:val="es-VE"/>
        </w:rPr>
        <w:t xml:space="preserve"> la Comisión cuenta con información que indica que </w:t>
      </w:r>
      <w:r w:rsidR="002B5C25" w:rsidRPr="00420489">
        <w:rPr>
          <w:rFonts w:asciiTheme="majorHAnsi" w:hAnsiTheme="majorHAnsi"/>
          <w:sz w:val="20"/>
          <w:szCs w:val="20"/>
          <w:lang w:val="es-VE"/>
        </w:rPr>
        <w:t>aleg</w:t>
      </w:r>
      <w:r w:rsidR="00824A3F" w:rsidRPr="00420489">
        <w:rPr>
          <w:rFonts w:asciiTheme="majorHAnsi" w:hAnsiTheme="majorHAnsi"/>
          <w:sz w:val="20"/>
          <w:szCs w:val="20"/>
          <w:lang w:val="es-VE"/>
        </w:rPr>
        <w:t>ó</w:t>
      </w:r>
      <w:r w:rsidR="002B5C25" w:rsidRPr="00420489">
        <w:rPr>
          <w:rFonts w:asciiTheme="majorHAnsi" w:hAnsiTheme="majorHAnsi"/>
          <w:sz w:val="20"/>
          <w:szCs w:val="20"/>
          <w:lang w:val="es-VE"/>
        </w:rPr>
        <w:t xml:space="preserve"> que no fue el quien firmó sino que “</w:t>
      </w:r>
      <w:r w:rsidR="002B5C25" w:rsidRPr="00420489">
        <w:rPr>
          <w:rFonts w:asciiTheme="majorHAnsi" w:hAnsiTheme="majorHAnsi"/>
          <w:sz w:val="20"/>
          <w:szCs w:val="20"/>
          <w:lang w:val="es-ES"/>
        </w:rPr>
        <w:t>una cédula de vecindad vieja que él tenía en su casa había sido manipulada por una señora que vive allí para firmar en su nombre”</w:t>
      </w:r>
      <w:r w:rsidR="0055682B" w:rsidRPr="00420489">
        <w:rPr>
          <w:rStyle w:val="FootnoteReference"/>
          <w:rFonts w:asciiTheme="majorHAnsi" w:hAnsiTheme="majorHAnsi"/>
          <w:sz w:val="20"/>
          <w:szCs w:val="20"/>
          <w:lang w:val="es-ES_tradnl"/>
        </w:rPr>
        <w:footnoteReference w:id="71"/>
      </w:r>
      <w:r w:rsidR="002822DA" w:rsidRPr="00420489">
        <w:rPr>
          <w:rFonts w:asciiTheme="majorHAnsi" w:hAnsiTheme="majorHAnsi"/>
          <w:sz w:val="20"/>
          <w:szCs w:val="20"/>
          <w:lang w:val="es-VE"/>
        </w:rPr>
        <w:t xml:space="preserve">. También </w:t>
      </w:r>
      <w:r w:rsidR="00824A3F" w:rsidRPr="00420489">
        <w:rPr>
          <w:rFonts w:asciiTheme="majorHAnsi" w:hAnsiTheme="majorHAnsi"/>
          <w:sz w:val="20"/>
          <w:szCs w:val="20"/>
          <w:lang w:val="es-VE"/>
        </w:rPr>
        <w:t xml:space="preserve">habría indicado </w:t>
      </w:r>
      <w:r w:rsidR="002822DA" w:rsidRPr="00420489">
        <w:rPr>
          <w:rFonts w:asciiTheme="majorHAnsi" w:hAnsiTheme="majorHAnsi"/>
          <w:sz w:val="20"/>
          <w:szCs w:val="20"/>
          <w:lang w:val="es-VE"/>
        </w:rPr>
        <w:t>que desconocería su firma en el proceso de reparos</w:t>
      </w:r>
      <w:r w:rsidR="002822DA" w:rsidRPr="00420489">
        <w:rPr>
          <w:rStyle w:val="FootnoteReference"/>
          <w:rFonts w:asciiTheme="majorHAnsi" w:hAnsiTheme="majorHAnsi"/>
          <w:sz w:val="20"/>
          <w:szCs w:val="20"/>
          <w:lang w:val="es-ES"/>
        </w:rPr>
        <w:footnoteReference w:id="72"/>
      </w:r>
      <w:r w:rsidR="002822DA" w:rsidRPr="00420489">
        <w:rPr>
          <w:rFonts w:asciiTheme="majorHAnsi" w:hAnsiTheme="majorHAnsi"/>
          <w:sz w:val="20"/>
          <w:szCs w:val="20"/>
          <w:lang w:val="es-ES"/>
        </w:rPr>
        <w:t>.</w:t>
      </w:r>
      <w:r w:rsidR="00824A3F" w:rsidRPr="00420489">
        <w:rPr>
          <w:rFonts w:asciiTheme="majorHAnsi" w:hAnsiTheme="majorHAnsi"/>
          <w:sz w:val="20"/>
          <w:szCs w:val="20"/>
          <w:lang w:val="es-ES"/>
        </w:rPr>
        <w:t xml:space="preserve"> El Estado de Venezuela no controvirtió que el señor Jorge Guerra hubiese firmado en el “</w:t>
      </w:r>
      <w:proofErr w:type="spellStart"/>
      <w:r w:rsidR="00824A3F" w:rsidRPr="00420489">
        <w:rPr>
          <w:rFonts w:asciiTheme="majorHAnsi" w:hAnsiTheme="majorHAnsi"/>
          <w:sz w:val="20"/>
          <w:szCs w:val="20"/>
          <w:lang w:val="es-ES"/>
        </w:rPr>
        <w:t>reafirmazo</w:t>
      </w:r>
      <w:proofErr w:type="spellEnd"/>
      <w:r w:rsidR="00824A3F" w:rsidRPr="00420489">
        <w:rPr>
          <w:rFonts w:asciiTheme="majorHAnsi" w:hAnsiTheme="majorHAnsi"/>
          <w:sz w:val="20"/>
          <w:szCs w:val="20"/>
          <w:lang w:val="es-ES"/>
        </w:rPr>
        <w:t xml:space="preserve">”, que hubiese sido comunicado de la terminación de su contrato, que hubiese objetado su firma en el proceso de reparos y que, a diferencia de las tres presuntas víctimas que no objetaron su firma, hubiese conservado su trabajo. </w:t>
      </w:r>
    </w:p>
    <w:p w14:paraId="4F79A7C2" w14:textId="77777777" w:rsidR="002822DA" w:rsidRPr="00420489" w:rsidRDefault="002822DA" w:rsidP="00D17BB1">
      <w:pPr>
        <w:pBdr>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lang w:val="es-VE"/>
        </w:rPr>
      </w:pPr>
    </w:p>
    <w:p w14:paraId="0925AFE5" w14:textId="77777777" w:rsidR="007E0337" w:rsidRPr="00420489" w:rsidRDefault="002E3E41"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VE"/>
        </w:rPr>
      </w:pPr>
      <w:r w:rsidRPr="00420489">
        <w:rPr>
          <w:rFonts w:asciiTheme="majorHAnsi" w:hAnsiTheme="majorHAnsi"/>
          <w:sz w:val="20"/>
          <w:szCs w:val="20"/>
          <w:lang w:val="es-VE"/>
        </w:rPr>
        <w:t>E</w:t>
      </w:r>
      <w:r w:rsidR="00D41BBF" w:rsidRPr="00420489">
        <w:rPr>
          <w:rFonts w:asciiTheme="majorHAnsi" w:hAnsiTheme="majorHAnsi"/>
          <w:sz w:val="20"/>
          <w:szCs w:val="20"/>
          <w:lang w:val="es-VE"/>
        </w:rPr>
        <w:t xml:space="preserve">l 29 de marzo de 2004 Rocío San Miguel </w:t>
      </w:r>
      <w:r w:rsidR="00A67020" w:rsidRPr="00420489">
        <w:rPr>
          <w:rFonts w:asciiTheme="majorHAnsi" w:hAnsiTheme="majorHAnsi"/>
          <w:sz w:val="20"/>
          <w:szCs w:val="20"/>
          <w:lang w:val="es-VE"/>
        </w:rPr>
        <w:t xml:space="preserve">Sosa </w:t>
      </w:r>
      <w:r w:rsidR="00D41BBF" w:rsidRPr="00420489">
        <w:rPr>
          <w:rFonts w:asciiTheme="majorHAnsi" w:hAnsiTheme="majorHAnsi"/>
          <w:sz w:val="20"/>
          <w:szCs w:val="20"/>
          <w:lang w:val="es-VE"/>
        </w:rPr>
        <w:t>remitió una comunicación al Presidente del Consejo Nacional de Fronteras manifestando su desacuerdo con el despido e indicando que “el despido lo realiza usted directamente, en su condición de Presidente del organismo; no sin antes haber enviado al S</w:t>
      </w:r>
      <w:r w:rsidR="001B0CFF" w:rsidRPr="00420489">
        <w:rPr>
          <w:rFonts w:asciiTheme="majorHAnsi" w:hAnsiTheme="majorHAnsi"/>
          <w:sz w:val="20"/>
          <w:szCs w:val="20"/>
          <w:lang w:val="es-VE"/>
        </w:rPr>
        <w:t>ecretario Ejecutivo del Consejo</w:t>
      </w:r>
      <w:r w:rsidR="00D41BBF" w:rsidRPr="00420489">
        <w:rPr>
          <w:rFonts w:asciiTheme="majorHAnsi" w:hAnsiTheme="majorHAnsi"/>
          <w:sz w:val="20"/>
          <w:szCs w:val="20"/>
          <w:lang w:val="es-VE"/>
        </w:rPr>
        <w:t>, con diecinueve días de antelación al acto formal de notificación, para advertirme que las razones no son otras que mi firma solicitando el referéndum revocatorio presidencial”</w:t>
      </w:r>
      <w:r w:rsidR="00D41BBF" w:rsidRPr="00420489">
        <w:rPr>
          <w:rFonts w:asciiTheme="majorHAnsi" w:hAnsiTheme="majorHAnsi"/>
          <w:sz w:val="20"/>
          <w:szCs w:val="20"/>
          <w:vertAlign w:val="superscript"/>
          <w:lang w:val="es-VE"/>
        </w:rPr>
        <w:footnoteReference w:id="73"/>
      </w:r>
      <w:r w:rsidR="00D41BBF" w:rsidRPr="00420489">
        <w:rPr>
          <w:rFonts w:asciiTheme="majorHAnsi" w:hAnsiTheme="majorHAnsi"/>
          <w:sz w:val="20"/>
          <w:szCs w:val="20"/>
          <w:lang w:val="es-VE"/>
        </w:rPr>
        <w:t xml:space="preserve">. </w:t>
      </w:r>
      <w:r w:rsidR="00D72582" w:rsidRPr="00420489">
        <w:rPr>
          <w:rFonts w:asciiTheme="majorHAnsi" w:hAnsiTheme="majorHAnsi"/>
          <w:sz w:val="20"/>
          <w:szCs w:val="20"/>
          <w:lang w:val="es-VE"/>
        </w:rPr>
        <w:t xml:space="preserve"> </w:t>
      </w:r>
    </w:p>
    <w:p w14:paraId="05D9A5AF" w14:textId="77777777" w:rsidR="009C1C1B" w:rsidRPr="00420489" w:rsidRDefault="009C1C1B" w:rsidP="00D17BB1">
      <w:pPr>
        <w:tabs>
          <w:tab w:val="num" w:pos="1440"/>
        </w:tabs>
        <w:rPr>
          <w:rFonts w:asciiTheme="majorHAnsi" w:hAnsiTheme="majorHAnsi"/>
          <w:sz w:val="20"/>
          <w:szCs w:val="20"/>
          <w:lang w:val="es-ES_tradnl"/>
        </w:rPr>
      </w:pPr>
    </w:p>
    <w:p w14:paraId="09B5D49D" w14:textId="1558172D" w:rsidR="00DA2351" w:rsidRPr="00420489" w:rsidRDefault="009C1C1B"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ES_tradnl"/>
        </w:rPr>
      </w:pPr>
      <w:r w:rsidRPr="00420489">
        <w:rPr>
          <w:rFonts w:asciiTheme="majorHAnsi" w:hAnsiTheme="majorHAnsi"/>
          <w:sz w:val="20"/>
          <w:szCs w:val="20"/>
          <w:lang w:val="es-VE"/>
        </w:rPr>
        <w:t>La Comisión nota que</w:t>
      </w:r>
      <w:r w:rsidR="00F659EC" w:rsidRPr="00420489">
        <w:rPr>
          <w:rFonts w:asciiTheme="majorHAnsi" w:hAnsiTheme="majorHAnsi"/>
          <w:sz w:val="20"/>
          <w:szCs w:val="20"/>
          <w:lang w:val="es-VE"/>
        </w:rPr>
        <w:t xml:space="preserve"> </w:t>
      </w:r>
      <w:r w:rsidR="003E111D" w:rsidRPr="00420489">
        <w:rPr>
          <w:rFonts w:asciiTheme="majorHAnsi" w:hAnsiTheme="majorHAnsi"/>
          <w:sz w:val="20"/>
          <w:szCs w:val="20"/>
          <w:lang w:val="es-VE"/>
        </w:rPr>
        <w:t xml:space="preserve">la decisión de terminar los contratos </w:t>
      </w:r>
      <w:r w:rsidR="00762BBB" w:rsidRPr="00420489">
        <w:rPr>
          <w:rFonts w:asciiTheme="majorHAnsi" w:hAnsiTheme="majorHAnsi"/>
          <w:sz w:val="20"/>
          <w:szCs w:val="20"/>
          <w:lang w:val="es-VE"/>
        </w:rPr>
        <w:t xml:space="preserve">con las presuntas víctimas </w:t>
      </w:r>
      <w:r w:rsidR="00F659EC" w:rsidRPr="00420489">
        <w:rPr>
          <w:rFonts w:asciiTheme="majorHAnsi" w:hAnsiTheme="majorHAnsi"/>
          <w:sz w:val="20"/>
          <w:szCs w:val="20"/>
          <w:lang w:val="es-VE"/>
        </w:rPr>
        <w:t xml:space="preserve">carece de motivación, indicándose en el texto de las cartas únicamente lo siguiente: “Me dirijo a usted, con la finalidad de anunciarle mi decisión de dar por terminado su contrato de trabajo </w:t>
      </w:r>
      <w:r w:rsidR="00D50E69" w:rsidRPr="00420489">
        <w:rPr>
          <w:rFonts w:asciiTheme="majorHAnsi" w:hAnsiTheme="majorHAnsi"/>
          <w:sz w:val="20"/>
          <w:szCs w:val="20"/>
          <w:lang w:val="es-VE"/>
        </w:rPr>
        <w:t>(…) a partir del 1 de abril del presente año</w:t>
      </w:r>
      <w:r w:rsidR="00C40219" w:rsidRPr="00420489">
        <w:rPr>
          <w:rFonts w:asciiTheme="majorHAnsi" w:hAnsiTheme="majorHAnsi"/>
          <w:sz w:val="20"/>
          <w:szCs w:val="20"/>
          <w:lang w:val="es-VE"/>
        </w:rPr>
        <w:t>”</w:t>
      </w:r>
      <w:r w:rsidR="00D50E69" w:rsidRPr="00420489">
        <w:rPr>
          <w:rFonts w:asciiTheme="majorHAnsi" w:hAnsiTheme="majorHAnsi"/>
          <w:sz w:val="20"/>
          <w:szCs w:val="20"/>
          <w:vertAlign w:val="superscript"/>
          <w:lang w:val="es-VE"/>
        </w:rPr>
        <w:footnoteReference w:id="74"/>
      </w:r>
      <w:r w:rsidR="00D50E69" w:rsidRPr="00420489">
        <w:rPr>
          <w:rFonts w:asciiTheme="majorHAnsi" w:hAnsiTheme="majorHAnsi"/>
          <w:sz w:val="20"/>
          <w:szCs w:val="20"/>
          <w:lang w:val="es-VE"/>
        </w:rPr>
        <w:t>.  No obstante, con posterioridad el Presidente del Consejo Nacional de Fronteras informó en el mar</w:t>
      </w:r>
      <w:r w:rsidR="00C40219" w:rsidRPr="00420489">
        <w:rPr>
          <w:rFonts w:asciiTheme="majorHAnsi" w:hAnsiTheme="majorHAnsi"/>
          <w:sz w:val="20"/>
          <w:szCs w:val="20"/>
          <w:lang w:val="es-VE"/>
        </w:rPr>
        <w:t xml:space="preserve">co de </w:t>
      </w:r>
      <w:r w:rsidR="00C40219" w:rsidRPr="00420489">
        <w:rPr>
          <w:rFonts w:asciiTheme="majorHAnsi" w:hAnsiTheme="majorHAnsi"/>
          <w:sz w:val="20"/>
          <w:szCs w:val="20"/>
          <w:lang w:val="es-VE"/>
        </w:rPr>
        <w:lastRenderedPageBreak/>
        <w:t>los procesos internos que</w:t>
      </w:r>
      <w:r w:rsidR="00D50E69" w:rsidRPr="00420489">
        <w:rPr>
          <w:rFonts w:asciiTheme="majorHAnsi" w:hAnsiTheme="majorHAnsi"/>
          <w:sz w:val="20"/>
          <w:szCs w:val="20"/>
          <w:lang w:val="es-VE"/>
        </w:rPr>
        <w:t xml:space="preserve"> se decidió dar por terminados estos contratos en aplicación de la cláusula séptima del mismo que señala </w:t>
      </w:r>
      <w:r w:rsidR="00746D77" w:rsidRPr="00420489">
        <w:rPr>
          <w:rFonts w:asciiTheme="majorHAnsi" w:hAnsiTheme="majorHAnsi"/>
          <w:sz w:val="20"/>
          <w:szCs w:val="20"/>
          <w:lang w:val="es-ES_tradnl"/>
        </w:rPr>
        <w:t xml:space="preserve">en la parte conducente que “el contratante se reserva el derecho de dar por terminado el presente contrato cuando lo considere conveniente, previa notificación a </w:t>
      </w:r>
      <w:r w:rsidR="003E111D" w:rsidRPr="00420489">
        <w:rPr>
          <w:rFonts w:asciiTheme="majorHAnsi" w:hAnsiTheme="majorHAnsi"/>
          <w:sz w:val="20"/>
          <w:szCs w:val="20"/>
          <w:lang w:val="es-ES_tradnl"/>
        </w:rPr>
        <w:t>‘</w:t>
      </w:r>
      <w:r w:rsidR="00746D77" w:rsidRPr="00420489">
        <w:rPr>
          <w:rFonts w:asciiTheme="majorHAnsi" w:hAnsiTheme="majorHAnsi"/>
          <w:sz w:val="20"/>
          <w:szCs w:val="20"/>
          <w:lang w:val="es-ES_tradnl"/>
        </w:rPr>
        <w:t>La contratada</w:t>
      </w:r>
      <w:r w:rsidR="003E111D" w:rsidRPr="00420489">
        <w:rPr>
          <w:rFonts w:asciiTheme="majorHAnsi" w:hAnsiTheme="majorHAnsi"/>
          <w:sz w:val="20"/>
          <w:szCs w:val="20"/>
          <w:lang w:val="es-ES_tradnl"/>
        </w:rPr>
        <w:t>’</w:t>
      </w:r>
      <w:r w:rsidR="00746D77" w:rsidRPr="00420489">
        <w:rPr>
          <w:rFonts w:asciiTheme="majorHAnsi" w:hAnsiTheme="majorHAnsi"/>
          <w:sz w:val="20"/>
          <w:szCs w:val="20"/>
          <w:lang w:val="es-ES_tradnl"/>
        </w:rPr>
        <w:t xml:space="preserve">  hecha con un mes de anticipación por lo menos”</w:t>
      </w:r>
      <w:r w:rsidR="00510234" w:rsidRPr="00420489">
        <w:rPr>
          <w:rStyle w:val="FootnoteReference"/>
          <w:rFonts w:asciiTheme="majorHAnsi" w:hAnsiTheme="majorHAnsi"/>
          <w:sz w:val="20"/>
          <w:szCs w:val="20"/>
          <w:lang w:val="es-ES_tradnl"/>
        </w:rPr>
        <w:t xml:space="preserve"> </w:t>
      </w:r>
      <w:r w:rsidR="00510234" w:rsidRPr="00420489">
        <w:rPr>
          <w:rStyle w:val="FootnoteReference"/>
          <w:rFonts w:asciiTheme="majorHAnsi" w:hAnsiTheme="majorHAnsi"/>
          <w:sz w:val="20"/>
          <w:szCs w:val="20"/>
          <w:lang w:val="es-ES_tradnl"/>
        </w:rPr>
        <w:footnoteReference w:id="75"/>
      </w:r>
      <w:r w:rsidR="00746D77" w:rsidRPr="00420489">
        <w:rPr>
          <w:rFonts w:asciiTheme="majorHAnsi" w:hAnsiTheme="majorHAnsi"/>
          <w:sz w:val="20"/>
          <w:szCs w:val="20"/>
          <w:lang w:val="es-ES_tradnl"/>
        </w:rPr>
        <w:t xml:space="preserve">. </w:t>
      </w:r>
      <w:r w:rsidRPr="00420489">
        <w:rPr>
          <w:rFonts w:asciiTheme="majorHAnsi" w:hAnsiTheme="majorHAnsi"/>
          <w:sz w:val="20"/>
          <w:szCs w:val="20"/>
          <w:lang w:val="es-ES_tradnl"/>
        </w:rPr>
        <w:t xml:space="preserve"> </w:t>
      </w:r>
    </w:p>
    <w:p w14:paraId="1FAA3AB1" w14:textId="77777777" w:rsidR="009C1C1B" w:rsidRPr="00420489" w:rsidRDefault="009C1C1B" w:rsidP="00D17BB1">
      <w:pPr>
        <w:pStyle w:val="ListParagraph"/>
        <w:tabs>
          <w:tab w:val="num" w:pos="1440"/>
        </w:tabs>
        <w:rPr>
          <w:rFonts w:asciiTheme="majorHAnsi" w:hAnsiTheme="majorHAnsi"/>
          <w:sz w:val="20"/>
          <w:szCs w:val="20"/>
          <w:lang w:val="es-ES_tradnl"/>
        </w:rPr>
      </w:pPr>
    </w:p>
    <w:p w14:paraId="609A5FDB" w14:textId="77777777" w:rsidR="00027093" w:rsidRPr="00420489" w:rsidRDefault="009C1C1B"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ES_tradnl"/>
        </w:rPr>
      </w:pPr>
      <w:r w:rsidRPr="00420489">
        <w:rPr>
          <w:rFonts w:asciiTheme="majorHAnsi" w:hAnsiTheme="majorHAnsi"/>
          <w:sz w:val="20"/>
          <w:szCs w:val="20"/>
          <w:lang w:val="es-ES_tradnl"/>
        </w:rPr>
        <w:t xml:space="preserve">El Secretario Ejecutivo del Consejo Nacional de Fronteras indicó en una comunicación que consta dentro del expediente que </w:t>
      </w:r>
      <w:r w:rsidR="00C777AC" w:rsidRPr="00420489">
        <w:rPr>
          <w:rFonts w:asciiTheme="majorHAnsi" w:hAnsiTheme="majorHAnsi"/>
          <w:sz w:val="20"/>
          <w:szCs w:val="20"/>
          <w:lang w:val="es-ES_tradnl"/>
        </w:rPr>
        <w:t xml:space="preserve">“en ningún </w:t>
      </w:r>
      <w:r w:rsidR="00510234" w:rsidRPr="00420489">
        <w:rPr>
          <w:rFonts w:asciiTheme="majorHAnsi" w:hAnsiTheme="majorHAnsi"/>
          <w:sz w:val="20"/>
          <w:szCs w:val="20"/>
          <w:lang w:val="es-ES_tradnl"/>
        </w:rPr>
        <w:t xml:space="preserve">momento el Presidente del Organismo ha expresado que la motivación de la finalización de los contratos en referencia haya tenido como causa un supuesto </w:t>
      </w:r>
      <w:r w:rsidR="005139D5" w:rsidRPr="00420489">
        <w:rPr>
          <w:rFonts w:asciiTheme="majorHAnsi" w:hAnsiTheme="majorHAnsi"/>
          <w:sz w:val="20"/>
          <w:szCs w:val="20"/>
          <w:lang w:val="es-ES_tradnl"/>
        </w:rPr>
        <w:t>’</w:t>
      </w:r>
      <w:r w:rsidR="00510234" w:rsidRPr="00420489">
        <w:rPr>
          <w:rFonts w:asciiTheme="majorHAnsi" w:hAnsiTheme="majorHAnsi"/>
          <w:sz w:val="20"/>
          <w:szCs w:val="20"/>
          <w:lang w:val="es-ES_tradnl"/>
        </w:rPr>
        <w:t>gesto de desconfianza</w:t>
      </w:r>
      <w:r w:rsidR="005139D5" w:rsidRPr="00420489">
        <w:rPr>
          <w:rFonts w:asciiTheme="majorHAnsi" w:hAnsiTheme="majorHAnsi"/>
          <w:sz w:val="20"/>
          <w:szCs w:val="20"/>
          <w:lang w:val="es-ES_tradnl"/>
        </w:rPr>
        <w:t>’</w:t>
      </w:r>
      <w:r w:rsidR="00510234" w:rsidRPr="00420489">
        <w:rPr>
          <w:rFonts w:asciiTheme="majorHAnsi" w:hAnsiTheme="majorHAnsi"/>
          <w:sz w:val="20"/>
          <w:szCs w:val="20"/>
          <w:lang w:val="es-ES_tradnl"/>
        </w:rPr>
        <w:t xml:space="preserve">, en el que habrían incurrido San Miguel Sosa, Chang Girón y Peña, por </w:t>
      </w:r>
      <w:r w:rsidR="005139D5" w:rsidRPr="00420489">
        <w:rPr>
          <w:rFonts w:asciiTheme="majorHAnsi" w:hAnsiTheme="majorHAnsi"/>
          <w:sz w:val="20"/>
          <w:szCs w:val="20"/>
          <w:lang w:val="es-ES_tradnl"/>
        </w:rPr>
        <w:t>’</w:t>
      </w:r>
      <w:r w:rsidR="00510234" w:rsidRPr="00420489">
        <w:rPr>
          <w:rFonts w:asciiTheme="majorHAnsi" w:hAnsiTheme="majorHAnsi"/>
          <w:sz w:val="20"/>
          <w:szCs w:val="20"/>
          <w:lang w:val="es-ES_tradnl"/>
        </w:rPr>
        <w:t>suscribir la solicitud para la realización del referéndum revocatorio presidencial</w:t>
      </w:r>
      <w:r w:rsidR="005139D5" w:rsidRPr="00420489">
        <w:rPr>
          <w:rFonts w:asciiTheme="majorHAnsi" w:hAnsiTheme="majorHAnsi"/>
          <w:sz w:val="20"/>
          <w:szCs w:val="20"/>
          <w:lang w:val="es-ES_tradnl"/>
        </w:rPr>
        <w:t>’</w:t>
      </w:r>
      <w:r w:rsidR="00510234" w:rsidRPr="00420489">
        <w:rPr>
          <w:rFonts w:asciiTheme="majorHAnsi" w:hAnsiTheme="majorHAnsi"/>
          <w:sz w:val="20"/>
          <w:szCs w:val="20"/>
          <w:lang w:val="es-ES_tradnl"/>
        </w:rPr>
        <w:t xml:space="preserve"> y no tiene por tanto fundamento una temeraria interpretación sobre la decisión”</w:t>
      </w:r>
      <w:r w:rsidR="00510234" w:rsidRPr="00420489">
        <w:rPr>
          <w:rStyle w:val="FootnoteReference"/>
          <w:rFonts w:asciiTheme="majorHAnsi" w:hAnsiTheme="majorHAnsi"/>
          <w:sz w:val="20"/>
          <w:szCs w:val="20"/>
          <w:lang w:val="es-ES_tradnl"/>
        </w:rPr>
        <w:footnoteReference w:id="76"/>
      </w:r>
      <w:r w:rsidR="00510234" w:rsidRPr="00420489">
        <w:rPr>
          <w:rFonts w:asciiTheme="majorHAnsi" w:hAnsiTheme="majorHAnsi"/>
          <w:sz w:val="20"/>
          <w:szCs w:val="20"/>
          <w:lang w:val="es-ES_tradnl"/>
        </w:rPr>
        <w:t xml:space="preserve">. </w:t>
      </w:r>
      <w:r w:rsidR="006F5C1B" w:rsidRPr="00420489">
        <w:rPr>
          <w:rFonts w:asciiTheme="majorHAnsi" w:hAnsiTheme="majorHAnsi"/>
          <w:sz w:val="20"/>
          <w:szCs w:val="20"/>
          <w:lang w:val="es-ES_tradnl"/>
        </w:rPr>
        <w:t xml:space="preserve"> En una entrevista radial, el Secretario Ejecutivo afirmó que las tres presuntas víctimas fueron despedidas por orden del Vicepresidente como consecuencia de una reestructuración</w:t>
      </w:r>
      <w:r w:rsidR="006F5C1B" w:rsidRPr="00420489">
        <w:rPr>
          <w:rStyle w:val="FootnoteReference"/>
          <w:rFonts w:asciiTheme="majorHAnsi" w:hAnsiTheme="majorHAnsi"/>
          <w:sz w:val="20"/>
          <w:szCs w:val="20"/>
          <w:lang w:val="es-ES_tradnl"/>
        </w:rPr>
        <w:footnoteReference w:id="77"/>
      </w:r>
      <w:r w:rsidR="006F5C1B" w:rsidRPr="00420489">
        <w:rPr>
          <w:rFonts w:asciiTheme="majorHAnsi" w:hAnsiTheme="majorHAnsi"/>
          <w:sz w:val="20"/>
          <w:szCs w:val="20"/>
          <w:lang w:val="es-ES_tradnl"/>
        </w:rPr>
        <w:t xml:space="preserve">. </w:t>
      </w:r>
    </w:p>
    <w:p w14:paraId="1D5C404F" w14:textId="77777777" w:rsidR="00FE6BB0" w:rsidRPr="00420489" w:rsidRDefault="00FE6BB0" w:rsidP="00D17BB1">
      <w:pPr>
        <w:pStyle w:val="ListParagraph"/>
        <w:tabs>
          <w:tab w:val="num" w:pos="1440"/>
        </w:tabs>
        <w:rPr>
          <w:rFonts w:asciiTheme="majorHAnsi" w:hAnsiTheme="majorHAnsi"/>
          <w:sz w:val="20"/>
          <w:szCs w:val="20"/>
          <w:lang w:val="es-ES_tradnl"/>
        </w:rPr>
      </w:pPr>
    </w:p>
    <w:p w14:paraId="771BD1D1" w14:textId="77777777" w:rsidR="00FE6BB0" w:rsidRPr="00420489" w:rsidRDefault="00FE6BB0"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ES"/>
        </w:rPr>
      </w:pPr>
      <w:r w:rsidRPr="00420489">
        <w:rPr>
          <w:rFonts w:asciiTheme="majorHAnsi" w:hAnsiTheme="majorHAnsi"/>
          <w:sz w:val="20"/>
          <w:szCs w:val="20"/>
          <w:lang w:val="es-ES_tradnl"/>
        </w:rPr>
        <w:t xml:space="preserve">También, en su declaración rendida ante la Fiscalía, el 14 de julio de 2004, el entonces Secretario Ejecutivo del Consejo Nacional de Fronteras negó </w:t>
      </w:r>
      <w:r w:rsidRPr="00420489">
        <w:rPr>
          <w:rFonts w:asciiTheme="majorHAnsi" w:hAnsiTheme="majorHAnsi"/>
          <w:sz w:val="20"/>
          <w:szCs w:val="20"/>
          <w:lang w:val="es-ES"/>
        </w:rPr>
        <w:t>haber manifestado a alguna de las víctimas del caso que su despido se debía al gesto de desconfianza en el que habían incurrido al suscribir la solicitud de refer</w:t>
      </w:r>
      <w:r w:rsidR="001B0CFF" w:rsidRPr="00420489">
        <w:rPr>
          <w:rFonts w:asciiTheme="majorHAnsi" w:hAnsiTheme="majorHAnsi"/>
          <w:sz w:val="20"/>
          <w:szCs w:val="20"/>
          <w:lang w:val="es-ES"/>
        </w:rPr>
        <w:t xml:space="preserve">endo </w:t>
      </w:r>
      <w:r w:rsidRPr="00420489">
        <w:rPr>
          <w:rFonts w:asciiTheme="majorHAnsi" w:hAnsiTheme="majorHAnsi"/>
          <w:sz w:val="20"/>
          <w:szCs w:val="20"/>
          <w:lang w:val="es-ES"/>
        </w:rPr>
        <w:t>revocatorio presidencial</w:t>
      </w:r>
      <w:r w:rsidRPr="00420489">
        <w:rPr>
          <w:rStyle w:val="FootnoteReference"/>
          <w:rFonts w:asciiTheme="majorHAnsi" w:hAnsiTheme="majorHAnsi"/>
          <w:sz w:val="20"/>
          <w:szCs w:val="20"/>
          <w:lang w:val="es-ES"/>
        </w:rPr>
        <w:footnoteReference w:id="78"/>
      </w:r>
      <w:r w:rsidRPr="00420489">
        <w:rPr>
          <w:rFonts w:asciiTheme="majorHAnsi" w:hAnsiTheme="majorHAnsi"/>
          <w:sz w:val="20"/>
          <w:szCs w:val="20"/>
          <w:lang w:val="es-ES"/>
        </w:rPr>
        <w:t xml:space="preserve">.   </w:t>
      </w:r>
    </w:p>
    <w:p w14:paraId="014D24D5" w14:textId="77777777" w:rsidR="00FE6BB0" w:rsidRPr="00420489" w:rsidRDefault="00FE6BB0" w:rsidP="00D17BB1">
      <w:pPr>
        <w:tabs>
          <w:tab w:val="num" w:pos="1440"/>
        </w:tabs>
        <w:rPr>
          <w:rFonts w:asciiTheme="majorHAnsi" w:hAnsiTheme="majorHAnsi"/>
          <w:sz w:val="20"/>
          <w:szCs w:val="20"/>
          <w:lang w:val="es-ES_tradnl"/>
        </w:rPr>
      </w:pPr>
    </w:p>
    <w:p w14:paraId="078AB40F" w14:textId="77777777" w:rsidR="00326114" w:rsidRPr="00420489" w:rsidRDefault="005139D5" w:rsidP="00D17BB1">
      <w:pPr>
        <w:numPr>
          <w:ilvl w:val="0"/>
          <w:numId w:val="58"/>
        </w:numPr>
        <w:pBdr>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sz w:val="20"/>
          <w:szCs w:val="20"/>
          <w:lang w:val="es-ES_tradnl"/>
        </w:rPr>
      </w:pPr>
      <w:r w:rsidRPr="00420489">
        <w:rPr>
          <w:rFonts w:asciiTheme="majorHAnsi" w:hAnsiTheme="majorHAnsi"/>
          <w:sz w:val="20"/>
          <w:szCs w:val="20"/>
          <w:lang w:val="es-ES_tradnl"/>
        </w:rPr>
        <w:t xml:space="preserve">En contraste con lo anterior, </w:t>
      </w:r>
      <w:r w:rsidR="00326114" w:rsidRPr="00420489">
        <w:rPr>
          <w:rFonts w:asciiTheme="majorHAnsi" w:hAnsiTheme="majorHAnsi"/>
          <w:sz w:val="20"/>
          <w:szCs w:val="20"/>
          <w:lang w:val="es-ES_tradnl"/>
        </w:rPr>
        <w:t xml:space="preserve">en el marco de los procesos judiciales que se describen </w:t>
      </w:r>
      <w:r w:rsidR="00326114" w:rsidRPr="00420489">
        <w:rPr>
          <w:rFonts w:asciiTheme="majorHAnsi" w:hAnsiTheme="majorHAnsi"/>
          <w:i/>
          <w:sz w:val="20"/>
          <w:szCs w:val="20"/>
          <w:lang w:val="es-ES_tradnl"/>
        </w:rPr>
        <w:t>infra</w:t>
      </w:r>
      <w:r w:rsidR="00326114" w:rsidRPr="00420489">
        <w:rPr>
          <w:rFonts w:asciiTheme="majorHAnsi" w:hAnsiTheme="majorHAnsi"/>
          <w:sz w:val="20"/>
          <w:szCs w:val="20"/>
          <w:lang w:val="es-ES_tradnl"/>
        </w:rPr>
        <w:t xml:space="preserve">, surgieron diversos </w:t>
      </w:r>
      <w:r w:rsidRPr="00420489">
        <w:rPr>
          <w:rFonts w:asciiTheme="majorHAnsi" w:hAnsiTheme="majorHAnsi"/>
          <w:sz w:val="20"/>
          <w:szCs w:val="20"/>
          <w:lang w:val="es-ES_tradnl"/>
        </w:rPr>
        <w:t xml:space="preserve">elementos </w:t>
      </w:r>
      <w:r w:rsidR="00326114" w:rsidRPr="00420489">
        <w:rPr>
          <w:rFonts w:asciiTheme="majorHAnsi" w:hAnsiTheme="majorHAnsi"/>
          <w:sz w:val="20"/>
          <w:szCs w:val="20"/>
          <w:lang w:val="es-ES_tradnl"/>
        </w:rPr>
        <w:t>que</w:t>
      </w:r>
      <w:r w:rsidRPr="00420489">
        <w:rPr>
          <w:rFonts w:asciiTheme="majorHAnsi" w:hAnsiTheme="majorHAnsi"/>
          <w:sz w:val="20"/>
          <w:szCs w:val="20"/>
          <w:lang w:val="es-ES_tradnl"/>
        </w:rPr>
        <w:t xml:space="preserve"> apuntan</w:t>
      </w:r>
      <w:r w:rsidR="00326114" w:rsidRPr="00420489">
        <w:rPr>
          <w:rFonts w:asciiTheme="majorHAnsi" w:hAnsiTheme="majorHAnsi"/>
          <w:sz w:val="20"/>
          <w:szCs w:val="20"/>
          <w:lang w:val="es-ES_tradnl"/>
        </w:rPr>
        <w:t xml:space="preserve"> </w:t>
      </w:r>
      <w:r w:rsidRPr="00420489">
        <w:rPr>
          <w:rFonts w:asciiTheme="majorHAnsi" w:hAnsiTheme="majorHAnsi"/>
          <w:sz w:val="20"/>
          <w:szCs w:val="20"/>
          <w:lang w:val="es-ES_tradnl"/>
        </w:rPr>
        <w:t xml:space="preserve">a que </w:t>
      </w:r>
      <w:r w:rsidR="00326114" w:rsidRPr="00420489">
        <w:rPr>
          <w:rFonts w:asciiTheme="majorHAnsi" w:hAnsiTheme="majorHAnsi"/>
          <w:sz w:val="20"/>
          <w:szCs w:val="20"/>
          <w:lang w:val="es-ES_tradnl"/>
        </w:rPr>
        <w:t xml:space="preserve">la terminación contractual de las presuntas víctimas </w:t>
      </w:r>
      <w:r w:rsidR="00696F5C" w:rsidRPr="00420489">
        <w:rPr>
          <w:rFonts w:asciiTheme="majorHAnsi" w:hAnsiTheme="majorHAnsi"/>
          <w:sz w:val="20"/>
          <w:szCs w:val="20"/>
          <w:lang w:val="es-ES_tradnl"/>
        </w:rPr>
        <w:t xml:space="preserve">estuvo relacionada con la firma de la solicitud del </w:t>
      </w:r>
      <w:r w:rsidR="00326114" w:rsidRPr="00420489">
        <w:rPr>
          <w:rFonts w:asciiTheme="majorHAnsi" w:hAnsiTheme="majorHAnsi"/>
          <w:sz w:val="20"/>
          <w:szCs w:val="20"/>
          <w:lang w:val="es-ES_tradnl"/>
        </w:rPr>
        <w:t xml:space="preserve">referendo revocatorio presidencial. </w:t>
      </w:r>
    </w:p>
    <w:p w14:paraId="6F2A4B29" w14:textId="77777777" w:rsidR="00326114" w:rsidRPr="00420489" w:rsidRDefault="00326114" w:rsidP="00326114">
      <w:pPr>
        <w:pStyle w:val="ListParagraph"/>
        <w:rPr>
          <w:rFonts w:asciiTheme="majorHAnsi" w:hAnsiTheme="majorHAnsi"/>
          <w:sz w:val="20"/>
          <w:szCs w:val="20"/>
          <w:lang w:val="es-ES_tradnl"/>
        </w:rPr>
      </w:pPr>
    </w:p>
    <w:p w14:paraId="44925393" w14:textId="616EBA04" w:rsidR="00007135" w:rsidRPr="00420489" w:rsidRDefault="00007135" w:rsidP="00EC5EC4">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420489">
        <w:rPr>
          <w:rFonts w:asciiTheme="majorHAnsi" w:hAnsiTheme="majorHAnsi"/>
          <w:sz w:val="20"/>
          <w:szCs w:val="20"/>
          <w:lang w:val="es-ES_tradnl"/>
        </w:rPr>
        <w:t xml:space="preserve">En su declaración testimonial rendida ante la Fiscalía el 15 de julio de 2004, Rocío San Miguel Sosa declaró que </w:t>
      </w:r>
      <w:r w:rsidRPr="00420489">
        <w:rPr>
          <w:rFonts w:asciiTheme="majorHAnsi" w:hAnsiTheme="majorHAnsi"/>
          <w:sz w:val="20"/>
          <w:szCs w:val="20"/>
          <w:lang w:val="es-ES"/>
        </w:rPr>
        <w:t xml:space="preserve">el 11 de marzo de 2004 Feijoo </w:t>
      </w:r>
      <w:proofErr w:type="spellStart"/>
      <w:r w:rsidRPr="00420489">
        <w:rPr>
          <w:rFonts w:asciiTheme="majorHAnsi" w:hAnsiTheme="majorHAnsi"/>
          <w:sz w:val="20"/>
          <w:szCs w:val="20"/>
          <w:lang w:val="es-ES"/>
        </w:rPr>
        <w:t>Colomine</w:t>
      </w:r>
      <w:proofErr w:type="spellEnd"/>
      <w:r w:rsidRPr="00420489">
        <w:rPr>
          <w:rFonts w:asciiTheme="majorHAnsi" w:hAnsiTheme="majorHAnsi"/>
          <w:sz w:val="20"/>
          <w:szCs w:val="20"/>
          <w:lang w:val="es-ES"/>
        </w:rPr>
        <w:t xml:space="preserve"> Rincones</w:t>
      </w:r>
      <w:r w:rsidR="007E441B" w:rsidRPr="00420489">
        <w:rPr>
          <w:rFonts w:asciiTheme="majorHAnsi" w:hAnsiTheme="majorHAnsi"/>
          <w:sz w:val="20"/>
          <w:szCs w:val="20"/>
          <w:lang w:val="es-ES"/>
        </w:rPr>
        <w:t>, Secretario Ejecutivo del Consejo Nacional de Fronteras</w:t>
      </w:r>
      <w:r w:rsidR="00EA6E86" w:rsidRPr="00420489">
        <w:rPr>
          <w:rFonts w:asciiTheme="majorHAnsi" w:hAnsiTheme="majorHAnsi"/>
          <w:sz w:val="20"/>
          <w:szCs w:val="20"/>
          <w:lang w:val="es-ES"/>
        </w:rPr>
        <w:t>,</w:t>
      </w:r>
      <w:r w:rsidRPr="00420489">
        <w:rPr>
          <w:rFonts w:asciiTheme="majorHAnsi" w:hAnsiTheme="majorHAnsi"/>
          <w:sz w:val="20"/>
          <w:szCs w:val="20"/>
          <w:lang w:val="es-ES"/>
        </w:rPr>
        <w:t xml:space="preserve"> le informó verbalmente de su posible despido refiriéndole que en una conversación que sostuvo con José Vicente Rangel Vale, Presidente del Consejo Nacional de Fronteras</w:t>
      </w:r>
      <w:r w:rsidR="00EC5EC4" w:rsidRPr="00420489">
        <w:rPr>
          <w:rFonts w:asciiTheme="majorHAnsi" w:hAnsiTheme="majorHAnsi"/>
          <w:sz w:val="20"/>
          <w:szCs w:val="20"/>
          <w:lang w:val="es-ES"/>
        </w:rPr>
        <w:t xml:space="preserve">, </w:t>
      </w:r>
      <w:r w:rsidRPr="00420489">
        <w:rPr>
          <w:rFonts w:asciiTheme="majorHAnsi" w:hAnsiTheme="majorHAnsi"/>
          <w:sz w:val="20"/>
          <w:szCs w:val="20"/>
          <w:lang w:val="es-ES"/>
        </w:rPr>
        <w:t>este le indicó “que procediera al despido de Rocío San Miguel y Thais Peña en razón de que estas personas habían solicitado el revocatorio presidencial”</w:t>
      </w:r>
      <w:r w:rsidRPr="00420489">
        <w:rPr>
          <w:rStyle w:val="FootnoteReference"/>
          <w:rFonts w:asciiTheme="majorHAnsi" w:hAnsiTheme="majorHAnsi"/>
          <w:sz w:val="20"/>
          <w:szCs w:val="20"/>
          <w:lang w:val="es-ES"/>
        </w:rPr>
        <w:footnoteReference w:id="79"/>
      </w:r>
      <w:r w:rsidR="00FE18F9" w:rsidRPr="00420489">
        <w:rPr>
          <w:rFonts w:asciiTheme="majorHAnsi" w:hAnsiTheme="majorHAnsi"/>
          <w:sz w:val="20"/>
          <w:szCs w:val="20"/>
          <w:lang w:val="es-ES"/>
        </w:rPr>
        <w:t xml:space="preserve">. </w:t>
      </w:r>
      <w:r w:rsidRPr="00420489">
        <w:rPr>
          <w:rFonts w:asciiTheme="majorHAnsi" w:hAnsiTheme="majorHAnsi"/>
          <w:sz w:val="20"/>
          <w:szCs w:val="20"/>
          <w:lang w:val="es-ES"/>
        </w:rPr>
        <w:t xml:space="preserve">En dicha entrevista, Rocío San Miguel también indicó que el 31 de marzo </w:t>
      </w:r>
      <w:r w:rsidR="00EA6E86" w:rsidRPr="00420489">
        <w:rPr>
          <w:rFonts w:asciiTheme="majorHAnsi" w:hAnsiTheme="majorHAnsi"/>
          <w:sz w:val="20"/>
          <w:szCs w:val="20"/>
          <w:lang w:val="es-ES"/>
        </w:rPr>
        <w:t xml:space="preserve">de 2004 </w:t>
      </w:r>
      <w:r w:rsidRPr="00420489">
        <w:rPr>
          <w:rFonts w:asciiTheme="majorHAnsi" w:hAnsiTheme="majorHAnsi"/>
          <w:sz w:val="20"/>
          <w:szCs w:val="20"/>
          <w:lang w:val="es-ES"/>
        </w:rPr>
        <w:t xml:space="preserve">conversó con Ilia </w:t>
      </w:r>
      <w:proofErr w:type="spellStart"/>
      <w:r w:rsidRPr="00420489">
        <w:rPr>
          <w:rFonts w:asciiTheme="majorHAnsi" w:hAnsiTheme="majorHAnsi"/>
          <w:sz w:val="20"/>
          <w:szCs w:val="20"/>
          <w:lang w:val="es-ES"/>
        </w:rPr>
        <w:t>Azpurúa</w:t>
      </w:r>
      <w:proofErr w:type="spellEnd"/>
      <w:r w:rsidRPr="00420489">
        <w:rPr>
          <w:rFonts w:asciiTheme="majorHAnsi" w:hAnsiTheme="majorHAnsi"/>
          <w:sz w:val="20"/>
          <w:szCs w:val="20"/>
          <w:lang w:val="es-ES"/>
        </w:rPr>
        <w:t>, consultora jurídica de la Vicepresidencia y Secretaria encargada del Consejo de Ministros y que dicha persona le indicó “qu</w:t>
      </w:r>
      <w:r w:rsidR="005F12AF" w:rsidRPr="00420489">
        <w:rPr>
          <w:rFonts w:asciiTheme="majorHAnsi" w:hAnsiTheme="majorHAnsi"/>
          <w:sz w:val="20"/>
          <w:szCs w:val="20"/>
          <w:lang w:val="es-ES"/>
        </w:rPr>
        <w:t xml:space="preserve">e no era posible que trabajando en el Palacio </w:t>
      </w:r>
      <w:r w:rsidRPr="00420489">
        <w:rPr>
          <w:rFonts w:asciiTheme="majorHAnsi" w:hAnsiTheme="majorHAnsi"/>
          <w:sz w:val="20"/>
          <w:szCs w:val="20"/>
          <w:lang w:val="es-ES"/>
        </w:rPr>
        <w:t>Blanco hubiese firmado, que yo era personal de confianza y que con la firma había manifestado un gesto de desconfianza”</w:t>
      </w:r>
      <w:r w:rsidRPr="00420489">
        <w:rPr>
          <w:rStyle w:val="FootnoteReference"/>
          <w:rFonts w:asciiTheme="majorHAnsi" w:hAnsiTheme="majorHAnsi"/>
          <w:sz w:val="20"/>
          <w:szCs w:val="20"/>
          <w:lang w:val="es-ES"/>
        </w:rPr>
        <w:footnoteReference w:id="80"/>
      </w:r>
      <w:r w:rsidRPr="00420489">
        <w:rPr>
          <w:rFonts w:asciiTheme="majorHAnsi" w:hAnsiTheme="majorHAnsi"/>
          <w:sz w:val="20"/>
          <w:szCs w:val="20"/>
          <w:lang w:val="es-ES"/>
        </w:rPr>
        <w:t xml:space="preserve">. En dicha declaración Rocío San Miguel subrayó que de </w:t>
      </w:r>
      <w:r w:rsidR="004D5EBF">
        <w:rPr>
          <w:rFonts w:asciiTheme="majorHAnsi" w:hAnsiTheme="majorHAnsi"/>
          <w:sz w:val="20"/>
          <w:szCs w:val="20"/>
          <w:lang w:val="es-ES"/>
        </w:rPr>
        <w:t xml:space="preserve">más de veinte </w:t>
      </w:r>
      <w:r w:rsidRPr="00420489">
        <w:rPr>
          <w:rFonts w:asciiTheme="majorHAnsi" w:hAnsiTheme="majorHAnsi"/>
          <w:sz w:val="20"/>
          <w:szCs w:val="20"/>
          <w:lang w:val="es-ES"/>
        </w:rPr>
        <w:t xml:space="preserve">personas que trabajaban en el Consejo Nacional de Fronteras solamente despidieron a las 4 personas que </w:t>
      </w:r>
      <w:r w:rsidR="004B2AD6" w:rsidRPr="00420489">
        <w:rPr>
          <w:rFonts w:asciiTheme="majorHAnsi" w:hAnsiTheme="majorHAnsi"/>
          <w:sz w:val="20"/>
          <w:szCs w:val="20"/>
          <w:lang w:val="es-ES"/>
        </w:rPr>
        <w:t xml:space="preserve">firmaron la solicitud del </w:t>
      </w:r>
      <w:r w:rsidRPr="00420489">
        <w:rPr>
          <w:rFonts w:asciiTheme="majorHAnsi" w:hAnsiTheme="majorHAnsi"/>
          <w:sz w:val="20"/>
          <w:szCs w:val="20"/>
          <w:lang w:val="es-ES"/>
        </w:rPr>
        <w:t xml:space="preserve">referéndum revocatorio, no obstante el señor Jorge Guerra Navarro pudo conservar su trabajo al desconocer la firma en </w:t>
      </w:r>
      <w:r w:rsidR="00C052ED" w:rsidRPr="00420489">
        <w:rPr>
          <w:rFonts w:asciiTheme="majorHAnsi" w:hAnsiTheme="majorHAnsi"/>
          <w:sz w:val="20"/>
          <w:szCs w:val="20"/>
          <w:lang w:val="es-ES"/>
        </w:rPr>
        <w:t xml:space="preserve">el marco del proceso de </w:t>
      </w:r>
      <w:r w:rsidR="00C052ED" w:rsidRPr="00420489">
        <w:rPr>
          <w:rFonts w:asciiTheme="majorHAnsi" w:hAnsiTheme="majorHAnsi"/>
          <w:sz w:val="20"/>
          <w:szCs w:val="20"/>
          <w:lang w:val="es-ES"/>
        </w:rPr>
        <w:lastRenderedPageBreak/>
        <w:t>reparos</w:t>
      </w:r>
      <w:r w:rsidRPr="00420489">
        <w:rPr>
          <w:rStyle w:val="FootnoteReference"/>
          <w:rFonts w:asciiTheme="majorHAnsi" w:hAnsiTheme="majorHAnsi"/>
          <w:sz w:val="20"/>
          <w:szCs w:val="20"/>
          <w:lang w:val="es-ES"/>
        </w:rPr>
        <w:footnoteReference w:id="81"/>
      </w:r>
      <w:r w:rsidR="00C052ED" w:rsidRPr="00420489">
        <w:rPr>
          <w:rFonts w:asciiTheme="majorHAnsi" w:hAnsiTheme="majorHAnsi"/>
          <w:sz w:val="20"/>
          <w:szCs w:val="20"/>
          <w:lang w:val="es-ES"/>
        </w:rPr>
        <w:t>. Asimismo, indicó que</w:t>
      </w:r>
      <w:r w:rsidRPr="00420489">
        <w:rPr>
          <w:rFonts w:asciiTheme="majorHAnsi" w:hAnsiTheme="majorHAnsi"/>
          <w:sz w:val="20"/>
          <w:szCs w:val="20"/>
          <w:lang w:val="es-ES"/>
        </w:rPr>
        <w:t xml:space="preserve"> en la conversación que sostuvo con Feijoo </w:t>
      </w:r>
      <w:proofErr w:type="spellStart"/>
      <w:r w:rsidRPr="00420489">
        <w:rPr>
          <w:rFonts w:asciiTheme="majorHAnsi" w:hAnsiTheme="majorHAnsi"/>
          <w:sz w:val="20"/>
          <w:szCs w:val="20"/>
          <w:lang w:val="es-ES"/>
        </w:rPr>
        <w:t>Colomine</w:t>
      </w:r>
      <w:proofErr w:type="spellEnd"/>
      <w:r w:rsidRPr="00420489">
        <w:rPr>
          <w:rFonts w:asciiTheme="majorHAnsi" w:hAnsiTheme="majorHAnsi"/>
          <w:sz w:val="20"/>
          <w:szCs w:val="20"/>
          <w:lang w:val="es-ES"/>
        </w:rPr>
        <w:t xml:space="preserve"> este le indicó que “él logró parar el despido de Jorge Guerra y que no le daría curso a la comunicación de José Vicente Rangel, por el caso de Guerra era diferente en función de que una cédula de vecindad vieja que él tenía en su casa había sido manipulada por una señora que vive allí para firmar en su nombre”</w:t>
      </w:r>
      <w:r w:rsidRPr="00420489">
        <w:rPr>
          <w:rStyle w:val="FootnoteReference"/>
          <w:rFonts w:asciiTheme="majorHAnsi" w:hAnsiTheme="majorHAnsi"/>
          <w:sz w:val="20"/>
          <w:szCs w:val="20"/>
          <w:lang w:val="es-ES"/>
        </w:rPr>
        <w:footnoteReference w:id="82"/>
      </w:r>
      <w:r w:rsidRPr="00420489">
        <w:rPr>
          <w:rFonts w:asciiTheme="majorHAnsi" w:hAnsiTheme="majorHAnsi"/>
          <w:sz w:val="20"/>
          <w:szCs w:val="20"/>
          <w:lang w:val="es-ES"/>
        </w:rPr>
        <w:t xml:space="preserve">. </w:t>
      </w:r>
    </w:p>
    <w:p w14:paraId="3C9D1162" w14:textId="77777777" w:rsidR="00990CE5" w:rsidRPr="00420489" w:rsidRDefault="00990CE5" w:rsidP="00990CE5">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_tradnl"/>
        </w:rPr>
      </w:pPr>
    </w:p>
    <w:p w14:paraId="70B0B46A" w14:textId="77777777" w:rsidR="00990CE5" w:rsidRPr="00420489" w:rsidRDefault="00990CE5" w:rsidP="00990CE5">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20489">
        <w:rPr>
          <w:rFonts w:asciiTheme="majorHAnsi" w:hAnsiTheme="majorHAnsi"/>
          <w:sz w:val="20"/>
          <w:szCs w:val="20"/>
          <w:lang w:val="es-ES_tradnl"/>
        </w:rPr>
        <w:t xml:space="preserve">Por otra parte, el 16 de julio de 2004, </w:t>
      </w:r>
      <w:proofErr w:type="spellStart"/>
      <w:r w:rsidRPr="00420489">
        <w:rPr>
          <w:rFonts w:asciiTheme="majorHAnsi" w:hAnsiTheme="majorHAnsi"/>
          <w:sz w:val="20"/>
          <w:szCs w:val="20"/>
          <w:lang w:val="es-ES_tradnl"/>
        </w:rPr>
        <w:t>Magally</w:t>
      </w:r>
      <w:proofErr w:type="spellEnd"/>
      <w:r w:rsidRPr="00420489">
        <w:rPr>
          <w:rFonts w:asciiTheme="majorHAnsi" w:hAnsiTheme="majorHAnsi"/>
          <w:sz w:val="20"/>
          <w:szCs w:val="20"/>
          <w:lang w:val="es-ES_tradnl"/>
        </w:rPr>
        <w:t xml:space="preserve"> Chang Girón declaró ante la Fiscalía que “fui notificada el 22 de marzo del año en curso por el Licenciado Feijoo </w:t>
      </w:r>
      <w:proofErr w:type="spellStart"/>
      <w:r w:rsidRPr="00420489">
        <w:rPr>
          <w:rFonts w:asciiTheme="majorHAnsi" w:hAnsiTheme="majorHAnsi"/>
          <w:sz w:val="20"/>
          <w:szCs w:val="20"/>
          <w:lang w:val="es-ES_tradnl"/>
        </w:rPr>
        <w:t>Colomine</w:t>
      </w:r>
      <w:proofErr w:type="spellEnd"/>
      <w:r w:rsidRPr="00420489">
        <w:rPr>
          <w:rFonts w:asciiTheme="majorHAnsi" w:hAnsiTheme="majorHAnsi"/>
          <w:sz w:val="20"/>
          <w:szCs w:val="20"/>
          <w:lang w:val="es-ES_tradnl"/>
        </w:rPr>
        <w:t xml:space="preserve"> de mi despido como Asistente de Personal del Consejo Nacional de Fronteras, por instrucciones del Presidente del Consejo Dr. José Vicente Rangel Vale y que el motivo era por haber firmado la solicitud de Revocatorio Presidencial. Es todo”</w:t>
      </w:r>
      <w:r w:rsidRPr="00420489">
        <w:rPr>
          <w:rStyle w:val="FootnoteReference"/>
          <w:rFonts w:asciiTheme="majorHAnsi" w:hAnsiTheme="majorHAnsi"/>
          <w:sz w:val="20"/>
          <w:szCs w:val="20"/>
          <w:lang w:val="es-ES"/>
        </w:rPr>
        <w:t xml:space="preserve"> </w:t>
      </w:r>
      <w:r w:rsidRPr="00420489">
        <w:rPr>
          <w:rStyle w:val="FootnoteReference"/>
          <w:rFonts w:asciiTheme="majorHAnsi" w:hAnsiTheme="majorHAnsi"/>
          <w:sz w:val="20"/>
          <w:szCs w:val="20"/>
          <w:lang w:val="es-ES"/>
        </w:rPr>
        <w:footnoteReference w:id="83"/>
      </w:r>
      <w:r w:rsidRPr="00420489">
        <w:rPr>
          <w:rFonts w:asciiTheme="majorHAnsi" w:hAnsiTheme="majorHAnsi"/>
          <w:sz w:val="20"/>
          <w:szCs w:val="20"/>
          <w:lang w:val="es-ES_tradnl"/>
        </w:rPr>
        <w:t>.  En la misma declaración</w:t>
      </w:r>
      <w:r w:rsidRPr="00420489">
        <w:rPr>
          <w:rFonts w:asciiTheme="majorHAnsi" w:hAnsiTheme="majorHAnsi"/>
          <w:sz w:val="20"/>
          <w:szCs w:val="20"/>
          <w:lang w:val="es-ES"/>
        </w:rPr>
        <w:t xml:space="preserve"> refirió que fueron despedidas tres de las cuatro personas que firmaron la solicitud de referendo,  y que vio la carta de despido de la cuarta persona, el señor Jorge Guerra pero desconoce porque este no fue despedido</w:t>
      </w:r>
      <w:r w:rsidRPr="00420489">
        <w:rPr>
          <w:rStyle w:val="FootnoteReference"/>
          <w:rFonts w:asciiTheme="majorHAnsi" w:hAnsiTheme="majorHAnsi"/>
          <w:sz w:val="20"/>
          <w:szCs w:val="20"/>
          <w:lang w:val="es-ES"/>
        </w:rPr>
        <w:footnoteReference w:id="84"/>
      </w:r>
      <w:r w:rsidRPr="00420489">
        <w:rPr>
          <w:rFonts w:asciiTheme="majorHAnsi" w:hAnsiTheme="majorHAnsi"/>
          <w:sz w:val="20"/>
          <w:szCs w:val="20"/>
          <w:lang w:val="es-ES"/>
        </w:rPr>
        <w:t>.</w:t>
      </w:r>
    </w:p>
    <w:p w14:paraId="46064237" w14:textId="77777777" w:rsidR="00007135" w:rsidRPr="00420489" w:rsidRDefault="00007135" w:rsidP="00007135">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_tradnl"/>
        </w:rPr>
      </w:pPr>
    </w:p>
    <w:p w14:paraId="79270D9F" w14:textId="5F41CB33" w:rsidR="00007135" w:rsidRPr="00420489" w:rsidRDefault="00007135" w:rsidP="0045788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20489">
        <w:rPr>
          <w:rFonts w:asciiTheme="majorHAnsi" w:hAnsiTheme="majorHAnsi"/>
          <w:sz w:val="20"/>
          <w:szCs w:val="20"/>
          <w:lang w:val="es-ES_tradnl"/>
        </w:rPr>
        <w:t>A su vez, en su testimonio ante la Fiscalía rendido el 15 de julio de 2004, Thais Coromoto Peña</w:t>
      </w:r>
      <w:r w:rsidR="007E441B" w:rsidRPr="00420489">
        <w:rPr>
          <w:rFonts w:asciiTheme="majorHAnsi" w:hAnsiTheme="majorHAnsi"/>
          <w:sz w:val="20"/>
          <w:szCs w:val="20"/>
          <w:lang w:val="es-ES_tradnl"/>
        </w:rPr>
        <w:t xml:space="preserve">, refirió que </w:t>
      </w:r>
      <w:r w:rsidRPr="00420489">
        <w:rPr>
          <w:rFonts w:asciiTheme="majorHAnsi" w:hAnsiTheme="majorHAnsi"/>
          <w:sz w:val="20"/>
          <w:szCs w:val="20"/>
          <w:lang w:val="es-ES"/>
        </w:rPr>
        <w:t xml:space="preserve">Feijoo </w:t>
      </w:r>
      <w:proofErr w:type="spellStart"/>
      <w:r w:rsidRPr="00420489">
        <w:rPr>
          <w:rFonts w:asciiTheme="majorHAnsi" w:hAnsiTheme="majorHAnsi"/>
          <w:sz w:val="20"/>
          <w:szCs w:val="20"/>
          <w:lang w:val="es-ES"/>
        </w:rPr>
        <w:t>Colomine</w:t>
      </w:r>
      <w:proofErr w:type="spellEnd"/>
      <w:r w:rsidRPr="00420489">
        <w:rPr>
          <w:rFonts w:asciiTheme="majorHAnsi" w:hAnsiTheme="majorHAnsi"/>
          <w:sz w:val="20"/>
          <w:szCs w:val="20"/>
          <w:lang w:val="es-ES"/>
        </w:rPr>
        <w:t xml:space="preserve"> Rincones le hizo una notificación verbal de su despido y que la Secretaria </w:t>
      </w:r>
      <w:r w:rsidR="00FC2B5B">
        <w:rPr>
          <w:rFonts w:asciiTheme="majorHAnsi" w:hAnsiTheme="majorHAnsi"/>
          <w:sz w:val="20"/>
          <w:szCs w:val="20"/>
          <w:lang w:val="es-ES"/>
        </w:rPr>
        <w:t xml:space="preserve">de dicha persona le indicó que </w:t>
      </w:r>
      <w:r w:rsidRPr="00420489">
        <w:rPr>
          <w:rFonts w:asciiTheme="majorHAnsi" w:hAnsiTheme="majorHAnsi"/>
          <w:sz w:val="20"/>
          <w:szCs w:val="20"/>
          <w:lang w:val="es-ES"/>
        </w:rPr>
        <w:t>Feijoo “estaba molesto porque estaban en contra del Presidente y en contra del proceso”</w:t>
      </w:r>
      <w:r w:rsidRPr="00420489">
        <w:rPr>
          <w:rStyle w:val="FootnoteReference"/>
          <w:rFonts w:asciiTheme="majorHAnsi" w:hAnsiTheme="majorHAnsi"/>
          <w:sz w:val="20"/>
          <w:szCs w:val="20"/>
          <w:lang w:val="es-ES"/>
        </w:rPr>
        <w:footnoteReference w:id="85"/>
      </w:r>
      <w:r w:rsidRPr="00420489">
        <w:rPr>
          <w:rFonts w:asciiTheme="majorHAnsi" w:hAnsiTheme="majorHAnsi"/>
          <w:sz w:val="20"/>
          <w:szCs w:val="20"/>
          <w:lang w:val="es-ES"/>
        </w:rPr>
        <w:t xml:space="preserve">. También refirió que luego de ser notificada del despido “Feijoo </w:t>
      </w:r>
      <w:proofErr w:type="spellStart"/>
      <w:r w:rsidRPr="00420489">
        <w:rPr>
          <w:rFonts w:asciiTheme="majorHAnsi" w:hAnsiTheme="majorHAnsi"/>
          <w:sz w:val="20"/>
          <w:szCs w:val="20"/>
          <w:lang w:val="es-ES"/>
        </w:rPr>
        <w:t>Colomine</w:t>
      </w:r>
      <w:proofErr w:type="spellEnd"/>
      <w:r w:rsidRPr="00420489">
        <w:rPr>
          <w:rFonts w:asciiTheme="majorHAnsi" w:hAnsiTheme="majorHAnsi"/>
          <w:sz w:val="20"/>
          <w:szCs w:val="20"/>
          <w:lang w:val="es-ES"/>
        </w:rPr>
        <w:t xml:space="preserve"> me dijo que retirara la firma, que él podía enviarme donde </w:t>
      </w:r>
      <w:proofErr w:type="spellStart"/>
      <w:r w:rsidRPr="00420489">
        <w:rPr>
          <w:rFonts w:asciiTheme="majorHAnsi" w:hAnsiTheme="majorHAnsi"/>
          <w:sz w:val="20"/>
          <w:szCs w:val="20"/>
          <w:lang w:val="es-ES"/>
        </w:rPr>
        <w:t>Jess</w:t>
      </w:r>
      <w:r w:rsidR="00CC7BE0" w:rsidRPr="00420489">
        <w:rPr>
          <w:rFonts w:asciiTheme="majorHAnsi" w:hAnsiTheme="majorHAnsi"/>
          <w:sz w:val="20"/>
          <w:szCs w:val="20"/>
          <w:lang w:val="es-ES"/>
        </w:rPr>
        <w:t>e</w:t>
      </w:r>
      <w:proofErr w:type="spellEnd"/>
      <w:r w:rsidRPr="00420489">
        <w:rPr>
          <w:rFonts w:asciiTheme="majorHAnsi" w:hAnsiTheme="majorHAnsi"/>
          <w:sz w:val="20"/>
          <w:szCs w:val="20"/>
          <w:lang w:val="es-ES"/>
        </w:rPr>
        <w:t xml:space="preserve"> Chacón para que lo hiciera a lo que le respondí que yo era una mujer de libre convicción y pensamiento esa fue mi decisión y seguirá siendo la misma no tengo por qué retractarme de ella, seguidamente le dije que no habláramos más del asunto”</w:t>
      </w:r>
      <w:r w:rsidRPr="00420489">
        <w:rPr>
          <w:rStyle w:val="FootnoteReference"/>
          <w:rFonts w:asciiTheme="majorHAnsi" w:hAnsiTheme="majorHAnsi"/>
          <w:sz w:val="20"/>
          <w:szCs w:val="20"/>
          <w:lang w:val="es-ES"/>
        </w:rPr>
        <w:t xml:space="preserve"> </w:t>
      </w:r>
      <w:r w:rsidRPr="00420489">
        <w:rPr>
          <w:rStyle w:val="FootnoteReference"/>
          <w:rFonts w:asciiTheme="majorHAnsi" w:hAnsiTheme="majorHAnsi"/>
          <w:sz w:val="20"/>
          <w:szCs w:val="20"/>
          <w:lang w:val="es-ES"/>
        </w:rPr>
        <w:footnoteReference w:id="86"/>
      </w:r>
      <w:r w:rsidRPr="00420489">
        <w:rPr>
          <w:rFonts w:asciiTheme="majorHAnsi" w:hAnsiTheme="majorHAnsi"/>
          <w:sz w:val="20"/>
          <w:szCs w:val="20"/>
          <w:lang w:val="es-ES"/>
        </w:rPr>
        <w:t xml:space="preserve">. </w:t>
      </w:r>
    </w:p>
    <w:p w14:paraId="6A427E33" w14:textId="77777777" w:rsidR="00FE6BB0" w:rsidRPr="00420489" w:rsidRDefault="00FE6BB0" w:rsidP="006504B1">
      <w:pPr>
        <w:pStyle w:val="ListParagraph"/>
        <w:jc w:val="right"/>
        <w:rPr>
          <w:rFonts w:asciiTheme="majorHAnsi" w:hAnsiTheme="majorHAnsi"/>
          <w:sz w:val="20"/>
          <w:szCs w:val="20"/>
          <w:lang w:val="es-ES"/>
        </w:rPr>
      </w:pPr>
    </w:p>
    <w:p w14:paraId="13F06B08" w14:textId="6C3AF92B" w:rsidR="00FE6BB0" w:rsidRPr="00420489" w:rsidRDefault="00FE6BB0" w:rsidP="007E441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20489">
        <w:rPr>
          <w:rFonts w:asciiTheme="majorHAnsi" w:hAnsiTheme="majorHAnsi"/>
          <w:sz w:val="20"/>
          <w:szCs w:val="20"/>
          <w:lang w:val="es-ES"/>
        </w:rPr>
        <w:t xml:space="preserve">Asimismo, en el marco del proceso </w:t>
      </w:r>
      <w:r w:rsidR="00F7244A" w:rsidRPr="00420489">
        <w:rPr>
          <w:rFonts w:asciiTheme="majorHAnsi" w:hAnsiTheme="majorHAnsi"/>
          <w:sz w:val="20"/>
          <w:szCs w:val="20"/>
          <w:lang w:val="es-ES"/>
        </w:rPr>
        <w:t>de amparo</w:t>
      </w:r>
      <w:r w:rsidR="006137AB" w:rsidRPr="00420489">
        <w:rPr>
          <w:rFonts w:asciiTheme="majorHAnsi" w:hAnsiTheme="majorHAnsi"/>
          <w:sz w:val="20"/>
          <w:szCs w:val="20"/>
          <w:lang w:val="es-ES"/>
        </w:rPr>
        <w:t xml:space="preserve"> las presuntas víctimas presentaron </w:t>
      </w:r>
      <w:r w:rsidR="00980B7F" w:rsidRPr="00420489">
        <w:rPr>
          <w:rFonts w:asciiTheme="majorHAnsi" w:hAnsiTheme="majorHAnsi"/>
          <w:sz w:val="20"/>
          <w:szCs w:val="20"/>
          <w:lang w:val="es-ES"/>
        </w:rPr>
        <w:t xml:space="preserve">las </w:t>
      </w:r>
      <w:r w:rsidR="006137AB" w:rsidRPr="00420489">
        <w:rPr>
          <w:rFonts w:asciiTheme="majorHAnsi" w:hAnsiTheme="majorHAnsi"/>
          <w:sz w:val="20"/>
          <w:szCs w:val="20"/>
          <w:lang w:val="es-ES"/>
        </w:rPr>
        <w:t>transcripciones de</w:t>
      </w:r>
      <w:r w:rsidR="00980B7F" w:rsidRPr="00420489">
        <w:rPr>
          <w:rFonts w:asciiTheme="majorHAnsi" w:hAnsiTheme="majorHAnsi"/>
          <w:sz w:val="20"/>
          <w:szCs w:val="20"/>
          <w:lang w:val="es-ES"/>
        </w:rPr>
        <w:t xml:space="preserve"> las</w:t>
      </w:r>
      <w:r w:rsidR="006137AB" w:rsidRPr="00420489">
        <w:rPr>
          <w:rFonts w:asciiTheme="majorHAnsi" w:hAnsiTheme="majorHAnsi"/>
          <w:sz w:val="20"/>
          <w:szCs w:val="20"/>
          <w:lang w:val="es-ES"/>
        </w:rPr>
        <w:t xml:space="preserve"> conversaciones</w:t>
      </w:r>
      <w:r w:rsidR="003126ED">
        <w:rPr>
          <w:rFonts w:asciiTheme="majorHAnsi" w:hAnsiTheme="majorHAnsi"/>
          <w:sz w:val="20"/>
          <w:szCs w:val="20"/>
          <w:lang w:val="es-ES"/>
        </w:rPr>
        <w:t xml:space="preserve"> telefónicas</w:t>
      </w:r>
      <w:r w:rsidR="006137AB" w:rsidRPr="00420489">
        <w:rPr>
          <w:rFonts w:asciiTheme="majorHAnsi" w:hAnsiTheme="majorHAnsi"/>
          <w:sz w:val="20"/>
          <w:szCs w:val="20"/>
          <w:lang w:val="es-ES"/>
        </w:rPr>
        <w:t xml:space="preserve"> con dos funcionarios públicos</w:t>
      </w:r>
      <w:r w:rsidR="00980B7F" w:rsidRPr="00420489">
        <w:rPr>
          <w:rFonts w:asciiTheme="majorHAnsi" w:hAnsiTheme="majorHAnsi"/>
          <w:sz w:val="20"/>
          <w:szCs w:val="20"/>
          <w:lang w:val="es-ES"/>
        </w:rPr>
        <w:t xml:space="preserve"> a las cuales hicieron referencia en las entrevistas mencionadas en los párrafos anteriores. </w:t>
      </w:r>
      <w:r w:rsidR="003126ED">
        <w:rPr>
          <w:rFonts w:asciiTheme="majorHAnsi" w:hAnsiTheme="majorHAnsi"/>
          <w:sz w:val="20"/>
          <w:szCs w:val="20"/>
          <w:lang w:val="es-ES"/>
        </w:rPr>
        <w:t xml:space="preserve">La Comisión cuenta con la grabación de dichas conversaciones cuyos </w:t>
      </w:r>
      <w:r w:rsidR="00980B7F" w:rsidRPr="00420489">
        <w:rPr>
          <w:rFonts w:asciiTheme="majorHAnsi" w:hAnsiTheme="majorHAnsi"/>
          <w:sz w:val="20"/>
          <w:szCs w:val="20"/>
          <w:lang w:val="es-ES"/>
        </w:rPr>
        <w:t xml:space="preserve">contenidos relevantes se </w:t>
      </w:r>
      <w:r w:rsidR="007E799A" w:rsidRPr="00420489">
        <w:rPr>
          <w:rFonts w:asciiTheme="majorHAnsi" w:hAnsiTheme="majorHAnsi"/>
          <w:sz w:val="20"/>
          <w:szCs w:val="20"/>
          <w:lang w:val="es-ES"/>
        </w:rPr>
        <w:t xml:space="preserve">detallan a continuación. </w:t>
      </w:r>
    </w:p>
    <w:p w14:paraId="0946D917" w14:textId="77777777" w:rsidR="00007135" w:rsidRPr="00420489" w:rsidRDefault="00007135" w:rsidP="00326114">
      <w:pPr>
        <w:pStyle w:val="ListParagraph"/>
        <w:rPr>
          <w:rFonts w:asciiTheme="majorHAnsi" w:hAnsiTheme="majorHAnsi"/>
          <w:sz w:val="20"/>
          <w:szCs w:val="20"/>
          <w:lang w:val="es-ES"/>
        </w:rPr>
      </w:pPr>
    </w:p>
    <w:p w14:paraId="7A8BBEFE" w14:textId="19FCADDA" w:rsidR="00F90CAC" w:rsidRDefault="006137AB" w:rsidP="006137A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420489">
        <w:rPr>
          <w:rFonts w:asciiTheme="majorHAnsi" w:hAnsiTheme="majorHAnsi"/>
          <w:sz w:val="20"/>
          <w:szCs w:val="20"/>
          <w:lang w:val="es-ES_tradnl"/>
        </w:rPr>
        <w:t>A</w:t>
      </w:r>
      <w:r w:rsidR="00F90CAC">
        <w:rPr>
          <w:rFonts w:asciiTheme="majorHAnsi" w:hAnsiTheme="majorHAnsi"/>
          <w:sz w:val="20"/>
          <w:szCs w:val="20"/>
          <w:lang w:val="es-ES_tradnl"/>
        </w:rPr>
        <w:t xml:space="preserve"> continuación se transcriben las partes relevantes de la conversación telefónica entre el entonces Secretario Ejecutivo del Consejo Nacional de Fronteras </w:t>
      </w:r>
      <w:r w:rsidR="00617467">
        <w:rPr>
          <w:rFonts w:asciiTheme="majorHAnsi" w:hAnsiTheme="majorHAnsi"/>
          <w:sz w:val="20"/>
          <w:szCs w:val="20"/>
          <w:lang w:val="es-ES_tradnl"/>
        </w:rPr>
        <w:t xml:space="preserve"> Feijoo </w:t>
      </w:r>
      <w:proofErr w:type="spellStart"/>
      <w:r w:rsidR="00617467">
        <w:rPr>
          <w:rFonts w:asciiTheme="majorHAnsi" w:hAnsiTheme="majorHAnsi"/>
          <w:sz w:val="20"/>
          <w:szCs w:val="20"/>
          <w:lang w:val="es-ES_tradnl"/>
        </w:rPr>
        <w:t>Colomine</w:t>
      </w:r>
      <w:proofErr w:type="spellEnd"/>
      <w:r w:rsidR="00617467">
        <w:rPr>
          <w:rFonts w:asciiTheme="majorHAnsi" w:hAnsiTheme="majorHAnsi"/>
          <w:sz w:val="20"/>
          <w:szCs w:val="20"/>
          <w:lang w:val="es-ES_tradnl"/>
        </w:rPr>
        <w:t xml:space="preserve"> </w:t>
      </w:r>
      <w:r w:rsidR="00F90CAC">
        <w:rPr>
          <w:rFonts w:asciiTheme="majorHAnsi" w:hAnsiTheme="majorHAnsi"/>
          <w:sz w:val="20"/>
          <w:szCs w:val="20"/>
          <w:lang w:val="es-ES_tradnl"/>
        </w:rPr>
        <w:t xml:space="preserve">y Rocío San Miguel Sosa: </w:t>
      </w:r>
      <w:r w:rsidR="00617467">
        <w:rPr>
          <w:rFonts w:asciiTheme="majorHAnsi" w:hAnsiTheme="majorHAnsi"/>
          <w:sz w:val="20"/>
          <w:szCs w:val="20"/>
          <w:lang w:val="es-ES_tradnl"/>
        </w:rPr>
        <w:t xml:space="preserve"> </w:t>
      </w:r>
    </w:p>
    <w:p w14:paraId="609EAF9E" w14:textId="77777777" w:rsidR="00046C0E" w:rsidRDefault="00046C0E" w:rsidP="00046C0E">
      <w:pPr>
        <w:pStyle w:val="ListParagraph"/>
        <w:rPr>
          <w:rFonts w:asciiTheme="majorHAnsi" w:hAnsiTheme="majorHAnsi"/>
          <w:sz w:val="20"/>
          <w:szCs w:val="20"/>
          <w:lang w:val="es-ES_tradnl"/>
        </w:rPr>
      </w:pPr>
    </w:p>
    <w:p w14:paraId="5D4591A1" w14:textId="6C7CAC03" w:rsidR="00617467" w:rsidRPr="0070448F" w:rsidRDefault="00617467" w:rsidP="0070448F">
      <w:pPr>
        <w:ind w:left="720" w:right="720"/>
        <w:jc w:val="both"/>
        <w:rPr>
          <w:rFonts w:asciiTheme="majorHAnsi" w:hAnsiTheme="majorHAnsi"/>
          <w:sz w:val="20"/>
          <w:szCs w:val="20"/>
          <w:lang w:val="es-ES"/>
        </w:rPr>
      </w:pPr>
      <w:r w:rsidRPr="0070448F">
        <w:rPr>
          <w:rFonts w:asciiTheme="majorHAnsi" w:hAnsiTheme="majorHAnsi"/>
          <w:sz w:val="20"/>
          <w:szCs w:val="20"/>
          <w:lang w:val="es-ES"/>
        </w:rPr>
        <w:t>FC: Uno tiene unas limitaciones, por el hecho de ejercer esta, esta posición de confianza.</w:t>
      </w:r>
    </w:p>
    <w:p w14:paraId="3B1695C6" w14:textId="021D10A8" w:rsidR="00617467" w:rsidRPr="0070448F" w:rsidRDefault="00617467" w:rsidP="0070448F">
      <w:pPr>
        <w:ind w:left="720" w:right="720"/>
        <w:jc w:val="both"/>
        <w:rPr>
          <w:rFonts w:asciiTheme="majorHAnsi" w:hAnsiTheme="majorHAnsi"/>
          <w:sz w:val="20"/>
          <w:szCs w:val="20"/>
          <w:lang w:val="es-ES"/>
        </w:rPr>
      </w:pPr>
      <w:r w:rsidRPr="0070448F">
        <w:rPr>
          <w:rFonts w:asciiTheme="majorHAnsi" w:hAnsiTheme="majorHAnsi"/>
          <w:sz w:val="20"/>
          <w:szCs w:val="20"/>
          <w:lang w:val="es-ES"/>
        </w:rPr>
        <w:t xml:space="preserve">RSM: </w:t>
      </w:r>
      <w:proofErr w:type="spellStart"/>
      <w:r w:rsidRPr="0070448F">
        <w:rPr>
          <w:rFonts w:asciiTheme="majorHAnsi" w:hAnsiTheme="majorHAnsi"/>
          <w:sz w:val="20"/>
          <w:szCs w:val="20"/>
          <w:lang w:val="es-ES"/>
        </w:rPr>
        <w:t>Ujumm</w:t>
      </w:r>
      <w:proofErr w:type="spellEnd"/>
    </w:p>
    <w:p w14:paraId="30149FF3" w14:textId="429F90F5" w:rsidR="00617467" w:rsidRPr="0070448F" w:rsidRDefault="00617467" w:rsidP="0070448F">
      <w:pPr>
        <w:ind w:left="720" w:right="720"/>
        <w:jc w:val="both"/>
        <w:rPr>
          <w:rFonts w:asciiTheme="majorHAnsi" w:hAnsiTheme="majorHAnsi"/>
          <w:sz w:val="20"/>
          <w:szCs w:val="20"/>
          <w:lang w:val="es-ES"/>
        </w:rPr>
      </w:pPr>
      <w:r w:rsidRPr="0070448F">
        <w:rPr>
          <w:rFonts w:asciiTheme="majorHAnsi" w:hAnsiTheme="majorHAnsi"/>
          <w:sz w:val="20"/>
          <w:szCs w:val="20"/>
          <w:lang w:val="es-ES"/>
        </w:rPr>
        <w:t>FC: Uno tiene limitaciones</w:t>
      </w:r>
    </w:p>
    <w:p w14:paraId="4803534D" w14:textId="0096CFB7" w:rsidR="00617467" w:rsidRPr="0070448F" w:rsidRDefault="00617467" w:rsidP="0070448F">
      <w:pPr>
        <w:ind w:left="720" w:right="720"/>
        <w:jc w:val="both"/>
        <w:rPr>
          <w:rFonts w:asciiTheme="majorHAnsi" w:hAnsiTheme="majorHAnsi"/>
          <w:sz w:val="20"/>
          <w:szCs w:val="20"/>
          <w:lang w:val="es-ES"/>
        </w:rPr>
      </w:pPr>
      <w:r w:rsidRPr="0070448F">
        <w:rPr>
          <w:rFonts w:asciiTheme="majorHAnsi" w:hAnsiTheme="majorHAnsi"/>
          <w:sz w:val="20"/>
          <w:szCs w:val="20"/>
          <w:lang w:val="es-ES"/>
        </w:rPr>
        <w:t>RSM: Aja ¿Cuál? ¿La de ejercer un derecho político?</w:t>
      </w:r>
    </w:p>
    <w:p w14:paraId="34AB5DE6" w14:textId="0C29C2A2" w:rsidR="00617467" w:rsidRPr="0070448F" w:rsidRDefault="00617467" w:rsidP="0070448F">
      <w:pPr>
        <w:ind w:left="720" w:right="720"/>
        <w:jc w:val="both"/>
        <w:rPr>
          <w:rFonts w:asciiTheme="majorHAnsi" w:hAnsiTheme="majorHAnsi"/>
          <w:sz w:val="20"/>
          <w:szCs w:val="20"/>
          <w:lang w:val="es-ES"/>
        </w:rPr>
      </w:pPr>
      <w:r w:rsidRPr="0070448F">
        <w:rPr>
          <w:rFonts w:asciiTheme="majorHAnsi" w:hAnsiTheme="majorHAnsi"/>
          <w:sz w:val="20"/>
          <w:szCs w:val="20"/>
          <w:lang w:val="es-ES"/>
        </w:rPr>
        <w:t>FC: Uno puede participar y ejercer sus derechos políticos, de toda naturaleza. Pero tú no, no puedes materializar un elemento de desconfianza.</w:t>
      </w:r>
    </w:p>
    <w:p w14:paraId="7E6432D7" w14:textId="0A8399BC" w:rsidR="00CE5D46" w:rsidRPr="0070448F" w:rsidRDefault="00CE5D46" w:rsidP="0070448F">
      <w:pPr>
        <w:ind w:left="720" w:right="720"/>
        <w:jc w:val="both"/>
        <w:rPr>
          <w:rFonts w:asciiTheme="majorHAnsi" w:hAnsiTheme="majorHAnsi"/>
          <w:sz w:val="20"/>
          <w:szCs w:val="20"/>
          <w:lang w:val="es-ES"/>
        </w:rPr>
      </w:pPr>
      <w:r w:rsidRPr="0070448F">
        <w:rPr>
          <w:rFonts w:asciiTheme="majorHAnsi" w:hAnsiTheme="majorHAnsi"/>
          <w:sz w:val="20"/>
          <w:szCs w:val="20"/>
          <w:lang w:val="es-ES"/>
        </w:rPr>
        <w:t>RSM: ¿Pero qué elemento de desconfianza?</w:t>
      </w:r>
    </w:p>
    <w:p w14:paraId="3157A5E2" w14:textId="0F1B8789" w:rsidR="00CE5D46" w:rsidRPr="0070448F" w:rsidRDefault="00CE5D46" w:rsidP="0070448F">
      <w:pPr>
        <w:ind w:left="720" w:right="720"/>
        <w:jc w:val="both"/>
        <w:rPr>
          <w:rFonts w:asciiTheme="majorHAnsi" w:hAnsiTheme="majorHAnsi"/>
          <w:sz w:val="20"/>
          <w:szCs w:val="20"/>
          <w:lang w:val="es-ES"/>
        </w:rPr>
      </w:pPr>
      <w:r w:rsidRPr="0070448F">
        <w:rPr>
          <w:rFonts w:asciiTheme="majorHAnsi" w:hAnsiTheme="majorHAnsi"/>
          <w:sz w:val="20"/>
          <w:szCs w:val="20"/>
          <w:lang w:val="es-ES"/>
        </w:rPr>
        <w:t xml:space="preserve">FC: </w:t>
      </w:r>
      <w:r w:rsidR="00170E57" w:rsidRPr="0070448F">
        <w:rPr>
          <w:rFonts w:asciiTheme="majorHAnsi" w:hAnsiTheme="majorHAnsi"/>
          <w:sz w:val="20"/>
          <w:szCs w:val="20"/>
          <w:lang w:val="es-ES"/>
        </w:rPr>
        <w:t>Tú</w:t>
      </w:r>
      <w:r w:rsidRPr="0070448F">
        <w:rPr>
          <w:rFonts w:asciiTheme="majorHAnsi" w:hAnsiTheme="majorHAnsi"/>
          <w:sz w:val="20"/>
          <w:szCs w:val="20"/>
          <w:lang w:val="es-ES"/>
        </w:rPr>
        <w:t xml:space="preserve"> no puedes materializar, porque </w:t>
      </w:r>
      <w:proofErr w:type="gramStart"/>
      <w:r w:rsidRPr="0070448F">
        <w:rPr>
          <w:rFonts w:asciiTheme="majorHAnsi" w:hAnsiTheme="majorHAnsi"/>
          <w:sz w:val="20"/>
          <w:szCs w:val="20"/>
          <w:lang w:val="es-ES"/>
        </w:rPr>
        <w:t>tu</w:t>
      </w:r>
      <w:proofErr w:type="gramEnd"/>
      <w:r w:rsidRPr="0070448F">
        <w:rPr>
          <w:rFonts w:asciiTheme="majorHAnsi" w:hAnsiTheme="majorHAnsi"/>
          <w:sz w:val="20"/>
          <w:szCs w:val="20"/>
          <w:lang w:val="es-ES"/>
        </w:rPr>
        <w:t xml:space="preserve"> estas firmando para la solicitud de la revocación del mandato del tipo que te </w:t>
      </w:r>
      <w:r w:rsidR="00170E57" w:rsidRPr="0070448F">
        <w:rPr>
          <w:rFonts w:asciiTheme="majorHAnsi" w:hAnsiTheme="majorHAnsi"/>
          <w:sz w:val="20"/>
          <w:szCs w:val="20"/>
          <w:lang w:val="es-ES"/>
        </w:rPr>
        <w:t>está</w:t>
      </w:r>
      <w:r w:rsidRPr="0070448F">
        <w:rPr>
          <w:rFonts w:asciiTheme="majorHAnsi" w:hAnsiTheme="majorHAnsi"/>
          <w:sz w:val="20"/>
          <w:szCs w:val="20"/>
          <w:lang w:val="es-ES"/>
        </w:rPr>
        <w:t xml:space="preserve"> pagando y te </w:t>
      </w:r>
      <w:r w:rsidR="00170E57" w:rsidRPr="0070448F">
        <w:rPr>
          <w:rFonts w:asciiTheme="majorHAnsi" w:hAnsiTheme="majorHAnsi"/>
          <w:sz w:val="20"/>
          <w:szCs w:val="20"/>
          <w:lang w:val="es-ES"/>
        </w:rPr>
        <w:t>está</w:t>
      </w:r>
      <w:r w:rsidRPr="0070448F">
        <w:rPr>
          <w:rFonts w:asciiTheme="majorHAnsi" w:hAnsiTheme="majorHAnsi"/>
          <w:sz w:val="20"/>
          <w:szCs w:val="20"/>
          <w:lang w:val="es-ES"/>
        </w:rPr>
        <w:t xml:space="preserve"> contratando. (…)</w:t>
      </w:r>
      <w:r w:rsidRPr="0070448F">
        <w:rPr>
          <w:rFonts w:asciiTheme="majorHAnsi" w:hAnsiTheme="majorHAnsi"/>
          <w:sz w:val="20"/>
          <w:szCs w:val="20"/>
          <w:vertAlign w:val="superscript"/>
          <w:lang w:val="es-ES"/>
        </w:rPr>
        <w:footnoteReference w:id="87"/>
      </w:r>
      <w:r w:rsidRPr="0070448F">
        <w:rPr>
          <w:rFonts w:asciiTheme="majorHAnsi" w:hAnsiTheme="majorHAnsi"/>
          <w:sz w:val="20"/>
          <w:szCs w:val="20"/>
          <w:lang w:val="es-ES"/>
        </w:rPr>
        <w:t>”</w:t>
      </w:r>
    </w:p>
    <w:p w14:paraId="3E2DB31D" w14:textId="77777777" w:rsidR="00CE5D46" w:rsidRDefault="00CE5D46" w:rsidP="00617467">
      <w:pPr>
        <w:pStyle w:val="ListParagraph"/>
        <w:rPr>
          <w:rFonts w:asciiTheme="majorHAnsi" w:hAnsiTheme="majorHAnsi"/>
          <w:sz w:val="20"/>
          <w:szCs w:val="20"/>
          <w:lang w:val="es-ES_tradnl"/>
        </w:rPr>
      </w:pPr>
    </w:p>
    <w:p w14:paraId="78C1FE0C" w14:textId="3DC1C566" w:rsidR="00CE5D46" w:rsidRDefault="00CE5D46" w:rsidP="0070448F">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Pr>
          <w:rFonts w:asciiTheme="majorHAnsi" w:hAnsiTheme="majorHAnsi"/>
          <w:sz w:val="20"/>
          <w:szCs w:val="20"/>
          <w:lang w:val="es-ES_tradnl"/>
        </w:rPr>
        <w:t>Con respecto a la terminación de los contratos con las presuntas víctimas, en la grabación de la conversación consta lo siguiente:</w:t>
      </w:r>
    </w:p>
    <w:p w14:paraId="5F61933F" w14:textId="77777777" w:rsidR="00CE5D46" w:rsidRDefault="00CE5D46" w:rsidP="00617467">
      <w:pPr>
        <w:pStyle w:val="ListParagraph"/>
        <w:rPr>
          <w:rFonts w:asciiTheme="majorHAnsi" w:hAnsiTheme="majorHAnsi"/>
          <w:sz w:val="20"/>
          <w:szCs w:val="20"/>
          <w:lang w:val="es-ES_tradnl"/>
        </w:rPr>
      </w:pPr>
    </w:p>
    <w:p w14:paraId="4DBEAFB2" w14:textId="674A5577" w:rsidR="00CE5D46" w:rsidRPr="0070448F" w:rsidRDefault="00CE5D46" w:rsidP="0070448F">
      <w:pPr>
        <w:ind w:left="720" w:right="720"/>
        <w:jc w:val="both"/>
        <w:rPr>
          <w:rFonts w:asciiTheme="majorHAnsi" w:hAnsiTheme="majorHAnsi"/>
          <w:sz w:val="20"/>
          <w:szCs w:val="20"/>
          <w:lang w:val="es-ES"/>
        </w:rPr>
      </w:pPr>
      <w:r w:rsidRPr="0070448F">
        <w:rPr>
          <w:rFonts w:asciiTheme="majorHAnsi" w:hAnsiTheme="majorHAnsi"/>
          <w:sz w:val="20"/>
          <w:szCs w:val="20"/>
          <w:lang w:val="es-ES"/>
        </w:rPr>
        <w:t xml:space="preserve">FC: </w:t>
      </w:r>
      <w:r w:rsidR="0070448F" w:rsidRPr="0070448F">
        <w:rPr>
          <w:rFonts w:asciiTheme="majorHAnsi" w:hAnsiTheme="majorHAnsi"/>
          <w:sz w:val="20"/>
          <w:szCs w:val="20"/>
          <w:lang w:val="es-ES"/>
        </w:rPr>
        <w:t xml:space="preserve">Bueno pero, pero el </w:t>
      </w:r>
      <w:proofErr w:type="spellStart"/>
      <w:r w:rsidR="0070448F" w:rsidRPr="0070448F">
        <w:rPr>
          <w:rFonts w:asciiTheme="majorHAnsi" w:hAnsiTheme="majorHAnsi"/>
          <w:sz w:val="20"/>
          <w:szCs w:val="20"/>
          <w:lang w:val="es-ES"/>
        </w:rPr>
        <w:t>el</w:t>
      </w:r>
      <w:proofErr w:type="spellEnd"/>
      <w:r w:rsidR="0070448F" w:rsidRPr="0070448F">
        <w:rPr>
          <w:rFonts w:asciiTheme="majorHAnsi" w:hAnsiTheme="majorHAnsi"/>
          <w:sz w:val="20"/>
          <w:szCs w:val="20"/>
          <w:lang w:val="es-ES"/>
        </w:rPr>
        <w:t xml:space="preserve">, el Gobierno ha tomado una decisión, </w:t>
      </w:r>
    </w:p>
    <w:p w14:paraId="6D7CC97B" w14:textId="1563ECF3" w:rsidR="0070448F" w:rsidRPr="0070448F" w:rsidRDefault="0070448F" w:rsidP="0070448F">
      <w:pPr>
        <w:ind w:left="720" w:right="720"/>
        <w:jc w:val="both"/>
        <w:rPr>
          <w:rFonts w:asciiTheme="majorHAnsi" w:hAnsiTheme="majorHAnsi"/>
          <w:sz w:val="20"/>
          <w:szCs w:val="20"/>
          <w:lang w:val="es-ES"/>
        </w:rPr>
      </w:pPr>
      <w:r w:rsidRPr="0070448F">
        <w:rPr>
          <w:rFonts w:asciiTheme="majorHAnsi" w:hAnsiTheme="majorHAnsi"/>
          <w:sz w:val="20"/>
          <w:szCs w:val="20"/>
          <w:lang w:val="es-ES"/>
        </w:rPr>
        <w:t xml:space="preserve">RSM: </w:t>
      </w:r>
      <w:r w:rsidR="007554FC">
        <w:rPr>
          <w:rFonts w:asciiTheme="majorHAnsi" w:hAnsiTheme="majorHAnsi"/>
          <w:sz w:val="20"/>
          <w:szCs w:val="20"/>
          <w:lang w:val="es-ES"/>
        </w:rPr>
        <w:t>B</w:t>
      </w:r>
      <w:r w:rsidRPr="0070448F">
        <w:rPr>
          <w:rFonts w:asciiTheme="majorHAnsi" w:hAnsiTheme="majorHAnsi"/>
          <w:sz w:val="20"/>
          <w:szCs w:val="20"/>
          <w:lang w:val="es-ES"/>
        </w:rPr>
        <w:t>otar a todos los empleados que firmen.</w:t>
      </w:r>
    </w:p>
    <w:p w14:paraId="29BD91B8" w14:textId="01FC29CB" w:rsidR="0070448F" w:rsidRPr="0070448F" w:rsidRDefault="0070448F" w:rsidP="0070448F">
      <w:pPr>
        <w:ind w:left="720" w:right="720"/>
        <w:jc w:val="both"/>
        <w:rPr>
          <w:rFonts w:asciiTheme="majorHAnsi" w:hAnsiTheme="majorHAnsi"/>
          <w:sz w:val="20"/>
          <w:szCs w:val="20"/>
          <w:lang w:val="es-ES"/>
        </w:rPr>
      </w:pPr>
      <w:r w:rsidRPr="0070448F">
        <w:rPr>
          <w:rFonts w:asciiTheme="majorHAnsi" w:hAnsiTheme="majorHAnsi"/>
          <w:sz w:val="20"/>
          <w:szCs w:val="20"/>
          <w:lang w:val="es-ES"/>
        </w:rPr>
        <w:t>FC: Bueno, por lo menos la tomó José Vicente en el caso nuestro</w:t>
      </w:r>
      <w:r w:rsidR="000D77A5" w:rsidRPr="0070448F">
        <w:rPr>
          <w:rFonts w:asciiTheme="majorHAnsi" w:hAnsiTheme="majorHAnsi"/>
          <w:sz w:val="20"/>
          <w:szCs w:val="20"/>
          <w:vertAlign w:val="superscript"/>
          <w:lang w:val="es-ES"/>
        </w:rPr>
        <w:footnoteReference w:id="88"/>
      </w:r>
      <w:r w:rsidRPr="0070448F">
        <w:rPr>
          <w:rFonts w:asciiTheme="majorHAnsi" w:hAnsiTheme="majorHAnsi"/>
          <w:sz w:val="20"/>
          <w:szCs w:val="20"/>
          <w:lang w:val="es-ES"/>
        </w:rPr>
        <w:t xml:space="preserve">. </w:t>
      </w:r>
    </w:p>
    <w:p w14:paraId="0AAA3130" w14:textId="77777777" w:rsidR="00CE5D46" w:rsidRPr="00617467" w:rsidRDefault="00CE5D46" w:rsidP="0070448F">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25186FB9" w14:textId="4D83FF8D" w:rsidR="0052425B" w:rsidRPr="0052425B" w:rsidRDefault="0052425B" w:rsidP="0052425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En relación con la terminación del contrato del empleado de apellido Guerra, consta en dicha grabación lo siguiente: </w:t>
      </w:r>
    </w:p>
    <w:p w14:paraId="28D1B07B" w14:textId="77777777" w:rsidR="0052425B" w:rsidRPr="0052425B" w:rsidRDefault="0052425B" w:rsidP="0052425B">
      <w:pPr>
        <w:rPr>
          <w:rFonts w:asciiTheme="majorHAnsi" w:hAnsiTheme="majorHAnsi"/>
          <w:sz w:val="20"/>
          <w:szCs w:val="20"/>
          <w:lang w:val="es-ES_tradnl"/>
        </w:rPr>
      </w:pPr>
    </w:p>
    <w:p w14:paraId="4B374FE0" w14:textId="77777777" w:rsidR="0052425B" w:rsidRDefault="0052425B" w:rsidP="0052425B">
      <w:pPr>
        <w:ind w:left="720" w:right="720"/>
        <w:jc w:val="both"/>
        <w:rPr>
          <w:rFonts w:asciiTheme="majorHAnsi" w:hAnsiTheme="majorHAnsi"/>
          <w:sz w:val="20"/>
          <w:szCs w:val="20"/>
          <w:lang w:val="es-ES"/>
        </w:rPr>
      </w:pPr>
      <w:r w:rsidRPr="0070448F">
        <w:rPr>
          <w:rFonts w:asciiTheme="majorHAnsi" w:hAnsiTheme="majorHAnsi"/>
          <w:sz w:val="20"/>
          <w:szCs w:val="20"/>
          <w:lang w:val="es-ES"/>
        </w:rPr>
        <w:t>FC:</w:t>
      </w:r>
      <w:r>
        <w:rPr>
          <w:rFonts w:asciiTheme="majorHAnsi" w:hAnsiTheme="majorHAnsi"/>
          <w:sz w:val="20"/>
          <w:szCs w:val="20"/>
          <w:lang w:val="es-ES"/>
        </w:rPr>
        <w:t xml:space="preserve"> Es decir, yo, yo tome la decisión de no ejecutar la decisión de, de José Vicente con respecto a Guerra.</w:t>
      </w:r>
    </w:p>
    <w:p w14:paraId="3156A887" w14:textId="3585E4D8" w:rsidR="0052425B" w:rsidRDefault="0052425B" w:rsidP="0052425B">
      <w:pPr>
        <w:ind w:left="720" w:right="720"/>
        <w:jc w:val="both"/>
        <w:rPr>
          <w:rFonts w:asciiTheme="majorHAnsi" w:hAnsiTheme="majorHAnsi"/>
          <w:sz w:val="20"/>
          <w:szCs w:val="20"/>
          <w:lang w:val="es-ES"/>
        </w:rPr>
      </w:pPr>
      <w:r>
        <w:rPr>
          <w:rFonts w:asciiTheme="majorHAnsi" w:hAnsiTheme="majorHAnsi"/>
          <w:sz w:val="20"/>
          <w:szCs w:val="20"/>
          <w:lang w:val="es-ES"/>
        </w:rPr>
        <w:t>RSM: Ok, perfecto ¿no?</w:t>
      </w:r>
    </w:p>
    <w:p w14:paraId="1B6A80CC" w14:textId="77777777" w:rsidR="0052425B" w:rsidRDefault="0052425B" w:rsidP="0052425B">
      <w:pPr>
        <w:ind w:left="720" w:right="720"/>
        <w:jc w:val="both"/>
        <w:rPr>
          <w:rFonts w:asciiTheme="majorHAnsi" w:hAnsiTheme="majorHAnsi"/>
          <w:sz w:val="20"/>
          <w:szCs w:val="20"/>
          <w:lang w:val="es-ES"/>
        </w:rPr>
      </w:pPr>
      <w:r>
        <w:rPr>
          <w:rFonts w:asciiTheme="majorHAnsi" w:hAnsiTheme="majorHAnsi"/>
          <w:sz w:val="20"/>
          <w:szCs w:val="20"/>
          <w:lang w:val="es-ES"/>
        </w:rPr>
        <w:t>FC: Porque, bueno, porque</w:t>
      </w:r>
    </w:p>
    <w:p w14:paraId="10A1B5DA" w14:textId="4C1EBCF9" w:rsidR="0052425B" w:rsidRDefault="0052425B" w:rsidP="0052425B">
      <w:pPr>
        <w:ind w:left="720" w:right="720"/>
        <w:jc w:val="both"/>
        <w:rPr>
          <w:rFonts w:asciiTheme="majorHAnsi" w:hAnsiTheme="majorHAnsi"/>
          <w:sz w:val="20"/>
          <w:szCs w:val="20"/>
          <w:lang w:val="es-ES"/>
        </w:rPr>
      </w:pPr>
      <w:r>
        <w:rPr>
          <w:rFonts w:asciiTheme="majorHAnsi" w:hAnsiTheme="majorHAnsi"/>
          <w:sz w:val="20"/>
          <w:szCs w:val="20"/>
          <w:lang w:val="es-ES"/>
        </w:rPr>
        <w:t xml:space="preserve">RSM: </w:t>
      </w:r>
      <w:r w:rsidR="00170E57">
        <w:rPr>
          <w:rFonts w:asciiTheme="majorHAnsi" w:hAnsiTheme="majorHAnsi"/>
          <w:sz w:val="20"/>
          <w:szCs w:val="20"/>
          <w:lang w:val="es-ES"/>
        </w:rPr>
        <w:t>Él</w:t>
      </w:r>
      <w:r>
        <w:rPr>
          <w:rFonts w:asciiTheme="majorHAnsi" w:hAnsiTheme="majorHAnsi"/>
          <w:sz w:val="20"/>
          <w:szCs w:val="20"/>
          <w:lang w:val="es-ES"/>
        </w:rPr>
        <w:t xml:space="preserve"> va a hacer ahorita</w:t>
      </w:r>
    </w:p>
    <w:p w14:paraId="6261492C" w14:textId="7C042E41" w:rsidR="0052425B" w:rsidRDefault="0052425B" w:rsidP="0052425B">
      <w:pPr>
        <w:ind w:left="720" w:right="720"/>
        <w:jc w:val="both"/>
        <w:rPr>
          <w:rFonts w:asciiTheme="majorHAnsi" w:hAnsiTheme="majorHAnsi"/>
          <w:sz w:val="20"/>
          <w:szCs w:val="20"/>
          <w:lang w:val="es-ES"/>
        </w:rPr>
      </w:pPr>
      <w:r>
        <w:rPr>
          <w:rFonts w:asciiTheme="majorHAnsi" w:hAnsiTheme="majorHAnsi"/>
          <w:sz w:val="20"/>
          <w:szCs w:val="20"/>
          <w:lang w:val="es-ES"/>
        </w:rPr>
        <w:t>FC: En todo caso son distintas, porque en el otro caso, si manifestaron, “si, nosotras firmamos”, ah, bueno.</w:t>
      </w:r>
    </w:p>
    <w:p w14:paraId="3BB812B8" w14:textId="187349CC" w:rsidR="0052425B" w:rsidRDefault="0052425B" w:rsidP="0052425B">
      <w:pPr>
        <w:ind w:left="720" w:right="720"/>
        <w:jc w:val="both"/>
        <w:rPr>
          <w:rFonts w:asciiTheme="majorHAnsi" w:hAnsiTheme="majorHAnsi"/>
          <w:sz w:val="20"/>
          <w:szCs w:val="20"/>
          <w:lang w:val="es-ES"/>
        </w:rPr>
      </w:pPr>
      <w:r>
        <w:rPr>
          <w:rFonts w:asciiTheme="majorHAnsi" w:hAnsiTheme="majorHAnsi"/>
          <w:sz w:val="20"/>
          <w:szCs w:val="20"/>
          <w:lang w:val="es-ES"/>
        </w:rPr>
        <w:t>RSM: O</w:t>
      </w:r>
      <w:r w:rsidR="007554FC">
        <w:rPr>
          <w:rFonts w:asciiTheme="majorHAnsi" w:hAnsiTheme="majorHAnsi"/>
          <w:sz w:val="20"/>
          <w:szCs w:val="20"/>
          <w:lang w:val="es-ES"/>
        </w:rPr>
        <w:t>k</w:t>
      </w:r>
      <w:r>
        <w:rPr>
          <w:rFonts w:asciiTheme="majorHAnsi" w:hAnsiTheme="majorHAnsi"/>
          <w:sz w:val="20"/>
          <w:szCs w:val="20"/>
          <w:lang w:val="es-ES"/>
        </w:rPr>
        <w:t xml:space="preserve">. Ahora una cosa ¿Qué va a hacer Guerra </w:t>
      </w:r>
      <w:r w:rsidR="00C94E03">
        <w:rPr>
          <w:rFonts w:asciiTheme="majorHAnsi" w:hAnsiTheme="majorHAnsi"/>
          <w:sz w:val="20"/>
          <w:szCs w:val="20"/>
          <w:lang w:val="es-ES"/>
        </w:rPr>
        <w:t>a</w:t>
      </w:r>
      <w:r>
        <w:rPr>
          <w:rFonts w:asciiTheme="majorHAnsi" w:hAnsiTheme="majorHAnsi"/>
          <w:sz w:val="20"/>
          <w:szCs w:val="20"/>
          <w:lang w:val="es-ES"/>
        </w:rPr>
        <w:t>horita, va a tener que manifestarlo en un documento público? ¿</w:t>
      </w:r>
      <w:r w:rsidR="00170E57">
        <w:rPr>
          <w:rFonts w:asciiTheme="majorHAnsi" w:hAnsiTheme="majorHAnsi"/>
          <w:sz w:val="20"/>
          <w:szCs w:val="20"/>
          <w:lang w:val="es-ES"/>
        </w:rPr>
        <w:t>No</w:t>
      </w:r>
      <w:r>
        <w:rPr>
          <w:rFonts w:asciiTheme="majorHAnsi" w:hAnsiTheme="majorHAnsi"/>
          <w:sz w:val="20"/>
          <w:szCs w:val="20"/>
          <w:lang w:val="es-ES"/>
        </w:rPr>
        <w:t>? ¿</w:t>
      </w:r>
      <w:r w:rsidR="00170E57">
        <w:rPr>
          <w:rFonts w:asciiTheme="majorHAnsi" w:hAnsiTheme="majorHAnsi"/>
          <w:sz w:val="20"/>
          <w:szCs w:val="20"/>
          <w:lang w:val="es-ES"/>
        </w:rPr>
        <w:t>Ante</w:t>
      </w:r>
      <w:r>
        <w:rPr>
          <w:rFonts w:asciiTheme="majorHAnsi" w:hAnsiTheme="majorHAnsi"/>
          <w:sz w:val="20"/>
          <w:szCs w:val="20"/>
          <w:lang w:val="es-ES"/>
        </w:rPr>
        <w:t xml:space="preserve"> el CNE?</w:t>
      </w:r>
    </w:p>
    <w:p w14:paraId="1DB63BFD" w14:textId="044D6F8B" w:rsidR="0052425B" w:rsidRDefault="0052425B" w:rsidP="0052425B">
      <w:pPr>
        <w:ind w:left="720" w:right="720"/>
        <w:jc w:val="both"/>
        <w:rPr>
          <w:rFonts w:asciiTheme="majorHAnsi" w:hAnsiTheme="majorHAnsi"/>
          <w:sz w:val="20"/>
          <w:szCs w:val="20"/>
          <w:lang w:val="es-ES"/>
        </w:rPr>
      </w:pPr>
      <w:r>
        <w:rPr>
          <w:rFonts w:asciiTheme="majorHAnsi" w:hAnsiTheme="majorHAnsi"/>
          <w:sz w:val="20"/>
          <w:szCs w:val="20"/>
          <w:lang w:val="es-ES"/>
        </w:rPr>
        <w:t xml:space="preserve">FC: No, tendrá que  esperar, que convoquen a los reparos y hacerlo.  </w:t>
      </w:r>
    </w:p>
    <w:p w14:paraId="22DDF112" w14:textId="32D71EBF" w:rsidR="00C94E03" w:rsidRPr="00C94E03" w:rsidRDefault="00C94E03" w:rsidP="0052425B">
      <w:pPr>
        <w:ind w:left="720" w:right="720"/>
        <w:jc w:val="both"/>
        <w:rPr>
          <w:rFonts w:asciiTheme="majorHAnsi" w:hAnsiTheme="majorHAnsi"/>
          <w:sz w:val="20"/>
          <w:szCs w:val="20"/>
          <w:lang w:val="pt-BR"/>
        </w:rPr>
      </w:pPr>
      <w:r w:rsidRPr="00C94E03">
        <w:rPr>
          <w:rFonts w:asciiTheme="majorHAnsi" w:hAnsiTheme="majorHAnsi"/>
          <w:sz w:val="20"/>
          <w:szCs w:val="20"/>
          <w:lang w:val="pt-BR"/>
        </w:rPr>
        <w:t>RSM: Ok</w:t>
      </w:r>
    </w:p>
    <w:p w14:paraId="3776030D" w14:textId="4F6D2612" w:rsidR="00C94E03" w:rsidRPr="00C94E03" w:rsidRDefault="00C94E03" w:rsidP="0052425B">
      <w:pPr>
        <w:ind w:left="720" w:right="720"/>
        <w:jc w:val="both"/>
        <w:rPr>
          <w:rFonts w:asciiTheme="majorHAnsi" w:hAnsiTheme="majorHAnsi"/>
          <w:sz w:val="20"/>
          <w:szCs w:val="20"/>
          <w:lang w:val="pt-BR"/>
        </w:rPr>
      </w:pPr>
      <w:r w:rsidRPr="00C94E03">
        <w:rPr>
          <w:rFonts w:asciiTheme="majorHAnsi" w:hAnsiTheme="majorHAnsi"/>
          <w:sz w:val="20"/>
          <w:szCs w:val="20"/>
          <w:lang w:val="pt-BR"/>
        </w:rPr>
        <w:t>FC: Mas nada</w:t>
      </w:r>
    </w:p>
    <w:p w14:paraId="08B2D39F" w14:textId="0A38CDB1" w:rsidR="00C94E03" w:rsidRPr="00C94E03" w:rsidRDefault="00C94E03" w:rsidP="0052425B">
      <w:pPr>
        <w:ind w:left="720" w:right="720"/>
        <w:jc w:val="both"/>
        <w:rPr>
          <w:rFonts w:asciiTheme="majorHAnsi" w:hAnsiTheme="majorHAnsi"/>
          <w:sz w:val="20"/>
          <w:szCs w:val="20"/>
          <w:lang w:val="pt-BR"/>
        </w:rPr>
      </w:pPr>
      <w:r w:rsidRPr="00C94E03">
        <w:rPr>
          <w:rFonts w:asciiTheme="majorHAnsi" w:hAnsiTheme="majorHAnsi"/>
          <w:sz w:val="20"/>
          <w:szCs w:val="20"/>
          <w:lang w:val="pt-BR"/>
        </w:rPr>
        <w:t>RSM: ah</w:t>
      </w:r>
    </w:p>
    <w:p w14:paraId="295A59EE" w14:textId="31B5E647" w:rsidR="00C94E03" w:rsidRPr="00C94E03" w:rsidRDefault="00C94E03" w:rsidP="0052425B">
      <w:pPr>
        <w:ind w:left="720" w:right="720"/>
        <w:jc w:val="both"/>
        <w:rPr>
          <w:rFonts w:asciiTheme="majorHAnsi" w:hAnsiTheme="majorHAnsi"/>
          <w:sz w:val="20"/>
          <w:szCs w:val="20"/>
          <w:lang w:val="es-VE"/>
        </w:rPr>
      </w:pPr>
      <w:r w:rsidRPr="00C94E03">
        <w:rPr>
          <w:rFonts w:asciiTheme="majorHAnsi" w:hAnsiTheme="majorHAnsi"/>
          <w:sz w:val="20"/>
          <w:szCs w:val="20"/>
          <w:lang w:val="es-VE"/>
        </w:rPr>
        <w:t>FC;  Y</w:t>
      </w:r>
    </w:p>
    <w:p w14:paraId="4037A4B1" w14:textId="5CE94B5E" w:rsidR="00C94E03" w:rsidRPr="00C94E03" w:rsidRDefault="00C94E03" w:rsidP="0052425B">
      <w:pPr>
        <w:ind w:left="720" w:right="720"/>
        <w:jc w:val="both"/>
        <w:rPr>
          <w:rFonts w:asciiTheme="majorHAnsi" w:hAnsiTheme="majorHAnsi"/>
          <w:sz w:val="20"/>
          <w:szCs w:val="20"/>
          <w:lang w:val="es-VE"/>
        </w:rPr>
      </w:pPr>
      <w:r w:rsidRPr="00C94E03">
        <w:rPr>
          <w:rFonts w:asciiTheme="majorHAnsi" w:hAnsiTheme="majorHAnsi"/>
          <w:sz w:val="20"/>
          <w:szCs w:val="20"/>
          <w:lang w:val="es-VE"/>
        </w:rPr>
        <w:t>RSM: Esta bien</w:t>
      </w:r>
    </w:p>
    <w:p w14:paraId="2A5012AD" w14:textId="0E8CC8D1" w:rsidR="00C94E03" w:rsidRPr="00C94E03" w:rsidRDefault="00C94E03" w:rsidP="0052425B">
      <w:pPr>
        <w:ind w:left="720" w:right="720"/>
        <w:jc w:val="both"/>
        <w:rPr>
          <w:rFonts w:asciiTheme="majorHAnsi" w:hAnsiTheme="majorHAnsi"/>
          <w:sz w:val="20"/>
          <w:szCs w:val="20"/>
          <w:lang w:val="es-VE"/>
        </w:rPr>
      </w:pPr>
      <w:r w:rsidRPr="00C94E03">
        <w:rPr>
          <w:rFonts w:asciiTheme="majorHAnsi" w:hAnsiTheme="majorHAnsi"/>
          <w:sz w:val="20"/>
          <w:szCs w:val="20"/>
          <w:lang w:val="es-VE"/>
        </w:rPr>
        <w:t>FC</w:t>
      </w:r>
      <w:r w:rsidR="00170E57" w:rsidRPr="00C94E03">
        <w:rPr>
          <w:rFonts w:asciiTheme="majorHAnsi" w:hAnsiTheme="majorHAnsi"/>
          <w:sz w:val="20"/>
          <w:szCs w:val="20"/>
          <w:lang w:val="es-VE"/>
        </w:rPr>
        <w:t>: Y</w:t>
      </w:r>
      <w:r w:rsidRPr="00C94E03">
        <w:rPr>
          <w:rFonts w:asciiTheme="majorHAnsi" w:hAnsiTheme="majorHAnsi"/>
          <w:sz w:val="20"/>
          <w:szCs w:val="20"/>
          <w:lang w:val="es-VE"/>
        </w:rPr>
        <w:t xml:space="preserve"> es lo que</w:t>
      </w:r>
    </w:p>
    <w:p w14:paraId="7CFD2ACA" w14:textId="21C3C5B1" w:rsidR="00C94E03" w:rsidRDefault="00C94E03" w:rsidP="0052425B">
      <w:pPr>
        <w:ind w:left="720" w:right="720"/>
        <w:jc w:val="both"/>
        <w:rPr>
          <w:rFonts w:asciiTheme="majorHAnsi" w:hAnsiTheme="majorHAnsi"/>
          <w:sz w:val="20"/>
          <w:szCs w:val="20"/>
          <w:lang w:val="es-VE"/>
        </w:rPr>
      </w:pPr>
      <w:r>
        <w:rPr>
          <w:rFonts w:asciiTheme="majorHAnsi" w:hAnsiTheme="majorHAnsi"/>
          <w:sz w:val="20"/>
          <w:szCs w:val="20"/>
          <w:lang w:val="es-VE"/>
        </w:rPr>
        <w:t>RSM: ¿</w:t>
      </w:r>
      <w:r w:rsidR="00170E57">
        <w:rPr>
          <w:rFonts w:asciiTheme="majorHAnsi" w:hAnsiTheme="majorHAnsi"/>
          <w:sz w:val="20"/>
          <w:szCs w:val="20"/>
          <w:lang w:val="es-VE"/>
        </w:rPr>
        <w:t>Tú</w:t>
      </w:r>
      <w:r>
        <w:rPr>
          <w:rFonts w:asciiTheme="majorHAnsi" w:hAnsiTheme="majorHAnsi"/>
          <w:sz w:val="20"/>
          <w:szCs w:val="20"/>
          <w:lang w:val="es-VE"/>
        </w:rPr>
        <w:t xml:space="preserve"> le advertiste a José Vicente, que, que, que esto no, que esto no </w:t>
      </w:r>
      <w:proofErr w:type="spellStart"/>
      <w:r>
        <w:rPr>
          <w:rFonts w:asciiTheme="majorHAnsi" w:hAnsiTheme="majorHAnsi"/>
          <w:sz w:val="20"/>
          <w:szCs w:val="20"/>
          <w:lang w:val="es-VE"/>
        </w:rPr>
        <w:t>no</w:t>
      </w:r>
      <w:proofErr w:type="spellEnd"/>
      <w:r>
        <w:rPr>
          <w:rFonts w:asciiTheme="majorHAnsi" w:hAnsiTheme="majorHAnsi"/>
          <w:sz w:val="20"/>
          <w:szCs w:val="20"/>
          <w:lang w:val="es-VE"/>
        </w:rPr>
        <w:t xml:space="preserve">, no </w:t>
      </w:r>
      <w:r w:rsidR="00170E57">
        <w:rPr>
          <w:rFonts w:asciiTheme="majorHAnsi" w:hAnsiTheme="majorHAnsi"/>
          <w:sz w:val="20"/>
          <w:szCs w:val="20"/>
          <w:lang w:val="es-VE"/>
        </w:rPr>
        <w:t>está</w:t>
      </w:r>
      <w:r>
        <w:rPr>
          <w:rFonts w:asciiTheme="majorHAnsi" w:hAnsiTheme="majorHAnsi"/>
          <w:sz w:val="20"/>
          <w:szCs w:val="20"/>
          <w:lang w:val="es-VE"/>
        </w:rPr>
        <w:t xml:space="preserve"> permitido? El despedir a las personas por, por haber firmado ¿</w:t>
      </w:r>
      <w:r w:rsidR="00170E57">
        <w:rPr>
          <w:rFonts w:asciiTheme="majorHAnsi" w:hAnsiTheme="majorHAnsi"/>
          <w:sz w:val="20"/>
          <w:szCs w:val="20"/>
          <w:lang w:val="es-VE"/>
        </w:rPr>
        <w:t>Tú</w:t>
      </w:r>
      <w:r>
        <w:rPr>
          <w:rFonts w:asciiTheme="majorHAnsi" w:hAnsiTheme="majorHAnsi"/>
          <w:sz w:val="20"/>
          <w:szCs w:val="20"/>
          <w:lang w:val="es-VE"/>
        </w:rPr>
        <w:t xml:space="preserve"> se lo advertiste?</w:t>
      </w:r>
    </w:p>
    <w:p w14:paraId="086D2D5F" w14:textId="52E7105E" w:rsidR="00C94E03" w:rsidRPr="00C94E03" w:rsidRDefault="00C94E03" w:rsidP="0052425B">
      <w:pPr>
        <w:ind w:left="720" w:right="720"/>
        <w:jc w:val="both"/>
        <w:rPr>
          <w:rFonts w:asciiTheme="majorHAnsi" w:hAnsiTheme="majorHAnsi"/>
          <w:sz w:val="20"/>
          <w:szCs w:val="20"/>
          <w:lang w:val="es-VE"/>
        </w:rPr>
      </w:pPr>
      <w:r>
        <w:rPr>
          <w:rFonts w:asciiTheme="majorHAnsi" w:hAnsiTheme="majorHAnsi"/>
          <w:sz w:val="20"/>
          <w:szCs w:val="20"/>
          <w:lang w:val="es-VE"/>
        </w:rPr>
        <w:t>FC: Así en esos t</w:t>
      </w:r>
      <w:r w:rsidR="000D77A5">
        <w:rPr>
          <w:rFonts w:asciiTheme="majorHAnsi" w:hAnsiTheme="majorHAnsi"/>
          <w:sz w:val="20"/>
          <w:szCs w:val="20"/>
          <w:lang w:val="es-VE"/>
        </w:rPr>
        <w:t>érmin</w:t>
      </w:r>
      <w:r>
        <w:rPr>
          <w:rFonts w:asciiTheme="majorHAnsi" w:hAnsiTheme="majorHAnsi"/>
          <w:sz w:val="20"/>
          <w:szCs w:val="20"/>
          <w:lang w:val="es-VE"/>
        </w:rPr>
        <w:t>o</w:t>
      </w:r>
      <w:r w:rsidR="000D77A5">
        <w:rPr>
          <w:rFonts w:asciiTheme="majorHAnsi" w:hAnsiTheme="majorHAnsi"/>
          <w:sz w:val="20"/>
          <w:szCs w:val="20"/>
          <w:lang w:val="es-VE"/>
        </w:rPr>
        <w:t>s</w:t>
      </w:r>
      <w:r>
        <w:rPr>
          <w:rFonts w:asciiTheme="majorHAnsi" w:hAnsiTheme="majorHAnsi"/>
          <w:sz w:val="20"/>
          <w:szCs w:val="20"/>
          <w:lang w:val="es-VE"/>
        </w:rPr>
        <w:t xml:space="preserve"> como </w:t>
      </w:r>
      <w:r w:rsidR="00170E57">
        <w:rPr>
          <w:rFonts w:asciiTheme="majorHAnsi" w:hAnsiTheme="majorHAnsi"/>
          <w:sz w:val="20"/>
          <w:szCs w:val="20"/>
          <w:lang w:val="es-VE"/>
        </w:rPr>
        <w:t>tú</w:t>
      </w:r>
      <w:r>
        <w:rPr>
          <w:rFonts w:asciiTheme="majorHAnsi" w:hAnsiTheme="majorHAnsi"/>
          <w:sz w:val="20"/>
          <w:szCs w:val="20"/>
          <w:lang w:val="es-VE"/>
        </w:rPr>
        <w:t xml:space="preserve"> me lo </w:t>
      </w:r>
      <w:r w:rsidR="00170E57">
        <w:rPr>
          <w:rFonts w:asciiTheme="majorHAnsi" w:hAnsiTheme="majorHAnsi"/>
          <w:sz w:val="20"/>
          <w:szCs w:val="20"/>
          <w:lang w:val="es-VE"/>
        </w:rPr>
        <w:t>estás</w:t>
      </w:r>
      <w:r>
        <w:rPr>
          <w:rFonts w:asciiTheme="majorHAnsi" w:hAnsiTheme="majorHAnsi"/>
          <w:sz w:val="20"/>
          <w:szCs w:val="20"/>
          <w:lang w:val="es-VE"/>
        </w:rPr>
        <w:t xml:space="preserve"> diciendo no</w:t>
      </w:r>
      <w:r w:rsidR="000D77A5" w:rsidRPr="0070448F">
        <w:rPr>
          <w:rFonts w:asciiTheme="majorHAnsi" w:hAnsiTheme="majorHAnsi"/>
          <w:sz w:val="20"/>
          <w:szCs w:val="20"/>
          <w:vertAlign w:val="superscript"/>
          <w:lang w:val="es-ES"/>
        </w:rPr>
        <w:footnoteReference w:id="89"/>
      </w:r>
      <w:r>
        <w:rPr>
          <w:rFonts w:asciiTheme="majorHAnsi" w:hAnsiTheme="majorHAnsi"/>
          <w:sz w:val="20"/>
          <w:szCs w:val="20"/>
          <w:lang w:val="es-VE"/>
        </w:rPr>
        <w:t xml:space="preserve">. </w:t>
      </w:r>
    </w:p>
    <w:p w14:paraId="2CC8F722" w14:textId="715B3A8D" w:rsidR="004D741F" w:rsidRPr="004D741F" w:rsidRDefault="0052425B" w:rsidP="004D741F">
      <w:pPr>
        <w:ind w:left="720" w:right="720"/>
        <w:jc w:val="both"/>
        <w:rPr>
          <w:rFonts w:asciiTheme="majorHAnsi" w:hAnsiTheme="majorHAnsi"/>
          <w:sz w:val="20"/>
          <w:szCs w:val="20"/>
          <w:lang w:val="es-VE"/>
        </w:rPr>
      </w:pPr>
      <w:r w:rsidRPr="00C94E03">
        <w:rPr>
          <w:rFonts w:asciiTheme="majorHAnsi" w:hAnsiTheme="majorHAnsi"/>
          <w:sz w:val="20"/>
          <w:szCs w:val="20"/>
          <w:lang w:val="es-VE"/>
        </w:rPr>
        <w:t xml:space="preserve"> </w:t>
      </w:r>
    </w:p>
    <w:p w14:paraId="79F00BD7" w14:textId="71C219FA" w:rsidR="006137AB" w:rsidRPr="00420489" w:rsidRDefault="006137AB" w:rsidP="006137A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420489">
        <w:rPr>
          <w:rFonts w:asciiTheme="majorHAnsi" w:hAnsiTheme="majorHAnsi"/>
          <w:sz w:val="20"/>
          <w:szCs w:val="20"/>
          <w:lang w:val="es-ES_tradnl"/>
        </w:rPr>
        <w:t>En una conv</w:t>
      </w:r>
      <w:r w:rsidR="00A67020" w:rsidRPr="00420489">
        <w:rPr>
          <w:rFonts w:asciiTheme="majorHAnsi" w:hAnsiTheme="majorHAnsi"/>
          <w:sz w:val="20"/>
          <w:szCs w:val="20"/>
          <w:lang w:val="es-ES_tradnl"/>
        </w:rPr>
        <w:t xml:space="preserve">ersación entre Rocío San Miguel Sosa </w:t>
      </w:r>
      <w:r w:rsidRPr="00420489">
        <w:rPr>
          <w:rFonts w:asciiTheme="majorHAnsi" w:hAnsiTheme="majorHAnsi"/>
          <w:sz w:val="20"/>
          <w:szCs w:val="20"/>
          <w:lang w:val="es-ES_tradnl"/>
        </w:rPr>
        <w:t xml:space="preserve">e Ilia </w:t>
      </w:r>
      <w:proofErr w:type="spellStart"/>
      <w:r w:rsidRPr="00420489">
        <w:rPr>
          <w:rFonts w:asciiTheme="majorHAnsi" w:hAnsiTheme="majorHAnsi"/>
          <w:sz w:val="20"/>
          <w:szCs w:val="20"/>
          <w:lang w:val="es-ES_tradnl"/>
        </w:rPr>
        <w:t>Azpurua</w:t>
      </w:r>
      <w:proofErr w:type="spellEnd"/>
      <w:r w:rsidRPr="00420489">
        <w:rPr>
          <w:rFonts w:asciiTheme="majorHAnsi" w:hAnsiTheme="majorHAnsi"/>
          <w:sz w:val="20"/>
          <w:szCs w:val="20"/>
          <w:lang w:val="es-ES_tradnl"/>
        </w:rPr>
        <w:t xml:space="preserve">, Consultora Jurídica de la Vicepresidencia de la República, la primera le manifestó su consternación </w:t>
      </w:r>
      <w:r w:rsidR="00B66F20">
        <w:rPr>
          <w:rFonts w:asciiTheme="majorHAnsi" w:hAnsiTheme="majorHAnsi"/>
          <w:sz w:val="20"/>
          <w:szCs w:val="20"/>
          <w:lang w:val="es-ES_tradnl"/>
        </w:rPr>
        <w:t>por</w:t>
      </w:r>
      <w:r w:rsidRPr="00420489">
        <w:rPr>
          <w:rFonts w:asciiTheme="majorHAnsi" w:hAnsiTheme="majorHAnsi"/>
          <w:sz w:val="20"/>
          <w:szCs w:val="20"/>
          <w:lang w:val="es-ES_tradnl"/>
        </w:rPr>
        <w:t xml:space="preserve"> la terminación de su contrato indicándole que independientem</w:t>
      </w:r>
      <w:r w:rsidR="00CC5A69" w:rsidRPr="00420489">
        <w:rPr>
          <w:rFonts w:asciiTheme="majorHAnsi" w:hAnsiTheme="majorHAnsi"/>
          <w:sz w:val="20"/>
          <w:szCs w:val="20"/>
          <w:lang w:val="es-ES_tradnl"/>
        </w:rPr>
        <w:t>ente de haber suscrito el referendo</w:t>
      </w:r>
      <w:r w:rsidRPr="00420489">
        <w:rPr>
          <w:rFonts w:asciiTheme="majorHAnsi" w:hAnsiTheme="majorHAnsi"/>
          <w:sz w:val="20"/>
          <w:szCs w:val="20"/>
          <w:lang w:val="es-ES_tradnl"/>
        </w:rPr>
        <w:t xml:space="preserve"> presidencial, siem</w:t>
      </w:r>
      <w:r w:rsidR="002E7000" w:rsidRPr="00420489">
        <w:rPr>
          <w:rFonts w:asciiTheme="majorHAnsi" w:hAnsiTheme="majorHAnsi"/>
          <w:sz w:val="20"/>
          <w:szCs w:val="20"/>
          <w:lang w:val="es-ES_tradnl"/>
        </w:rPr>
        <w:t xml:space="preserve">pre cumplió con sus funciones, </w:t>
      </w:r>
      <w:r w:rsidRPr="00420489">
        <w:rPr>
          <w:rFonts w:asciiTheme="majorHAnsi" w:hAnsiTheme="majorHAnsi"/>
          <w:sz w:val="20"/>
          <w:szCs w:val="20"/>
          <w:lang w:val="es-ES_tradnl"/>
        </w:rPr>
        <w:t>a lo que la segunda le manifestó que lo pondría en conocimiento del vicepresidente, indicándole también que “yo creo que, te repito. Yo te considero una persona altamente profesional. Solo que entiende un poco,  o sea, tu estas in</w:t>
      </w:r>
      <w:r w:rsidR="007F5266" w:rsidRPr="00420489">
        <w:rPr>
          <w:rFonts w:asciiTheme="majorHAnsi" w:hAnsiTheme="majorHAnsi"/>
          <w:sz w:val="20"/>
          <w:szCs w:val="20"/>
          <w:lang w:val="es-ES_tradnl"/>
        </w:rPr>
        <w:t>cluso en el Palacio Blanco ¿no?</w:t>
      </w:r>
      <w:r w:rsidRPr="00420489">
        <w:rPr>
          <w:rFonts w:asciiTheme="majorHAnsi" w:hAnsiTheme="majorHAnsi"/>
          <w:sz w:val="20"/>
          <w:szCs w:val="20"/>
          <w:lang w:val="es-ES_tradnl"/>
        </w:rPr>
        <w:t xml:space="preserve"> Eso es una cuestión, es paradójica </w:t>
      </w:r>
      <w:r w:rsidR="00FA57A0" w:rsidRPr="00420489">
        <w:rPr>
          <w:rFonts w:asciiTheme="majorHAnsi" w:hAnsiTheme="majorHAnsi"/>
          <w:sz w:val="20"/>
          <w:szCs w:val="20"/>
          <w:lang w:val="es-ES_tradnl"/>
        </w:rPr>
        <w:t xml:space="preserve">¿no? </w:t>
      </w:r>
      <w:r w:rsidRPr="00420489">
        <w:rPr>
          <w:rFonts w:asciiTheme="majorHAnsi" w:hAnsiTheme="majorHAnsi"/>
          <w:sz w:val="20"/>
          <w:szCs w:val="20"/>
          <w:lang w:val="es-ES_tradnl"/>
        </w:rPr>
        <w:t>Porque tu trabajo no tiene nada que ver si se quiere. Pero es paradójico. Pero ubícate, nada más incluso en el lugar físico en el que trabajas”</w:t>
      </w:r>
      <w:r w:rsidRPr="00420489">
        <w:rPr>
          <w:rStyle w:val="FootnoteTextChar"/>
          <w:rFonts w:asciiTheme="majorHAnsi" w:hAnsiTheme="majorHAnsi"/>
          <w:sz w:val="20"/>
          <w:szCs w:val="20"/>
          <w:vertAlign w:val="superscript"/>
        </w:rPr>
        <w:footnoteReference w:id="90"/>
      </w:r>
      <w:r w:rsidRPr="00420489">
        <w:rPr>
          <w:rFonts w:asciiTheme="majorHAnsi" w:hAnsiTheme="majorHAnsi"/>
          <w:sz w:val="20"/>
          <w:szCs w:val="20"/>
          <w:lang w:val="es-ES_tradnl"/>
        </w:rPr>
        <w:t xml:space="preserve">. </w:t>
      </w:r>
    </w:p>
    <w:p w14:paraId="090323C1" w14:textId="77777777" w:rsidR="00326114" w:rsidRPr="00420489" w:rsidRDefault="00CD241B" w:rsidP="00CD241B">
      <w:pPr>
        <w:tabs>
          <w:tab w:val="left" w:pos="6123"/>
        </w:tabs>
        <w:rPr>
          <w:rFonts w:asciiTheme="majorHAnsi" w:hAnsiTheme="majorHAnsi"/>
          <w:sz w:val="20"/>
          <w:szCs w:val="20"/>
          <w:lang w:val="es-ES_tradnl"/>
        </w:rPr>
      </w:pPr>
      <w:r w:rsidRPr="00420489">
        <w:rPr>
          <w:rFonts w:asciiTheme="majorHAnsi" w:hAnsiTheme="majorHAnsi"/>
          <w:sz w:val="20"/>
          <w:szCs w:val="20"/>
          <w:lang w:val="es-ES_tradnl"/>
        </w:rPr>
        <w:tab/>
      </w:r>
    </w:p>
    <w:p w14:paraId="587F6546" w14:textId="6F7DE94B" w:rsidR="00B56AC1" w:rsidRPr="00420489" w:rsidRDefault="00447155" w:rsidP="006B351F">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420489">
        <w:rPr>
          <w:rFonts w:asciiTheme="majorHAnsi" w:hAnsiTheme="majorHAnsi"/>
          <w:sz w:val="20"/>
          <w:szCs w:val="20"/>
          <w:lang w:val="es-ES_tradnl"/>
        </w:rPr>
        <w:t xml:space="preserve">Como se indicó al inicio de esta sección, </w:t>
      </w:r>
      <w:r w:rsidR="00C817A5" w:rsidRPr="00420489">
        <w:rPr>
          <w:rFonts w:asciiTheme="majorHAnsi" w:hAnsiTheme="majorHAnsi"/>
          <w:sz w:val="20"/>
          <w:szCs w:val="20"/>
          <w:lang w:val="es-ES_tradnl"/>
        </w:rPr>
        <w:t>las tres presuntas víctimas celebraron diversos contratos mensuales, semestrales o anuales con e</w:t>
      </w:r>
      <w:r w:rsidR="004001F4" w:rsidRPr="00420489">
        <w:rPr>
          <w:rFonts w:asciiTheme="majorHAnsi" w:hAnsiTheme="majorHAnsi"/>
          <w:sz w:val="20"/>
          <w:szCs w:val="20"/>
          <w:lang w:val="es-ES_tradnl"/>
        </w:rPr>
        <w:t xml:space="preserve">l Consejo Nacional de Fronteras. </w:t>
      </w:r>
      <w:r w:rsidR="006B351F" w:rsidRPr="00420489">
        <w:rPr>
          <w:rFonts w:asciiTheme="majorHAnsi" w:hAnsiTheme="majorHAnsi"/>
          <w:sz w:val="20"/>
          <w:szCs w:val="20"/>
          <w:lang w:val="es-ES_tradnl"/>
        </w:rPr>
        <w:t>Rocío San Miguel</w:t>
      </w:r>
      <w:r w:rsidR="00455C5C">
        <w:rPr>
          <w:rFonts w:asciiTheme="majorHAnsi" w:hAnsiTheme="majorHAnsi"/>
          <w:sz w:val="20"/>
          <w:szCs w:val="20"/>
          <w:lang w:val="es-ES_tradnl"/>
        </w:rPr>
        <w:t xml:space="preserve"> Sosa</w:t>
      </w:r>
      <w:r w:rsidR="006B351F" w:rsidRPr="00420489">
        <w:rPr>
          <w:rFonts w:asciiTheme="majorHAnsi" w:hAnsiTheme="majorHAnsi"/>
          <w:sz w:val="20"/>
          <w:szCs w:val="20"/>
          <w:lang w:val="es-ES_tradnl"/>
        </w:rPr>
        <w:t xml:space="preserve"> celebró ocho contratos con el Consejo Nacional de Fronteras entre 1996 y 2004</w:t>
      </w:r>
      <w:r w:rsidR="006B351F" w:rsidRPr="00420489">
        <w:rPr>
          <w:rStyle w:val="FootnoteReference"/>
          <w:rFonts w:asciiTheme="majorHAnsi" w:hAnsiTheme="majorHAnsi"/>
          <w:sz w:val="20"/>
          <w:szCs w:val="20"/>
          <w:lang w:val="es-VE"/>
        </w:rPr>
        <w:footnoteReference w:id="91"/>
      </w:r>
      <w:r w:rsidR="006B351F" w:rsidRPr="00420489">
        <w:rPr>
          <w:rFonts w:asciiTheme="majorHAnsi" w:hAnsiTheme="majorHAnsi"/>
          <w:sz w:val="20"/>
          <w:szCs w:val="20"/>
          <w:lang w:val="es-VE"/>
        </w:rPr>
        <w:t xml:space="preserve">, </w:t>
      </w:r>
      <w:proofErr w:type="spellStart"/>
      <w:r w:rsidR="00455C5C">
        <w:rPr>
          <w:rFonts w:asciiTheme="majorHAnsi" w:hAnsiTheme="majorHAnsi"/>
          <w:sz w:val="20"/>
          <w:szCs w:val="20"/>
          <w:lang w:val="es-VE"/>
        </w:rPr>
        <w:t>Magally</w:t>
      </w:r>
      <w:proofErr w:type="spellEnd"/>
      <w:r w:rsidR="00455C5C">
        <w:rPr>
          <w:rFonts w:asciiTheme="majorHAnsi" w:hAnsiTheme="majorHAnsi"/>
          <w:sz w:val="20"/>
          <w:szCs w:val="20"/>
          <w:lang w:val="es-VE"/>
        </w:rPr>
        <w:t xml:space="preserve"> </w:t>
      </w:r>
      <w:r w:rsidR="00B56AC1" w:rsidRPr="00420489">
        <w:rPr>
          <w:rFonts w:asciiTheme="majorHAnsi" w:hAnsiTheme="majorHAnsi"/>
          <w:sz w:val="20"/>
          <w:szCs w:val="20"/>
          <w:lang w:val="es-VE"/>
        </w:rPr>
        <w:t xml:space="preserve">Chang Girón celebró </w:t>
      </w:r>
      <w:r w:rsidR="00B56AC1" w:rsidRPr="00420489">
        <w:rPr>
          <w:rFonts w:asciiTheme="majorHAnsi" w:hAnsiTheme="majorHAnsi"/>
          <w:sz w:val="20"/>
          <w:szCs w:val="20"/>
          <w:lang w:val="es-VE"/>
        </w:rPr>
        <w:lastRenderedPageBreak/>
        <w:t>12 contratos con la misma institución entre 1997 y 2004</w:t>
      </w:r>
      <w:r w:rsidR="00B56AC1" w:rsidRPr="00420489">
        <w:rPr>
          <w:rStyle w:val="FootnoteReference"/>
          <w:rFonts w:asciiTheme="majorHAnsi" w:hAnsiTheme="majorHAnsi"/>
          <w:sz w:val="20"/>
          <w:szCs w:val="20"/>
          <w:lang w:val="es-VE"/>
        </w:rPr>
        <w:footnoteReference w:id="92"/>
      </w:r>
      <w:r w:rsidR="00B56AC1" w:rsidRPr="00420489">
        <w:rPr>
          <w:rFonts w:asciiTheme="majorHAnsi" w:hAnsiTheme="majorHAnsi"/>
          <w:sz w:val="20"/>
          <w:szCs w:val="20"/>
          <w:lang w:val="es-VE"/>
        </w:rPr>
        <w:t xml:space="preserve"> y Thais Coromoto Peña suscribió 4 contratos con el Consejo Nacional de Fronteras entre </w:t>
      </w:r>
      <w:r w:rsidR="009F2EF7" w:rsidRPr="00420489">
        <w:rPr>
          <w:rFonts w:asciiTheme="majorHAnsi" w:hAnsiTheme="majorHAnsi"/>
          <w:sz w:val="20"/>
          <w:szCs w:val="20"/>
          <w:lang w:val="es-VE"/>
        </w:rPr>
        <w:t>2000 y 2004</w:t>
      </w:r>
      <w:r w:rsidR="009F2EF7" w:rsidRPr="00420489">
        <w:rPr>
          <w:rStyle w:val="FootnoteReference"/>
          <w:rFonts w:asciiTheme="majorHAnsi" w:hAnsiTheme="majorHAnsi"/>
          <w:sz w:val="20"/>
          <w:szCs w:val="20"/>
          <w:lang w:val="es-VE"/>
        </w:rPr>
        <w:footnoteReference w:id="93"/>
      </w:r>
      <w:r w:rsidR="009F2EF7" w:rsidRPr="00420489">
        <w:rPr>
          <w:rFonts w:asciiTheme="majorHAnsi" w:hAnsiTheme="majorHAnsi"/>
          <w:sz w:val="20"/>
          <w:szCs w:val="20"/>
          <w:lang w:val="es-VE"/>
        </w:rPr>
        <w:t>. Ninguno de estos contratos se dio por terminado antes del periodo pactado en los mismos, salvo el último que se finalizó tres meses después de su inicio</w:t>
      </w:r>
      <w:r w:rsidR="00455C5C">
        <w:rPr>
          <w:rFonts w:asciiTheme="majorHAnsi" w:hAnsiTheme="majorHAnsi"/>
          <w:sz w:val="20"/>
          <w:szCs w:val="20"/>
          <w:lang w:val="es-VE"/>
        </w:rPr>
        <w:t xml:space="preserve"> </w:t>
      </w:r>
      <w:r w:rsidR="009F2EF7" w:rsidRPr="00420489">
        <w:rPr>
          <w:rFonts w:asciiTheme="majorHAnsi" w:hAnsiTheme="majorHAnsi"/>
          <w:sz w:val="20"/>
          <w:szCs w:val="20"/>
          <w:lang w:val="es-VE"/>
        </w:rPr>
        <w:t xml:space="preserve">y </w:t>
      </w:r>
      <w:r w:rsidR="005F12AF" w:rsidRPr="00420489">
        <w:rPr>
          <w:rFonts w:asciiTheme="majorHAnsi" w:hAnsiTheme="majorHAnsi"/>
          <w:sz w:val="20"/>
          <w:szCs w:val="20"/>
          <w:lang w:val="es-VE"/>
        </w:rPr>
        <w:t xml:space="preserve">meses </w:t>
      </w:r>
      <w:r w:rsidR="005A3E3F" w:rsidRPr="00420489">
        <w:rPr>
          <w:rFonts w:asciiTheme="majorHAnsi" w:hAnsiTheme="majorHAnsi"/>
          <w:sz w:val="20"/>
          <w:szCs w:val="20"/>
          <w:lang w:val="es-VE"/>
        </w:rPr>
        <w:t xml:space="preserve"> después de que las presuntas víctimas </w:t>
      </w:r>
      <w:r w:rsidR="00C939C5" w:rsidRPr="00420489">
        <w:rPr>
          <w:rFonts w:asciiTheme="majorHAnsi" w:hAnsiTheme="majorHAnsi"/>
          <w:sz w:val="20"/>
          <w:szCs w:val="20"/>
          <w:lang w:val="es-VE"/>
        </w:rPr>
        <w:t xml:space="preserve">firmaron la solicitud de referendo revocatorio presidencial. </w:t>
      </w:r>
    </w:p>
    <w:p w14:paraId="2A5D172E" w14:textId="77777777" w:rsidR="00C939C5" w:rsidRPr="00420489" w:rsidRDefault="00C939C5" w:rsidP="001A3D33">
      <w:pPr>
        <w:rPr>
          <w:rFonts w:asciiTheme="majorHAnsi" w:hAnsiTheme="majorHAnsi"/>
          <w:sz w:val="20"/>
          <w:szCs w:val="20"/>
          <w:lang w:val="es-ES_tradnl"/>
        </w:rPr>
      </w:pPr>
    </w:p>
    <w:p w14:paraId="504F1700" w14:textId="5B0B9740" w:rsidR="00CC44AC" w:rsidRPr="00420489" w:rsidRDefault="00F77DF8" w:rsidP="00111119">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420489">
        <w:rPr>
          <w:rFonts w:asciiTheme="majorHAnsi" w:hAnsiTheme="majorHAnsi"/>
          <w:sz w:val="20"/>
          <w:szCs w:val="20"/>
          <w:lang w:val="es-ES_tradnl"/>
        </w:rPr>
        <w:t>La Comisión tambi</w:t>
      </w:r>
      <w:r w:rsidR="00B83ED3" w:rsidRPr="00420489">
        <w:rPr>
          <w:rFonts w:asciiTheme="majorHAnsi" w:hAnsiTheme="majorHAnsi"/>
          <w:sz w:val="20"/>
          <w:szCs w:val="20"/>
          <w:lang w:val="es-ES_tradnl"/>
        </w:rPr>
        <w:t>én hace notar que s</w:t>
      </w:r>
      <w:r w:rsidRPr="00420489">
        <w:rPr>
          <w:rFonts w:asciiTheme="majorHAnsi" w:hAnsiTheme="majorHAnsi"/>
          <w:sz w:val="20"/>
          <w:szCs w:val="20"/>
          <w:lang w:val="es-ES_tradnl"/>
        </w:rPr>
        <w:t xml:space="preserve">egún el </w:t>
      </w:r>
      <w:r w:rsidR="00D76B90" w:rsidRPr="00420489">
        <w:rPr>
          <w:rFonts w:asciiTheme="majorHAnsi" w:hAnsiTheme="majorHAnsi"/>
          <w:sz w:val="20"/>
          <w:szCs w:val="20"/>
          <w:lang w:val="es-ES_tradnl"/>
        </w:rPr>
        <w:t>listado publicado en un diario nacional venezolano, del total de 23 empleados del Consejo Nacional de Fronteras que constan en la nómina de personal hasta 2003</w:t>
      </w:r>
      <w:r w:rsidR="00D76B90" w:rsidRPr="00420489">
        <w:rPr>
          <w:rStyle w:val="FootnoteReference"/>
          <w:rFonts w:asciiTheme="majorHAnsi" w:hAnsiTheme="majorHAnsi"/>
          <w:sz w:val="20"/>
          <w:szCs w:val="20"/>
          <w:lang w:val="es-ES_tradnl"/>
        </w:rPr>
        <w:footnoteReference w:id="94"/>
      </w:r>
      <w:r w:rsidR="00D76B90" w:rsidRPr="00420489">
        <w:rPr>
          <w:rFonts w:asciiTheme="majorHAnsi" w:hAnsiTheme="majorHAnsi"/>
          <w:sz w:val="20"/>
          <w:szCs w:val="20"/>
          <w:lang w:val="es-ES_tradnl"/>
        </w:rPr>
        <w:t>, firmaron la solicitud de referendo revocatorio de mandato p</w:t>
      </w:r>
      <w:r w:rsidR="00FA57A0" w:rsidRPr="00420489">
        <w:rPr>
          <w:rFonts w:asciiTheme="majorHAnsi" w:hAnsiTheme="majorHAnsi"/>
          <w:sz w:val="20"/>
          <w:szCs w:val="20"/>
          <w:lang w:val="es-ES_tradnl"/>
        </w:rPr>
        <w:t>residencial</w:t>
      </w:r>
      <w:r w:rsidR="00D76B90" w:rsidRPr="00420489">
        <w:rPr>
          <w:rFonts w:asciiTheme="majorHAnsi" w:hAnsiTheme="majorHAnsi"/>
          <w:sz w:val="20"/>
          <w:szCs w:val="20"/>
          <w:lang w:val="es-ES_tradnl"/>
        </w:rPr>
        <w:t xml:space="preserve"> </w:t>
      </w:r>
      <w:r w:rsidR="00DC61EE" w:rsidRPr="00420489">
        <w:rPr>
          <w:rFonts w:asciiTheme="majorHAnsi" w:hAnsiTheme="majorHAnsi"/>
          <w:sz w:val="20"/>
          <w:szCs w:val="20"/>
          <w:lang w:val="es-ES_tradnl"/>
        </w:rPr>
        <w:t>4</w:t>
      </w:r>
      <w:r w:rsidR="00D76B90" w:rsidRPr="00420489">
        <w:rPr>
          <w:rFonts w:asciiTheme="majorHAnsi" w:hAnsiTheme="majorHAnsi"/>
          <w:sz w:val="20"/>
          <w:szCs w:val="20"/>
          <w:lang w:val="es-ES_tradnl"/>
        </w:rPr>
        <w:t xml:space="preserve"> personas identificadas con las cédulas 3.247.646, 4.421.705, 6.974.789 y 11.</w:t>
      </w:r>
      <w:r w:rsidR="00B83ED3" w:rsidRPr="00420489">
        <w:rPr>
          <w:rFonts w:asciiTheme="majorHAnsi" w:hAnsiTheme="majorHAnsi"/>
          <w:sz w:val="20"/>
          <w:szCs w:val="20"/>
          <w:lang w:val="es-ES_tradnl"/>
        </w:rPr>
        <w:t>928.963</w:t>
      </w:r>
      <w:r w:rsidR="00DC61EE" w:rsidRPr="00420489">
        <w:rPr>
          <w:rFonts w:asciiTheme="majorHAnsi" w:hAnsiTheme="majorHAnsi"/>
          <w:sz w:val="20"/>
          <w:szCs w:val="20"/>
          <w:lang w:val="es-ES_tradnl"/>
        </w:rPr>
        <w:t xml:space="preserve">, que corresponden respectivamente a </w:t>
      </w:r>
      <w:proofErr w:type="spellStart"/>
      <w:r w:rsidR="00DC61EE" w:rsidRPr="00420489">
        <w:rPr>
          <w:rFonts w:asciiTheme="majorHAnsi" w:hAnsiTheme="majorHAnsi"/>
          <w:sz w:val="20"/>
          <w:szCs w:val="20"/>
          <w:lang w:val="es-ES_tradnl"/>
        </w:rPr>
        <w:t>Magally</w:t>
      </w:r>
      <w:proofErr w:type="spellEnd"/>
      <w:r w:rsidR="00DC61EE" w:rsidRPr="00420489">
        <w:rPr>
          <w:rFonts w:asciiTheme="majorHAnsi" w:hAnsiTheme="majorHAnsi"/>
          <w:sz w:val="20"/>
          <w:szCs w:val="20"/>
          <w:lang w:val="es-ES_tradnl"/>
        </w:rPr>
        <w:t xml:space="preserve"> Chang Girón, Thais </w:t>
      </w:r>
      <w:r w:rsidR="003F4220">
        <w:rPr>
          <w:rFonts w:asciiTheme="majorHAnsi" w:hAnsiTheme="majorHAnsi"/>
          <w:sz w:val="20"/>
          <w:szCs w:val="20"/>
          <w:lang w:val="es-ES_tradnl"/>
        </w:rPr>
        <w:t xml:space="preserve">Coromoto </w:t>
      </w:r>
      <w:r w:rsidR="00DC61EE" w:rsidRPr="00420489">
        <w:rPr>
          <w:rFonts w:asciiTheme="majorHAnsi" w:hAnsiTheme="majorHAnsi"/>
          <w:sz w:val="20"/>
          <w:szCs w:val="20"/>
          <w:lang w:val="es-ES_tradnl"/>
        </w:rPr>
        <w:t xml:space="preserve">Peña,  Rocío San Miguel Sosa y Jorge Guerra Navarro. </w:t>
      </w:r>
      <w:r w:rsidR="00111119" w:rsidRPr="00420489">
        <w:rPr>
          <w:rFonts w:asciiTheme="majorHAnsi" w:hAnsiTheme="majorHAnsi"/>
          <w:sz w:val="20"/>
          <w:szCs w:val="20"/>
          <w:lang w:val="es-ES_tradnl"/>
        </w:rPr>
        <w:t xml:space="preserve"> A las 4 personas se les comunicó la terminación de sus contratos,  sin embargo con relación a Jorge Guerra Navarro, según se desprende de las declaraciones de las presuntas víctimas </w:t>
      </w:r>
      <w:r w:rsidR="00563977" w:rsidRPr="00420489">
        <w:rPr>
          <w:rFonts w:asciiTheme="majorHAnsi" w:hAnsiTheme="majorHAnsi"/>
          <w:sz w:val="20"/>
          <w:szCs w:val="20"/>
          <w:lang w:val="es-ES_tradnl"/>
        </w:rPr>
        <w:t xml:space="preserve">este habría logrado conservar su empleo luego de </w:t>
      </w:r>
      <w:r w:rsidR="00CC44AC" w:rsidRPr="00420489">
        <w:rPr>
          <w:rFonts w:asciiTheme="majorHAnsi" w:hAnsiTheme="majorHAnsi"/>
          <w:sz w:val="20"/>
          <w:szCs w:val="20"/>
          <w:lang w:val="es-ES_tradnl"/>
        </w:rPr>
        <w:t>indicar que “el no firmó la solicitud de referendo sino que alguien tomó su cédula y firmó por él”</w:t>
      </w:r>
      <w:r w:rsidR="00CC44AC" w:rsidRPr="00420489">
        <w:rPr>
          <w:rStyle w:val="FootnoteReference"/>
          <w:rFonts w:asciiTheme="majorHAnsi" w:hAnsiTheme="majorHAnsi"/>
          <w:sz w:val="20"/>
          <w:szCs w:val="20"/>
          <w:lang w:val="es-ES_tradnl"/>
        </w:rPr>
        <w:footnoteReference w:id="95"/>
      </w:r>
      <w:r w:rsidR="00CC44AC" w:rsidRPr="00420489">
        <w:rPr>
          <w:rFonts w:asciiTheme="majorHAnsi" w:hAnsiTheme="majorHAnsi"/>
          <w:sz w:val="20"/>
          <w:szCs w:val="20"/>
          <w:lang w:val="es-ES_tradnl"/>
        </w:rPr>
        <w:t xml:space="preserve"> y </w:t>
      </w:r>
      <w:r w:rsidR="00DA6D54" w:rsidRPr="00420489">
        <w:rPr>
          <w:rFonts w:asciiTheme="majorHAnsi" w:hAnsiTheme="majorHAnsi"/>
          <w:sz w:val="20"/>
          <w:szCs w:val="20"/>
          <w:lang w:val="es-ES_tradnl"/>
        </w:rPr>
        <w:t>que participaría</w:t>
      </w:r>
      <w:r w:rsidR="00CC44AC" w:rsidRPr="00420489">
        <w:rPr>
          <w:rFonts w:asciiTheme="majorHAnsi" w:hAnsiTheme="majorHAnsi"/>
          <w:sz w:val="20"/>
          <w:szCs w:val="20"/>
          <w:lang w:val="es-ES_tradnl"/>
        </w:rPr>
        <w:t xml:space="preserve"> en el proceso de reparo de firmas, para </w:t>
      </w:r>
      <w:r w:rsidR="00DA6D54" w:rsidRPr="00420489">
        <w:rPr>
          <w:rFonts w:asciiTheme="majorHAnsi" w:hAnsiTheme="majorHAnsi"/>
          <w:sz w:val="20"/>
          <w:szCs w:val="20"/>
          <w:lang w:val="es-ES_tradnl"/>
        </w:rPr>
        <w:t>no ratificarla.</w:t>
      </w:r>
      <w:r w:rsidR="00CC44AC" w:rsidRPr="00420489">
        <w:rPr>
          <w:rFonts w:asciiTheme="majorHAnsi" w:hAnsiTheme="majorHAnsi"/>
          <w:sz w:val="20"/>
          <w:szCs w:val="20"/>
          <w:lang w:val="es-ES_tradnl"/>
        </w:rPr>
        <w:t xml:space="preserve"> </w:t>
      </w:r>
    </w:p>
    <w:p w14:paraId="05324C4C" w14:textId="77777777" w:rsidR="00027093" w:rsidRPr="00420489" w:rsidRDefault="00027093" w:rsidP="00027093">
      <w:pPr>
        <w:rPr>
          <w:rFonts w:asciiTheme="majorHAnsi" w:hAnsiTheme="majorHAnsi"/>
          <w:sz w:val="20"/>
          <w:szCs w:val="20"/>
          <w:lang w:val="es-ES_tradnl"/>
        </w:rPr>
      </w:pPr>
    </w:p>
    <w:p w14:paraId="75A5A54C" w14:textId="77777777" w:rsidR="00E40449" w:rsidRPr="00420489" w:rsidRDefault="008E07BC" w:rsidP="006B2D8F">
      <w:pPr>
        <w:pStyle w:val="Heading2"/>
        <w:numPr>
          <w:ilvl w:val="0"/>
          <w:numId w:val="60"/>
        </w:numPr>
        <w:ind w:left="720" w:firstLine="0"/>
      </w:pPr>
      <w:bookmarkStart w:id="29" w:name="_Toc420680446"/>
      <w:bookmarkStart w:id="30" w:name="_Toc423514414"/>
      <w:bookmarkStart w:id="31" w:name="_Toc433308903"/>
      <w:r w:rsidRPr="00420489">
        <w:t>L</w:t>
      </w:r>
      <w:r w:rsidR="00E40449" w:rsidRPr="00420489">
        <w:t xml:space="preserve">os procesos internos adelantados en relación con la </w:t>
      </w:r>
      <w:bookmarkStart w:id="32" w:name="_Toc420680447"/>
      <w:bookmarkEnd w:id="29"/>
      <w:bookmarkEnd w:id="30"/>
      <w:r w:rsidR="00FA08DD" w:rsidRPr="00420489">
        <w:t>terminación de los contratos</w:t>
      </w:r>
      <w:bookmarkEnd w:id="31"/>
    </w:p>
    <w:p w14:paraId="6EC33C75" w14:textId="77777777" w:rsidR="00663AAF" w:rsidRPr="00420489" w:rsidRDefault="00663AAF" w:rsidP="00C37FDB">
      <w:pPr>
        <w:rPr>
          <w:rFonts w:asciiTheme="majorHAnsi" w:hAnsiTheme="majorHAnsi"/>
          <w:sz w:val="20"/>
          <w:szCs w:val="20"/>
          <w:lang w:val="es-ES_tradnl"/>
        </w:rPr>
      </w:pPr>
    </w:p>
    <w:p w14:paraId="52F34B6A" w14:textId="77777777" w:rsidR="00663AAF" w:rsidRPr="00420489" w:rsidRDefault="00663AAF" w:rsidP="00C37F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420489">
        <w:rPr>
          <w:rFonts w:asciiTheme="majorHAnsi" w:hAnsiTheme="majorHAnsi"/>
          <w:sz w:val="20"/>
          <w:szCs w:val="20"/>
          <w:lang w:val="es-ES_tradnl"/>
        </w:rPr>
        <w:t xml:space="preserve">En virtud de los hechos </w:t>
      </w:r>
      <w:r w:rsidR="005F12AF" w:rsidRPr="00420489">
        <w:rPr>
          <w:rFonts w:asciiTheme="majorHAnsi" w:hAnsiTheme="majorHAnsi"/>
          <w:sz w:val="20"/>
          <w:szCs w:val="20"/>
          <w:lang w:val="es-ES_tradnl"/>
        </w:rPr>
        <w:t xml:space="preserve">descritos </w:t>
      </w:r>
      <w:r w:rsidRPr="00420489">
        <w:rPr>
          <w:rFonts w:asciiTheme="majorHAnsi" w:hAnsiTheme="majorHAnsi"/>
          <w:sz w:val="20"/>
          <w:szCs w:val="20"/>
          <w:lang w:val="es-ES_tradnl"/>
        </w:rPr>
        <w:t xml:space="preserve">anteriormente </w:t>
      </w:r>
      <w:r w:rsidR="00FA57A0" w:rsidRPr="00420489">
        <w:rPr>
          <w:rFonts w:asciiTheme="majorHAnsi" w:hAnsiTheme="majorHAnsi"/>
          <w:sz w:val="20"/>
          <w:szCs w:val="20"/>
          <w:lang w:val="es-ES_tradnl"/>
        </w:rPr>
        <w:t xml:space="preserve">las presuntas víctimas </w:t>
      </w:r>
      <w:r w:rsidRPr="00420489">
        <w:rPr>
          <w:rFonts w:asciiTheme="majorHAnsi" w:hAnsiTheme="majorHAnsi"/>
          <w:sz w:val="20"/>
          <w:szCs w:val="20"/>
          <w:lang w:val="es-ES_tradnl"/>
        </w:rPr>
        <w:t>iniciaron e impulsaron las acciones judiciales que se describen a continuación.</w:t>
      </w:r>
    </w:p>
    <w:p w14:paraId="5AA10589" w14:textId="77777777" w:rsidR="00663AAF" w:rsidRPr="00420489" w:rsidRDefault="00663AAF" w:rsidP="00C37FDB">
      <w:pPr>
        <w:rPr>
          <w:rFonts w:asciiTheme="majorHAnsi" w:hAnsiTheme="majorHAnsi"/>
          <w:sz w:val="20"/>
          <w:szCs w:val="20"/>
          <w:lang w:val="es-ES_tradnl"/>
        </w:rPr>
      </w:pPr>
    </w:p>
    <w:p w14:paraId="6E5E456A" w14:textId="22B400D7" w:rsidR="00E40449" w:rsidRPr="00420489" w:rsidRDefault="009D33B2" w:rsidP="00BF339D">
      <w:pPr>
        <w:pStyle w:val="ListParagraph"/>
        <w:numPr>
          <w:ilvl w:val="0"/>
          <w:numId w:val="61"/>
        </w:numPr>
        <w:tabs>
          <w:tab w:val="clear" w:pos="1800"/>
        </w:tabs>
        <w:ind w:left="1440" w:hanging="720"/>
        <w:jc w:val="both"/>
        <w:rPr>
          <w:rFonts w:asciiTheme="majorHAnsi" w:hAnsiTheme="majorHAnsi"/>
          <w:b/>
          <w:sz w:val="20"/>
          <w:szCs w:val="20"/>
          <w:lang w:val="es-VE"/>
        </w:rPr>
      </w:pPr>
      <w:r w:rsidRPr="00420489">
        <w:rPr>
          <w:rFonts w:asciiTheme="majorHAnsi" w:hAnsiTheme="majorHAnsi"/>
          <w:b/>
          <w:sz w:val="20"/>
          <w:szCs w:val="20"/>
          <w:lang w:val="es-VE"/>
        </w:rPr>
        <w:t>Denuncia ante</w:t>
      </w:r>
      <w:r w:rsidR="006B2D8F">
        <w:rPr>
          <w:rFonts w:asciiTheme="majorHAnsi" w:hAnsiTheme="majorHAnsi"/>
          <w:b/>
          <w:sz w:val="20"/>
          <w:szCs w:val="20"/>
          <w:lang w:val="es-VE"/>
        </w:rPr>
        <w:t xml:space="preserve"> </w:t>
      </w:r>
      <w:r w:rsidRPr="00420489">
        <w:rPr>
          <w:rFonts w:asciiTheme="majorHAnsi" w:hAnsiTheme="majorHAnsi"/>
          <w:b/>
          <w:sz w:val="20"/>
          <w:szCs w:val="20"/>
          <w:lang w:val="es-VE"/>
        </w:rPr>
        <w:t xml:space="preserve"> la Defensoría del Pueblo </w:t>
      </w:r>
    </w:p>
    <w:p w14:paraId="3199DBE2" w14:textId="77777777" w:rsidR="00E40449" w:rsidRPr="00420489" w:rsidRDefault="00E40449" w:rsidP="00E40449">
      <w:pPr>
        <w:rPr>
          <w:rFonts w:asciiTheme="majorHAnsi" w:hAnsiTheme="majorHAnsi"/>
          <w:sz w:val="20"/>
          <w:szCs w:val="20"/>
          <w:lang w:val="es-AR"/>
        </w:rPr>
      </w:pPr>
    </w:p>
    <w:p w14:paraId="769547FD" w14:textId="77777777" w:rsidR="004D0F07" w:rsidRPr="00420489" w:rsidRDefault="00BB256D"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420489">
        <w:rPr>
          <w:rFonts w:asciiTheme="majorHAnsi" w:hAnsiTheme="majorHAnsi"/>
          <w:sz w:val="20"/>
          <w:szCs w:val="20"/>
          <w:lang w:val="es-ES_tradnl"/>
        </w:rPr>
        <w:t>El 27 mayo de 2004 Rocío San Miguel</w:t>
      </w:r>
      <w:r w:rsidR="00A67020" w:rsidRPr="00420489">
        <w:rPr>
          <w:rFonts w:asciiTheme="majorHAnsi" w:hAnsiTheme="majorHAnsi"/>
          <w:sz w:val="20"/>
          <w:szCs w:val="20"/>
          <w:lang w:val="es-ES_tradnl"/>
        </w:rPr>
        <w:t xml:space="preserve"> Sosa</w:t>
      </w:r>
      <w:r w:rsidRPr="00420489">
        <w:rPr>
          <w:rFonts w:asciiTheme="majorHAnsi" w:hAnsiTheme="majorHAnsi"/>
          <w:sz w:val="20"/>
          <w:szCs w:val="20"/>
          <w:lang w:val="es-ES_tradnl"/>
        </w:rPr>
        <w:t>,</w:t>
      </w:r>
      <w:r w:rsidR="00BD726E" w:rsidRPr="00420489">
        <w:rPr>
          <w:rFonts w:asciiTheme="majorHAnsi" w:hAnsiTheme="majorHAnsi"/>
          <w:sz w:val="20"/>
          <w:szCs w:val="20"/>
          <w:lang w:val="es-ES_tradnl"/>
        </w:rPr>
        <w:t xml:space="preserve"> </w:t>
      </w:r>
      <w:proofErr w:type="spellStart"/>
      <w:r w:rsidR="00BD726E" w:rsidRPr="00420489">
        <w:rPr>
          <w:rFonts w:asciiTheme="majorHAnsi" w:hAnsiTheme="majorHAnsi"/>
          <w:sz w:val="20"/>
          <w:szCs w:val="20"/>
          <w:lang w:val="es-ES_tradnl"/>
        </w:rPr>
        <w:t>Magally</w:t>
      </w:r>
      <w:proofErr w:type="spellEnd"/>
      <w:r w:rsidR="00BD726E" w:rsidRPr="00420489">
        <w:rPr>
          <w:rFonts w:asciiTheme="majorHAnsi" w:hAnsiTheme="majorHAnsi"/>
          <w:sz w:val="20"/>
          <w:szCs w:val="20"/>
          <w:lang w:val="es-ES_tradnl"/>
        </w:rPr>
        <w:t xml:space="preserve"> Chang Gir</w:t>
      </w:r>
      <w:r w:rsidR="003034CE" w:rsidRPr="00420489">
        <w:rPr>
          <w:rFonts w:asciiTheme="majorHAnsi" w:hAnsiTheme="majorHAnsi"/>
          <w:sz w:val="20"/>
          <w:szCs w:val="20"/>
          <w:lang w:val="es-ES_tradnl"/>
        </w:rPr>
        <w:t>ón</w:t>
      </w:r>
      <w:r w:rsidR="005342C2" w:rsidRPr="00420489">
        <w:rPr>
          <w:rFonts w:asciiTheme="majorHAnsi" w:hAnsiTheme="majorHAnsi"/>
          <w:sz w:val="20"/>
          <w:szCs w:val="20"/>
          <w:lang w:val="es-ES_tradnl"/>
        </w:rPr>
        <w:t xml:space="preserve"> y</w:t>
      </w:r>
      <w:r w:rsidR="00FA57A0" w:rsidRPr="00420489">
        <w:rPr>
          <w:rFonts w:asciiTheme="majorHAnsi" w:hAnsiTheme="majorHAnsi"/>
          <w:sz w:val="20"/>
          <w:szCs w:val="20"/>
          <w:lang w:val="es-ES_tradnl"/>
        </w:rPr>
        <w:t xml:space="preserve"> </w:t>
      </w:r>
      <w:r w:rsidR="00BD726E" w:rsidRPr="00420489">
        <w:rPr>
          <w:rFonts w:asciiTheme="majorHAnsi" w:hAnsiTheme="majorHAnsi"/>
          <w:sz w:val="20"/>
          <w:szCs w:val="20"/>
          <w:lang w:val="es-ES_tradnl"/>
        </w:rPr>
        <w:t>Thais</w:t>
      </w:r>
      <w:r w:rsidR="00A67020" w:rsidRPr="00420489">
        <w:rPr>
          <w:rFonts w:asciiTheme="majorHAnsi" w:hAnsiTheme="majorHAnsi"/>
          <w:sz w:val="20"/>
          <w:szCs w:val="20"/>
          <w:lang w:val="es-ES_tradnl"/>
        </w:rPr>
        <w:t xml:space="preserve"> Coromoto</w:t>
      </w:r>
      <w:r w:rsidR="00BD726E" w:rsidRPr="00420489">
        <w:rPr>
          <w:rFonts w:asciiTheme="majorHAnsi" w:hAnsiTheme="majorHAnsi"/>
          <w:sz w:val="20"/>
          <w:szCs w:val="20"/>
          <w:lang w:val="es-ES_tradnl"/>
        </w:rPr>
        <w:t xml:space="preserve"> Peña, interpusieron denuncia ante la Defensor</w:t>
      </w:r>
      <w:r w:rsidR="0082785F" w:rsidRPr="00420489">
        <w:rPr>
          <w:rFonts w:asciiTheme="majorHAnsi" w:hAnsiTheme="majorHAnsi"/>
          <w:sz w:val="20"/>
          <w:szCs w:val="20"/>
          <w:lang w:val="es-ES_tradnl"/>
        </w:rPr>
        <w:t xml:space="preserve">ía del Pueblo, </w:t>
      </w:r>
      <w:r w:rsidR="003034CE" w:rsidRPr="00420489">
        <w:rPr>
          <w:rFonts w:asciiTheme="majorHAnsi" w:hAnsiTheme="majorHAnsi"/>
          <w:sz w:val="20"/>
          <w:szCs w:val="20"/>
          <w:lang w:val="es-ES_tradnl"/>
        </w:rPr>
        <w:t xml:space="preserve">alegando </w:t>
      </w:r>
      <w:r w:rsidR="00F458B4" w:rsidRPr="00420489">
        <w:rPr>
          <w:rFonts w:asciiTheme="majorHAnsi" w:hAnsiTheme="majorHAnsi"/>
          <w:sz w:val="20"/>
          <w:szCs w:val="20"/>
          <w:lang w:val="es-ES_tradnl"/>
        </w:rPr>
        <w:t>despido injustificado</w:t>
      </w:r>
      <w:r w:rsidR="009503D9" w:rsidRPr="00420489">
        <w:rPr>
          <w:rFonts w:asciiTheme="majorHAnsi" w:hAnsiTheme="majorHAnsi"/>
          <w:sz w:val="20"/>
          <w:szCs w:val="20"/>
          <w:lang w:val="es-ES_tradnl"/>
        </w:rPr>
        <w:t xml:space="preserve"> y discriminatorio</w:t>
      </w:r>
      <w:r w:rsidR="00F458B4" w:rsidRPr="00420489">
        <w:rPr>
          <w:rFonts w:asciiTheme="majorHAnsi" w:hAnsiTheme="majorHAnsi"/>
          <w:sz w:val="20"/>
          <w:szCs w:val="20"/>
          <w:lang w:val="es-ES_tradnl"/>
        </w:rPr>
        <w:t xml:space="preserve"> del Consejo Nacional de </w:t>
      </w:r>
      <w:r w:rsidR="009503D9" w:rsidRPr="00420489">
        <w:rPr>
          <w:rFonts w:asciiTheme="majorHAnsi" w:hAnsiTheme="majorHAnsi"/>
          <w:sz w:val="20"/>
          <w:szCs w:val="20"/>
          <w:lang w:val="es-ES_tradnl"/>
        </w:rPr>
        <w:t xml:space="preserve">Fronteras, ejercido </w:t>
      </w:r>
      <w:r w:rsidR="00F458B4" w:rsidRPr="00420489">
        <w:rPr>
          <w:rFonts w:asciiTheme="majorHAnsi" w:hAnsiTheme="majorHAnsi"/>
          <w:sz w:val="20"/>
          <w:szCs w:val="20"/>
          <w:lang w:val="es-ES_tradnl"/>
        </w:rPr>
        <w:t>como represalia a sus firmas en la solicitud de referendo revocatorio presidencial</w:t>
      </w:r>
      <w:r w:rsidR="00BD726E" w:rsidRPr="00420489">
        <w:rPr>
          <w:rFonts w:asciiTheme="majorHAnsi" w:hAnsiTheme="majorHAnsi"/>
          <w:sz w:val="20"/>
          <w:szCs w:val="20"/>
          <w:vertAlign w:val="superscript"/>
          <w:lang w:val="es-ES_tradnl"/>
        </w:rPr>
        <w:footnoteReference w:id="96"/>
      </w:r>
      <w:r w:rsidR="00F458B4" w:rsidRPr="00420489">
        <w:rPr>
          <w:rFonts w:asciiTheme="majorHAnsi" w:hAnsiTheme="majorHAnsi"/>
          <w:sz w:val="20"/>
          <w:szCs w:val="20"/>
          <w:lang w:val="es-ES_tradnl"/>
        </w:rPr>
        <w:t>.</w:t>
      </w:r>
      <w:r w:rsidR="00C3530F" w:rsidRPr="00420489">
        <w:rPr>
          <w:rFonts w:asciiTheme="majorHAnsi" w:hAnsiTheme="majorHAnsi"/>
          <w:sz w:val="20"/>
          <w:szCs w:val="20"/>
          <w:lang w:val="es-ES_tradnl"/>
        </w:rPr>
        <w:t xml:space="preserve">  El 29 de junio de 2004 la Defensoría Delegada del Área Metropolitana de Caracas </w:t>
      </w:r>
      <w:r w:rsidR="007032B2" w:rsidRPr="00420489">
        <w:rPr>
          <w:rFonts w:asciiTheme="majorHAnsi" w:hAnsiTheme="majorHAnsi"/>
          <w:sz w:val="20"/>
          <w:szCs w:val="20"/>
          <w:lang w:val="es-ES_tradnl"/>
        </w:rPr>
        <w:t>dict</w:t>
      </w:r>
      <w:r w:rsidR="00053D00" w:rsidRPr="00420489">
        <w:rPr>
          <w:rFonts w:asciiTheme="majorHAnsi" w:hAnsiTheme="majorHAnsi"/>
          <w:sz w:val="20"/>
          <w:szCs w:val="20"/>
          <w:lang w:val="es-ES_tradnl"/>
        </w:rPr>
        <w:t>ó</w:t>
      </w:r>
      <w:r w:rsidR="007032B2" w:rsidRPr="00420489">
        <w:rPr>
          <w:rFonts w:asciiTheme="majorHAnsi" w:hAnsiTheme="majorHAnsi"/>
          <w:sz w:val="20"/>
          <w:szCs w:val="20"/>
          <w:lang w:val="es-ES_tradnl"/>
        </w:rPr>
        <w:t xml:space="preserve"> auto admitiendo la denuncia y ordenando la realización de todas las diligencias necesarias para investigar los hechos denunciados</w:t>
      </w:r>
      <w:r w:rsidR="007032B2" w:rsidRPr="00420489">
        <w:rPr>
          <w:rFonts w:asciiTheme="majorHAnsi" w:hAnsiTheme="majorHAnsi"/>
          <w:sz w:val="20"/>
          <w:szCs w:val="20"/>
          <w:vertAlign w:val="superscript"/>
          <w:lang w:val="es-ES_tradnl"/>
        </w:rPr>
        <w:footnoteReference w:id="97"/>
      </w:r>
      <w:r w:rsidR="00597D4B" w:rsidRPr="00420489">
        <w:rPr>
          <w:rFonts w:asciiTheme="majorHAnsi" w:hAnsiTheme="majorHAnsi"/>
          <w:sz w:val="20"/>
          <w:szCs w:val="20"/>
          <w:lang w:val="es-ES_tradnl"/>
        </w:rPr>
        <w:t>.</w:t>
      </w:r>
    </w:p>
    <w:p w14:paraId="57F79B69" w14:textId="77777777" w:rsidR="004D0F07" w:rsidRPr="00420489" w:rsidRDefault="004D0F07" w:rsidP="004D0F07">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_tradnl"/>
        </w:rPr>
      </w:pPr>
    </w:p>
    <w:p w14:paraId="5111F791" w14:textId="18A8D8A5" w:rsidR="00597D4B" w:rsidRPr="00420489" w:rsidRDefault="00597D4B"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420489">
        <w:rPr>
          <w:rFonts w:asciiTheme="majorHAnsi" w:hAnsiTheme="majorHAnsi"/>
          <w:sz w:val="20"/>
          <w:szCs w:val="20"/>
          <w:lang w:val="es-VE"/>
        </w:rPr>
        <w:t xml:space="preserve">El 16 de julio de 2004 </w:t>
      </w:r>
      <w:r w:rsidR="009503D9" w:rsidRPr="00420489">
        <w:rPr>
          <w:rFonts w:asciiTheme="majorHAnsi" w:hAnsiTheme="majorHAnsi"/>
          <w:sz w:val="20"/>
          <w:szCs w:val="20"/>
          <w:lang w:val="es-VE"/>
        </w:rPr>
        <w:t xml:space="preserve">el Coordinador de Servicios Jurídicos de la Defensoría del Pueblo </w:t>
      </w:r>
      <w:r w:rsidR="00B53AD5" w:rsidRPr="00420489">
        <w:rPr>
          <w:rFonts w:asciiTheme="majorHAnsi" w:hAnsiTheme="majorHAnsi"/>
          <w:sz w:val="20"/>
          <w:szCs w:val="20"/>
          <w:lang w:val="es-VE"/>
        </w:rPr>
        <w:t>emitió un informe indicando que no era posible probar lo indicado por las ciudadanas  Rocío San Miguel</w:t>
      </w:r>
      <w:r w:rsidR="00A67020" w:rsidRPr="00420489">
        <w:rPr>
          <w:rFonts w:asciiTheme="majorHAnsi" w:hAnsiTheme="majorHAnsi"/>
          <w:sz w:val="20"/>
          <w:szCs w:val="20"/>
          <w:lang w:val="es-VE"/>
        </w:rPr>
        <w:t xml:space="preserve"> Sosa</w:t>
      </w:r>
      <w:r w:rsidR="00B53AD5" w:rsidRPr="00420489">
        <w:rPr>
          <w:rFonts w:asciiTheme="majorHAnsi" w:hAnsiTheme="majorHAnsi"/>
          <w:sz w:val="20"/>
          <w:szCs w:val="20"/>
          <w:lang w:val="es-VE"/>
        </w:rPr>
        <w:t xml:space="preserve">, </w:t>
      </w:r>
      <w:proofErr w:type="spellStart"/>
      <w:r w:rsidR="00B53AD5" w:rsidRPr="00420489">
        <w:rPr>
          <w:rFonts w:asciiTheme="majorHAnsi" w:hAnsiTheme="majorHAnsi"/>
          <w:sz w:val="20"/>
          <w:szCs w:val="20"/>
          <w:lang w:val="es-VE"/>
        </w:rPr>
        <w:t>Magal</w:t>
      </w:r>
      <w:r w:rsidR="003F4220">
        <w:rPr>
          <w:rFonts w:asciiTheme="majorHAnsi" w:hAnsiTheme="majorHAnsi"/>
          <w:sz w:val="20"/>
          <w:szCs w:val="20"/>
          <w:lang w:val="es-VE"/>
        </w:rPr>
        <w:t>ly</w:t>
      </w:r>
      <w:proofErr w:type="spellEnd"/>
      <w:r w:rsidR="00B53AD5" w:rsidRPr="00420489">
        <w:rPr>
          <w:rFonts w:asciiTheme="majorHAnsi" w:hAnsiTheme="majorHAnsi"/>
          <w:sz w:val="20"/>
          <w:szCs w:val="20"/>
          <w:lang w:val="es-VE"/>
        </w:rPr>
        <w:t xml:space="preserve"> Chang Girón y </w:t>
      </w:r>
      <w:r w:rsidR="00DE610F" w:rsidRPr="00420489">
        <w:rPr>
          <w:rFonts w:asciiTheme="majorHAnsi" w:hAnsiTheme="majorHAnsi"/>
          <w:sz w:val="20"/>
          <w:szCs w:val="20"/>
          <w:lang w:val="es-VE"/>
        </w:rPr>
        <w:t>Thais</w:t>
      </w:r>
      <w:r w:rsidR="00B53AD5" w:rsidRPr="00420489">
        <w:rPr>
          <w:rFonts w:asciiTheme="majorHAnsi" w:hAnsiTheme="majorHAnsi"/>
          <w:sz w:val="20"/>
          <w:szCs w:val="20"/>
          <w:lang w:val="es-VE"/>
        </w:rPr>
        <w:t xml:space="preserve"> </w:t>
      </w:r>
      <w:r w:rsidR="00BF3DF6" w:rsidRPr="00420489">
        <w:rPr>
          <w:rFonts w:asciiTheme="majorHAnsi" w:hAnsiTheme="majorHAnsi"/>
          <w:sz w:val="20"/>
          <w:szCs w:val="20"/>
          <w:lang w:val="es-VE"/>
        </w:rPr>
        <w:t xml:space="preserve">Coromoto Peña en el sentido de que fueron objeto de un acto discriminatorio por parte </w:t>
      </w:r>
      <w:r w:rsidR="00BF3DF6" w:rsidRPr="00420489">
        <w:rPr>
          <w:rFonts w:asciiTheme="majorHAnsi" w:hAnsiTheme="majorHAnsi"/>
          <w:sz w:val="20"/>
          <w:szCs w:val="20"/>
          <w:lang w:val="es-VE"/>
        </w:rPr>
        <w:lastRenderedPageBreak/>
        <w:t>del Consejo Nacional de Fronteras, al ser despedidas de sus respectivos cargos en virtud de haber firmado la solicitud de referéndum revocatorio presidencial</w:t>
      </w:r>
      <w:r w:rsidR="00DE610F" w:rsidRPr="00420489">
        <w:rPr>
          <w:rStyle w:val="FootnoteReference"/>
          <w:rFonts w:asciiTheme="majorHAnsi" w:hAnsiTheme="majorHAnsi"/>
          <w:sz w:val="20"/>
          <w:szCs w:val="20"/>
          <w:lang w:val="es-ES"/>
        </w:rPr>
        <w:footnoteReference w:id="98"/>
      </w:r>
      <w:r w:rsidR="00BF3DF6" w:rsidRPr="00420489">
        <w:rPr>
          <w:rFonts w:asciiTheme="majorHAnsi" w:hAnsiTheme="majorHAnsi"/>
          <w:sz w:val="20"/>
          <w:szCs w:val="20"/>
          <w:lang w:val="es-VE"/>
        </w:rPr>
        <w:t>.  El informe señala que</w:t>
      </w:r>
      <w:r w:rsidR="00077E68" w:rsidRPr="00420489">
        <w:rPr>
          <w:rFonts w:asciiTheme="majorHAnsi" w:hAnsiTheme="majorHAnsi"/>
          <w:sz w:val="20"/>
          <w:szCs w:val="20"/>
          <w:lang w:val="es-VE"/>
        </w:rPr>
        <w:t>:</w:t>
      </w:r>
      <w:r w:rsidR="00BF3DF6" w:rsidRPr="00420489">
        <w:rPr>
          <w:rFonts w:asciiTheme="majorHAnsi" w:hAnsiTheme="majorHAnsi"/>
          <w:sz w:val="20"/>
          <w:szCs w:val="20"/>
          <w:lang w:val="es-VE"/>
        </w:rPr>
        <w:t xml:space="preserve"> </w:t>
      </w:r>
    </w:p>
    <w:p w14:paraId="39534926" w14:textId="77777777" w:rsidR="00BF3DF6" w:rsidRPr="00420489" w:rsidRDefault="00BF3DF6" w:rsidP="00BF3DF6">
      <w:pPr>
        <w:pStyle w:val="ListParagraph"/>
        <w:rPr>
          <w:rFonts w:asciiTheme="majorHAnsi" w:hAnsiTheme="majorHAnsi"/>
          <w:sz w:val="20"/>
          <w:szCs w:val="20"/>
          <w:lang w:val="es-VE"/>
        </w:rPr>
      </w:pPr>
    </w:p>
    <w:p w14:paraId="4B29F79E" w14:textId="77777777" w:rsidR="00BB256D" w:rsidRPr="00420489" w:rsidRDefault="00BF3DF6" w:rsidP="00FA46DA">
      <w:pPr>
        <w:ind w:left="720" w:right="720"/>
        <w:jc w:val="both"/>
        <w:rPr>
          <w:rFonts w:asciiTheme="majorHAnsi" w:hAnsiTheme="majorHAnsi"/>
          <w:sz w:val="20"/>
          <w:szCs w:val="20"/>
          <w:lang w:val="es-ES"/>
        </w:rPr>
      </w:pPr>
      <w:r w:rsidRPr="00420489">
        <w:rPr>
          <w:rFonts w:asciiTheme="majorHAnsi" w:hAnsiTheme="majorHAnsi"/>
          <w:sz w:val="20"/>
          <w:szCs w:val="20"/>
          <w:lang w:val="es-ES"/>
        </w:rPr>
        <w:t>Nos encontramos ante el dicho no probado de las accionantes, contra la demostración fáctica de las potestades discrecionales de la administración actuante. Tal actuación, a todas luces, resulta insu</w:t>
      </w:r>
      <w:r w:rsidR="008140C5" w:rsidRPr="00420489">
        <w:rPr>
          <w:rFonts w:asciiTheme="majorHAnsi" w:hAnsiTheme="majorHAnsi"/>
          <w:sz w:val="20"/>
          <w:szCs w:val="20"/>
          <w:lang w:val="es-ES"/>
        </w:rPr>
        <w:t>ficiente para probar que la causa del despido de las ciudadanas peticionarias sean motivos políticos y relativos a la participación ciudadana</w:t>
      </w:r>
      <w:r w:rsidR="00BE025B" w:rsidRPr="00420489">
        <w:rPr>
          <w:rStyle w:val="FootnoteReference"/>
          <w:rFonts w:asciiTheme="majorHAnsi" w:hAnsiTheme="majorHAnsi"/>
          <w:sz w:val="20"/>
          <w:szCs w:val="20"/>
          <w:lang w:val="es-ES"/>
        </w:rPr>
        <w:footnoteReference w:id="99"/>
      </w:r>
      <w:r w:rsidR="008140C5" w:rsidRPr="00420489">
        <w:rPr>
          <w:rFonts w:asciiTheme="majorHAnsi" w:hAnsiTheme="majorHAnsi"/>
          <w:sz w:val="20"/>
          <w:szCs w:val="20"/>
          <w:lang w:val="es-ES"/>
        </w:rPr>
        <w:t xml:space="preserve">. </w:t>
      </w:r>
      <w:r w:rsidRPr="00420489">
        <w:rPr>
          <w:rFonts w:asciiTheme="majorHAnsi" w:hAnsiTheme="majorHAnsi"/>
          <w:sz w:val="20"/>
          <w:szCs w:val="20"/>
          <w:lang w:val="es-ES"/>
        </w:rPr>
        <w:t xml:space="preserve"> </w:t>
      </w:r>
    </w:p>
    <w:p w14:paraId="240D46CF" w14:textId="77777777" w:rsidR="009D33B2" w:rsidRPr="00420489" w:rsidRDefault="009D33B2" w:rsidP="009D33B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2C6247F2" w14:textId="6FCFE834" w:rsidR="00AD6F41" w:rsidRPr="00420489" w:rsidRDefault="00DE610F"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El 17 d</w:t>
      </w:r>
      <w:r w:rsidR="003E51BF">
        <w:rPr>
          <w:rFonts w:asciiTheme="majorHAnsi" w:hAnsiTheme="majorHAnsi"/>
          <w:sz w:val="20"/>
          <w:szCs w:val="20"/>
          <w:lang w:val="es-VE"/>
        </w:rPr>
        <w:t>e agosto de 2004 la Defensoría D</w:t>
      </w:r>
      <w:r w:rsidRPr="00420489">
        <w:rPr>
          <w:rFonts w:asciiTheme="majorHAnsi" w:hAnsiTheme="majorHAnsi"/>
          <w:sz w:val="20"/>
          <w:szCs w:val="20"/>
          <w:lang w:val="es-VE"/>
        </w:rPr>
        <w:t>elegada del Área Metropolitana</w:t>
      </w:r>
      <w:r w:rsidR="00AD6F41" w:rsidRPr="00420489">
        <w:rPr>
          <w:rFonts w:asciiTheme="majorHAnsi" w:hAnsiTheme="majorHAnsi"/>
          <w:sz w:val="20"/>
          <w:szCs w:val="20"/>
          <w:lang w:val="es-VE"/>
        </w:rPr>
        <w:t xml:space="preserve"> de Caracas decidió archivar la denuncia al estimar que no resulta probado que la administración haya actuado con abuso de poder, sino solamente se evidencia que se hizo uso del derecho contractual a rescindir los contratos contenido en la cláusula séptima de los mismos</w:t>
      </w:r>
      <w:r w:rsidR="00FA46DA" w:rsidRPr="00420489">
        <w:rPr>
          <w:rFonts w:asciiTheme="majorHAnsi" w:hAnsiTheme="majorHAnsi"/>
          <w:sz w:val="20"/>
          <w:szCs w:val="20"/>
          <w:vertAlign w:val="superscript"/>
          <w:lang w:val="es-VE"/>
        </w:rPr>
        <w:footnoteReference w:id="100"/>
      </w:r>
      <w:r w:rsidR="00AD6F41" w:rsidRPr="00420489">
        <w:rPr>
          <w:rFonts w:asciiTheme="majorHAnsi" w:hAnsiTheme="majorHAnsi"/>
          <w:sz w:val="20"/>
          <w:szCs w:val="20"/>
          <w:lang w:val="es-VE"/>
        </w:rPr>
        <w:t xml:space="preserve">. </w:t>
      </w:r>
    </w:p>
    <w:p w14:paraId="516ED319" w14:textId="77777777" w:rsidR="00DE610F" w:rsidRPr="00420489" w:rsidRDefault="00DE610F" w:rsidP="004D0F07">
      <w:pPr>
        <w:jc w:val="both"/>
        <w:rPr>
          <w:rFonts w:asciiTheme="majorHAnsi" w:hAnsiTheme="majorHAnsi"/>
          <w:b/>
          <w:sz w:val="20"/>
          <w:szCs w:val="20"/>
          <w:lang w:val="es-VE"/>
        </w:rPr>
      </w:pPr>
    </w:p>
    <w:bookmarkEnd w:id="32"/>
    <w:p w14:paraId="23A54B2A" w14:textId="77777777" w:rsidR="00E40449" w:rsidRPr="00420489" w:rsidRDefault="009D33B2" w:rsidP="00BF339D">
      <w:pPr>
        <w:pStyle w:val="ListParagraph"/>
        <w:numPr>
          <w:ilvl w:val="0"/>
          <w:numId w:val="61"/>
        </w:numPr>
        <w:tabs>
          <w:tab w:val="clear" w:pos="1800"/>
        </w:tabs>
        <w:ind w:left="1440" w:hanging="720"/>
        <w:jc w:val="both"/>
        <w:rPr>
          <w:rFonts w:asciiTheme="majorHAnsi" w:hAnsiTheme="majorHAnsi"/>
          <w:b/>
          <w:sz w:val="20"/>
          <w:szCs w:val="20"/>
          <w:lang w:val="es-VE"/>
        </w:rPr>
      </w:pPr>
      <w:r w:rsidRPr="00420489">
        <w:rPr>
          <w:rFonts w:asciiTheme="majorHAnsi" w:hAnsiTheme="majorHAnsi"/>
          <w:b/>
          <w:sz w:val="20"/>
          <w:szCs w:val="20"/>
          <w:lang w:val="es-VE"/>
        </w:rPr>
        <w:t>Recurso de amparo constitucional</w:t>
      </w:r>
      <w:r w:rsidR="00E40449" w:rsidRPr="00420489">
        <w:rPr>
          <w:rFonts w:asciiTheme="majorHAnsi" w:hAnsiTheme="majorHAnsi"/>
          <w:b/>
          <w:sz w:val="20"/>
          <w:szCs w:val="20"/>
          <w:lang w:val="es-VE"/>
        </w:rPr>
        <w:t xml:space="preserve"> </w:t>
      </w:r>
      <w:r w:rsidR="00E404DA" w:rsidRPr="00420489">
        <w:rPr>
          <w:rFonts w:asciiTheme="majorHAnsi" w:hAnsiTheme="majorHAnsi"/>
          <w:b/>
          <w:sz w:val="20"/>
          <w:szCs w:val="20"/>
          <w:lang w:val="es-VE"/>
        </w:rPr>
        <w:t xml:space="preserve">ante jurisdicción laboral </w:t>
      </w:r>
    </w:p>
    <w:p w14:paraId="17413F03" w14:textId="77777777" w:rsidR="00E404DA" w:rsidRPr="00420489" w:rsidRDefault="00E404DA" w:rsidP="00E404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3D1B04C5" w14:textId="77777777" w:rsidR="004D0F07" w:rsidRPr="00420489" w:rsidRDefault="00E404DA"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El </w:t>
      </w:r>
      <w:r w:rsidR="003F1A19" w:rsidRPr="00420489">
        <w:rPr>
          <w:rFonts w:asciiTheme="majorHAnsi" w:hAnsiTheme="majorHAnsi"/>
          <w:sz w:val="20"/>
          <w:szCs w:val="20"/>
          <w:lang w:val="es-VE"/>
        </w:rPr>
        <w:t xml:space="preserve">22 de julio de 2004 </w:t>
      </w:r>
      <w:r w:rsidR="00627303" w:rsidRPr="00420489">
        <w:rPr>
          <w:rFonts w:asciiTheme="majorHAnsi" w:hAnsiTheme="majorHAnsi"/>
          <w:sz w:val="20"/>
          <w:szCs w:val="20"/>
          <w:lang w:val="es-VE"/>
        </w:rPr>
        <w:t xml:space="preserve">las presuntas víctimas interpusieron amparo constitucional ante la jurisdicción laboral contra el Consejo Nacional de Fronteras </w:t>
      </w:r>
      <w:r w:rsidR="00496351" w:rsidRPr="00420489">
        <w:rPr>
          <w:rFonts w:asciiTheme="majorHAnsi" w:hAnsiTheme="majorHAnsi"/>
          <w:sz w:val="20"/>
          <w:szCs w:val="20"/>
          <w:lang w:val="es-VE"/>
        </w:rPr>
        <w:t xml:space="preserve">argumentando que fueron objeto de discriminación laboral </w:t>
      </w:r>
      <w:r w:rsidR="006A75AD" w:rsidRPr="00420489">
        <w:rPr>
          <w:rFonts w:asciiTheme="majorHAnsi" w:hAnsiTheme="majorHAnsi"/>
          <w:sz w:val="20"/>
          <w:szCs w:val="20"/>
          <w:lang w:val="es-VE"/>
        </w:rPr>
        <w:t>al ser despedidas como consecuencia de su firma en la solicitud de referendo revocatorio presidencial</w:t>
      </w:r>
      <w:r w:rsidR="003F1A19" w:rsidRPr="00420489">
        <w:rPr>
          <w:rFonts w:asciiTheme="majorHAnsi" w:hAnsiTheme="majorHAnsi"/>
          <w:sz w:val="20"/>
          <w:szCs w:val="20"/>
          <w:vertAlign w:val="superscript"/>
          <w:lang w:val="es-VE"/>
        </w:rPr>
        <w:footnoteReference w:id="101"/>
      </w:r>
      <w:r w:rsidR="006A75AD" w:rsidRPr="00420489">
        <w:rPr>
          <w:rFonts w:asciiTheme="majorHAnsi" w:hAnsiTheme="majorHAnsi"/>
          <w:sz w:val="20"/>
          <w:szCs w:val="20"/>
          <w:lang w:val="es-VE"/>
        </w:rPr>
        <w:t xml:space="preserve">. </w:t>
      </w:r>
    </w:p>
    <w:p w14:paraId="5092D9A0" w14:textId="77777777" w:rsidR="004D0F07" w:rsidRPr="00420489" w:rsidRDefault="004D0F07" w:rsidP="004D0F07">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VE"/>
        </w:rPr>
      </w:pPr>
    </w:p>
    <w:p w14:paraId="2CB3A3B8" w14:textId="63E48DE0" w:rsidR="004D0F07" w:rsidRPr="00420489" w:rsidRDefault="00BE3D72"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El 4 de agosto de 2004 </w:t>
      </w:r>
      <w:r w:rsidR="000B08E4" w:rsidRPr="00420489">
        <w:rPr>
          <w:rFonts w:asciiTheme="majorHAnsi" w:hAnsiTheme="majorHAnsi"/>
          <w:sz w:val="20"/>
          <w:szCs w:val="20"/>
          <w:lang w:val="es-VE"/>
        </w:rPr>
        <w:t xml:space="preserve">el Juzgado Cuarto de Primera Instancia de Juicio del Circuito Judicial del Trabajo </w:t>
      </w:r>
      <w:r w:rsidR="00657E2F" w:rsidRPr="00420489">
        <w:rPr>
          <w:rFonts w:asciiTheme="majorHAnsi" w:hAnsiTheme="majorHAnsi"/>
          <w:sz w:val="20"/>
          <w:szCs w:val="20"/>
          <w:lang w:val="es-VE"/>
        </w:rPr>
        <w:t>se declaró incompetente para conocer de la acción de amparo, al estimar que el conocimiento del caso corresponde a la Sala Constitucional del Tribunal Supremo de Justici</w:t>
      </w:r>
      <w:r w:rsidR="00702DBC">
        <w:rPr>
          <w:rFonts w:asciiTheme="majorHAnsi" w:hAnsiTheme="majorHAnsi"/>
          <w:sz w:val="20"/>
          <w:szCs w:val="20"/>
          <w:lang w:val="es-VE"/>
        </w:rPr>
        <w:t>a</w:t>
      </w:r>
      <w:r w:rsidR="00657E2F" w:rsidRPr="00420489">
        <w:rPr>
          <w:rFonts w:asciiTheme="majorHAnsi" w:hAnsiTheme="majorHAnsi"/>
          <w:sz w:val="20"/>
          <w:szCs w:val="20"/>
          <w:lang w:val="es-VE"/>
        </w:rPr>
        <w:t>, toda vez que el Presidente del Consejo Nacional de Fronteras también se desempeñaba para la fecha como Ministro de Relaciones Exteriores, por lo que se trata de un alto funcionario conforme lo dispone el artículo 8 de la Ley Orgánica de Amparo sobre Derechos y Garantías Constitucionales</w:t>
      </w:r>
      <w:r w:rsidR="00657E2F" w:rsidRPr="00420489">
        <w:rPr>
          <w:rStyle w:val="FootnoteReference"/>
          <w:rFonts w:asciiTheme="majorHAnsi" w:hAnsiTheme="majorHAnsi"/>
          <w:sz w:val="20"/>
          <w:szCs w:val="20"/>
          <w:lang w:val="es-VE"/>
        </w:rPr>
        <w:footnoteReference w:id="102"/>
      </w:r>
      <w:r w:rsidR="000B15F9" w:rsidRPr="00420489">
        <w:rPr>
          <w:rFonts w:asciiTheme="majorHAnsi" w:hAnsiTheme="majorHAnsi"/>
          <w:sz w:val="20"/>
          <w:szCs w:val="20"/>
          <w:lang w:val="es-VE"/>
        </w:rPr>
        <w:t>.</w:t>
      </w:r>
    </w:p>
    <w:p w14:paraId="029CA676" w14:textId="77777777" w:rsidR="004D0F07" w:rsidRPr="00420489" w:rsidRDefault="004D0F07" w:rsidP="004D0F07">
      <w:pPr>
        <w:pStyle w:val="ListParagraph"/>
        <w:rPr>
          <w:rFonts w:asciiTheme="majorHAnsi" w:hAnsiTheme="majorHAnsi"/>
          <w:sz w:val="20"/>
          <w:szCs w:val="20"/>
          <w:lang w:val="es-VE"/>
        </w:rPr>
      </w:pPr>
    </w:p>
    <w:p w14:paraId="4EAA9D76" w14:textId="77777777" w:rsidR="004D0F07" w:rsidRPr="00420489" w:rsidRDefault="00D34EC4"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El 23 de </w:t>
      </w:r>
      <w:r w:rsidR="00AA7937" w:rsidRPr="00420489">
        <w:rPr>
          <w:rFonts w:asciiTheme="majorHAnsi" w:hAnsiTheme="majorHAnsi"/>
          <w:sz w:val="20"/>
          <w:szCs w:val="20"/>
          <w:lang w:val="es-VE"/>
        </w:rPr>
        <w:t xml:space="preserve">noviembre </w:t>
      </w:r>
      <w:r w:rsidR="005F12AF" w:rsidRPr="00420489">
        <w:rPr>
          <w:rFonts w:asciiTheme="majorHAnsi" w:hAnsiTheme="majorHAnsi"/>
          <w:sz w:val="20"/>
          <w:szCs w:val="20"/>
          <w:lang w:val="es-VE"/>
        </w:rPr>
        <w:t xml:space="preserve">de 2004 las presuntas víctimas </w:t>
      </w:r>
      <w:r w:rsidRPr="00420489">
        <w:rPr>
          <w:rFonts w:asciiTheme="majorHAnsi" w:hAnsiTheme="majorHAnsi"/>
          <w:sz w:val="20"/>
          <w:szCs w:val="20"/>
          <w:lang w:val="es-VE"/>
        </w:rPr>
        <w:t xml:space="preserve">presentaron </w:t>
      </w:r>
      <w:r w:rsidR="005F12AF" w:rsidRPr="00420489">
        <w:rPr>
          <w:rFonts w:asciiTheme="majorHAnsi" w:hAnsiTheme="majorHAnsi"/>
          <w:sz w:val="20"/>
          <w:szCs w:val="20"/>
          <w:lang w:val="es-VE"/>
        </w:rPr>
        <w:t xml:space="preserve">un </w:t>
      </w:r>
      <w:r w:rsidRPr="00420489">
        <w:rPr>
          <w:rFonts w:asciiTheme="majorHAnsi" w:hAnsiTheme="majorHAnsi"/>
          <w:sz w:val="20"/>
          <w:szCs w:val="20"/>
          <w:lang w:val="es-VE"/>
        </w:rPr>
        <w:t xml:space="preserve">escrito ante la Sala Constitucional del Tribunal </w:t>
      </w:r>
      <w:r w:rsidR="00D64185" w:rsidRPr="00420489">
        <w:rPr>
          <w:rFonts w:asciiTheme="majorHAnsi" w:hAnsiTheme="majorHAnsi"/>
          <w:sz w:val="20"/>
          <w:szCs w:val="20"/>
          <w:lang w:val="es-VE"/>
        </w:rPr>
        <w:t>Supremo de Justicia solicitando que la Sala Constitucional se pronuncie sobre el amparo, pues no se cuenta con una decisión sobre la declinatoria de competencia luego de transcurridos 104 días</w:t>
      </w:r>
      <w:r w:rsidR="00D64185" w:rsidRPr="00420489">
        <w:rPr>
          <w:rStyle w:val="FootnoteReference"/>
          <w:rFonts w:asciiTheme="majorHAnsi" w:hAnsiTheme="majorHAnsi"/>
          <w:sz w:val="20"/>
          <w:szCs w:val="20"/>
          <w:lang w:val="es-VE"/>
        </w:rPr>
        <w:footnoteReference w:id="103"/>
      </w:r>
      <w:r w:rsidR="00D64185" w:rsidRPr="00420489">
        <w:rPr>
          <w:rFonts w:asciiTheme="majorHAnsi" w:hAnsiTheme="majorHAnsi"/>
          <w:sz w:val="20"/>
          <w:szCs w:val="20"/>
          <w:lang w:val="es-VE"/>
        </w:rPr>
        <w:t xml:space="preserve">. </w:t>
      </w:r>
      <w:r w:rsidR="00726EB2" w:rsidRPr="00420489">
        <w:rPr>
          <w:rFonts w:asciiTheme="majorHAnsi" w:hAnsiTheme="majorHAnsi"/>
          <w:sz w:val="20"/>
          <w:szCs w:val="20"/>
          <w:lang w:val="es-VE"/>
        </w:rPr>
        <w:t xml:space="preserve"> Dicha solicitud se reiteró el 3 de febrero de 2005</w:t>
      </w:r>
      <w:r w:rsidR="00726EB2" w:rsidRPr="00420489">
        <w:rPr>
          <w:rStyle w:val="FootnoteReference"/>
          <w:rFonts w:asciiTheme="majorHAnsi" w:hAnsiTheme="majorHAnsi"/>
          <w:sz w:val="20"/>
          <w:szCs w:val="20"/>
          <w:lang w:val="es-VE"/>
        </w:rPr>
        <w:footnoteReference w:id="104"/>
      </w:r>
      <w:r w:rsidR="00726EB2" w:rsidRPr="00420489">
        <w:rPr>
          <w:rFonts w:asciiTheme="majorHAnsi" w:hAnsiTheme="majorHAnsi"/>
          <w:sz w:val="20"/>
          <w:szCs w:val="20"/>
          <w:lang w:val="es-VE"/>
        </w:rPr>
        <w:t>, el 3 de mayo de 2005</w:t>
      </w:r>
      <w:r w:rsidR="00726EB2" w:rsidRPr="00420489">
        <w:rPr>
          <w:rStyle w:val="FootnoteReference"/>
          <w:rFonts w:asciiTheme="majorHAnsi" w:hAnsiTheme="majorHAnsi"/>
          <w:sz w:val="20"/>
          <w:szCs w:val="20"/>
          <w:lang w:val="es-VE"/>
        </w:rPr>
        <w:footnoteReference w:id="105"/>
      </w:r>
      <w:r w:rsidR="00726EB2" w:rsidRPr="00420489">
        <w:rPr>
          <w:rFonts w:asciiTheme="majorHAnsi" w:hAnsiTheme="majorHAnsi"/>
          <w:sz w:val="20"/>
          <w:szCs w:val="20"/>
          <w:lang w:val="es-VE"/>
        </w:rPr>
        <w:t xml:space="preserve"> y el 11 de mayo de 2005</w:t>
      </w:r>
      <w:r w:rsidR="00726EB2" w:rsidRPr="00420489">
        <w:rPr>
          <w:rStyle w:val="FootnoteReference"/>
          <w:rFonts w:asciiTheme="majorHAnsi" w:hAnsiTheme="majorHAnsi"/>
          <w:sz w:val="20"/>
          <w:szCs w:val="20"/>
          <w:lang w:val="es-VE"/>
        </w:rPr>
        <w:footnoteReference w:id="106"/>
      </w:r>
      <w:r w:rsidR="00726EB2" w:rsidRPr="00420489">
        <w:rPr>
          <w:rFonts w:asciiTheme="majorHAnsi" w:hAnsiTheme="majorHAnsi"/>
          <w:sz w:val="20"/>
          <w:szCs w:val="20"/>
          <w:lang w:val="es-VE"/>
        </w:rPr>
        <w:t>.</w:t>
      </w:r>
    </w:p>
    <w:p w14:paraId="0267923D" w14:textId="77777777" w:rsidR="004D0F07" w:rsidRPr="00420489" w:rsidRDefault="004D0F07" w:rsidP="004D0F07">
      <w:pPr>
        <w:pStyle w:val="ListParagraph"/>
        <w:rPr>
          <w:rFonts w:asciiTheme="majorHAnsi" w:hAnsiTheme="majorHAnsi"/>
          <w:sz w:val="20"/>
          <w:szCs w:val="20"/>
          <w:lang w:val="es-VE"/>
        </w:rPr>
      </w:pPr>
    </w:p>
    <w:p w14:paraId="5A61D486" w14:textId="77777777" w:rsidR="004D0F07" w:rsidRPr="00420489" w:rsidRDefault="00DB7AEB" w:rsidP="0091063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420489">
        <w:rPr>
          <w:rFonts w:asciiTheme="majorHAnsi" w:hAnsiTheme="majorHAnsi"/>
          <w:sz w:val="20"/>
          <w:szCs w:val="20"/>
          <w:lang w:val="es-VE"/>
        </w:rPr>
        <w:lastRenderedPageBreak/>
        <w:t xml:space="preserve">El 26 de mayo de 2005 la Sala Constitucional del Tribunal Supremo de Justicia emitió sentencia indicando que no acepta la declinatoria de competencia </w:t>
      </w:r>
      <w:r w:rsidR="00DA0ACA" w:rsidRPr="00420489">
        <w:rPr>
          <w:rFonts w:asciiTheme="majorHAnsi" w:hAnsiTheme="majorHAnsi"/>
          <w:sz w:val="20"/>
          <w:szCs w:val="20"/>
          <w:lang w:val="es-VE"/>
        </w:rPr>
        <w:t xml:space="preserve"> del Juzgado Cuarto de Primera Instancia de Juicio del Circuito Judicial del Trabajo del Área Metropolitana de Caracas </w:t>
      </w:r>
      <w:r w:rsidR="008A4748" w:rsidRPr="00420489">
        <w:rPr>
          <w:rFonts w:asciiTheme="majorHAnsi" w:hAnsiTheme="majorHAnsi"/>
          <w:sz w:val="20"/>
          <w:szCs w:val="20"/>
          <w:lang w:val="es-VE"/>
        </w:rPr>
        <w:t>debido a que en el caso bajo estudio la relación es del tipo patrono-empleado, por lo que el conocimiento del asunto bajo estudio compete a la jurisdicción laboral</w:t>
      </w:r>
      <w:r w:rsidR="008A4748" w:rsidRPr="00420489">
        <w:rPr>
          <w:rStyle w:val="FootnoteReference"/>
          <w:rFonts w:asciiTheme="majorHAnsi" w:hAnsiTheme="majorHAnsi"/>
          <w:sz w:val="20"/>
          <w:szCs w:val="20"/>
          <w:lang w:val="es-VE"/>
        </w:rPr>
        <w:footnoteReference w:id="107"/>
      </w:r>
      <w:r w:rsidR="008A4748" w:rsidRPr="00420489">
        <w:rPr>
          <w:rFonts w:asciiTheme="majorHAnsi" w:hAnsiTheme="majorHAnsi"/>
          <w:sz w:val="20"/>
          <w:szCs w:val="20"/>
          <w:lang w:val="es-VE"/>
        </w:rPr>
        <w:t xml:space="preserve">. </w:t>
      </w:r>
      <w:r w:rsidR="0091063B" w:rsidRPr="00420489">
        <w:rPr>
          <w:rFonts w:asciiTheme="majorHAnsi" w:hAnsiTheme="majorHAnsi"/>
          <w:sz w:val="20"/>
          <w:szCs w:val="20"/>
          <w:lang w:val="es-VE"/>
        </w:rPr>
        <w:t xml:space="preserve"> En virtud de ello, el 17 de junio de 2005 el Tribunal Cuarto de Primera Instancia admitió la acción de amparo</w:t>
      </w:r>
      <w:r w:rsidR="0091063B" w:rsidRPr="00420489">
        <w:rPr>
          <w:rStyle w:val="FootnoteReference"/>
          <w:rFonts w:asciiTheme="majorHAnsi" w:hAnsiTheme="majorHAnsi"/>
          <w:sz w:val="20"/>
          <w:szCs w:val="20"/>
          <w:lang w:val="es-VE"/>
        </w:rPr>
        <w:footnoteReference w:id="108"/>
      </w:r>
      <w:r w:rsidR="0091063B" w:rsidRPr="00420489">
        <w:rPr>
          <w:rFonts w:asciiTheme="majorHAnsi" w:hAnsiTheme="majorHAnsi"/>
          <w:sz w:val="20"/>
          <w:szCs w:val="20"/>
          <w:lang w:val="es-VE"/>
        </w:rPr>
        <w:t xml:space="preserve">.  </w:t>
      </w:r>
    </w:p>
    <w:p w14:paraId="7622F285" w14:textId="77777777" w:rsidR="004D0F07" w:rsidRPr="00420489" w:rsidRDefault="004D0F07" w:rsidP="004D0F07">
      <w:pPr>
        <w:pStyle w:val="ListParagraph"/>
        <w:rPr>
          <w:rFonts w:asciiTheme="majorHAnsi" w:hAnsiTheme="majorHAnsi"/>
          <w:sz w:val="20"/>
          <w:szCs w:val="20"/>
          <w:lang w:val="es-VE"/>
        </w:rPr>
      </w:pPr>
    </w:p>
    <w:p w14:paraId="05ACD0DB" w14:textId="158E68BB" w:rsidR="001B73E2" w:rsidRDefault="004F2EE9" w:rsidP="00F219EA">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El 20 de julio de 2005</w:t>
      </w:r>
      <w:r w:rsidR="00CA4570" w:rsidRPr="00420489">
        <w:rPr>
          <w:rFonts w:asciiTheme="majorHAnsi" w:hAnsiTheme="majorHAnsi"/>
          <w:sz w:val="20"/>
          <w:szCs w:val="20"/>
          <w:lang w:val="es-VE"/>
        </w:rPr>
        <w:t xml:space="preserve"> el Fiscal del Minister</w:t>
      </w:r>
      <w:r w:rsidR="00437E1C" w:rsidRPr="00420489">
        <w:rPr>
          <w:rFonts w:asciiTheme="majorHAnsi" w:hAnsiTheme="majorHAnsi"/>
          <w:sz w:val="20"/>
          <w:szCs w:val="20"/>
          <w:lang w:val="es-VE"/>
        </w:rPr>
        <w:t xml:space="preserve">io Público emitió su opinión </w:t>
      </w:r>
      <w:r w:rsidR="00CA4570" w:rsidRPr="00420489">
        <w:rPr>
          <w:rFonts w:asciiTheme="majorHAnsi" w:hAnsiTheme="majorHAnsi"/>
          <w:sz w:val="20"/>
          <w:szCs w:val="20"/>
          <w:lang w:val="es-VE"/>
        </w:rPr>
        <w:t xml:space="preserve">respecto </w:t>
      </w:r>
      <w:r w:rsidR="00437E1C" w:rsidRPr="00420489">
        <w:rPr>
          <w:rFonts w:asciiTheme="majorHAnsi" w:hAnsiTheme="majorHAnsi"/>
          <w:sz w:val="20"/>
          <w:szCs w:val="20"/>
          <w:lang w:val="es-VE"/>
        </w:rPr>
        <w:t>de</w:t>
      </w:r>
      <w:r w:rsidR="00CA4570" w:rsidRPr="00420489">
        <w:rPr>
          <w:rFonts w:asciiTheme="majorHAnsi" w:hAnsiTheme="majorHAnsi"/>
          <w:sz w:val="20"/>
          <w:szCs w:val="20"/>
          <w:lang w:val="es-VE"/>
        </w:rPr>
        <w:t xml:space="preserve"> la acción de amparo, </w:t>
      </w:r>
      <w:r w:rsidR="00FF1BD8" w:rsidRPr="00420489">
        <w:rPr>
          <w:rFonts w:asciiTheme="majorHAnsi" w:hAnsiTheme="majorHAnsi"/>
          <w:sz w:val="20"/>
          <w:szCs w:val="20"/>
          <w:lang w:val="es-VE"/>
        </w:rPr>
        <w:t>solicitando que la misma se declare inadmisible en virtud de que la vía amparo no</w:t>
      </w:r>
      <w:r w:rsidR="00053D00" w:rsidRPr="00420489">
        <w:rPr>
          <w:rFonts w:asciiTheme="majorHAnsi" w:hAnsiTheme="majorHAnsi"/>
          <w:sz w:val="20"/>
          <w:szCs w:val="20"/>
          <w:lang w:val="es-VE"/>
        </w:rPr>
        <w:t xml:space="preserve"> </w:t>
      </w:r>
      <w:r w:rsidR="00421205">
        <w:rPr>
          <w:rFonts w:asciiTheme="majorHAnsi" w:hAnsiTheme="majorHAnsi"/>
          <w:sz w:val="20"/>
          <w:szCs w:val="20"/>
          <w:lang w:val="es-VE"/>
        </w:rPr>
        <w:t xml:space="preserve">era la vía </w:t>
      </w:r>
      <w:r w:rsidR="00053D00" w:rsidRPr="00420489">
        <w:rPr>
          <w:rFonts w:asciiTheme="majorHAnsi" w:hAnsiTheme="majorHAnsi"/>
          <w:sz w:val="20"/>
          <w:szCs w:val="20"/>
          <w:lang w:val="es-VE"/>
        </w:rPr>
        <w:t xml:space="preserve">idónea </w:t>
      </w:r>
      <w:r w:rsidR="00FF1BD8" w:rsidRPr="00420489">
        <w:rPr>
          <w:rFonts w:asciiTheme="majorHAnsi" w:hAnsiTheme="majorHAnsi"/>
          <w:sz w:val="20"/>
          <w:szCs w:val="20"/>
          <w:lang w:val="es-VE"/>
        </w:rPr>
        <w:t xml:space="preserve">para demostrar si un despido es justificado o no, </w:t>
      </w:r>
      <w:r w:rsidR="00FD44C4" w:rsidRPr="00420489">
        <w:rPr>
          <w:rFonts w:asciiTheme="majorHAnsi" w:hAnsiTheme="majorHAnsi"/>
          <w:sz w:val="20"/>
          <w:szCs w:val="20"/>
          <w:lang w:val="es-VE"/>
        </w:rPr>
        <w:t>además pidieron declarar el amparo sin lugar porque existe una investigación abierta por parte del Ministerio Público y no se ha demostrado en los autos la discriminación política alegada</w:t>
      </w:r>
      <w:r w:rsidR="00FD44C4" w:rsidRPr="00420489">
        <w:rPr>
          <w:rStyle w:val="FootnoteReference"/>
          <w:rFonts w:asciiTheme="majorHAnsi" w:hAnsiTheme="majorHAnsi"/>
          <w:sz w:val="20"/>
          <w:szCs w:val="20"/>
          <w:lang w:val="es-VE"/>
        </w:rPr>
        <w:footnoteReference w:id="109"/>
      </w:r>
      <w:r w:rsidR="00FD44C4" w:rsidRPr="00420489">
        <w:rPr>
          <w:rFonts w:asciiTheme="majorHAnsi" w:hAnsiTheme="majorHAnsi"/>
          <w:sz w:val="20"/>
          <w:szCs w:val="20"/>
          <w:lang w:val="es-VE"/>
        </w:rPr>
        <w:t xml:space="preserve">. </w:t>
      </w:r>
      <w:r w:rsidRPr="00420489">
        <w:rPr>
          <w:rFonts w:asciiTheme="majorHAnsi" w:hAnsiTheme="majorHAnsi"/>
          <w:sz w:val="20"/>
          <w:szCs w:val="20"/>
          <w:lang w:val="es-VE"/>
        </w:rPr>
        <w:t xml:space="preserve"> </w:t>
      </w:r>
      <w:r w:rsidR="00E83682" w:rsidRPr="00420489">
        <w:rPr>
          <w:rFonts w:asciiTheme="majorHAnsi" w:hAnsiTheme="majorHAnsi"/>
          <w:sz w:val="20"/>
          <w:szCs w:val="20"/>
          <w:lang w:val="es-VE"/>
        </w:rPr>
        <w:t>También el 20 de julio de 2005, el Presidente del Consejo Nacional de Fronteras José Vicente Rangel presentó un escrito solicitando que se declare improcedente la acción de amparo por considerar que debió acudirse a la vía ordinaria establecida en la Ley Orgánica Procesal Laboral</w:t>
      </w:r>
      <w:r w:rsidR="00EC271E" w:rsidRPr="00420489">
        <w:rPr>
          <w:rFonts w:asciiTheme="majorHAnsi" w:hAnsiTheme="majorHAnsi"/>
          <w:sz w:val="20"/>
          <w:szCs w:val="20"/>
          <w:lang w:val="es-VE"/>
        </w:rPr>
        <w:t>. También estimó que conforme a la cláusula séptima incluida en los contratos de servicios c</w:t>
      </w:r>
      <w:r w:rsidR="005245C0" w:rsidRPr="00420489">
        <w:rPr>
          <w:rFonts w:asciiTheme="majorHAnsi" w:hAnsiTheme="majorHAnsi"/>
          <w:sz w:val="20"/>
          <w:szCs w:val="20"/>
          <w:lang w:val="es-VE"/>
        </w:rPr>
        <w:t xml:space="preserve">on las tres presuntas víctimas </w:t>
      </w:r>
      <w:r w:rsidR="00EC271E" w:rsidRPr="00420489">
        <w:rPr>
          <w:rFonts w:asciiTheme="majorHAnsi" w:hAnsiTheme="majorHAnsi"/>
          <w:sz w:val="20"/>
          <w:szCs w:val="20"/>
          <w:lang w:val="es-VE"/>
        </w:rPr>
        <w:t>no se necesitaba causa alguna para dar por terminado el contrato, “independientemente que las accionantes cumplieran o no con las responsabilidades que les eran asignadas, ya que con el solo hecho de ejecutarlo tal y como lo hizo, por así permitírselo la cláusula séptima del contrato, era y es suficiente”</w:t>
      </w:r>
      <w:r w:rsidR="00EC271E" w:rsidRPr="00420489">
        <w:rPr>
          <w:rStyle w:val="FootnoteReference"/>
          <w:rFonts w:asciiTheme="majorHAnsi" w:hAnsiTheme="majorHAnsi"/>
          <w:sz w:val="20"/>
          <w:szCs w:val="20"/>
          <w:lang w:val="es-VE"/>
        </w:rPr>
        <w:footnoteReference w:id="110"/>
      </w:r>
      <w:r w:rsidR="00EC271E" w:rsidRPr="00420489">
        <w:rPr>
          <w:rFonts w:asciiTheme="majorHAnsi" w:hAnsiTheme="majorHAnsi"/>
          <w:sz w:val="20"/>
          <w:szCs w:val="20"/>
          <w:lang w:val="es-VE"/>
        </w:rPr>
        <w:t>.</w:t>
      </w:r>
      <w:r w:rsidR="00F219EA" w:rsidRPr="00420489">
        <w:rPr>
          <w:rFonts w:asciiTheme="majorHAnsi" w:hAnsiTheme="majorHAnsi"/>
          <w:sz w:val="20"/>
          <w:szCs w:val="20"/>
          <w:lang w:val="es-VE"/>
        </w:rPr>
        <w:t xml:space="preserve">  </w:t>
      </w:r>
    </w:p>
    <w:p w14:paraId="75025E0B" w14:textId="77777777" w:rsidR="001B73E2" w:rsidRDefault="001B73E2" w:rsidP="001B73E2">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VE"/>
        </w:rPr>
      </w:pPr>
    </w:p>
    <w:p w14:paraId="5C74D076" w14:textId="63FE22A9" w:rsidR="001B73E2" w:rsidRPr="00337D8A" w:rsidRDefault="00F219EA" w:rsidP="00BE3526">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lang w:val="es-VE"/>
        </w:rPr>
      </w:pPr>
      <w:r w:rsidRPr="00420489">
        <w:rPr>
          <w:rFonts w:asciiTheme="majorHAnsi" w:hAnsiTheme="majorHAnsi"/>
          <w:sz w:val="20"/>
          <w:szCs w:val="20"/>
          <w:lang w:val="es-VE"/>
        </w:rPr>
        <w:t>El 20 de julio de 2005 se celebró audiencia constitucional ante el Juzgad</w:t>
      </w:r>
      <w:r w:rsidR="00644D05">
        <w:rPr>
          <w:rFonts w:asciiTheme="majorHAnsi" w:hAnsiTheme="majorHAnsi"/>
          <w:sz w:val="20"/>
          <w:szCs w:val="20"/>
          <w:lang w:val="es-VE"/>
        </w:rPr>
        <w:t>o Cuarto de Primera Instancia</w:t>
      </w:r>
      <w:r w:rsidR="001B73E2">
        <w:rPr>
          <w:rFonts w:asciiTheme="majorHAnsi" w:hAnsiTheme="majorHAnsi"/>
          <w:sz w:val="20"/>
          <w:szCs w:val="20"/>
          <w:lang w:val="es-VE"/>
        </w:rPr>
        <w:t xml:space="preserve">. En el </w:t>
      </w:r>
      <w:r w:rsidR="001B73E2" w:rsidRPr="00337D8A">
        <w:rPr>
          <w:rFonts w:asciiTheme="majorHAnsi" w:hAnsiTheme="majorHAnsi"/>
          <w:sz w:val="20"/>
          <w:szCs w:val="20"/>
          <w:lang w:val="es-VE"/>
        </w:rPr>
        <w:t>marco de dicha audiencia las presuntas víctimas solicitaron incorporar al expediente la grabación de conversaciones contenidas en una cinta</w:t>
      </w:r>
      <w:r w:rsidR="00E100AC" w:rsidRPr="00337D8A">
        <w:rPr>
          <w:rFonts w:asciiTheme="majorHAnsi" w:hAnsiTheme="majorHAnsi"/>
          <w:sz w:val="20"/>
          <w:szCs w:val="20"/>
          <w:lang w:val="es-VE"/>
        </w:rPr>
        <w:t xml:space="preserve">, </w:t>
      </w:r>
      <w:r w:rsidR="001B73E2" w:rsidRPr="00337D8A">
        <w:rPr>
          <w:rFonts w:asciiTheme="majorHAnsi" w:hAnsiTheme="majorHAnsi"/>
          <w:sz w:val="20"/>
          <w:szCs w:val="20"/>
          <w:lang w:val="es-VE"/>
        </w:rPr>
        <w:t xml:space="preserve">la transcripción de la entrevista radial realizada a Feijoo </w:t>
      </w:r>
      <w:proofErr w:type="spellStart"/>
      <w:r w:rsidR="00E100AC" w:rsidRPr="00337D8A">
        <w:rPr>
          <w:rFonts w:asciiTheme="majorHAnsi" w:hAnsiTheme="majorHAnsi"/>
          <w:sz w:val="20"/>
          <w:szCs w:val="20"/>
          <w:lang w:val="es-VE"/>
        </w:rPr>
        <w:t>Colomine</w:t>
      </w:r>
      <w:proofErr w:type="spellEnd"/>
      <w:r w:rsidR="00E100AC" w:rsidRPr="00337D8A">
        <w:rPr>
          <w:rFonts w:asciiTheme="majorHAnsi" w:hAnsiTheme="majorHAnsi"/>
          <w:sz w:val="20"/>
          <w:szCs w:val="20"/>
          <w:lang w:val="es-VE"/>
        </w:rPr>
        <w:t>,</w:t>
      </w:r>
      <w:r w:rsidR="00627295" w:rsidRPr="00337D8A">
        <w:rPr>
          <w:rFonts w:asciiTheme="majorHAnsi" w:hAnsiTheme="majorHAnsi"/>
          <w:sz w:val="20"/>
          <w:szCs w:val="20"/>
          <w:lang w:val="es-VE"/>
        </w:rPr>
        <w:t xml:space="preserve"> así como la transcripción de la conversación sostenida entre Rocío San Miguel e Ilia </w:t>
      </w:r>
      <w:proofErr w:type="spellStart"/>
      <w:r w:rsidR="00627295" w:rsidRPr="00337D8A">
        <w:rPr>
          <w:rFonts w:asciiTheme="majorHAnsi" w:hAnsiTheme="majorHAnsi"/>
          <w:sz w:val="20"/>
          <w:szCs w:val="20"/>
          <w:lang w:val="es-VE"/>
        </w:rPr>
        <w:t>Azpúrua</w:t>
      </w:r>
      <w:proofErr w:type="spellEnd"/>
      <w:r w:rsidR="00627295" w:rsidRPr="00337D8A">
        <w:rPr>
          <w:rFonts w:asciiTheme="majorHAnsi" w:hAnsiTheme="majorHAnsi"/>
          <w:sz w:val="20"/>
          <w:szCs w:val="20"/>
          <w:lang w:val="es-VE"/>
        </w:rPr>
        <w:t xml:space="preserve">, </w:t>
      </w:r>
      <w:r w:rsidR="00BE3526" w:rsidRPr="00337D8A">
        <w:rPr>
          <w:rFonts w:asciiTheme="majorHAnsi" w:hAnsiTheme="majorHAnsi"/>
          <w:sz w:val="20"/>
          <w:szCs w:val="20"/>
          <w:lang w:val="es-VE"/>
        </w:rPr>
        <w:t xml:space="preserve">sin embargo el Tribunal inadmitió dichos elementos como medios de prueba considerando que “tanto la reproducción de la cinta como la transcripción de las conversaciones, fueron obtenidas sin el consentimiento de los presuntos interlocutores, en el caso de autos, de los ciudadanos Feijoo </w:t>
      </w:r>
      <w:proofErr w:type="spellStart"/>
      <w:r w:rsidR="00BE3526" w:rsidRPr="00337D8A">
        <w:rPr>
          <w:rFonts w:asciiTheme="majorHAnsi" w:hAnsiTheme="majorHAnsi"/>
          <w:sz w:val="20"/>
          <w:szCs w:val="20"/>
          <w:lang w:val="es-VE"/>
        </w:rPr>
        <w:t>Colomine</w:t>
      </w:r>
      <w:proofErr w:type="spellEnd"/>
      <w:r w:rsidR="00BE3526" w:rsidRPr="00337D8A">
        <w:rPr>
          <w:rFonts w:asciiTheme="majorHAnsi" w:hAnsiTheme="majorHAnsi"/>
          <w:sz w:val="20"/>
          <w:szCs w:val="20"/>
          <w:lang w:val="es-VE"/>
        </w:rPr>
        <w:t xml:space="preserve"> e Ilia </w:t>
      </w:r>
      <w:proofErr w:type="spellStart"/>
      <w:r w:rsidR="00BE3526" w:rsidRPr="00337D8A">
        <w:rPr>
          <w:rFonts w:asciiTheme="majorHAnsi" w:hAnsiTheme="majorHAnsi"/>
          <w:sz w:val="20"/>
          <w:szCs w:val="20"/>
          <w:lang w:val="es-VE"/>
        </w:rPr>
        <w:t>Apúrua</w:t>
      </w:r>
      <w:proofErr w:type="spellEnd"/>
      <w:r w:rsidR="00BE3526" w:rsidRPr="00337D8A">
        <w:rPr>
          <w:rFonts w:asciiTheme="majorHAnsi" w:hAnsiTheme="majorHAnsi"/>
          <w:sz w:val="20"/>
          <w:szCs w:val="20"/>
          <w:lang w:val="es-VE"/>
        </w:rPr>
        <w:t>, respectivamente. Además, no hay forma de tener certeza que las voces pertenezcan a quienes se afirman son los mencionados interlocutores. En fin, en criterio de este Juzgado, son pruebas ilícitas e ilegítimas, y por ello su no admisión en juicio”</w:t>
      </w:r>
      <w:r w:rsidR="00627295" w:rsidRPr="00337D8A">
        <w:rPr>
          <w:rStyle w:val="FootnoteReference"/>
          <w:rFonts w:asciiTheme="majorHAnsi" w:hAnsiTheme="majorHAnsi"/>
          <w:sz w:val="20"/>
          <w:szCs w:val="20"/>
          <w:lang w:val="es-VE"/>
        </w:rPr>
        <w:footnoteReference w:id="111"/>
      </w:r>
      <w:r w:rsidR="00627295" w:rsidRPr="00337D8A">
        <w:rPr>
          <w:rFonts w:asciiTheme="majorHAnsi" w:hAnsiTheme="majorHAnsi"/>
          <w:sz w:val="20"/>
          <w:szCs w:val="20"/>
          <w:lang w:val="es-VE"/>
        </w:rPr>
        <w:t>.</w:t>
      </w:r>
    </w:p>
    <w:p w14:paraId="71FEA0AB" w14:textId="77777777" w:rsidR="004D0F07" w:rsidRPr="00420489" w:rsidRDefault="004D0F07" w:rsidP="00F219EA">
      <w:pPr>
        <w:pStyle w:val="ListParagraph"/>
        <w:rPr>
          <w:rFonts w:asciiTheme="majorHAnsi" w:hAnsiTheme="majorHAnsi"/>
          <w:sz w:val="20"/>
          <w:szCs w:val="20"/>
          <w:lang w:val="es-VE"/>
        </w:rPr>
      </w:pPr>
    </w:p>
    <w:p w14:paraId="5066BC80" w14:textId="64D15CF9" w:rsidR="004D0F07" w:rsidRPr="00420489" w:rsidRDefault="00681B7D"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El 27 de julio de 2005 </w:t>
      </w:r>
      <w:r w:rsidR="00004260" w:rsidRPr="00420489">
        <w:rPr>
          <w:rFonts w:asciiTheme="majorHAnsi" w:hAnsiTheme="majorHAnsi"/>
          <w:sz w:val="20"/>
          <w:szCs w:val="20"/>
          <w:lang w:val="es-VE"/>
        </w:rPr>
        <w:t xml:space="preserve">el Juzgado Cuarto de Primera Instancia dictó sentencia </w:t>
      </w:r>
      <w:r w:rsidR="00CA646A" w:rsidRPr="00420489">
        <w:rPr>
          <w:rFonts w:asciiTheme="majorHAnsi" w:hAnsiTheme="majorHAnsi"/>
          <w:sz w:val="20"/>
          <w:szCs w:val="20"/>
          <w:lang w:val="es-VE"/>
        </w:rPr>
        <w:t>declarando sin lugar el amparo por considerar que las pruebas aportadas por la parte quejosa no permiten “establecer fehacientemente el nexo causal entre el pretendido trato discriminatorio por haber firmado y la decisión de poner fin a la relación de trabajo”</w:t>
      </w:r>
      <w:r w:rsidR="007809F9" w:rsidRPr="00420489">
        <w:rPr>
          <w:rStyle w:val="FootnoteReference"/>
          <w:rFonts w:asciiTheme="majorHAnsi" w:hAnsiTheme="majorHAnsi"/>
          <w:sz w:val="20"/>
          <w:szCs w:val="20"/>
          <w:lang w:val="es-VE"/>
        </w:rPr>
        <w:footnoteReference w:id="112"/>
      </w:r>
      <w:r w:rsidR="00CA646A" w:rsidRPr="00420489">
        <w:rPr>
          <w:rFonts w:asciiTheme="majorHAnsi" w:hAnsiTheme="majorHAnsi"/>
          <w:sz w:val="20"/>
          <w:szCs w:val="20"/>
          <w:lang w:val="es-VE"/>
        </w:rPr>
        <w:t xml:space="preserve">. </w:t>
      </w:r>
      <w:r w:rsidR="001C4D40" w:rsidRPr="00420489">
        <w:rPr>
          <w:rFonts w:asciiTheme="majorHAnsi" w:hAnsiTheme="majorHAnsi"/>
          <w:sz w:val="20"/>
          <w:szCs w:val="20"/>
          <w:lang w:val="es-VE"/>
        </w:rPr>
        <w:t xml:space="preserve"> En dicha resolución, el juzgador también consideró que “la parte accionada trajo a los autos documentales, ya analizadas, que corroboran que hubo un trabajador al que le fue resuelto su contrato en la misma oportunidad en que las accionantes y no había firmado el referendo revocatorio, y de otra persona</w:t>
      </w:r>
      <w:r w:rsidR="00792525" w:rsidRPr="00420489">
        <w:rPr>
          <w:rFonts w:asciiTheme="majorHAnsi" w:hAnsiTheme="majorHAnsi"/>
          <w:sz w:val="20"/>
          <w:szCs w:val="20"/>
          <w:lang w:val="es-VE"/>
        </w:rPr>
        <w:t xml:space="preserve"> trabajador que sí firmó y aun así se encuentra laborando para el Consejo </w:t>
      </w:r>
      <w:r w:rsidR="00792525" w:rsidRPr="00420489">
        <w:rPr>
          <w:rFonts w:asciiTheme="majorHAnsi" w:hAnsiTheme="majorHAnsi"/>
          <w:sz w:val="20"/>
          <w:szCs w:val="20"/>
          <w:lang w:val="es-VE"/>
        </w:rPr>
        <w:lastRenderedPageBreak/>
        <w:t>Nacional de Fronteras”</w:t>
      </w:r>
      <w:r w:rsidR="00782A6F" w:rsidRPr="00420489">
        <w:rPr>
          <w:rStyle w:val="FootnoteReference"/>
          <w:rFonts w:asciiTheme="majorHAnsi" w:hAnsiTheme="majorHAnsi"/>
          <w:sz w:val="20"/>
          <w:szCs w:val="20"/>
          <w:lang w:val="es-VE"/>
        </w:rPr>
        <w:t xml:space="preserve"> </w:t>
      </w:r>
      <w:r w:rsidR="00782A6F" w:rsidRPr="00420489">
        <w:rPr>
          <w:rStyle w:val="FootnoteReference"/>
          <w:rFonts w:asciiTheme="majorHAnsi" w:hAnsiTheme="majorHAnsi"/>
          <w:sz w:val="20"/>
          <w:szCs w:val="20"/>
          <w:lang w:val="es-VE"/>
        </w:rPr>
        <w:footnoteReference w:id="113"/>
      </w:r>
      <w:r w:rsidR="00792525" w:rsidRPr="00420489">
        <w:rPr>
          <w:rFonts w:asciiTheme="majorHAnsi" w:hAnsiTheme="majorHAnsi"/>
          <w:sz w:val="20"/>
          <w:szCs w:val="20"/>
          <w:lang w:val="es-VE"/>
        </w:rPr>
        <w:t xml:space="preserve">. </w:t>
      </w:r>
      <w:r w:rsidR="00EE0E65">
        <w:rPr>
          <w:rFonts w:asciiTheme="majorHAnsi" w:hAnsiTheme="majorHAnsi"/>
          <w:sz w:val="20"/>
          <w:szCs w:val="20"/>
          <w:lang w:val="es-VE"/>
        </w:rPr>
        <w:t xml:space="preserve">La Comisión no cuenta con elemento probatorio alguno que acredite esta información. </w:t>
      </w:r>
    </w:p>
    <w:p w14:paraId="105A686C" w14:textId="77777777" w:rsidR="004D0F07" w:rsidRPr="00420489" w:rsidRDefault="004D0F07" w:rsidP="004D0F07">
      <w:pPr>
        <w:pStyle w:val="ListParagraph"/>
        <w:rPr>
          <w:rFonts w:asciiTheme="majorHAnsi" w:hAnsiTheme="majorHAnsi"/>
          <w:sz w:val="20"/>
          <w:szCs w:val="20"/>
          <w:lang w:val="es-VE"/>
        </w:rPr>
      </w:pPr>
    </w:p>
    <w:p w14:paraId="7764BC9D" w14:textId="77777777" w:rsidR="00142F23" w:rsidRPr="00420489" w:rsidRDefault="00142F23"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El 29 de julio</w:t>
      </w:r>
      <w:r w:rsidR="00C7625C" w:rsidRPr="00420489">
        <w:rPr>
          <w:rFonts w:asciiTheme="majorHAnsi" w:hAnsiTheme="majorHAnsi"/>
          <w:sz w:val="20"/>
          <w:szCs w:val="20"/>
          <w:lang w:val="es-VE"/>
        </w:rPr>
        <w:t xml:space="preserve"> de 2005</w:t>
      </w:r>
      <w:r w:rsidRPr="00420489">
        <w:rPr>
          <w:rFonts w:asciiTheme="majorHAnsi" w:hAnsiTheme="majorHAnsi"/>
          <w:sz w:val="20"/>
          <w:szCs w:val="20"/>
          <w:lang w:val="es-VE"/>
        </w:rPr>
        <w:t xml:space="preserve"> las presuntas víctimas interpusieron recurso de apelación</w:t>
      </w:r>
      <w:r w:rsidRPr="00420489">
        <w:rPr>
          <w:rStyle w:val="FootnoteReference"/>
          <w:rFonts w:asciiTheme="majorHAnsi" w:hAnsiTheme="majorHAnsi"/>
          <w:sz w:val="20"/>
          <w:szCs w:val="20"/>
          <w:lang w:val="es-VE"/>
        </w:rPr>
        <w:footnoteReference w:id="114"/>
      </w:r>
      <w:r w:rsidR="00A72EDD" w:rsidRPr="00420489">
        <w:rPr>
          <w:rFonts w:asciiTheme="majorHAnsi" w:hAnsiTheme="majorHAnsi"/>
          <w:sz w:val="20"/>
          <w:szCs w:val="20"/>
          <w:lang w:val="es-VE"/>
        </w:rPr>
        <w:t xml:space="preserve"> argumentando entre otras cosas que en el procedimiento de amparo no se valoró en forma positiva o negativa el testimonio de las víctimas</w:t>
      </w:r>
      <w:r w:rsidR="007528B9" w:rsidRPr="00420489">
        <w:rPr>
          <w:rFonts w:asciiTheme="majorHAnsi" w:hAnsiTheme="majorHAnsi"/>
          <w:sz w:val="20"/>
          <w:szCs w:val="20"/>
          <w:lang w:val="es-VE"/>
        </w:rPr>
        <w:t xml:space="preserve"> y se incurrió en indebida valoración de algunos medios de prueba</w:t>
      </w:r>
      <w:r w:rsidR="00E47085" w:rsidRPr="00420489">
        <w:rPr>
          <w:rStyle w:val="FootnoteReference"/>
          <w:rFonts w:asciiTheme="majorHAnsi" w:hAnsiTheme="majorHAnsi"/>
          <w:sz w:val="20"/>
          <w:szCs w:val="20"/>
          <w:lang w:val="es-VE"/>
        </w:rPr>
        <w:footnoteReference w:id="115"/>
      </w:r>
      <w:r w:rsidR="00A72EDD" w:rsidRPr="00420489">
        <w:rPr>
          <w:rFonts w:asciiTheme="majorHAnsi" w:hAnsiTheme="majorHAnsi"/>
          <w:sz w:val="20"/>
          <w:szCs w:val="20"/>
          <w:lang w:val="es-VE"/>
        </w:rPr>
        <w:t>. El 9 de septiembre de 2005 el</w:t>
      </w:r>
      <w:r w:rsidR="0067213E" w:rsidRPr="00420489">
        <w:rPr>
          <w:rFonts w:asciiTheme="majorHAnsi" w:hAnsiTheme="majorHAnsi"/>
          <w:sz w:val="20"/>
          <w:szCs w:val="20"/>
          <w:lang w:val="es-VE"/>
        </w:rPr>
        <w:t xml:space="preserve"> Juzgado Tercero Superior del Trabajo del Circuito Judicial del Trabajo </w:t>
      </w:r>
      <w:r w:rsidR="00A72EDD" w:rsidRPr="00420489">
        <w:rPr>
          <w:rFonts w:asciiTheme="majorHAnsi" w:hAnsiTheme="majorHAnsi"/>
          <w:sz w:val="20"/>
          <w:szCs w:val="20"/>
          <w:lang w:val="es-VE"/>
        </w:rPr>
        <w:t>declaró</w:t>
      </w:r>
      <w:r w:rsidR="0049438E" w:rsidRPr="00420489">
        <w:rPr>
          <w:rFonts w:asciiTheme="majorHAnsi" w:hAnsiTheme="majorHAnsi"/>
          <w:sz w:val="20"/>
          <w:szCs w:val="20"/>
          <w:lang w:val="es-VE"/>
        </w:rPr>
        <w:t xml:space="preserve"> sin lugar la apelación por considerar que</w:t>
      </w:r>
      <w:r w:rsidR="002868D4" w:rsidRPr="00420489">
        <w:rPr>
          <w:rFonts w:asciiTheme="majorHAnsi" w:hAnsiTheme="majorHAnsi"/>
          <w:sz w:val="20"/>
          <w:szCs w:val="20"/>
          <w:lang w:val="es-VE"/>
        </w:rPr>
        <w:t xml:space="preserve"> las accionantes</w:t>
      </w:r>
      <w:r w:rsidR="00A72EDD" w:rsidRPr="00420489">
        <w:rPr>
          <w:rFonts w:asciiTheme="majorHAnsi" w:hAnsiTheme="majorHAnsi"/>
          <w:sz w:val="20"/>
          <w:szCs w:val="20"/>
          <w:lang w:val="es-VE"/>
        </w:rPr>
        <w:t xml:space="preserve"> no demostraron</w:t>
      </w:r>
      <w:r w:rsidR="002868D4" w:rsidRPr="00420489">
        <w:rPr>
          <w:rFonts w:asciiTheme="majorHAnsi" w:hAnsiTheme="majorHAnsi"/>
          <w:sz w:val="20"/>
          <w:szCs w:val="20"/>
          <w:lang w:val="es-VE"/>
        </w:rPr>
        <w:t xml:space="preserve"> </w:t>
      </w:r>
      <w:r w:rsidR="0049438E" w:rsidRPr="00420489">
        <w:rPr>
          <w:rFonts w:asciiTheme="majorHAnsi" w:hAnsiTheme="majorHAnsi"/>
          <w:sz w:val="20"/>
          <w:szCs w:val="20"/>
          <w:lang w:val="es-VE"/>
        </w:rPr>
        <w:t>que el ejercicio de la potestad contractual del empleador configur</w:t>
      </w:r>
      <w:r w:rsidR="00A72EDD" w:rsidRPr="00420489">
        <w:rPr>
          <w:rFonts w:asciiTheme="majorHAnsi" w:hAnsiTheme="majorHAnsi"/>
          <w:sz w:val="20"/>
          <w:szCs w:val="20"/>
          <w:lang w:val="es-VE"/>
        </w:rPr>
        <w:t>ó</w:t>
      </w:r>
      <w:r w:rsidR="0049438E" w:rsidRPr="00420489">
        <w:rPr>
          <w:rFonts w:asciiTheme="majorHAnsi" w:hAnsiTheme="majorHAnsi"/>
          <w:sz w:val="20"/>
          <w:szCs w:val="20"/>
          <w:lang w:val="es-VE"/>
        </w:rPr>
        <w:t xml:space="preserve"> una práctica discriminatoria</w:t>
      </w:r>
      <w:r w:rsidR="002868D4" w:rsidRPr="00420489">
        <w:rPr>
          <w:rStyle w:val="FootnoteReference"/>
          <w:rFonts w:asciiTheme="majorHAnsi" w:hAnsiTheme="majorHAnsi"/>
          <w:sz w:val="20"/>
          <w:szCs w:val="20"/>
          <w:lang w:val="es-VE"/>
        </w:rPr>
        <w:footnoteReference w:id="116"/>
      </w:r>
      <w:r w:rsidR="002868D4" w:rsidRPr="00420489">
        <w:rPr>
          <w:rFonts w:asciiTheme="majorHAnsi" w:hAnsiTheme="majorHAnsi"/>
          <w:sz w:val="20"/>
          <w:szCs w:val="20"/>
          <w:lang w:val="es-VE"/>
        </w:rPr>
        <w:t xml:space="preserve">. </w:t>
      </w:r>
    </w:p>
    <w:p w14:paraId="6EA4DAE1" w14:textId="77777777" w:rsidR="00E404DA" w:rsidRPr="00420489" w:rsidRDefault="00E404DA" w:rsidP="00E404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456DCFB7" w14:textId="77777777" w:rsidR="003930A2" w:rsidRPr="00420489" w:rsidRDefault="009D33B2" w:rsidP="00BF339D">
      <w:pPr>
        <w:pStyle w:val="ListParagraph"/>
        <w:numPr>
          <w:ilvl w:val="0"/>
          <w:numId w:val="61"/>
        </w:numPr>
        <w:tabs>
          <w:tab w:val="clear" w:pos="1800"/>
        </w:tabs>
        <w:ind w:left="1440" w:hanging="720"/>
        <w:jc w:val="both"/>
        <w:rPr>
          <w:rFonts w:asciiTheme="majorHAnsi" w:hAnsiTheme="majorHAnsi"/>
          <w:b/>
          <w:sz w:val="20"/>
          <w:szCs w:val="20"/>
          <w:lang w:val="es-VE"/>
        </w:rPr>
      </w:pPr>
      <w:r w:rsidRPr="00420489">
        <w:rPr>
          <w:rFonts w:asciiTheme="majorHAnsi" w:hAnsiTheme="majorHAnsi"/>
          <w:b/>
          <w:sz w:val="20"/>
          <w:szCs w:val="20"/>
          <w:lang w:val="es-VE"/>
        </w:rPr>
        <w:t>Denuncia penal</w:t>
      </w:r>
      <w:r w:rsidR="00774B7A" w:rsidRPr="00420489">
        <w:rPr>
          <w:rFonts w:asciiTheme="majorHAnsi" w:hAnsiTheme="majorHAnsi"/>
          <w:b/>
          <w:sz w:val="20"/>
          <w:szCs w:val="20"/>
          <w:lang w:val="es-VE"/>
        </w:rPr>
        <w:t xml:space="preserve"> ante el Ministerio Público</w:t>
      </w:r>
    </w:p>
    <w:p w14:paraId="20C68190" w14:textId="77777777" w:rsidR="00E40449" w:rsidRPr="00420489" w:rsidRDefault="00774B7A" w:rsidP="003930A2">
      <w:pPr>
        <w:pStyle w:val="ListParagraph"/>
        <w:ind w:left="1800"/>
        <w:jc w:val="both"/>
        <w:rPr>
          <w:rFonts w:asciiTheme="majorHAnsi" w:hAnsiTheme="majorHAnsi"/>
          <w:b/>
          <w:sz w:val="20"/>
          <w:szCs w:val="20"/>
          <w:lang w:val="es-ES"/>
        </w:rPr>
      </w:pPr>
      <w:r w:rsidRPr="00420489">
        <w:rPr>
          <w:rFonts w:asciiTheme="majorHAnsi" w:hAnsiTheme="majorHAnsi"/>
          <w:b/>
          <w:sz w:val="20"/>
          <w:szCs w:val="20"/>
          <w:lang w:val="es-ES"/>
        </w:rPr>
        <w:t xml:space="preserve"> </w:t>
      </w:r>
    </w:p>
    <w:p w14:paraId="7A65423B" w14:textId="77777777" w:rsidR="0059662E" w:rsidRPr="00420489" w:rsidRDefault="003930A2" w:rsidP="0059662E">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CO"/>
        </w:rPr>
      </w:pPr>
      <w:r w:rsidRPr="00420489">
        <w:rPr>
          <w:rFonts w:asciiTheme="majorHAnsi" w:hAnsiTheme="majorHAnsi"/>
          <w:sz w:val="20"/>
          <w:szCs w:val="20"/>
          <w:lang w:val="es-VE"/>
        </w:rPr>
        <w:t xml:space="preserve">El 27 de mayo de 2004 Rocío San </w:t>
      </w:r>
      <w:r w:rsidR="005342C2" w:rsidRPr="00420489">
        <w:rPr>
          <w:rFonts w:asciiTheme="majorHAnsi" w:hAnsiTheme="majorHAnsi"/>
          <w:sz w:val="20"/>
          <w:szCs w:val="20"/>
          <w:lang w:val="es-VE"/>
        </w:rPr>
        <w:t>Miguel S</w:t>
      </w:r>
      <w:r w:rsidRPr="00420489">
        <w:rPr>
          <w:rFonts w:asciiTheme="majorHAnsi" w:hAnsiTheme="majorHAnsi"/>
          <w:sz w:val="20"/>
          <w:szCs w:val="20"/>
          <w:lang w:val="es-VE"/>
        </w:rPr>
        <w:t xml:space="preserve">osa, </w:t>
      </w:r>
      <w:proofErr w:type="spellStart"/>
      <w:r w:rsidRPr="00420489">
        <w:rPr>
          <w:rFonts w:asciiTheme="majorHAnsi" w:hAnsiTheme="majorHAnsi"/>
          <w:sz w:val="20"/>
          <w:szCs w:val="20"/>
          <w:lang w:val="es-VE"/>
        </w:rPr>
        <w:t>Magally</w:t>
      </w:r>
      <w:proofErr w:type="spellEnd"/>
      <w:r w:rsidRPr="00420489">
        <w:rPr>
          <w:rFonts w:asciiTheme="majorHAnsi" w:hAnsiTheme="majorHAnsi"/>
          <w:sz w:val="20"/>
          <w:szCs w:val="20"/>
          <w:lang w:val="es-VE"/>
        </w:rPr>
        <w:t xml:space="preserve"> Chang </w:t>
      </w:r>
      <w:r w:rsidR="00605C21" w:rsidRPr="00420489">
        <w:rPr>
          <w:rFonts w:asciiTheme="majorHAnsi" w:hAnsiTheme="majorHAnsi"/>
          <w:sz w:val="20"/>
          <w:szCs w:val="20"/>
          <w:lang w:val="es-VE"/>
        </w:rPr>
        <w:t>Girón</w:t>
      </w:r>
      <w:r w:rsidR="005342C2" w:rsidRPr="00420489">
        <w:rPr>
          <w:rFonts w:asciiTheme="majorHAnsi" w:hAnsiTheme="majorHAnsi"/>
          <w:sz w:val="20"/>
          <w:szCs w:val="20"/>
          <w:lang w:val="es-VE"/>
        </w:rPr>
        <w:t xml:space="preserve"> y Thais Coromoto Peña</w:t>
      </w:r>
      <w:r w:rsidR="0059662E" w:rsidRPr="00420489">
        <w:rPr>
          <w:rFonts w:asciiTheme="majorHAnsi" w:hAnsiTheme="majorHAnsi"/>
          <w:sz w:val="20"/>
          <w:szCs w:val="20"/>
          <w:lang w:val="es-VE"/>
        </w:rPr>
        <w:t xml:space="preserve"> presentaron una denuncia penal ante la Fiscalía General de la República solicitando iniciar investigaciones penales en contra de los funcionarios que ejecutaron su despido</w:t>
      </w:r>
      <w:r w:rsidR="0059662E" w:rsidRPr="00420489">
        <w:rPr>
          <w:rFonts w:asciiTheme="majorHAnsi" w:hAnsiTheme="majorHAnsi"/>
          <w:sz w:val="20"/>
          <w:szCs w:val="20"/>
          <w:vertAlign w:val="superscript"/>
          <w:lang w:val="es-VE"/>
        </w:rPr>
        <w:footnoteReference w:id="117"/>
      </w:r>
      <w:r w:rsidR="0059662E" w:rsidRPr="00420489">
        <w:rPr>
          <w:rFonts w:asciiTheme="majorHAnsi" w:hAnsiTheme="majorHAnsi"/>
          <w:sz w:val="20"/>
          <w:szCs w:val="20"/>
          <w:lang w:val="es-VE"/>
        </w:rPr>
        <w:t xml:space="preserve"> por haber sido realizado como consecuencia de suscribir la solicitud para la realización del referendo revocatorio presidencial</w:t>
      </w:r>
      <w:r w:rsidR="0059662E" w:rsidRPr="00420489">
        <w:rPr>
          <w:rFonts w:asciiTheme="majorHAnsi" w:hAnsiTheme="majorHAnsi"/>
          <w:sz w:val="20"/>
          <w:szCs w:val="20"/>
          <w:vertAlign w:val="superscript"/>
          <w:lang w:val="es-VE"/>
        </w:rPr>
        <w:footnoteReference w:id="118"/>
      </w:r>
      <w:r w:rsidR="0059662E" w:rsidRPr="00420489">
        <w:rPr>
          <w:rFonts w:asciiTheme="majorHAnsi" w:hAnsiTheme="majorHAnsi"/>
          <w:sz w:val="20"/>
          <w:szCs w:val="20"/>
          <w:lang w:val="es-VE"/>
        </w:rPr>
        <w:t>. Refirieron que su despido fue suscrito por el entonces Presidente del Consejo Nacional de Fronteras José Vicente Rangel Vale, y que el Secretario Ejecutivo del Consejo Nacional de Fronteras les indicó que el despido obedecía al gesto de desconfianza en el que incurrieron al suscribir la solicitud de referendo revocatorio presidencial</w:t>
      </w:r>
      <w:r w:rsidR="00732AA5" w:rsidRPr="00420489">
        <w:rPr>
          <w:rFonts w:asciiTheme="majorHAnsi" w:hAnsiTheme="majorHAnsi"/>
          <w:sz w:val="20"/>
          <w:szCs w:val="20"/>
          <w:vertAlign w:val="superscript"/>
          <w:lang w:val="es-VE"/>
        </w:rPr>
        <w:footnoteReference w:id="119"/>
      </w:r>
      <w:r w:rsidR="005342C2" w:rsidRPr="00420489">
        <w:rPr>
          <w:rFonts w:asciiTheme="majorHAnsi" w:hAnsiTheme="majorHAnsi"/>
          <w:sz w:val="20"/>
          <w:szCs w:val="20"/>
          <w:lang w:val="es-VE"/>
        </w:rPr>
        <w:t>.</w:t>
      </w:r>
    </w:p>
    <w:p w14:paraId="19AAD83B" w14:textId="77777777" w:rsidR="0059662E" w:rsidRPr="00420489" w:rsidRDefault="0059662E" w:rsidP="0059662E">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14:paraId="4A362095" w14:textId="2788FDD1" w:rsidR="004D0F07" w:rsidRPr="00420489" w:rsidRDefault="005342C2" w:rsidP="00C7030F">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 </w:t>
      </w:r>
      <w:r w:rsidR="00C7030F" w:rsidRPr="00420489">
        <w:rPr>
          <w:rFonts w:asciiTheme="majorHAnsi" w:hAnsiTheme="majorHAnsi"/>
          <w:sz w:val="20"/>
          <w:szCs w:val="20"/>
          <w:lang w:val="es-VE"/>
        </w:rPr>
        <w:t xml:space="preserve"> El 7 de julio de 2004</w:t>
      </w:r>
      <w:r w:rsidR="00AB3B18" w:rsidRPr="00420489">
        <w:rPr>
          <w:rFonts w:asciiTheme="majorHAnsi" w:hAnsiTheme="majorHAnsi"/>
          <w:sz w:val="20"/>
          <w:szCs w:val="20"/>
          <w:lang w:val="es-VE"/>
        </w:rPr>
        <w:t xml:space="preserve"> la Fiscalía Trigésima Séptima ordenó el inicio de la investigación penal</w:t>
      </w:r>
      <w:r w:rsidR="00AB3B18" w:rsidRPr="00420489">
        <w:rPr>
          <w:rFonts w:asciiTheme="majorHAnsi" w:hAnsiTheme="majorHAnsi"/>
          <w:sz w:val="20"/>
          <w:szCs w:val="20"/>
          <w:vertAlign w:val="superscript"/>
          <w:lang w:val="es-VE"/>
        </w:rPr>
        <w:footnoteReference w:id="120"/>
      </w:r>
      <w:r w:rsidR="00AB3B18" w:rsidRPr="00420489">
        <w:rPr>
          <w:rFonts w:asciiTheme="majorHAnsi" w:hAnsiTheme="majorHAnsi"/>
          <w:sz w:val="20"/>
          <w:szCs w:val="20"/>
          <w:lang w:val="es-VE"/>
        </w:rPr>
        <w:t>.</w:t>
      </w:r>
      <w:r w:rsidR="00390688" w:rsidRPr="00420489">
        <w:rPr>
          <w:rFonts w:asciiTheme="majorHAnsi" w:hAnsiTheme="majorHAnsi"/>
          <w:sz w:val="20"/>
          <w:szCs w:val="20"/>
          <w:lang w:val="es-VE"/>
        </w:rPr>
        <w:t xml:space="preserve">  </w:t>
      </w:r>
      <w:r w:rsidR="00C7030F" w:rsidRPr="00420489">
        <w:rPr>
          <w:rFonts w:asciiTheme="majorHAnsi" w:hAnsiTheme="majorHAnsi"/>
          <w:sz w:val="20"/>
          <w:szCs w:val="20"/>
          <w:lang w:val="es-VE"/>
        </w:rPr>
        <w:t xml:space="preserve">El </w:t>
      </w:r>
      <w:r w:rsidR="00390688" w:rsidRPr="00420489">
        <w:rPr>
          <w:rFonts w:asciiTheme="majorHAnsi" w:hAnsiTheme="majorHAnsi"/>
          <w:sz w:val="20"/>
          <w:szCs w:val="20"/>
          <w:lang w:val="es-VE"/>
        </w:rPr>
        <w:t xml:space="preserve">14 de julio </w:t>
      </w:r>
      <w:r w:rsidR="00C7030F" w:rsidRPr="00420489">
        <w:rPr>
          <w:rFonts w:asciiTheme="majorHAnsi" w:hAnsiTheme="majorHAnsi"/>
          <w:sz w:val="20"/>
          <w:szCs w:val="20"/>
          <w:lang w:val="es-VE"/>
        </w:rPr>
        <w:t xml:space="preserve">de 2004 </w:t>
      </w:r>
      <w:r w:rsidR="00390688" w:rsidRPr="00420489">
        <w:rPr>
          <w:rFonts w:asciiTheme="majorHAnsi" w:hAnsiTheme="majorHAnsi"/>
          <w:sz w:val="20"/>
          <w:szCs w:val="20"/>
          <w:lang w:val="es-VE"/>
        </w:rPr>
        <w:t xml:space="preserve">la Fiscalía realizó entrevista al Secretario Ejecutivo del Consejo Nacional de Fronteras Feijoo </w:t>
      </w:r>
      <w:proofErr w:type="spellStart"/>
      <w:r w:rsidR="00390688" w:rsidRPr="00420489">
        <w:rPr>
          <w:rFonts w:asciiTheme="majorHAnsi" w:hAnsiTheme="majorHAnsi"/>
          <w:sz w:val="20"/>
          <w:szCs w:val="20"/>
          <w:lang w:val="es-VE"/>
        </w:rPr>
        <w:t>Colomine</w:t>
      </w:r>
      <w:proofErr w:type="spellEnd"/>
      <w:r w:rsidR="00390688" w:rsidRPr="00420489">
        <w:rPr>
          <w:rFonts w:asciiTheme="majorHAnsi" w:hAnsiTheme="majorHAnsi"/>
          <w:sz w:val="20"/>
          <w:szCs w:val="20"/>
          <w:lang w:val="es-VE"/>
        </w:rPr>
        <w:t xml:space="preserve"> Rincones</w:t>
      </w:r>
      <w:r w:rsidR="00390688" w:rsidRPr="00420489">
        <w:rPr>
          <w:rFonts w:asciiTheme="majorHAnsi" w:hAnsiTheme="majorHAnsi"/>
          <w:sz w:val="20"/>
          <w:szCs w:val="20"/>
          <w:vertAlign w:val="superscript"/>
          <w:lang w:val="es-VE"/>
        </w:rPr>
        <w:footnoteReference w:id="121"/>
      </w:r>
      <w:r w:rsidR="00390688" w:rsidRPr="00420489">
        <w:rPr>
          <w:rFonts w:asciiTheme="majorHAnsi" w:hAnsiTheme="majorHAnsi"/>
          <w:sz w:val="20"/>
          <w:szCs w:val="20"/>
          <w:lang w:val="es-VE"/>
        </w:rPr>
        <w:t xml:space="preserve">. </w:t>
      </w:r>
      <w:r w:rsidR="00AB3B18" w:rsidRPr="00420489">
        <w:rPr>
          <w:rFonts w:asciiTheme="majorHAnsi" w:hAnsiTheme="majorHAnsi"/>
          <w:sz w:val="20"/>
          <w:szCs w:val="20"/>
          <w:lang w:val="es-VE"/>
        </w:rPr>
        <w:t xml:space="preserve"> </w:t>
      </w:r>
      <w:r w:rsidR="00C7030F" w:rsidRPr="00420489">
        <w:rPr>
          <w:rFonts w:asciiTheme="majorHAnsi" w:hAnsiTheme="majorHAnsi"/>
          <w:sz w:val="20"/>
          <w:szCs w:val="20"/>
          <w:lang w:val="es-VE"/>
        </w:rPr>
        <w:t xml:space="preserve">En la misma fecha el Secretario Ejecutivo presentó un informe </w:t>
      </w:r>
      <w:r w:rsidR="00021B34" w:rsidRPr="00420489">
        <w:rPr>
          <w:rFonts w:asciiTheme="majorHAnsi" w:hAnsiTheme="majorHAnsi"/>
          <w:sz w:val="20"/>
          <w:szCs w:val="20"/>
          <w:lang w:val="es-VE"/>
        </w:rPr>
        <w:t>a la Fiscal 37 del Ministerio Público</w:t>
      </w:r>
      <w:r w:rsidR="00021B34" w:rsidRPr="00420489">
        <w:rPr>
          <w:rFonts w:asciiTheme="majorHAnsi" w:hAnsiTheme="majorHAnsi"/>
          <w:sz w:val="20"/>
          <w:szCs w:val="20"/>
          <w:vertAlign w:val="superscript"/>
          <w:lang w:val="es-VE"/>
        </w:rPr>
        <w:footnoteReference w:id="122"/>
      </w:r>
      <w:r w:rsidR="00021B34" w:rsidRPr="00420489">
        <w:rPr>
          <w:rFonts w:asciiTheme="majorHAnsi" w:hAnsiTheme="majorHAnsi"/>
          <w:sz w:val="20"/>
          <w:szCs w:val="20"/>
          <w:lang w:val="es-VE"/>
        </w:rPr>
        <w:t xml:space="preserve">. El 15 de julio rindieron sus declaraciones Rocío San Miguel y Thais Coromoto Peña, y el 16 de julio rindió su declaración </w:t>
      </w:r>
      <w:proofErr w:type="spellStart"/>
      <w:r w:rsidR="00021B34" w:rsidRPr="00420489">
        <w:rPr>
          <w:rFonts w:asciiTheme="majorHAnsi" w:hAnsiTheme="majorHAnsi"/>
          <w:sz w:val="20"/>
          <w:szCs w:val="20"/>
          <w:lang w:val="es-VE"/>
        </w:rPr>
        <w:t>Magally</w:t>
      </w:r>
      <w:proofErr w:type="spellEnd"/>
      <w:r w:rsidR="00021B34" w:rsidRPr="00420489">
        <w:rPr>
          <w:rFonts w:asciiTheme="majorHAnsi" w:hAnsiTheme="majorHAnsi"/>
          <w:sz w:val="20"/>
          <w:szCs w:val="20"/>
          <w:lang w:val="es-VE"/>
        </w:rPr>
        <w:t xml:space="preserve"> Chang Girón</w:t>
      </w:r>
      <w:r w:rsidR="00021B34" w:rsidRPr="00420489">
        <w:rPr>
          <w:rFonts w:asciiTheme="majorHAnsi" w:hAnsiTheme="majorHAnsi"/>
          <w:sz w:val="20"/>
          <w:szCs w:val="20"/>
          <w:vertAlign w:val="superscript"/>
          <w:lang w:val="es-VE"/>
        </w:rPr>
        <w:footnoteReference w:id="123"/>
      </w:r>
      <w:r w:rsidR="00021B34" w:rsidRPr="00420489">
        <w:rPr>
          <w:rFonts w:asciiTheme="majorHAnsi" w:hAnsiTheme="majorHAnsi"/>
          <w:sz w:val="20"/>
          <w:szCs w:val="20"/>
          <w:lang w:val="es-VE"/>
        </w:rPr>
        <w:t xml:space="preserve">. </w:t>
      </w:r>
    </w:p>
    <w:p w14:paraId="198CC31B" w14:textId="77777777" w:rsidR="004D0F07" w:rsidRPr="00420489" w:rsidRDefault="004D0F07" w:rsidP="004D0F07">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VE"/>
        </w:rPr>
      </w:pPr>
    </w:p>
    <w:p w14:paraId="4825A785" w14:textId="001A6ABF" w:rsidR="00FD54DA" w:rsidRPr="00420489" w:rsidRDefault="00FD54DA"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ES"/>
        </w:rPr>
        <w:t>El 21 de enero de 2005</w:t>
      </w:r>
      <w:r w:rsidR="001509F1" w:rsidRPr="00420489">
        <w:rPr>
          <w:rFonts w:asciiTheme="majorHAnsi" w:hAnsiTheme="majorHAnsi"/>
          <w:sz w:val="20"/>
          <w:szCs w:val="20"/>
          <w:lang w:val="es-ES"/>
        </w:rPr>
        <w:t xml:space="preserve"> la Fiscalía Trigésima Séptima solicitó el sobreseimiento de la causa</w:t>
      </w:r>
      <w:r w:rsidR="004A2F2E" w:rsidRPr="00420489">
        <w:rPr>
          <w:rFonts w:asciiTheme="majorHAnsi" w:hAnsiTheme="majorHAnsi"/>
          <w:sz w:val="20"/>
          <w:szCs w:val="20"/>
          <w:lang w:val="es-ES"/>
        </w:rPr>
        <w:t xml:space="preserve"> a un juez de primera instancia</w:t>
      </w:r>
      <w:r w:rsidR="001509F1" w:rsidRPr="00420489">
        <w:rPr>
          <w:rFonts w:asciiTheme="majorHAnsi" w:hAnsiTheme="majorHAnsi"/>
          <w:sz w:val="20"/>
          <w:szCs w:val="20"/>
          <w:lang w:val="es-ES"/>
        </w:rPr>
        <w:t xml:space="preserve">, considerando que los hechos no revisten carácter penal y haciendo notar que no </w:t>
      </w:r>
      <w:r w:rsidR="001509F1" w:rsidRPr="00420489">
        <w:rPr>
          <w:rFonts w:asciiTheme="majorHAnsi" w:hAnsiTheme="majorHAnsi"/>
          <w:sz w:val="20"/>
          <w:szCs w:val="20"/>
          <w:lang w:val="es-ES"/>
        </w:rPr>
        <w:lastRenderedPageBreak/>
        <w:t>se pudo establecer la violación de un derecho constitucional ya que se trata de relaciones estab</w:t>
      </w:r>
      <w:r w:rsidR="00710D41" w:rsidRPr="00420489">
        <w:rPr>
          <w:rFonts w:asciiTheme="majorHAnsi" w:hAnsiTheme="majorHAnsi"/>
          <w:sz w:val="20"/>
          <w:szCs w:val="20"/>
          <w:lang w:val="es-ES"/>
        </w:rPr>
        <w:t xml:space="preserve">lecidas contractualmente, </w:t>
      </w:r>
      <w:r w:rsidR="001509F1" w:rsidRPr="00420489">
        <w:rPr>
          <w:rFonts w:asciiTheme="majorHAnsi" w:hAnsiTheme="majorHAnsi"/>
          <w:sz w:val="20"/>
          <w:szCs w:val="20"/>
          <w:lang w:val="es-ES"/>
        </w:rPr>
        <w:t>y según lo estipulado en la cláusula séptima de los contratos suscritos por las denunciantes el contratante se reservaba el derecho de dar por terminados dichos contratos</w:t>
      </w:r>
      <w:r w:rsidR="001509F1" w:rsidRPr="00420489">
        <w:rPr>
          <w:rStyle w:val="FootnoteReference"/>
          <w:rFonts w:asciiTheme="majorHAnsi" w:hAnsiTheme="majorHAnsi"/>
          <w:sz w:val="20"/>
          <w:szCs w:val="20"/>
          <w:lang w:val="es-ES"/>
        </w:rPr>
        <w:footnoteReference w:id="124"/>
      </w:r>
      <w:r w:rsidR="001509F1" w:rsidRPr="00420489">
        <w:rPr>
          <w:rFonts w:asciiTheme="majorHAnsi" w:hAnsiTheme="majorHAnsi"/>
          <w:sz w:val="20"/>
          <w:szCs w:val="20"/>
          <w:lang w:val="es-ES"/>
        </w:rPr>
        <w:t xml:space="preserve">. </w:t>
      </w:r>
      <w:r w:rsidR="00AC766D" w:rsidRPr="00420489">
        <w:rPr>
          <w:rFonts w:asciiTheme="majorHAnsi" w:hAnsiTheme="majorHAnsi"/>
          <w:sz w:val="20"/>
          <w:szCs w:val="20"/>
          <w:lang w:val="es-ES"/>
        </w:rPr>
        <w:t>El 4 de abril de 2005 el Juzgado Vig</w:t>
      </w:r>
      <w:r w:rsidR="00710D41" w:rsidRPr="00420489">
        <w:rPr>
          <w:rFonts w:asciiTheme="majorHAnsi" w:hAnsiTheme="majorHAnsi"/>
          <w:sz w:val="20"/>
          <w:szCs w:val="20"/>
          <w:lang w:val="es-ES"/>
        </w:rPr>
        <w:t xml:space="preserve">ésimo Primero </w:t>
      </w:r>
      <w:r w:rsidR="00AC766D" w:rsidRPr="00420489">
        <w:rPr>
          <w:rFonts w:asciiTheme="majorHAnsi" w:hAnsiTheme="majorHAnsi"/>
          <w:sz w:val="20"/>
          <w:szCs w:val="20"/>
          <w:lang w:val="es-ES"/>
        </w:rPr>
        <w:t xml:space="preserve">de Primera Instancia en funciones de Control </w:t>
      </w:r>
      <w:r w:rsidR="00370353" w:rsidRPr="00420489">
        <w:rPr>
          <w:rFonts w:asciiTheme="majorHAnsi" w:hAnsiTheme="majorHAnsi"/>
          <w:sz w:val="20"/>
          <w:szCs w:val="20"/>
          <w:lang w:val="es-ES"/>
        </w:rPr>
        <w:t>decretó el sobreseimiento de la causa al</w:t>
      </w:r>
      <w:r w:rsidR="003E51BF">
        <w:rPr>
          <w:rFonts w:asciiTheme="majorHAnsi" w:hAnsiTheme="majorHAnsi"/>
          <w:sz w:val="20"/>
          <w:szCs w:val="20"/>
          <w:lang w:val="es-ES"/>
        </w:rPr>
        <w:t xml:space="preserve"> considerar que:</w:t>
      </w:r>
      <w:r w:rsidR="00370353" w:rsidRPr="00420489">
        <w:rPr>
          <w:rFonts w:asciiTheme="majorHAnsi" w:hAnsiTheme="majorHAnsi"/>
          <w:sz w:val="20"/>
          <w:szCs w:val="20"/>
          <w:lang w:val="es-ES"/>
        </w:rPr>
        <w:t xml:space="preserve"> </w:t>
      </w:r>
    </w:p>
    <w:p w14:paraId="67986272" w14:textId="77777777" w:rsidR="00370353" w:rsidRPr="00420489" w:rsidRDefault="00370353" w:rsidP="00370353">
      <w:pPr>
        <w:ind w:right="720"/>
        <w:jc w:val="both"/>
        <w:rPr>
          <w:rFonts w:asciiTheme="majorHAnsi" w:hAnsiTheme="majorHAnsi"/>
          <w:sz w:val="20"/>
          <w:szCs w:val="20"/>
          <w:lang w:val="es-ES"/>
        </w:rPr>
      </w:pPr>
    </w:p>
    <w:p w14:paraId="5C05940B" w14:textId="77777777" w:rsidR="00776DC6" w:rsidRPr="00420489" w:rsidRDefault="00370353" w:rsidP="00421621">
      <w:pPr>
        <w:ind w:left="720" w:right="720"/>
        <w:jc w:val="both"/>
        <w:rPr>
          <w:rFonts w:asciiTheme="majorHAnsi" w:hAnsiTheme="majorHAnsi"/>
          <w:sz w:val="20"/>
          <w:szCs w:val="20"/>
          <w:lang w:val="es-VE"/>
        </w:rPr>
      </w:pPr>
      <w:r w:rsidRPr="00420489">
        <w:rPr>
          <w:rFonts w:asciiTheme="majorHAnsi" w:hAnsiTheme="majorHAnsi"/>
          <w:sz w:val="20"/>
          <w:szCs w:val="20"/>
          <w:lang w:val="es-ES"/>
        </w:rPr>
        <w:t xml:space="preserve"> De ninguna de las cláusulas  se evidencia que se hayan violado normas de carácter penal, y  si bien se evidencia que el Presidente del Consejo Nacional de Fronteras decide dar por terminada la contratación de servicios, no es menos cierto que así se lo permitía el contrato suscrito por las partes, por lo que observándose que de ninguno de los elementos reportados conllevan a corroborar el dicho de las denunciantes que el motivo de la determinación del contrato sea el hecho de haber votado en el referéndum revocatorio</w:t>
      </w:r>
      <w:r w:rsidR="00053C8B" w:rsidRPr="00420489">
        <w:rPr>
          <w:rFonts w:asciiTheme="majorHAnsi" w:hAnsiTheme="majorHAnsi"/>
          <w:sz w:val="20"/>
          <w:szCs w:val="20"/>
          <w:lang w:val="es-ES"/>
        </w:rPr>
        <w:t xml:space="preserve">, y que si así fuere tampoco tales hechos </w:t>
      </w:r>
      <w:r w:rsidR="00E80FE4" w:rsidRPr="00420489">
        <w:rPr>
          <w:rFonts w:asciiTheme="majorHAnsi" w:hAnsiTheme="majorHAnsi"/>
          <w:sz w:val="20"/>
          <w:szCs w:val="20"/>
          <w:lang w:val="es-ES"/>
        </w:rPr>
        <w:t>denunciados constituyen delitos, pues las normas invocadas como violatoria (sic) de derechos constitucionales no constituyen hecho punible y en todo caso, las desavenencias surgidas con motivo de una relación contractual no es de la competencia de este tribunal, ya que podían las denunciantes intentar su acción por otras vías administrativas o laborales a los efectos de garantizar su derecho al trabajo más no es la vía penal la idónea para su acción</w:t>
      </w:r>
      <w:r w:rsidRPr="00420489">
        <w:rPr>
          <w:rFonts w:asciiTheme="majorHAnsi" w:hAnsiTheme="majorHAnsi"/>
          <w:sz w:val="20"/>
          <w:szCs w:val="20"/>
          <w:vertAlign w:val="superscript"/>
        </w:rPr>
        <w:footnoteReference w:id="125"/>
      </w:r>
      <w:r w:rsidRPr="00420489">
        <w:rPr>
          <w:rFonts w:asciiTheme="majorHAnsi" w:hAnsiTheme="majorHAnsi"/>
          <w:sz w:val="20"/>
          <w:szCs w:val="20"/>
          <w:lang w:val="es-ES"/>
        </w:rPr>
        <w:t xml:space="preserve">.  </w:t>
      </w:r>
    </w:p>
    <w:p w14:paraId="5D0D41A9" w14:textId="77777777" w:rsidR="009D33B2" w:rsidRPr="00420489" w:rsidRDefault="009D33B2" w:rsidP="004D0F07">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609CDE2A" w14:textId="51A1D073" w:rsidR="004D0F07" w:rsidRPr="00420489" w:rsidRDefault="00F9568E" w:rsidP="00412C8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20489">
        <w:rPr>
          <w:rFonts w:asciiTheme="majorHAnsi" w:hAnsiTheme="majorHAnsi"/>
          <w:sz w:val="20"/>
          <w:szCs w:val="20"/>
          <w:lang w:val="es-ES"/>
        </w:rPr>
        <w:t xml:space="preserve">El 15 de abril de 2005 Rocío San Miguel Sosa, </w:t>
      </w:r>
      <w:proofErr w:type="spellStart"/>
      <w:r w:rsidRPr="00420489">
        <w:rPr>
          <w:rFonts w:asciiTheme="majorHAnsi" w:hAnsiTheme="majorHAnsi"/>
          <w:sz w:val="20"/>
          <w:szCs w:val="20"/>
          <w:lang w:val="es-ES"/>
        </w:rPr>
        <w:t>Magally</w:t>
      </w:r>
      <w:proofErr w:type="spellEnd"/>
      <w:r w:rsidRPr="00420489">
        <w:rPr>
          <w:rFonts w:asciiTheme="majorHAnsi" w:hAnsiTheme="majorHAnsi"/>
          <w:sz w:val="20"/>
          <w:szCs w:val="20"/>
          <w:lang w:val="es-ES"/>
        </w:rPr>
        <w:t xml:space="preserve"> Chang Girón y Thais Coromoto Peña interpusieron recurso de apelación contra la decisión de sobreseimiento argumentando que dicha decisi</w:t>
      </w:r>
      <w:r w:rsidR="00455C5C">
        <w:rPr>
          <w:rFonts w:asciiTheme="majorHAnsi" w:hAnsiTheme="majorHAnsi"/>
          <w:sz w:val="20"/>
          <w:szCs w:val="20"/>
          <w:lang w:val="es-ES"/>
        </w:rPr>
        <w:t xml:space="preserve">ón incurrió en error de derecho </w:t>
      </w:r>
      <w:r w:rsidR="00412C81" w:rsidRPr="00420489">
        <w:rPr>
          <w:rFonts w:asciiTheme="majorHAnsi" w:hAnsiTheme="majorHAnsi"/>
          <w:sz w:val="20"/>
          <w:szCs w:val="20"/>
          <w:lang w:val="es-ES"/>
        </w:rPr>
        <w:t>al concluir que “sí así fuere (si se hubiere corroborado que el motivo de la terminación de los contratos fue el hecho de haber votado en el referéndum revocatorio) tampoco tales hechos denunciados constituyen delitos”</w:t>
      </w:r>
      <w:r w:rsidR="00412C81" w:rsidRPr="00420489">
        <w:rPr>
          <w:rFonts w:asciiTheme="majorHAnsi" w:hAnsiTheme="majorHAnsi"/>
          <w:sz w:val="20"/>
          <w:szCs w:val="20"/>
          <w:vertAlign w:val="superscript"/>
          <w:lang w:val="es-VE"/>
        </w:rPr>
        <w:t xml:space="preserve"> </w:t>
      </w:r>
      <w:r w:rsidR="00412C81" w:rsidRPr="00420489">
        <w:rPr>
          <w:rFonts w:asciiTheme="majorHAnsi" w:hAnsiTheme="majorHAnsi"/>
          <w:sz w:val="20"/>
          <w:szCs w:val="20"/>
          <w:vertAlign w:val="superscript"/>
        </w:rPr>
        <w:footnoteReference w:id="126"/>
      </w:r>
      <w:r w:rsidR="00412C81" w:rsidRPr="00420489">
        <w:rPr>
          <w:rFonts w:asciiTheme="majorHAnsi" w:hAnsiTheme="majorHAnsi"/>
          <w:sz w:val="20"/>
          <w:szCs w:val="20"/>
          <w:lang w:val="es-ES"/>
        </w:rPr>
        <w:t xml:space="preserve">, ya que </w:t>
      </w:r>
      <w:r w:rsidRPr="00420489">
        <w:rPr>
          <w:rFonts w:asciiTheme="majorHAnsi" w:hAnsiTheme="majorHAnsi"/>
          <w:sz w:val="20"/>
          <w:szCs w:val="20"/>
          <w:lang w:val="es-ES"/>
        </w:rPr>
        <w:t>los hechos denunciados constituyen delito y si no se corroboró que el motivo de la terminación de los contratos fue haber participado en el referendo revocatorio fue precisament</w:t>
      </w:r>
      <w:r w:rsidR="00AC4BEC" w:rsidRPr="00420489">
        <w:rPr>
          <w:rFonts w:asciiTheme="majorHAnsi" w:hAnsiTheme="majorHAnsi"/>
          <w:sz w:val="20"/>
          <w:szCs w:val="20"/>
          <w:lang w:val="es-ES"/>
        </w:rPr>
        <w:t>e porque la Fiscalía no desarrolló una investigación adecuada</w:t>
      </w:r>
      <w:r w:rsidR="009C44EC" w:rsidRPr="00420489">
        <w:rPr>
          <w:rFonts w:asciiTheme="majorHAnsi" w:hAnsiTheme="majorHAnsi"/>
          <w:sz w:val="20"/>
          <w:szCs w:val="20"/>
          <w:vertAlign w:val="superscript"/>
        </w:rPr>
        <w:footnoteReference w:id="127"/>
      </w:r>
      <w:r w:rsidR="00AC4BEC" w:rsidRPr="00420489">
        <w:rPr>
          <w:rFonts w:asciiTheme="majorHAnsi" w:hAnsiTheme="majorHAnsi"/>
          <w:sz w:val="20"/>
          <w:szCs w:val="20"/>
          <w:lang w:val="es-ES"/>
        </w:rPr>
        <w:t xml:space="preserve">. </w:t>
      </w:r>
    </w:p>
    <w:p w14:paraId="7D03CF11" w14:textId="77777777" w:rsidR="004D0F07" w:rsidRPr="00420489" w:rsidRDefault="004D0F07" w:rsidP="004D0F07">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162BA8E7" w14:textId="77777777" w:rsidR="004D0F07" w:rsidRPr="00420489" w:rsidRDefault="006463F5"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20489">
        <w:rPr>
          <w:rFonts w:asciiTheme="majorHAnsi" w:hAnsiTheme="majorHAnsi"/>
          <w:sz w:val="20"/>
          <w:szCs w:val="20"/>
          <w:lang w:val="es-ES"/>
        </w:rPr>
        <w:t xml:space="preserve">El 28 de abril de 2005 la Fiscalía Trigésima Séptima </w:t>
      </w:r>
      <w:r w:rsidR="00D046C4" w:rsidRPr="00420489">
        <w:rPr>
          <w:rFonts w:asciiTheme="majorHAnsi" w:hAnsiTheme="majorHAnsi"/>
          <w:sz w:val="20"/>
          <w:szCs w:val="20"/>
          <w:lang w:val="es-ES"/>
        </w:rPr>
        <w:t>solicitó</w:t>
      </w:r>
      <w:r w:rsidRPr="00420489">
        <w:rPr>
          <w:rFonts w:asciiTheme="majorHAnsi" w:hAnsiTheme="majorHAnsi"/>
          <w:sz w:val="20"/>
          <w:szCs w:val="20"/>
          <w:lang w:val="es-ES"/>
        </w:rPr>
        <w:t xml:space="preserve"> a</w:t>
      </w:r>
      <w:r w:rsidR="00D046C4" w:rsidRPr="00420489">
        <w:rPr>
          <w:rFonts w:asciiTheme="majorHAnsi" w:hAnsiTheme="majorHAnsi"/>
          <w:sz w:val="20"/>
          <w:szCs w:val="20"/>
          <w:lang w:val="es-ES"/>
        </w:rPr>
        <w:t xml:space="preserve"> </w:t>
      </w:r>
      <w:r w:rsidRPr="00420489">
        <w:rPr>
          <w:rFonts w:asciiTheme="majorHAnsi" w:hAnsiTheme="majorHAnsi"/>
          <w:sz w:val="20"/>
          <w:szCs w:val="20"/>
          <w:lang w:val="es-ES"/>
        </w:rPr>
        <w:t>los miembros de la Corte de Apelaciones declarar sin lugar el recurso de apelación</w:t>
      </w:r>
      <w:r w:rsidR="00D046C4" w:rsidRPr="00420489">
        <w:rPr>
          <w:rFonts w:asciiTheme="majorHAnsi" w:hAnsiTheme="majorHAnsi"/>
          <w:sz w:val="20"/>
          <w:szCs w:val="20"/>
          <w:lang w:val="es-ES"/>
        </w:rPr>
        <w:t xml:space="preserve"> al considerar que “de las actas procesales se desprende que la actividad desplegada por los interesados en el asunto en comento se circunscribió a una relación establecida contractualmente y que nada tiene de injerencia en el ámbito penal (…)”</w:t>
      </w:r>
      <w:r w:rsidR="00327BFD" w:rsidRPr="00420489">
        <w:rPr>
          <w:rStyle w:val="FootnoteReference"/>
          <w:rFonts w:asciiTheme="majorHAnsi" w:hAnsiTheme="majorHAnsi"/>
          <w:sz w:val="20"/>
          <w:szCs w:val="20"/>
          <w:lang w:val="es-ES"/>
        </w:rPr>
        <w:footnoteReference w:id="128"/>
      </w:r>
      <w:r w:rsidR="00D046C4" w:rsidRPr="00420489">
        <w:rPr>
          <w:rFonts w:asciiTheme="majorHAnsi" w:hAnsiTheme="majorHAnsi"/>
          <w:sz w:val="20"/>
          <w:szCs w:val="20"/>
          <w:lang w:val="es-ES"/>
        </w:rPr>
        <w:t xml:space="preserve">. </w:t>
      </w:r>
    </w:p>
    <w:p w14:paraId="23FB64C9" w14:textId="77777777" w:rsidR="004D0F07" w:rsidRPr="00420489" w:rsidRDefault="004D0F07" w:rsidP="004D0F07">
      <w:pPr>
        <w:pStyle w:val="ListParagraph"/>
        <w:rPr>
          <w:rFonts w:asciiTheme="majorHAnsi" w:hAnsiTheme="majorHAnsi"/>
          <w:sz w:val="20"/>
          <w:szCs w:val="20"/>
          <w:lang w:val="es-ES"/>
        </w:rPr>
      </w:pPr>
    </w:p>
    <w:p w14:paraId="7E5635B4" w14:textId="7FB347C8" w:rsidR="004D0F07" w:rsidRPr="00420489" w:rsidRDefault="00E3229C"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20489">
        <w:rPr>
          <w:rFonts w:asciiTheme="majorHAnsi" w:hAnsiTheme="majorHAnsi"/>
          <w:sz w:val="20"/>
          <w:szCs w:val="20"/>
          <w:lang w:val="es-ES"/>
        </w:rPr>
        <w:t>El 5 de mayo de 2005 la Sala Séptima de la Corte de Apelaciones admitió el recurso de apelación interpuesto</w:t>
      </w:r>
      <w:r w:rsidRPr="00420489">
        <w:rPr>
          <w:rStyle w:val="FootnoteReference"/>
          <w:rFonts w:asciiTheme="majorHAnsi" w:hAnsiTheme="majorHAnsi"/>
          <w:sz w:val="20"/>
          <w:szCs w:val="20"/>
          <w:lang w:val="es-ES"/>
        </w:rPr>
        <w:footnoteReference w:id="129"/>
      </w:r>
      <w:r w:rsidR="00B84FF0" w:rsidRPr="00420489">
        <w:rPr>
          <w:rFonts w:asciiTheme="majorHAnsi" w:hAnsiTheme="majorHAnsi"/>
          <w:sz w:val="20"/>
          <w:szCs w:val="20"/>
          <w:lang w:val="es-ES"/>
        </w:rPr>
        <w:t xml:space="preserve"> y el 12 de mayo del 2005 dicha Sala </w:t>
      </w:r>
      <w:r w:rsidR="0046247F" w:rsidRPr="00420489">
        <w:rPr>
          <w:rFonts w:asciiTheme="majorHAnsi" w:hAnsiTheme="majorHAnsi"/>
          <w:sz w:val="20"/>
          <w:szCs w:val="20"/>
          <w:lang w:val="es-ES"/>
        </w:rPr>
        <w:t>declaró sin lugar el recurso indicando que “resulta imposible exigirle a la Vindicta Pública (titular de la acción penal por excelencia) que ejerza un acto conclusivo distinto al que ya ejerció (sobreseimiento de la presente causa) (…)</w:t>
      </w:r>
      <w:r w:rsidR="003612EF">
        <w:rPr>
          <w:rFonts w:asciiTheme="majorHAnsi" w:hAnsiTheme="majorHAnsi"/>
          <w:sz w:val="20"/>
          <w:szCs w:val="20"/>
          <w:lang w:val="es-ES"/>
        </w:rPr>
        <w:t>”</w:t>
      </w:r>
      <w:r w:rsidR="00E93945" w:rsidRPr="00420489">
        <w:rPr>
          <w:rStyle w:val="FootnoteReference"/>
          <w:rFonts w:asciiTheme="majorHAnsi" w:hAnsiTheme="majorHAnsi"/>
          <w:sz w:val="20"/>
          <w:szCs w:val="20"/>
          <w:lang w:val="es-ES"/>
        </w:rPr>
        <w:footnoteReference w:id="130"/>
      </w:r>
      <w:r w:rsidR="0046247F" w:rsidRPr="00420489">
        <w:rPr>
          <w:rFonts w:asciiTheme="majorHAnsi" w:hAnsiTheme="majorHAnsi"/>
          <w:sz w:val="20"/>
          <w:szCs w:val="20"/>
          <w:lang w:val="es-ES"/>
        </w:rPr>
        <w:t xml:space="preserve">. </w:t>
      </w:r>
    </w:p>
    <w:p w14:paraId="4C572D8E" w14:textId="77777777" w:rsidR="004D0F07" w:rsidRPr="00420489" w:rsidRDefault="004D0F07" w:rsidP="004D0F07">
      <w:pPr>
        <w:pStyle w:val="ListParagraph"/>
        <w:rPr>
          <w:rFonts w:asciiTheme="majorHAnsi" w:hAnsiTheme="majorHAnsi"/>
          <w:sz w:val="20"/>
          <w:szCs w:val="20"/>
          <w:lang w:val="es-ES"/>
        </w:rPr>
      </w:pPr>
    </w:p>
    <w:p w14:paraId="477B8178" w14:textId="5E6BBEBD" w:rsidR="004D0F07" w:rsidRPr="00420489" w:rsidRDefault="004D6324"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20489">
        <w:rPr>
          <w:rFonts w:asciiTheme="majorHAnsi" w:hAnsiTheme="majorHAnsi"/>
          <w:sz w:val="20"/>
          <w:szCs w:val="20"/>
          <w:lang w:val="es-ES"/>
        </w:rPr>
        <w:lastRenderedPageBreak/>
        <w:t xml:space="preserve">El 7 de julio de 2005 </w:t>
      </w:r>
      <w:r w:rsidR="00DA5FD7" w:rsidRPr="00420489">
        <w:rPr>
          <w:rFonts w:asciiTheme="majorHAnsi" w:hAnsiTheme="majorHAnsi"/>
          <w:sz w:val="20"/>
          <w:szCs w:val="20"/>
          <w:lang w:val="es-ES"/>
        </w:rPr>
        <w:t xml:space="preserve">las presuntas víctimas  interpusieron recurso de casación  en contra de la decisión que declaró sin </w:t>
      </w:r>
      <w:r w:rsidR="00A90E8D">
        <w:rPr>
          <w:rFonts w:asciiTheme="majorHAnsi" w:hAnsiTheme="majorHAnsi"/>
          <w:sz w:val="20"/>
          <w:szCs w:val="20"/>
          <w:lang w:val="es-ES"/>
        </w:rPr>
        <w:t>lugar el recurso de apelación</w:t>
      </w:r>
      <w:r w:rsidR="00D10E07" w:rsidRPr="00420489">
        <w:rPr>
          <w:rFonts w:asciiTheme="majorHAnsi" w:hAnsiTheme="majorHAnsi"/>
          <w:sz w:val="20"/>
          <w:szCs w:val="20"/>
          <w:lang w:val="es-ES"/>
        </w:rPr>
        <w:t>, alegando una serie de violaciones al derecho al debido proceso, así como infracción e indebida interpretación de la ley</w:t>
      </w:r>
      <w:r w:rsidR="00D10E07" w:rsidRPr="00420489">
        <w:rPr>
          <w:rStyle w:val="FootnoteReference"/>
          <w:rFonts w:asciiTheme="majorHAnsi" w:hAnsiTheme="majorHAnsi"/>
          <w:sz w:val="20"/>
          <w:szCs w:val="20"/>
          <w:lang w:val="es-ES"/>
        </w:rPr>
        <w:footnoteReference w:id="131"/>
      </w:r>
      <w:r w:rsidR="00D10E07" w:rsidRPr="00420489">
        <w:rPr>
          <w:rFonts w:asciiTheme="majorHAnsi" w:hAnsiTheme="majorHAnsi"/>
          <w:sz w:val="20"/>
          <w:szCs w:val="20"/>
          <w:lang w:val="es-ES"/>
        </w:rPr>
        <w:t xml:space="preserve">.  </w:t>
      </w:r>
    </w:p>
    <w:p w14:paraId="6822AD1C" w14:textId="77777777" w:rsidR="004D0F07" w:rsidRPr="00420489" w:rsidRDefault="004D0F07" w:rsidP="004D0F07">
      <w:pPr>
        <w:pStyle w:val="ListParagraph"/>
        <w:rPr>
          <w:rFonts w:asciiTheme="majorHAnsi" w:hAnsiTheme="majorHAnsi"/>
          <w:sz w:val="20"/>
          <w:szCs w:val="20"/>
          <w:lang w:val="es-ES"/>
        </w:rPr>
      </w:pPr>
    </w:p>
    <w:p w14:paraId="1558072E" w14:textId="77777777" w:rsidR="008540B6" w:rsidRPr="00420489" w:rsidRDefault="008540B6" w:rsidP="004D0F0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20489">
        <w:rPr>
          <w:rFonts w:asciiTheme="majorHAnsi" w:hAnsiTheme="majorHAnsi"/>
          <w:sz w:val="20"/>
          <w:szCs w:val="20"/>
          <w:lang w:val="es-ES"/>
        </w:rPr>
        <w:t>El 27 de septiembre de 2005</w:t>
      </w:r>
      <w:r w:rsidR="006945B0" w:rsidRPr="00420489">
        <w:rPr>
          <w:rFonts w:asciiTheme="majorHAnsi" w:hAnsiTheme="majorHAnsi"/>
          <w:sz w:val="20"/>
          <w:szCs w:val="20"/>
          <w:lang w:val="es-ES"/>
        </w:rPr>
        <w:t xml:space="preserve"> la Sala de Casación Penal del Tribunal Supremo de Justicia </w:t>
      </w:r>
      <w:r w:rsidR="00637E9F" w:rsidRPr="00420489">
        <w:rPr>
          <w:rFonts w:asciiTheme="majorHAnsi" w:hAnsiTheme="majorHAnsi"/>
          <w:sz w:val="20"/>
          <w:szCs w:val="20"/>
          <w:lang w:val="es-ES"/>
        </w:rPr>
        <w:t>declaró sin lugar el recurso de casación interp</w:t>
      </w:r>
      <w:r w:rsidR="00421621" w:rsidRPr="00420489">
        <w:rPr>
          <w:rFonts w:asciiTheme="majorHAnsi" w:hAnsiTheme="majorHAnsi"/>
          <w:sz w:val="20"/>
          <w:szCs w:val="20"/>
          <w:lang w:val="es-ES"/>
        </w:rPr>
        <w:t>uesto por las víctimas del caso</w:t>
      </w:r>
      <w:r w:rsidR="00D22010" w:rsidRPr="00420489">
        <w:rPr>
          <w:rFonts w:asciiTheme="majorHAnsi" w:hAnsiTheme="majorHAnsi"/>
          <w:sz w:val="20"/>
          <w:szCs w:val="20"/>
          <w:lang w:val="es-ES"/>
        </w:rPr>
        <w:t xml:space="preserve"> por considerar que las recurrentes “no demostraron la utilidad del recurso de casación y no expusieron en forma clara sus argumentos”</w:t>
      </w:r>
      <w:r w:rsidR="00D22010" w:rsidRPr="00420489">
        <w:rPr>
          <w:rStyle w:val="FootnoteReference"/>
          <w:rFonts w:asciiTheme="majorHAnsi" w:hAnsiTheme="majorHAnsi"/>
          <w:sz w:val="20"/>
          <w:szCs w:val="20"/>
          <w:lang w:val="es-ES"/>
        </w:rPr>
        <w:t xml:space="preserve"> </w:t>
      </w:r>
      <w:r w:rsidR="00D22010" w:rsidRPr="00420489">
        <w:rPr>
          <w:rStyle w:val="FootnoteReference"/>
          <w:rFonts w:asciiTheme="majorHAnsi" w:hAnsiTheme="majorHAnsi"/>
          <w:sz w:val="20"/>
          <w:szCs w:val="20"/>
          <w:lang w:val="es-ES"/>
        </w:rPr>
        <w:footnoteReference w:id="132"/>
      </w:r>
      <w:r w:rsidR="00D22010" w:rsidRPr="00420489">
        <w:rPr>
          <w:rFonts w:asciiTheme="majorHAnsi" w:hAnsiTheme="majorHAnsi"/>
          <w:sz w:val="20"/>
          <w:szCs w:val="20"/>
          <w:lang w:val="es-ES"/>
        </w:rPr>
        <w:t xml:space="preserve">. </w:t>
      </w:r>
    </w:p>
    <w:p w14:paraId="5594315F" w14:textId="77777777" w:rsidR="00E40449" w:rsidRPr="00420489" w:rsidRDefault="00E40449" w:rsidP="00B07000">
      <w:pPr>
        <w:suppressAutoHyphens/>
        <w:jc w:val="both"/>
        <w:rPr>
          <w:rFonts w:asciiTheme="majorHAnsi" w:hAnsiTheme="majorHAnsi"/>
          <w:sz w:val="20"/>
          <w:szCs w:val="20"/>
          <w:lang w:val="es-VE"/>
        </w:rPr>
      </w:pPr>
    </w:p>
    <w:p w14:paraId="3136E932" w14:textId="77777777" w:rsidR="00F36DD3" w:rsidRPr="00420489" w:rsidRDefault="00F36DD3" w:rsidP="00B07000">
      <w:pPr>
        <w:suppressAutoHyphens/>
        <w:jc w:val="both"/>
        <w:rPr>
          <w:rFonts w:asciiTheme="majorHAnsi" w:hAnsiTheme="majorHAnsi"/>
          <w:sz w:val="20"/>
          <w:szCs w:val="20"/>
          <w:lang w:val="es-VE"/>
        </w:rPr>
      </w:pPr>
    </w:p>
    <w:p w14:paraId="229CFB48" w14:textId="77777777" w:rsidR="00E40449" w:rsidRPr="00420489" w:rsidRDefault="00E40449" w:rsidP="005E081B">
      <w:pPr>
        <w:pStyle w:val="Heading1"/>
        <w:numPr>
          <w:ilvl w:val="0"/>
          <w:numId w:val="55"/>
        </w:numPr>
        <w:tabs>
          <w:tab w:val="clear" w:pos="1440"/>
        </w:tabs>
      </w:pPr>
      <w:bookmarkStart w:id="33" w:name="_Toc423514424"/>
      <w:bookmarkStart w:id="34" w:name="_Toc433308904"/>
      <w:r w:rsidRPr="00420489">
        <w:t>ANALISIS DE DERECHO</w:t>
      </w:r>
      <w:bookmarkEnd w:id="33"/>
      <w:bookmarkEnd w:id="34"/>
      <w:r w:rsidRPr="00420489">
        <w:t xml:space="preserve"> </w:t>
      </w:r>
    </w:p>
    <w:p w14:paraId="7B60C402" w14:textId="77777777" w:rsidR="006E00A3" w:rsidRPr="00420489" w:rsidRDefault="006E00A3" w:rsidP="006E00A3">
      <w:pPr>
        <w:rPr>
          <w:rFonts w:asciiTheme="majorHAnsi" w:hAnsiTheme="majorHAnsi"/>
          <w:sz w:val="20"/>
          <w:szCs w:val="20"/>
          <w:lang w:val="es-ES"/>
        </w:rPr>
      </w:pPr>
    </w:p>
    <w:p w14:paraId="70DEC01A" w14:textId="1D8C7262" w:rsidR="007E07FA" w:rsidRDefault="000F02CF" w:rsidP="004A5D6F">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4079F">
        <w:rPr>
          <w:rFonts w:asciiTheme="majorHAnsi" w:hAnsiTheme="majorHAnsi"/>
          <w:sz w:val="20"/>
          <w:szCs w:val="20"/>
          <w:lang w:val="es-ES"/>
        </w:rPr>
        <w:t>Con base en los alegatos de las partes y los hechos probados,</w:t>
      </w:r>
      <w:r w:rsidR="00167A48" w:rsidRPr="0044079F">
        <w:rPr>
          <w:rFonts w:asciiTheme="majorHAnsi" w:hAnsiTheme="majorHAnsi"/>
          <w:sz w:val="20"/>
          <w:szCs w:val="20"/>
          <w:lang w:val="es-ES"/>
        </w:rPr>
        <w:t xml:space="preserve"> la Comisión se pronunciará en primer lug</w:t>
      </w:r>
      <w:r w:rsidR="001267D6">
        <w:rPr>
          <w:rFonts w:asciiTheme="majorHAnsi" w:hAnsiTheme="majorHAnsi"/>
          <w:sz w:val="20"/>
          <w:szCs w:val="20"/>
          <w:lang w:val="es-ES"/>
        </w:rPr>
        <w:t>ar sobre si la creación de la “L</w:t>
      </w:r>
      <w:r w:rsidR="00167A48" w:rsidRPr="0044079F">
        <w:rPr>
          <w:rFonts w:asciiTheme="majorHAnsi" w:hAnsiTheme="majorHAnsi"/>
          <w:sz w:val="20"/>
          <w:szCs w:val="20"/>
          <w:lang w:val="es-ES"/>
        </w:rPr>
        <w:t xml:space="preserve">ista </w:t>
      </w:r>
      <w:proofErr w:type="spellStart"/>
      <w:r w:rsidR="00167A48" w:rsidRPr="0044079F">
        <w:rPr>
          <w:rFonts w:asciiTheme="majorHAnsi" w:hAnsiTheme="majorHAnsi"/>
          <w:sz w:val="20"/>
          <w:szCs w:val="20"/>
          <w:lang w:val="es-ES"/>
        </w:rPr>
        <w:t>Tascón</w:t>
      </w:r>
      <w:proofErr w:type="spellEnd"/>
      <w:r w:rsidR="00167A48" w:rsidRPr="0044079F">
        <w:rPr>
          <w:rFonts w:asciiTheme="majorHAnsi" w:hAnsiTheme="majorHAnsi"/>
          <w:sz w:val="20"/>
          <w:szCs w:val="20"/>
          <w:lang w:val="es-ES"/>
        </w:rPr>
        <w:t>”</w:t>
      </w:r>
      <w:r w:rsidR="0042566E" w:rsidRPr="00F9666C">
        <w:rPr>
          <w:rFonts w:asciiTheme="majorHAnsi" w:hAnsiTheme="majorHAnsi"/>
          <w:sz w:val="20"/>
          <w:szCs w:val="20"/>
          <w:lang w:val="es-ES"/>
        </w:rPr>
        <w:t xml:space="preserve"> y su difusión configuró en sí misma vulneraciones de la Convención Americana. En segundo lugar, la Comisión analizará si el despido de las presuntas víctimas constituyó una violación a los derechos políticos, a la l</w:t>
      </w:r>
      <w:r w:rsidR="0042566E" w:rsidRPr="00B95C9D">
        <w:rPr>
          <w:rFonts w:asciiTheme="majorHAnsi" w:hAnsiTheme="majorHAnsi"/>
          <w:sz w:val="20"/>
          <w:szCs w:val="20"/>
          <w:lang w:val="es-ES"/>
        </w:rPr>
        <w:t>ibertad de expresión y al principio de igualdad y no discriminación. En tercer lugar, la Comisión determinará si los procesos activados internamente constituyeron un recurso efectivo para protegerlas judicialmente frente al despido. Finalmente, la Comisión</w:t>
      </w:r>
      <w:r w:rsidR="0042566E" w:rsidRPr="000710A8">
        <w:rPr>
          <w:rFonts w:asciiTheme="majorHAnsi" w:hAnsiTheme="majorHAnsi"/>
          <w:sz w:val="20"/>
          <w:szCs w:val="20"/>
          <w:lang w:val="es-ES"/>
        </w:rPr>
        <w:t xml:space="preserve"> se referirá a los alegatos de los peticionarios sobre la violación del derecho a la integridad personal. En consecuencia, l</w:t>
      </w:r>
      <w:r w:rsidRPr="000710A8">
        <w:rPr>
          <w:rFonts w:asciiTheme="majorHAnsi" w:hAnsiTheme="majorHAnsi"/>
          <w:sz w:val="20"/>
          <w:szCs w:val="20"/>
          <w:lang w:val="es-ES"/>
        </w:rPr>
        <w:t>a Comisión efectuará su aná</w:t>
      </w:r>
      <w:r w:rsidR="00B87DB6" w:rsidRPr="000710A8">
        <w:rPr>
          <w:rFonts w:asciiTheme="majorHAnsi" w:hAnsiTheme="majorHAnsi"/>
          <w:sz w:val="20"/>
          <w:szCs w:val="20"/>
          <w:lang w:val="es-ES"/>
        </w:rPr>
        <w:t>lisis</w:t>
      </w:r>
      <w:r w:rsidR="0044079F">
        <w:rPr>
          <w:rFonts w:asciiTheme="majorHAnsi" w:hAnsiTheme="majorHAnsi"/>
          <w:sz w:val="20"/>
          <w:szCs w:val="20"/>
          <w:lang w:val="es-ES"/>
        </w:rPr>
        <w:t xml:space="preserve"> refiriéndose, en primer lugar, a los </w:t>
      </w:r>
      <w:r w:rsidR="00B87DB6" w:rsidRPr="0044079F">
        <w:rPr>
          <w:rFonts w:asciiTheme="majorHAnsi" w:hAnsiTheme="majorHAnsi"/>
          <w:sz w:val="20"/>
          <w:szCs w:val="20"/>
          <w:lang w:val="es-ES"/>
        </w:rPr>
        <w:t>derechos políticos, la libertad de expresión y el principio de igualdad y no discriminación en el marco del despido</w:t>
      </w:r>
      <w:r w:rsidR="0044079F">
        <w:rPr>
          <w:rFonts w:asciiTheme="majorHAnsi" w:hAnsiTheme="majorHAnsi"/>
          <w:sz w:val="20"/>
          <w:szCs w:val="20"/>
          <w:lang w:val="es-ES"/>
        </w:rPr>
        <w:t xml:space="preserve">. En segundo lugar, la Comisión se referirá a los </w:t>
      </w:r>
      <w:r w:rsidR="00B87DB6" w:rsidRPr="0044079F">
        <w:rPr>
          <w:rFonts w:asciiTheme="majorHAnsi" w:hAnsiTheme="majorHAnsi"/>
          <w:sz w:val="20"/>
          <w:szCs w:val="20"/>
          <w:lang w:val="es-ES"/>
        </w:rPr>
        <w:t>derechos a las garantías judiciales y protecci</w:t>
      </w:r>
      <w:r w:rsidR="00A3607C" w:rsidRPr="0044079F">
        <w:rPr>
          <w:rFonts w:asciiTheme="majorHAnsi" w:hAnsiTheme="majorHAnsi"/>
          <w:sz w:val="20"/>
          <w:szCs w:val="20"/>
          <w:lang w:val="es-ES"/>
        </w:rPr>
        <w:t>ón judicial</w:t>
      </w:r>
      <w:r w:rsidR="0044079F">
        <w:rPr>
          <w:rFonts w:asciiTheme="majorHAnsi" w:hAnsiTheme="majorHAnsi"/>
          <w:sz w:val="20"/>
          <w:szCs w:val="20"/>
          <w:lang w:val="es-ES"/>
        </w:rPr>
        <w:t>.</w:t>
      </w:r>
    </w:p>
    <w:p w14:paraId="7B39CB6D" w14:textId="77777777" w:rsidR="0044079F" w:rsidRPr="0044079F" w:rsidRDefault="0044079F" w:rsidP="0044079F">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6F21943D" w14:textId="77777777" w:rsidR="00D7257D" w:rsidRPr="00420489" w:rsidRDefault="00D7257D" w:rsidP="0015155E">
      <w:pPr>
        <w:pStyle w:val="Heading2"/>
        <w:numPr>
          <w:ilvl w:val="0"/>
          <w:numId w:val="62"/>
        </w:numPr>
        <w:ind w:left="1440" w:hanging="720"/>
      </w:pPr>
      <w:bookmarkStart w:id="35" w:name="_Toc433308905"/>
      <w:r w:rsidRPr="00420489">
        <w:rPr>
          <w:lang w:val="es-ES"/>
        </w:rPr>
        <w:t>Los derechos políticos, la libertad de expresión y el principio de igualdad y no discriminación en el marco del despido (Artículos 23.1, 13.</w:t>
      </w:r>
      <w:r w:rsidR="007D4D0A" w:rsidRPr="00420489">
        <w:rPr>
          <w:lang w:val="es-ES"/>
        </w:rPr>
        <w:t>1 y 13.</w:t>
      </w:r>
      <w:r w:rsidRPr="00420489">
        <w:rPr>
          <w:lang w:val="es-ES"/>
        </w:rPr>
        <w:t>3, 24 y 1.1 de la Convención Americana)</w:t>
      </w:r>
      <w:bookmarkEnd w:id="35"/>
      <w:r w:rsidRPr="00420489">
        <w:rPr>
          <w:lang w:val="es-ES"/>
        </w:rPr>
        <w:t xml:space="preserve"> </w:t>
      </w:r>
    </w:p>
    <w:p w14:paraId="7640CDAF" w14:textId="77777777" w:rsidR="00D7257D" w:rsidRPr="00420489" w:rsidRDefault="00D7257D" w:rsidP="00D7257D">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lang w:val="es-ES_tradnl" w:eastAsia="es-ES"/>
        </w:rPr>
      </w:pPr>
    </w:p>
    <w:p w14:paraId="2F1FB793" w14:textId="77777777" w:rsidR="001C0C84" w:rsidRPr="00420489" w:rsidRDefault="007D4D0A" w:rsidP="007D4D0A">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6E54B0">
        <w:rPr>
          <w:rFonts w:asciiTheme="majorHAnsi" w:hAnsiTheme="majorHAnsi"/>
          <w:sz w:val="20"/>
          <w:szCs w:val="20"/>
          <w:lang w:val="es-ES"/>
        </w:rPr>
        <w:t>El artículo 23.1 de la Convención Americana señala:</w:t>
      </w:r>
    </w:p>
    <w:p w14:paraId="6ED245C3" w14:textId="77777777" w:rsidR="001C0C84" w:rsidRPr="00420489" w:rsidRDefault="001C0C84" w:rsidP="00544F8F">
      <w:pPr>
        <w:ind w:left="1080" w:right="720" w:hanging="360"/>
        <w:rPr>
          <w:rFonts w:asciiTheme="majorHAnsi" w:eastAsia="Times New Roman" w:hAnsiTheme="majorHAnsi"/>
          <w:sz w:val="20"/>
          <w:szCs w:val="20"/>
          <w:lang w:val="es-ES" w:eastAsia="es-ES"/>
        </w:rPr>
      </w:pPr>
    </w:p>
    <w:p w14:paraId="13CB2EFF" w14:textId="77777777" w:rsidR="007D4D0A" w:rsidRPr="00420489" w:rsidRDefault="007D4D0A" w:rsidP="0015155E">
      <w:pPr>
        <w:tabs>
          <w:tab w:val="left" w:pos="709"/>
        </w:tabs>
        <w:suppressAutoHyphens/>
        <w:ind w:left="709"/>
        <w:jc w:val="both"/>
        <w:rPr>
          <w:rFonts w:asciiTheme="majorHAnsi" w:hAnsiTheme="majorHAnsi"/>
          <w:spacing w:val="-3"/>
          <w:sz w:val="20"/>
          <w:szCs w:val="20"/>
          <w:lang w:val="es-ES"/>
        </w:rPr>
      </w:pPr>
      <w:r w:rsidRPr="00420489">
        <w:rPr>
          <w:rFonts w:asciiTheme="majorHAnsi" w:hAnsiTheme="majorHAnsi"/>
          <w:spacing w:val="-3"/>
          <w:sz w:val="20"/>
          <w:szCs w:val="20"/>
          <w:lang w:val="es-ES"/>
        </w:rPr>
        <w:tab/>
        <w:t>1.</w:t>
      </w:r>
      <w:r w:rsidRPr="00420489">
        <w:rPr>
          <w:rFonts w:asciiTheme="majorHAnsi" w:hAnsiTheme="majorHAnsi"/>
          <w:spacing w:val="-3"/>
          <w:sz w:val="20"/>
          <w:szCs w:val="20"/>
          <w:lang w:val="es-ES"/>
        </w:rPr>
        <w:tab/>
        <w:t>Todos los ciudadanos deben gozar de los siguientes derechos y oportunidades:</w:t>
      </w:r>
    </w:p>
    <w:p w14:paraId="74D6A880" w14:textId="77777777" w:rsidR="007D4D0A" w:rsidRPr="00420489" w:rsidRDefault="007D4D0A" w:rsidP="0015155E">
      <w:pPr>
        <w:tabs>
          <w:tab w:val="left" w:pos="709"/>
        </w:tabs>
        <w:suppressAutoHyphens/>
        <w:ind w:left="709"/>
        <w:jc w:val="both"/>
        <w:rPr>
          <w:rFonts w:asciiTheme="majorHAnsi" w:hAnsiTheme="majorHAnsi"/>
          <w:spacing w:val="-3"/>
          <w:sz w:val="20"/>
          <w:szCs w:val="20"/>
          <w:lang w:val="es-ES"/>
        </w:rPr>
      </w:pPr>
    </w:p>
    <w:p w14:paraId="6A0B3BB8" w14:textId="77777777" w:rsidR="007D4D0A" w:rsidRPr="00420489" w:rsidRDefault="007D4D0A" w:rsidP="0015155E">
      <w:pPr>
        <w:pStyle w:val="BodyTextIndent"/>
        <w:tabs>
          <w:tab w:val="left" w:pos="709"/>
        </w:tabs>
        <w:ind w:left="709" w:right="571" w:firstLine="0"/>
        <w:jc w:val="both"/>
        <w:rPr>
          <w:rFonts w:asciiTheme="majorHAnsi" w:hAnsiTheme="majorHAnsi"/>
          <w:sz w:val="20"/>
          <w:szCs w:val="20"/>
          <w:lang w:val="es-ES"/>
        </w:rPr>
      </w:pPr>
      <w:r w:rsidRPr="00420489">
        <w:rPr>
          <w:rFonts w:asciiTheme="majorHAnsi" w:hAnsiTheme="majorHAnsi"/>
          <w:sz w:val="20"/>
          <w:szCs w:val="20"/>
          <w:lang w:val="es-ES"/>
        </w:rPr>
        <w:t>a.</w:t>
      </w:r>
      <w:r w:rsidRPr="00420489">
        <w:rPr>
          <w:rFonts w:asciiTheme="majorHAnsi" w:hAnsiTheme="majorHAnsi"/>
          <w:sz w:val="20"/>
          <w:szCs w:val="20"/>
          <w:lang w:val="es-ES"/>
        </w:rPr>
        <w:tab/>
        <w:t>de participar en la dirección de los asuntos públicos, directamente o por medio de representantes libremente elegidos;</w:t>
      </w:r>
    </w:p>
    <w:p w14:paraId="4BFF008C" w14:textId="77777777" w:rsidR="007D4D0A" w:rsidRPr="00420489" w:rsidRDefault="007D4D0A" w:rsidP="0015155E">
      <w:pPr>
        <w:tabs>
          <w:tab w:val="left" w:pos="709"/>
        </w:tabs>
        <w:suppressAutoHyphens/>
        <w:ind w:left="709" w:right="571"/>
        <w:jc w:val="both"/>
        <w:rPr>
          <w:rFonts w:asciiTheme="majorHAnsi" w:hAnsiTheme="majorHAnsi"/>
          <w:spacing w:val="-3"/>
          <w:sz w:val="20"/>
          <w:szCs w:val="20"/>
          <w:lang w:val="es-ES"/>
        </w:rPr>
      </w:pPr>
    </w:p>
    <w:p w14:paraId="10C4DA9F" w14:textId="77777777" w:rsidR="007D4D0A" w:rsidRPr="00420489" w:rsidRDefault="007D4D0A" w:rsidP="0015155E">
      <w:pPr>
        <w:tabs>
          <w:tab w:val="left" w:pos="709"/>
        </w:tabs>
        <w:suppressAutoHyphens/>
        <w:ind w:left="709" w:right="571"/>
        <w:jc w:val="both"/>
        <w:rPr>
          <w:rFonts w:asciiTheme="majorHAnsi" w:hAnsiTheme="majorHAnsi"/>
          <w:spacing w:val="-3"/>
          <w:sz w:val="20"/>
          <w:szCs w:val="20"/>
          <w:lang w:val="es-ES"/>
        </w:rPr>
      </w:pPr>
      <w:r w:rsidRPr="00420489">
        <w:rPr>
          <w:rFonts w:asciiTheme="majorHAnsi" w:hAnsiTheme="majorHAnsi"/>
          <w:spacing w:val="-3"/>
          <w:sz w:val="20"/>
          <w:szCs w:val="20"/>
          <w:lang w:val="es-ES"/>
        </w:rPr>
        <w:t>b.</w:t>
      </w:r>
      <w:r w:rsidRPr="00420489">
        <w:rPr>
          <w:rFonts w:asciiTheme="majorHAnsi" w:hAnsiTheme="majorHAnsi"/>
          <w:spacing w:val="-3"/>
          <w:sz w:val="20"/>
          <w:szCs w:val="20"/>
          <w:lang w:val="es-ES"/>
        </w:rPr>
        <w:tab/>
        <w:t>de votar y ser elegidos en elecciones periódicas auténticas, realizadas por sufragio universal e igual y por voto secreto que garantice la libre expresión de la voluntad de los electores, y</w:t>
      </w:r>
    </w:p>
    <w:p w14:paraId="6B03BE7B" w14:textId="77777777" w:rsidR="007D4D0A" w:rsidRPr="00420489" w:rsidRDefault="007D4D0A" w:rsidP="0015155E">
      <w:pPr>
        <w:tabs>
          <w:tab w:val="left" w:pos="709"/>
        </w:tabs>
        <w:suppressAutoHyphens/>
        <w:ind w:left="709" w:right="571"/>
        <w:jc w:val="both"/>
        <w:rPr>
          <w:rFonts w:asciiTheme="majorHAnsi" w:hAnsiTheme="majorHAnsi"/>
          <w:spacing w:val="-3"/>
          <w:sz w:val="20"/>
          <w:szCs w:val="20"/>
          <w:lang w:val="es-ES"/>
        </w:rPr>
      </w:pPr>
    </w:p>
    <w:p w14:paraId="09AF61C8" w14:textId="77777777" w:rsidR="007D4D0A" w:rsidRPr="00420489" w:rsidRDefault="007D4D0A" w:rsidP="0015155E">
      <w:pPr>
        <w:tabs>
          <w:tab w:val="left" w:pos="709"/>
        </w:tabs>
        <w:suppressAutoHyphens/>
        <w:ind w:left="709" w:right="571"/>
        <w:jc w:val="both"/>
        <w:rPr>
          <w:rFonts w:asciiTheme="majorHAnsi" w:hAnsiTheme="majorHAnsi"/>
          <w:spacing w:val="-3"/>
          <w:sz w:val="20"/>
          <w:szCs w:val="20"/>
          <w:lang w:val="es-ES"/>
        </w:rPr>
      </w:pPr>
      <w:r w:rsidRPr="00420489">
        <w:rPr>
          <w:rFonts w:asciiTheme="majorHAnsi" w:hAnsiTheme="majorHAnsi"/>
          <w:spacing w:val="-3"/>
          <w:sz w:val="20"/>
          <w:szCs w:val="20"/>
          <w:lang w:val="es-ES"/>
        </w:rPr>
        <w:t>c.</w:t>
      </w:r>
      <w:r w:rsidRPr="00420489">
        <w:rPr>
          <w:rFonts w:asciiTheme="majorHAnsi" w:hAnsiTheme="majorHAnsi"/>
          <w:spacing w:val="-3"/>
          <w:sz w:val="20"/>
          <w:szCs w:val="20"/>
          <w:lang w:val="es-ES"/>
        </w:rPr>
        <w:tab/>
        <w:t>de tener acceso, en condiciones generales de igualdad, a las funciones públicas de su país.</w:t>
      </w:r>
    </w:p>
    <w:p w14:paraId="2846FB1E" w14:textId="77777777" w:rsidR="007D4D0A" w:rsidRPr="00420489" w:rsidRDefault="007D4D0A" w:rsidP="00544F8F">
      <w:pPr>
        <w:ind w:left="1080" w:right="720" w:hanging="360"/>
        <w:rPr>
          <w:rFonts w:asciiTheme="majorHAnsi" w:eastAsia="Times New Roman" w:hAnsiTheme="majorHAnsi"/>
          <w:sz w:val="20"/>
          <w:szCs w:val="20"/>
          <w:lang w:val="es-ES" w:eastAsia="es-ES"/>
        </w:rPr>
      </w:pPr>
    </w:p>
    <w:p w14:paraId="461C6FFC" w14:textId="77777777" w:rsidR="00D15325" w:rsidRPr="00420489" w:rsidRDefault="007D4D0A" w:rsidP="007D4D0A">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val="es-ES" w:eastAsia="es-ES"/>
        </w:rPr>
      </w:pPr>
      <w:r w:rsidRPr="00420489">
        <w:rPr>
          <w:rFonts w:asciiTheme="majorHAnsi" w:eastAsia="Times New Roman" w:hAnsiTheme="majorHAnsi"/>
          <w:sz w:val="20"/>
          <w:szCs w:val="20"/>
          <w:lang w:val="es-ES" w:eastAsia="es-ES"/>
        </w:rPr>
        <w:t xml:space="preserve">El artículo 13 de la Convención establece en lo pertinente: </w:t>
      </w:r>
    </w:p>
    <w:p w14:paraId="4C00F854" w14:textId="77777777" w:rsidR="00D15325" w:rsidRPr="00420489" w:rsidRDefault="00D15325" w:rsidP="00D15325">
      <w:pPr>
        <w:ind w:left="708" w:right="720"/>
        <w:jc w:val="both"/>
        <w:rPr>
          <w:rFonts w:asciiTheme="majorHAnsi" w:eastAsia="Times New Roman" w:hAnsiTheme="majorHAnsi"/>
          <w:sz w:val="20"/>
          <w:szCs w:val="20"/>
          <w:lang w:val="es-ES" w:eastAsia="es-ES"/>
        </w:rPr>
      </w:pPr>
    </w:p>
    <w:p w14:paraId="5C4389ED" w14:textId="72BFD48A" w:rsidR="00D15325" w:rsidRPr="00420489" w:rsidRDefault="00D15325" w:rsidP="0015155E">
      <w:pPr>
        <w:ind w:left="708" w:right="720"/>
        <w:jc w:val="both"/>
        <w:rPr>
          <w:rFonts w:asciiTheme="majorHAnsi" w:eastAsia="Times New Roman" w:hAnsiTheme="majorHAnsi"/>
          <w:sz w:val="20"/>
          <w:szCs w:val="20"/>
          <w:lang w:val="es-ES" w:eastAsia="es-ES"/>
        </w:rPr>
      </w:pPr>
      <w:r w:rsidRPr="00420489">
        <w:rPr>
          <w:rFonts w:asciiTheme="majorHAnsi" w:eastAsia="Times New Roman" w:hAnsiTheme="majorHAnsi"/>
          <w:sz w:val="20"/>
          <w:szCs w:val="20"/>
          <w:lang w:val="es-ES" w:eastAsia="es-ES"/>
        </w:rPr>
        <w:t xml:space="preserve"> 1. </w:t>
      </w:r>
      <w:r w:rsidR="0015155E">
        <w:rPr>
          <w:rFonts w:asciiTheme="majorHAnsi" w:eastAsia="Times New Roman" w:hAnsiTheme="majorHAnsi"/>
          <w:sz w:val="20"/>
          <w:szCs w:val="20"/>
          <w:lang w:val="es-ES" w:eastAsia="es-ES"/>
        </w:rPr>
        <w:tab/>
      </w:r>
      <w:r w:rsidRPr="00420489">
        <w:rPr>
          <w:rFonts w:asciiTheme="majorHAnsi" w:eastAsia="Times New Roman" w:hAnsiTheme="majorHAnsi"/>
          <w:sz w:val="20"/>
          <w:szCs w:val="20"/>
          <w:lang w:val="es-ES" w:eastAsia="es-ES"/>
        </w:rPr>
        <w:t>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260F3A04" w14:textId="77777777" w:rsidR="007D4D0A" w:rsidRPr="00420489" w:rsidRDefault="007D4D0A" w:rsidP="00D15325">
      <w:pPr>
        <w:ind w:left="708" w:right="720"/>
        <w:jc w:val="both"/>
        <w:rPr>
          <w:rFonts w:asciiTheme="majorHAnsi" w:eastAsia="Times New Roman" w:hAnsiTheme="majorHAnsi"/>
          <w:sz w:val="20"/>
          <w:szCs w:val="20"/>
          <w:lang w:val="es-ES" w:eastAsia="es-ES"/>
        </w:rPr>
      </w:pPr>
    </w:p>
    <w:p w14:paraId="31317B07" w14:textId="77777777" w:rsidR="007D4D0A" w:rsidRPr="00420489" w:rsidRDefault="007D4D0A" w:rsidP="00D15325">
      <w:pPr>
        <w:ind w:left="708" w:right="720"/>
        <w:jc w:val="both"/>
        <w:rPr>
          <w:rFonts w:asciiTheme="majorHAnsi" w:eastAsia="Times New Roman" w:hAnsiTheme="majorHAnsi"/>
          <w:sz w:val="20"/>
          <w:szCs w:val="20"/>
          <w:lang w:val="es-ES" w:eastAsia="es-ES"/>
        </w:rPr>
      </w:pPr>
      <w:r w:rsidRPr="00420489">
        <w:rPr>
          <w:rFonts w:asciiTheme="majorHAnsi" w:eastAsia="Times New Roman" w:hAnsiTheme="majorHAnsi"/>
          <w:sz w:val="20"/>
          <w:szCs w:val="20"/>
          <w:lang w:val="es-ES" w:eastAsia="es-ES"/>
        </w:rPr>
        <w:lastRenderedPageBreak/>
        <w:t>(…)</w:t>
      </w:r>
    </w:p>
    <w:p w14:paraId="524991A3" w14:textId="77777777" w:rsidR="007D4D0A" w:rsidRPr="00420489" w:rsidRDefault="007D4D0A" w:rsidP="00D15325">
      <w:pPr>
        <w:ind w:left="708" w:right="720"/>
        <w:jc w:val="both"/>
        <w:rPr>
          <w:rFonts w:asciiTheme="majorHAnsi" w:eastAsia="Times New Roman" w:hAnsiTheme="majorHAnsi"/>
          <w:sz w:val="20"/>
          <w:szCs w:val="20"/>
          <w:lang w:val="es-ES" w:eastAsia="es-ES"/>
        </w:rPr>
      </w:pPr>
    </w:p>
    <w:p w14:paraId="6B64E8BD" w14:textId="4449AFDD" w:rsidR="00D15325" w:rsidRPr="00420489" w:rsidRDefault="00D15325" w:rsidP="00D15325">
      <w:pPr>
        <w:ind w:left="708" w:right="720"/>
        <w:jc w:val="both"/>
        <w:rPr>
          <w:rFonts w:asciiTheme="majorHAnsi" w:eastAsia="Times New Roman" w:hAnsiTheme="majorHAnsi"/>
          <w:sz w:val="20"/>
          <w:szCs w:val="20"/>
          <w:lang w:val="es-ES" w:eastAsia="es-ES"/>
        </w:rPr>
      </w:pPr>
      <w:r w:rsidRPr="00420489">
        <w:rPr>
          <w:rFonts w:asciiTheme="majorHAnsi" w:eastAsia="Times New Roman" w:hAnsiTheme="majorHAnsi"/>
          <w:sz w:val="20"/>
          <w:szCs w:val="20"/>
          <w:lang w:val="es-ES" w:eastAsia="es-ES"/>
        </w:rPr>
        <w:t xml:space="preserve"> 3. </w:t>
      </w:r>
      <w:r w:rsidR="0015155E">
        <w:rPr>
          <w:rFonts w:asciiTheme="majorHAnsi" w:eastAsia="Times New Roman" w:hAnsiTheme="majorHAnsi"/>
          <w:sz w:val="20"/>
          <w:szCs w:val="20"/>
          <w:lang w:val="es-ES" w:eastAsia="es-ES"/>
        </w:rPr>
        <w:tab/>
      </w:r>
      <w:r w:rsidRPr="00420489">
        <w:rPr>
          <w:rFonts w:asciiTheme="majorHAnsi" w:eastAsia="Times New Roman" w:hAnsiTheme="majorHAnsi"/>
          <w:sz w:val="20"/>
          <w:szCs w:val="20"/>
          <w:lang w:val="es-ES" w:eastAsia="es-ES"/>
        </w:rPr>
        <w:t>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14:paraId="1941824A" w14:textId="77777777" w:rsidR="00D15325" w:rsidRPr="00420489" w:rsidRDefault="00D15325" w:rsidP="00D41DC9">
      <w:pPr>
        <w:ind w:left="720" w:right="720"/>
        <w:jc w:val="both"/>
        <w:rPr>
          <w:rFonts w:asciiTheme="majorHAnsi" w:eastAsia="Times New Roman" w:hAnsiTheme="majorHAnsi"/>
          <w:sz w:val="20"/>
          <w:szCs w:val="20"/>
          <w:lang w:val="es-VE" w:eastAsia="es-ES"/>
        </w:rPr>
      </w:pPr>
    </w:p>
    <w:p w14:paraId="01300C74" w14:textId="77777777" w:rsidR="00D15325" w:rsidRPr="00420489" w:rsidRDefault="007D4D0A" w:rsidP="007D4D0A">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val="es-ES" w:eastAsia="es-ES"/>
        </w:rPr>
      </w:pPr>
      <w:r w:rsidRPr="00420489">
        <w:rPr>
          <w:rFonts w:asciiTheme="majorHAnsi" w:eastAsia="Times New Roman" w:hAnsiTheme="majorHAnsi"/>
          <w:sz w:val="20"/>
          <w:szCs w:val="20"/>
          <w:lang w:val="es-ES" w:eastAsia="es-ES"/>
        </w:rPr>
        <w:t xml:space="preserve">El artículo 24 de la Convención señala: </w:t>
      </w:r>
    </w:p>
    <w:p w14:paraId="2B5A8121" w14:textId="77777777" w:rsidR="007D4D0A" w:rsidRPr="00420489" w:rsidRDefault="007D4D0A" w:rsidP="00D15325">
      <w:pPr>
        <w:ind w:left="708" w:right="720"/>
        <w:jc w:val="both"/>
        <w:rPr>
          <w:rFonts w:asciiTheme="majorHAnsi" w:eastAsia="Times New Roman" w:hAnsiTheme="majorHAnsi"/>
          <w:sz w:val="20"/>
          <w:szCs w:val="20"/>
          <w:lang w:val="es-ES" w:eastAsia="es-ES"/>
        </w:rPr>
      </w:pPr>
    </w:p>
    <w:p w14:paraId="4A18914D" w14:textId="77777777" w:rsidR="00D15325" w:rsidRPr="00420489" w:rsidRDefault="00D15325" w:rsidP="00D15325">
      <w:pPr>
        <w:ind w:left="708" w:right="720"/>
        <w:jc w:val="both"/>
        <w:rPr>
          <w:rFonts w:asciiTheme="majorHAnsi" w:eastAsia="Times New Roman" w:hAnsiTheme="majorHAnsi"/>
          <w:sz w:val="20"/>
          <w:szCs w:val="20"/>
          <w:lang w:val="es-ES" w:eastAsia="es-ES"/>
        </w:rPr>
      </w:pPr>
      <w:r w:rsidRPr="00420489">
        <w:rPr>
          <w:rFonts w:asciiTheme="majorHAnsi" w:eastAsia="Times New Roman" w:hAnsiTheme="majorHAnsi"/>
          <w:sz w:val="20"/>
          <w:szCs w:val="20"/>
          <w:lang w:val="es-ES" w:eastAsia="es-ES"/>
        </w:rPr>
        <w:t>Todas las personas son iguales ante la ley.  En consecuencia, tienen derecho, sin discriminación, a igual protección de la ley.</w:t>
      </w:r>
    </w:p>
    <w:p w14:paraId="2B8B12CD" w14:textId="77777777" w:rsidR="00D15325" w:rsidRPr="00420489" w:rsidRDefault="00D15325" w:rsidP="00D15325">
      <w:pPr>
        <w:ind w:right="720"/>
        <w:jc w:val="both"/>
        <w:rPr>
          <w:rFonts w:asciiTheme="majorHAnsi" w:eastAsia="Times New Roman" w:hAnsiTheme="majorHAnsi"/>
          <w:sz w:val="20"/>
          <w:szCs w:val="20"/>
          <w:lang w:val="es-ES" w:eastAsia="es-ES"/>
        </w:rPr>
      </w:pPr>
    </w:p>
    <w:p w14:paraId="115CF9C6" w14:textId="77777777" w:rsidR="007D4D0A" w:rsidRPr="00420489" w:rsidRDefault="007D4D0A" w:rsidP="00913D8D">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val="es-ES" w:eastAsia="es-ES"/>
        </w:rPr>
      </w:pPr>
      <w:r w:rsidRPr="00420489">
        <w:rPr>
          <w:rFonts w:asciiTheme="majorHAnsi" w:eastAsia="Times New Roman" w:hAnsiTheme="majorHAnsi"/>
          <w:sz w:val="20"/>
          <w:szCs w:val="20"/>
          <w:lang w:val="es-ES" w:eastAsia="es-ES"/>
        </w:rPr>
        <w:t xml:space="preserve">En este </w:t>
      </w:r>
      <w:r w:rsidRPr="00420489">
        <w:rPr>
          <w:rFonts w:asciiTheme="majorHAnsi" w:hAnsiTheme="majorHAnsi"/>
          <w:sz w:val="20"/>
          <w:szCs w:val="20"/>
          <w:lang w:val="es-ES"/>
        </w:rPr>
        <w:t>punto</w:t>
      </w:r>
      <w:r w:rsidRPr="00420489">
        <w:rPr>
          <w:rFonts w:asciiTheme="majorHAnsi" w:eastAsia="Times New Roman" w:hAnsiTheme="majorHAnsi"/>
          <w:sz w:val="20"/>
          <w:szCs w:val="20"/>
          <w:lang w:val="es-ES" w:eastAsia="es-ES"/>
        </w:rPr>
        <w:t xml:space="preserve"> la Comisión determinará si </w:t>
      </w:r>
      <w:r w:rsidR="00E03D10" w:rsidRPr="00420489">
        <w:rPr>
          <w:rFonts w:asciiTheme="majorHAnsi" w:eastAsia="Times New Roman" w:hAnsiTheme="majorHAnsi"/>
          <w:sz w:val="20"/>
          <w:szCs w:val="20"/>
          <w:lang w:val="es-ES" w:eastAsia="es-ES"/>
        </w:rPr>
        <w:t xml:space="preserve">el despido de </w:t>
      </w:r>
      <w:r w:rsidR="00E03D10" w:rsidRPr="00420489">
        <w:rPr>
          <w:rFonts w:asciiTheme="majorHAnsi" w:eastAsia="Calibri" w:hAnsiTheme="majorHAnsi"/>
          <w:sz w:val="20"/>
          <w:szCs w:val="20"/>
          <w:lang w:val="es-VE"/>
        </w:rPr>
        <w:t xml:space="preserve">Rocío San Miguel Sosa, </w:t>
      </w:r>
      <w:proofErr w:type="spellStart"/>
      <w:r w:rsidR="00E03D10" w:rsidRPr="00420489">
        <w:rPr>
          <w:rFonts w:asciiTheme="majorHAnsi" w:eastAsia="Calibri" w:hAnsiTheme="majorHAnsi"/>
          <w:sz w:val="20"/>
          <w:szCs w:val="20"/>
          <w:lang w:val="es-VE"/>
        </w:rPr>
        <w:t>Magally</w:t>
      </w:r>
      <w:proofErr w:type="spellEnd"/>
      <w:r w:rsidR="00E03D10" w:rsidRPr="00420489">
        <w:rPr>
          <w:rFonts w:asciiTheme="majorHAnsi" w:eastAsia="Calibri" w:hAnsiTheme="majorHAnsi"/>
          <w:sz w:val="20"/>
          <w:szCs w:val="20"/>
          <w:lang w:val="es-VE"/>
        </w:rPr>
        <w:t xml:space="preserve"> Chang Girón y Thais Coromoto Peña de su cargo público en el CNF constituyó una violación a los derechos arriba citados. </w:t>
      </w:r>
      <w:r w:rsidR="00913D8D" w:rsidRPr="00420489">
        <w:rPr>
          <w:rFonts w:asciiTheme="majorHAnsi" w:eastAsia="Calibri" w:hAnsiTheme="majorHAnsi"/>
          <w:sz w:val="20"/>
          <w:szCs w:val="20"/>
          <w:lang w:val="es-VE"/>
        </w:rPr>
        <w:t>Esta determinación</w:t>
      </w:r>
      <w:r w:rsidR="00913D8D" w:rsidRPr="00420489">
        <w:rPr>
          <w:rFonts w:asciiTheme="majorHAnsi" w:eastAsia="Times New Roman" w:hAnsiTheme="majorHAnsi"/>
          <w:sz w:val="20"/>
          <w:szCs w:val="20"/>
          <w:lang w:val="es-ES" w:eastAsia="es-ES"/>
        </w:rPr>
        <w:t xml:space="preserve"> </w:t>
      </w:r>
      <w:r w:rsidR="00E03D10" w:rsidRPr="00420489">
        <w:rPr>
          <w:rFonts w:asciiTheme="majorHAnsi" w:eastAsia="Calibri" w:hAnsiTheme="majorHAnsi"/>
          <w:sz w:val="20"/>
          <w:szCs w:val="20"/>
          <w:lang w:val="es-VE"/>
        </w:rPr>
        <w:t>requiere que la Comisión se pronuncie en primer lugar sobre si se trató de un acto motivado por la opinión política expresada a través de la firma para la convocatoria del referendo revocatorio o si, como indicó el Estado, se trató de la aplicación de la cláusula séptima de su contrato laboral. En caso de tratarse de un acto motivado por la opinión política, la Comisión analizará si dicho trato se encuentra justificado bajo la</w:t>
      </w:r>
      <w:r w:rsidR="005B6B30" w:rsidRPr="00420489">
        <w:rPr>
          <w:rFonts w:asciiTheme="majorHAnsi" w:eastAsia="Calibri" w:hAnsiTheme="majorHAnsi"/>
          <w:sz w:val="20"/>
          <w:szCs w:val="20"/>
          <w:lang w:val="es-VE"/>
        </w:rPr>
        <w:t xml:space="preserve"> C</w:t>
      </w:r>
      <w:r w:rsidR="00E03D10" w:rsidRPr="00420489">
        <w:rPr>
          <w:rFonts w:asciiTheme="majorHAnsi" w:eastAsia="Calibri" w:hAnsiTheme="majorHAnsi"/>
          <w:sz w:val="20"/>
          <w:szCs w:val="20"/>
          <w:lang w:val="es-VE"/>
        </w:rPr>
        <w:t xml:space="preserve">onvención Americana.  </w:t>
      </w:r>
    </w:p>
    <w:p w14:paraId="36E6D65B" w14:textId="77777777" w:rsidR="00406F64" w:rsidRPr="00420489" w:rsidRDefault="00406F64" w:rsidP="00406F64">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lang w:val="es-ES" w:eastAsia="es-ES"/>
        </w:rPr>
      </w:pPr>
    </w:p>
    <w:p w14:paraId="50BA2817" w14:textId="7A5D943A" w:rsidR="00406F64" w:rsidRPr="00420489" w:rsidRDefault="00406F64" w:rsidP="00406F64">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val="es-ES" w:eastAsia="es-ES"/>
        </w:rPr>
      </w:pPr>
      <w:r w:rsidRPr="00420489">
        <w:rPr>
          <w:rFonts w:asciiTheme="majorHAnsi" w:eastAsia="Times New Roman" w:hAnsiTheme="majorHAnsi"/>
          <w:sz w:val="20"/>
          <w:szCs w:val="20"/>
          <w:lang w:val="es-ES" w:eastAsia="es-ES"/>
        </w:rPr>
        <w:t xml:space="preserve">La Comisión efectuará el análisis descrito en la sección anterior en el siguiente orden: i) </w:t>
      </w:r>
      <w:r w:rsidR="00D21A95" w:rsidRPr="00420489">
        <w:rPr>
          <w:rFonts w:asciiTheme="majorHAnsi" w:eastAsia="Times New Roman" w:hAnsiTheme="majorHAnsi"/>
          <w:sz w:val="20"/>
          <w:szCs w:val="20"/>
          <w:lang w:val="es-ES" w:eastAsia="es-ES"/>
        </w:rPr>
        <w:t>Consideraciones generales sobre los derechos políticos y su relación con el derecho a la libertad de expresión</w:t>
      </w:r>
      <w:r w:rsidR="00D21A95" w:rsidRPr="00420489">
        <w:rPr>
          <w:rFonts w:asciiTheme="majorHAnsi" w:eastAsia="Times New Roman" w:hAnsiTheme="majorHAnsi"/>
          <w:sz w:val="20"/>
          <w:szCs w:val="20"/>
          <w:lang w:val="es-ES"/>
        </w:rPr>
        <w:t>, las restricciones indirectas a la libertad de expresión y el principio de igualdad y no discriminación</w:t>
      </w:r>
      <w:r w:rsidRPr="00420489">
        <w:rPr>
          <w:rFonts w:asciiTheme="majorHAnsi" w:eastAsia="Times New Roman" w:hAnsiTheme="majorHAnsi"/>
          <w:sz w:val="20"/>
          <w:szCs w:val="20"/>
          <w:lang w:val="es-ES" w:eastAsia="es-ES"/>
        </w:rPr>
        <w:t>; i</w:t>
      </w:r>
      <w:r w:rsidR="00867A6D" w:rsidRPr="00420489">
        <w:rPr>
          <w:rFonts w:asciiTheme="majorHAnsi" w:eastAsia="Times New Roman" w:hAnsiTheme="majorHAnsi"/>
          <w:sz w:val="20"/>
          <w:szCs w:val="20"/>
          <w:lang w:val="es-ES" w:eastAsia="es-ES"/>
        </w:rPr>
        <w:t>i</w:t>
      </w:r>
      <w:r w:rsidRPr="00420489">
        <w:rPr>
          <w:rFonts w:asciiTheme="majorHAnsi" w:eastAsia="Times New Roman" w:hAnsiTheme="majorHAnsi"/>
          <w:sz w:val="20"/>
          <w:szCs w:val="20"/>
          <w:lang w:val="es-ES" w:eastAsia="es-ES"/>
        </w:rPr>
        <w:t xml:space="preserve">) Análisis </w:t>
      </w:r>
      <w:r w:rsidR="0093685A" w:rsidRPr="00420489">
        <w:rPr>
          <w:rFonts w:asciiTheme="majorHAnsi" w:eastAsia="Times New Roman" w:hAnsiTheme="majorHAnsi"/>
          <w:sz w:val="20"/>
          <w:szCs w:val="20"/>
          <w:lang w:val="es-ES" w:eastAsia="es-ES"/>
        </w:rPr>
        <w:t>de si el despido estuvo basado en la opinión política expresada a través de la firma de la convocatoria a referendo revocatorio</w:t>
      </w:r>
      <w:r w:rsidR="002C5523">
        <w:rPr>
          <w:rFonts w:asciiTheme="majorHAnsi" w:eastAsia="Times New Roman" w:hAnsiTheme="majorHAnsi"/>
          <w:sz w:val="20"/>
          <w:szCs w:val="20"/>
          <w:lang w:val="es-ES" w:eastAsia="es-ES"/>
        </w:rPr>
        <w:t xml:space="preserve"> y, por lo tanto, constituyó una violación a los derechos políticos y a la libertad de expresión</w:t>
      </w:r>
      <w:r w:rsidR="0093685A" w:rsidRPr="00420489">
        <w:rPr>
          <w:rFonts w:asciiTheme="majorHAnsi" w:eastAsia="Times New Roman" w:hAnsiTheme="majorHAnsi"/>
          <w:sz w:val="20"/>
          <w:szCs w:val="20"/>
          <w:lang w:val="es-ES" w:eastAsia="es-ES"/>
        </w:rPr>
        <w:t>; y</w:t>
      </w:r>
      <w:r w:rsidR="00867A6D" w:rsidRPr="00420489">
        <w:rPr>
          <w:rFonts w:asciiTheme="majorHAnsi" w:eastAsia="Times New Roman" w:hAnsiTheme="majorHAnsi"/>
          <w:sz w:val="20"/>
          <w:szCs w:val="20"/>
          <w:lang w:val="es-ES" w:eastAsia="es-ES"/>
        </w:rPr>
        <w:t xml:space="preserve"> iii</w:t>
      </w:r>
      <w:r w:rsidR="0093685A" w:rsidRPr="00420489">
        <w:rPr>
          <w:rFonts w:asciiTheme="majorHAnsi" w:eastAsia="Times New Roman" w:hAnsiTheme="majorHAnsi"/>
          <w:sz w:val="20"/>
          <w:szCs w:val="20"/>
          <w:lang w:val="es-ES" w:eastAsia="es-ES"/>
        </w:rPr>
        <w:t>) Análisis de si</w:t>
      </w:r>
      <w:r w:rsidR="002C5523">
        <w:rPr>
          <w:rFonts w:asciiTheme="majorHAnsi" w:eastAsia="Times New Roman" w:hAnsiTheme="majorHAnsi"/>
          <w:sz w:val="20"/>
          <w:szCs w:val="20"/>
          <w:lang w:val="es-ES" w:eastAsia="es-ES"/>
        </w:rPr>
        <w:t xml:space="preserve"> el despido constituyó un acto de discriminación con base en la opinión polí</w:t>
      </w:r>
      <w:r w:rsidR="001E5710">
        <w:rPr>
          <w:rFonts w:asciiTheme="majorHAnsi" w:eastAsia="Times New Roman" w:hAnsiTheme="majorHAnsi"/>
          <w:sz w:val="20"/>
          <w:szCs w:val="20"/>
          <w:lang w:val="es-ES" w:eastAsia="es-ES"/>
        </w:rPr>
        <w:t>tic</w:t>
      </w:r>
      <w:r w:rsidR="002C5523">
        <w:rPr>
          <w:rFonts w:asciiTheme="majorHAnsi" w:eastAsia="Times New Roman" w:hAnsiTheme="majorHAnsi"/>
          <w:sz w:val="20"/>
          <w:szCs w:val="20"/>
          <w:lang w:val="es-ES" w:eastAsia="es-ES"/>
        </w:rPr>
        <w:t>a</w:t>
      </w:r>
      <w:r w:rsidR="0093685A" w:rsidRPr="00420489">
        <w:rPr>
          <w:rFonts w:asciiTheme="majorHAnsi" w:eastAsia="Times New Roman" w:hAnsiTheme="majorHAnsi"/>
          <w:sz w:val="20"/>
          <w:szCs w:val="20"/>
          <w:lang w:val="es-ES" w:eastAsia="es-ES"/>
        </w:rPr>
        <w:t xml:space="preserve">. </w:t>
      </w:r>
    </w:p>
    <w:p w14:paraId="10A0DBB1" w14:textId="77777777" w:rsidR="007D4D0A" w:rsidRPr="00420489" w:rsidRDefault="007D4D0A" w:rsidP="007D4D0A">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lang w:val="es-ES" w:eastAsia="es-ES"/>
        </w:rPr>
      </w:pPr>
    </w:p>
    <w:p w14:paraId="0618C6E8" w14:textId="77777777" w:rsidR="00AB7D09" w:rsidRPr="00420489" w:rsidRDefault="00AB7D09" w:rsidP="00867A6D">
      <w:pPr>
        <w:pStyle w:val="ListParagraph"/>
        <w:numPr>
          <w:ilvl w:val="1"/>
          <w:numId w:val="55"/>
        </w:numPr>
        <w:pBdr>
          <w:left w:val="none" w:sz="0" w:space="0" w:color="auto"/>
          <w:bottom w:val="none" w:sz="0" w:space="0" w:color="auto"/>
          <w:right w:val="none" w:sz="0" w:space="0" w:color="auto"/>
          <w:between w:val="none" w:sz="0" w:space="0" w:color="auto"/>
          <w:bar w:val="none" w:sz="0" w:color="auto"/>
        </w:pBdr>
        <w:tabs>
          <w:tab w:val="clear" w:pos="1800"/>
          <w:tab w:val="num" w:pos="1418"/>
        </w:tabs>
        <w:ind w:left="1418" w:hanging="709"/>
        <w:jc w:val="both"/>
        <w:rPr>
          <w:rFonts w:asciiTheme="majorHAnsi" w:eastAsia="Times New Roman" w:hAnsiTheme="majorHAnsi"/>
          <w:b/>
          <w:sz w:val="20"/>
          <w:szCs w:val="20"/>
          <w:lang w:val="es-ES"/>
        </w:rPr>
      </w:pPr>
      <w:r w:rsidRPr="00420489">
        <w:rPr>
          <w:rFonts w:asciiTheme="majorHAnsi" w:eastAsia="Times New Roman" w:hAnsiTheme="majorHAnsi"/>
          <w:b/>
          <w:sz w:val="20"/>
          <w:szCs w:val="20"/>
          <w:lang w:val="es-ES"/>
        </w:rPr>
        <w:t>Consideraciones generales sobre los derechos políticos y su relación con el derecho a la libertad de expresión</w:t>
      </w:r>
      <w:r w:rsidR="00D21A95" w:rsidRPr="00420489">
        <w:rPr>
          <w:rFonts w:asciiTheme="majorHAnsi" w:eastAsia="Times New Roman" w:hAnsiTheme="majorHAnsi"/>
          <w:b/>
          <w:sz w:val="20"/>
          <w:szCs w:val="20"/>
          <w:lang w:val="es-ES"/>
        </w:rPr>
        <w:t>, las restricciones indirectas a la libertad de expresión y el principio de igualdad y no discriminación</w:t>
      </w:r>
    </w:p>
    <w:p w14:paraId="7F936F32" w14:textId="77777777" w:rsidR="00AB7D09" w:rsidRPr="00420489" w:rsidRDefault="00AB7D09" w:rsidP="00AB7D09">
      <w:pPr>
        <w:pBdr>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lang w:val="es-ES"/>
        </w:rPr>
      </w:pPr>
    </w:p>
    <w:p w14:paraId="73F4B274" w14:textId="72DEB1A8" w:rsidR="0044079F" w:rsidRPr="00653813" w:rsidRDefault="0044079F" w:rsidP="00F9666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lang w:val="es-ES" w:eastAsia="es-ES"/>
        </w:rPr>
      </w:pPr>
      <w:r w:rsidRPr="00653813">
        <w:rPr>
          <w:rFonts w:ascii="Cambria" w:hAnsi="Cambria"/>
          <w:sz w:val="20"/>
          <w:szCs w:val="20"/>
          <w:lang w:val="es-ES"/>
        </w:rPr>
        <w:t xml:space="preserve">Tanto la Comisión como la Corte Interamericana han subrayado la importancia de los derechos políticos al reconocer y </w:t>
      </w:r>
      <w:r w:rsidRPr="00653813">
        <w:rPr>
          <w:rFonts w:asciiTheme="majorHAnsi" w:eastAsia="Times New Roman" w:hAnsiTheme="majorHAnsi"/>
          <w:sz w:val="20"/>
          <w:szCs w:val="20"/>
          <w:lang w:val="es-ES" w:eastAsia="es-ES"/>
        </w:rPr>
        <w:t>proteger</w:t>
      </w:r>
      <w:r w:rsidRPr="00653813">
        <w:rPr>
          <w:rFonts w:ascii="Cambria" w:hAnsi="Cambria"/>
          <w:sz w:val="20"/>
          <w:szCs w:val="20"/>
          <w:lang w:val="es-ES"/>
        </w:rPr>
        <w:t xml:space="preserve"> el </w:t>
      </w:r>
      <w:r w:rsidRPr="00653813">
        <w:rPr>
          <w:rFonts w:ascii="Cambria" w:eastAsia="Times New Roman" w:hAnsi="Cambria"/>
          <w:sz w:val="20"/>
          <w:szCs w:val="20"/>
          <w:lang w:val="es-ES" w:eastAsia="es-ES"/>
        </w:rPr>
        <w:t>derecho</w:t>
      </w:r>
      <w:r w:rsidRPr="00653813">
        <w:rPr>
          <w:rFonts w:ascii="Cambria" w:hAnsi="Cambria"/>
          <w:sz w:val="20"/>
          <w:szCs w:val="20"/>
          <w:lang w:val="es-ES"/>
        </w:rPr>
        <w:t xml:space="preserve"> y el deber de todos los ciudadanos de participar en la vida política de su país, y propiciar el fortalecimiento de la democracia y el pluralismo político</w:t>
      </w:r>
      <w:r w:rsidRPr="00653813">
        <w:rPr>
          <w:rStyle w:val="FootnoteReference"/>
          <w:rFonts w:ascii="Cambria" w:hAnsi="Cambria"/>
          <w:sz w:val="20"/>
          <w:szCs w:val="20"/>
          <w:lang w:val="es-ES"/>
        </w:rPr>
        <w:footnoteReference w:id="133"/>
      </w:r>
      <w:r w:rsidRPr="00653813">
        <w:rPr>
          <w:rFonts w:ascii="Cambria" w:hAnsi="Cambria"/>
          <w:sz w:val="20"/>
          <w:szCs w:val="20"/>
          <w:lang w:val="es-ES"/>
        </w:rPr>
        <w:t xml:space="preserve"> . La Corte ha destacado que a raíz de su importancia, la Convención Americana en su artículo 27, prohíbe su suspensión y la de las garantías judiciales indispensables para la protección de estos</w:t>
      </w:r>
      <w:r w:rsidR="0047760D">
        <w:rPr>
          <w:rFonts w:ascii="Cambria" w:hAnsi="Cambria"/>
          <w:sz w:val="20"/>
          <w:szCs w:val="20"/>
          <w:lang w:val="es-ES"/>
        </w:rPr>
        <w:t>.</w:t>
      </w:r>
    </w:p>
    <w:p w14:paraId="0D6F10FE" w14:textId="77777777" w:rsidR="0044079F" w:rsidRPr="00653813" w:rsidRDefault="0044079F" w:rsidP="0044079F">
      <w:pPr>
        <w:ind w:left="1080" w:right="720" w:hanging="360"/>
        <w:jc w:val="both"/>
        <w:rPr>
          <w:rFonts w:ascii="Cambria" w:eastAsia="Times New Roman" w:hAnsi="Cambria"/>
          <w:sz w:val="20"/>
          <w:szCs w:val="20"/>
          <w:lang w:val="es-ES" w:eastAsia="es-ES"/>
        </w:rPr>
      </w:pPr>
    </w:p>
    <w:p w14:paraId="78EB95B2" w14:textId="50F54570" w:rsidR="0044079F" w:rsidRPr="00653813" w:rsidRDefault="0044079F" w:rsidP="00F9666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3813">
        <w:rPr>
          <w:rFonts w:ascii="Cambria" w:hAnsi="Cambria"/>
          <w:sz w:val="20"/>
          <w:szCs w:val="20"/>
          <w:lang w:val="es-ES"/>
        </w:rPr>
        <w:t xml:space="preserve">La Corte Interamericana ha precisado que el artículo 23 de la Convención Americana contiene diversas normas que se refieren a los derechos de la persona como ciudadano, esto es, como titular del proceso de toma de decisiones en los asuntos públicos, como elector a través del voto o como servidor público, es decir, a ser elegido </w:t>
      </w:r>
      <w:r w:rsidRPr="00653813">
        <w:rPr>
          <w:rFonts w:asciiTheme="majorHAnsi" w:eastAsia="Times New Roman" w:hAnsiTheme="majorHAnsi"/>
          <w:sz w:val="20"/>
          <w:szCs w:val="20"/>
          <w:lang w:val="es-ES" w:eastAsia="es-ES"/>
        </w:rPr>
        <w:t>popularmente</w:t>
      </w:r>
      <w:r w:rsidRPr="00653813">
        <w:rPr>
          <w:rFonts w:ascii="Cambria" w:hAnsi="Cambria"/>
          <w:sz w:val="20"/>
          <w:szCs w:val="20"/>
          <w:lang w:val="es-ES"/>
        </w:rPr>
        <w:t xml:space="preserve"> o mediante designación o nombramiento</w:t>
      </w:r>
      <w:r w:rsidR="001267D6">
        <w:rPr>
          <w:rFonts w:ascii="Cambria" w:hAnsi="Cambria"/>
          <w:sz w:val="20"/>
          <w:szCs w:val="20"/>
          <w:lang w:val="es-ES"/>
        </w:rPr>
        <w:t xml:space="preserve"> para ocupar un cargo público. </w:t>
      </w:r>
      <w:r w:rsidRPr="00653813">
        <w:rPr>
          <w:rFonts w:ascii="Cambria" w:hAnsi="Cambria"/>
          <w:sz w:val="20"/>
          <w:szCs w:val="20"/>
          <w:lang w:val="es-ES"/>
        </w:rPr>
        <w:t xml:space="preserve">En palabras de </w:t>
      </w:r>
      <w:r w:rsidRPr="00653813">
        <w:rPr>
          <w:rFonts w:ascii="Cambria" w:eastAsia="Times New Roman" w:hAnsi="Cambria"/>
          <w:sz w:val="20"/>
          <w:szCs w:val="20"/>
          <w:lang w:val="es-ES" w:eastAsia="es-ES"/>
        </w:rPr>
        <w:t>la</w:t>
      </w:r>
      <w:r w:rsidRPr="00653813">
        <w:rPr>
          <w:rFonts w:ascii="Cambria" w:hAnsi="Cambria"/>
          <w:sz w:val="20"/>
          <w:szCs w:val="20"/>
          <w:lang w:val="es-ES"/>
        </w:rPr>
        <w:t xml:space="preserve"> Corte “</w:t>
      </w:r>
      <w:r w:rsidRPr="00653813">
        <w:rPr>
          <w:rFonts w:ascii="Cambria" w:hAnsi="Cambria" w:cs="Arial"/>
          <w:sz w:val="20"/>
          <w:szCs w:val="20"/>
          <w:lang w:val="es-VE"/>
        </w:rPr>
        <w:t xml:space="preserve">a diferencia de casi todos los demás derechos previstos en la Convención que se reconocen a toda persona, el artículo 23 de la Convención no sólo establece que sus titulares deben gozar de derechos, sino que agrega el término “oportunidades”. Esto último </w:t>
      </w:r>
      <w:r w:rsidRPr="00653813">
        <w:rPr>
          <w:rFonts w:ascii="Cambria" w:hAnsi="Cambria"/>
          <w:sz w:val="20"/>
          <w:szCs w:val="20"/>
          <w:lang w:val="es-VE"/>
        </w:rPr>
        <w:t xml:space="preserve">implica la obligación de garantizar con medidas positivas que toda persona que formalmente sea titular de derechos políticos tenga la oportunidad real para ejercerlos. Como ya lo </w:t>
      </w:r>
      <w:r w:rsidR="00D7186D">
        <w:rPr>
          <w:rFonts w:ascii="Cambria" w:hAnsi="Cambria"/>
          <w:sz w:val="20"/>
          <w:szCs w:val="20"/>
          <w:lang w:val="es-VE"/>
        </w:rPr>
        <w:t xml:space="preserve"> </w:t>
      </w:r>
      <w:r w:rsidRPr="00653813">
        <w:rPr>
          <w:rFonts w:ascii="Cambria" w:hAnsi="Cambria"/>
          <w:sz w:val="20"/>
          <w:szCs w:val="20"/>
          <w:lang w:val="es-VE"/>
        </w:rPr>
        <w:t xml:space="preserve">señalara este Tribunal anteriormente, es indispensable que el Estado genere </w:t>
      </w:r>
      <w:r w:rsidRPr="00653813">
        <w:rPr>
          <w:rFonts w:ascii="Cambria" w:hAnsi="Cambria"/>
          <w:sz w:val="20"/>
          <w:szCs w:val="20"/>
          <w:lang w:val="es-VE"/>
        </w:rPr>
        <w:lastRenderedPageBreak/>
        <w:t>las condiciones y mecanismos óptimos para que los derechos políticos puedan ser ejercidos de forma efectiva, respetando el principio de igualdad y no discriminación”</w:t>
      </w:r>
      <w:r w:rsidRPr="00653813">
        <w:rPr>
          <w:rStyle w:val="FootnoteReference"/>
          <w:rFonts w:ascii="Cambria" w:hAnsi="Cambria"/>
          <w:sz w:val="20"/>
          <w:szCs w:val="20"/>
        </w:rPr>
        <w:footnoteReference w:id="134"/>
      </w:r>
      <w:r w:rsidRPr="00653813">
        <w:rPr>
          <w:rFonts w:ascii="Cambria" w:hAnsi="Cambria"/>
          <w:sz w:val="20"/>
          <w:szCs w:val="20"/>
          <w:lang w:val="es-VE"/>
        </w:rPr>
        <w:t>.</w:t>
      </w:r>
    </w:p>
    <w:p w14:paraId="00DABB10" w14:textId="77777777" w:rsidR="0044079F" w:rsidRPr="00653813" w:rsidRDefault="0044079F" w:rsidP="0044079F">
      <w:pPr>
        <w:pBdr>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14:paraId="62470FC8" w14:textId="2D0E3614" w:rsidR="0044079F" w:rsidRPr="00653813" w:rsidRDefault="0044079F" w:rsidP="00F9666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3813">
        <w:rPr>
          <w:rFonts w:ascii="Cambria" w:hAnsi="Cambria"/>
          <w:sz w:val="20"/>
          <w:szCs w:val="20"/>
          <w:lang w:val="es-ES"/>
        </w:rPr>
        <w:t xml:space="preserve">Los derechos consagrados en el artículo 23 de la Convención Americana pueden ejercitarse mediante amplias y </w:t>
      </w:r>
      <w:r w:rsidRPr="00653813">
        <w:rPr>
          <w:rFonts w:asciiTheme="majorHAnsi" w:eastAsia="Times New Roman" w:hAnsiTheme="majorHAnsi"/>
          <w:sz w:val="20"/>
          <w:szCs w:val="20"/>
          <w:lang w:val="es-ES" w:eastAsia="es-ES"/>
        </w:rPr>
        <w:t>diversas</w:t>
      </w:r>
      <w:r w:rsidRPr="00653813">
        <w:rPr>
          <w:rFonts w:ascii="Cambria" w:hAnsi="Cambria"/>
          <w:sz w:val="20"/>
          <w:szCs w:val="20"/>
          <w:lang w:val="es-ES"/>
        </w:rPr>
        <w:t xml:space="preserve"> actividades que las personas realizan con el propósito de intervenir en los asuntos públicos de un paí</w:t>
      </w:r>
      <w:r w:rsidR="00455C5C">
        <w:rPr>
          <w:rFonts w:ascii="Cambria" w:hAnsi="Cambria"/>
          <w:sz w:val="20"/>
          <w:szCs w:val="20"/>
          <w:lang w:val="es-ES"/>
        </w:rPr>
        <w:t xml:space="preserve">s y, en virtud de dicha norma, </w:t>
      </w:r>
      <w:r w:rsidRPr="00653813">
        <w:rPr>
          <w:rFonts w:ascii="Cambria" w:hAnsi="Cambria"/>
          <w:sz w:val="20"/>
          <w:szCs w:val="20"/>
          <w:lang w:val="es-ES"/>
        </w:rPr>
        <w:t>“los ciudadanos tienen el derecho de participar activamente en la dirección de los asuntos públicos directamente, mediante referendos, plebiscitos o consultas o bien, por medio de representantes libremente elegidos”</w:t>
      </w:r>
      <w:r w:rsidRPr="00653813">
        <w:rPr>
          <w:rStyle w:val="FootnoteReference"/>
          <w:rFonts w:ascii="Cambria" w:hAnsi="Cambria"/>
          <w:sz w:val="20"/>
          <w:szCs w:val="20"/>
          <w:lang w:val="es-ES"/>
        </w:rPr>
        <w:footnoteReference w:id="135"/>
      </w:r>
      <w:r w:rsidRPr="00653813">
        <w:rPr>
          <w:rFonts w:ascii="Cambria" w:hAnsi="Cambria"/>
          <w:sz w:val="20"/>
          <w:szCs w:val="20"/>
          <w:lang w:val="es-ES"/>
        </w:rPr>
        <w:t xml:space="preserve">.  </w:t>
      </w:r>
    </w:p>
    <w:p w14:paraId="5B35439F" w14:textId="77777777" w:rsidR="0044079F" w:rsidRPr="00653813" w:rsidRDefault="0044079F" w:rsidP="0044079F">
      <w:pPr>
        <w:rPr>
          <w:rStyle w:val="apple-converted-space"/>
          <w:rFonts w:ascii="Cambria" w:hAnsi="Cambria"/>
          <w:sz w:val="20"/>
          <w:szCs w:val="20"/>
          <w:lang w:val="es-ES"/>
        </w:rPr>
      </w:pPr>
    </w:p>
    <w:p w14:paraId="25701982" w14:textId="77777777" w:rsidR="0044079F" w:rsidRPr="00653813" w:rsidRDefault="0044079F" w:rsidP="00F9666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3813">
        <w:rPr>
          <w:rStyle w:val="apple-converted-space"/>
          <w:rFonts w:ascii="Cambria" w:hAnsi="Cambria"/>
          <w:color w:val="000000"/>
          <w:sz w:val="20"/>
          <w:szCs w:val="20"/>
          <w:lang w:val="es-VE"/>
        </w:rPr>
        <w:t>La Comisión </w:t>
      </w:r>
      <w:r w:rsidRPr="00653813">
        <w:rPr>
          <w:rFonts w:ascii="Cambria" w:hAnsi="Cambria"/>
          <w:color w:val="000000"/>
          <w:sz w:val="20"/>
          <w:szCs w:val="20"/>
          <w:lang w:val="es-VE"/>
        </w:rPr>
        <w:t xml:space="preserve">al analizar los alcances del artículo 23 de la Convención, ha indicado que, para lograr su plena vigencia, </w:t>
      </w:r>
      <w:r w:rsidRPr="00653813">
        <w:rPr>
          <w:rFonts w:ascii="Cambria" w:hAnsi="Cambria"/>
          <w:sz w:val="20"/>
          <w:szCs w:val="20"/>
          <w:lang w:val="es-ES"/>
        </w:rPr>
        <w:t>las elecciones, a través de las cuales se expresa la voluntad del pueblo, deben ser auténticas, universales, periódicas, y realizarse a través de voto secreto u otro método que preserve la libre expresión de la voluntad del elector</w:t>
      </w:r>
      <w:r w:rsidRPr="00653813">
        <w:rPr>
          <w:rStyle w:val="FootnoteReference"/>
          <w:rFonts w:ascii="Cambria" w:hAnsi="Cambria"/>
          <w:sz w:val="20"/>
          <w:szCs w:val="20"/>
          <w:lang w:val="es-ES"/>
        </w:rPr>
        <w:footnoteReference w:id="136"/>
      </w:r>
      <w:r w:rsidRPr="00653813">
        <w:rPr>
          <w:rFonts w:ascii="Cambria" w:hAnsi="Cambria"/>
          <w:sz w:val="20"/>
          <w:szCs w:val="20"/>
          <w:lang w:val="es-ES"/>
        </w:rPr>
        <w:t>.</w:t>
      </w:r>
    </w:p>
    <w:p w14:paraId="588F5589" w14:textId="77777777" w:rsidR="0044079F" w:rsidRPr="00653813" w:rsidRDefault="0044079F" w:rsidP="0044079F">
      <w:pPr>
        <w:ind w:right="4"/>
        <w:jc w:val="both"/>
        <w:rPr>
          <w:rFonts w:ascii="Cambria" w:eastAsia="Times New Roman" w:hAnsi="Cambria"/>
          <w:sz w:val="20"/>
          <w:szCs w:val="20"/>
          <w:lang w:val="es-ES" w:eastAsia="es-ES"/>
        </w:rPr>
      </w:pPr>
      <w:r w:rsidRPr="00653813">
        <w:rPr>
          <w:rFonts w:ascii="Cambria" w:eastAsia="Times New Roman" w:hAnsi="Cambria"/>
          <w:sz w:val="20"/>
          <w:szCs w:val="20"/>
          <w:lang w:val="es-ES" w:eastAsia="es-ES"/>
        </w:rPr>
        <w:t> </w:t>
      </w:r>
    </w:p>
    <w:p w14:paraId="15C2F9E5" w14:textId="77777777" w:rsidR="0044079F" w:rsidRPr="00653813" w:rsidRDefault="0044079F" w:rsidP="00F9666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653813">
        <w:rPr>
          <w:rFonts w:ascii="Cambria" w:hAnsi="Cambria"/>
          <w:sz w:val="20"/>
          <w:szCs w:val="20"/>
          <w:lang w:val="es-ES"/>
        </w:rPr>
        <w:t>Por su parte, el Comité de Derechos Humanos del Pacto Internacional de Derechos Civiles y Políticos (en adelante “el Comité de Derechos Humanos”), ha indicado que “l</w:t>
      </w:r>
      <w:r w:rsidRPr="00653813">
        <w:rPr>
          <w:rFonts w:ascii="Cambria" w:hAnsi="Cambria"/>
          <w:sz w:val="20"/>
          <w:szCs w:val="20"/>
          <w:lang w:val="es-CO"/>
        </w:rPr>
        <w:t>os Estados deben tomar medidas para garantizar el carácter secreto del voto durante las elecciones (…) ello comporta la necesidad de que los votantes estén protegidos contra toda forma de coacción para revelar cómo van a votar o cómo han votado, y contra toda injerencia ilícita en el proceso electoral</w:t>
      </w:r>
      <w:r w:rsidRPr="00653813">
        <w:rPr>
          <w:rStyle w:val="FootnoteReference"/>
          <w:rFonts w:ascii="Cambria" w:hAnsi="Cambria"/>
          <w:sz w:val="20"/>
          <w:szCs w:val="20"/>
          <w:lang w:val="es-CO"/>
        </w:rPr>
        <w:footnoteReference w:id="137"/>
      </w:r>
      <w:r w:rsidRPr="00653813">
        <w:rPr>
          <w:rFonts w:ascii="Cambria" w:hAnsi="Cambria"/>
          <w:sz w:val="20"/>
          <w:szCs w:val="20"/>
          <w:lang w:val="es-CO"/>
        </w:rPr>
        <w:t>.</w:t>
      </w:r>
    </w:p>
    <w:p w14:paraId="463315FB" w14:textId="77777777" w:rsidR="0044079F" w:rsidRDefault="0044079F" w:rsidP="00F9666C">
      <w:pPr>
        <w:pStyle w:val="ListParagraph"/>
        <w:rPr>
          <w:rFonts w:asciiTheme="majorHAnsi" w:hAnsiTheme="majorHAnsi"/>
          <w:sz w:val="20"/>
          <w:szCs w:val="20"/>
          <w:lang w:val="es-CO"/>
        </w:rPr>
      </w:pPr>
    </w:p>
    <w:p w14:paraId="561DC4DA" w14:textId="73F98368" w:rsidR="00AB7D09" w:rsidRPr="0044079F" w:rsidRDefault="0044079F" w:rsidP="00F9666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CO"/>
        </w:rPr>
      </w:pPr>
      <w:r w:rsidRPr="0044079F">
        <w:rPr>
          <w:rFonts w:asciiTheme="majorHAnsi" w:hAnsiTheme="majorHAnsi"/>
          <w:sz w:val="20"/>
          <w:szCs w:val="20"/>
          <w:lang w:val="es-CO"/>
        </w:rPr>
        <w:t>L</w:t>
      </w:r>
      <w:r w:rsidR="00AB7D09" w:rsidRPr="0044079F">
        <w:rPr>
          <w:rFonts w:asciiTheme="majorHAnsi" w:hAnsiTheme="majorHAnsi"/>
          <w:sz w:val="20"/>
          <w:szCs w:val="20"/>
          <w:lang w:val="es-ES"/>
        </w:rPr>
        <w:t>os dos órganos</w:t>
      </w:r>
      <w:r w:rsidR="00FF2A34" w:rsidRPr="0044079F">
        <w:rPr>
          <w:rFonts w:asciiTheme="majorHAnsi" w:hAnsiTheme="majorHAnsi"/>
          <w:sz w:val="20"/>
          <w:szCs w:val="20"/>
          <w:lang w:val="es-ES"/>
        </w:rPr>
        <w:t xml:space="preserve"> del sistema interamericano </w:t>
      </w:r>
      <w:r w:rsidR="00AB7D09" w:rsidRPr="0044079F">
        <w:rPr>
          <w:rFonts w:asciiTheme="majorHAnsi" w:hAnsiTheme="majorHAnsi"/>
          <w:sz w:val="20"/>
          <w:szCs w:val="20"/>
          <w:lang w:val="es-ES"/>
        </w:rPr>
        <w:t>han señalado que el ejercicio de los derechos políticos y la libertad de pensamiento y de expresión se encuentran íntimamente ligados y se fortalecen entre sí</w:t>
      </w:r>
      <w:r w:rsidR="00AB7D09" w:rsidRPr="00420489">
        <w:rPr>
          <w:rStyle w:val="FootnoteReference"/>
          <w:rFonts w:asciiTheme="majorHAnsi" w:hAnsiTheme="majorHAnsi"/>
          <w:sz w:val="20"/>
          <w:szCs w:val="20"/>
          <w:lang w:val="es-ES"/>
        </w:rPr>
        <w:footnoteReference w:id="138"/>
      </w:r>
      <w:r w:rsidR="00AB7D09" w:rsidRPr="0044079F">
        <w:rPr>
          <w:rFonts w:asciiTheme="majorHAnsi" w:hAnsiTheme="majorHAnsi"/>
          <w:sz w:val="20"/>
          <w:szCs w:val="20"/>
          <w:lang w:val="es-ES"/>
        </w:rPr>
        <w:t>.</w:t>
      </w:r>
    </w:p>
    <w:p w14:paraId="4F15CA6B" w14:textId="77777777" w:rsidR="00AB7D09" w:rsidRPr="00420489" w:rsidRDefault="00AB7D09" w:rsidP="00AB7D09">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lang w:val="es-ES" w:eastAsia="es-ES"/>
        </w:rPr>
      </w:pPr>
    </w:p>
    <w:p w14:paraId="120341F1" w14:textId="3753195F" w:rsidR="00E12FA4" w:rsidRPr="00420489" w:rsidRDefault="00AB7D09" w:rsidP="00F9666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20489">
        <w:rPr>
          <w:rFonts w:asciiTheme="majorHAnsi" w:hAnsiTheme="majorHAnsi"/>
          <w:sz w:val="20"/>
          <w:szCs w:val="20"/>
          <w:lang w:val="es-ES"/>
        </w:rPr>
        <w:t>Según ha resaltado la Corte</w:t>
      </w:r>
      <w:r w:rsidR="00865D33">
        <w:rPr>
          <w:rFonts w:asciiTheme="majorHAnsi" w:hAnsiTheme="majorHAnsi"/>
          <w:sz w:val="20"/>
          <w:szCs w:val="20"/>
          <w:lang w:val="es-ES"/>
        </w:rPr>
        <w:t xml:space="preserve"> Interamericana</w:t>
      </w:r>
      <w:r w:rsidRPr="00420489">
        <w:rPr>
          <w:rFonts w:asciiTheme="majorHAnsi" w:hAnsiTheme="majorHAnsi"/>
          <w:sz w:val="20"/>
          <w:szCs w:val="20"/>
          <w:lang w:val="es-ES"/>
        </w:rPr>
        <w:t>, los derechos políticos se relacionan estrechamente con otros derechos consagrados en la Convención Americana como la libertad de expresión, la libertad de reunión y la libertad de asociación y, en conjunto, hac</w:t>
      </w:r>
      <w:r w:rsidR="00B37446" w:rsidRPr="00420489">
        <w:rPr>
          <w:rFonts w:asciiTheme="majorHAnsi" w:hAnsiTheme="majorHAnsi"/>
          <w:sz w:val="20"/>
          <w:szCs w:val="20"/>
          <w:lang w:val="es-ES"/>
        </w:rPr>
        <w:t>en posible el juego democrático</w:t>
      </w:r>
      <w:r w:rsidRPr="00420489">
        <w:rPr>
          <w:rStyle w:val="FootnoteReference"/>
          <w:rFonts w:asciiTheme="majorHAnsi" w:hAnsiTheme="majorHAnsi"/>
          <w:sz w:val="20"/>
          <w:szCs w:val="20"/>
          <w:lang w:val="es-ES"/>
        </w:rPr>
        <w:footnoteReference w:id="139"/>
      </w:r>
      <w:r w:rsidRPr="00420489">
        <w:rPr>
          <w:rFonts w:asciiTheme="majorHAnsi" w:hAnsiTheme="majorHAnsi"/>
          <w:sz w:val="20"/>
          <w:szCs w:val="20"/>
          <w:lang w:val="es-ES"/>
        </w:rPr>
        <w:t xml:space="preserve">. </w:t>
      </w:r>
      <w:r w:rsidRPr="00420489">
        <w:rPr>
          <w:rStyle w:val="apple-converted-space"/>
          <w:rFonts w:asciiTheme="majorHAnsi" w:hAnsiTheme="majorHAnsi"/>
          <w:color w:val="000000"/>
          <w:sz w:val="20"/>
          <w:szCs w:val="20"/>
          <w:lang w:val="es-VE"/>
        </w:rPr>
        <w:t xml:space="preserve">El derecho a la libertad de </w:t>
      </w:r>
      <w:r w:rsidRPr="001267D6">
        <w:rPr>
          <w:rFonts w:asciiTheme="majorHAnsi" w:hAnsiTheme="majorHAnsi"/>
          <w:sz w:val="18"/>
          <w:szCs w:val="18"/>
          <w:lang w:val="es-ES"/>
        </w:rPr>
        <w:t>expresión</w:t>
      </w:r>
      <w:r w:rsidRPr="00420489">
        <w:rPr>
          <w:rStyle w:val="apple-converted-space"/>
          <w:rFonts w:asciiTheme="majorHAnsi" w:hAnsiTheme="majorHAnsi"/>
          <w:color w:val="000000"/>
          <w:sz w:val="20"/>
          <w:szCs w:val="20"/>
          <w:lang w:val="es-VE"/>
        </w:rPr>
        <w:t xml:space="preserve"> constituye además un elemento fundamental sobre el cual se basa la </w:t>
      </w:r>
      <w:r w:rsidRPr="00420489">
        <w:rPr>
          <w:rFonts w:asciiTheme="majorHAnsi" w:hAnsiTheme="majorHAnsi"/>
          <w:sz w:val="20"/>
          <w:szCs w:val="20"/>
          <w:lang w:val="es-ES"/>
        </w:rPr>
        <w:t>existencia</w:t>
      </w:r>
      <w:r w:rsidRPr="00420489">
        <w:rPr>
          <w:rStyle w:val="apple-converted-space"/>
          <w:rFonts w:asciiTheme="majorHAnsi" w:hAnsiTheme="majorHAnsi"/>
          <w:color w:val="000000"/>
          <w:sz w:val="20"/>
          <w:szCs w:val="20"/>
          <w:lang w:val="es-VE"/>
        </w:rPr>
        <w:t xml:space="preserve"> de las sociedades democráticas, debido a su indispensable relación estructural con la democracia</w:t>
      </w:r>
      <w:r w:rsidRPr="00420489">
        <w:rPr>
          <w:rStyle w:val="apple-converted-space"/>
          <w:rFonts w:asciiTheme="majorHAnsi" w:hAnsiTheme="majorHAnsi"/>
          <w:color w:val="000000"/>
          <w:sz w:val="20"/>
          <w:szCs w:val="20"/>
          <w:vertAlign w:val="superscript"/>
          <w:lang w:val="es-VE"/>
        </w:rPr>
        <w:footnoteReference w:id="140"/>
      </w:r>
      <w:r w:rsidRPr="00420489">
        <w:rPr>
          <w:rStyle w:val="apple-converted-space"/>
          <w:rFonts w:asciiTheme="majorHAnsi" w:hAnsiTheme="majorHAnsi"/>
          <w:color w:val="000000"/>
          <w:sz w:val="20"/>
          <w:szCs w:val="20"/>
          <w:lang w:val="es-VE"/>
        </w:rPr>
        <w:t xml:space="preserve">. Según la Corte </w:t>
      </w:r>
      <w:r w:rsidRPr="00420489">
        <w:rPr>
          <w:rStyle w:val="apple-converted-space"/>
          <w:rFonts w:asciiTheme="majorHAnsi" w:hAnsiTheme="majorHAnsi"/>
          <w:color w:val="000000"/>
          <w:sz w:val="20"/>
          <w:szCs w:val="20"/>
          <w:lang w:val="es-VE"/>
        </w:rPr>
        <w:lastRenderedPageBreak/>
        <w:t xml:space="preserve">Interamericana sin una efectiva garantía de la libertad de expresión, se debilita el sistema democrático y sufren quebranto el pluralismo y la tolerancia; los mecanismos de control y denuncia ciudadana pueden volverse inoperantes y, en definitiva, se </w:t>
      </w:r>
      <w:r w:rsidRPr="00420489">
        <w:rPr>
          <w:rFonts w:asciiTheme="majorHAnsi" w:hAnsiTheme="majorHAnsi"/>
          <w:sz w:val="20"/>
          <w:szCs w:val="20"/>
          <w:lang w:val="es-ES"/>
        </w:rPr>
        <w:t xml:space="preserve">crea un campo fértil para que </w:t>
      </w:r>
      <w:r w:rsidR="00865D33">
        <w:rPr>
          <w:rFonts w:asciiTheme="majorHAnsi" w:hAnsiTheme="majorHAnsi"/>
          <w:sz w:val="20"/>
          <w:szCs w:val="20"/>
          <w:lang w:val="es-ES"/>
        </w:rPr>
        <w:t xml:space="preserve">se </w:t>
      </w:r>
      <w:r w:rsidRPr="00420489">
        <w:rPr>
          <w:rFonts w:asciiTheme="majorHAnsi" w:hAnsiTheme="majorHAnsi"/>
          <w:sz w:val="20"/>
          <w:szCs w:val="20"/>
          <w:lang w:val="es-ES"/>
        </w:rPr>
        <w:t>arraiguen sistemas autoritarios</w:t>
      </w:r>
      <w:r w:rsidRPr="00420489">
        <w:rPr>
          <w:rStyle w:val="FootnoteReference"/>
          <w:rFonts w:asciiTheme="majorHAnsi" w:hAnsiTheme="majorHAnsi"/>
          <w:sz w:val="20"/>
          <w:szCs w:val="20"/>
          <w:lang w:val="es-ES"/>
        </w:rPr>
        <w:footnoteReference w:id="141"/>
      </w:r>
      <w:r w:rsidRPr="00420489">
        <w:rPr>
          <w:rFonts w:asciiTheme="majorHAnsi" w:hAnsiTheme="majorHAnsi"/>
          <w:sz w:val="20"/>
          <w:szCs w:val="20"/>
          <w:lang w:val="es-ES"/>
        </w:rPr>
        <w:t xml:space="preserve">. </w:t>
      </w:r>
    </w:p>
    <w:p w14:paraId="22057094" w14:textId="77777777" w:rsidR="00E12FA4" w:rsidRPr="00420489" w:rsidRDefault="00E12FA4" w:rsidP="00E12FA4">
      <w:pPr>
        <w:pStyle w:val="ListParagraph"/>
        <w:rPr>
          <w:rFonts w:asciiTheme="majorHAnsi" w:hAnsiTheme="majorHAnsi"/>
          <w:sz w:val="20"/>
          <w:szCs w:val="20"/>
          <w:lang w:val="es-CO"/>
        </w:rPr>
      </w:pPr>
    </w:p>
    <w:p w14:paraId="45BC8FD1" w14:textId="77777777" w:rsidR="005E441F" w:rsidRPr="00420489" w:rsidRDefault="00E12FA4" w:rsidP="00F9666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b/>
          <w:sz w:val="20"/>
          <w:szCs w:val="20"/>
          <w:lang w:val="es-ES"/>
        </w:rPr>
      </w:pPr>
      <w:r w:rsidRPr="00420489">
        <w:rPr>
          <w:rFonts w:asciiTheme="majorHAnsi" w:hAnsiTheme="majorHAnsi"/>
          <w:sz w:val="20"/>
          <w:szCs w:val="20"/>
          <w:lang w:val="es-CO"/>
        </w:rPr>
        <w:t xml:space="preserve">En cuanto a las restricciones indirectas a la libertad de expresión, la Corte ha indicado que el alcance del artículo 13.3 de la Convención debe ser el resultado de una lectura conjunta con el artículo 13.1 de la Convención, en el sentido que una interpretación amplia de esta norma permite considerar que protege en forma específica la </w:t>
      </w:r>
      <w:r w:rsidRPr="001267D6">
        <w:rPr>
          <w:rFonts w:asciiTheme="majorHAnsi" w:hAnsiTheme="majorHAnsi"/>
          <w:sz w:val="20"/>
          <w:szCs w:val="20"/>
          <w:lang w:val="es-ES"/>
        </w:rPr>
        <w:t>comunicación</w:t>
      </w:r>
      <w:r w:rsidRPr="00420489">
        <w:rPr>
          <w:rFonts w:asciiTheme="majorHAnsi" w:hAnsiTheme="majorHAnsi"/>
          <w:sz w:val="20"/>
          <w:szCs w:val="20"/>
          <w:lang w:val="es-CO"/>
        </w:rPr>
        <w:t>, difusión y circulación de ideas y opiniones, de modo que queda prohibido el empleo de “vías o medios indirectos” para restringirlas</w:t>
      </w:r>
      <w:r w:rsidRPr="00420489">
        <w:rPr>
          <w:rStyle w:val="FootnoteReference"/>
          <w:rFonts w:asciiTheme="majorHAnsi" w:hAnsiTheme="majorHAnsi"/>
          <w:sz w:val="20"/>
          <w:szCs w:val="20"/>
        </w:rPr>
        <w:footnoteReference w:id="142"/>
      </w:r>
      <w:r w:rsidRPr="00420489">
        <w:rPr>
          <w:rFonts w:asciiTheme="majorHAnsi" w:hAnsiTheme="majorHAnsi"/>
          <w:sz w:val="20"/>
          <w:szCs w:val="20"/>
          <w:lang w:val="es-CO"/>
        </w:rPr>
        <w:t>.</w:t>
      </w:r>
      <w:r w:rsidRPr="00420489">
        <w:rPr>
          <w:rFonts w:asciiTheme="majorHAnsi" w:hAnsiTheme="majorHAnsi"/>
          <w:b/>
          <w:sz w:val="20"/>
          <w:szCs w:val="20"/>
          <w:lang w:val="es-CO"/>
        </w:rPr>
        <w:t xml:space="preserve"> </w:t>
      </w:r>
      <w:r w:rsidRPr="00420489">
        <w:rPr>
          <w:rFonts w:asciiTheme="majorHAnsi" w:hAnsiTheme="majorHAnsi"/>
          <w:sz w:val="20"/>
          <w:szCs w:val="20"/>
          <w:lang w:val="es-CO"/>
        </w:rPr>
        <w:t xml:space="preserve">Al respecto, la Corte ha señalado que lo que busca este inciso es ejemplificar formas más sutiles de restricción al derecho a la libertad de expresión por parte de autoridades estatales o </w:t>
      </w:r>
      <w:r w:rsidR="00DC6095" w:rsidRPr="00420489">
        <w:rPr>
          <w:rFonts w:asciiTheme="majorHAnsi" w:hAnsiTheme="majorHAnsi"/>
          <w:sz w:val="20"/>
          <w:szCs w:val="20"/>
          <w:lang w:val="es-CO"/>
        </w:rPr>
        <w:t>particulares</w:t>
      </w:r>
      <w:r w:rsidR="00DC6095" w:rsidRPr="00420489">
        <w:rPr>
          <w:rStyle w:val="FootnoteReference"/>
          <w:rFonts w:asciiTheme="majorHAnsi" w:hAnsiTheme="majorHAnsi"/>
          <w:sz w:val="20"/>
          <w:szCs w:val="20"/>
        </w:rPr>
        <w:footnoteReference w:id="143"/>
      </w:r>
      <w:r w:rsidR="00DC6095" w:rsidRPr="00420489">
        <w:rPr>
          <w:rFonts w:asciiTheme="majorHAnsi" w:hAnsiTheme="majorHAnsi"/>
          <w:sz w:val="20"/>
          <w:szCs w:val="20"/>
          <w:lang w:val="es-CO"/>
        </w:rPr>
        <w:t>, y que la enunciación de los mecanismos de restricción indirecta del artículo 13.3 de la Convención, no es taxativa</w:t>
      </w:r>
      <w:r w:rsidR="00CC2479" w:rsidRPr="00420489">
        <w:rPr>
          <w:rStyle w:val="FootnoteReference"/>
          <w:rFonts w:asciiTheme="majorHAnsi" w:hAnsiTheme="majorHAnsi"/>
          <w:sz w:val="20"/>
          <w:szCs w:val="20"/>
        </w:rPr>
        <w:footnoteReference w:id="144"/>
      </w:r>
      <w:r w:rsidR="00DC6095" w:rsidRPr="00420489">
        <w:rPr>
          <w:rFonts w:asciiTheme="majorHAnsi" w:hAnsiTheme="majorHAnsi"/>
          <w:sz w:val="20"/>
          <w:szCs w:val="20"/>
          <w:lang w:val="es-CO"/>
        </w:rPr>
        <w:t>. La Corte Interamericana también ha indicado que para que se configure una violación al artículo 13.3 de la Convención es necesario que la vía o el medio restrinjan efectivamente, en forma indirecta, la comunicación y la circulación de ideas y opiniones</w:t>
      </w:r>
      <w:r w:rsidR="00DC6095" w:rsidRPr="00420489">
        <w:rPr>
          <w:rStyle w:val="FootnoteReference"/>
          <w:rFonts w:asciiTheme="majorHAnsi" w:hAnsiTheme="majorHAnsi"/>
          <w:sz w:val="20"/>
          <w:szCs w:val="20"/>
        </w:rPr>
        <w:footnoteReference w:id="145"/>
      </w:r>
      <w:r w:rsidR="00DC6095" w:rsidRPr="00420489">
        <w:rPr>
          <w:rFonts w:asciiTheme="majorHAnsi" w:hAnsiTheme="majorHAnsi"/>
          <w:sz w:val="20"/>
          <w:szCs w:val="20"/>
          <w:lang w:val="es-CO"/>
        </w:rPr>
        <w:t>.</w:t>
      </w:r>
    </w:p>
    <w:p w14:paraId="6DE62BA6" w14:textId="77777777" w:rsidR="005E441F" w:rsidRPr="00420489" w:rsidRDefault="005E441F" w:rsidP="005E441F">
      <w:pPr>
        <w:pStyle w:val="ListParagraph"/>
        <w:rPr>
          <w:rFonts w:asciiTheme="majorHAnsi" w:hAnsiTheme="majorHAnsi" w:cs="BookAntiqua"/>
          <w:sz w:val="20"/>
          <w:szCs w:val="20"/>
          <w:lang w:val="es-CO"/>
        </w:rPr>
      </w:pPr>
    </w:p>
    <w:p w14:paraId="322580A2" w14:textId="13549D83" w:rsidR="007C6F41" w:rsidRPr="00420489" w:rsidRDefault="005E441F" w:rsidP="00F9666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_tradnl"/>
        </w:rPr>
      </w:pPr>
      <w:r w:rsidRPr="00420489">
        <w:rPr>
          <w:rFonts w:asciiTheme="majorHAnsi" w:hAnsiTheme="majorHAnsi" w:cs="BookAntiqua"/>
          <w:sz w:val="20"/>
          <w:szCs w:val="20"/>
          <w:lang w:val="es-CO"/>
        </w:rPr>
        <w:t>Respecto del principio de igualdad y no discriminación,</w:t>
      </w:r>
      <w:r w:rsidR="000E68C0" w:rsidRPr="00420489">
        <w:rPr>
          <w:rFonts w:asciiTheme="majorHAnsi" w:hAnsiTheme="majorHAnsi" w:cs="BookAntiqua"/>
          <w:sz w:val="20"/>
          <w:szCs w:val="20"/>
          <w:lang w:val="es-CO"/>
        </w:rPr>
        <w:t xml:space="preserve"> establecido en los artículos 24 y 1.1 de la </w:t>
      </w:r>
      <w:r w:rsidR="000E68C0" w:rsidRPr="00D91882">
        <w:rPr>
          <w:rFonts w:asciiTheme="majorHAnsi" w:hAnsiTheme="majorHAnsi" w:cs="BookAntiqua"/>
          <w:sz w:val="20"/>
          <w:szCs w:val="20"/>
          <w:lang w:val="es-CO"/>
        </w:rPr>
        <w:t>Convención,</w:t>
      </w:r>
      <w:r w:rsidRPr="00D91882">
        <w:rPr>
          <w:rFonts w:asciiTheme="majorHAnsi" w:hAnsiTheme="majorHAnsi" w:cs="BookAntiqua"/>
          <w:sz w:val="20"/>
          <w:szCs w:val="20"/>
          <w:lang w:val="es-CO"/>
        </w:rPr>
        <w:t xml:space="preserve"> </w:t>
      </w:r>
      <w:r w:rsidR="00FA0338" w:rsidRPr="00D91882">
        <w:rPr>
          <w:rFonts w:asciiTheme="majorHAnsi" w:hAnsiTheme="majorHAnsi" w:cs="BookAntiqua"/>
          <w:sz w:val="20"/>
          <w:szCs w:val="20"/>
          <w:lang w:val="es-CO"/>
        </w:rPr>
        <w:t>l</w:t>
      </w:r>
      <w:r w:rsidR="00FA0338" w:rsidRPr="00D91882">
        <w:rPr>
          <w:rFonts w:asciiTheme="majorHAnsi" w:hAnsiTheme="majorHAnsi"/>
          <w:sz w:val="20"/>
          <w:szCs w:val="20"/>
          <w:lang w:val="es-ES_tradnl"/>
        </w:rPr>
        <w:t xml:space="preserve">a </w:t>
      </w:r>
      <w:r w:rsidR="00FA0338" w:rsidRPr="00D91882">
        <w:rPr>
          <w:sz w:val="20"/>
          <w:szCs w:val="20"/>
          <w:lang w:val="es-ES"/>
        </w:rPr>
        <w:t>Comisión</w:t>
      </w:r>
      <w:r w:rsidR="00FA0338" w:rsidRPr="00D91882">
        <w:rPr>
          <w:rFonts w:asciiTheme="majorHAnsi" w:hAnsiTheme="majorHAnsi"/>
          <w:sz w:val="20"/>
          <w:szCs w:val="20"/>
          <w:lang w:val="es-ES_tradnl"/>
        </w:rPr>
        <w:t xml:space="preserve"> y la Corte Interamericanas han señalado reiteradamente que constituye el eje central y </w:t>
      </w:r>
      <w:r w:rsidR="00FA0338" w:rsidRPr="00D91882">
        <w:rPr>
          <w:rFonts w:asciiTheme="majorHAnsi" w:hAnsiTheme="majorHAnsi"/>
          <w:sz w:val="20"/>
          <w:szCs w:val="20"/>
          <w:lang w:val="es-CO"/>
        </w:rPr>
        <w:t>fundamental</w:t>
      </w:r>
      <w:r w:rsidR="00FA0338" w:rsidRPr="00D91882">
        <w:rPr>
          <w:rFonts w:asciiTheme="majorHAnsi" w:hAnsiTheme="majorHAnsi"/>
          <w:sz w:val="20"/>
          <w:szCs w:val="20"/>
          <w:lang w:val="es-ES_tradnl"/>
        </w:rPr>
        <w:t xml:space="preserve"> del sistema interamericano de derechos humanos.  Asimismo, se ha establecido que “acarrea obligaciones </w:t>
      </w:r>
      <w:r w:rsidR="00FA0338" w:rsidRPr="00D91882">
        <w:rPr>
          <w:rFonts w:asciiTheme="majorHAnsi" w:hAnsiTheme="majorHAnsi"/>
          <w:i/>
          <w:sz w:val="20"/>
          <w:szCs w:val="20"/>
          <w:lang w:val="es-ES_tradnl"/>
        </w:rPr>
        <w:t>erga omnes</w:t>
      </w:r>
      <w:r w:rsidR="00FA0338" w:rsidRPr="00D91882">
        <w:rPr>
          <w:rFonts w:asciiTheme="majorHAnsi" w:hAnsiTheme="majorHAnsi"/>
          <w:sz w:val="20"/>
          <w:szCs w:val="20"/>
          <w:lang w:val="es-ES_tradnl"/>
        </w:rPr>
        <w:t xml:space="preserve"> de protección que vinculan a todos los Estados y generan efectos con respecto a terceros, inclusive particulares”</w:t>
      </w:r>
      <w:r w:rsidR="00FA0338" w:rsidRPr="00D91882">
        <w:rPr>
          <w:rStyle w:val="FootnoteReference"/>
          <w:rFonts w:asciiTheme="majorHAnsi" w:hAnsiTheme="majorHAnsi"/>
          <w:sz w:val="20"/>
          <w:szCs w:val="20"/>
          <w:lang w:val="es-ES_tradnl"/>
        </w:rPr>
        <w:footnoteReference w:id="146"/>
      </w:r>
      <w:r w:rsidR="00FA0338" w:rsidRPr="00D91882">
        <w:rPr>
          <w:rFonts w:asciiTheme="majorHAnsi" w:hAnsiTheme="majorHAnsi"/>
          <w:sz w:val="20"/>
          <w:szCs w:val="20"/>
          <w:lang w:val="es-ES_tradnl"/>
        </w:rPr>
        <w:t xml:space="preserve">.  </w:t>
      </w:r>
      <w:r w:rsidR="00FA0338" w:rsidRPr="00D91882">
        <w:rPr>
          <w:rFonts w:asciiTheme="majorHAnsi" w:hAnsiTheme="majorHAnsi" w:cs="Arial"/>
          <w:sz w:val="20"/>
          <w:szCs w:val="20"/>
          <w:lang w:val="es-CO"/>
        </w:rPr>
        <w:t xml:space="preserve">La Corte </w:t>
      </w:r>
      <w:r w:rsidR="00865D33" w:rsidRPr="00D91882">
        <w:rPr>
          <w:rFonts w:asciiTheme="majorHAnsi" w:hAnsiTheme="majorHAnsi" w:cs="Arial"/>
          <w:sz w:val="20"/>
          <w:szCs w:val="20"/>
          <w:lang w:val="es-CO"/>
        </w:rPr>
        <w:t>h</w:t>
      </w:r>
      <w:r w:rsidR="00FA0338" w:rsidRPr="00D91882">
        <w:rPr>
          <w:rFonts w:asciiTheme="majorHAnsi" w:hAnsiTheme="majorHAnsi" w:cs="Arial"/>
          <w:sz w:val="20"/>
          <w:szCs w:val="20"/>
          <w:lang w:val="es-CO"/>
        </w:rPr>
        <w:t>a indicado que e</w:t>
      </w:r>
      <w:r w:rsidRPr="00D91882">
        <w:rPr>
          <w:rFonts w:asciiTheme="majorHAnsi" w:hAnsiTheme="majorHAnsi" w:cs="Arial"/>
          <w:sz w:val="20"/>
          <w:szCs w:val="20"/>
          <w:lang w:val="es-CO"/>
        </w:rPr>
        <w:t>n la actual etapa de la evolución del derecho internacional</w:t>
      </w:r>
      <w:r w:rsidRPr="00420489">
        <w:rPr>
          <w:rFonts w:asciiTheme="majorHAnsi" w:hAnsiTheme="majorHAnsi" w:cs="Arial"/>
          <w:sz w:val="20"/>
          <w:szCs w:val="20"/>
          <w:lang w:val="es-CO"/>
        </w:rPr>
        <w:t xml:space="preserve">, el principio fundamental de igualdad y no discriminación ha ingresado en el dominio del </w:t>
      </w:r>
      <w:proofErr w:type="spellStart"/>
      <w:r w:rsidRPr="00420489">
        <w:rPr>
          <w:rFonts w:asciiTheme="majorHAnsi" w:hAnsiTheme="majorHAnsi" w:cs="Arial"/>
          <w:i/>
          <w:iCs/>
          <w:sz w:val="20"/>
          <w:szCs w:val="20"/>
          <w:lang w:val="es-CO"/>
        </w:rPr>
        <w:t>jus</w:t>
      </w:r>
      <w:proofErr w:type="spellEnd"/>
      <w:r w:rsidRPr="00420489">
        <w:rPr>
          <w:rFonts w:asciiTheme="majorHAnsi" w:hAnsiTheme="majorHAnsi" w:cs="Arial"/>
          <w:i/>
          <w:iCs/>
          <w:sz w:val="20"/>
          <w:szCs w:val="20"/>
          <w:lang w:val="es-CO"/>
        </w:rPr>
        <w:t xml:space="preserve"> </w:t>
      </w:r>
      <w:proofErr w:type="spellStart"/>
      <w:r w:rsidRPr="00420489">
        <w:rPr>
          <w:rFonts w:asciiTheme="majorHAnsi" w:hAnsiTheme="majorHAnsi" w:cs="Arial"/>
          <w:i/>
          <w:iCs/>
          <w:sz w:val="20"/>
          <w:szCs w:val="20"/>
          <w:lang w:val="es-CO"/>
        </w:rPr>
        <w:t>cogens</w:t>
      </w:r>
      <w:proofErr w:type="spellEnd"/>
      <w:r w:rsidRPr="00420489">
        <w:rPr>
          <w:rFonts w:asciiTheme="majorHAnsi" w:hAnsiTheme="majorHAnsi" w:cs="Arial"/>
          <w:i/>
          <w:iCs/>
          <w:sz w:val="20"/>
          <w:szCs w:val="20"/>
          <w:lang w:val="es-CO"/>
        </w:rPr>
        <w:t xml:space="preserve">. </w:t>
      </w:r>
      <w:r w:rsidRPr="00420489">
        <w:rPr>
          <w:rFonts w:asciiTheme="majorHAnsi" w:hAnsiTheme="majorHAnsi" w:cs="Arial"/>
          <w:sz w:val="20"/>
          <w:szCs w:val="20"/>
          <w:lang w:val="es-CO"/>
        </w:rPr>
        <w:t>Sobre él descansa el andamiaje jurídico del orden público nacional e internacional, y permea todo el ordenamiento jurídico</w:t>
      </w:r>
      <w:r w:rsidRPr="00420489">
        <w:rPr>
          <w:rFonts w:asciiTheme="majorHAnsi" w:hAnsiTheme="majorHAnsi" w:cs="Arial"/>
          <w:sz w:val="20"/>
          <w:szCs w:val="20"/>
          <w:vertAlign w:val="superscript"/>
        </w:rPr>
        <w:footnoteReference w:id="147"/>
      </w:r>
      <w:r w:rsidRPr="00420489">
        <w:rPr>
          <w:rFonts w:asciiTheme="majorHAnsi" w:hAnsiTheme="majorHAnsi" w:cs="Arial"/>
          <w:sz w:val="20"/>
          <w:szCs w:val="20"/>
          <w:lang w:val="es-CO"/>
        </w:rPr>
        <w:t>.</w:t>
      </w:r>
    </w:p>
    <w:p w14:paraId="63C48E1B" w14:textId="77777777" w:rsidR="007C6F41" w:rsidRPr="00420489" w:rsidRDefault="007C6F41" w:rsidP="007C6F4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b/>
          <w:sz w:val="20"/>
          <w:szCs w:val="20"/>
          <w:lang w:val="es-ES_tradnl"/>
        </w:rPr>
      </w:pPr>
    </w:p>
    <w:p w14:paraId="068C980D" w14:textId="77777777" w:rsidR="00357AB2" w:rsidRPr="00420489" w:rsidRDefault="007C6F41" w:rsidP="00F9666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_tradnl"/>
        </w:rPr>
      </w:pPr>
      <w:r w:rsidRPr="00420489">
        <w:rPr>
          <w:rFonts w:asciiTheme="majorHAnsi" w:hAnsiTheme="majorHAnsi"/>
          <w:sz w:val="20"/>
          <w:szCs w:val="20"/>
          <w:lang w:val="es-CO"/>
        </w:rPr>
        <w:t xml:space="preserve">La Corte ha establecido en su jurisprudencia que el artículo 1.1 de la Convención es una norma de carácter general, cuyo contenido se extiende a todas las disposiciones del tratado, ya que dispone la obligación de los Estados Partes de </w:t>
      </w:r>
      <w:r w:rsidRPr="00420489">
        <w:rPr>
          <w:rFonts w:asciiTheme="majorHAnsi" w:hAnsiTheme="majorHAnsi" w:cs="Arial"/>
          <w:sz w:val="20"/>
          <w:szCs w:val="20"/>
          <w:lang w:val="es-CO"/>
        </w:rPr>
        <w:t>respetar</w:t>
      </w:r>
      <w:r w:rsidRPr="00420489">
        <w:rPr>
          <w:rFonts w:asciiTheme="majorHAnsi" w:hAnsiTheme="majorHAnsi"/>
          <w:sz w:val="20"/>
          <w:szCs w:val="20"/>
          <w:lang w:val="es-CO"/>
        </w:rPr>
        <w:t xml:space="preserve"> y garantizar el pleno y libre ejercicio de los derechos y libertades allí reconocidos “sin </w:t>
      </w:r>
      <w:r w:rsidRPr="001267D6">
        <w:rPr>
          <w:rFonts w:asciiTheme="majorHAnsi" w:hAnsiTheme="majorHAnsi"/>
          <w:sz w:val="20"/>
          <w:szCs w:val="20"/>
          <w:lang w:val="es-ES"/>
        </w:rPr>
        <w:t>discriminación</w:t>
      </w:r>
      <w:r w:rsidRPr="00420489">
        <w:rPr>
          <w:rFonts w:asciiTheme="majorHAnsi" w:hAnsiTheme="majorHAnsi"/>
          <w:sz w:val="20"/>
          <w:szCs w:val="20"/>
          <w:lang w:val="es-CO"/>
        </w:rPr>
        <w:t xml:space="preserve"> alguna”. Es decir, cualquiera sea el origen o la forma que asuma, todo tratamiento que pueda ser considerado discriminatorio respecto del ejercicio de cualquiera de los derechos garantizados en la Convención es </w:t>
      </w:r>
      <w:r w:rsidRPr="00420489">
        <w:rPr>
          <w:rFonts w:asciiTheme="majorHAnsi" w:hAnsiTheme="majorHAnsi"/>
          <w:i/>
          <w:sz w:val="20"/>
          <w:szCs w:val="20"/>
          <w:lang w:val="es-CO"/>
        </w:rPr>
        <w:t xml:space="preserve">per se </w:t>
      </w:r>
      <w:r w:rsidRPr="00420489">
        <w:rPr>
          <w:rFonts w:asciiTheme="majorHAnsi" w:hAnsiTheme="majorHAnsi"/>
          <w:sz w:val="20"/>
          <w:szCs w:val="20"/>
          <w:lang w:val="es-CO"/>
        </w:rPr>
        <w:t>incompatible con la misma</w:t>
      </w:r>
      <w:r w:rsidRPr="00420489">
        <w:rPr>
          <w:rFonts w:asciiTheme="majorHAnsi" w:hAnsiTheme="majorHAnsi"/>
          <w:sz w:val="20"/>
          <w:szCs w:val="20"/>
          <w:vertAlign w:val="superscript"/>
        </w:rPr>
        <w:footnoteReference w:id="148"/>
      </w:r>
      <w:r w:rsidRPr="00420489">
        <w:rPr>
          <w:rFonts w:asciiTheme="majorHAnsi" w:hAnsiTheme="majorHAnsi"/>
          <w:sz w:val="20"/>
          <w:szCs w:val="20"/>
          <w:lang w:val="es-CO"/>
        </w:rPr>
        <w:t xml:space="preserve">. </w:t>
      </w:r>
      <w:r w:rsidRPr="00420489">
        <w:rPr>
          <w:rFonts w:asciiTheme="majorHAnsi" w:hAnsiTheme="majorHAnsi" w:cs="Arial"/>
          <w:sz w:val="20"/>
          <w:szCs w:val="20"/>
          <w:lang w:val="es-CO"/>
        </w:rPr>
        <w:t>El incumplimiento por el Estado, mediante cualquier tratamiento discriminatorio, de la obligación general de respetar y garantizar los derechos humanos, le genera responsabilidad internacional</w:t>
      </w:r>
      <w:r w:rsidRPr="00420489">
        <w:rPr>
          <w:rFonts w:asciiTheme="majorHAnsi" w:hAnsiTheme="majorHAnsi" w:cs="Arial"/>
          <w:sz w:val="20"/>
          <w:szCs w:val="20"/>
          <w:vertAlign w:val="superscript"/>
        </w:rPr>
        <w:footnoteReference w:id="149"/>
      </w:r>
      <w:r w:rsidRPr="00420489">
        <w:rPr>
          <w:rFonts w:asciiTheme="majorHAnsi" w:hAnsiTheme="majorHAnsi" w:cs="Arial"/>
          <w:sz w:val="20"/>
          <w:szCs w:val="20"/>
          <w:lang w:val="es-CO"/>
        </w:rPr>
        <w:t xml:space="preserve">. Es por ello que existe un vínculo indisoluble entre la </w:t>
      </w:r>
      <w:r w:rsidRPr="00420489">
        <w:rPr>
          <w:rFonts w:asciiTheme="majorHAnsi" w:hAnsiTheme="majorHAnsi" w:cs="Arial"/>
          <w:sz w:val="20"/>
          <w:szCs w:val="20"/>
          <w:lang w:val="es-CO"/>
        </w:rPr>
        <w:lastRenderedPageBreak/>
        <w:t>obligación de respetar y garantizar los derechos humanos y el principio de igualdad y no discriminación</w:t>
      </w:r>
      <w:r w:rsidRPr="00420489">
        <w:rPr>
          <w:rFonts w:asciiTheme="majorHAnsi" w:hAnsiTheme="majorHAnsi" w:cs="Arial"/>
          <w:sz w:val="20"/>
          <w:szCs w:val="20"/>
          <w:vertAlign w:val="superscript"/>
        </w:rPr>
        <w:footnoteReference w:id="150"/>
      </w:r>
      <w:r w:rsidRPr="00420489">
        <w:rPr>
          <w:rFonts w:asciiTheme="majorHAnsi" w:hAnsiTheme="majorHAnsi" w:cs="Arial"/>
          <w:sz w:val="20"/>
          <w:szCs w:val="20"/>
          <w:lang w:val="es-CO"/>
        </w:rPr>
        <w:t>.</w:t>
      </w:r>
      <w:r w:rsidR="00357AB2" w:rsidRPr="00420489">
        <w:rPr>
          <w:rFonts w:asciiTheme="majorHAnsi" w:hAnsiTheme="majorHAnsi"/>
          <w:b/>
          <w:sz w:val="20"/>
          <w:szCs w:val="20"/>
          <w:lang w:val="es-CO"/>
        </w:rPr>
        <w:t xml:space="preserve"> </w:t>
      </w:r>
      <w:r w:rsidRPr="00420489">
        <w:rPr>
          <w:rFonts w:asciiTheme="majorHAnsi" w:hAnsiTheme="majorHAnsi" w:cs="Arial"/>
          <w:sz w:val="20"/>
          <w:szCs w:val="20"/>
          <w:lang w:val="es-CO"/>
        </w:rPr>
        <w:t>E</w:t>
      </w:r>
      <w:r w:rsidR="00FA0338" w:rsidRPr="00420489">
        <w:rPr>
          <w:rFonts w:asciiTheme="majorHAnsi" w:hAnsiTheme="majorHAnsi" w:cs="Arial"/>
          <w:sz w:val="20"/>
          <w:szCs w:val="20"/>
          <w:lang w:val="es-CO"/>
        </w:rPr>
        <w:t xml:space="preserve">l artículo 1.1 de la Convención contempla </w:t>
      </w:r>
      <w:r w:rsidRPr="00420489">
        <w:rPr>
          <w:rFonts w:asciiTheme="majorHAnsi" w:hAnsiTheme="majorHAnsi" w:cs="Arial"/>
          <w:sz w:val="20"/>
          <w:szCs w:val="20"/>
          <w:lang w:val="es-CO"/>
        </w:rPr>
        <w:t>dentro de las categorías prohibidas de discriminación las “opiniones políticas</w:t>
      </w:r>
      <w:r w:rsidR="005F05EF" w:rsidRPr="00420489">
        <w:rPr>
          <w:rFonts w:asciiTheme="majorHAnsi" w:hAnsiTheme="majorHAnsi" w:cs="Arial"/>
          <w:sz w:val="20"/>
          <w:szCs w:val="20"/>
          <w:lang w:val="es-CO"/>
        </w:rPr>
        <w:t>”</w:t>
      </w:r>
      <w:r w:rsidRPr="00420489">
        <w:rPr>
          <w:rFonts w:asciiTheme="majorHAnsi" w:hAnsiTheme="majorHAnsi" w:cs="Arial"/>
          <w:sz w:val="20"/>
          <w:szCs w:val="20"/>
          <w:lang w:val="es-CO"/>
        </w:rPr>
        <w:t>.</w:t>
      </w:r>
      <w:r w:rsidR="005F05EF" w:rsidRPr="00420489">
        <w:rPr>
          <w:rFonts w:asciiTheme="majorHAnsi" w:hAnsiTheme="majorHAnsi" w:cs="Arial"/>
          <w:sz w:val="20"/>
          <w:szCs w:val="20"/>
          <w:lang w:val="es-CO"/>
        </w:rPr>
        <w:t xml:space="preserve"> </w:t>
      </w:r>
    </w:p>
    <w:p w14:paraId="5AB1CFF6" w14:textId="77777777" w:rsidR="00AB7D09" w:rsidRPr="00420489" w:rsidRDefault="00AB7D09" w:rsidP="00357AB2">
      <w:pPr>
        <w:jc w:val="both"/>
        <w:rPr>
          <w:rFonts w:asciiTheme="majorHAnsi" w:eastAsia="Times New Roman" w:hAnsiTheme="majorHAnsi"/>
          <w:b/>
          <w:sz w:val="20"/>
          <w:szCs w:val="20"/>
          <w:lang w:val="es-ES"/>
        </w:rPr>
      </w:pPr>
    </w:p>
    <w:p w14:paraId="7283F4C5" w14:textId="02D122A7" w:rsidR="005E2A54" w:rsidRPr="00420489" w:rsidRDefault="006F0BBD" w:rsidP="00D9188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La Comisión estima que</w:t>
      </w:r>
      <w:r w:rsidR="00357AB2" w:rsidRPr="00420489">
        <w:rPr>
          <w:rFonts w:asciiTheme="majorHAnsi" w:hAnsiTheme="majorHAnsi"/>
          <w:sz w:val="20"/>
          <w:szCs w:val="20"/>
          <w:lang w:val="es-VE"/>
        </w:rPr>
        <w:t xml:space="preserve"> </w:t>
      </w:r>
      <w:r w:rsidR="00357AB2" w:rsidRPr="00420489">
        <w:rPr>
          <w:rFonts w:asciiTheme="majorHAnsi" w:hAnsiTheme="majorHAnsi" w:cs="Arial"/>
          <w:sz w:val="20"/>
          <w:szCs w:val="20"/>
          <w:lang w:val="es-CO"/>
        </w:rPr>
        <w:t xml:space="preserve">la firma a favor de la convocatoria de un mecanismo de participación política, como lo es referendo revocatorio presidencial, </w:t>
      </w:r>
      <w:r w:rsidRPr="00420489">
        <w:rPr>
          <w:rFonts w:asciiTheme="majorHAnsi" w:hAnsiTheme="majorHAnsi"/>
          <w:sz w:val="20"/>
          <w:szCs w:val="20"/>
          <w:lang w:val="es-VE"/>
        </w:rPr>
        <w:t>no constituye solamente el ejercicio de los derechos políticos</w:t>
      </w:r>
      <w:r w:rsidR="00357AB2" w:rsidRPr="00420489">
        <w:rPr>
          <w:rFonts w:asciiTheme="majorHAnsi" w:hAnsiTheme="majorHAnsi"/>
          <w:sz w:val="20"/>
          <w:szCs w:val="20"/>
          <w:lang w:val="es-VE"/>
        </w:rPr>
        <w:t xml:space="preserve"> en los términos del artículo 23 de la Convención, sino </w:t>
      </w:r>
      <w:r w:rsidRPr="00420489">
        <w:rPr>
          <w:rFonts w:asciiTheme="majorHAnsi" w:hAnsiTheme="majorHAnsi"/>
          <w:sz w:val="20"/>
          <w:szCs w:val="20"/>
          <w:lang w:val="es-VE"/>
        </w:rPr>
        <w:t>también una expresión de</w:t>
      </w:r>
      <w:r w:rsidR="000E68C0" w:rsidRPr="00420489">
        <w:rPr>
          <w:rFonts w:asciiTheme="majorHAnsi" w:hAnsiTheme="majorHAnsi"/>
          <w:sz w:val="20"/>
          <w:szCs w:val="20"/>
          <w:lang w:val="es-VE"/>
        </w:rPr>
        <w:t xml:space="preserve"> la </w:t>
      </w:r>
      <w:r w:rsidRPr="00420489">
        <w:rPr>
          <w:rFonts w:asciiTheme="majorHAnsi" w:hAnsiTheme="majorHAnsi"/>
          <w:sz w:val="20"/>
          <w:szCs w:val="20"/>
          <w:lang w:val="es-VE"/>
        </w:rPr>
        <w:t>opinión pol</w:t>
      </w:r>
      <w:r w:rsidR="00357AB2" w:rsidRPr="00420489">
        <w:rPr>
          <w:rFonts w:asciiTheme="majorHAnsi" w:hAnsiTheme="majorHAnsi"/>
          <w:sz w:val="20"/>
          <w:szCs w:val="20"/>
          <w:lang w:val="es-VE"/>
        </w:rPr>
        <w:t xml:space="preserve">ítica de </w:t>
      </w:r>
      <w:r w:rsidR="00357AB2" w:rsidRPr="00420489">
        <w:rPr>
          <w:rFonts w:asciiTheme="majorHAnsi" w:eastAsia="Calibri" w:hAnsiTheme="majorHAnsi"/>
          <w:sz w:val="20"/>
          <w:szCs w:val="20"/>
          <w:lang w:val="es-VE"/>
        </w:rPr>
        <w:t xml:space="preserve">Rocío San </w:t>
      </w:r>
      <w:r w:rsidR="00357AB2" w:rsidRPr="00D91882">
        <w:rPr>
          <w:rFonts w:asciiTheme="majorHAnsi" w:hAnsiTheme="majorHAnsi"/>
          <w:sz w:val="20"/>
          <w:szCs w:val="20"/>
          <w:lang w:val="es-CO"/>
        </w:rPr>
        <w:t>Miguel</w:t>
      </w:r>
      <w:r w:rsidR="00357AB2" w:rsidRPr="00420489">
        <w:rPr>
          <w:rFonts w:asciiTheme="majorHAnsi" w:eastAsia="Calibri" w:hAnsiTheme="majorHAnsi"/>
          <w:sz w:val="20"/>
          <w:szCs w:val="20"/>
          <w:lang w:val="es-VE"/>
        </w:rPr>
        <w:t xml:space="preserve"> Sosa, </w:t>
      </w:r>
      <w:proofErr w:type="spellStart"/>
      <w:r w:rsidR="00357AB2" w:rsidRPr="00420489">
        <w:rPr>
          <w:rFonts w:asciiTheme="majorHAnsi" w:eastAsia="Calibri" w:hAnsiTheme="majorHAnsi"/>
          <w:sz w:val="20"/>
          <w:szCs w:val="20"/>
          <w:lang w:val="es-VE"/>
        </w:rPr>
        <w:t>Magally</w:t>
      </w:r>
      <w:proofErr w:type="spellEnd"/>
      <w:r w:rsidR="00357AB2" w:rsidRPr="00420489">
        <w:rPr>
          <w:rFonts w:asciiTheme="majorHAnsi" w:eastAsia="Calibri" w:hAnsiTheme="majorHAnsi"/>
          <w:sz w:val="20"/>
          <w:szCs w:val="20"/>
          <w:lang w:val="es-VE"/>
        </w:rPr>
        <w:t xml:space="preserve"> Chang Girón y Thais Coromoto Peña,</w:t>
      </w:r>
      <w:r w:rsidR="00357AB2" w:rsidRPr="00420489">
        <w:rPr>
          <w:rFonts w:asciiTheme="majorHAnsi" w:hAnsiTheme="majorHAnsi"/>
          <w:sz w:val="20"/>
          <w:szCs w:val="20"/>
          <w:lang w:val="es-VE"/>
        </w:rPr>
        <w:t xml:space="preserve"> protegida a su vez por el artículo 13 de la Convención y por el 1.1 del mismo instrumento como categoría prohibida de discriminación. En consecuencia, de conformidad con los estándares citados hasta el momento, </w:t>
      </w:r>
      <w:r w:rsidR="00490A3E" w:rsidRPr="00420489">
        <w:rPr>
          <w:rFonts w:asciiTheme="majorHAnsi" w:hAnsiTheme="majorHAnsi"/>
          <w:sz w:val="20"/>
          <w:szCs w:val="20"/>
          <w:lang w:val="es-VE"/>
        </w:rPr>
        <w:t>el Estado deb</w:t>
      </w:r>
      <w:r w:rsidR="005E2A54" w:rsidRPr="00420489">
        <w:rPr>
          <w:rFonts w:asciiTheme="majorHAnsi" w:hAnsiTheme="majorHAnsi"/>
          <w:sz w:val="20"/>
          <w:szCs w:val="20"/>
          <w:lang w:val="es-VE"/>
        </w:rPr>
        <w:t>ía</w:t>
      </w:r>
      <w:r w:rsidR="00490A3E" w:rsidRPr="00420489">
        <w:rPr>
          <w:rFonts w:asciiTheme="majorHAnsi" w:hAnsiTheme="majorHAnsi"/>
          <w:sz w:val="20"/>
          <w:szCs w:val="20"/>
          <w:lang w:val="es-VE"/>
        </w:rPr>
        <w:t xml:space="preserve"> garantizar que </w:t>
      </w:r>
      <w:r w:rsidR="00357AB2" w:rsidRPr="00420489">
        <w:rPr>
          <w:rFonts w:asciiTheme="majorHAnsi" w:hAnsiTheme="majorHAnsi"/>
          <w:sz w:val="20"/>
          <w:szCs w:val="20"/>
          <w:lang w:val="es-VE"/>
        </w:rPr>
        <w:t>dicha opinión política</w:t>
      </w:r>
      <w:r w:rsidR="00490A3E" w:rsidRPr="00420489">
        <w:rPr>
          <w:rFonts w:asciiTheme="majorHAnsi" w:hAnsiTheme="majorHAnsi"/>
          <w:sz w:val="20"/>
          <w:szCs w:val="20"/>
          <w:lang w:val="es-VE"/>
        </w:rPr>
        <w:t xml:space="preserve"> fuera </w:t>
      </w:r>
      <w:r w:rsidR="00357AB2" w:rsidRPr="00420489">
        <w:rPr>
          <w:rFonts w:asciiTheme="majorHAnsi" w:hAnsiTheme="majorHAnsi"/>
          <w:sz w:val="20"/>
          <w:szCs w:val="20"/>
          <w:lang w:val="es-VE"/>
        </w:rPr>
        <w:t xml:space="preserve">expresada </w:t>
      </w:r>
      <w:r w:rsidR="00865D33">
        <w:rPr>
          <w:rFonts w:asciiTheme="majorHAnsi" w:hAnsiTheme="majorHAnsi"/>
          <w:sz w:val="20"/>
          <w:szCs w:val="20"/>
          <w:lang w:val="es-VE"/>
        </w:rPr>
        <w:t xml:space="preserve">en condiciones que protegieran el ejercicio libre </w:t>
      </w:r>
      <w:r w:rsidR="00490A3E" w:rsidRPr="00420489">
        <w:rPr>
          <w:rFonts w:asciiTheme="majorHAnsi" w:hAnsiTheme="majorHAnsi"/>
          <w:sz w:val="20"/>
          <w:szCs w:val="20"/>
          <w:lang w:val="es-VE"/>
        </w:rPr>
        <w:t>y</w:t>
      </w:r>
      <w:r w:rsidR="00357AB2" w:rsidRPr="00420489">
        <w:rPr>
          <w:rFonts w:asciiTheme="majorHAnsi" w:hAnsiTheme="majorHAnsi"/>
          <w:sz w:val="20"/>
          <w:szCs w:val="20"/>
          <w:lang w:val="es-VE"/>
        </w:rPr>
        <w:t xml:space="preserve"> sin temor a represalias</w:t>
      </w:r>
      <w:r w:rsidR="00865D33">
        <w:rPr>
          <w:rFonts w:asciiTheme="majorHAnsi" w:hAnsiTheme="majorHAnsi"/>
          <w:sz w:val="20"/>
          <w:szCs w:val="20"/>
          <w:lang w:val="es-VE"/>
        </w:rPr>
        <w:t xml:space="preserve"> de los derechos políticos</w:t>
      </w:r>
      <w:r w:rsidR="00490A3E" w:rsidRPr="00420489">
        <w:rPr>
          <w:rFonts w:asciiTheme="majorHAnsi" w:hAnsiTheme="majorHAnsi"/>
          <w:sz w:val="20"/>
          <w:szCs w:val="20"/>
          <w:lang w:val="es-VE"/>
        </w:rPr>
        <w:t>. Asimismo, el Estado deb</w:t>
      </w:r>
      <w:r w:rsidR="005E2A54" w:rsidRPr="00420489">
        <w:rPr>
          <w:rFonts w:asciiTheme="majorHAnsi" w:hAnsiTheme="majorHAnsi"/>
          <w:sz w:val="20"/>
          <w:szCs w:val="20"/>
          <w:lang w:val="es-VE"/>
        </w:rPr>
        <w:t>ía</w:t>
      </w:r>
      <w:r w:rsidR="00490A3E" w:rsidRPr="00420489">
        <w:rPr>
          <w:rFonts w:asciiTheme="majorHAnsi" w:hAnsiTheme="majorHAnsi"/>
          <w:sz w:val="20"/>
          <w:szCs w:val="20"/>
          <w:lang w:val="es-VE"/>
        </w:rPr>
        <w:t xml:space="preserve"> abstenerse de adoptar medidas respecto de </w:t>
      </w:r>
      <w:r w:rsidR="00490A3E" w:rsidRPr="00420489">
        <w:rPr>
          <w:rFonts w:asciiTheme="majorHAnsi" w:eastAsia="Calibri" w:hAnsiTheme="majorHAnsi"/>
          <w:sz w:val="20"/>
          <w:szCs w:val="20"/>
          <w:lang w:val="es-VE"/>
        </w:rPr>
        <w:t xml:space="preserve">Rocío San Miguel Sosa, </w:t>
      </w:r>
      <w:proofErr w:type="spellStart"/>
      <w:r w:rsidR="00490A3E" w:rsidRPr="00420489">
        <w:rPr>
          <w:rFonts w:asciiTheme="majorHAnsi" w:eastAsia="Calibri" w:hAnsiTheme="majorHAnsi"/>
          <w:sz w:val="20"/>
          <w:szCs w:val="20"/>
          <w:lang w:val="es-VE"/>
        </w:rPr>
        <w:t>Magally</w:t>
      </w:r>
      <w:proofErr w:type="spellEnd"/>
      <w:r w:rsidR="00490A3E" w:rsidRPr="00420489">
        <w:rPr>
          <w:rFonts w:asciiTheme="majorHAnsi" w:eastAsia="Calibri" w:hAnsiTheme="majorHAnsi"/>
          <w:sz w:val="20"/>
          <w:szCs w:val="20"/>
          <w:lang w:val="es-VE"/>
        </w:rPr>
        <w:t xml:space="preserve"> Chang Girón y Thais Coromoto Peña con base en su opinión política sin justificación alguna y de </w:t>
      </w:r>
      <w:r w:rsidR="00490A3E" w:rsidRPr="00420489">
        <w:rPr>
          <w:rFonts w:asciiTheme="majorHAnsi" w:hAnsiTheme="majorHAnsi"/>
          <w:sz w:val="20"/>
          <w:szCs w:val="20"/>
          <w:lang w:val="es-VE"/>
        </w:rPr>
        <w:t>sancionar indirectamente dicha expresión</w:t>
      </w:r>
      <w:r w:rsidR="005E2A54" w:rsidRPr="00420489">
        <w:rPr>
          <w:rFonts w:asciiTheme="majorHAnsi" w:hAnsiTheme="majorHAnsi"/>
          <w:sz w:val="20"/>
          <w:szCs w:val="20"/>
          <w:lang w:val="es-VE"/>
        </w:rPr>
        <w:t xml:space="preserve">. </w:t>
      </w:r>
    </w:p>
    <w:p w14:paraId="4B5212B1" w14:textId="77777777" w:rsidR="005E2A54" w:rsidRPr="00420489" w:rsidRDefault="005E2A54" w:rsidP="00357AB2">
      <w:pPr>
        <w:jc w:val="both"/>
        <w:rPr>
          <w:rFonts w:asciiTheme="majorHAnsi" w:hAnsiTheme="majorHAnsi"/>
          <w:sz w:val="20"/>
          <w:szCs w:val="20"/>
          <w:lang w:val="es-VE"/>
        </w:rPr>
      </w:pPr>
    </w:p>
    <w:p w14:paraId="26A3E426" w14:textId="77777777" w:rsidR="005E2A54" w:rsidRPr="00420489" w:rsidRDefault="005E2A54" w:rsidP="00D9188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 xml:space="preserve">A continuación la </w:t>
      </w:r>
      <w:r w:rsidRPr="00D91882">
        <w:rPr>
          <w:rFonts w:asciiTheme="majorHAnsi" w:hAnsiTheme="majorHAnsi"/>
          <w:sz w:val="20"/>
          <w:szCs w:val="20"/>
          <w:lang w:val="es-CO"/>
        </w:rPr>
        <w:t>Comisión</w:t>
      </w:r>
      <w:r w:rsidRPr="00420489">
        <w:rPr>
          <w:rFonts w:asciiTheme="majorHAnsi" w:hAnsiTheme="majorHAnsi"/>
          <w:sz w:val="20"/>
          <w:szCs w:val="20"/>
          <w:lang w:val="es-VE"/>
        </w:rPr>
        <w:t xml:space="preserve"> determinará si el despido </w:t>
      </w:r>
      <w:r w:rsidRPr="00420489">
        <w:rPr>
          <w:rFonts w:asciiTheme="majorHAnsi" w:eastAsia="Calibri" w:hAnsiTheme="majorHAnsi"/>
          <w:sz w:val="20"/>
          <w:szCs w:val="20"/>
          <w:lang w:val="es-VE"/>
        </w:rPr>
        <w:t xml:space="preserve">Rocío San Miguel Sosa, </w:t>
      </w:r>
      <w:proofErr w:type="spellStart"/>
      <w:r w:rsidRPr="00420489">
        <w:rPr>
          <w:rFonts w:asciiTheme="majorHAnsi" w:eastAsia="Calibri" w:hAnsiTheme="majorHAnsi"/>
          <w:sz w:val="20"/>
          <w:szCs w:val="20"/>
          <w:lang w:val="es-VE"/>
        </w:rPr>
        <w:t>Magally</w:t>
      </w:r>
      <w:proofErr w:type="spellEnd"/>
      <w:r w:rsidRPr="00420489">
        <w:rPr>
          <w:rFonts w:asciiTheme="majorHAnsi" w:eastAsia="Calibri" w:hAnsiTheme="majorHAnsi"/>
          <w:sz w:val="20"/>
          <w:szCs w:val="20"/>
          <w:lang w:val="es-VE"/>
        </w:rPr>
        <w:t xml:space="preserve"> Chang Girón y Thais Coromoto Peña</w:t>
      </w:r>
      <w:r w:rsidR="00C05C0C" w:rsidRPr="00420489">
        <w:rPr>
          <w:rFonts w:asciiTheme="majorHAnsi" w:hAnsiTheme="majorHAnsi"/>
          <w:sz w:val="20"/>
          <w:szCs w:val="20"/>
          <w:lang w:val="es-VE"/>
        </w:rPr>
        <w:t xml:space="preserve">, constituyó un incumplimiento de dichas obligaciones. </w:t>
      </w:r>
    </w:p>
    <w:p w14:paraId="78744318" w14:textId="77777777" w:rsidR="006F0BBD" w:rsidRPr="00420489" w:rsidRDefault="006F0BBD" w:rsidP="00357AB2">
      <w:pPr>
        <w:rPr>
          <w:rFonts w:asciiTheme="majorHAnsi" w:eastAsia="Times New Roman" w:hAnsiTheme="majorHAnsi"/>
          <w:b/>
          <w:sz w:val="20"/>
          <w:szCs w:val="20"/>
          <w:lang w:val="es-ES"/>
        </w:rPr>
      </w:pPr>
    </w:p>
    <w:p w14:paraId="1F3EDFE4" w14:textId="0D7D1834" w:rsidR="00AB7D09" w:rsidRPr="00420489" w:rsidRDefault="00AB7D09" w:rsidP="00D928B6">
      <w:pPr>
        <w:pStyle w:val="ListParagraph"/>
        <w:numPr>
          <w:ilvl w:val="1"/>
          <w:numId w:val="55"/>
        </w:numPr>
        <w:pBdr>
          <w:left w:val="none" w:sz="0" w:space="0" w:color="auto"/>
          <w:bottom w:val="none" w:sz="0" w:space="0" w:color="auto"/>
          <w:right w:val="none" w:sz="0" w:space="0" w:color="auto"/>
          <w:between w:val="none" w:sz="0" w:space="0" w:color="auto"/>
          <w:bar w:val="none" w:sz="0" w:color="auto"/>
        </w:pBdr>
        <w:tabs>
          <w:tab w:val="clear" w:pos="1800"/>
          <w:tab w:val="num" w:pos="1440"/>
        </w:tabs>
        <w:ind w:left="1440" w:hanging="720"/>
        <w:jc w:val="both"/>
        <w:rPr>
          <w:rFonts w:asciiTheme="majorHAnsi" w:eastAsia="Times New Roman" w:hAnsiTheme="majorHAnsi"/>
          <w:b/>
          <w:sz w:val="20"/>
          <w:szCs w:val="20"/>
          <w:lang w:val="es-ES"/>
        </w:rPr>
      </w:pPr>
      <w:r w:rsidRPr="00420489">
        <w:rPr>
          <w:rFonts w:asciiTheme="majorHAnsi" w:eastAsia="Times New Roman" w:hAnsiTheme="majorHAnsi"/>
          <w:b/>
          <w:sz w:val="20"/>
          <w:szCs w:val="20"/>
          <w:lang w:val="es-ES"/>
        </w:rPr>
        <w:t>Análisis de si el despido estuvo basado en la opinión política expresada a través de la firma de la convocatoria a referendo revocatorio</w:t>
      </w:r>
      <w:r w:rsidR="003D6240">
        <w:rPr>
          <w:rFonts w:asciiTheme="majorHAnsi" w:eastAsia="Times New Roman" w:hAnsiTheme="majorHAnsi"/>
          <w:b/>
          <w:sz w:val="20"/>
          <w:szCs w:val="20"/>
          <w:lang w:val="es-ES"/>
        </w:rPr>
        <w:t xml:space="preserve"> y, por lo tanto, constituyó una violación a los derechos políticos y a la libertad de expresió</w:t>
      </w:r>
      <w:r w:rsidR="002C5523">
        <w:rPr>
          <w:rFonts w:asciiTheme="majorHAnsi" w:eastAsia="Times New Roman" w:hAnsiTheme="majorHAnsi"/>
          <w:b/>
          <w:sz w:val="20"/>
          <w:szCs w:val="20"/>
          <w:lang w:val="es-ES"/>
        </w:rPr>
        <w:t>n</w:t>
      </w:r>
    </w:p>
    <w:p w14:paraId="4A1FDE28" w14:textId="77777777" w:rsidR="00AB7D09" w:rsidRPr="009A5295" w:rsidRDefault="00AB7D09" w:rsidP="009A5295">
      <w:pPr>
        <w:pBdr>
          <w:left w:val="none" w:sz="0" w:space="0" w:color="auto"/>
          <w:bottom w:val="none" w:sz="0" w:space="0" w:color="auto"/>
          <w:right w:val="none" w:sz="0" w:space="0" w:color="auto"/>
          <w:between w:val="none" w:sz="0" w:space="0" w:color="auto"/>
          <w:bar w:val="none" w:sz="0" w:color="auto"/>
        </w:pBdr>
        <w:ind w:left="720"/>
        <w:jc w:val="both"/>
        <w:rPr>
          <w:lang w:val="es-VE"/>
        </w:rPr>
      </w:pPr>
    </w:p>
    <w:p w14:paraId="5D089D61" w14:textId="53D3E4C4" w:rsidR="00653813" w:rsidRPr="001267D6" w:rsidRDefault="00C05C0C"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420489">
        <w:rPr>
          <w:rFonts w:asciiTheme="majorHAnsi" w:hAnsiTheme="majorHAnsi"/>
          <w:sz w:val="20"/>
          <w:szCs w:val="20"/>
          <w:lang w:val="es-VE"/>
        </w:rPr>
        <w:t>En este punto corresponde a la Comisión abord</w:t>
      </w:r>
      <w:r w:rsidR="00097DA5" w:rsidRPr="00420489">
        <w:rPr>
          <w:rFonts w:asciiTheme="majorHAnsi" w:hAnsiTheme="majorHAnsi"/>
          <w:sz w:val="20"/>
          <w:szCs w:val="20"/>
          <w:lang w:val="es-VE"/>
        </w:rPr>
        <w:t>ar</w:t>
      </w:r>
      <w:r w:rsidRPr="00420489">
        <w:rPr>
          <w:rFonts w:asciiTheme="majorHAnsi" w:hAnsiTheme="majorHAnsi"/>
          <w:sz w:val="20"/>
          <w:szCs w:val="20"/>
          <w:lang w:val="es-VE"/>
        </w:rPr>
        <w:t xml:space="preserve"> el debate sobre la motivación declarada por el Estado sobre la terminación del contrato, frente a la alegada motivación real de dicha actuación. </w:t>
      </w:r>
      <w:r w:rsidR="0061720A" w:rsidRPr="001267D6">
        <w:rPr>
          <w:rStyle w:val="apple-converted-space"/>
          <w:rFonts w:asciiTheme="majorHAnsi" w:hAnsiTheme="majorHAnsi"/>
          <w:color w:val="000000"/>
          <w:sz w:val="20"/>
          <w:szCs w:val="20"/>
          <w:lang w:val="es-VE"/>
        </w:rPr>
        <w:t>En el presente caso la Comisión </w:t>
      </w:r>
      <w:r w:rsidR="0061720A" w:rsidRPr="001267D6">
        <w:rPr>
          <w:rFonts w:asciiTheme="majorHAnsi" w:hAnsiTheme="majorHAnsi"/>
          <w:color w:val="000000"/>
          <w:sz w:val="20"/>
          <w:szCs w:val="20"/>
          <w:lang w:val="es-VE"/>
        </w:rPr>
        <w:t xml:space="preserve">observa que los contratos de las presuntas víctimas fueron terminados mediante </w:t>
      </w:r>
      <w:r w:rsidR="0061720A" w:rsidRPr="001267D6">
        <w:rPr>
          <w:rFonts w:asciiTheme="majorHAnsi" w:hAnsiTheme="majorHAnsi"/>
          <w:sz w:val="20"/>
          <w:szCs w:val="20"/>
          <w:lang w:val="es-ES"/>
        </w:rPr>
        <w:t>carta</w:t>
      </w:r>
      <w:r w:rsidR="0061720A" w:rsidRPr="001267D6">
        <w:rPr>
          <w:rFonts w:asciiTheme="majorHAnsi" w:hAnsiTheme="majorHAnsi"/>
          <w:color w:val="000000"/>
          <w:sz w:val="20"/>
          <w:szCs w:val="20"/>
          <w:lang w:val="es-VE"/>
        </w:rPr>
        <w:t xml:space="preserve"> fechada 12 de marzo de 2004, sin que se invoque en la misma las razones de dicha terminación, limitándose a informar la decisión de dar por terminados los contratos de trabajo con el Consejo Nacional de Fronteras a partir del 1 de abril del 2004</w:t>
      </w:r>
      <w:r w:rsidR="0061720A" w:rsidRPr="00420489">
        <w:rPr>
          <w:rFonts w:asciiTheme="majorHAnsi" w:hAnsiTheme="majorHAnsi"/>
          <w:sz w:val="20"/>
          <w:szCs w:val="20"/>
          <w:vertAlign w:val="superscript"/>
          <w:lang w:val="es-VE"/>
        </w:rPr>
        <w:footnoteReference w:id="151"/>
      </w:r>
      <w:r w:rsidR="0061720A" w:rsidRPr="001267D6">
        <w:rPr>
          <w:rFonts w:asciiTheme="majorHAnsi" w:hAnsiTheme="majorHAnsi"/>
          <w:color w:val="000000"/>
          <w:sz w:val="20"/>
          <w:szCs w:val="20"/>
          <w:lang w:val="es-VE"/>
        </w:rPr>
        <w:t xml:space="preserve">.  </w:t>
      </w:r>
    </w:p>
    <w:p w14:paraId="1246B70A" w14:textId="77777777" w:rsidR="00653813" w:rsidRDefault="00653813" w:rsidP="00653813">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VE"/>
        </w:rPr>
      </w:pPr>
    </w:p>
    <w:p w14:paraId="75B758F9" w14:textId="77777777" w:rsidR="00653813" w:rsidRDefault="0061720A"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653813">
        <w:rPr>
          <w:rFonts w:asciiTheme="majorHAnsi" w:hAnsiTheme="majorHAnsi"/>
          <w:sz w:val="20"/>
          <w:szCs w:val="20"/>
          <w:lang w:val="es-VE"/>
        </w:rPr>
        <w:t xml:space="preserve">Los peticionarios argumentaron que la verdadera motivación fue la opinión política de Rocío San Miguel Sosa, </w:t>
      </w:r>
      <w:proofErr w:type="spellStart"/>
      <w:r w:rsidRPr="00653813">
        <w:rPr>
          <w:rFonts w:asciiTheme="majorHAnsi" w:hAnsiTheme="majorHAnsi"/>
          <w:sz w:val="20"/>
          <w:szCs w:val="20"/>
          <w:lang w:val="es-VE"/>
        </w:rPr>
        <w:t>Magally</w:t>
      </w:r>
      <w:proofErr w:type="spellEnd"/>
      <w:r w:rsidRPr="00653813">
        <w:rPr>
          <w:rFonts w:asciiTheme="majorHAnsi" w:hAnsiTheme="majorHAnsi"/>
          <w:sz w:val="20"/>
          <w:szCs w:val="20"/>
          <w:lang w:val="es-VE"/>
        </w:rPr>
        <w:t xml:space="preserve"> Chang Girón y Thais Coromoto Peña, expresada mediante la firma de apoyo a la convocatoria al referendo revocatorio presidencial. </w:t>
      </w:r>
    </w:p>
    <w:p w14:paraId="64B23325" w14:textId="77777777" w:rsidR="00653813" w:rsidRDefault="00653813" w:rsidP="00653813">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VE"/>
        </w:rPr>
      </w:pPr>
    </w:p>
    <w:p w14:paraId="35CEF406" w14:textId="1044EFCC" w:rsidR="00653813" w:rsidRPr="00653813" w:rsidRDefault="0061720A" w:rsidP="009A5295">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653813">
        <w:rPr>
          <w:rFonts w:asciiTheme="majorHAnsi" w:eastAsia="Calibri" w:hAnsiTheme="majorHAnsi"/>
          <w:sz w:val="20"/>
          <w:szCs w:val="20"/>
          <w:lang w:val="es-VE"/>
        </w:rPr>
        <w:t>En contraste, e</w:t>
      </w:r>
      <w:r w:rsidRPr="00653813">
        <w:rPr>
          <w:rFonts w:asciiTheme="majorHAnsi" w:hAnsiTheme="majorHAnsi"/>
          <w:color w:val="000000"/>
          <w:sz w:val="20"/>
          <w:szCs w:val="20"/>
          <w:lang w:val="es-VE"/>
        </w:rPr>
        <w:t xml:space="preserve">n el marco de los procesos internos, las autoridades del CNF que se apersonaron indicaron que se trató de la aplicación de </w:t>
      </w:r>
      <w:r w:rsidRPr="00653813">
        <w:rPr>
          <w:rFonts w:asciiTheme="majorHAnsi" w:hAnsiTheme="majorHAnsi"/>
          <w:sz w:val="20"/>
          <w:szCs w:val="20"/>
          <w:lang w:val="es-ES"/>
        </w:rPr>
        <w:t>la</w:t>
      </w:r>
      <w:r w:rsidRPr="00653813">
        <w:rPr>
          <w:rFonts w:asciiTheme="majorHAnsi" w:hAnsiTheme="majorHAnsi"/>
          <w:color w:val="000000"/>
          <w:sz w:val="20"/>
          <w:szCs w:val="20"/>
          <w:lang w:val="es-VE"/>
        </w:rPr>
        <w:t xml:space="preserve"> cláusula séptima del contrato que permitía la separación del cargo discrecionalmente y sin motivación.  En un programa radial el Secretario Ejecutivo del Consejo Nacional de Fronteras mencionó que se trató de una restructuración. En la misma línea, las autoridades que conocieron los distintos recursos asumieron como cierta esta versión, limitándose a declarar que la terminación de la relación laboral constituyó el ejercicio de una facultad discrecional prevista en el texto del contrato. </w:t>
      </w:r>
      <w:r w:rsidR="00155196">
        <w:rPr>
          <w:rFonts w:asciiTheme="majorHAnsi" w:hAnsiTheme="majorHAnsi"/>
          <w:sz w:val="20"/>
          <w:szCs w:val="20"/>
          <w:lang w:val="es-ES"/>
        </w:rPr>
        <w:t>E</w:t>
      </w:r>
      <w:r w:rsidRPr="00653813">
        <w:rPr>
          <w:rFonts w:asciiTheme="majorHAnsi" w:hAnsiTheme="majorHAnsi"/>
          <w:sz w:val="20"/>
          <w:szCs w:val="20"/>
          <w:lang w:val="es-ES"/>
        </w:rPr>
        <w:t>n el proceso de amparo se concluyó que “las accionantes no demostraron que el ejercicio de la potestad contractual del empleador configuró una práctica discriminatoria”</w:t>
      </w:r>
      <w:r w:rsidRPr="00420489">
        <w:rPr>
          <w:rStyle w:val="FootnoteReference"/>
          <w:rFonts w:asciiTheme="majorHAnsi" w:hAnsiTheme="majorHAnsi"/>
          <w:sz w:val="20"/>
          <w:szCs w:val="20"/>
          <w:lang w:val="es-VE"/>
        </w:rPr>
        <w:footnoteReference w:id="152"/>
      </w:r>
      <w:r w:rsidRPr="00653813">
        <w:rPr>
          <w:rFonts w:asciiTheme="majorHAnsi" w:hAnsiTheme="majorHAnsi"/>
          <w:sz w:val="20"/>
          <w:szCs w:val="20"/>
          <w:lang w:val="es-ES"/>
        </w:rPr>
        <w:t xml:space="preserve">. En el proceso penal, el Juzgado </w:t>
      </w:r>
      <w:r w:rsidRPr="00653813">
        <w:rPr>
          <w:rFonts w:asciiTheme="majorHAnsi" w:hAnsiTheme="majorHAnsi"/>
          <w:sz w:val="20"/>
          <w:szCs w:val="20"/>
          <w:lang w:val="es-ES"/>
        </w:rPr>
        <w:lastRenderedPageBreak/>
        <w:t>Vigésimo Primero de Primera Instancia sobreseyó el proceso al estimar que “ninguno de los elementos conllevan a corroborar el dicho de las denunciantes que el motivo de la determinación del contrato sea el hecho de haber votado en el referéndum revocatorio</w:t>
      </w:r>
      <w:r w:rsidRPr="00420489">
        <w:rPr>
          <w:rFonts w:asciiTheme="majorHAnsi" w:hAnsiTheme="majorHAnsi"/>
          <w:sz w:val="20"/>
          <w:szCs w:val="20"/>
          <w:vertAlign w:val="superscript"/>
        </w:rPr>
        <w:footnoteReference w:id="153"/>
      </w:r>
      <w:r w:rsidRPr="00653813">
        <w:rPr>
          <w:rFonts w:asciiTheme="majorHAnsi" w:hAnsiTheme="majorHAnsi"/>
          <w:sz w:val="20"/>
          <w:szCs w:val="20"/>
          <w:lang w:val="es-ES"/>
        </w:rPr>
        <w:t xml:space="preserve">”. En el marco del trámite interamericano, el Estado sostuvo la misma versión sobre el ejercicio de la facultad discrecional que permitía el propio contrato como la motivación para su terminación. </w:t>
      </w:r>
    </w:p>
    <w:p w14:paraId="0C5F45D3" w14:textId="77777777" w:rsidR="00653813" w:rsidRDefault="00653813" w:rsidP="00653813">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VE"/>
        </w:rPr>
      </w:pPr>
    </w:p>
    <w:p w14:paraId="310E0656" w14:textId="59EC832E" w:rsidR="00653813" w:rsidRPr="00653813" w:rsidRDefault="00EB7D08"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653813">
        <w:rPr>
          <w:rFonts w:asciiTheme="majorHAnsi" w:hAnsiTheme="majorHAnsi"/>
          <w:sz w:val="20"/>
          <w:szCs w:val="20"/>
          <w:lang w:val="es-ES"/>
        </w:rPr>
        <w:t xml:space="preserve">Ante el argumento de los peticionarios sobre la existencia de una supuesta motivación real según la cual </w:t>
      </w:r>
      <w:r w:rsidR="0015155E">
        <w:rPr>
          <w:rFonts w:asciiTheme="majorHAnsi" w:hAnsiTheme="majorHAnsi"/>
          <w:sz w:val="20"/>
          <w:szCs w:val="20"/>
          <w:lang w:val="es-ES"/>
        </w:rPr>
        <w:t xml:space="preserve">la </w:t>
      </w:r>
      <w:r w:rsidRPr="00653813">
        <w:rPr>
          <w:rFonts w:asciiTheme="majorHAnsi" w:hAnsiTheme="majorHAnsi"/>
          <w:sz w:val="20"/>
          <w:szCs w:val="20"/>
          <w:lang w:val="es-ES"/>
        </w:rPr>
        <w:t xml:space="preserve">terminación laboral de las presuntas víctimas constituyó una sanción por su expresión política en la solicitud de referendo, el análisis de la Comisión no puede basarse en la motivación formalmente declarada en los términos descritos en los párrafos precedentes. Corresponde a la Comisión evaluar todos los elementos disponibles a fin de determinar si la terminación del contrato constituyó, como lo alegaron los peticionarios, una desviación de poder, </w:t>
      </w:r>
      <w:r w:rsidRPr="00653813">
        <w:rPr>
          <w:rFonts w:asciiTheme="majorHAnsi" w:hAnsiTheme="majorHAnsi" w:cs="Times"/>
          <w:sz w:val="20"/>
          <w:szCs w:val="20"/>
          <w:lang w:val="es-ES"/>
        </w:rPr>
        <w:t>entendiendo por tal aquella que tiene lugar mediante un</w:t>
      </w:r>
      <w:r w:rsidRPr="00653813">
        <w:rPr>
          <w:rFonts w:asciiTheme="majorHAnsi" w:hAnsiTheme="majorHAnsi"/>
          <w:sz w:val="20"/>
          <w:szCs w:val="20"/>
          <w:lang w:val="es-ES"/>
        </w:rPr>
        <w:t xml:space="preserve"> </w:t>
      </w:r>
      <w:r w:rsidRPr="00653813">
        <w:rPr>
          <w:rFonts w:asciiTheme="majorHAnsi" w:hAnsiTheme="majorHAnsi"/>
          <w:sz w:val="20"/>
          <w:szCs w:val="20"/>
          <w:lang w:val="es-ES_tradnl"/>
        </w:rPr>
        <w:t>procedimiento formalmente válido utilizado en orden a ocultar una práctica ilegal</w:t>
      </w:r>
      <w:r w:rsidRPr="00420489">
        <w:rPr>
          <w:rStyle w:val="FootnoteReference"/>
          <w:rFonts w:asciiTheme="majorHAnsi" w:hAnsiTheme="majorHAnsi"/>
          <w:sz w:val="20"/>
          <w:szCs w:val="20"/>
          <w:lang w:val="es-MX"/>
        </w:rPr>
        <w:footnoteReference w:id="154"/>
      </w:r>
      <w:r w:rsidRPr="00653813">
        <w:rPr>
          <w:rFonts w:asciiTheme="majorHAnsi" w:hAnsiTheme="majorHAnsi"/>
          <w:sz w:val="20"/>
          <w:szCs w:val="20"/>
          <w:lang w:val="es-ES_tradnl"/>
        </w:rPr>
        <w:t>.</w:t>
      </w:r>
      <w:r w:rsidR="003D113D" w:rsidRPr="00653813">
        <w:rPr>
          <w:rFonts w:asciiTheme="majorHAnsi" w:hAnsiTheme="majorHAnsi"/>
          <w:sz w:val="20"/>
          <w:szCs w:val="20"/>
          <w:lang w:val="es-ES"/>
        </w:rPr>
        <w:t xml:space="preserve"> La CIDH ha señalado que </w:t>
      </w:r>
      <w:r w:rsidR="003D113D" w:rsidRPr="00653813">
        <w:rPr>
          <w:rFonts w:asciiTheme="majorHAnsi" w:hAnsiTheme="majorHAnsi"/>
          <w:color w:val="000000"/>
          <w:sz w:val="20"/>
          <w:szCs w:val="20"/>
          <w:lang w:val="es-VE"/>
        </w:rPr>
        <w:t xml:space="preserve">en estos casos </w:t>
      </w:r>
      <w:r w:rsidR="003D113D" w:rsidRPr="00653813">
        <w:rPr>
          <w:rFonts w:asciiTheme="majorHAnsi" w:hAnsiTheme="majorHAnsi"/>
          <w:sz w:val="20"/>
          <w:szCs w:val="20"/>
          <w:lang w:val="es-ES_tradnl"/>
        </w:rPr>
        <w:t xml:space="preserve">la </w:t>
      </w:r>
      <w:r w:rsidR="003D113D" w:rsidRPr="00653813">
        <w:rPr>
          <w:rFonts w:asciiTheme="majorHAnsi" w:hAnsiTheme="majorHAnsi"/>
          <w:sz w:val="20"/>
          <w:szCs w:val="20"/>
          <w:lang w:val="es-MX"/>
        </w:rPr>
        <w:t>prueba indiciaria o presuntiva resulta de especial importancia</w:t>
      </w:r>
      <w:r w:rsidR="003D113D" w:rsidRPr="00420489">
        <w:rPr>
          <w:rStyle w:val="FootnoteReference"/>
          <w:rFonts w:asciiTheme="majorHAnsi" w:hAnsiTheme="majorHAnsi"/>
          <w:sz w:val="20"/>
          <w:szCs w:val="20"/>
          <w:lang w:val="es-MX"/>
        </w:rPr>
        <w:footnoteReference w:id="155"/>
      </w:r>
      <w:r w:rsidR="003D113D" w:rsidRPr="00653813">
        <w:rPr>
          <w:rFonts w:asciiTheme="majorHAnsi" w:hAnsiTheme="majorHAnsi"/>
          <w:sz w:val="20"/>
          <w:szCs w:val="20"/>
          <w:lang w:val="es-MX"/>
        </w:rPr>
        <w:t>.</w:t>
      </w:r>
    </w:p>
    <w:p w14:paraId="197EA921" w14:textId="77777777" w:rsidR="00653813" w:rsidRDefault="00653813" w:rsidP="00653813">
      <w:pPr>
        <w:pStyle w:val="ListParagraph"/>
        <w:rPr>
          <w:rFonts w:asciiTheme="majorHAnsi" w:hAnsiTheme="majorHAnsi"/>
          <w:sz w:val="20"/>
          <w:szCs w:val="20"/>
          <w:lang w:val="es-ES_tradnl"/>
        </w:rPr>
      </w:pPr>
    </w:p>
    <w:p w14:paraId="609CC96B" w14:textId="77777777" w:rsidR="003D113D" w:rsidRDefault="003D113D" w:rsidP="000710A8">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Pr>
          <w:rFonts w:ascii="Cambria" w:hAnsi="Cambria"/>
          <w:sz w:val="20"/>
          <w:szCs w:val="20"/>
          <w:lang w:val="es-ES"/>
        </w:rPr>
        <w:t xml:space="preserve">A continuación la Comisión recapitula los distintos elementos con que cuenta para pronunciarse sobre si lo sucedido en el presente caso estuvo motivado por las opiniones políticas y, por lo tanto, constituyó una desviación de poder encubierta en la finalidad declarada por el Estado consistente en la aplicación de una cláusula contractual de discrecionalidad o un proceso de restructuración. </w:t>
      </w:r>
    </w:p>
    <w:p w14:paraId="4C89B857" w14:textId="79E8096D" w:rsidR="003D113D" w:rsidRPr="009A5295" w:rsidRDefault="003D113D" w:rsidP="009A5295">
      <w:pPr>
        <w:pBdr>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r>
        <w:rPr>
          <w:rFonts w:ascii="Cambria" w:hAnsi="Cambria"/>
          <w:sz w:val="20"/>
          <w:szCs w:val="20"/>
          <w:lang w:val="es-ES"/>
        </w:rPr>
        <w:t xml:space="preserve">  </w:t>
      </w:r>
    </w:p>
    <w:p w14:paraId="7B43A33D" w14:textId="77777777" w:rsidR="00653813" w:rsidRPr="00F17535" w:rsidRDefault="006E72D0"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F17535">
        <w:rPr>
          <w:rFonts w:asciiTheme="majorHAnsi" w:hAnsiTheme="majorHAnsi"/>
          <w:color w:val="000000"/>
          <w:sz w:val="20"/>
          <w:szCs w:val="20"/>
          <w:lang w:val="es-VE"/>
        </w:rPr>
        <w:t xml:space="preserve">En primer lugar, </w:t>
      </w:r>
      <w:r w:rsidR="00D91882" w:rsidRPr="00F17535">
        <w:rPr>
          <w:rFonts w:asciiTheme="majorHAnsi" w:hAnsiTheme="majorHAnsi"/>
          <w:color w:val="000000"/>
          <w:sz w:val="20"/>
          <w:szCs w:val="20"/>
          <w:lang w:val="es-VE"/>
        </w:rPr>
        <w:t xml:space="preserve">la Comisión observa que el proceso de creación y publicación de la lista </w:t>
      </w:r>
      <w:proofErr w:type="spellStart"/>
      <w:r w:rsidR="00D91882" w:rsidRPr="00F17535">
        <w:rPr>
          <w:rFonts w:asciiTheme="majorHAnsi" w:hAnsiTheme="majorHAnsi"/>
          <w:color w:val="000000"/>
          <w:sz w:val="20"/>
          <w:szCs w:val="20"/>
          <w:lang w:val="es-VE"/>
        </w:rPr>
        <w:t>Tascón</w:t>
      </w:r>
      <w:proofErr w:type="spellEnd"/>
      <w:r w:rsidR="00D91882" w:rsidRPr="00F17535">
        <w:rPr>
          <w:rFonts w:asciiTheme="majorHAnsi" w:hAnsiTheme="majorHAnsi"/>
          <w:color w:val="000000"/>
          <w:sz w:val="20"/>
          <w:szCs w:val="20"/>
          <w:lang w:val="es-VE"/>
        </w:rPr>
        <w:t xml:space="preserve"> constituye</w:t>
      </w:r>
      <w:r w:rsidR="00F56791" w:rsidRPr="00F17535">
        <w:rPr>
          <w:rFonts w:asciiTheme="majorHAnsi" w:hAnsiTheme="majorHAnsi"/>
          <w:color w:val="000000"/>
          <w:sz w:val="20"/>
          <w:szCs w:val="20"/>
          <w:lang w:val="es-VE"/>
        </w:rPr>
        <w:t>,</w:t>
      </w:r>
      <w:r w:rsidR="00D91882" w:rsidRPr="00F17535">
        <w:rPr>
          <w:rFonts w:asciiTheme="majorHAnsi" w:hAnsiTheme="majorHAnsi"/>
          <w:color w:val="000000"/>
          <w:sz w:val="20"/>
          <w:szCs w:val="20"/>
          <w:lang w:val="es-VE"/>
        </w:rPr>
        <w:t xml:space="preserve"> en sí mismo</w:t>
      </w:r>
      <w:r w:rsidR="00F56791" w:rsidRPr="00F17535">
        <w:rPr>
          <w:rFonts w:asciiTheme="majorHAnsi" w:hAnsiTheme="majorHAnsi"/>
          <w:color w:val="000000"/>
          <w:sz w:val="20"/>
          <w:szCs w:val="20"/>
          <w:lang w:val="es-VE"/>
        </w:rPr>
        <w:t>,</w:t>
      </w:r>
      <w:r w:rsidR="00D91882" w:rsidRPr="00F17535">
        <w:rPr>
          <w:rFonts w:asciiTheme="majorHAnsi" w:hAnsiTheme="majorHAnsi"/>
          <w:color w:val="000000"/>
          <w:sz w:val="20"/>
          <w:szCs w:val="20"/>
          <w:lang w:val="es-VE"/>
        </w:rPr>
        <w:t xml:space="preserve"> un reflejo </w:t>
      </w:r>
      <w:r w:rsidR="00F56791" w:rsidRPr="00F17535">
        <w:rPr>
          <w:rFonts w:asciiTheme="majorHAnsi" w:hAnsiTheme="majorHAnsi"/>
          <w:color w:val="000000"/>
          <w:sz w:val="20"/>
          <w:szCs w:val="20"/>
          <w:lang w:val="es-VE"/>
        </w:rPr>
        <w:t>de</w:t>
      </w:r>
      <w:r w:rsidR="00DE2229" w:rsidRPr="00F17535">
        <w:rPr>
          <w:rFonts w:asciiTheme="majorHAnsi" w:hAnsiTheme="majorHAnsi"/>
          <w:color w:val="000000"/>
          <w:sz w:val="20"/>
          <w:szCs w:val="20"/>
          <w:lang w:val="es-VE"/>
        </w:rPr>
        <w:t xml:space="preserve"> </w:t>
      </w:r>
      <w:r w:rsidR="00D91882" w:rsidRPr="00F17535">
        <w:rPr>
          <w:rFonts w:asciiTheme="majorHAnsi" w:hAnsiTheme="majorHAnsi"/>
          <w:color w:val="000000"/>
          <w:sz w:val="20"/>
          <w:szCs w:val="20"/>
          <w:lang w:val="es-VE"/>
        </w:rPr>
        <w:t>la ausencia de</w:t>
      </w:r>
      <w:r w:rsidR="00B95C9D" w:rsidRPr="00F17535">
        <w:rPr>
          <w:rFonts w:asciiTheme="majorHAnsi" w:hAnsiTheme="majorHAnsi"/>
          <w:color w:val="000000"/>
          <w:sz w:val="20"/>
          <w:szCs w:val="20"/>
          <w:lang w:val="es-VE"/>
        </w:rPr>
        <w:t xml:space="preserve"> salvaguardas </w:t>
      </w:r>
      <w:r w:rsidR="00D91882" w:rsidRPr="00F17535">
        <w:rPr>
          <w:rFonts w:asciiTheme="majorHAnsi" w:hAnsiTheme="majorHAnsi"/>
          <w:color w:val="000000"/>
          <w:sz w:val="20"/>
          <w:szCs w:val="20"/>
          <w:lang w:val="es-VE"/>
        </w:rPr>
        <w:t xml:space="preserve">en el </w:t>
      </w:r>
      <w:r w:rsidR="00B95C9D" w:rsidRPr="00F17535">
        <w:rPr>
          <w:rFonts w:asciiTheme="majorHAnsi" w:hAnsiTheme="majorHAnsi"/>
          <w:color w:val="000000"/>
          <w:sz w:val="20"/>
          <w:szCs w:val="20"/>
          <w:lang w:val="es-VE"/>
        </w:rPr>
        <w:t>re</w:t>
      </w:r>
      <w:r w:rsidR="000710A8" w:rsidRPr="00F17535">
        <w:rPr>
          <w:rFonts w:asciiTheme="majorHAnsi" w:hAnsiTheme="majorHAnsi"/>
          <w:color w:val="000000"/>
          <w:sz w:val="20"/>
          <w:szCs w:val="20"/>
          <w:lang w:val="es-VE"/>
        </w:rPr>
        <w:t>ferendo revocatorio presidencial para</w:t>
      </w:r>
      <w:r w:rsidR="000710A8" w:rsidRPr="00F17535">
        <w:rPr>
          <w:rFonts w:ascii="Cambria" w:hAnsi="Cambria"/>
          <w:sz w:val="20"/>
          <w:szCs w:val="20"/>
          <w:lang w:val="es-ES"/>
        </w:rPr>
        <w:t xml:space="preserve"> garantizar “la libre expresión de la voluntad de los electores” en los términos del artículo 23.1 b) de la Convención. La </w:t>
      </w:r>
      <w:r w:rsidR="000710A8" w:rsidRPr="00FC0B30">
        <w:rPr>
          <w:rFonts w:ascii="Cambria" w:hAnsi="Cambria"/>
          <w:sz w:val="20"/>
          <w:szCs w:val="20"/>
          <w:lang w:val="es-ES"/>
        </w:rPr>
        <w:t xml:space="preserve">finalidad de esta norma es precisamente </w:t>
      </w:r>
      <w:r w:rsidR="00F56791" w:rsidRPr="00FC0B30">
        <w:rPr>
          <w:rFonts w:ascii="Cambria" w:hAnsi="Cambria"/>
          <w:sz w:val="20"/>
          <w:szCs w:val="20"/>
          <w:lang w:val="es-ES"/>
        </w:rPr>
        <w:t>proteger c</w:t>
      </w:r>
      <w:r w:rsidR="000710A8" w:rsidRPr="00FC0B30">
        <w:rPr>
          <w:rFonts w:ascii="Cambria" w:hAnsi="Cambria"/>
          <w:sz w:val="20"/>
          <w:szCs w:val="20"/>
          <w:lang w:val="es-ES"/>
        </w:rPr>
        <w:t>ontra presiones y posibles represalias en e</w:t>
      </w:r>
      <w:r w:rsidR="00F56791" w:rsidRPr="00FC0B30">
        <w:rPr>
          <w:rFonts w:ascii="Cambria" w:hAnsi="Cambria"/>
          <w:sz w:val="20"/>
          <w:szCs w:val="20"/>
          <w:lang w:val="es-ES"/>
        </w:rPr>
        <w:t>l marco de procesos electorales</w:t>
      </w:r>
      <w:r w:rsidR="00F56791" w:rsidRPr="00F17535">
        <w:rPr>
          <w:rFonts w:ascii="Cambria" w:hAnsi="Cambria"/>
          <w:sz w:val="20"/>
          <w:szCs w:val="20"/>
          <w:lang w:val="es-ES"/>
        </w:rPr>
        <w:t xml:space="preserve">. </w:t>
      </w:r>
      <w:r w:rsidR="00F56791" w:rsidRPr="0012243C">
        <w:rPr>
          <w:rFonts w:ascii="Cambria" w:hAnsi="Cambria"/>
          <w:sz w:val="20"/>
          <w:szCs w:val="20"/>
          <w:lang w:val="es-ES"/>
        </w:rPr>
        <w:t>La Comisión entiende que estas garant</w:t>
      </w:r>
      <w:r w:rsidR="00F56791" w:rsidRPr="0012243C">
        <w:rPr>
          <w:sz w:val="20"/>
          <w:szCs w:val="20"/>
          <w:lang w:val="es-ES"/>
        </w:rPr>
        <w:t>ías aplican a</w:t>
      </w:r>
      <w:r w:rsidR="00F56791" w:rsidRPr="0012243C">
        <w:rPr>
          <w:rFonts w:ascii="Cambria" w:hAnsi="Cambria"/>
          <w:sz w:val="20"/>
          <w:szCs w:val="20"/>
          <w:lang w:val="es-ES"/>
        </w:rPr>
        <w:t xml:space="preserve"> procesos de referendo revocatorio de un cargo de elección popular</w:t>
      </w:r>
      <w:r w:rsidR="00F56791" w:rsidRPr="00F17535">
        <w:rPr>
          <w:rFonts w:ascii="Cambria" w:hAnsi="Cambria"/>
          <w:sz w:val="20"/>
          <w:szCs w:val="20"/>
          <w:lang w:val="es-ES"/>
        </w:rPr>
        <w:t xml:space="preserve">. La Comisión reconoce que el proceso de recolección de firmas para convocar a un referendo revocatorio, por su propio procedimiento mediante la recolección de firmas, no puede garantizar el anonimato de la expresión de los electores. Sin embargo, ello no implica que la identidad de las personas que firmaron para convocar a un referendo revocatorio sea automáticamente información pública. Si bien el Estado debe investigar cualquier denuncia de fraude en un proceso electoral, deben explorarse los mecanismos para que el órgano electoral independiente dé </w:t>
      </w:r>
      <w:r w:rsidR="00F56791" w:rsidRPr="00891879">
        <w:rPr>
          <w:rFonts w:ascii="Cambria" w:hAnsi="Cambria"/>
          <w:sz w:val="20"/>
          <w:szCs w:val="20"/>
          <w:lang w:val="es-ES"/>
        </w:rPr>
        <w:t>respuesta efectiva a dichas denuncias, sin que ello implique dejar al electorado desprotegido contra posibles represalias.</w:t>
      </w:r>
      <w:r w:rsidR="005652C1" w:rsidRPr="00891879">
        <w:rPr>
          <w:rFonts w:ascii="Cambria" w:hAnsi="Cambria"/>
          <w:sz w:val="20"/>
          <w:szCs w:val="20"/>
          <w:lang w:val="es-ES"/>
        </w:rPr>
        <w:t xml:space="preserve"> En ese sentido, la entrega de la información sobre la identidad de las personas que firmaron para convocar el referendo revo</w:t>
      </w:r>
      <w:r w:rsidR="00FB57E4" w:rsidRPr="00891879">
        <w:rPr>
          <w:rFonts w:ascii="Cambria" w:hAnsi="Cambria"/>
          <w:sz w:val="20"/>
          <w:szCs w:val="20"/>
          <w:lang w:val="es-ES"/>
        </w:rPr>
        <w:t xml:space="preserve">catorio a un diputado con fines que, por el contexto y las declaraciones públicas existentes, podrían razonablemente entenderse como de represalia; </w:t>
      </w:r>
      <w:r w:rsidR="005652C1" w:rsidRPr="00891879">
        <w:rPr>
          <w:rFonts w:ascii="Cambria" w:hAnsi="Cambria"/>
          <w:sz w:val="20"/>
          <w:szCs w:val="20"/>
          <w:lang w:val="es-ES"/>
        </w:rPr>
        <w:t xml:space="preserve">así como la creación de la “lista </w:t>
      </w:r>
      <w:proofErr w:type="spellStart"/>
      <w:r w:rsidR="005652C1" w:rsidRPr="00891879">
        <w:rPr>
          <w:rFonts w:ascii="Cambria" w:hAnsi="Cambria"/>
          <w:sz w:val="20"/>
          <w:szCs w:val="20"/>
          <w:lang w:val="es-ES"/>
        </w:rPr>
        <w:t>Tascón</w:t>
      </w:r>
      <w:proofErr w:type="spellEnd"/>
      <w:r w:rsidR="005652C1" w:rsidRPr="00891879">
        <w:rPr>
          <w:rFonts w:ascii="Cambria" w:hAnsi="Cambria"/>
          <w:sz w:val="20"/>
          <w:szCs w:val="20"/>
          <w:lang w:val="es-ES"/>
        </w:rPr>
        <w:t>” en una página web bajo la acusación de un “</w:t>
      </w:r>
      <w:proofErr w:type="spellStart"/>
      <w:r w:rsidR="005652C1" w:rsidRPr="00891879">
        <w:rPr>
          <w:rFonts w:ascii="Cambria" w:hAnsi="Cambria"/>
          <w:sz w:val="20"/>
          <w:szCs w:val="20"/>
          <w:lang w:val="es-ES"/>
        </w:rPr>
        <w:t>megafraude</w:t>
      </w:r>
      <w:proofErr w:type="spellEnd"/>
      <w:r w:rsidR="005652C1" w:rsidRPr="00891879">
        <w:rPr>
          <w:rFonts w:ascii="Cambria" w:hAnsi="Cambria"/>
          <w:sz w:val="20"/>
          <w:szCs w:val="20"/>
          <w:lang w:val="es-ES"/>
        </w:rPr>
        <w:t>”</w:t>
      </w:r>
      <w:r w:rsidR="00FB57E4" w:rsidRPr="00891879">
        <w:rPr>
          <w:rFonts w:ascii="Cambria" w:hAnsi="Cambria"/>
          <w:sz w:val="20"/>
          <w:szCs w:val="20"/>
          <w:lang w:val="es-ES"/>
        </w:rPr>
        <w:t xml:space="preserve"> </w:t>
      </w:r>
      <w:r w:rsidR="005652C1" w:rsidRPr="00891879">
        <w:rPr>
          <w:rFonts w:ascii="Cambria" w:hAnsi="Cambria"/>
          <w:sz w:val="20"/>
          <w:szCs w:val="20"/>
          <w:lang w:val="es-ES"/>
        </w:rPr>
        <w:t>creó un ambiente propicio para la materialización d</w:t>
      </w:r>
      <w:r w:rsidR="00AF7B8C" w:rsidRPr="00891879">
        <w:rPr>
          <w:rFonts w:ascii="Cambria" w:hAnsi="Cambria"/>
          <w:sz w:val="20"/>
          <w:szCs w:val="20"/>
          <w:lang w:val="es-ES"/>
        </w:rPr>
        <w:t>e represalias</w:t>
      </w:r>
      <w:r w:rsidR="005652C1" w:rsidRPr="00891879">
        <w:rPr>
          <w:rFonts w:ascii="Cambria" w:hAnsi="Cambria"/>
          <w:sz w:val="20"/>
          <w:szCs w:val="20"/>
          <w:lang w:val="es-ES"/>
        </w:rPr>
        <w:t>.</w:t>
      </w:r>
    </w:p>
    <w:p w14:paraId="0FE4510D" w14:textId="77777777" w:rsidR="00653813" w:rsidRDefault="00653813" w:rsidP="00653813">
      <w:pPr>
        <w:pBdr>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14:paraId="58976FC5" w14:textId="54E5B6A7" w:rsidR="00653813" w:rsidRDefault="00395D74"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Pr>
          <w:rFonts w:asciiTheme="majorHAnsi" w:hAnsiTheme="majorHAnsi"/>
          <w:color w:val="000000"/>
          <w:sz w:val="20"/>
          <w:szCs w:val="20"/>
          <w:lang w:val="es-VE"/>
        </w:rPr>
        <w:t xml:space="preserve">En </w:t>
      </w:r>
      <w:r w:rsidRPr="00F17535">
        <w:rPr>
          <w:rFonts w:asciiTheme="majorHAnsi" w:hAnsiTheme="majorHAnsi"/>
          <w:color w:val="000000"/>
          <w:sz w:val="20"/>
          <w:szCs w:val="20"/>
          <w:lang w:val="es-VE"/>
        </w:rPr>
        <w:t>segundo lugar</w:t>
      </w:r>
      <w:r>
        <w:rPr>
          <w:rFonts w:asciiTheme="majorHAnsi" w:hAnsiTheme="majorHAnsi"/>
          <w:color w:val="000000"/>
          <w:sz w:val="20"/>
          <w:szCs w:val="20"/>
          <w:lang w:val="es-VE"/>
        </w:rPr>
        <w:t xml:space="preserve">, </w:t>
      </w:r>
      <w:r w:rsidR="00A7401D" w:rsidRPr="00653813">
        <w:rPr>
          <w:rFonts w:asciiTheme="majorHAnsi" w:hAnsiTheme="majorHAnsi"/>
          <w:color w:val="000000"/>
          <w:sz w:val="20"/>
          <w:szCs w:val="20"/>
          <w:lang w:val="es-VE"/>
        </w:rPr>
        <w:t>la Comisión</w:t>
      </w:r>
      <w:r w:rsidR="00B264BC" w:rsidRPr="00653813">
        <w:rPr>
          <w:rFonts w:asciiTheme="majorHAnsi" w:hAnsiTheme="majorHAnsi"/>
          <w:color w:val="000000"/>
          <w:sz w:val="20"/>
          <w:szCs w:val="20"/>
          <w:lang w:val="es-VE"/>
        </w:rPr>
        <w:t xml:space="preserve"> toma nota de la existencia de un conocido contexto político de polarización generalizada para el momento en que ocurrieron los hechos. En dicho marco, la Comisión dio por probado que</w:t>
      </w:r>
      <w:r w:rsidR="00ED3D04" w:rsidRPr="00653813">
        <w:rPr>
          <w:rFonts w:asciiTheme="majorHAnsi" w:hAnsiTheme="majorHAnsi"/>
          <w:color w:val="000000"/>
          <w:sz w:val="20"/>
          <w:szCs w:val="20"/>
          <w:lang w:val="es-VE"/>
        </w:rPr>
        <w:t xml:space="preserve"> tanto el entonces Presidente de la República como otros altos funcionarios estatales</w:t>
      </w:r>
      <w:r w:rsidR="003B7E4E" w:rsidRPr="00653813">
        <w:rPr>
          <w:rFonts w:asciiTheme="majorHAnsi" w:hAnsiTheme="majorHAnsi"/>
          <w:color w:val="000000"/>
          <w:sz w:val="20"/>
          <w:szCs w:val="20"/>
          <w:lang w:val="es-VE"/>
        </w:rPr>
        <w:t>, incluyendo al menos dos Ministros</w:t>
      </w:r>
      <w:r w:rsidR="003F5ABB" w:rsidRPr="00653813">
        <w:rPr>
          <w:rFonts w:asciiTheme="majorHAnsi" w:hAnsiTheme="majorHAnsi"/>
          <w:color w:val="000000"/>
          <w:sz w:val="20"/>
          <w:szCs w:val="20"/>
          <w:lang w:val="es-VE"/>
        </w:rPr>
        <w:t xml:space="preserve"> y un Diputado</w:t>
      </w:r>
      <w:r w:rsidR="003B7E4E" w:rsidRPr="00653813">
        <w:rPr>
          <w:rFonts w:asciiTheme="majorHAnsi" w:hAnsiTheme="majorHAnsi"/>
          <w:color w:val="000000"/>
          <w:sz w:val="20"/>
          <w:szCs w:val="20"/>
          <w:lang w:val="es-VE"/>
        </w:rPr>
        <w:t>,</w:t>
      </w:r>
      <w:r w:rsidR="00ED3D04" w:rsidRPr="00653813">
        <w:rPr>
          <w:rFonts w:asciiTheme="majorHAnsi" w:hAnsiTheme="majorHAnsi"/>
          <w:color w:val="000000"/>
          <w:sz w:val="20"/>
          <w:szCs w:val="20"/>
          <w:lang w:val="es-VE"/>
        </w:rPr>
        <w:t xml:space="preserve"> efectuaron declara</w:t>
      </w:r>
      <w:r w:rsidR="00DD311A">
        <w:rPr>
          <w:rFonts w:asciiTheme="majorHAnsi" w:hAnsiTheme="majorHAnsi"/>
          <w:color w:val="000000"/>
          <w:sz w:val="20"/>
          <w:szCs w:val="20"/>
          <w:lang w:val="es-VE"/>
        </w:rPr>
        <w:t>ciones contemporáneas o bien en</w:t>
      </w:r>
      <w:r w:rsidR="00ED3D04" w:rsidRPr="00653813">
        <w:rPr>
          <w:rFonts w:asciiTheme="majorHAnsi" w:hAnsiTheme="majorHAnsi"/>
          <w:color w:val="000000"/>
          <w:sz w:val="20"/>
          <w:szCs w:val="20"/>
          <w:lang w:val="es-VE"/>
        </w:rPr>
        <w:t xml:space="preserve"> el momento de la</w:t>
      </w:r>
      <w:r w:rsidR="00DD311A">
        <w:rPr>
          <w:rFonts w:asciiTheme="majorHAnsi" w:hAnsiTheme="majorHAnsi"/>
          <w:color w:val="000000"/>
          <w:sz w:val="20"/>
          <w:szCs w:val="20"/>
          <w:lang w:val="es-VE"/>
        </w:rPr>
        <w:t>s</w:t>
      </w:r>
      <w:r w:rsidR="00ED3D04" w:rsidRPr="00653813">
        <w:rPr>
          <w:rFonts w:asciiTheme="majorHAnsi" w:hAnsiTheme="majorHAnsi"/>
          <w:color w:val="000000"/>
          <w:sz w:val="20"/>
          <w:szCs w:val="20"/>
          <w:lang w:val="es-VE"/>
        </w:rPr>
        <w:t xml:space="preserve"> firma</w:t>
      </w:r>
      <w:r w:rsidR="00DD311A">
        <w:rPr>
          <w:rFonts w:asciiTheme="majorHAnsi" w:hAnsiTheme="majorHAnsi"/>
          <w:color w:val="000000"/>
          <w:sz w:val="20"/>
          <w:szCs w:val="20"/>
          <w:lang w:val="es-VE"/>
        </w:rPr>
        <w:t>s</w:t>
      </w:r>
      <w:r w:rsidR="00ED3D04" w:rsidRPr="00653813">
        <w:rPr>
          <w:rFonts w:asciiTheme="majorHAnsi" w:hAnsiTheme="majorHAnsi"/>
          <w:color w:val="000000"/>
          <w:sz w:val="20"/>
          <w:szCs w:val="20"/>
          <w:lang w:val="es-VE"/>
        </w:rPr>
        <w:t xml:space="preserve">, o bien </w:t>
      </w:r>
      <w:r w:rsidR="00DD311A">
        <w:rPr>
          <w:rFonts w:asciiTheme="majorHAnsi" w:hAnsiTheme="majorHAnsi"/>
          <w:color w:val="000000"/>
          <w:sz w:val="20"/>
          <w:szCs w:val="20"/>
          <w:lang w:val="es-VE"/>
        </w:rPr>
        <w:t>en</w:t>
      </w:r>
      <w:r w:rsidR="00ED3D04" w:rsidRPr="00653813">
        <w:rPr>
          <w:rFonts w:asciiTheme="majorHAnsi" w:hAnsiTheme="majorHAnsi"/>
          <w:color w:val="000000"/>
          <w:sz w:val="20"/>
          <w:szCs w:val="20"/>
          <w:lang w:val="es-VE"/>
        </w:rPr>
        <w:t xml:space="preserve"> el momento de su presentación ante el CNE, cuyos contenidos </w:t>
      </w:r>
      <w:r w:rsidR="003B7E4E" w:rsidRPr="00653813">
        <w:rPr>
          <w:rFonts w:asciiTheme="majorHAnsi" w:hAnsiTheme="majorHAnsi"/>
          <w:color w:val="000000"/>
          <w:sz w:val="20"/>
          <w:szCs w:val="20"/>
          <w:lang w:val="es-VE"/>
        </w:rPr>
        <w:t xml:space="preserve">reflejan claramente que se trató de </w:t>
      </w:r>
      <w:r w:rsidR="00ED3D04" w:rsidRPr="00653813">
        <w:rPr>
          <w:rFonts w:asciiTheme="majorHAnsi" w:hAnsiTheme="majorHAnsi"/>
          <w:color w:val="000000"/>
          <w:sz w:val="20"/>
          <w:szCs w:val="20"/>
          <w:lang w:val="es-VE"/>
        </w:rPr>
        <w:t xml:space="preserve">formas de presión para no firmar, </w:t>
      </w:r>
      <w:r w:rsidR="003F5ABB" w:rsidRPr="00653813">
        <w:rPr>
          <w:rFonts w:asciiTheme="majorHAnsi" w:hAnsiTheme="majorHAnsi"/>
          <w:color w:val="000000"/>
          <w:sz w:val="20"/>
          <w:szCs w:val="20"/>
          <w:lang w:val="es-VE"/>
        </w:rPr>
        <w:t xml:space="preserve">de amenazas de represalias para las personas que firmaron, e incluso de la acusación infundada de terroristas a quienes firmaron. De especial relevancia resulta la </w:t>
      </w:r>
      <w:r w:rsidR="003F5ABB" w:rsidRPr="00653813">
        <w:rPr>
          <w:rFonts w:asciiTheme="majorHAnsi" w:hAnsiTheme="majorHAnsi"/>
          <w:color w:val="000000"/>
          <w:sz w:val="20"/>
          <w:szCs w:val="20"/>
          <w:lang w:val="es-VE"/>
        </w:rPr>
        <w:lastRenderedPageBreak/>
        <w:t xml:space="preserve">declaración del entonces Presidente de la República quien, al referirse a la “lista </w:t>
      </w:r>
      <w:proofErr w:type="spellStart"/>
      <w:r w:rsidR="003F5ABB" w:rsidRPr="00653813">
        <w:rPr>
          <w:rFonts w:asciiTheme="majorHAnsi" w:hAnsiTheme="majorHAnsi"/>
          <w:color w:val="000000"/>
          <w:sz w:val="20"/>
          <w:szCs w:val="20"/>
          <w:lang w:val="es-VE"/>
        </w:rPr>
        <w:t>Tascón</w:t>
      </w:r>
      <w:proofErr w:type="spellEnd"/>
      <w:r w:rsidR="003F5ABB" w:rsidRPr="00653813">
        <w:rPr>
          <w:rFonts w:asciiTheme="majorHAnsi" w:hAnsiTheme="majorHAnsi"/>
          <w:color w:val="000000"/>
          <w:sz w:val="20"/>
          <w:szCs w:val="20"/>
          <w:lang w:val="es-VE"/>
        </w:rPr>
        <w:t xml:space="preserve">”, indicó “que salgan los rostros”. </w:t>
      </w:r>
    </w:p>
    <w:p w14:paraId="700CA47E" w14:textId="77777777" w:rsidR="00653813" w:rsidRDefault="00653813" w:rsidP="00653813">
      <w:pPr>
        <w:pStyle w:val="ListParagraph"/>
        <w:rPr>
          <w:rFonts w:asciiTheme="majorHAnsi" w:hAnsiTheme="majorHAnsi"/>
          <w:sz w:val="20"/>
          <w:szCs w:val="20"/>
          <w:lang w:val="es-ES_tradnl"/>
        </w:rPr>
      </w:pPr>
    </w:p>
    <w:p w14:paraId="4D92A503" w14:textId="2C925D97" w:rsidR="00653813" w:rsidRDefault="003C2ABC"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3813">
        <w:rPr>
          <w:rFonts w:asciiTheme="majorHAnsi" w:hAnsiTheme="majorHAnsi"/>
          <w:sz w:val="20"/>
          <w:szCs w:val="20"/>
          <w:lang w:val="es-ES_tradnl"/>
        </w:rPr>
        <w:t xml:space="preserve">La Comisión recuerda que </w:t>
      </w:r>
      <w:r w:rsidRPr="00653813">
        <w:rPr>
          <w:rFonts w:asciiTheme="majorHAnsi" w:hAnsiTheme="majorHAnsi" w:cs="Calibri"/>
          <w:sz w:val="20"/>
          <w:szCs w:val="20"/>
          <w:lang w:val="es-ES_tradnl"/>
        </w:rPr>
        <w:t>e</w:t>
      </w:r>
      <w:r w:rsidRPr="00653813">
        <w:rPr>
          <w:rFonts w:asciiTheme="majorHAnsi" w:hAnsiTheme="majorHAnsi" w:cs="Calibri"/>
          <w:sz w:val="20"/>
          <w:szCs w:val="20"/>
          <w:lang w:val="es-ES"/>
        </w:rPr>
        <w:t>n atención a las obligaciones estatales de respeto, garantía y promoción de los derechos humanos, los</w:t>
      </w:r>
      <w:r w:rsidRPr="00653813">
        <w:rPr>
          <w:rFonts w:asciiTheme="majorHAnsi" w:hAnsiTheme="majorHAnsi"/>
          <w:sz w:val="20"/>
          <w:szCs w:val="20"/>
          <w:lang w:val="es-ES"/>
        </w:rPr>
        <w:t xml:space="preserve"> funcionarios tienen el deber de asegurarse que al ejercer su libertad de expresión no incurran en el desconocimiento de derechos fundamentales</w:t>
      </w:r>
      <w:r w:rsidR="00B90F54" w:rsidRPr="00DC3E0D">
        <w:rPr>
          <w:rStyle w:val="FootnoteReference"/>
          <w:rFonts w:asciiTheme="majorHAnsi" w:hAnsiTheme="majorHAnsi"/>
          <w:sz w:val="20"/>
          <w:szCs w:val="20"/>
          <w:lang w:val="es-ES"/>
        </w:rPr>
        <w:footnoteReference w:id="156"/>
      </w:r>
      <w:r w:rsidRPr="00DC3E0D">
        <w:rPr>
          <w:rFonts w:asciiTheme="majorHAnsi" w:hAnsiTheme="majorHAnsi" w:cs="Calibri"/>
          <w:sz w:val="20"/>
          <w:szCs w:val="20"/>
          <w:lang w:val="es-ES"/>
        </w:rPr>
        <w:t>.</w:t>
      </w:r>
      <w:r w:rsidRPr="00653813">
        <w:rPr>
          <w:rFonts w:asciiTheme="majorHAnsi" w:hAnsiTheme="majorHAnsi" w:cs="Calibri"/>
          <w:sz w:val="20"/>
          <w:szCs w:val="20"/>
          <w:lang w:val="es-ES"/>
        </w:rPr>
        <w:t xml:space="preserve"> Asimismo deben</w:t>
      </w:r>
      <w:r w:rsidRPr="00653813">
        <w:rPr>
          <w:rFonts w:asciiTheme="majorHAnsi" w:hAnsiTheme="majorHAnsi"/>
          <w:sz w:val="20"/>
          <w:szCs w:val="20"/>
          <w:lang w:val="es-ES"/>
        </w:rPr>
        <w:t xml:space="preserve"> </w:t>
      </w:r>
      <w:r w:rsidRPr="00653813">
        <w:rPr>
          <w:rFonts w:asciiTheme="majorHAnsi" w:hAnsiTheme="majorHAnsi" w:cs="Calibri"/>
          <w:sz w:val="20"/>
          <w:szCs w:val="20"/>
          <w:lang w:val="es-ES"/>
        </w:rPr>
        <w:t>asegurarse que sus expresiones no constituyan “formas de injerencia directa o indirecta o presión lesiva en los derechos de quienes pretenden contribuir a la deliberación pública mediante la expresión y difusión de su pensamiento”</w:t>
      </w:r>
      <w:r w:rsidRPr="009A5295">
        <w:rPr>
          <w:rFonts w:asciiTheme="majorHAnsi" w:hAnsiTheme="majorHAnsi" w:cs="Calibri"/>
          <w:sz w:val="16"/>
          <w:szCs w:val="16"/>
          <w:vertAlign w:val="superscript"/>
          <w:lang w:val="es-ES"/>
        </w:rPr>
        <w:footnoteReference w:id="157"/>
      </w:r>
      <w:r w:rsidRPr="00653813">
        <w:rPr>
          <w:rFonts w:asciiTheme="majorHAnsi" w:hAnsiTheme="majorHAnsi" w:cs="Calibri"/>
          <w:sz w:val="20"/>
          <w:szCs w:val="20"/>
          <w:lang w:val="es-ES"/>
        </w:rPr>
        <w:t xml:space="preserve">. </w:t>
      </w:r>
      <w:r w:rsidRPr="00653813">
        <w:rPr>
          <w:rFonts w:asciiTheme="majorHAnsi" w:hAnsiTheme="majorHAnsi"/>
          <w:sz w:val="20"/>
          <w:szCs w:val="20"/>
          <w:lang w:val="es-ES"/>
        </w:rPr>
        <w:t>Este deber especial de cuidado se ve particularmente acentuado en situaciones de mayor conflictividad social, alteraciones del orden público o polarización social o política, por el conjunto de riesgo que pueden implicar para determinadas personas o grupos en un momento dado</w:t>
      </w:r>
      <w:r w:rsidRPr="009A5295">
        <w:rPr>
          <w:rFonts w:asciiTheme="majorHAnsi" w:hAnsiTheme="majorHAnsi"/>
          <w:sz w:val="16"/>
          <w:szCs w:val="16"/>
          <w:vertAlign w:val="superscript"/>
          <w:lang w:val="es-ES"/>
        </w:rPr>
        <w:footnoteReference w:id="158"/>
      </w:r>
      <w:r w:rsidRPr="00653813">
        <w:rPr>
          <w:rFonts w:asciiTheme="majorHAnsi" w:hAnsiTheme="majorHAnsi"/>
          <w:sz w:val="20"/>
          <w:szCs w:val="20"/>
          <w:lang w:val="es-ES"/>
        </w:rPr>
        <w:t>.</w:t>
      </w:r>
    </w:p>
    <w:p w14:paraId="3021DB0C" w14:textId="77777777" w:rsidR="00653813" w:rsidRDefault="00653813" w:rsidP="00653813">
      <w:pPr>
        <w:pStyle w:val="ListParagraph"/>
        <w:rPr>
          <w:rFonts w:asciiTheme="majorHAnsi" w:hAnsiTheme="majorHAnsi"/>
          <w:sz w:val="20"/>
          <w:szCs w:val="20"/>
          <w:lang w:val="es-VE"/>
        </w:rPr>
      </w:pPr>
    </w:p>
    <w:p w14:paraId="70EF8B55" w14:textId="728D37F6" w:rsidR="00653813" w:rsidRPr="00F17535" w:rsidRDefault="00C872FB"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3813">
        <w:rPr>
          <w:rFonts w:asciiTheme="majorHAnsi" w:hAnsiTheme="majorHAnsi"/>
          <w:color w:val="000000"/>
          <w:sz w:val="20"/>
          <w:szCs w:val="20"/>
          <w:lang w:val="es-VE"/>
        </w:rPr>
        <w:t xml:space="preserve">En </w:t>
      </w:r>
      <w:r w:rsidR="00395D74" w:rsidRPr="00F17535">
        <w:rPr>
          <w:rFonts w:asciiTheme="majorHAnsi" w:hAnsiTheme="majorHAnsi"/>
          <w:color w:val="000000"/>
          <w:sz w:val="20"/>
          <w:szCs w:val="20"/>
          <w:lang w:val="es-VE"/>
        </w:rPr>
        <w:t xml:space="preserve">tercer </w:t>
      </w:r>
      <w:r w:rsidRPr="00F17535">
        <w:rPr>
          <w:rFonts w:asciiTheme="majorHAnsi" w:hAnsiTheme="majorHAnsi"/>
          <w:color w:val="000000"/>
          <w:sz w:val="20"/>
          <w:szCs w:val="20"/>
          <w:lang w:val="es-VE"/>
        </w:rPr>
        <w:t xml:space="preserve">lugar, la Comisión destaca que </w:t>
      </w:r>
      <w:r w:rsidR="002F3FD1" w:rsidRPr="00F17535">
        <w:rPr>
          <w:rFonts w:asciiTheme="majorHAnsi" w:hAnsiTheme="majorHAnsi"/>
          <w:color w:val="000000"/>
          <w:sz w:val="20"/>
          <w:szCs w:val="20"/>
          <w:lang w:val="es-VE"/>
        </w:rPr>
        <w:t xml:space="preserve">el presente caso no representa una denuncia aislada sino que </w:t>
      </w:r>
      <w:r w:rsidRPr="00F17535">
        <w:rPr>
          <w:rFonts w:asciiTheme="majorHAnsi" w:hAnsiTheme="majorHAnsi"/>
          <w:color w:val="000000"/>
          <w:sz w:val="20"/>
          <w:szCs w:val="20"/>
          <w:lang w:val="es-VE"/>
        </w:rPr>
        <w:t>existen múltiples denuncias sobre la materializació</w:t>
      </w:r>
      <w:r w:rsidR="00D85115" w:rsidRPr="00F17535">
        <w:rPr>
          <w:rFonts w:asciiTheme="majorHAnsi" w:hAnsiTheme="majorHAnsi"/>
          <w:color w:val="000000"/>
          <w:sz w:val="20"/>
          <w:szCs w:val="20"/>
          <w:lang w:val="es-VE"/>
        </w:rPr>
        <w:t xml:space="preserve">n de estas amenazas. Estas denuncias fueron documentadas por </w:t>
      </w:r>
      <w:r w:rsidR="00D85115" w:rsidRPr="00F17535">
        <w:rPr>
          <w:rFonts w:asciiTheme="majorHAnsi" w:hAnsiTheme="majorHAnsi"/>
          <w:i/>
          <w:color w:val="000000"/>
          <w:sz w:val="20"/>
          <w:szCs w:val="20"/>
          <w:lang w:val="es-VE"/>
        </w:rPr>
        <w:t xml:space="preserve">Human </w:t>
      </w:r>
      <w:proofErr w:type="spellStart"/>
      <w:r w:rsidR="00D85115" w:rsidRPr="00F17535">
        <w:rPr>
          <w:rFonts w:asciiTheme="majorHAnsi" w:hAnsiTheme="majorHAnsi"/>
          <w:i/>
          <w:color w:val="000000"/>
          <w:sz w:val="20"/>
          <w:szCs w:val="20"/>
          <w:lang w:val="es-VE"/>
        </w:rPr>
        <w:t>Rights</w:t>
      </w:r>
      <w:proofErr w:type="spellEnd"/>
      <w:r w:rsidR="00D85115" w:rsidRPr="00F17535">
        <w:rPr>
          <w:rFonts w:asciiTheme="majorHAnsi" w:hAnsiTheme="majorHAnsi"/>
          <w:i/>
          <w:color w:val="000000"/>
          <w:sz w:val="20"/>
          <w:szCs w:val="20"/>
          <w:lang w:val="es-VE"/>
        </w:rPr>
        <w:t xml:space="preserve"> </w:t>
      </w:r>
      <w:proofErr w:type="spellStart"/>
      <w:r w:rsidR="00D85115" w:rsidRPr="00F17535">
        <w:rPr>
          <w:rFonts w:asciiTheme="majorHAnsi" w:hAnsiTheme="majorHAnsi"/>
          <w:i/>
          <w:color w:val="000000"/>
          <w:sz w:val="20"/>
          <w:szCs w:val="20"/>
          <w:lang w:val="es-VE"/>
        </w:rPr>
        <w:t>Watch</w:t>
      </w:r>
      <w:proofErr w:type="spellEnd"/>
      <w:r w:rsidR="00D85115" w:rsidRPr="00F17535">
        <w:rPr>
          <w:rFonts w:asciiTheme="majorHAnsi" w:hAnsiTheme="majorHAnsi"/>
          <w:i/>
          <w:color w:val="000000"/>
          <w:sz w:val="20"/>
          <w:szCs w:val="20"/>
          <w:lang w:val="es-VE"/>
        </w:rPr>
        <w:t xml:space="preserve"> </w:t>
      </w:r>
      <w:r w:rsidR="00D85115" w:rsidRPr="00F17535">
        <w:rPr>
          <w:rFonts w:asciiTheme="majorHAnsi" w:hAnsiTheme="majorHAnsi"/>
          <w:color w:val="000000"/>
          <w:sz w:val="20"/>
          <w:szCs w:val="20"/>
          <w:lang w:val="es-VE"/>
        </w:rPr>
        <w:t xml:space="preserve">en el informe citado </w:t>
      </w:r>
      <w:r w:rsidR="00D85115" w:rsidRPr="00F17535">
        <w:rPr>
          <w:rFonts w:asciiTheme="majorHAnsi" w:hAnsiTheme="majorHAnsi"/>
          <w:i/>
          <w:color w:val="000000"/>
          <w:sz w:val="20"/>
          <w:szCs w:val="20"/>
          <w:lang w:val="es-VE"/>
        </w:rPr>
        <w:t xml:space="preserve">supra </w:t>
      </w:r>
      <w:r w:rsidR="00D85115" w:rsidRPr="00F17535">
        <w:rPr>
          <w:rFonts w:asciiTheme="majorHAnsi" w:hAnsiTheme="majorHAnsi"/>
          <w:color w:val="000000"/>
          <w:sz w:val="20"/>
          <w:szCs w:val="20"/>
          <w:lang w:val="es-VE"/>
        </w:rPr>
        <w:t xml:space="preserve">en la sección de hechos probados. Además, existen múltiples documentos de prensa que dan cuenta de denuncias de despidos de personas que aparecieron en la “lista </w:t>
      </w:r>
      <w:proofErr w:type="spellStart"/>
      <w:r w:rsidR="00D85115" w:rsidRPr="00F17535">
        <w:rPr>
          <w:rFonts w:asciiTheme="majorHAnsi" w:hAnsiTheme="majorHAnsi"/>
          <w:color w:val="000000"/>
          <w:sz w:val="20"/>
          <w:szCs w:val="20"/>
          <w:lang w:val="es-VE"/>
        </w:rPr>
        <w:t>Tascón</w:t>
      </w:r>
      <w:proofErr w:type="spellEnd"/>
      <w:r w:rsidR="00D85115" w:rsidRPr="00F17535">
        <w:rPr>
          <w:rFonts w:asciiTheme="majorHAnsi" w:hAnsiTheme="majorHAnsi"/>
          <w:color w:val="000000"/>
          <w:sz w:val="20"/>
          <w:szCs w:val="20"/>
          <w:lang w:val="es-VE"/>
        </w:rPr>
        <w:t>”</w:t>
      </w:r>
      <w:r w:rsidR="005C6F03" w:rsidRPr="00F17535">
        <w:rPr>
          <w:rFonts w:asciiTheme="majorHAnsi" w:hAnsiTheme="majorHAnsi"/>
          <w:color w:val="000000"/>
          <w:sz w:val="20"/>
          <w:szCs w:val="20"/>
          <w:lang w:val="es-VE"/>
        </w:rPr>
        <w:t xml:space="preserve"> en seis entidades estatales diferentes. </w:t>
      </w:r>
      <w:r w:rsidR="002F3FD1" w:rsidRPr="00F17535">
        <w:rPr>
          <w:rFonts w:asciiTheme="majorHAnsi" w:hAnsiTheme="majorHAnsi"/>
          <w:color w:val="000000"/>
          <w:sz w:val="20"/>
          <w:szCs w:val="20"/>
          <w:lang w:val="es-VE"/>
        </w:rPr>
        <w:t xml:space="preserve"> Incluso el propio Fiscal General de la República reconoció la existencia de múltiples denuncias, en ese sentido, al ordenar en Abril de 2005 la apertura de una investigación por casos de discriminación política.</w:t>
      </w:r>
    </w:p>
    <w:p w14:paraId="7E33D102" w14:textId="77777777" w:rsidR="00653813" w:rsidRPr="00F17535" w:rsidRDefault="00653813" w:rsidP="00395D74">
      <w:pPr>
        <w:pStyle w:val="ListParagraph"/>
        <w:rPr>
          <w:rFonts w:asciiTheme="majorHAnsi" w:hAnsiTheme="majorHAnsi"/>
          <w:sz w:val="20"/>
          <w:szCs w:val="20"/>
          <w:lang w:val="es-VE"/>
        </w:rPr>
      </w:pPr>
    </w:p>
    <w:p w14:paraId="48B7C124" w14:textId="1E35CE9D" w:rsidR="00653813" w:rsidRPr="00F17535" w:rsidRDefault="0047509E"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F17535">
        <w:rPr>
          <w:rFonts w:asciiTheme="majorHAnsi" w:hAnsiTheme="majorHAnsi"/>
          <w:color w:val="000000"/>
          <w:sz w:val="20"/>
          <w:szCs w:val="20"/>
          <w:lang w:val="es-VE"/>
        </w:rPr>
        <w:t xml:space="preserve">En </w:t>
      </w:r>
      <w:r w:rsidR="00395D74" w:rsidRPr="00F17535">
        <w:rPr>
          <w:rFonts w:asciiTheme="majorHAnsi" w:hAnsiTheme="majorHAnsi"/>
          <w:color w:val="000000"/>
          <w:sz w:val="20"/>
          <w:szCs w:val="20"/>
          <w:lang w:val="es-VE"/>
        </w:rPr>
        <w:t xml:space="preserve">cuarto </w:t>
      </w:r>
      <w:r w:rsidRPr="00F17535">
        <w:rPr>
          <w:rFonts w:asciiTheme="majorHAnsi" w:hAnsiTheme="majorHAnsi"/>
          <w:color w:val="000000"/>
          <w:sz w:val="20"/>
          <w:szCs w:val="20"/>
          <w:lang w:val="es-VE"/>
        </w:rPr>
        <w:t xml:space="preserve">lugar, la Comisión toma nota de </w:t>
      </w:r>
      <w:r w:rsidR="00147CDE" w:rsidRPr="00F17535">
        <w:rPr>
          <w:rFonts w:asciiTheme="majorHAnsi" w:hAnsiTheme="majorHAnsi"/>
          <w:color w:val="000000"/>
          <w:sz w:val="20"/>
          <w:szCs w:val="20"/>
          <w:lang w:val="es-VE"/>
        </w:rPr>
        <w:t>que el proceso de reparos de firmas llevado a cabo por el CNE y que tuvo lugar el 27 de junio de 2004</w:t>
      </w:r>
      <w:r w:rsidR="00437845" w:rsidRPr="00F17535">
        <w:rPr>
          <w:rFonts w:asciiTheme="majorHAnsi" w:hAnsiTheme="majorHAnsi"/>
          <w:color w:val="000000"/>
          <w:sz w:val="20"/>
          <w:szCs w:val="20"/>
          <w:lang w:val="es-VE"/>
        </w:rPr>
        <w:t>, no se limitaba a que las personas pudieran objetar posibles usos fraudulentos de sus firmas e identidades</w:t>
      </w:r>
      <w:r w:rsidR="002F3FD1" w:rsidRPr="00F17535">
        <w:rPr>
          <w:rFonts w:asciiTheme="majorHAnsi" w:hAnsiTheme="majorHAnsi"/>
          <w:color w:val="000000"/>
          <w:sz w:val="20"/>
          <w:szCs w:val="20"/>
          <w:lang w:val="es-VE"/>
        </w:rPr>
        <w:t xml:space="preserve"> sino que</w:t>
      </w:r>
      <w:r w:rsidR="00437845" w:rsidRPr="00F17535">
        <w:rPr>
          <w:rFonts w:asciiTheme="majorHAnsi" w:hAnsiTheme="majorHAnsi"/>
          <w:color w:val="000000"/>
          <w:sz w:val="20"/>
          <w:szCs w:val="20"/>
          <w:lang w:val="es-VE"/>
        </w:rPr>
        <w:t xml:space="preserve"> </w:t>
      </w:r>
      <w:r w:rsidR="002F3FD1" w:rsidRPr="00F17535">
        <w:rPr>
          <w:rFonts w:asciiTheme="majorHAnsi" w:hAnsiTheme="majorHAnsi"/>
          <w:color w:val="000000"/>
          <w:sz w:val="20"/>
          <w:szCs w:val="20"/>
          <w:lang w:val="es-VE"/>
        </w:rPr>
        <w:t>a</w:t>
      </w:r>
      <w:r w:rsidR="00437845" w:rsidRPr="00F17535">
        <w:rPr>
          <w:rFonts w:asciiTheme="majorHAnsi" w:hAnsiTheme="majorHAnsi"/>
          <w:color w:val="000000"/>
          <w:sz w:val="20"/>
          <w:szCs w:val="20"/>
          <w:lang w:val="es-VE"/>
        </w:rPr>
        <w:t xml:space="preserve">l llamar al proceso de reparos se dio también la opción de que las personas que firmaron a favor del referendo revocatorio, válidamente, pudieran retractarse y retirar su firma. </w:t>
      </w:r>
      <w:r w:rsidR="002F3FD1" w:rsidRPr="00F17535">
        <w:rPr>
          <w:rFonts w:asciiTheme="majorHAnsi" w:hAnsiTheme="majorHAnsi"/>
          <w:color w:val="000000"/>
          <w:sz w:val="20"/>
          <w:szCs w:val="20"/>
          <w:lang w:val="es-VE"/>
        </w:rPr>
        <w:t xml:space="preserve">Si bien ante posibles denuncias de fraude podría ser razonable la existencia de un mecanismo de verificación, el objeto del mismo no sería </w:t>
      </w:r>
      <w:r w:rsidR="00930F4D" w:rsidRPr="00F17535">
        <w:rPr>
          <w:rFonts w:asciiTheme="majorHAnsi" w:hAnsiTheme="majorHAnsi"/>
          <w:color w:val="000000"/>
          <w:sz w:val="20"/>
          <w:szCs w:val="20"/>
          <w:lang w:val="es-VE"/>
        </w:rPr>
        <w:t>obtener un nuevo pronunciamiento de</w:t>
      </w:r>
      <w:r w:rsidR="002F3FD1" w:rsidRPr="00F17535">
        <w:rPr>
          <w:rFonts w:asciiTheme="majorHAnsi" w:hAnsiTheme="majorHAnsi"/>
          <w:color w:val="000000"/>
          <w:sz w:val="20"/>
          <w:szCs w:val="20"/>
          <w:lang w:val="es-VE"/>
        </w:rPr>
        <w:t xml:space="preserve"> las personas que firmaron válidamente</w:t>
      </w:r>
      <w:r w:rsidR="00930F4D" w:rsidRPr="00F17535">
        <w:rPr>
          <w:rFonts w:asciiTheme="majorHAnsi" w:hAnsiTheme="majorHAnsi"/>
          <w:color w:val="000000"/>
          <w:sz w:val="20"/>
          <w:szCs w:val="20"/>
          <w:lang w:val="es-VE"/>
        </w:rPr>
        <w:t>.</w:t>
      </w:r>
      <w:r w:rsidR="002F3FD1" w:rsidRPr="00F17535">
        <w:rPr>
          <w:rFonts w:asciiTheme="majorHAnsi" w:hAnsiTheme="majorHAnsi"/>
          <w:color w:val="000000"/>
          <w:sz w:val="20"/>
          <w:szCs w:val="20"/>
          <w:lang w:val="es-VE"/>
        </w:rPr>
        <w:t xml:space="preserve"> </w:t>
      </w:r>
      <w:r w:rsidR="00437845" w:rsidRPr="00F17535">
        <w:rPr>
          <w:rFonts w:asciiTheme="majorHAnsi" w:hAnsiTheme="majorHAnsi"/>
          <w:color w:val="000000"/>
          <w:sz w:val="20"/>
          <w:szCs w:val="20"/>
          <w:lang w:val="es-VE"/>
        </w:rPr>
        <w:t xml:space="preserve">El otorgamiento de esta opción resulta problemática en el contexto de declaraciones amenazantes por parte de altos funcionarios estatales, incluido el Presidente de la República. </w:t>
      </w:r>
    </w:p>
    <w:p w14:paraId="65DC62A5" w14:textId="77777777" w:rsidR="00653813" w:rsidRPr="00F17535" w:rsidRDefault="00653813" w:rsidP="00653813">
      <w:pPr>
        <w:pStyle w:val="ListParagraph"/>
        <w:rPr>
          <w:rFonts w:asciiTheme="majorHAnsi" w:hAnsiTheme="majorHAnsi"/>
          <w:sz w:val="20"/>
          <w:szCs w:val="20"/>
          <w:lang w:val="es-MX"/>
        </w:rPr>
      </w:pPr>
    </w:p>
    <w:p w14:paraId="07DD3FCD" w14:textId="2C8312C0" w:rsidR="00653813" w:rsidRPr="00502BA5" w:rsidRDefault="00F70327" w:rsidP="00502BA5">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17535">
        <w:rPr>
          <w:rFonts w:asciiTheme="majorHAnsi" w:hAnsiTheme="majorHAnsi"/>
          <w:sz w:val="20"/>
          <w:szCs w:val="20"/>
          <w:lang w:val="es-MX"/>
        </w:rPr>
        <w:t xml:space="preserve">En </w:t>
      </w:r>
      <w:r w:rsidR="00395D74" w:rsidRPr="00F17535">
        <w:rPr>
          <w:rFonts w:asciiTheme="majorHAnsi" w:hAnsiTheme="majorHAnsi"/>
          <w:sz w:val="20"/>
          <w:szCs w:val="20"/>
          <w:lang w:val="es-MX"/>
        </w:rPr>
        <w:t xml:space="preserve">quinto </w:t>
      </w:r>
      <w:r w:rsidRPr="00F17535">
        <w:rPr>
          <w:rFonts w:asciiTheme="majorHAnsi" w:hAnsiTheme="majorHAnsi"/>
          <w:sz w:val="20"/>
          <w:szCs w:val="20"/>
          <w:lang w:val="es-MX"/>
        </w:rPr>
        <w:t xml:space="preserve">lugar, </w:t>
      </w:r>
      <w:r w:rsidR="00502BA5" w:rsidRPr="00F17535">
        <w:rPr>
          <w:rFonts w:asciiTheme="majorHAnsi" w:hAnsiTheme="majorHAnsi"/>
          <w:sz w:val="20"/>
          <w:szCs w:val="20"/>
          <w:lang w:val="es-MX"/>
        </w:rPr>
        <w:t xml:space="preserve">como se indicó en el párrafo 87, </w:t>
      </w:r>
      <w:r w:rsidRPr="00F17535">
        <w:rPr>
          <w:rFonts w:asciiTheme="majorHAnsi" w:hAnsiTheme="majorHAnsi"/>
          <w:sz w:val="20"/>
          <w:szCs w:val="20"/>
          <w:lang w:val="es-MX"/>
        </w:rPr>
        <w:t>la Comisión observa que el entonces Presidente de la República, en una declaraci</w:t>
      </w:r>
      <w:r w:rsidR="00502BA5" w:rsidRPr="00F17535">
        <w:rPr>
          <w:rFonts w:asciiTheme="majorHAnsi" w:hAnsiTheme="majorHAnsi"/>
          <w:sz w:val="20"/>
          <w:szCs w:val="20"/>
          <w:lang w:val="es-MX"/>
        </w:rPr>
        <w:t>ón el</w:t>
      </w:r>
      <w:r w:rsidRPr="00F17535">
        <w:rPr>
          <w:rFonts w:asciiTheme="majorHAnsi" w:hAnsiTheme="majorHAnsi"/>
          <w:sz w:val="20"/>
          <w:szCs w:val="20"/>
          <w:lang w:val="es-MX"/>
        </w:rPr>
        <w:t xml:space="preserve"> 15 de abril de </w:t>
      </w:r>
      <w:r w:rsidR="00DF6137" w:rsidRPr="00F17535">
        <w:rPr>
          <w:rFonts w:asciiTheme="majorHAnsi" w:hAnsiTheme="majorHAnsi"/>
          <w:sz w:val="20"/>
          <w:szCs w:val="20"/>
          <w:lang w:val="es-MX"/>
        </w:rPr>
        <w:t>2005</w:t>
      </w:r>
      <w:r w:rsidR="00502BA5" w:rsidRPr="00F17535">
        <w:rPr>
          <w:rStyle w:val="FootnoteReference"/>
          <w:rFonts w:asciiTheme="majorHAnsi" w:hAnsiTheme="majorHAnsi"/>
          <w:sz w:val="20"/>
          <w:szCs w:val="20"/>
          <w:lang w:val="es-VE"/>
        </w:rPr>
        <w:footnoteReference w:id="159"/>
      </w:r>
      <w:r w:rsidR="00DF6137" w:rsidRPr="00F17535">
        <w:rPr>
          <w:rFonts w:asciiTheme="majorHAnsi" w:hAnsiTheme="majorHAnsi"/>
          <w:sz w:val="20"/>
          <w:szCs w:val="20"/>
          <w:lang w:val="es-MX"/>
        </w:rPr>
        <w:t xml:space="preserve">, </w:t>
      </w:r>
      <w:r w:rsidR="00DF6137" w:rsidRPr="00F17535">
        <w:rPr>
          <w:rFonts w:asciiTheme="majorHAnsi" w:hAnsiTheme="majorHAnsi"/>
          <w:color w:val="000000"/>
          <w:sz w:val="20"/>
          <w:szCs w:val="20"/>
          <w:lang w:val="es-VE"/>
        </w:rPr>
        <w:t>reconoció</w:t>
      </w:r>
      <w:r w:rsidR="00DF6137" w:rsidRPr="00F17535">
        <w:rPr>
          <w:rFonts w:asciiTheme="majorHAnsi" w:hAnsiTheme="majorHAnsi"/>
          <w:sz w:val="20"/>
          <w:szCs w:val="20"/>
          <w:lang w:val="es-MX"/>
        </w:rPr>
        <w:t xml:space="preserve"> que </w:t>
      </w:r>
      <w:r w:rsidR="00930F4D" w:rsidRPr="00F17535">
        <w:rPr>
          <w:rFonts w:asciiTheme="majorHAnsi" w:hAnsiTheme="majorHAnsi"/>
          <w:sz w:val="20"/>
          <w:szCs w:val="20"/>
          <w:lang w:val="es-MX"/>
        </w:rPr>
        <w:t xml:space="preserve">la </w:t>
      </w:r>
      <w:r w:rsidR="00DF6137" w:rsidRPr="00F17535">
        <w:rPr>
          <w:rFonts w:asciiTheme="majorHAnsi" w:hAnsiTheme="majorHAnsi"/>
          <w:color w:val="000000"/>
          <w:sz w:val="20"/>
          <w:szCs w:val="20"/>
          <w:lang w:val="es-VE"/>
        </w:rPr>
        <w:t>“l</w:t>
      </w:r>
      <w:r w:rsidR="00AB7D09" w:rsidRPr="00F17535">
        <w:rPr>
          <w:rFonts w:asciiTheme="majorHAnsi" w:hAnsiTheme="majorHAnsi"/>
          <w:color w:val="000000"/>
          <w:sz w:val="20"/>
          <w:szCs w:val="20"/>
          <w:lang w:val="es-VE"/>
        </w:rPr>
        <w:t xml:space="preserve">ista </w:t>
      </w:r>
      <w:proofErr w:type="spellStart"/>
      <w:r w:rsidR="00AB7D09" w:rsidRPr="00F17535">
        <w:rPr>
          <w:rFonts w:asciiTheme="majorHAnsi" w:hAnsiTheme="majorHAnsi"/>
          <w:color w:val="000000"/>
          <w:sz w:val="20"/>
          <w:szCs w:val="20"/>
          <w:lang w:val="es-VE"/>
        </w:rPr>
        <w:t>Tascón</w:t>
      </w:r>
      <w:proofErr w:type="spellEnd"/>
      <w:r w:rsidR="00AB7D09" w:rsidRPr="00F17535">
        <w:rPr>
          <w:rFonts w:asciiTheme="majorHAnsi" w:hAnsiTheme="majorHAnsi"/>
          <w:color w:val="000000"/>
          <w:sz w:val="20"/>
          <w:szCs w:val="20"/>
          <w:lang w:val="es-VE"/>
        </w:rPr>
        <w:t xml:space="preserve">” fue utilizada para </w:t>
      </w:r>
      <w:r w:rsidR="00AB7D09" w:rsidRPr="00F17535">
        <w:rPr>
          <w:rFonts w:asciiTheme="majorHAnsi" w:hAnsiTheme="majorHAnsi"/>
          <w:sz w:val="20"/>
          <w:szCs w:val="20"/>
          <w:lang w:val="es-VE"/>
        </w:rPr>
        <w:t>despedir a trabajadores o bloquear solicitudes de empleo.</w:t>
      </w:r>
      <w:r w:rsidR="009D5F93" w:rsidRPr="00F17535">
        <w:rPr>
          <w:rFonts w:asciiTheme="majorHAnsi" w:hAnsiTheme="majorHAnsi"/>
          <w:sz w:val="20"/>
          <w:szCs w:val="20"/>
          <w:lang w:val="es-VE"/>
        </w:rPr>
        <w:t xml:space="preserve"> En esta oportunidad el entonces Presidente hizo un llamado a tender</w:t>
      </w:r>
      <w:r w:rsidR="009D5F93" w:rsidRPr="00502BA5">
        <w:rPr>
          <w:rFonts w:asciiTheme="majorHAnsi" w:hAnsiTheme="majorHAnsi"/>
          <w:sz w:val="20"/>
          <w:szCs w:val="20"/>
          <w:lang w:val="es-VE"/>
        </w:rPr>
        <w:t xml:space="preserve"> puentes y a “enterrar” la “lista </w:t>
      </w:r>
      <w:proofErr w:type="spellStart"/>
      <w:r w:rsidR="009D5F93" w:rsidRPr="00502BA5">
        <w:rPr>
          <w:rFonts w:asciiTheme="majorHAnsi" w:hAnsiTheme="majorHAnsi"/>
          <w:sz w:val="20"/>
          <w:szCs w:val="20"/>
          <w:lang w:val="es-VE"/>
        </w:rPr>
        <w:t>Tascón</w:t>
      </w:r>
      <w:proofErr w:type="spellEnd"/>
      <w:r w:rsidR="009D5F93" w:rsidRPr="00502BA5">
        <w:rPr>
          <w:rFonts w:asciiTheme="majorHAnsi" w:hAnsiTheme="majorHAnsi"/>
          <w:sz w:val="20"/>
          <w:szCs w:val="20"/>
          <w:lang w:val="es-VE"/>
        </w:rPr>
        <w:t xml:space="preserve">”. Independientemente de ello, en lo relevante para el presente análisis, la Comisión destaca que existió un reconocimiento, desde las más altas esferas del poder, del uso de la “lista </w:t>
      </w:r>
      <w:proofErr w:type="spellStart"/>
      <w:r w:rsidR="009D5F93" w:rsidRPr="00502BA5">
        <w:rPr>
          <w:rFonts w:asciiTheme="majorHAnsi" w:hAnsiTheme="majorHAnsi"/>
          <w:sz w:val="20"/>
          <w:szCs w:val="20"/>
          <w:lang w:val="es-VE"/>
        </w:rPr>
        <w:t>Tascón</w:t>
      </w:r>
      <w:proofErr w:type="spellEnd"/>
      <w:r w:rsidR="009D5F93" w:rsidRPr="00502BA5">
        <w:rPr>
          <w:rFonts w:asciiTheme="majorHAnsi" w:hAnsiTheme="majorHAnsi"/>
          <w:sz w:val="20"/>
          <w:szCs w:val="20"/>
          <w:lang w:val="es-VE"/>
        </w:rPr>
        <w:t>”</w:t>
      </w:r>
      <w:r w:rsidR="00AD1157" w:rsidRPr="00502BA5">
        <w:rPr>
          <w:rFonts w:asciiTheme="majorHAnsi" w:hAnsiTheme="majorHAnsi"/>
          <w:sz w:val="20"/>
          <w:szCs w:val="20"/>
          <w:lang w:val="es-VE"/>
        </w:rPr>
        <w:t xml:space="preserve"> como instrumento para materializar represalias contra las personas que firmaron. La Comisión resalta además que conforme a este reconocimiento, el uso de la “lista </w:t>
      </w:r>
      <w:proofErr w:type="spellStart"/>
      <w:r w:rsidR="00AD1157" w:rsidRPr="00502BA5">
        <w:rPr>
          <w:rFonts w:asciiTheme="majorHAnsi" w:hAnsiTheme="majorHAnsi"/>
          <w:sz w:val="20"/>
          <w:szCs w:val="20"/>
          <w:lang w:val="es-VE"/>
        </w:rPr>
        <w:t>Tascón</w:t>
      </w:r>
      <w:proofErr w:type="spellEnd"/>
      <w:r w:rsidR="00AD1157" w:rsidRPr="00502BA5">
        <w:rPr>
          <w:rFonts w:asciiTheme="majorHAnsi" w:hAnsiTheme="majorHAnsi"/>
          <w:sz w:val="20"/>
          <w:szCs w:val="20"/>
          <w:lang w:val="es-VE"/>
        </w:rPr>
        <w:t xml:space="preserve">” se dio en el ámbito laboral. </w:t>
      </w:r>
    </w:p>
    <w:p w14:paraId="6EBF8CB8" w14:textId="77777777" w:rsidR="00653813" w:rsidRDefault="00653813" w:rsidP="00653813">
      <w:pPr>
        <w:pStyle w:val="ListParagraph"/>
        <w:rPr>
          <w:rFonts w:asciiTheme="majorHAnsi" w:hAnsiTheme="majorHAnsi"/>
          <w:sz w:val="20"/>
          <w:szCs w:val="20"/>
          <w:lang w:val="es-VE"/>
        </w:rPr>
      </w:pPr>
    </w:p>
    <w:p w14:paraId="27A786D1" w14:textId="6904C8CA" w:rsidR="008B20E5" w:rsidRPr="00F17535" w:rsidRDefault="00291197"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3813">
        <w:rPr>
          <w:rFonts w:asciiTheme="majorHAnsi" w:hAnsiTheme="majorHAnsi"/>
          <w:sz w:val="20"/>
          <w:szCs w:val="20"/>
          <w:lang w:val="es-VE"/>
        </w:rPr>
        <w:t xml:space="preserve">En </w:t>
      </w:r>
      <w:r w:rsidR="00395D74" w:rsidRPr="00F17535">
        <w:rPr>
          <w:rFonts w:asciiTheme="majorHAnsi" w:hAnsiTheme="majorHAnsi"/>
          <w:sz w:val="20"/>
          <w:szCs w:val="20"/>
          <w:lang w:val="es-VE"/>
        </w:rPr>
        <w:t>sexto</w:t>
      </w:r>
      <w:r w:rsidRPr="00F17535">
        <w:rPr>
          <w:rFonts w:asciiTheme="majorHAnsi" w:hAnsiTheme="majorHAnsi"/>
          <w:sz w:val="20"/>
          <w:szCs w:val="20"/>
          <w:lang w:val="es-VE"/>
        </w:rPr>
        <w:t xml:space="preserve"> lugar, </w:t>
      </w:r>
      <w:r w:rsidRPr="00F17535">
        <w:rPr>
          <w:rFonts w:asciiTheme="majorHAnsi" w:hAnsiTheme="majorHAnsi"/>
          <w:color w:val="000000"/>
          <w:sz w:val="20"/>
          <w:szCs w:val="20"/>
          <w:lang w:val="es-VE"/>
        </w:rPr>
        <w:t>la</w:t>
      </w:r>
      <w:r w:rsidRPr="00F17535">
        <w:rPr>
          <w:rFonts w:asciiTheme="majorHAnsi" w:hAnsiTheme="majorHAnsi"/>
          <w:sz w:val="20"/>
          <w:szCs w:val="20"/>
          <w:lang w:val="es-VE"/>
        </w:rPr>
        <w:t xml:space="preserve"> Comisión cuenta con las declaraciones testimoniales de Rocío San</w:t>
      </w:r>
      <w:r w:rsidR="008B20E5" w:rsidRPr="00F17535">
        <w:rPr>
          <w:rFonts w:asciiTheme="majorHAnsi" w:hAnsiTheme="majorHAnsi"/>
          <w:sz w:val="20"/>
          <w:szCs w:val="20"/>
          <w:lang w:val="es-VE"/>
        </w:rPr>
        <w:t xml:space="preserve"> M</w:t>
      </w:r>
      <w:r w:rsidRPr="00F17535">
        <w:rPr>
          <w:rFonts w:asciiTheme="majorHAnsi" w:hAnsiTheme="majorHAnsi"/>
          <w:sz w:val="20"/>
          <w:szCs w:val="20"/>
          <w:lang w:val="es-VE"/>
        </w:rPr>
        <w:t xml:space="preserve">iguel, </w:t>
      </w:r>
      <w:proofErr w:type="spellStart"/>
      <w:r w:rsidRPr="00F17535">
        <w:rPr>
          <w:rFonts w:asciiTheme="majorHAnsi" w:hAnsiTheme="majorHAnsi"/>
          <w:sz w:val="20"/>
          <w:szCs w:val="20"/>
          <w:lang w:val="es-VE"/>
        </w:rPr>
        <w:t>Magally</w:t>
      </w:r>
      <w:proofErr w:type="spellEnd"/>
      <w:r w:rsidRPr="00F17535">
        <w:rPr>
          <w:rFonts w:asciiTheme="majorHAnsi" w:hAnsiTheme="majorHAnsi"/>
          <w:sz w:val="20"/>
          <w:szCs w:val="20"/>
          <w:lang w:val="es-VE"/>
        </w:rPr>
        <w:t xml:space="preserve"> Chang Girón y Thais Coromoto Peña, quienes </w:t>
      </w:r>
      <w:r w:rsidR="008B20E5" w:rsidRPr="00F17535">
        <w:rPr>
          <w:rFonts w:asciiTheme="majorHAnsi" w:hAnsiTheme="majorHAnsi"/>
          <w:sz w:val="20"/>
          <w:szCs w:val="20"/>
          <w:lang w:val="es-VE"/>
        </w:rPr>
        <w:t xml:space="preserve">aportaron los siguientes elementos: </w:t>
      </w:r>
    </w:p>
    <w:p w14:paraId="5178B81C" w14:textId="77777777" w:rsidR="008B20E5" w:rsidRPr="00F17535" w:rsidRDefault="008B20E5" w:rsidP="00291197">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14064D31" w14:textId="37E0BD62" w:rsidR="00291197" w:rsidRPr="00F17535" w:rsidRDefault="008B20E5" w:rsidP="00653813">
      <w:pPr>
        <w:pBdr>
          <w:left w:val="none" w:sz="0" w:space="0" w:color="auto"/>
          <w:bottom w:val="none" w:sz="0" w:space="0" w:color="auto"/>
          <w:right w:val="none" w:sz="0" w:space="0" w:color="auto"/>
          <w:between w:val="none" w:sz="0" w:space="0" w:color="auto"/>
          <w:bar w:val="none" w:sz="0" w:color="auto"/>
        </w:pBdr>
        <w:ind w:left="720" w:right="810"/>
        <w:jc w:val="both"/>
        <w:rPr>
          <w:rFonts w:asciiTheme="majorHAnsi" w:hAnsiTheme="majorHAnsi" w:cs="Times"/>
          <w:sz w:val="20"/>
          <w:szCs w:val="20"/>
          <w:lang w:val="es-ES"/>
        </w:rPr>
      </w:pPr>
      <w:r w:rsidRPr="00F17535">
        <w:rPr>
          <w:rFonts w:asciiTheme="majorHAnsi" w:hAnsiTheme="majorHAnsi" w:cs="Times"/>
          <w:sz w:val="20"/>
          <w:szCs w:val="20"/>
          <w:lang w:val="es-ES"/>
        </w:rPr>
        <w:t xml:space="preserve">- </w:t>
      </w:r>
      <w:r w:rsidR="00AB7D09" w:rsidRPr="00F17535">
        <w:rPr>
          <w:rFonts w:asciiTheme="majorHAnsi" w:hAnsiTheme="majorHAnsi" w:cs="Times"/>
          <w:sz w:val="20"/>
          <w:szCs w:val="20"/>
          <w:lang w:val="es-ES"/>
        </w:rPr>
        <w:t xml:space="preserve">Rocío San Miguel Sosa </w:t>
      </w:r>
      <w:r w:rsidRPr="00F17535">
        <w:rPr>
          <w:rFonts w:asciiTheme="majorHAnsi" w:hAnsiTheme="majorHAnsi" w:cs="Times"/>
          <w:sz w:val="20"/>
          <w:szCs w:val="20"/>
          <w:lang w:val="es-ES"/>
        </w:rPr>
        <w:t xml:space="preserve">se refirió a </w:t>
      </w:r>
      <w:r w:rsidR="00AB7D09" w:rsidRPr="00F17535">
        <w:rPr>
          <w:rFonts w:asciiTheme="majorHAnsi" w:hAnsiTheme="majorHAnsi" w:cs="Times"/>
          <w:sz w:val="20"/>
          <w:szCs w:val="20"/>
          <w:lang w:val="es-ES"/>
        </w:rPr>
        <w:t>una conversación con el Secretario Ejecutivo del Consejo Nacional de Fronteras quien le indicó que la razón de su despido era por haber solicitado el revocatorio presidencial, así como a una con</w:t>
      </w:r>
      <w:r w:rsidR="00644D05">
        <w:rPr>
          <w:rFonts w:asciiTheme="majorHAnsi" w:hAnsiTheme="majorHAnsi" w:cs="Times"/>
          <w:sz w:val="20"/>
          <w:szCs w:val="20"/>
          <w:lang w:val="es-ES"/>
        </w:rPr>
        <w:t>versación</w:t>
      </w:r>
      <w:r w:rsidR="00AB7D09" w:rsidRPr="00F17535">
        <w:rPr>
          <w:rFonts w:asciiTheme="majorHAnsi" w:hAnsiTheme="majorHAnsi" w:cs="Times"/>
          <w:sz w:val="20"/>
          <w:szCs w:val="20"/>
          <w:lang w:val="es-ES"/>
        </w:rPr>
        <w:t xml:space="preserve"> con la consultora jurídica de la </w:t>
      </w:r>
      <w:r w:rsidR="00AB7D09" w:rsidRPr="00F17535">
        <w:rPr>
          <w:rFonts w:asciiTheme="majorHAnsi" w:hAnsiTheme="majorHAnsi" w:cs="Times"/>
          <w:sz w:val="20"/>
          <w:szCs w:val="20"/>
          <w:lang w:val="es-ES"/>
        </w:rPr>
        <w:lastRenderedPageBreak/>
        <w:t>vicepresidencia quien le indicó que ella era personal de confianza y que con su firma manifestó un gesto de desconfianza.</w:t>
      </w:r>
    </w:p>
    <w:p w14:paraId="3F31596E" w14:textId="77777777" w:rsidR="00291197" w:rsidRPr="00F17535" w:rsidRDefault="00291197" w:rsidP="00653813">
      <w:pPr>
        <w:pBdr>
          <w:left w:val="none" w:sz="0" w:space="0" w:color="auto"/>
          <w:bottom w:val="none" w:sz="0" w:space="0" w:color="auto"/>
          <w:right w:val="none" w:sz="0" w:space="0" w:color="auto"/>
          <w:between w:val="none" w:sz="0" w:space="0" w:color="auto"/>
          <w:bar w:val="none" w:sz="0" w:color="auto"/>
        </w:pBdr>
        <w:ind w:left="720" w:right="810"/>
        <w:jc w:val="both"/>
        <w:rPr>
          <w:rFonts w:asciiTheme="majorHAnsi" w:hAnsiTheme="majorHAnsi" w:cs="Times"/>
          <w:sz w:val="20"/>
          <w:szCs w:val="20"/>
          <w:lang w:val="es-ES"/>
        </w:rPr>
      </w:pPr>
    </w:p>
    <w:p w14:paraId="1CD9FD85" w14:textId="25987D7F" w:rsidR="00AB7D09" w:rsidRPr="00F17535" w:rsidRDefault="008B20E5" w:rsidP="00653813">
      <w:pPr>
        <w:pBdr>
          <w:left w:val="none" w:sz="0" w:space="0" w:color="auto"/>
          <w:bottom w:val="none" w:sz="0" w:space="0" w:color="auto"/>
          <w:right w:val="none" w:sz="0" w:space="0" w:color="auto"/>
          <w:between w:val="none" w:sz="0" w:space="0" w:color="auto"/>
          <w:bar w:val="none" w:sz="0" w:color="auto"/>
        </w:pBdr>
        <w:ind w:left="720" w:right="810"/>
        <w:jc w:val="both"/>
        <w:rPr>
          <w:rFonts w:asciiTheme="majorHAnsi" w:hAnsiTheme="majorHAnsi" w:cs="Times"/>
          <w:sz w:val="20"/>
          <w:szCs w:val="20"/>
          <w:lang w:val="es-ES"/>
        </w:rPr>
      </w:pPr>
      <w:r w:rsidRPr="00F17535">
        <w:rPr>
          <w:rFonts w:asciiTheme="majorHAnsi" w:hAnsiTheme="majorHAnsi" w:cs="Times"/>
          <w:sz w:val="20"/>
          <w:szCs w:val="20"/>
          <w:lang w:val="es-ES"/>
        </w:rPr>
        <w:t xml:space="preserve">- </w:t>
      </w:r>
      <w:proofErr w:type="spellStart"/>
      <w:r w:rsidR="00AB7D09" w:rsidRPr="00F17535">
        <w:rPr>
          <w:rFonts w:asciiTheme="majorHAnsi" w:hAnsiTheme="majorHAnsi" w:cs="Times"/>
          <w:sz w:val="20"/>
          <w:szCs w:val="20"/>
          <w:lang w:val="es-ES"/>
        </w:rPr>
        <w:t>Magally</w:t>
      </w:r>
      <w:proofErr w:type="spellEnd"/>
      <w:r w:rsidR="00AB7D09" w:rsidRPr="00F17535">
        <w:rPr>
          <w:rFonts w:asciiTheme="majorHAnsi" w:hAnsiTheme="majorHAnsi" w:cs="Times"/>
          <w:sz w:val="20"/>
          <w:szCs w:val="20"/>
          <w:lang w:val="es-ES"/>
        </w:rPr>
        <w:t xml:space="preserve"> Chang Girón </w:t>
      </w:r>
      <w:r w:rsidRPr="00F17535">
        <w:rPr>
          <w:rFonts w:asciiTheme="majorHAnsi" w:hAnsiTheme="majorHAnsi" w:cs="Times"/>
          <w:sz w:val="20"/>
          <w:szCs w:val="20"/>
          <w:lang w:val="es-ES"/>
        </w:rPr>
        <w:t xml:space="preserve">se refirió a </w:t>
      </w:r>
      <w:r w:rsidR="00AB7D09" w:rsidRPr="00F17535">
        <w:rPr>
          <w:rFonts w:asciiTheme="majorHAnsi" w:hAnsiTheme="majorHAnsi" w:cs="Times"/>
          <w:sz w:val="20"/>
          <w:szCs w:val="20"/>
          <w:lang w:val="es-ES"/>
        </w:rPr>
        <w:t xml:space="preserve">que fueron despedidas tres de las cuatro personas que firmaron la solicitud de referendo,  y que vio la carta </w:t>
      </w:r>
      <w:r w:rsidRPr="00F17535">
        <w:rPr>
          <w:rFonts w:asciiTheme="majorHAnsi" w:hAnsiTheme="majorHAnsi" w:cs="Times"/>
          <w:sz w:val="20"/>
          <w:szCs w:val="20"/>
          <w:lang w:val="es-ES"/>
        </w:rPr>
        <w:t>de despido de la cuarta persona – Jorge Guerra – tomando conocimiento de que finalmente</w:t>
      </w:r>
      <w:r w:rsidR="00640598" w:rsidRPr="00F17535">
        <w:rPr>
          <w:rFonts w:asciiTheme="majorHAnsi" w:hAnsiTheme="majorHAnsi" w:cs="Times"/>
          <w:sz w:val="20"/>
          <w:szCs w:val="20"/>
          <w:lang w:val="es-ES"/>
        </w:rPr>
        <w:t xml:space="preserve"> no fue despedido, sin saber las razones.</w:t>
      </w:r>
      <w:r w:rsidR="00AB7D09" w:rsidRPr="00F17535">
        <w:rPr>
          <w:rFonts w:asciiTheme="majorHAnsi" w:hAnsiTheme="majorHAnsi" w:cs="Times"/>
          <w:sz w:val="20"/>
          <w:szCs w:val="20"/>
          <w:lang w:val="es-ES"/>
        </w:rPr>
        <w:t xml:space="preserve"> </w:t>
      </w:r>
    </w:p>
    <w:p w14:paraId="66134A4D" w14:textId="77777777" w:rsidR="00640598" w:rsidRPr="00F17535" w:rsidRDefault="00640598" w:rsidP="00653813">
      <w:pPr>
        <w:pBdr>
          <w:left w:val="none" w:sz="0" w:space="0" w:color="auto"/>
          <w:bottom w:val="none" w:sz="0" w:space="0" w:color="auto"/>
          <w:right w:val="none" w:sz="0" w:space="0" w:color="auto"/>
          <w:between w:val="none" w:sz="0" w:space="0" w:color="auto"/>
          <w:bar w:val="none" w:sz="0" w:color="auto"/>
        </w:pBdr>
        <w:ind w:left="720" w:right="810"/>
        <w:jc w:val="both"/>
        <w:rPr>
          <w:rFonts w:asciiTheme="majorHAnsi" w:hAnsiTheme="majorHAnsi" w:cs="Times"/>
          <w:sz w:val="20"/>
          <w:szCs w:val="20"/>
          <w:lang w:val="es-ES"/>
        </w:rPr>
      </w:pPr>
    </w:p>
    <w:p w14:paraId="71DFA145" w14:textId="55923077" w:rsidR="00AB7D09" w:rsidRPr="00F17535" w:rsidRDefault="00640598" w:rsidP="00653813">
      <w:pPr>
        <w:pBdr>
          <w:left w:val="none" w:sz="0" w:space="0" w:color="auto"/>
          <w:bottom w:val="none" w:sz="0" w:space="0" w:color="auto"/>
          <w:right w:val="none" w:sz="0" w:space="0" w:color="auto"/>
          <w:between w:val="none" w:sz="0" w:space="0" w:color="auto"/>
          <w:bar w:val="none" w:sz="0" w:color="auto"/>
        </w:pBdr>
        <w:ind w:left="720" w:right="810"/>
        <w:jc w:val="both"/>
        <w:rPr>
          <w:rFonts w:asciiTheme="majorHAnsi" w:hAnsiTheme="majorHAnsi" w:cs="Times"/>
          <w:sz w:val="20"/>
          <w:szCs w:val="20"/>
          <w:lang w:val="es-ES"/>
        </w:rPr>
      </w:pPr>
      <w:r w:rsidRPr="00F17535">
        <w:rPr>
          <w:rFonts w:asciiTheme="majorHAnsi" w:hAnsiTheme="majorHAnsi" w:cs="Times"/>
          <w:sz w:val="20"/>
          <w:szCs w:val="20"/>
          <w:lang w:val="es-ES"/>
        </w:rPr>
        <w:t xml:space="preserve">- </w:t>
      </w:r>
      <w:r w:rsidR="00AB7D09" w:rsidRPr="00F17535">
        <w:rPr>
          <w:rFonts w:asciiTheme="majorHAnsi" w:hAnsiTheme="majorHAnsi" w:cs="Times"/>
          <w:sz w:val="20"/>
          <w:szCs w:val="20"/>
          <w:lang w:val="es-ES"/>
        </w:rPr>
        <w:t xml:space="preserve">Thais Coromoto Peña </w:t>
      </w:r>
      <w:r w:rsidRPr="00F17535">
        <w:rPr>
          <w:rFonts w:asciiTheme="majorHAnsi" w:hAnsiTheme="majorHAnsi" w:cs="Times"/>
          <w:sz w:val="20"/>
          <w:szCs w:val="20"/>
          <w:lang w:val="es-ES"/>
        </w:rPr>
        <w:t xml:space="preserve">se refirió a que </w:t>
      </w:r>
      <w:r w:rsidR="00AB7D09" w:rsidRPr="00F17535">
        <w:rPr>
          <w:rFonts w:asciiTheme="majorHAnsi" w:hAnsiTheme="majorHAnsi" w:cs="Times"/>
          <w:sz w:val="20"/>
          <w:szCs w:val="20"/>
          <w:lang w:val="es-ES"/>
        </w:rPr>
        <w:t>luego de ser notificada del despido el Secretario Ejecutivo del Consejo Nacional de Fronteras le indicó que si retiraba la firma él podía apoyarle para suspender su despido como se hizo con Jorge Guerra.</w:t>
      </w:r>
    </w:p>
    <w:p w14:paraId="3E293655" w14:textId="77777777" w:rsidR="00291197" w:rsidRPr="00F17535" w:rsidRDefault="00291197" w:rsidP="00653813">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VE"/>
        </w:rPr>
      </w:pPr>
    </w:p>
    <w:p w14:paraId="7C65CC58" w14:textId="17AE0FDD" w:rsidR="00653813" w:rsidRDefault="00640598"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17535">
        <w:rPr>
          <w:rFonts w:asciiTheme="majorHAnsi" w:hAnsiTheme="majorHAnsi"/>
          <w:sz w:val="20"/>
          <w:szCs w:val="20"/>
          <w:lang w:val="es-VE"/>
        </w:rPr>
        <w:t xml:space="preserve">En </w:t>
      </w:r>
      <w:r w:rsidR="00395D74" w:rsidRPr="00F17535">
        <w:rPr>
          <w:rFonts w:asciiTheme="majorHAnsi" w:hAnsiTheme="majorHAnsi"/>
          <w:sz w:val="20"/>
          <w:szCs w:val="20"/>
          <w:lang w:val="es-VE"/>
        </w:rPr>
        <w:t xml:space="preserve">séptimo </w:t>
      </w:r>
      <w:r w:rsidRPr="00F17535">
        <w:rPr>
          <w:rFonts w:asciiTheme="majorHAnsi" w:hAnsiTheme="majorHAnsi"/>
          <w:sz w:val="20"/>
          <w:szCs w:val="20"/>
          <w:lang w:val="es-VE"/>
        </w:rPr>
        <w:t xml:space="preserve">lugar, </w:t>
      </w:r>
      <w:r w:rsidR="00AB7D09" w:rsidRPr="00F17535">
        <w:rPr>
          <w:rFonts w:asciiTheme="majorHAnsi" w:hAnsiTheme="majorHAnsi"/>
          <w:sz w:val="20"/>
          <w:szCs w:val="20"/>
          <w:lang w:val="es-VE"/>
        </w:rPr>
        <w:t>la nómina de personal del Consejo Na</w:t>
      </w:r>
      <w:r w:rsidRPr="00F17535">
        <w:rPr>
          <w:rFonts w:asciiTheme="majorHAnsi" w:hAnsiTheme="majorHAnsi"/>
          <w:sz w:val="20"/>
          <w:szCs w:val="20"/>
          <w:lang w:val="es-VE"/>
        </w:rPr>
        <w:t xml:space="preserve">cional de Fronteras para 2003, confirma que </w:t>
      </w:r>
      <w:r w:rsidR="00AB7D09" w:rsidRPr="00F17535">
        <w:rPr>
          <w:rFonts w:asciiTheme="majorHAnsi" w:hAnsiTheme="majorHAnsi"/>
          <w:sz w:val="20"/>
          <w:szCs w:val="20"/>
          <w:lang w:val="es-VE"/>
        </w:rPr>
        <w:t>del total de 23 empleados</w:t>
      </w:r>
      <w:r w:rsidRPr="00653813">
        <w:rPr>
          <w:rFonts w:asciiTheme="majorHAnsi" w:hAnsiTheme="majorHAnsi"/>
          <w:sz w:val="20"/>
          <w:szCs w:val="20"/>
          <w:lang w:val="es-VE"/>
        </w:rPr>
        <w:t xml:space="preserve"> de dicha institución, </w:t>
      </w:r>
      <w:r w:rsidR="00AB7D09" w:rsidRPr="00653813">
        <w:rPr>
          <w:rFonts w:asciiTheme="majorHAnsi" w:hAnsiTheme="majorHAnsi"/>
          <w:sz w:val="20"/>
          <w:szCs w:val="20"/>
          <w:lang w:val="es-VE"/>
        </w:rPr>
        <w:t xml:space="preserve">se notificó su despido a las únicas 4 personas del Consejo que firmaron la solicitud de referendo revocatorio: Rocío San Miguel, </w:t>
      </w:r>
      <w:proofErr w:type="spellStart"/>
      <w:r w:rsidR="00AB7D09" w:rsidRPr="00653813">
        <w:rPr>
          <w:rFonts w:asciiTheme="majorHAnsi" w:hAnsiTheme="majorHAnsi"/>
          <w:sz w:val="20"/>
          <w:szCs w:val="20"/>
          <w:lang w:val="es-VE"/>
        </w:rPr>
        <w:t>Magally</w:t>
      </w:r>
      <w:proofErr w:type="spellEnd"/>
      <w:r w:rsidR="00AB7D09" w:rsidRPr="00653813">
        <w:rPr>
          <w:rFonts w:asciiTheme="majorHAnsi" w:hAnsiTheme="majorHAnsi"/>
          <w:sz w:val="20"/>
          <w:szCs w:val="20"/>
          <w:lang w:val="es-VE"/>
        </w:rPr>
        <w:t xml:space="preserve"> Chang Girón, Thais Coromoto Peña y Jorge Guerra Navarro</w:t>
      </w:r>
      <w:r w:rsidR="00771C9A" w:rsidRPr="00653813">
        <w:rPr>
          <w:rFonts w:asciiTheme="majorHAnsi" w:hAnsiTheme="majorHAnsi"/>
          <w:sz w:val="20"/>
          <w:szCs w:val="20"/>
          <w:lang w:val="es-VE"/>
        </w:rPr>
        <w:t xml:space="preserve">. </w:t>
      </w:r>
    </w:p>
    <w:p w14:paraId="5BADC36C" w14:textId="77777777" w:rsidR="00653813" w:rsidRDefault="00653813" w:rsidP="00653813">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VE"/>
        </w:rPr>
      </w:pPr>
    </w:p>
    <w:p w14:paraId="634E963D" w14:textId="14074231" w:rsidR="00653813" w:rsidRPr="00F17535" w:rsidRDefault="00640598"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17535">
        <w:rPr>
          <w:rFonts w:asciiTheme="majorHAnsi" w:hAnsiTheme="majorHAnsi"/>
          <w:sz w:val="20"/>
          <w:szCs w:val="20"/>
          <w:lang w:val="es-ES"/>
        </w:rPr>
        <w:t xml:space="preserve">En </w:t>
      </w:r>
      <w:r w:rsidR="00395D74" w:rsidRPr="00F17535">
        <w:rPr>
          <w:rFonts w:asciiTheme="majorHAnsi" w:hAnsiTheme="majorHAnsi"/>
          <w:sz w:val="20"/>
          <w:szCs w:val="20"/>
          <w:lang w:val="es-ES"/>
        </w:rPr>
        <w:t>octavo</w:t>
      </w:r>
      <w:r w:rsidRPr="00F17535">
        <w:rPr>
          <w:rFonts w:asciiTheme="majorHAnsi" w:hAnsiTheme="majorHAnsi"/>
          <w:sz w:val="20"/>
          <w:szCs w:val="20"/>
          <w:lang w:val="es-ES"/>
        </w:rPr>
        <w:t xml:space="preserve"> lugar, en múltiples oportunidades, incluida una de las conversaciones referidas por Rocío San Miguel, aparece la referencia a que Jorge Guerra Navarro pudo conservar su trabajo pues objetó su firma. </w:t>
      </w:r>
      <w:r w:rsidR="00771C9A" w:rsidRPr="00F17535">
        <w:rPr>
          <w:rFonts w:asciiTheme="majorHAnsi" w:hAnsiTheme="majorHAnsi"/>
          <w:sz w:val="20"/>
          <w:szCs w:val="20"/>
          <w:lang w:val="es-ES"/>
        </w:rPr>
        <w:t xml:space="preserve">El Estado no ha logrado controvertir ante la Comisión </w:t>
      </w:r>
      <w:r w:rsidRPr="00F17535">
        <w:rPr>
          <w:rFonts w:asciiTheme="majorHAnsi" w:hAnsiTheme="majorHAnsi"/>
          <w:sz w:val="20"/>
          <w:szCs w:val="20"/>
          <w:lang w:val="es-ES"/>
        </w:rPr>
        <w:t xml:space="preserve">el hecho de que </w:t>
      </w:r>
      <w:r w:rsidR="00771C9A" w:rsidRPr="00F17535">
        <w:rPr>
          <w:rFonts w:asciiTheme="majorHAnsi" w:hAnsiTheme="majorHAnsi"/>
          <w:sz w:val="20"/>
          <w:szCs w:val="20"/>
          <w:lang w:val="es-ES"/>
        </w:rPr>
        <w:t>Jorge Guerra</w:t>
      </w:r>
      <w:r w:rsidRPr="00F17535">
        <w:rPr>
          <w:rFonts w:asciiTheme="majorHAnsi" w:hAnsiTheme="majorHAnsi"/>
          <w:sz w:val="20"/>
          <w:szCs w:val="20"/>
          <w:lang w:val="es-ES"/>
        </w:rPr>
        <w:t xml:space="preserve"> firmó inicialmente, fue despedido junto con las t</w:t>
      </w:r>
      <w:r w:rsidR="00FA6A30" w:rsidRPr="00F17535">
        <w:rPr>
          <w:rFonts w:asciiTheme="majorHAnsi" w:hAnsiTheme="majorHAnsi"/>
          <w:sz w:val="20"/>
          <w:szCs w:val="20"/>
          <w:lang w:val="es-ES"/>
        </w:rPr>
        <w:t>res presuntas víctimas, luego</w:t>
      </w:r>
      <w:r w:rsidR="00771C9A" w:rsidRPr="00F17535">
        <w:rPr>
          <w:rFonts w:asciiTheme="majorHAnsi" w:hAnsiTheme="majorHAnsi"/>
          <w:sz w:val="20"/>
          <w:szCs w:val="20"/>
          <w:lang w:val="es-ES"/>
        </w:rPr>
        <w:t xml:space="preserve"> participó en el proceso de reparos objetando su firma y fue precisamente el único de los cuatro despedidos que pudo conservar su trabajo</w:t>
      </w:r>
      <w:r w:rsidR="00AB7D09" w:rsidRPr="00F17535">
        <w:rPr>
          <w:rFonts w:asciiTheme="majorHAnsi" w:hAnsiTheme="majorHAnsi"/>
          <w:sz w:val="20"/>
          <w:szCs w:val="20"/>
          <w:lang w:val="es-ES_tradnl"/>
        </w:rPr>
        <w:t xml:space="preserve">. </w:t>
      </w:r>
    </w:p>
    <w:p w14:paraId="1F1E476E" w14:textId="77777777" w:rsidR="00653813" w:rsidRPr="00F17535" w:rsidRDefault="00653813" w:rsidP="00653813">
      <w:pPr>
        <w:pStyle w:val="ListParagraph"/>
        <w:rPr>
          <w:rFonts w:asciiTheme="majorHAnsi" w:hAnsiTheme="majorHAnsi"/>
          <w:sz w:val="20"/>
          <w:szCs w:val="20"/>
          <w:lang w:val="es-ES"/>
        </w:rPr>
      </w:pPr>
    </w:p>
    <w:p w14:paraId="4A0925A7" w14:textId="3EC224C8" w:rsidR="00653813" w:rsidRPr="00F17535" w:rsidRDefault="00FA6A30"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17535">
        <w:rPr>
          <w:rFonts w:asciiTheme="majorHAnsi" w:hAnsiTheme="majorHAnsi"/>
          <w:sz w:val="20"/>
          <w:szCs w:val="20"/>
          <w:lang w:val="es-ES"/>
        </w:rPr>
        <w:t xml:space="preserve">En </w:t>
      </w:r>
      <w:r w:rsidR="00395D74" w:rsidRPr="00F17535">
        <w:rPr>
          <w:rFonts w:asciiTheme="majorHAnsi" w:hAnsiTheme="majorHAnsi"/>
          <w:sz w:val="20"/>
          <w:szCs w:val="20"/>
          <w:lang w:val="es-ES"/>
        </w:rPr>
        <w:t>noveno</w:t>
      </w:r>
      <w:r w:rsidRPr="00F17535">
        <w:rPr>
          <w:rFonts w:asciiTheme="majorHAnsi" w:hAnsiTheme="majorHAnsi"/>
          <w:sz w:val="20"/>
          <w:szCs w:val="20"/>
          <w:lang w:val="es-ES"/>
        </w:rPr>
        <w:t xml:space="preserve"> lugar, la Comisión toma nota de l</w:t>
      </w:r>
      <w:r w:rsidR="00AB7D09" w:rsidRPr="00F17535">
        <w:rPr>
          <w:rFonts w:asciiTheme="majorHAnsi" w:hAnsiTheme="majorHAnsi"/>
          <w:sz w:val="20"/>
          <w:szCs w:val="20"/>
          <w:lang w:val="es-ES"/>
        </w:rPr>
        <w:t xml:space="preserve">a continuidad de los contratos de las presuntas víctimas con el Consejo Nacional de Fronteras </w:t>
      </w:r>
      <w:r w:rsidR="00771C9A" w:rsidRPr="00F17535">
        <w:rPr>
          <w:rFonts w:asciiTheme="majorHAnsi" w:hAnsiTheme="majorHAnsi"/>
          <w:sz w:val="20"/>
          <w:szCs w:val="20"/>
          <w:lang w:val="es-ES"/>
        </w:rPr>
        <w:t xml:space="preserve">por periodos de ocho años en el caso de Rocío San Miguel, de siete años en el caso </w:t>
      </w:r>
      <w:proofErr w:type="spellStart"/>
      <w:r w:rsidR="00771C9A" w:rsidRPr="00F17535">
        <w:rPr>
          <w:rFonts w:asciiTheme="majorHAnsi" w:hAnsiTheme="majorHAnsi"/>
          <w:sz w:val="20"/>
          <w:szCs w:val="20"/>
          <w:lang w:val="es-ES"/>
        </w:rPr>
        <w:t>Magally</w:t>
      </w:r>
      <w:proofErr w:type="spellEnd"/>
      <w:r w:rsidR="00771C9A" w:rsidRPr="00F17535">
        <w:rPr>
          <w:rFonts w:asciiTheme="majorHAnsi" w:hAnsiTheme="majorHAnsi"/>
          <w:sz w:val="20"/>
          <w:szCs w:val="20"/>
          <w:lang w:val="es-ES"/>
        </w:rPr>
        <w:t xml:space="preserve"> Chang Girón y de cuatro años en el caso de Thais Coromoto Peña, </w:t>
      </w:r>
      <w:r w:rsidR="00AB7D09" w:rsidRPr="00F17535">
        <w:rPr>
          <w:rFonts w:asciiTheme="majorHAnsi" w:hAnsiTheme="majorHAnsi"/>
          <w:sz w:val="20"/>
          <w:szCs w:val="20"/>
          <w:lang w:val="es-ES"/>
        </w:rPr>
        <w:t>sin que se hayan resuelto antes del periodo pactado en</w:t>
      </w:r>
      <w:r w:rsidR="00771C9A" w:rsidRPr="00F17535">
        <w:rPr>
          <w:rFonts w:asciiTheme="majorHAnsi" w:hAnsiTheme="majorHAnsi"/>
          <w:sz w:val="20"/>
          <w:szCs w:val="20"/>
          <w:lang w:val="es-ES"/>
        </w:rPr>
        <w:t xml:space="preserve"> cada uno de</w:t>
      </w:r>
      <w:r w:rsidR="00AB7D09" w:rsidRPr="00F17535">
        <w:rPr>
          <w:rFonts w:asciiTheme="majorHAnsi" w:hAnsiTheme="majorHAnsi"/>
          <w:sz w:val="20"/>
          <w:szCs w:val="20"/>
          <w:lang w:val="es-ES"/>
        </w:rPr>
        <w:t xml:space="preserve"> los mismos, salvo el último contrato que se terminó</w:t>
      </w:r>
      <w:r w:rsidR="006E2743" w:rsidRPr="00F17535">
        <w:rPr>
          <w:rFonts w:asciiTheme="majorHAnsi" w:hAnsiTheme="majorHAnsi"/>
          <w:sz w:val="20"/>
          <w:szCs w:val="20"/>
          <w:lang w:val="es-ES"/>
        </w:rPr>
        <w:t xml:space="preserve"> pocos</w:t>
      </w:r>
      <w:r w:rsidR="00AB7D09" w:rsidRPr="00F17535">
        <w:rPr>
          <w:rFonts w:asciiTheme="majorHAnsi" w:hAnsiTheme="majorHAnsi"/>
          <w:sz w:val="20"/>
          <w:szCs w:val="20"/>
          <w:lang w:val="es-ES"/>
        </w:rPr>
        <w:t xml:space="preserve"> meses después</w:t>
      </w:r>
      <w:r w:rsidR="00771C9A" w:rsidRPr="00F17535">
        <w:rPr>
          <w:rFonts w:asciiTheme="majorHAnsi" w:hAnsiTheme="majorHAnsi"/>
          <w:sz w:val="20"/>
          <w:szCs w:val="20"/>
          <w:lang w:val="es-ES"/>
        </w:rPr>
        <w:t xml:space="preserve"> de</w:t>
      </w:r>
      <w:r w:rsidR="00AB7D09" w:rsidRPr="00F17535">
        <w:rPr>
          <w:rFonts w:asciiTheme="majorHAnsi" w:hAnsiTheme="majorHAnsi"/>
          <w:sz w:val="20"/>
          <w:szCs w:val="20"/>
          <w:lang w:val="es-ES"/>
        </w:rPr>
        <w:t xml:space="preserve"> que las presuntas víctimas firmar</w:t>
      </w:r>
      <w:r w:rsidR="006E2743" w:rsidRPr="00F17535">
        <w:rPr>
          <w:rFonts w:asciiTheme="majorHAnsi" w:hAnsiTheme="majorHAnsi"/>
          <w:sz w:val="20"/>
          <w:szCs w:val="20"/>
          <w:lang w:val="es-ES"/>
        </w:rPr>
        <w:t>a</w:t>
      </w:r>
      <w:r w:rsidR="00AB7D09" w:rsidRPr="00F17535">
        <w:rPr>
          <w:rFonts w:asciiTheme="majorHAnsi" w:hAnsiTheme="majorHAnsi"/>
          <w:sz w:val="20"/>
          <w:szCs w:val="20"/>
          <w:lang w:val="es-ES"/>
        </w:rPr>
        <w:t>n la solicitud de referendo revocatorio.</w:t>
      </w:r>
    </w:p>
    <w:p w14:paraId="115FF3E5" w14:textId="77777777" w:rsidR="00653813" w:rsidRPr="00F17535" w:rsidRDefault="00653813" w:rsidP="00653813">
      <w:pPr>
        <w:pStyle w:val="ListParagraph"/>
        <w:rPr>
          <w:rFonts w:asciiTheme="majorHAnsi" w:hAnsiTheme="majorHAnsi"/>
          <w:sz w:val="20"/>
          <w:szCs w:val="20"/>
          <w:lang w:val="es-ES"/>
        </w:rPr>
      </w:pPr>
    </w:p>
    <w:p w14:paraId="0BFB49D2" w14:textId="5A0FD819" w:rsidR="00653813" w:rsidRPr="00F17535" w:rsidRDefault="006E2743"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17535">
        <w:rPr>
          <w:rFonts w:asciiTheme="majorHAnsi" w:hAnsiTheme="majorHAnsi"/>
          <w:sz w:val="20"/>
          <w:szCs w:val="20"/>
          <w:lang w:val="es-ES"/>
        </w:rPr>
        <w:t xml:space="preserve">Finalmente, la Comisión cuenta con </w:t>
      </w:r>
      <w:r w:rsidRPr="00F17535">
        <w:rPr>
          <w:rFonts w:asciiTheme="majorHAnsi" w:hAnsiTheme="majorHAnsi"/>
          <w:sz w:val="20"/>
          <w:szCs w:val="20"/>
          <w:lang w:val="es-ES_tradnl"/>
        </w:rPr>
        <w:t>l</w:t>
      </w:r>
      <w:r w:rsidR="006E72D0" w:rsidRPr="00F17535">
        <w:rPr>
          <w:rFonts w:asciiTheme="majorHAnsi" w:hAnsiTheme="majorHAnsi"/>
          <w:sz w:val="20"/>
          <w:szCs w:val="20"/>
          <w:lang w:val="es-ES_tradnl"/>
        </w:rPr>
        <w:t>a t</w:t>
      </w:r>
      <w:r w:rsidR="00AB7D09" w:rsidRPr="00F17535">
        <w:rPr>
          <w:rFonts w:asciiTheme="majorHAnsi" w:hAnsiTheme="majorHAnsi"/>
          <w:sz w:val="20"/>
          <w:szCs w:val="20"/>
          <w:lang w:val="es-ES_tradnl"/>
        </w:rPr>
        <w:t>ranscripción</w:t>
      </w:r>
      <w:r w:rsidRPr="00F17535">
        <w:rPr>
          <w:rFonts w:asciiTheme="majorHAnsi" w:hAnsiTheme="majorHAnsi"/>
          <w:sz w:val="20"/>
          <w:szCs w:val="20"/>
          <w:lang w:val="es-ES_tradnl"/>
        </w:rPr>
        <w:t xml:space="preserve"> aportada por los peticionarios </w:t>
      </w:r>
      <w:r w:rsidR="00AB7D09" w:rsidRPr="00F17535">
        <w:rPr>
          <w:rFonts w:asciiTheme="majorHAnsi" w:hAnsiTheme="majorHAnsi"/>
          <w:sz w:val="20"/>
          <w:szCs w:val="20"/>
          <w:lang w:val="es-ES_tradnl"/>
        </w:rPr>
        <w:t>de</w:t>
      </w:r>
      <w:r w:rsidRPr="00F17535">
        <w:rPr>
          <w:rFonts w:asciiTheme="majorHAnsi" w:hAnsiTheme="majorHAnsi"/>
          <w:sz w:val="20"/>
          <w:szCs w:val="20"/>
          <w:lang w:val="es-ES_tradnl"/>
        </w:rPr>
        <w:t xml:space="preserve"> las</w:t>
      </w:r>
      <w:r w:rsidR="00AB7D09" w:rsidRPr="00F17535">
        <w:rPr>
          <w:rFonts w:asciiTheme="majorHAnsi" w:hAnsiTheme="majorHAnsi"/>
          <w:sz w:val="20"/>
          <w:szCs w:val="20"/>
          <w:lang w:val="es-ES_tradnl"/>
        </w:rPr>
        <w:t xml:space="preserve"> conversaciones telefónicas de Rocío San Miguel con el Secretario Ejecutivo del Consejo Nacional de Fronteras y con la consultora jurídica de la Vicepresidencia que sugieren que su participación en el referendo </w:t>
      </w:r>
      <w:r w:rsidR="00640598" w:rsidRPr="00F17535">
        <w:rPr>
          <w:rFonts w:asciiTheme="majorHAnsi" w:hAnsiTheme="majorHAnsi"/>
          <w:sz w:val="20"/>
          <w:szCs w:val="20"/>
          <w:lang w:val="es-ES_tradnl"/>
        </w:rPr>
        <w:t>fue la causa de la terminación de su contra</w:t>
      </w:r>
      <w:r w:rsidR="00644D05">
        <w:rPr>
          <w:rFonts w:asciiTheme="majorHAnsi" w:hAnsiTheme="majorHAnsi"/>
          <w:sz w:val="20"/>
          <w:szCs w:val="20"/>
          <w:lang w:val="es-ES_tradnl"/>
        </w:rPr>
        <w:t>to</w:t>
      </w:r>
      <w:r w:rsidR="00640598" w:rsidRPr="00F17535">
        <w:rPr>
          <w:rFonts w:asciiTheme="majorHAnsi" w:hAnsiTheme="majorHAnsi"/>
          <w:sz w:val="20"/>
          <w:szCs w:val="20"/>
          <w:lang w:val="es-ES_tradnl"/>
        </w:rPr>
        <w:t xml:space="preserve">. </w:t>
      </w:r>
      <w:r w:rsidR="006E72D0" w:rsidRPr="00F17535">
        <w:rPr>
          <w:rFonts w:asciiTheme="majorHAnsi" w:hAnsiTheme="majorHAnsi"/>
          <w:sz w:val="20"/>
          <w:szCs w:val="20"/>
          <w:lang w:val="es-ES_tradnl"/>
        </w:rPr>
        <w:t xml:space="preserve">El Estado no ha logrado demostrar la falta de autenticidad de la transcripción de estas conversaciones. </w:t>
      </w:r>
    </w:p>
    <w:p w14:paraId="6FE83CEB" w14:textId="77777777" w:rsidR="00653813" w:rsidRPr="00F17535" w:rsidRDefault="00653813" w:rsidP="00653813">
      <w:pPr>
        <w:pStyle w:val="ListParagraph"/>
        <w:rPr>
          <w:rFonts w:asciiTheme="majorHAnsi" w:hAnsiTheme="majorHAnsi"/>
          <w:sz w:val="20"/>
          <w:szCs w:val="20"/>
          <w:lang w:val="es-ES_tradnl"/>
        </w:rPr>
      </w:pPr>
    </w:p>
    <w:p w14:paraId="06C23CC5" w14:textId="400F7C06" w:rsidR="00395D74" w:rsidRPr="00F17535" w:rsidRDefault="00395D74" w:rsidP="00395D74">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17535">
        <w:rPr>
          <w:rStyle w:val="apple-converted-space"/>
          <w:rFonts w:asciiTheme="majorHAnsi" w:hAnsiTheme="majorHAnsi"/>
          <w:color w:val="000000"/>
          <w:sz w:val="20"/>
          <w:szCs w:val="20"/>
          <w:lang w:val="es-VE"/>
        </w:rPr>
        <w:t xml:space="preserve">La CIDH recuerda que puede haber decisiones que sean formalmente válidas, pero que no son utilizadas </w:t>
      </w:r>
      <w:r w:rsidRPr="00F17535">
        <w:rPr>
          <w:rFonts w:asciiTheme="majorHAnsi" w:hAnsiTheme="majorHAnsi"/>
          <w:sz w:val="20"/>
          <w:szCs w:val="20"/>
          <w:lang w:val="es-MX"/>
        </w:rPr>
        <w:t xml:space="preserve">como recursos legítimos de administración de justicia, sino a manera de  mecanismos para cumplir con finalidades no declaradas y no evidentes a primera vista que tienen el objeto de establecer una sanción “implícita” </w:t>
      </w:r>
      <w:r w:rsidRPr="00F17535">
        <w:rPr>
          <w:rFonts w:asciiTheme="majorHAnsi" w:hAnsiTheme="majorHAnsi"/>
          <w:sz w:val="20"/>
          <w:szCs w:val="20"/>
          <w:lang w:val="es-ES_tradnl"/>
        </w:rPr>
        <w:t>con  una finalidad distinta de aquellas para las que han sido previstas por la ley</w:t>
      </w:r>
      <w:r w:rsidRPr="00F17535">
        <w:rPr>
          <w:rStyle w:val="FootnoteReference"/>
          <w:rFonts w:asciiTheme="majorHAnsi" w:hAnsiTheme="majorHAnsi"/>
          <w:sz w:val="20"/>
          <w:szCs w:val="20"/>
          <w:lang w:val="es-MX"/>
        </w:rPr>
        <w:footnoteReference w:id="160"/>
      </w:r>
      <w:r w:rsidRPr="00F17535">
        <w:rPr>
          <w:rFonts w:asciiTheme="majorHAnsi" w:hAnsiTheme="majorHAnsi"/>
          <w:sz w:val="20"/>
          <w:szCs w:val="20"/>
          <w:lang w:val="es-MX"/>
        </w:rPr>
        <w:t xml:space="preserve">. </w:t>
      </w:r>
    </w:p>
    <w:p w14:paraId="64A1F827" w14:textId="7A39D19F" w:rsidR="00395D74" w:rsidRPr="00F17535" w:rsidRDefault="00880BF7" w:rsidP="00880BF7">
      <w:pPr>
        <w:pStyle w:val="ListParagraph"/>
        <w:tabs>
          <w:tab w:val="left" w:pos="5633"/>
        </w:tabs>
        <w:rPr>
          <w:rFonts w:asciiTheme="majorHAnsi" w:hAnsiTheme="majorHAnsi" w:cs="Times"/>
          <w:sz w:val="20"/>
          <w:szCs w:val="20"/>
          <w:lang w:val="es-ES"/>
        </w:rPr>
      </w:pPr>
      <w:r>
        <w:rPr>
          <w:rFonts w:asciiTheme="majorHAnsi" w:hAnsiTheme="majorHAnsi" w:cs="Times"/>
          <w:sz w:val="20"/>
          <w:szCs w:val="20"/>
          <w:lang w:val="es-ES"/>
        </w:rPr>
        <w:tab/>
      </w:r>
    </w:p>
    <w:p w14:paraId="34B9DEEA" w14:textId="77777777" w:rsidR="00395D74" w:rsidRPr="00653813" w:rsidRDefault="00395D74" w:rsidP="00395D74">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17535">
        <w:rPr>
          <w:rFonts w:asciiTheme="majorHAnsi" w:hAnsiTheme="majorHAnsi" w:cs="Times"/>
          <w:sz w:val="20"/>
          <w:szCs w:val="20"/>
          <w:lang w:val="es-ES"/>
        </w:rPr>
        <w:t>Por su parte, la</w:t>
      </w:r>
      <w:r w:rsidRPr="00653813">
        <w:rPr>
          <w:rFonts w:asciiTheme="majorHAnsi" w:hAnsiTheme="majorHAnsi" w:cs="Times"/>
          <w:sz w:val="20"/>
          <w:szCs w:val="20"/>
          <w:lang w:val="es-ES"/>
        </w:rPr>
        <w:t xml:space="preserve"> Corte Interamericana también se ha referido a la relevancia del concepto de desviación de poder en casos como el presente: </w:t>
      </w:r>
    </w:p>
    <w:p w14:paraId="59A97C51" w14:textId="77777777" w:rsidR="00395D74" w:rsidRDefault="00395D74" w:rsidP="00395D74">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cs="Times"/>
          <w:sz w:val="20"/>
          <w:szCs w:val="20"/>
          <w:lang w:val="es-ES"/>
        </w:rPr>
      </w:pPr>
    </w:p>
    <w:p w14:paraId="561309F0" w14:textId="77777777" w:rsidR="00395D74" w:rsidRPr="002126B2" w:rsidRDefault="00395D74" w:rsidP="00395D74">
      <w:pPr>
        <w:pBdr>
          <w:left w:val="none" w:sz="0" w:space="0" w:color="auto"/>
          <w:bottom w:val="none" w:sz="0" w:space="0" w:color="auto"/>
          <w:right w:val="none" w:sz="0" w:space="0" w:color="auto"/>
          <w:between w:val="none" w:sz="0" w:space="0" w:color="auto"/>
          <w:bar w:val="none" w:sz="0" w:color="auto"/>
        </w:pBdr>
        <w:ind w:left="720" w:right="810"/>
        <w:jc w:val="both"/>
        <w:rPr>
          <w:rFonts w:asciiTheme="majorHAnsi" w:hAnsiTheme="majorHAnsi"/>
          <w:sz w:val="20"/>
          <w:szCs w:val="20"/>
          <w:lang w:val="es-ES"/>
        </w:rPr>
      </w:pPr>
      <w:r>
        <w:rPr>
          <w:rFonts w:asciiTheme="majorHAnsi" w:hAnsiTheme="majorHAnsi" w:cs="Times"/>
          <w:sz w:val="20"/>
          <w:szCs w:val="20"/>
          <w:lang w:val="es-ES"/>
        </w:rPr>
        <w:t xml:space="preserve">(…) </w:t>
      </w:r>
      <w:r w:rsidRPr="002126B2">
        <w:rPr>
          <w:rFonts w:asciiTheme="majorHAnsi" w:hAnsiTheme="majorHAnsi"/>
          <w:sz w:val="20"/>
          <w:szCs w:val="20"/>
          <w:lang w:val="es-CO"/>
        </w:rPr>
        <w:t xml:space="preserve">la Corte considera necesario, </w:t>
      </w:r>
      <w:r w:rsidRPr="002126B2">
        <w:rPr>
          <w:rFonts w:asciiTheme="majorHAnsi" w:hAnsiTheme="majorHAnsi"/>
          <w:color w:val="000000"/>
          <w:sz w:val="20"/>
          <w:szCs w:val="20"/>
          <w:lang w:val="es-CO"/>
        </w:rPr>
        <w:t>tener en cuenta que el motivo o propósito de un determinado acto de las autoridades estatales cobra relevancia para el análisis jurídico de un caso</w:t>
      </w:r>
      <w:r w:rsidRPr="00420489">
        <w:rPr>
          <w:rStyle w:val="FootnoteReference"/>
          <w:rFonts w:asciiTheme="majorHAnsi" w:hAnsiTheme="majorHAnsi"/>
          <w:sz w:val="20"/>
          <w:szCs w:val="20"/>
        </w:rPr>
        <w:footnoteReference w:id="161"/>
      </w:r>
      <w:r w:rsidRPr="002126B2">
        <w:rPr>
          <w:rFonts w:asciiTheme="majorHAnsi" w:hAnsiTheme="majorHAnsi"/>
          <w:color w:val="000000"/>
          <w:sz w:val="20"/>
          <w:szCs w:val="20"/>
          <w:lang w:val="es-CO"/>
        </w:rPr>
        <w:t xml:space="preserve">, por cuanto una motivación o un propósito distinto al de la norma que otorga las </w:t>
      </w:r>
      <w:r w:rsidRPr="002126B2">
        <w:rPr>
          <w:rFonts w:asciiTheme="majorHAnsi" w:hAnsiTheme="majorHAnsi"/>
          <w:color w:val="000000"/>
          <w:sz w:val="20"/>
          <w:szCs w:val="20"/>
          <w:lang w:val="es-CO"/>
        </w:rPr>
        <w:lastRenderedPageBreak/>
        <w:t>potestades a la autoridad estatal para actuar, puede llegar a demostrar si la acción puede ser considerada como actuación arbitraria</w:t>
      </w:r>
      <w:r w:rsidRPr="00420489">
        <w:rPr>
          <w:rStyle w:val="FootnoteReference"/>
          <w:rFonts w:asciiTheme="majorHAnsi" w:eastAsia="ヒラギノ角ゴ Pro W3" w:hAnsiTheme="majorHAnsi"/>
          <w:sz w:val="20"/>
          <w:szCs w:val="20"/>
        </w:rPr>
        <w:footnoteReference w:id="162"/>
      </w:r>
      <w:r w:rsidRPr="002126B2">
        <w:rPr>
          <w:rFonts w:asciiTheme="majorHAnsi" w:hAnsiTheme="majorHAnsi"/>
          <w:color w:val="000000"/>
          <w:sz w:val="20"/>
          <w:szCs w:val="20"/>
          <w:lang w:val="es-CO"/>
        </w:rPr>
        <w:t xml:space="preserve"> o una desviación de poder. Con relación a ello, el Tribunal toma como punto de partida que las actuaciones de las autoridades estatales están cubiertas por una presunción de comportamiento conforme a derecho</w:t>
      </w:r>
      <w:r w:rsidRPr="00420489">
        <w:rPr>
          <w:rStyle w:val="FootnoteReference"/>
          <w:rFonts w:asciiTheme="majorHAnsi" w:hAnsiTheme="majorHAnsi"/>
          <w:color w:val="000000"/>
          <w:sz w:val="20"/>
          <w:szCs w:val="20"/>
        </w:rPr>
        <w:footnoteReference w:id="163"/>
      </w:r>
      <w:r w:rsidRPr="002126B2">
        <w:rPr>
          <w:rFonts w:asciiTheme="majorHAnsi" w:hAnsiTheme="majorHAnsi"/>
          <w:color w:val="000000"/>
          <w:sz w:val="20"/>
          <w:szCs w:val="20"/>
          <w:lang w:val="es-CO"/>
        </w:rPr>
        <w:t>. Y por ello una actuación irregular por parte de las autoridades estatales tiene que aparecer probada, a fin de desvirtuar dicha presunción de buena fe</w:t>
      </w:r>
      <w:r w:rsidRPr="00420489">
        <w:rPr>
          <w:rStyle w:val="FootnoteReference"/>
          <w:rFonts w:asciiTheme="majorHAnsi" w:eastAsia="Calibri" w:hAnsiTheme="majorHAnsi" w:cs="Arial"/>
          <w:sz w:val="20"/>
          <w:szCs w:val="20"/>
          <w:lang w:eastAsia="de-DE"/>
        </w:rPr>
        <w:footnoteReference w:id="164"/>
      </w:r>
      <w:r w:rsidRPr="002126B2">
        <w:rPr>
          <w:rFonts w:asciiTheme="majorHAnsi" w:eastAsia="Calibri" w:hAnsiTheme="majorHAnsi" w:cs="Arial"/>
          <w:sz w:val="20"/>
          <w:szCs w:val="20"/>
          <w:lang w:val="es-CO" w:eastAsia="de-DE"/>
        </w:rPr>
        <w:t xml:space="preserve">. </w:t>
      </w:r>
    </w:p>
    <w:p w14:paraId="54845BC1" w14:textId="77777777" w:rsidR="00395D74" w:rsidRPr="00EA59BB" w:rsidRDefault="00395D74" w:rsidP="00395D74">
      <w:pPr>
        <w:rPr>
          <w:rStyle w:val="apple-converted-space"/>
          <w:rFonts w:asciiTheme="majorHAnsi" w:hAnsiTheme="majorHAnsi"/>
          <w:sz w:val="20"/>
          <w:szCs w:val="20"/>
          <w:lang w:val="es-VE"/>
        </w:rPr>
      </w:pPr>
    </w:p>
    <w:p w14:paraId="6A361E64" w14:textId="633ABAA5" w:rsidR="00653813" w:rsidRDefault="00987846"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653813">
        <w:rPr>
          <w:rFonts w:asciiTheme="majorHAnsi" w:hAnsiTheme="majorHAnsi"/>
          <w:sz w:val="20"/>
          <w:szCs w:val="20"/>
          <w:lang w:val="es-ES_tradnl"/>
        </w:rPr>
        <w:t>La C</w:t>
      </w:r>
      <w:r w:rsidR="00395D74">
        <w:rPr>
          <w:rFonts w:asciiTheme="majorHAnsi" w:hAnsiTheme="majorHAnsi"/>
          <w:sz w:val="20"/>
          <w:szCs w:val="20"/>
          <w:lang w:val="es-ES_tradnl"/>
        </w:rPr>
        <w:t xml:space="preserve">omisión considera que todos </w:t>
      </w:r>
      <w:r w:rsidR="00395D74" w:rsidRPr="00F17535">
        <w:rPr>
          <w:rFonts w:asciiTheme="majorHAnsi" w:hAnsiTheme="majorHAnsi"/>
          <w:sz w:val="20"/>
          <w:szCs w:val="20"/>
          <w:lang w:val="es-ES_tradnl"/>
        </w:rPr>
        <w:t xml:space="preserve">los elementos descritos </w:t>
      </w:r>
      <w:r w:rsidRPr="00F17535">
        <w:rPr>
          <w:rFonts w:asciiTheme="majorHAnsi" w:hAnsiTheme="majorHAnsi"/>
          <w:sz w:val="20"/>
          <w:szCs w:val="20"/>
          <w:lang w:val="es-ES_tradnl"/>
        </w:rPr>
        <w:t>son</w:t>
      </w:r>
      <w:r w:rsidRPr="00653813">
        <w:rPr>
          <w:rFonts w:asciiTheme="majorHAnsi" w:hAnsiTheme="majorHAnsi"/>
          <w:sz w:val="20"/>
          <w:szCs w:val="20"/>
          <w:lang w:val="es-ES_tradnl"/>
        </w:rPr>
        <w:t xml:space="preserve"> consistentes entre sí y permiten llegar a la convicción de que la terminación de los contratos de Rocío San Miguel Sosa, </w:t>
      </w:r>
      <w:proofErr w:type="spellStart"/>
      <w:r w:rsidRPr="00653813">
        <w:rPr>
          <w:rFonts w:asciiTheme="majorHAnsi" w:hAnsiTheme="majorHAnsi"/>
          <w:sz w:val="20"/>
          <w:szCs w:val="20"/>
          <w:lang w:val="es-ES_tradnl"/>
        </w:rPr>
        <w:t>Magally</w:t>
      </w:r>
      <w:proofErr w:type="spellEnd"/>
      <w:r w:rsidRPr="00653813">
        <w:rPr>
          <w:rFonts w:asciiTheme="majorHAnsi" w:hAnsiTheme="majorHAnsi"/>
          <w:sz w:val="20"/>
          <w:szCs w:val="20"/>
          <w:lang w:val="es-ES_tradnl"/>
        </w:rPr>
        <w:t xml:space="preserve"> Chang Girón y Thais Coromoto Peña, constituyó un acto de desviación de poder</w:t>
      </w:r>
      <w:r w:rsidR="00B84D32" w:rsidRPr="00653813">
        <w:rPr>
          <w:rFonts w:asciiTheme="majorHAnsi" w:hAnsiTheme="majorHAnsi"/>
          <w:sz w:val="20"/>
          <w:szCs w:val="20"/>
          <w:lang w:val="es-ES_tradnl"/>
        </w:rPr>
        <w:t xml:space="preserve"> en el cual se utilizó la existencia de una facultad discrecional en los contratos como un velo de legalidad respecto de la verdadera motivación de sancionar a las víctimas por la expresión de su opinión política mediante la firma a favor de la convocatoria al referendo revocatorio. </w:t>
      </w:r>
      <w:r w:rsidR="00C116E8" w:rsidRPr="00653813">
        <w:rPr>
          <w:rFonts w:asciiTheme="majorHAnsi" w:hAnsiTheme="majorHAnsi"/>
          <w:sz w:val="20"/>
          <w:szCs w:val="20"/>
          <w:lang w:val="es-ES_tradnl"/>
        </w:rPr>
        <w:t>Esta sanción implícita constituyó una violación a los derechos polí</w:t>
      </w:r>
      <w:r w:rsidR="00CD39A2" w:rsidRPr="00653813">
        <w:rPr>
          <w:rFonts w:asciiTheme="majorHAnsi" w:hAnsiTheme="majorHAnsi"/>
          <w:sz w:val="20"/>
          <w:szCs w:val="20"/>
          <w:lang w:val="es-ES_tradnl"/>
        </w:rPr>
        <w:t>ticos y</w:t>
      </w:r>
      <w:r w:rsidR="00C116E8" w:rsidRPr="00653813">
        <w:rPr>
          <w:rFonts w:asciiTheme="majorHAnsi" w:hAnsiTheme="majorHAnsi"/>
          <w:sz w:val="20"/>
          <w:szCs w:val="20"/>
          <w:lang w:val="es-ES_tradnl"/>
        </w:rPr>
        <w:t xml:space="preserve"> una restricción indirecta a la libertad </w:t>
      </w:r>
      <w:r w:rsidR="00A63DC1">
        <w:rPr>
          <w:rFonts w:asciiTheme="majorHAnsi" w:hAnsiTheme="majorHAnsi"/>
          <w:sz w:val="20"/>
          <w:szCs w:val="20"/>
          <w:lang w:val="es-ES_tradnl"/>
        </w:rPr>
        <w:t>d</w:t>
      </w:r>
      <w:r w:rsidR="00C116E8" w:rsidRPr="00653813">
        <w:rPr>
          <w:rFonts w:asciiTheme="majorHAnsi" w:hAnsiTheme="majorHAnsi"/>
          <w:sz w:val="20"/>
          <w:szCs w:val="20"/>
          <w:lang w:val="es-ES_tradnl"/>
        </w:rPr>
        <w:t>e expresió</w:t>
      </w:r>
      <w:r w:rsidR="00CD39A2" w:rsidRPr="00653813">
        <w:rPr>
          <w:rFonts w:asciiTheme="majorHAnsi" w:hAnsiTheme="majorHAnsi"/>
          <w:sz w:val="20"/>
          <w:szCs w:val="20"/>
          <w:lang w:val="es-ES_tradnl"/>
        </w:rPr>
        <w:t>n.</w:t>
      </w:r>
    </w:p>
    <w:p w14:paraId="53B0EB99" w14:textId="77777777" w:rsidR="00653813" w:rsidRDefault="00653813" w:rsidP="00653813">
      <w:pPr>
        <w:pStyle w:val="ListParagraph"/>
        <w:rPr>
          <w:rFonts w:asciiTheme="majorHAnsi" w:hAnsiTheme="majorHAnsi"/>
          <w:sz w:val="20"/>
          <w:szCs w:val="20"/>
          <w:lang w:val="es-ES_tradnl"/>
        </w:rPr>
      </w:pPr>
    </w:p>
    <w:p w14:paraId="32A58F5A" w14:textId="3938D0D9" w:rsidR="00AB7D09" w:rsidRPr="00653813" w:rsidRDefault="00C116E8"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653813">
        <w:rPr>
          <w:rFonts w:asciiTheme="majorHAnsi" w:hAnsiTheme="majorHAnsi"/>
          <w:sz w:val="20"/>
          <w:szCs w:val="20"/>
          <w:lang w:val="es-ES_tradnl"/>
        </w:rPr>
        <w:t xml:space="preserve">En consecuencia, la Comisión concluye que el Estado de Venezuela </w:t>
      </w:r>
      <w:r w:rsidR="00CD39A2" w:rsidRPr="00653813">
        <w:rPr>
          <w:rFonts w:asciiTheme="majorHAnsi" w:hAnsiTheme="majorHAnsi"/>
          <w:sz w:val="20"/>
          <w:szCs w:val="20"/>
          <w:lang w:val="es-ES_tradnl"/>
        </w:rPr>
        <w:t xml:space="preserve">violó los derechos establecidos en los artículos 23.1 y 13.3 de la Convención Americana, en relación con el artículo 1.1 del mismo instrumento, en perjuicio de Rocío San Miguel Sosa, </w:t>
      </w:r>
      <w:proofErr w:type="spellStart"/>
      <w:r w:rsidR="00CD39A2" w:rsidRPr="00653813">
        <w:rPr>
          <w:rFonts w:asciiTheme="majorHAnsi" w:hAnsiTheme="majorHAnsi"/>
          <w:sz w:val="20"/>
          <w:szCs w:val="20"/>
          <w:lang w:val="es-ES_tradnl"/>
        </w:rPr>
        <w:t>Magally</w:t>
      </w:r>
      <w:proofErr w:type="spellEnd"/>
      <w:r w:rsidR="00CD39A2" w:rsidRPr="00653813">
        <w:rPr>
          <w:rFonts w:asciiTheme="majorHAnsi" w:hAnsiTheme="majorHAnsi"/>
          <w:sz w:val="20"/>
          <w:szCs w:val="20"/>
          <w:lang w:val="es-ES_tradnl"/>
        </w:rPr>
        <w:t xml:space="preserve"> Chang Girón y Thais Coromoto Peña. </w:t>
      </w:r>
      <w:r w:rsidR="00BD41BB" w:rsidRPr="00653813">
        <w:rPr>
          <w:rFonts w:asciiTheme="majorHAnsi" w:hAnsiTheme="majorHAnsi"/>
          <w:sz w:val="20"/>
          <w:szCs w:val="20"/>
          <w:lang w:val="es-ES_tradnl"/>
        </w:rPr>
        <w:t xml:space="preserve">Asimismo, al constatar que estas violaciones tuvieron lugar en el marco de </w:t>
      </w:r>
      <w:r w:rsidR="00930F4D" w:rsidRPr="00653813">
        <w:rPr>
          <w:rFonts w:asciiTheme="majorHAnsi" w:hAnsiTheme="majorHAnsi"/>
          <w:sz w:val="20"/>
          <w:szCs w:val="20"/>
          <w:lang w:val="es-ES_tradnl"/>
        </w:rPr>
        <w:t>una falta de salvaguardas en el sistema interno para evitar posibles</w:t>
      </w:r>
      <w:r w:rsidR="00BD41BB" w:rsidRPr="00653813">
        <w:rPr>
          <w:rFonts w:asciiTheme="majorHAnsi" w:hAnsiTheme="majorHAnsi"/>
          <w:sz w:val="20"/>
          <w:szCs w:val="20"/>
          <w:lang w:val="es-ES_tradnl"/>
        </w:rPr>
        <w:t xml:space="preserve"> retaliaciones por la expresión de la opinión política en el marco del referendo revocatorio, la Comisión considera que el Estado violó también las obligaciones establecidas en el artículo 2 de la Convención Americana. </w:t>
      </w:r>
    </w:p>
    <w:p w14:paraId="343028AE" w14:textId="77777777" w:rsidR="00471484" w:rsidRPr="00420489" w:rsidRDefault="00471484" w:rsidP="00AB7D09">
      <w:pPr>
        <w:rPr>
          <w:rFonts w:asciiTheme="majorHAnsi" w:eastAsia="Times New Roman" w:hAnsiTheme="majorHAnsi"/>
          <w:b/>
          <w:sz w:val="20"/>
          <w:szCs w:val="20"/>
          <w:lang w:val="es-ES"/>
        </w:rPr>
      </w:pPr>
    </w:p>
    <w:p w14:paraId="7A6905A9" w14:textId="16A6B00B" w:rsidR="00B17715" w:rsidRPr="00922D48" w:rsidRDefault="00AB7D09" w:rsidP="000A17E2">
      <w:pPr>
        <w:pStyle w:val="ListParagraph"/>
        <w:numPr>
          <w:ilvl w:val="1"/>
          <w:numId w:val="55"/>
        </w:numPr>
        <w:pBdr>
          <w:left w:val="none" w:sz="0" w:space="0" w:color="auto"/>
          <w:bottom w:val="none" w:sz="0" w:space="0" w:color="auto"/>
          <w:right w:val="none" w:sz="0" w:space="0" w:color="auto"/>
          <w:between w:val="none" w:sz="0" w:space="0" w:color="auto"/>
          <w:bar w:val="none" w:sz="0" w:color="auto"/>
        </w:pBdr>
        <w:tabs>
          <w:tab w:val="clear" w:pos="1800"/>
          <w:tab w:val="num" w:pos="1440"/>
        </w:tabs>
        <w:ind w:left="1440" w:hanging="720"/>
        <w:jc w:val="both"/>
        <w:rPr>
          <w:rFonts w:asciiTheme="majorHAnsi" w:eastAsia="Times New Roman" w:hAnsiTheme="majorHAnsi"/>
          <w:b/>
          <w:sz w:val="20"/>
          <w:szCs w:val="20"/>
          <w:lang w:val="es-ES"/>
        </w:rPr>
      </w:pPr>
      <w:r w:rsidRPr="00420489">
        <w:rPr>
          <w:rFonts w:asciiTheme="majorHAnsi" w:eastAsia="Times New Roman" w:hAnsiTheme="majorHAnsi"/>
          <w:b/>
          <w:sz w:val="20"/>
          <w:szCs w:val="20"/>
          <w:lang w:val="es-ES"/>
        </w:rPr>
        <w:t>Análisis de si</w:t>
      </w:r>
      <w:r w:rsidR="003C2ABC">
        <w:rPr>
          <w:rFonts w:asciiTheme="majorHAnsi" w:eastAsia="Times New Roman" w:hAnsiTheme="majorHAnsi"/>
          <w:b/>
          <w:sz w:val="20"/>
          <w:szCs w:val="20"/>
          <w:lang w:val="es-ES"/>
        </w:rPr>
        <w:t xml:space="preserve"> el despido constituyó un acto de discriminación basado en la opinión política </w:t>
      </w:r>
    </w:p>
    <w:p w14:paraId="2A0B17B6" w14:textId="77777777" w:rsidR="00B20723" w:rsidRPr="00420489" w:rsidRDefault="00B20723" w:rsidP="00C15A24">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6C332AC1" w14:textId="5F1724CE" w:rsidR="00653813" w:rsidRDefault="001D6250"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653813">
        <w:rPr>
          <w:rFonts w:asciiTheme="majorHAnsi" w:hAnsiTheme="majorHAnsi"/>
          <w:sz w:val="20"/>
          <w:szCs w:val="20"/>
          <w:lang w:val="es-ES_tradnl"/>
        </w:rPr>
        <w:t xml:space="preserve">De particular relevancia para el análisis sobre la alegada discriminación, </w:t>
      </w:r>
      <w:r w:rsidR="001435E4" w:rsidRPr="00653813">
        <w:rPr>
          <w:rFonts w:asciiTheme="majorHAnsi" w:hAnsiTheme="majorHAnsi"/>
          <w:sz w:val="20"/>
          <w:szCs w:val="20"/>
          <w:lang w:val="es-ES_tradnl"/>
        </w:rPr>
        <w:t>la CIDH subraya que</w:t>
      </w:r>
      <w:r w:rsidR="006D132D" w:rsidRPr="00653813">
        <w:rPr>
          <w:rFonts w:asciiTheme="majorHAnsi" w:hAnsiTheme="majorHAnsi"/>
          <w:sz w:val="20"/>
          <w:szCs w:val="20"/>
          <w:lang w:val="es-ES_tradnl"/>
        </w:rPr>
        <w:t xml:space="preserve"> de conformidad con los indicios enlistados en la sección anterior resulta que</w:t>
      </w:r>
      <w:r w:rsidR="00043A9B" w:rsidRPr="00653813">
        <w:rPr>
          <w:rFonts w:asciiTheme="majorHAnsi" w:hAnsiTheme="majorHAnsi"/>
          <w:sz w:val="20"/>
          <w:szCs w:val="20"/>
          <w:lang w:val="es-ES_tradnl"/>
        </w:rPr>
        <w:t xml:space="preserve"> del total de 23 empleados en el Consejo Nacional de Fronteras para la fecha de los hechos solamente se notificó la terminación contractual a aquellas personas que </w:t>
      </w:r>
      <w:r w:rsidR="00043A9B" w:rsidRPr="00F5120C">
        <w:rPr>
          <w:rFonts w:asciiTheme="majorHAnsi" w:hAnsiTheme="majorHAnsi"/>
          <w:sz w:val="20"/>
          <w:szCs w:val="20"/>
          <w:lang w:val="es-ES_tradnl"/>
        </w:rPr>
        <w:t>firmaron</w:t>
      </w:r>
      <w:r w:rsidR="00043A9B" w:rsidRPr="00653813">
        <w:rPr>
          <w:rFonts w:asciiTheme="majorHAnsi" w:hAnsiTheme="majorHAnsi"/>
          <w:sz w:val="20"/>
          <w:szCs w:val="20"/>
          <w:lang w:val="es-ES_tradnl"/>
        </w:rPr>
        <w:t xml:space="preserve"> para solicitar </w:t>
      </w:r>
      <w:r w:rsidR="005059A1" w:rsidRPr="00653813">
        <w:rPr>
          <w:rFonts w:asciiTheme="majorHAnsi" w:hAnsiTheme="majorHAnsi"/>
          <w:sz w:val="20"/>
          <w:szCs w:val="20"/>
          <w:lang w:val="es-ES_tradnl"/>
        </w:rPr>
        <w:t xml:space="preserve">el </w:t>
      </w:r>
      <w:r w:rsidR="00043A9B" w:rsidRPr="00653813">
        <w:rPr>
          <w:rFonts w:asciiTheme="majorHAnsi" w:hAnsiTheme="majorHAnsi"/>
          <w:sz w:val="20"/>
          <w:szCs w:val="20"/>
          <w:lang w:val="es-ES_tradnl"/>
        </w:rPr>
        <w:t xml:space="preserve">referendo revocatorio presidencial, como es el caso de las tres presuntas víctimas.  </w:t>
      </w:r>
      <w:r w:rsidRPr="00653813">
        <w:rPr>
          <w:rFonts w:asciiTheme="majorHAnsi" w:hAnsiTheme="majorHAnsi"/>
          <w:sz w:val="20"/>
          <w:szCs w:val="20"/>
          <w:lang w:val="es-ES_tradnl"/>
        </w:rPr>
        <w:t>Conforme a su declaración, e</w:t>
      </w:r>
      <w:r w:rsidR="00043A9B" w:rsidRPr="00653813">
        <w:rPr>
          <w:rFonts w:asciiTheme="majorHAnsi" w:hAnsiTheme="majorHAnsi"/>
          <w:sz w:val="20"/>
          <w:szCs w:val="20"/>
          <w:lang w:val="es-ES_tradnl"/>
        </w:rPr>
        <w:t xml:space="preserve">n el caso de Thais Coromoto Peña, el Secretario Ejecutivo del Consejo Nacional de Fronteras le indicó que podía conservar su empleo si retiraba la firma solicitando el </w:t>
      </w:r>
      <w:r w:rsidR="00043A9B" w:rsidRPr="00653813">
        <w:rPr>
          <w:rFonts w:asciiTheme="majorHAnsi" w:hAnsiTheme="majorHAnsi"/>
          <w:sz w:val="20"/>
          <w:szCs w:val="20"/>
          <w:lang w:val="es-ES_tradnl"/>
        </w:rPr>
        <w:lastRenderedPageBreak/>
        <w:t>referendo revocatorio presidencial</w:t>
      </w:r>
      <w:r w:rsidR="006D132D" w:rsidRPr="00653813">
        <w:rPr>
          <w:rFonts w:asciiTheme="majorHAnsi" w:hAnsiTheme="majorHAnsi"/>
          <w:sz w:val="20"/>
          <w:szCs w:val="20"/>
          <w:lang w:val="es-ES_tradnl"/>
        </w:rPr>
        <w:t>.</w:t>
      </w:r>
      <w:r w:rsidR="000A7128" w:rsidRPr="00653813">
        <w:rPr>
          <w:rFonts w:asciiTheme="majorHAnsi" w:hAnsiTheme="majorHAnsi"/>
          <w:sz w:val="20"/>
          <w:szCs w:val="20"/>
          <w:lang w:val="es-ES_tradnl"/>
        </w:rPr>
        <w:t xml:space="preserve"> </w:t>
      </w:r>
      <w:r w:rsidR="00043A9B" w:rsidRPr="00653813">
        <w:rPr>
          <w:rFonts w:asciiTheme="majorHAnsi" w:hAnsiTheme="majorHAnsi"/>
          <w:sz w:val="20"/>
          <w:szCs w:val="20"/>
          <w:lang w:val="es-ES_tradnl"/>
        </w:rPr>
        <w:t>Asimismo,</w:t>
      </w:r>
      <w:r w:rsidRPr="00653813">
        <w:rPr>
          <w:rFonts w:asciiTheme="majorHAnsi" w:hAnsiTheme="majorHAnsi"/>
          <w:sz w:val="20"/>
          <w:szCs w:val="20"/>
          <w:lang w:val="es-ES_tradnl"/>
        </w:rPr>
        <w:t xml:space="preserve"> como se indicó, el Estado no ha logrado controvertir el hecho de que</w:t>
      </w:r>
      <w:r w:rsidR="00043A9B" w:rsidRPr="00653813">
        <w:rPr>
          <w:rFonts w:asciiTheme="majorHAnsi" w:hAnsiTheme="majorHAnsi"/>
          <w:sz w:val="20"/>
          <w:szCs w:val="20"/>
          <w:lang w:val="es-ES_tradnl"/>
        </w:rPr>
        <w:t xml:space="preserve"> el señor Jorge Guerra Navarro, pudo conservar su trabajo luego que </w:t>
      </w:r>
      <w:r w:rsidRPr="00653813">
        <w:rPr>
          <w:rFonts w:asciiTheme="majorHAnsi" w:hAnsiTheme="majorHAnsi"/>
          <w:sz w:val="20"/>
          <w:szCs w:val="20"/>
          <w:lang w:val="es-ES_tradnl"/>
        </w:rPr>
        <w:t>objetó su firma</w:t>
      </w:r>
      <w:r w:rsidR="0019315D" w:rsidRPr="00420489">
        <w:rPr>
          <w:rFonts w:asciiTheme="majorHAnsi" w:hAnsiTheme="majorHAnsi"/>
          <w:sz w:val="20"/>
          <w:szCs w:val="20"/>
          <w:lang w:val="es-ES_tradnl"/>
        </w:rPr>
        <w:t>.</w:t>
      </w:r>
      <w:r w:rsidR="00043A9B" w:rsidRPr="00420489">
        <w:rPr>
          <w:rFonts w:asciiTheme="majorHAnsi" w:hAnsiTheme="majorHAnsi"/>
          <w:sz w:val="20"/>
          <w:szCs w:val="20"/>
          <w:lang w:val="es-ES_tradnl"/>
        </w:rPr>
        <w:t xml:space="preserve"> Con esto</w:t>
      </w:r>
      <w:r>
        <w:rPr>
          <w:rFonts w:asciiTheme="majorHAnsi" w:hAnsiTheme="majorHAnsi"/>
          <w:sz w:val="20"/>
          <w:szCs w:val="20"/>
          <w:lang w:val="es-ES_tradnl"/>
        </w:rPr>
        <w:t>s</w:t>
      </w:r>
      <w:r w:rsidR="00043A9B" w:rsidRPr="00420489">
        <w:rPr>
          <w:rFonts w:asciiTheme="majorHAnsi" w:hAnsiTheme="majorHAnsi"/>
          <w:sz w:val="20"/>
          <w:szCs w:val="20"/>
          <w:lang w:val="es-ES_tradnl"/>
        </w:rPr>
        <w:t xml:space="preserve"> </w:t>
      </w:r>
      <w:r>
        <w:rPr>
          <w:rFonts w:asciiTheme="majorHAnsi" w:hAnsiTheme="majorHAnsi"/>
          <w:sz w:val="20"/>
          <w:szCs w:val="20"/>
          <w:lang w:val="es-ES_tradnl"/>
        </w:rPr>
        <w:t xml:space="preserve">elementos, </w:t>
      </w:r>
      <w:r w:rsidR="00043A9B" w:rsidRPr="00420489">
        <w:rPr>
          <w:rFonts w:asciiTheme="majorHAnsi" w:hAnsiTheme="majorHAnsi"/>
          <w:sz w:val="20"/>
          <w:szCs w:val="20"/>
          <w:lang w:val="es-ES_tradnl"/>
        </w:rPr>
        <w:t xml:space="preserve">la CIDH </w:t>
      </w:r>
      <w:r>
        <w:rPr>
          <w:rFonts w:asciiTheme="majorHAnsi" w:hAnsiTheme="majorHAnsi"/>
          <w:sz w:val="20"/>
          <w:szCs w:val="20"/>
          <w:lang w:val="es-ES_tradnl"/>
        </w:rPr>
        <w:t xml:space="preserve">considera que </w:t>
      </w:r>
      <w:r w:rsidR="00043A9B" w:rsidRPr="00420489">
        <w:rPr>
          <w:rFonts w:asciiTheme="majorHAnsi" w:hAnsiTheme="majorHAnsi"/>
          <w:sz w:val="20"/>
          <w:szCs w:val="20"/>
          <w:lang w:val="es-ES_tradnl"/>
        </w:rPr>
        <w:t>el Consejo N</w:t>
      </w:r>
      <w:r>
        <w:rPr>
          <w:rFonts w:asciiTheme="majorHAnsi" w:hAnsiTheme="majorHAnsi"/>
          <w:sz w:val="20"/>
          <w:szCs w:val="20"/>
          <w:lang w:val="es-ES_tradnl"/>
        </w:rPr>
        <w:t xml:space="preserve">acional de Fronteras otorgó un trato diferenciado </w:t>
      </w:r>
      <w:r w:rsidR="000A7128" w:rsidRPr="00420489">
        <w:rPr>
          <w:rFonts w:asciiTheme="majorHAnsi" w:hAnsiTheme="majorHAnsi"/>
          <w:sz w:val="20"/>
          <w:szCs w:val="20"/>
          <w:lang w:val="es-ES_tradnl"/>
        </w:rPr>
        <w:t>a aquellos empleados públicos que participaron en la solicitud de ref</w:t>
      </w:r>
      <w:r w:rsidR="00653813">
        <w:rPr>
          <w:rFonts w:asciiTheme="majorHAnsi" w:hAnsiTheme="majorHAnsi"/>
          <w:sz w:val="20"/>
          <w:szCs w:val="20"/>
          <w:lang w:val="es-ES_tradnl"/>
        </w:rPr>
        <w:t>erendo revocatorio presidencial</w:t>
      </w:r>
      <w:r w:rsidR="00A63DC1">
        <w:rPr>
          <w:rFonts w:asciiTheme="majorHAnsi" w:hAnsiTheme="majorHAnsi"/>
          <w:sz w:val="20"/>
          <w:szCs w:val="20"/>
          <w:lang w:val="es-ES_tradnl"/>
        </w:rPr>
        <w:t>.</w:t>
      </w:r>
    </w:p>
    <w:p w14:paraId="3F91BE77" w14:textId="77777777" w:rsidR="00653813" w:rsidRDefault="00653813" w:rsidP="00653813">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_tradnl"/>
        </w:rPr>
      </w:pPr>
    </w:p>
    <w:p w14:paraId="1539482E" w14:textId="77777777" w:rsidR="00653813" w:rsidRDefault="00207E60"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653813">
        <w:rPr>
          <w:rFonts w:asciiTheme="majorHAnsi" w:hAnsiTheme="majorHAnsi"/>
          <w:color w:val="000000"/>
          <w:sz w:val="20"/>
          <w:szCs w:val="20"/>
          <w:lang w:val="es-VE"/>
        </w:rPr>
        <w:t>Ahora bien, la Corte Interamericana ha señalado que “no toda distinción de trato puede considerarse ofensiva, por sí misma”, sino solo aquella distinción que “carece de justificación objetiva y razonable”</w:t>
      </w:r>
      <w:r w:rsidRPr="00420489">
        <w:rPr>
          <w:rFonts w:asciiTheme="majorHAnsi" w:hAnsiTheme="majorHAnsi"/>
          <w:color w:val="000000"/>
          <w:sz w:val="20"/>
          <w:szCs w:val="20"/>
          <w:vertAlign w:val="superscript"/>
          <w:lang w:val="es-VE"/>
        </w:rPr>
        <w:footnoteReference w:id="165"/>
      </w:r>
      <w:r w:rsidRPr="00653813">
        <w:rPr>
          <w:rFonts w:asciiTheme="majorHAnsi" w:hAnsiTheme="majorHAnsi"/>
          <w:color w:val="000000"/>
          <w:sz w:val="20"/>
          <w:szCs w:val="20"/>
          <w:lang w:val="es-VE"/>
        </w:rPr>
        <w:t>. La Corte ha marcado la diferencia entre “distinciones” y “discriminaciones”, de forma que las primeras constituyen diferencias compatibles con la Convención Americana por ser razonables y objetivas, mientras que las segundas constituyen diferencias arbitrarias que redundan en detrimento de los derechos humanos</w:t>
      </w:r>
      <w:r w:rsidRPr="00420489">
        <w:rPr>
          <w:rFonts w:asciiTheme="majorHAnsi" w:hAnsiTheme="majorHAnsi"/>
          <w:color w:val="000000"/>
          <w:sz w:val="20"/>
          <w:szCs w:val="20"/>
          <w:vertAlign w:val="superscript"/>
          <w:lang w:val="es-VE"/>
        </w:rPr>
        <w:footnoteReference w:id="166"/>
      </w:r>
      <w:r w:rsidRPr="00653813">
        <w:rPr>
          <w:rFonts w:asciiTheme="majorHAnsi" w:hAnsiTheme="majorHAnsi"/>
          <w:color w:val="000000"/>
          <w:sz w:val="20"/>
          <w:szCs w:val="20"/>
          <w:lang w:val="es-VE"/>
        </w:rPr>
        <w:t xml:space="preserve">. </w:t>
      </w:r>
    </w:p>
    <w:p w14:paraId="0573A828" w14:textId="77777777" w:rsidR="00653813" w:rsidRDefault="00653813" w:rsidP="00653813">
      <w:pPr>
        <w:pStyle w:val="ListParagraph"/>
        <w:rPr>
          <w:rFonts w:asciiTheme="majorHAnsi" w:hAnsiTheme="majorHAnsi"/>
          <w:sz w:val="20"/>
          <w:szCs w:val="20"/>
          <w:lang w:val="es-ES"/>
        </w:rPr>
      </w:pPr>
    </w:p>
    <w:p w14:paraId="53CE0F7E" w14:textId="04DD2515" w:rsidR="00653813" w:rsidRDefault="00557E63"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653813">
        <w:rPr>
          <w:rFonts w:asciiTheme="majorHAnsi" w:hAnsiTheme="majorHAnsi"/>
          <w:sz w:val="20"/>
          <w:szCs w:val="20"/>
          <w:lang w:val="es-ES"/>
        </w:rPr>
        <w:t>E</w:t>
      </w:r>
      <w:r w:rsidR="000A17E2" w:rsidRPr="00653813">
        <w:rPr>
          <w:rFonts w:asciiTheme="majorHAnsi" w:hAnsiTheme="majorHAnsi"/>
          <w:sz w:val="20"/>
          <w:szCs w:val="20"/>
          <w:lang w:val="es-ES"/>
        </w:rPr>
        <w:t>l artículo 1.1 de la Convención estipula específicamente que los derechos consagrados en el tratado deben ser respetados y garantizados “sin discriminación alguna por motivos de […] opiniones políticas”.</w:t>
      </w:r>
      <w:r w:rsidRPr="00653813">
        <w:rPr>
          <w:rFonts w:asciiTheme="majorHAnsi" w:hAnsiTheme="majorHAnsi"/>
          <w:sz w:val="20"/>
          <w:szCs w:val="20"/>
          <w:lang w:val="es-ES"/>
        </w:rPr>
        <w:t xml:space="preserve"> </w:t>
      </w:r>
      <w:r w:rsidR="00584DD1" w:rsidRPr="00653813">
        <w:rPr>
          <w:rFonts w:asciiTheme="majorHAnsi" w:hAnsiTheme="majorHAnsi"/>
          <w:color w:val="000000"/>
          <w:sz w:val="20"/>
          <w:szCs w:val="20"/>
          <w:lang w:val="es-VE"/>
        </w:rPr>
        <w:t xml:space="preserve">En cuanto </w:t>
      </w:r>
      <w:r w:rsidR="00207E60" w:rsidRPr="00653813">
        <w:rPr>
          <w:rFonts w:asciiTheme="majorHAnsi" w:hAnsiTheme="majorHAnsi"/>
          <w:color w:val="000000"/>
          <w:sz w:val="20"/>
          <w:szCs w:val="20"/>
          <w:lang w:val="es-VE"/>
        </w:rPr>
        <w:t xml:space="preserve">al motivo del trato diferenciado recibido por las tres víctimas, la Comisión ya declaró </w:t>
      </w:r>
      <w:r w:rsidRPr="00653813">
        <w:rPr>
          <w:rFonts w:asciiTheme="majorHAnsi" w:hAnsiTheme="majorHAnsi"/>
          <w:color w:val="000000"/>
          <w:sz w:val="20"/>
          <w:szCs w:val="20"/>
          <w:lang w:val="es-VE"/>
        </w:rPr>
        <w:t xml:space="preserve">en la sección anterior </w:t>
      </w:r>
      <w:r w:rsidR="00207E60" w:rsidRPr="00653813">
        <w:rPr>
          <w:rFonts w:asciiTheme="majorHAnsi" w:hAnsiTheme="majorHAnsi"/>
          <w:color w:val="000000"/>
          <w:sz w:val="20"/>
          <w:szCs w:val="20"/>
          <w:lang w:val="es-VE"/>
        </w:rPr>
        <w:t>que el despido estuvo basado en</w:t>
      </w:r>
      <w:r w:rsidR="004E308B" w:rsidRPr="00653813">
        <w:rPr>
          <w:rFonts w:asciiTheme="majorHAnsi" w:hAnsiTheme="majorHAnsi"/>
          <w:color w:val="000000"/>
          <w:sz w:val="20"/>
          <w:szCs w:val="20"/>
          <w:lang w:val="es-VE"/>
        </w:rPr>
        <w:t xml:space="preserve"> la expresión de su opinión política, por lo que no resulta necesario profundizar al respecto en este punto. </w:t>
      </w:r>
    </w:p>
    <w:p w14:paraId="49C8B487" w14:textId="77777777" w:rsidR="00653813" w:rsidRDefault="00653813" w:rsidP="00653813">
      <w:pPr>
        <w:pStyle w:val="ListParagraph"/>
        <w:rPr>
          <w:rFonts w:asciiTheme="majorHAnsi" w:hAnsiTheme="majorHAnsi"/>
          <w:sz w:val="20"/>
          <w:szCs w:val="20"/>
          <w:lang w:val="es-ES"/>
        </w:rPr>
      </w:pPr>
    </w:p>
    <w:p w14:paraId="4B014FC1" w14:textId="77777777" w:rsidR="00653813" w:rsidRDefault="00557E63"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653813">
        <w:rPr>
          <w:rFonts w:asciiTheme="majorHAnsi" w:hAnsiTheme="majorHAnsi"/>
          <w:sz w:val="20"/>
          <w:szCs w:val="20"/>
          <w:lang w:val="es-ES"/>
        </w:rPr>
        <w:t>Ahora bien, la Comisión recuerda que l</w:t>
      </w:r>
      <w:r w:rsidR="000B7473" w:rsidRPr="00653813">
        <w:rPr>
          <w:rFonts w:asciiTheme="majorHAnsi" w:hAnsiTheme="majorHAnsi"/>
          <w:sz w:val="20"/>
          <w:szCs w:val="20"/>
          <w:lang w:val="es-CO" w:eastAsia="es-ES"/>
        </w:rPr>
        <w:t>os criterios específicos en virtud de los cu</w:t>
      </w:r>
      <w:r w:rsidRPr="00653813">
        <w:rPr>
          <w:rFonts w:asciiTheme="majorHAnsi" w:hAnsiTheme="majorHAnsi"/>
          <w:sz w:val="20"/>
          <w:szCs w:val="20"/>
          <w:lang w:val="es-CO" w:eastAsia="es-ES"/>
        </w:rPr>
        <w:t>ales está prohibido discriminar según el artículo 1.1, si bien no</w:t>
      </w:r>
      <w:r w:rsidR="000B7473" w:rsidRPr="00653813">
        <w:rPr>
          <w:rFonts w:asciiTheme="majorHAnsi" w:hAnsiTheme="majorHAnsi"/>
          <w:sz w:val="20"/>
          <w:szCs w:val="20"/>
          <w:lang w:val="es-CO" w:eastAsia="es-ES"/>
        </w:rPr>
        <w:t xml:space="preserve"> son un listado taxativo</w:t>
      </w:r>
      <w:r w:rsidR="000B7473" w:rsidRPr="00420489">
        <w:rPr>
          <w:rStyle w:val="FootnoteReference"/>
          <w:rFonts w:asciiTheme="majorHAnsi" w:hAnsiTheme="majorHAnsi"/>
          <w:sz w:val="20"/>
          <w:szCs w:val="20"/>
          <w:lang w:val="es-CO" w:eastAsia="es-ES"/>
        </w:rPr>
        <w:footnoteReference w:id="167"/>
      </w:r>
      <w:r w:rsidRPr="00653813">
        <w:rPr>
          <w:rFonts w:asciiTheme="majorHAnsi" w:hAnsiTheme="majorHAnsi"/>
          <w:sz w:val="20"/>
          <w:szCs w:val="20"/>
          <w:lang w:val="es-CO" w:eastAsia="es-ES"/>
        </w:rPr>
        <w:t xml:space="preserve"> </w:t>
      </w:r>
      <w:r w:rsidR="000B7473" w:rsidRPr="00653813">
        <w:rPr>
          <w:rFonts w:asciiTheme="majorHAnsi" w:hAnsiTheme="majorHAnsi"/>
          <w:sz w:val="20"/>
          <w:szCs w:val="20"/>
          <w:lang w:val="es-CO" w:eastAsia="es-ES"/>
        </w:rPr>
        <w:t xml:space="preserve">constituyen una lista ilustrativa de </w:t>
      </w:r>
      <w:r w:rsidR="000B7473" w:rsidRPr="00653813">
        <w:rPr>
          <w:rFonts w:asciiTheme="majorHAnsi" w:hAnsiTheme="majorHAnsi"/>
          <w:sz w:val="20"/>
          <w:szCs w:val="20"/>
          <w:lang w:val="es-ES"/>
        </w:rPr>
        <w:t>categorías</w:t>
      </w:r>
      <w:r w:rsidR="000B7473" w:rsidRPr="00653813">
        <w:rPr>
          <w:rFonts w:asciiTheme="majorHAnsi" w:hAnsiTheme="majorHAnsi"/>
          <w:sz w:val="20"/>
          <w:szCs w:val="20"/>
          <w:lang w:val="es-CO" w:eastAsia="es-ES"/>
        </w:rPr>
        <w:t xml:space="preserve"> respecto de las cuales las diferenciaciones de trato</w:t>
      </w:r>
      <w:r w:rsidR="006C128E" w:rsidRPr="00653813">
        <w:rPr>
          <w:rFonts w:asciiTheme="majorHAnsi" w:hAnsiTheme="majorHAnsi"/>
          <w:sz w:val="20"/>
          <w:szCs w:val="20"/>
          <w:lang w:val="es-CO" w:eastAsia="es-ES"/>
        </w:rPr>
        <w:t xml:space="preserve"> resultan particularmente problemáticas</w:t>
      </w:r>
      <w:r w:rsidR="000B7473" w:rsidRPr="00420489">
        <w:rPr>
          <w:rStyle w:val="FootnoteReference"/>
          <w:rFonts w:asciiTheme="majorHAnsi" w:hAnsiTheme="majorHAnsi"/>
          <w:sz w:val="20"/>
          <w:szCs w:val="20"/>
          <w:lang w:val="es-CO" w:eastAsia="es-ES"/>
        </w:rPr>
        <w:footnoteReference w:id="168"/>
      </w:r>
      <w:r w:rsidR="000B7473" w:rsidRPr="00653813">
        <w:rPr>
          <w:rFonts w:asciiTheme="majorHAnsi" w:hAnsiTheme="majorHAnsi"/>
          <w:sz w:val="20"/>
          <w:szCs w:val="20"/>
          <w:lang w:val="es-CO" w:eastAsia="es-ES"/>
        </w:rPr>
        <w:t xml:space="preserve">. </w:t>
      </w:r>
      <w:r w:rsidRPr="00653813">
        <w:rPr>
          <w:rFonts w:asciiTheme="majorHAnsi" w:hAnsiTheme="majorHAnsi"/>
          <w:sz w:val="20"/>
          <w:szCs w:val="20"/>
          <w:lang w:val="es-CO" w:eastAsia="es-ES"/>
        </w:rPr>
        <w:t xml:space="preserve">En el caso </w:t>
      </w:r>
      <w:proofErr w:type="spellStart"/>
      <w:r w:rsidRPr="00653813">
        <w:rPr>
          <w:rFonts w:asciiTheme="majorHAnsi" w:hAnsiTheme="majorHAnsi"/>
          <w:i/>
          <w:sz w:val="20"/>
          <w:szCs w:val="20"/>
          <w:lang w:val="es-CO" w:eastAsia="es-ES"/>
        </w:rPr>
        <w:t>Granier</w:t>
      </w:r>
      <w:proofErr w:type="spellEnd"/>
      <w:r w:rsidRPr="00653813">
        <w:rPr>
          <w:rFonts w:asciiTheme="majorHAnsi" w:hAnsiTheme="majorHAnsi"/>
          <w:i/>
          <w:sz w:val="20"/>
          <w:szCs w:val="20"/>
          <w:lang w:val="es-CO" w:eastAsia="es-ES"/>
        </w:rPr>
        <w:t xml:space="preserve"> y otros (Radio Caracas Televisión) vs. Venezuela</w:t>
      </w:r>
      <w:r w:rsidRPr="00653813">
        <w:rPr>
          <w:rFonts w:asciiTheme="majorHAnsi" w:hAnsiTheme="majorHAnsi"/>
          <w:sz w:val="20"/>
          <w:szCs w:val="20"/>
          <w:lang w:val="es-CO" w:eastAsia="es-ES"/>
        </w:rPr>
        <w:t xml:space="preserve">, la Corte consideró que la “opinión política” es una de esas categorías que activan </w:t>
      </w:r>
      <w:r w:rsidR="006C128E" w:rsidRPr="00653813">
        <w:rPr>
          <w:rFonts w:asciiTheme="majorHAnsi" w:hAnsiTheme="majorHAnsi"/>
          <w:sz w:val="20"/>
          <w:szCs w:val="20"/>
          <w:lang w:val="es-CO" w:eastAsia="es-ES"/>
        </w:rPr>
        <w:t xml:space="preserve">un escrutinio estricto </w:t>
      </w:r>
      <w:r w:rsidRPr="00653813">
        <w:rPr>
          <w:rFonts w:asciiTheme="majorHAnsi" w:hAnsiTheme="majorHAnsi"/>
          <w:sz w:val="20"/>
          <w:szCs w:val="20"/>
          <w:lang w:val="es-CO" w:eastAsia="es-ES"/>
        </w:rPr>
        <w:t>frente a cualquier diferencia de trato basada en ella</w:t>
      </w:r>
      <w:r w:rsidR="008271E7" w:rsidRPr="006E54B0">
        <w:rPr>
          <w:rStyle w:val="FootnoteReference"/>
          <w:rFonts w:asciiTheme="majorHAnsi" w:hAnsiTheme="majorHAnsi"/>
          <w:sz w:val="20"/>
          <w:szCs w:val="20"/>
          <w:lang w:val="es-CO" w:eastAsia="es-ES"/>
        </w:rPr>
        <w:footnoteReference w:id="169"/>
      </w:r>
      <w:r w:rsidRPr="00653813">
        <w:rPr>
          <w:rFonts w:asciiTheme="majorHAnsi" w:hAnsiTheme="majorHAnsi"/>
          <w:sz w:val="20"/>
          <w:szCs w:val="20"/>
          <w:lang w:val="es-CO" w:eastAsia="es-ES"/>
        </w:rPr>
        <w:t xml:space="preserve">.  </w:t>
      </w:r>
    </w:p>
    <w:p w14:paraId="79325798" w14:textId="77777777" w:rsidR="00653813" w:rsidRDefault="00653813" w:rsidP="00653813">
      <w:pPr>
        <w:pStyle w:val="ListParagraph"/>
        <w:rPr>
          <w:rFonts w:asciiTheme="majorHAnsi" w:hAnsiTheme="majorHAnsi"/>
          <w:sz w:val="20"/>
          <w:szCs w:val="20"/>
          <w:lang w:val="es-ES"/>
        </w:rPr>
      </w:pPr>
    </w:p>
    <w:p w14:paraId="24393E97" w14:textId="77777777" w:rsidR="00653813" w:rsidRDefault="000B7473"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653813">
        <w:rPr>
          <w:rFonts w:asciiTheme="majorHAnsi" w:hAnsiTheme="majorHAnsi"/>
          <w:sz w:val="20"/>
          <w:szCs w:val="20"/>
          <w:lang w:val="es-ES"/>
        </w:rPr>
        <w:t xml:space="preserve">En términos prácticos, esto se traduce en que, tras haber </w:t>
      </w:r>
      <w:r w:rsidR="00557E63" w:rsidRPr="00653813">
        <w:rPr>
          <w:rFonts w:asciiTheme="majorHAnsi" w:hAnsiTheme="majorHAnsi"/>
          <w:sz w:val="20"/>
          <w:szCs w:val="20"/>
          <w:lang w:val="es-ES"/>
        </w:rPr>
        <w:t>acreditado una diferencia de trato basada en la opinión política, la misma se presume incompatible con la Convención Americana, invirtiéndose la carga de la prueba para el Estado, el cual debe aportar razones de mucho peso para sustentar una distinción de esta naturaleza a la luz del juicio de proporcionalidad y de sus sub-principios de fin legítimo – que en el caso de un juicio estricto debe tratarse de una necesidad social imperiosa – idoneidad, necesidad y proporcionalidad en sentido estricto</w:t>
      </w:r>
      <w:r w:rsidRPr="00420489">
        <w:rPr>
          <w:rStyle w:val="FootnoteReference"/>
          <w:rFonts w:asciiTheme="majorHAnsi" w:hAnsiTheme="majorHAnsi"/>
          <w:sz w:val="20"/>
          <w:szCs w:val="20"/>
          <w:lang w:val="es-ES"/>
        </w:rPr>
        <w:footnoteReference w:id="170"/>
      </w:r>
      <w:r w:rsidRPr="00653813">
        <w:rPr>
          <w:rFonts w:asciiTheme="majorHAnsi" w:hAnsiTheme="majorHAnsi"/>
          <w:sz w:val="20"/>
          <w:szCs w:val="20"/>
          <w:lang w:val="es-ES"/>
        </w:rPr>
        <w:t>.</w:t>
      </w:r>
    </w:p>
    <w:p w14:paraId="2C6C318D" w14:textId="77777777" w:rsidR="00653813" w:rsidRDefault="00653813" w:rsidP="00653813">
      <w:pPr>
        <w:pStyle w:val="ListParagraph"/>
        <w:rPr>
          <w:rFonts w:asciiTheme="majorHAnsi" w:hAnsiTheme="majorHAnsi"/>
          <w:sz w:val="20"/>
          <w:szCs w:val="20"/>
          <w:lang w:val="es-ES"/>
        </w:rPr>
      </w:pPr>
    </w:p>
    <w:p w14:paraId="4BD2EC6E" w14:textId="77777777" w:rsidR="00653813" w:rsidRDefault="003C7470"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653813">
        <w:rPr>
          <w:rFonts w:asciiTheme="majorHAnsi" w:hAnsiTheme="majorHAnsi"/>
          <w:sz w:val="20"/>
          <w:szCs w:val="20"/>
          <w:lang w:val="es-ES"/>
        </w:rPr>
        <w:t>En el presente caso la Comisión destaca que el Est</w:t>
      </w:r>
      <w:r w:rsidR="004D64FB" w:rsidRPr="00653813">
        <w:rPr>
          <w:rFonts w:asciiTheme="majorHAnsi" w:hAnsiTheme="majorHAnsi"/>
          <w:sz w:val="20"/>
          <w:szCs w:val="20"/>
          <w:lang w:val="es-ES"/>
        </w:rPr>
        <w:t xml:space="preserve">ado ha negado que el despido hubiera tenido lugar como consecuencia de las opiniones políticas de las víctimas expresadas a través de la firma a favor de la convocatoria del referendo revocatorio. </w:t>
      </w:r>
      <w:r w:rsidR="0067328F" w:rsidRPr="00653813">
        <w:rPr>
          <w:rFonts w:asciiTheme="majorHAnsi" w:hAnsiTheme="majorHAnsi"/>
          <w:sz w:val="20"/>
          <w:szCs w:val="20"/>
          <w:lang w:val="es-ES"/>
        </w:rPr>
        <w:t>En consecuencia, el Estado no ha intentado justificar la diferencia de trato basada en opiniones políticas, pues su argumentación se ha sustentado en objetar que esa fue la verdadera razó</w:t>
      </w:r>
      <w:r w:rsidR="0047017B" w:rsidRPr="00653813">
        <w:rPr>
          <w:rFonts w:asciiTheme="majorHAnsi" w:hAnsiTheme="majorHAnsi"/>
          <w:sz w:val="20"/>
          <w:szCs w:val="20"/>
          <w:lang w:val="es-ES"/>
        </w:rPr>
        <w:t>n del despido, lo que ya ha sido desvirtuado por la Comisión a lo largo del presente informe.</w:t>
      </w:r>
    </w:p>
    <w:p w14:paraId="23E9DB6A" w14:textId="77777777" w:rsidR="00653813" w:rsidRDefault="00653813" w:rsidP="00653813">
      <w:pPr>
        <w:pStyle w:val="ListParagraph"/>
        <w:rPr>
          <w:rFonts w:asciiTheme="majorHAnsi" w:hAnsiTheme="majorHAnsi"/>
          <w:sz w:val="20"/>
          <w:szCs w:val="20"/>
          <w:lang w:val="es-ES"/>
        </w:rPr>
      </w:pPr>
    </w:p>
    <w:p w14:paraId="746C1962" w14:textId="1942AF2F" w:rsidR="00DF7740" w:rsidRPr="00653813" w:rsidRDefault="0067328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653813">
        <w:rPr>
          <w:rFonts w:asciiTheme="majorHAnsi" w:hAnsiTheme="majorHAnsi"/>
          <w:sz w:val="20"/>
          <w:szCs w:val="20"/>
          <w:lang w:val="es-ES"/>
        </w:rPr>
        <w:lastRenderedPageBreak/>
        <w:t xml:space="preserve">En tales circunstancias y atendiendo a la presunción de </w:t>
      </w:r>
      <w:proofErr w:type="spellStart"/>
      <w:r w:rsidRPr="00653813">
        <w:rPr>
          <w:rFonts w:asciiTheme="majorHAnsi" w:hAnsiTheme="majorHAnsi"/>
          <w:sz w:val="20"/>
          <w:szCs w:val="20"/>
          <w:lang w:val="es-ES"/>
        </w:rPr>
        <w:t>inconvencio</w:t>
      </w:r>
      <w:r w:rsidR="0047017B" w:rsidRPr="00653813">
        <w:rPr>
          <w:rFonts w:asciiTheme="majorHAnsi" w:hAnsiTheme="majorHAnsi"/>
          <w:sz w:val="20"/>
          <w:szCs w:val="20"/>
          <w:lang w:val="es-ES"/>
        </w:rPr>
        <w:t>nalidad</w:t>
      </w:r>
      <w:proofErr w:type="spellEnd"/>
      <w:r w:rsidR="0047017B" w:rsidRPr="00653813">
        <w:rPr>
          <w:rFonts w:asciiTheme="majorHAnsi" w:hAnsiTheme="majorHAnsi"/>
          <w:sz w:val="20"/>
          <w:szCs w:val="20"/>
          <w:lang w:val="es-ES"/>
        </w:rPr>
        <w:t xml:space="preserve"> de toda diferencia de trato basada en opiniones polí</w:t>
      </w:r>
      <w:r w:rsidR="009E4E45" w:rsidRPr="00653813">
        <w:rPr>
          <w:rFonts w:asciiTheme="majorHAnsi" w:hAnsiTheme="majorHAnsi"/>
          <w:sz w:val="20"/>
          <w:szCs w:val="20"/>
          <w:lang w:val="es-ES"/>
        </w:rPr>
        <w:t>tic</w:t>
      </w:r>
      <w:r w:rsidR="00F5120C" w:rsidRPr="00653813">
        <w:rPr>
          <w:rFonts w:asciiTheme="majorHAnsi" w:hAnsiTheme="majorHAnsi"/>
          <w:sz w:val="20"/>
          <w:szCs w:val="20"/>
          <w:lang w:val="es-ES"/>
        </w:rPr>
        <w:t>as y la consecuente</w:t>
      </w:r>
      <w:r w:rsidR="0007379B" w:rsidRPr="00653813">
        <w:rPr>
          <w:rFonts w:asciiTheme="majorHAnsi" w:hAnsiTheme="majorHAnsi"/>
          <w:sz w:val="20"/>
          <w:szCs w:val="20"/>
          <w:lang w:val="es-ES"/>
        </w:rPr>
        <w:t xml:space="preserve"> carga de la prueba</w:t>
      </w:r>
      <w:r w:rsidR="00F5120C" w:rsidRPr="00653813">
        <w:rPr>
          <w:rFonts w:asciiTheme="majorHAnsi" w:hAnsiTheme="majorHAnsi"/>
          <w:sz w:val="20"/>
          <w:szCs w:val="20"/>
          <w:lang w:val="es-ES"/>
        </w:rPr>
        <w:t xml:space="preserve"> incumplida por el Estado en el presente caso, la </w:t>
      </w:r>
      <w:r w:rsidR="00A63DC1">
        <w:rPr>
          <w:rFonts w:asciiTheme="majorHAnsi" w:hAnsiTheme="majorHAnsi"/>
          <w:sz w:val="20"/>
          <w:szCs w:val="20"/>
          <w:lang w:val="es-ES"/>
        </w:rPr>
        <w:t>Comisión c</w:t>
      </w:r>
      <w:r w:rsidR="00F5120C" w:rsidRPr="00653813">
        <w:rPr>
          <w:rFonts w:asciiTheme="majorHAnsi" w:hAnsiTheme="majorHAnsi"/>
          <w:sz w:val="20"/>
          <w:szCs w:val="20"/>
          <w:lang w:val="es-ES"/>
        </w:rPr>
        <w:t xml:space="preserve">oncluye que el Estado violó el principio de igualdad  y no discriminación establecido en los artículos 24 y 1.1  de la Convención Americana en perjuicio de Rocío San Miguel Sosa, </w:t>
      </w:r>
      <w:proofErr w:type="spellStart"/>
      <w:r w:rsidR="00F5120C" w:rsidRPr="00653813">
        <w:rPr>
          <w:rFonts w:asciiTheme="majorHAnsi" w:hAnsiTheme="majorHAnsi"/>
          <w:sz w:val="20"/>
          <w:szCs w:val="20"/>
          <w:lang w:val="es-ES"/>
        </w:rPr>
        <w:t>Magally</w:t>
      </w:r>
      <w:proofErr w:type="spellEnd"/>
      <w:r w:rsidR="00F5120C" w:rsidRPr="00653813">
        <w:rPr>
          <w:rFonts w:asciiTheme="majorHAnsi" w:hAnsiTheme="majorHAnsi"/>
          <w:sz w:val="20"/>
          <w:szCs w:val="20"/>
          <w:lang w:val="es-ES"/>
        </w:rPr>
        <w:t xml:space="preserve"> Chang Girón y Thais Coromoto Peña. </w:t>
      </w:r>
    </w:p>
    <w:p w14:paraId="7216C507" w14:textId="77777777" w:rsidR="00532A86" w:rsidRPr="00420489" w:rsidRDefault="00532A86" w:rsidP="002C1C64">
      <w:pPr>
        <w:pStyle w:val="PlainText"/>
        <w:rPr>
          <w:rFonts w:asciiTheme="majorHAnsi" w:hAnsiTheme="majorHAnsi"/>
          <w:sz w:val="20"/>
          <w:szCs w:val="20"/>
          <w:lang w:val="es-VE"/>
        </w:rPr>
      </w:pPr>
    </w:p>
    <w:p w14:paraId="6E918444" w14:textId="77777777" w:rsidR="0096395A" w:rsidRPr="00420489" w:rsidRDefault="001D714A" w:rsidP="00532A86">
      <w:pPr>
        <w:pStyle w:val="Heading2"/>
        <w:numPr>
          <w:ilvl w:val="0"/>
          <w:numId w:val="62"/>
        </w:numPr>
      </w:pPr>
      <w:bookmarkStart w:id="36" w:name="_Toc433308906"/>
      <w:r w:rsidRPr="00420489">
        <w:t>Los derechos a las garantías judiciales y</w:t>
      </w:r>
      <w:r w:rsidR="00107DE1" w:rsidRPr="00420489">
        <w:t xml:space="preserve"> a la</w:t>
      </w:r>
      <w:r w:rsidRPr="00420489">
        <w:t xml:space="preserve"> protección judicial (Artículos 8</w:t>
      </w:r>
      <w:r w:rsidR="00107DE1" w:rsidRPr="00420489">
        <w:t>.1</w:t>
      </w:r>
      <w:r w:rsidRPr="00420489">
        <w:t>, 25</w:t>
      </w:r>
      <w:r w:rsidR="00107DE1" w:rsidRPr="00420489">
        <w:t>.1 de la Convención Americana), en relación con la obligación de respetar los derechos (artículo 1.1 de la Convención Americana)</w:t>
      </w:r>
      <w:bookmarkEnd w:id="36"/>
      <w:r w:rsidR="00107DE1" w:rsidRPr="00420489">
        <w:t xml:space="preserve"> </w:t>
      </w:r>
    </w:p>
    <w:p w14:paraId="64CFBE10" w14:textId="77777777" w:rsidR="00E802E4" w:rsidRPr="00420489" w:rsidRDefault="00E802E4" w:rsidP="00C573E1">
      <w:pPr>
        <w:tabs>
          <w:tab w:val="center" w:pos="5400"/>
        </w:tabs>
        <w:suppressAutoHyphens/>
        <w:rPr>
          <w:rFonts w:asciiTheme="majorHAnsi" w:hAnsiTheme="majorHAnsi"/>
          <w:sz w:val="20"/>
          <w:szCs w:val="20"/>
          <w:lang w:val="es-ES"/>
        </w:rPr>
      </w:pPr>
    </w:p>
    <w:p w14:paraId="08580865" w14:textId="77777777" w:rsidR="00D6022F" w:rsidRP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653813">
        <w:rPr>
          <w:rFonts w:asciiTheme="majorHAnsi" w:hAnsiTheme="majorHAnsi"/>
          <w:sz w:val="20"/>
          <w:szCs w:val="20"/>
          <w:lang w:val="es-ES"/>
        </w:rPr>
        <w:t xml:space="preserve">Los </w:t>
      </w:r>
      <w:r w:rsidRPr="00D6022F">
        <w:rPr>
          <w:rFonts w:asciiTheme="majorHAnsi" w:hAnsiTheme="majorHAnsi"/>
          <w:sz w:val="20"/>
          <w:szCs w:val="20"/>
          <w:lang w:val="es-ES"/>
        </w:rPr>
        <w:t>artículos</w:t>
      </w:r>
      <w:r w:rsidRPr="00653813">
        <w:rPr>
          <w:rFonts w:asciiTheme="majorHAnsi" w:hAnsiTheme="majorHAnsi"/>
          <w:sz w:val="20"/>
          <w:szCs w:val="20"/>
          <w:lang w:val="es-ES"/>
        </w:rPr>
        <w:t xml:space="preserve"> de la Convención Americana referidos en el titular de la presente sección establecen lo siguiente:</w:t>
      </w:r>
    </w:p>
    <w:p w14:paraId="3446B95F" w14:textId="77777777" w:rsidR="00D6022F" w:rsidRPr="00D73FE2" w:rsidRDefault="00D6022F" w:rsidP="00D6022F">
      <w:pPr>
        <w:ind w:left="720"/>
        <w:jc w:val="both"/>
        <w:rPr>
          <w:rFonts w:asciiTheme="majorHAnsi" w:hAnsiTheme="majorHAnsi"/>
          <w:sz w:val="20"/>
          <w:szCs w:val="20"/>
          <w:lang w:val="es-VE"/>
        </w:rPr>
      </w:pPr>
    </w:p>
    <w:p w14:paraId="18425193" w14:textId="77777777" w:rsidR="00D6022F" w:rsidRPr="00D73FE2" w:rsidRDefault="00D6022F" w:rsidP="00D6022F">
      <w:pPr>
        <w:ind w:firstLine="708"/>
        <w:jc w:val="both"/>
        <w:rPr>
          <w:rFonts w:asciiTheme="majorHAnsi" w:hAnsiTheme="majorHAnsi"/>
          <w:sz w:val="20"/>
          <w:szCs w:val="20"/>
        </w:rPr>
      </w:pPr>
      <w:proofErr w:type="spellStart"/>
      <w:proofErr w:type="gramStart"/>
      <w:r w:rsidRPr="00D73FE2">
        <w:rPr>
          <w:rFonts w:asciiTheme="majorHAnsi" w:hAnsiTheme="majorHAnsi"/>
          <w:sz w:val="20"/>
          <w:szCs w:val="20"/>
        </w:rPr>
        <w:t>Artículo</w:t>
      </w:r>
      <w:proofErr w:type="spellEnd"/>
      <w:r w:rsidRPr="00D73FE2">
        <w:rPr>
          <w:rFonts w:asciiTheme="majorHAnsi" w:hAnsiTheme="majorHAnsi"/>
          <w:sz w:val="20"/>
          <w:szCs w:val="20"/>
        </w:rPr>
        <w:t xml:space="preserve"> 8.</w:t>
      </w:r>
      <w:proofErr w:type="gramEnd"/>
      <w:r w:rsidRPr="00D73FE2">
        <w:rPr>
          <w:rFonts w:asciiTheme="majorHAnsi" w:hAnsiTheme="majorHAnsi"/>
          <w:sz w:val="20"/>
          <w:szCs w:val="20"/>
        </w:rPr>
        <w:t xml:space="preserve"> </w:t>
      </w:r>
      <w:proofErr w:type="spellStart"/>
      <w:r w:rsidRPr="00D73FE2">
        <w:rPr>
          <w:rFonts w:asciiTheme="majorHAnsi" w:hAnsiTheme="majorHAnsi"/>
          <w:sz w:val="20"/>
          <w:szCs w:val="20"/>
        </w:rPr>
        <w:t>Garantías</w:t>
      </w:r>
      <w:proofErr w:type="spellEnd"/>
      <w:r w:rsidRPr="00D73FE2">
        <w:rPr>
          <w:rFonts w:asciiTheme="majorHAnsi" w:hAnsiTheme="majorHAnsi"/>
          <w:sz w:val="20"/>
          <w:szCs w:val="20"/>
        </w:rPr>
        <w:t xml:space="preserve"> </w:t>
      </w:r>
      <w:proofErr w:type="spellStart"/>
      <w:r w:rsidRPr="00D73FE2">
        <w:rPr>
          <w:rFonts w:asciiTheme="majorHAnsi" w:hAnsiTheme="majorHAnsi"/>
          <w:sz w:val="20"/>
          <w:szCs w:val="20"/>
        </w:rPr>
        <w:t>Judiciales</w:t>
      </w:r>
      <w:proofErr w:type="spellEnd"/>
      <w:r w:rsidRPr="00D73FE2">
        <w:rPr>
          <w:rFonts w:asciiTheme="majorHAnsi" w:hAnsiTheme="majorHAnsi"/>
          <w:sz w:val="20"/>
          <w:szCs w:val="20"/>
        </w:rPr>
        <w:t xml:space="preserve">  </w:t>
      </w:r>
    </w:p>
    <w:p w14:paraId="434022A2" w14:textId="77777777" w:rsidR="00D6022F" w:rsidRPr="00D73FE2" w:rsidRDefault="00D6022F" w:rsidP="00D6022F">
      <w:pPr>
        <w:ind w:firstLine="708"/>
        <w:jc w:val="both"/>
        <w:rPr>
          <w:rFonts w:asciiTheme="majorHAnsi" w:hAnsiTheme="majorHAnsi"/>
          <w:sz w:val="20"/>
          <w:szCs w:val="20"/>
        </w:rPr>
      </w:pPr>
    </w:p>
    <w:p w14:paraId="0E7D7D77" w14:textId="77777777" w:rsidR="00D6022F" w:rsidRPr="00D73FE2" w:rsidRDefault="00D6022F" w:rsidP="00D6022F">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lang w:val="es-ES" w:eastAsia="es-ES"/>
        </w:rPr>
      </w:pPr>
      <w:r w:rsidRPr="00D73FE2">
        <w:rPr>
          <w:rFonts w:asciiTheme="majorHAnsi" w:eastAsia="Times New Roman" w:hAnsiTheme="majorHAnsi"/>
          <w:sz w:val="20"/>
          <w:szCs w:val="20"/>
          <w:lang w:val="es-ES" w:eastAsia="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7F43052F" w14:textId="77777777" w:rsidR="00D6022F" w:rsidRPr="00D73FE2" w:rsidRDefault="00D6022F" w:rsidP="00D6022F">
      <w:pPr>
        <w:ind w:left="1080" w:right="720"/>
        <w:jc w:val="both"/>
        <w:rPr>
          <w:rFonts w:asciiTheme="majorHAnsi" w:eastAsia="Times New Roman" w:hAnsiTheme="majorHAnsi"/>
          <w:sz w:val="20"/>
          <w:szCs w:val="20"/>
          <w:lang w:val="es-ES" w:eastAsia="es-ES"/>
        </w:rPr>
      </w:pPr>
    </w:p>
    <w:p w14:paraId="492ADCCD" w14:textId="77777777" w:rsidR="00D6022F" w:rsidRPr="00D73FE2" w:rsidRDefault="00D6022F" w:rsidP="00D6022F">
      <w:pPr>
        <w:ind w:firstLine="708"/>
        <w:jc w:val="both"/>
        <w:rPr>
          <w:rFonts w:asciiTheme="majorHAnsi" w:hAnsiTheme="majorHAnsi"/>
          <w:sz w:val="20"/>
          <w:szCs w:val="20"/>
        </w:rPr>
      </w:pPr>
      <w:proofErr w:type="spellStart"/>
      <w:proofErr w:type="gramStart"/>
      <w:r w:rsidRPr="00D73FE2">
        <w:rPr>
          <w:rFonts w:asciiTheme="majorHAnsi" w:hAnsiTheme="majorHAnsi"/>
          <w:sz w:val="20"/>
          <w:szCs w:val="20"/>
        </w:rPr>
        <w:t>Artículo</w:t>
      </w:r>
      <w:proofErr w:type="spellEnd"/>
      <w:r w:rsidRPr="00D73FE2">
        <w:rPr>
          <w:rFonts w:asciiTheme="majorHAnsi" w:hAnsiTheme="majorHAnsi"/>
          <w:sz w:val="20"/>
          <w:szCs w:val="20"/>
        </w:rPr>
        <w:t xml:space="preserve"> </w:t>
      </w:r>
      <w:r w:rsidRPr="00D73FE2">
        <w:rPr>
          <w:rFonts w:asciiTheme="majorHAnsi" w:hAnsiTheme="majorHAnsi"/>
          <w:spacing w:val="-2"/>
          <w:sz w:val="20"/>
          <w:szCs w:val="20"/>
        </w:rPr>
        <w:t>25</w:t>
      </w:r>
      <w:r w:rsidRPr="00D73FE2">
        <w:rPr>
          <w:rFonts w:asciiTheme="majorHAnsi" w:hAnsiTheme="majorHAnsi"/>
          <w:sz w:val="20"/>
          <w:szCs w:val="20"/>
        </w:rPr>
        <w:t>.</w:t>
      </w:r>
      <w:proofErr w:type="gramEnd"/>
      <w:r w:rsidRPr="00D73FE2">
        <w:rPr>
          <w:rFonts w:asciiTheme="majorHAnsi" w:hAnsiTheme="majorHAnsi"/>
          <w:sz w:val="20"/>
          <w:szCs w:val="20"/>
        </w:rPr>
        <w:t xml:space="preserve"> </w:t>
      </w:r>
      <w:proofErr w:type="spellStart"/>
      <w:r w:rsidRPr="00D73FE2">
        <w:rPr>
          <w:rFonts w:asciiTheme="majorHAnsi" w:hAnsiTheme="majorHAnsi"/>
          <w:sz w:val="20"/>
          <w:szCs w:val="20"/>
        </w:rPr>
        <w:t>Protección</w:t>
      </w:r>
      <w:proofErr w:type="spellEnd"/>
      <w:r w:rsidRPr="00D73FE2">
        <w:rPr>
          <w:rFonts w:asciiTheme="majorHAnsi" w:hAnsiTheme="majorHAnsi"/>
          <w:sz w:val="20"/>
          <w:szCs w:val="20"/>
        </w:rPr>
        <w:t xml:space="preserve"> Judicial </w:t>
      </w:r>
    </w:p>
    <w:p w14:paraId="0C658090" w14:textId="77777777" w:rsidR="00D6022F" w:rsidRPr="00D73FE2" w:rsidRDefault="00D6022F" w:rsidP="00D6022F">
      <w:pPr>
        <w:ind w:firstLine="708"/>
        <w:jc w:val="both"/>
        <w:rPr>
          <w:rFonts w:asciiTheme="majorHAnsi" w:hAnsiTheme="majorHAnsi"/>
          <w:sz w:val="20"/>
          <w:szCs w:val="20"/>
        </w:rPr>
      </w:pPr>
    </w:p>
    <w:p w14:paraId="2D01D0DB" w14:textId="77777777" w:rsidR="00D6022F" w:rsidRPr="00D73FE2" w:rsidRDefault="00D6022F" w:rsidP="00D6022F">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lang w:val="es-ES" w:eastAsia="es-ES"/>
        </w:rPr>
      </w:pPr>
      <w:r w:rsidRPr="00D73FE2">
        <w:rPr>
          <w:rFonts w:asciiTheme="majorHAnsi" w:eastAsia="Times New Roman" w:hAnsiTheme="majorHAnsi"/>
          <w:sz w:val="20"/>
          <w:szCs w:val="20"/>
          <w:lang w:val="es-ES" w:eastAsia="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39B63268" w14:textId="77777777" w:rsidR="00D6022F" w:rsidRPr="00D73FE2" w:rsidRDefault="00D6022F" w:rsidP="00D6022F">
      <w:pPr>
        <w:ind w:right="720"/>
        <w:jc w:val="both"/>
        <w:rPr>
          <w:rFonts w:asciiTheme="majorHAnsi" w:eastAsia="Times New Roman" w:hAnsiTheme="majorHAnsi"/>
          <w:sz w:val="20"/>
          <w:szCs w:val="20"/>
          <w:lang w:val="es-ES" w:eastAsia="es-ES"/>
        </w:rPr>
      </w:pPr>
    </w:p>
    <w:p w14:paraId="1DB89940" w14:textId="022967C1" w:rsidR="00D6022F" w:rsidRPr="00D73FE2" w:rsidRDefault="00D6022F" w:rsidP="00D6022F">
      <w:pPr>
        <w:ind w:left="720" w:right="720"/>
        <w:jc w:val="both"/>
        <w:rPr>
          <w:rFonts w:asciiTheme="majorHAnsi" w:eastAsia="Times New Roman" w:hAnsiTheme="majorHAnsi"/>
          <w:sz w:val="20"/>
          <w:szCs w:val="20"/>
          <w:lang w:val="es-ES" w:eastAsia="es-ES"/>
        </w:rPr>
      </w:pPr>
      <w:r w:rsidRPr="00D73FE2">
        <w:rPr>
          <w:rFonts w:asciiTheme="majorHAnsi" w:eastAsia="Times New Roman" w:hAnsiTheme="majorHAnsi"/>
          <w:sz w:val="20"/>
          <w:szCs w:val="20"/>
          <w:lang w:val="es-ES" w:eastAsia="es-ES"/>
        </w:rPr>
        <w:t>El artículo 1.1 de la Convención establece</w:t>
      </w:r>
      <w:r w:rsidR="00D9424B">
        <w:rPr>
          <w:rFonts w:asciiTheme="majorHAnsi" w:eastAsia="Times New Roman" w:hAnsiTheme="majorHAnsi"/>
          <w:sz w:val="20"/>
          <w:szCs w:val="20"/>
          <w:lang w:val="es-ES" w:eastAsia="es-ES"/>
        </w:rPr>
        <w:t>:</w:t>
      </w:r>
    </w:p>
    <w:p w14:paraId="4DDBDB14" w14:textId="77777777" w:rsidR="00D6022F" w:rsidRPr="00D73FE2" w:rsidRDefault="00D6022F" w:rsidP="00D6022F">
      <w:pPr>
        <w:ind w:left="720" w:right="720"/>
        <w:jc w:val="both"/>
        <w:rPr>
          <w:rFonts w:asciiTheme="majorHAnsi" w:eastAsia="Times New Roman" w:hAnsiTheme="majorHAnsi"/>
          <w:sz w:val="20"/>
          <w:szCs w:val="20"/>
          <w:lang w:val="es-ES" w:eastAsia="es-ES"/>
        </w:rPr>
      </w:pPr>
    </w:p>
    <w:p w14:paraId="06707C44" w14:textId="77777777" w:rsidR="00D6022F" w:rsidRPr="00D73FE2" w:rsidRDefault="00D6022F" w:rsidP="00D6022F">
      <w:pPr>
        <w:ind w:left="720" w:right="720"/>
        <w:jc w:val="both"/>
        <w:rPr>
          <w:rFonts w:asciiTheme="majorHAnsi" w:eastAsia="Times New Roman" w:hAnsiTheme="majorHAnsi"/>
          <w:sz w:val="20"/>
          <w:szCs w:val="20"/>
          <w:lang w:val="es-ES" w:eastAsia="es-ES"/>
        </w:rPr>
      </w:pPr>
      <w:r w:rsidRPr="00D73FE2">
        <w:rPr>
          <w:rFonts w:asciiTheme="majorHAnsi" w:eastAsia="Times New Roman" w:hAnsiTheme="majorHAnsi"/>
          <w:sz w:val="20"/>
          <w:szCs w:val="20"/>
          <w:lang w:val="es-ES" w:eastAsia="es-ES"/>
        </w:rPr>
        <w:t xml:space="preserve">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14:paraId="245BE2B2" w14:textId="77777777" w:rsidR="00D6022F" w:rsidRPr="00D73FE2" w:rsidRDefault="00D6022F" w:rsidP="00D6022F">
      <w:pPr>
        <w:jc w:val="both"/>
        <w:rPr>
          <w:rFonts w:asciiTheme="majorHAnsi" w:eastAsia="Times New Roman" w:hAnsiTheme="majorHAnsi"/>
          <w:sz w:val="20"/>
          <w:szCs w:val="20"/>
          <w:lang w:val="es-ES"/>
        </w:rPr>
      </w:pPr>
    </w:p>
    <w:p w14:paraId="74147DA9" w14:textId="77777777" w:rsidR="00D6022F" w:rsidRP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653813">
        <w:rPr>
          <w:rFonts w:asciiTheme="majorHAnsi" w:hAnsiTheme="majorHAnsi"/>
          <w:sz w:val="20"/>
          <w:szCs w:val="20"/>
          <w:lang w:val="es-ES"/>
        </w:rPr>
        <w:t xml:space="preserve">La Comisión analizará los hechos a la luz de estas normas a partir de la siguiente estructura: 1. El debido proceso en el </w:t>
      </w:r>
      <w:r w:rsidRPr="00D6022F">
        <w:rPr>
          <w:rFonts w:asciiTheme="majorHAnsi" w:hAnsiTheme="majorHAnsi"/>
          <w:sz w:val="20"/>
          <w:szCs w:val="20"/>
          <w:lang w:val="es-ES"/>
        </w:rPr>
        <w:t>marco</w:t>
      </w:r>
      <w:r w:rsidRPr="00653813">
        <w:rPr>
          <w:rFonts w:asciiTheme="majorHAnsi" w:hAnsiTheme="majorHAnsi"/>
          <w:sz w:val="20"/>
          <w:szCs w:val="20"/>
          <w:lang w:val="es-ES"/>
        </w:rPr>
        <w:t xml:space="preserve"> del despido; 2. Análisis de efectividad y debida diligencia del recurso de amparo y de la denuncia penal; y 3. Análisis de plazo razonable del recurso de amparo.</w:t>
      </w:r>
    </w:p>
    <w:p w14:paraId="5125A2AC" w14:textId="77777777" w:rsidR="00D6022F" w:rsidRPr="00D73FE2" w:rsidRDefault="00D6022F" w:rsidP="00653813">
      <w:pPr>
        <w:jc w:val="both"/>
        <w:rPr>
          <w:rFonts w:asciiTheme="majorHAnsi" w:eastAsia="Times New Roman" w:hAnsiTheme="majorHAnsi"/>
          <w:sz w:val="20"/>
          <w:szCs w:val="20"/>
          <w:lang w:val="es-ES"/>
        </w:rPr>
      </w:pPr>
    </w:p>
    <w:p w14:paraId="2BDE7814" w14:textId="6B04E596" w:rsidR="00D6022F" w:rsidRPr="00D73FE2" w:rsidRDefault="00D6022F" w:rsidP="00653813">
      <w:pPr>
        <w:ind w:firstLine="720"/>
        <w:jc w:val="both"/>
        <w:rPr>
          <w:rFonts w:asciiTheme="majorHAnsi" w:eastAsia="Times New Roman" w:hAnsiTheme="majorHAnsi"/>
          <w:b/>
          <w:sz w:val="20"/>
          <w:szCs w:val="20"/>
          <w:lang w:val="es-ES"/>
        </w:rPr>
      </w:pPr>
      <w:r w:rsidRPr="00D73FE2">
        <w:rPr>
          <w:rFonts w:asciiTheme="majorHAnsi" w:eastAsia="Times New Roman" w:hAnsiTheme="majorHAnsi"/>
          <w:b/>
          <w:sz w:val="20"/>
          <w:szCs w:val="20"/>
          <w:lang w:val="es-ES"/>
        </w:rPr>
        <w:t xml:space="preserve">1. </w:t>
      </w:r>
      <w:r w:rsidR="00333429">
        <w:rPr>
          <w:rFonts w:asciiTheme="majorHAnsi" w:eastAsia="Times New Roman" w:hAnsiTheme="majorHAnsi"/>
          <w:b/>
          <w:sz w:val="20"/>
          <w:szCs w:val="20"/>
          <w:lang w:val="es-ES"/>
        </w:rPr>
        <w:t xml:space="preserve">           </w:t>
      </w:r>
      <w:r w:rsidRPr="00D73FE2">
        <w:rPr>
          <w:rFonts w:asciiTheme="majorHAnsi" w:eastAsia="Times New Roman" w:hAnsiTheme="majorHAnsi"/>
          <w:b/>
          <w:sz w:val="20"/>
          <w:szCs w:val="20"/>
          <w:lang w:val="es-ES"/>
        </w:rPr>
        <w:t>El debido proceso en el marco del despido</w:t>
      </w:r>
    </w:p>
    <w:p w14:paraId="10B157B5" w14:textId="77777777" w:rsidR="00D6022F" w:rsidRPr="00D73FE2" w:rsidRDefault="00D6022F" w:rsidP="00653813">
      <w:pPr>
        <w:jc w:val="both"/>
        <w:rPr>
          <w:rFonts w:asciiTheme="majorHAnsi" w:eastAsia="Times New Roman" w:hAnsiTheme="majorHAnsi"/>
          <w:b/>
          <w:sz w:val="20"/>
          <w:szCs w:val="20"/>
          <w:lang w:val="es-ES"/>
        </w:rPr>
      </w:pPr>
    </w:p>
    <w:p w14:paraId="53828339"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653813">
        <w:rPr>
          <w:rFonts w:asciiTheme="majorHAnsi" w:hAnsiTheme="majorHAnsi"/>
          <w:sz w:val="20"/>
          <w:szCs w:val="20"/>
          <w:lang w:val="es-ES"/>
        </w:rPr>
        <w:t xml:space="preserve">En la sección anterior la Comisión estableció que existió una desviación de poder en la terminación contractual de las víctimas con el Consejo Nacional de Fronteras. Ello implica que dicha terminación constituyó, en realidad, una </w:t>
      </w:r>
      <w:r w:rsidRPr="00D6022F">
        <w:rPr>
          <w:rFonts w:asciiTheme="majorHAnsi" w:hAnsiTheme="majorHAnsi"/>
          <w:sz w:val="20"/>
          <w:szCs w:val="20"/>
          <w:lang w:val="es-ES"/>
        </w:rPr>
        <w:t>sanción</w:t>
      </w:r>
      <w:r w:rsidRPr="00653813">
        <w:rPr>
          <w:rFonts w:asciiTheme="majorHAnsi" w:hAnsiTheme="majorHAnsi"/>
          <w:sz w:val="20"/>
          <w:szCs w:val="20"/>
          <w:lang w:val="es-ES"/>
        </w:rPr>
        <w:t xml:space="preserve"> administrativa. La Comisión Interamericana ha señalado que la desviación de poder constituye una violación del derecho a las garantías judiciales y puede implicar la violación de otros derechos amparados por la Convención</w:t>
      </w:r>
      <w:r w:rsidRPr="00653813">
        <w:rPr>
          <w:rFonts w:asciiTheme="majorHAnsi" w:hAnsiTheme="majorHAnsi"/>
          <w:sz w:val="20"/>
          <w:szCs w:val="20"/>
          <w:vertAlign w:val="superscript"/>
          <w:lang w:val="es-ES"/>
        </w:rPr>
        <w:footnoteReference w:id="171"/>
      </w:r>
      <w:r w:rsidRPr="00653813">
        <w:rPr>
          <w:rFonts w:asciiTheme="majorHAnsi" w:hAnsiTheme="majorHAnsi"/>
          <w:sz w:val="20"/>
          <w:szCs w:val="20"/>
          <w:lang w:val="es-ES"/>
        </w:rPr>
        <w:t xml:space="preserve">. </w:t>
      </w:r>
    </w:p>
    <w:p w14:paraId="4784A051" w14:textId="77777777" w:rsidR="00653813" w:rsidRDefault="00653813" w:rsidP="00653813">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5DDD4D12"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653813">
        <w:rPr>
          <w:rFonts w:asciiTheme="majorHAnsi" w:hAnsiTheme="majorHAnsi"/>
          <w:sz w:val="20"/>
          <w:szCs w:val="20"/>
          <w:lang w:val="es-MX"/>
        </w:rPr>
        <w:t>Al respecto, tanto la Corte Interamericana como la CIDH han indicado que si bien el artículo 8 de la Convención Americana se titula “Garantías Judiciales” su aplicación no se limita a los recursos judiciales en sentido estricto, “sino al conjunto de requisitos que deben observarse en las instancias procesales” a efectos de que las personas estén en condiciones de defender adecuadamente sus derechos ante cualquier tipo de acto del Estado que pueda afectarlos. Es decir, cualquier actuación u omisión de los órganos estatales dentro de un proceso, sea administrativo o sancionatorio o jurisdiccional, debe respetar el debido proceso legal</w:t>
      </w:r>
      <w:r w:rsidRPr="00D73FE2">
        <w:rPr>
          <w:rFonts w:asciiTheme="majorHAnsi" w:hAnsiTheme="majorHAnsi"/>
          <w:sz w:val="20"/>
          <w:szCs w:val="20"/>
          <w:vertAlign w:val="superscript"/>
        </w:rPr>
        <w:footnoteReference w:id="172"/>
      </w:r>
      <w:r w:rsidRPr="00653813">
        <w:rPr>
          <w:rFonts w:asciiTheme="majorHAnsi" w:hAnsiTheme="majorHAnsi"/>
          <w:sz w:val="20"/>
          <w:szCs w:val="20"/>
          <w:lang w:val="es-MX"/>
        </w:rPr>
        <w:t xml:space="preserve">. </w:t>
      </w:r>
    </w:p>
    <w:p w14:paraId="47DB7820" w14:textId="77777777" w:rsidR="00653813" w:rsidRDefault="00653813" w:rsidP="00653813">
      <w:pPr>
        <w:pStyle w:val="ListParagraph"/>
        <w:rPr>
          <w:rFonts w:asciiTheme="majorHAnsi" w:hAnsiTheme="majorHAnsi"/>
          <w:sz w:val="20"/>
          <w:szCs w:val="20"/>
          <w:lang w:val="es-MX"/>
        </w:rPr>
      </w:pPr>
    </w:p>
    <w:p w14:paraId="7748D57E"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653813">
        <w:rPr>
          <w:rFonts w:asciiTheme="majorHAnsi" w:hAnsiTheme="majorHAnsi"/>
          <w:sz w:val="20"/>
          <w:szCs w:val="20"/>
          <w:lang w:val="es-MX"/>
        </w:rPr>
        <w:t xml:space="preserve">En el presente caso, al tratarse de una sanción implícita, mediante una decisión inmotivada, las víctimas del caso estuvieron impedidas de criticar el motivo real de la misma o de someterla a un nuevo examen ante un tribunal superior para analizar la gravedad de la conducta imputada y la proporcionalidad de la sanción. La Comisión destaca que la motivación tiene un impacto significativo en el análisis de la imparcialidad de la autoridad a cargo del conocimiento y aplicación de la sanción, precisamente en virtud de que su ausencia favorece que actos formalmente no sancionatorios se traduzcan en verdaderas sanciones como forma de represalia en contra de las personas a las cuales se dirigen. </w:t>
      </w:r>
    </w:p>
    <w:p w14:paraId="096F44A4" w14:textId="77777777" w:rsidR="00653813" w:rsidRDefault="00653813" w:rsidP="00653813">
      <w:pPr>
        <w:pStyle w:val="ListParagraph"/>
        <w:rPr>
          <w:rFonts w:asciiTheme="majorHAnsi" w:hAnsiTheme="majorHAnsi"/>
          <w:sz w:val="20"/>
          <w:szCs w:val="20"/>
          <w:lang w:val="es-MX"/>
        </w:rPr>
      </w:pPr>
    </w:p>
    <w:p w14:paraId="43998F85" w14:textId="35B16FCB" w:rsidR="00D6022F" w:rsidRP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653813">
        <w:rPr>
          <w:rFonts w:asciiTheme="majorHAnsi" w:hAnsiTheme="majorHAnsi"/>
          <w:sz w:val="20"/>
          <w:szCs w:val="20"/>
          <w:lang w:val="es-MX"/>
        </w:rPr>
        <w:t xml:space="preserve">Por estas razones, la Comisión considera que el Estado </w:t>
      </w:r>
      <w:r w:rsidR="00A63DC1">
        <w:rPr>
          <w:rFonts w:asciiTheme="majorHAnsi" w:hAnsiTheme="majorHAnsi"/>
          <w:sz w:val="20"/>
          <w:szCs w:val="20"/>
          <w:lang w:val="es-MX"/>
        </w:rPr>
        <w:t xml:space="preserve">es responsable por </w:t>
      </w:r>
      <w:r w:rsidRPr="00653813">
        <w:rPr>
          <w:rFonts w:asciiTheme="majorHAnsi" w:hAnsiTheme="majorHAnsi"/>
          <w:sz w:val="20"/>
          <w:szCs w:val="20"/>
          <w:lang w:val="es-MX"/>
        </w:rPr>
        <w:t>la desviación de poder que tuvo lugar con el objetivo de imponer una sanción implícita bajo la excusa de la aplicación de una facultad discrecional comportó, además de una violación de los derechos sustantivos mencionados, una violación general a las garant</w:t>
      </w:r>
      <w:r w:rsidRPr="00653813">
        <w:rPr>
          <w:sz w:val="20"/>
          <w:szCs w:val="20"/>
          <w:lang w:val="es-MX"/>
        </w:rPr>
        <w:t xml:space="preserve">ías del debido proceso consagradas en el artículo 8 de la Convención Americana en relación con el artículo 1.1 del mismo instrumento, en perjuicio de Rocío San Miguel Sosa, </w:t>
      </w:r>
      <w:proofErr w:type="spellStart"/>
      <w:r w:rsidRPr="00653813">
        <w:rPr>
          <w:sz w:val="20"/>
          <w:szCs w:val="20"/>
          <w:lang w:val="es-MX"/>
        </w:rPr>
        <w:t>Magally</w:t>
      </w:r>
      <w:proofErr w:type="spellEnd"/>
      <w:r w:rsidRPr="00653813">
        <w:rPr>
          <w:sz w:val="20"/>
          <w:szCs w:val="20"/>
          <w:lang w:val="es-MX"/>
        </w:rPr>
        <w:t xml:space="preserve"> Chang Girón y Thais Coromoto</w:t>
      </w:r>
      <w:r w:rsidR="00333429">
        <w:rPr>
          <w:sz w:val="20"/>
          <w:szCs w:val="20"/>
          <w:lang w:val="es-MX"/>
        </w:rPr>
        <w:t xml:space="preserve"> Peña</w:t>
      </w:r>
      <w:r w:rsidRPr="00653813">
        <w:rPr>
          <w:sz w:val="20"/>
          <w:szCs w:val="20"/>
          <w:lang w:val="es-MX"/>
        </w:rPr>
        <w:t xml:space="preserve">. </w:t>
      </w:r>
    </w:p>
    <w:p w14:paraId="7523CCB0" w14:textId="77777777" w:rsidR="00D6022F" w:rsidRPr="00D73FE2" w:rsidRDefault="00D6022F" w:rsidP="00D6022F">
      <w:pPr>
        <w:jc w:val="both"/>
        <w:rPr>
          <w:rFonts w:asciiTheme="majorHAnsi" w:eastAsia="Times New Roman" w:hAnsiTheme="majorHAnsi"/>
          <w:b/>
          <w:sz w:val="20"/>
          <w:szCs w:val="20"/>
          <w:lang w:val="es-ES"/>
        </w:rPr>
      </w:pPr>
    </w:p>
    <w:p w14:paraId="797060F0" w14:textId="31933AB1" w:rsidR="00D6022F" w:rsidRPr="00D73FE2" w:rsidRDefault="00D6022F" w:rsidP="00D6022F">
      <w:pPr>
        <w:ind w:firstLine="720"/>
        <w:jc w:val="both"/>
        <w:rPr>
          <w:rFonts w:asciiTheme="majorHAnsi" w:eastAsia="Times New Roman" w:hAnsiTheme="majorHAnsi"/>
          <w:b/>
          <w:sz w:val="20"/>
          <w:szCs w:val="20"/>
          <w:lang w:val="es-ES"/>
        </w:rPr>
      </w:pPr>
      <w:r w:rsidRPr="00D73FE2">
        <w:rPr>
          <w:rFonts w:asciiTheme="majorHAnsi" w:eastAsia="Times New Roman" w:hAnsiTheme="majorHAnsi"/>
          <w:b/>
          <w:sz w:val="20"/>
          <w:szCs w:val="20"/>
          <w:lang w:val="es-ES"/>
        </w:rPr>
        <w:t xml:space="preserve">2. </w:t>
      </w:r>
      <w:r w:rsidR="00333429">
        <w:rPr>
          <w:rFonts w:asciiTheme="majorHAnsi" w:eastAsia="Times New Roman" w:hAnsiTheme="majorHAnsi"/>
          <w:b/>
          <w:sz w:val="20"/>
          <w:szCs w:val="20"/>
          <w:lang w:val="es-ES"/>
        </w:rPr>
        <w:t xml:space="preserve">          </w:t>
      </w:r>
      <w:r w:rsidRPr="00D73FE2">
        <w:rPr>
          <w:rFonts w:asciiTheme="majorHAnsi" w:eastAsia="Times New Roman" w:hAnsiTheme="majorHAnsi"/>
          <w:b/>
          <w:sz w:val="20"/>
          <w:szCs w:val="20"/>
          <w:lang w:val="es-ES"/>
        </w:rPr>
        <w:t>Análisis de efectividad y debida diligencia del recurso de amparo y de la denuncia penal</w:t>
      </w:r>
    </w:p>
    <w:p w14:paraId="6743D1B1" w14:textId="77777777" w:rsidR="00D6022F" w:rsidRPr="00D73FE2" w:rsidRDefault="00D6022F" w:rsidP="00D6022F">
      <w:pPr>
        <w:jc w:val="both"/>
        <w:rPr>
          <w:rFonts w:asciiTheme="majorHAnsi" w:eastAsia="Times New Roman" w:hAnsiTheme="majorHAnsi"/>
          <w:b/>
          <w:sz w:val="20"/>
          <w:szCs w:val="20"/>
          <w:lang w:val="es-ES"/>
        </w:rPr>
      </w:pPr>
    </w:p>
    <w:p w14:paraId="4AEA398D"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Theme="majorHAnsi" w:hAnsiTheme="majorHAnsi"/>
          <w:sz w:val="20"/>
          <w:szCs w:val="20"/>
          <w:lang w:val="es-MX"/>
        </w:rPr>
        <w:t xml:space="preserve">La Corte ha indicado que  la salvaguarda de la persona frente al ejercicio arbitrario del poder público es el objetivo primordial </w:t>
      </w:r>
      <w:r w:rsidRPr="00D6022F">
        <w:rPr>
          <w:rFonts w:asciiTheme="majorHAnsi" w:hAnsiTheme="majorHAnsi"/>
          <w:sz w:val="20"/>
          <w:szCs w:val="20"/>
          <w:lang w:val="es-MX"/>
        </w:rPr>
        <w:t>de</w:t>
      </w:r>
      <w:r w:rsidRPr="00653813">
        <w:rPr>
          <w:rFonts w:asciiTheme="majorHAnsi" w:hAnsiTheme="majorHAnsi"/>
          <w:sz w:val="20"/>
          <w:szCs w:val="20"/>
          <w:lang w:val="es-MX"/>
        </w:rPr>
        <w:t xml:space="preserve"> la protección internacional de los derechos humanos.  La inexistencia de recursos internos efectivos coloca a las personas en estado de indefensión</w:t>
      </w:r>
      <w:r w:rsidRPr="005334E2">
        <w:rPr>
          <w:rFonts w:asciiTheme="majorHAnsi" w:hAnsiTheme="majorHAnsi"/>
          <w:sz w:val="20"/>
          <w:szCs w:val="20"/>
          <w:vertAlign w:val="superscript"/>
          <w:lang w:val="es-MX"/>
        </w:rPr>
        <w:footnoteReference w:id="173"/>
      </w:r>
      <w:r w:rsidRPr="00653813">
        <w:rPr>
          <w:rFonts w:asciiTheme="majorHAnsi" w:hAnsiTheme="majorHAnsi"/>
          <w:sz w:val="20"/>
          <w:szCs w:val="20"/>
          <w:lang w:val="es-MX"/>
        </w:rPr>
        <w:t>.</w:t>
      </w:r>
    </w:p>
    <w:p w14:paraId="44692138" w14:textId="77777777" w:rsidR="00653813" w:rsidRDefault="00653813" w:rsidP="00653813">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MX"/>
        </w:rPr>
      </w:pPr>
    </w:p>
    <w:p w14:paraId="06E059FA"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Theme="majorHAnsi" w:hAnsiTheme="majorHAnsi"/>
          <w:sz w:val="20"/>
          <w:szCs w:val="20"/>
          <w:lang w:val="es-ES"/>
        </w:rPr>
        <w:t>La Comisión recuerda que el Estado está en la obligación general de proveer recursos judiciales efectivos a las personas que aleguen ser víctimas de violaciones de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D73FE2">
        <w:rPr>
          <w:rFonts w:asciiTheme="majorHAnsi" w:hAnsiTheme="majorHAnsi"/>
          <w:sz w:val="20"/>
          <w:szCs w:val="20"/>
          <w:vertAlign w:val="superscript"/>
          <w:lang w:val="es-ES"/>
        </w:rPr>
        <w:footnoteReference w:id="174"/>
      </w:r>
      <w:r w:rsidRPr="00653813">
        <w:rPr>
          <w:rFonts w:asciiTheme="majorHAnsi" w:hAnsiTheme="majorHAnsi"/>
          <w:sz w:val="20"/>
          <w:szCs w:val="20"/>
          <w:lang w:val="es-ES"/>
        </w:rPr>
        <w:t xml:space="preserve">.  La Corte Interamericana ha indicado que </w:t>
      </w:r>
      <w:r w:rsidRPr="00653813">
        <w:rPr>
          <w:rFonts w:asciiTheme="majorHAnsi" w:hAnsiTheme="majorHAnsi"/>
          <w:sz w:val="20"/>
          <w:szCs w:val="20"/>
          <w:lang w:val="es-MX"/>
        </w:rPr>
        <w:t xml:space="preserve">las víctimas y sus familiares tienen el derecho, y los Estados </w:t>
      </w:r>
      <w:r w:rsidRPr="00653813">
        <w:rPr>
          <w:rFonts w:asciiTheme="majorHAnsi" w:hAnsiTheme="majorHAnsi"/>
          <w:sz w:val="20"/>
          <w:szCs w:val="20"/>
          <w:lang w:val="es-MX"/>
        </w:rPr>
        <w:lastRenderedPageBreak/>
        <w:t>la obligación, a que lo sucedido a éstas sea efectivamente investigado por las autoridades del Estado; se siga un proceso contra los presuntos responsables de estos ilícitos; en su caso, se les impongan las sanciones pertinentes, y se reparen los daños y perjuicios que dichos familiares han sufrido</w:t>
      </w:r>
      <w:r w:rsidRPr="00D73FE2">
        <w:rPr>
          <w:rStyle w:val="FootnoteReference"/>
          <w:rFonts w:asciiTheme="majorHAnsi" w:hAnsiTheme="majorHAnsi"/>
          <w:sz w:val="20"/>
          <w:szCs w:val="20"/>
        </w:rPr>
        <w:footnoteReference w:id="175"/>
      </w:r>
      <w:r w:rsidRPr="00653813">
        <w:rPr>
          <w:rFonts w:asciiTheme="majorHAnsi" w:hAnsiTheme="majorHAnsi"/>
          <w:sz w:val="20"/>
          <w:szCs w:val="20"/>
          <w:lang w:val="es-MX"/>
        </w:rPr>
        <w:t>.</w:t>
      </w:r>
    </w:p>
    <w:p w14:paraId="5E4E4DEF" w14:textId="77777777" w:rsidR="00653813" w:rsidRDefault="00653813" w:rsidP="00653813">
      <w:pPr>
        <w:pStyle w:val="ListParagraph"/>
        <w:rPr>
          <w:rFonts w:asciiTheme="majorHAnsi" w:hAnsiTheme="majorHAnsi"/>
          <w:sz w:val="20"/>
          <w:szCs w:val="20"/>
          <w:lang w:val="es-CO"/>
        </w:rPr>
      </w:pPr>
    </w:p>
    <w:p w14:paraId="0544AF32"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Theme="majorHAnsi" w:hAnsiTheme="majorHAnsi"/>
          <w:sz w:val="20"/>
          <w:szCs w:val="20"/>
          <w:lang w:val="es-CO"/>
        </w:rPr>
        <w:t>Asimismo, la Corte ha entendido que para que exista un recurso efectivo no basta con que esté previsto por la Constitución o la ley o con que sea formalmente admisible, sino que se requiere que sea realmente idóneo para establecer si se ha incurrido en una violación a los derechos humanos y, de especial relevancia para el presente caso, proveer lo necesario para remediarla</w:t>
      </w:r>
      <w:r w:rsidRPr="00D73FE2">
        <w:rPr>
          <w:rFonts w:asciiTheme="majorHAnsi" w:hAnsiTheme="majorHAnsi"/>
          <w:sz w:val="20"/>
          <w:szCs w:val="20"/>
          <w:vertAlign w:val="superscript"/>
        </w:rPr>
        <w:footnoteReference w:id="176"/>
      </w:r>
      <w:r w:rsidRPr="00653813">
        <w:rPr>
          <w:rFonts w:asciiTheme="majorHAnsi" w:hAnsiTheme="majorHAnsi"/>
          <w:sz w:val="20"/>
          <w:szCs w:val="20"/>
          <w:lang w:val="es-CO"/>
        </w:rPr>
        <w:t>. El mismo Tribunal también ha señalado que los recursos internos deben estar disponibles para el interesado, resolver efectiva y fundadamente el asunto planteado, así como eventualmente proveer la reparación adecuada</w:t>
      </w:r>
      <w:r w:rsidRPr="00D73FE2">
        <w:rPr>
          <w:rStyle w:val="FootnoteReference"/>
          <w:rFonts w:asciiTheme="majorHAnsi" w:hAnsiTheme="majorHAnsi"/>
          <w:sz w:val="20"/>
          <w:szCs w:val="20"/>
          <w:lang w:val="es-CO"/>
        </w:rPr>
        <w:footnoteReference w:id="177"/>
      </w:r>
      <w:r w:rsidRPr="00653813">
        <w:rPr>
          <w:rFonts w:asciiTheme="majorHAnsi" w:hAnsiTheme="majorHAnsi"/>
          <w:sz w:val="20"/>
          <w:szCs w:val="20"/>
          <w:lang w:val="es-CO"/>
        </w:rPr>
        <w:t>.</w:t>
      </w:r>
    </w:p>
    <w:p w14:paraId="587489AC" w14:textId="77777777" w:rsidR="00653813" w:rsidRDefault="00653813" w:rsidP="00653813">
      <w:pPr>
        <w:pStyle w:val="ListParagraph"/>
        <w:rPr>
          <w:rFonts w:asciiTheme="majorHAnsi" w:hAnsiTheme="majorHAnsi"/>
          <w:sz w:val="20"/>
          <w:szCs w:val="20"/>
          <w:lang w:val="es-ES"/>
        </w:rPr>
      </w:pPr>
    </w:p>
    <w:p w14:paraId="27058EFC"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Theme="majorHAnsi" w:hAnsiTheme="majorHAnsi"/>
          <w:sz w:val="20"/>
          <w:szCs w:val="20"/>
          <w:lang w:val="es-ES"/>
        </w:rPr>
        <w:t xml:space="preserve">A su vez, la Corte Interamericana ha indicado que el deber de investigar debe realizarse “con la debida diligencia” </w:t>
      </w:r>
      <w:r w:rsidRPr="00653813">
        <w:rPr>
          <w:rFonts w:asciiTheme="majorHAnsi" w:hAnsiTheme="majorHAnsi"/>
          <w:sz w:val="20"/>
          <w:szCs w:val="20"/>
          <w:lang w:val="es-CO"/>
        </w:rPr>
        <w:t>implicando</w:t>
      </w:r>
      <w:r w:rsidRPr="00653813">
        <w:rPr>
          <w:rFonts w:asciiTheme="majorHAnsi" w:hAnsiTheme="majorHAnsi"/>
          <w:sz w:val="20"/>
          <w:szCs w:val="20"/>
          <w:lang w:val="es-ES"/>
        </w:rPr>
        <w:t xml:space="preserve"> que las averiguaciones deben ser realizadas por todos los medios legales disponibles y deben estar orientadas a la</w:t>
      </w:r>
      <w:r w:rsidRPr="00653813">
        <w:rPr>
          <w:rFonts w:asciiTheme="majorHAnsi" w:hAnsiTheme="majorHAnsi"/>
          <w:sz w:val="20"/>
          <w:szCs w:val="20"/>
          <w:lang w:val="es-MX"/>
        </w:rPr>
        <w:t xml:space="preserve"> determinación de la verdad</w:t>
      </w:r>
      <w:r w:rsidRPr="00D73FE2">
        <w:rPr>
          <w:rFonts w:asciiTheme="majorHAnsi" w:hAnsiTheme="majorHAnsi"/>
          <w:sz w:val="20"/>
          <w:szCs w:val="20"/>
          <w:vertAlign w:val="superscript"/>
        </w:rPr>
        <w:footnoteReference w:id="178"/>
      </w:r>
      <w:r w:rsidRPr="00653813">
        <w:rPr>
          <w:rFonts w:asciiTheme="majorHAnsi" w:hAnsiTheme="majorHAnsi"/>
          <w:sz w:val="20"/>
          <w:szCs w:val="20"/>
          <w:lang w:val="es-MX"/>
        </w:rPr>
        <w:t>. En la misma línea, la Corte ha indicado que el Estado tiene el deber de asegurar que se efectúe todo lo necesario para conocer la verdad de lo sucedido y para que se sancione a los eventuales responsables</w:t>
      </w:r>
      <w:r w:rsidRPr="00D73FE2">
        <w:rPr>
          <w:rStyle w:val="FootnoteReference"/>
          <w:rFonts w:asciiTheme="majorHAnsi" w:hAnsiTheme="majorHAnsi"/>
          <w:sz w:val="20"/>
          <w:szCs w:val="20"/>
        </w:rPr>
        <w:footnoteReference w:id="179"/>
      </w:r>
      <w:r w:rsidRPr="00653813">
        <w:rPr>
          <w:rFonts w:asciiTheme="majorHAnsi" w:hAnsiTheme="majorHAnsi"/>
          <w:sz w:val="20"/>
          <w:szCs w:val="20"/>
          <w:lang w:val="es-MX"/>
        </w:rPr>
        <w:t>, involucrando a toda institución estatal</w:t>
      </w:r>
      <w:r w:rsidRPr="00D73FE2">
        <w:rPr>
          <w:rStyle w:val="FootnoteReference"/>
          <w:rFonts w:asciiTheme="majorHAnsi" w:hAnsiTheme="majorHAnsi"/>
          <w:sz w:val="20"/>
          <w:szCs w:val="20"/>
        </w:rPr>
        <w:footnoteReference w:id="180"/>
      </w:r>
      <w:r w:rsidRPr="00653813">
        <w:rPr>
          <w:rFonts w:asciiTheme="majorHAnsi" w:hAnsiTheme="majorHAnsi"/>
          <w:sz w:val="20"/>
          <w:szCs w:val="20"/>
          <w:lang w:val="es-MX"/>
        </w:rPr>
        <w:t xml:space="preserve">. </w:t>
      </w:r>
      <w:r w:rsidRPr="00653813">
        <w:rPr>
          <w:rFonts w:asciiTheme="majorHAnsi" w:hAnsiTheme="majorHAnsi" w:cs="Arial"/>
          <w:sz w:val="20"/>
          <w:szCs w:val="20"/>
          <w:lang w:val="es-MX"/>
        </w:rPr>
        <w:t xml:space="preserve">La Corte </w:t>
      </w:r>
      <w:r w:rsidRPr="00653813">
        <w:rPr>
          <w:rFonts w:asciiTheme="majorHAnsi" w:hAnsiTheme="majorHAnsi"/>
          <w:sz w:val="20"/>
          <w:szCs w:val="20"/>
          <w:lang w:val="es-MX"/>
        </w:rPr>
        <w:t>también</w:t>
      </w:r>
      <w:r w:rsidRPr="00653813">
        <w:rPr>
          <w:rFonts w:asciiTheme="majorHAnsi" w:hAnsiTheme="majorHAnsi" w:cs="Arial"/>
          <w:sz w:val="20"/>
          <w:szCs w:val="20"/>
          <w:lang w:val="es-MX"/>
        </w:rPr>
        <w:t xml:space="preserve"> ha dicho que las autoridades deben adoptar las medidas razonables que permitan asegurar el material probatorio necesario para llevar a cabo la investigación</w:t>
      </w:r>
      <w:r w:rsidRPr="00D73FE2">
        <w:rPr>
          <w:rStyle w:val="FootnoteReference"/>
          <w:rFonts w:asciiTheme="majorHAnsi" w:hAnsiTheme="majorHAnsi" w:cs="Arial"/>
          <w:sz w:val="20"/>
          <w:szCs w:val="20"/>
        </w:rPr>
        <w:footnoteReference w:id="181"/>
      </w:r>
      <w:r w:rsidRPr="00653813">
        <w:rPr>
          <w:rFonts w:asciiTheme="majorHAnsi" w:hAnsiTheme="majorHAnsi" w:cs="Arial"/>
          <w:sz w:val="20"/>
          <w:szCs w:val="20"/>
          <w:lang w:val="es-MX"/>
        </w:rPr>
        <w:t xml:space="preserve">. </w:t>
      </w:r>
      <w:r w:rsidRPr="00653813">
        <w:rPr>
          <w:rFonts w:asciiTheme="majorHAnsi" w:hAnsiTheme="majorHAnsi"/>
          <w:sz w:val="20"/>
          <w:szCs w:val="20"/>
          <w:lang w:val="es-MX"/>
        </w:rPr>
        <w:t xml:space="preserve"> </w:t>
      </w:r>
    </w:p>
    <w:p w14:paraId="2B8416BB" w14:textId="77777777" w:rsidR="00653813" w:rsidRDefault="00653813" w:rsidP="00653813">
      <w:pPr>
        <w:pStyle w:val="ListParagraph"/>
        <w:rPr>
          <w:rFonts w:asciiTheme="majorHAnsi" w:hAnsiTheme="majorHAnsi"/>
          <w:sz w:val="20"/>
          <w:szCs w:val="20"/>
          <w:lang w:val="es-MX"/>
        </w:rPr>
      </w:pPr>
    </w:p>
    <w:p w14:paraId="659E5882"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Theme="majorHAnsi" w:hAnsiTheme="majorHAnsi"/>
          <w:sz w:val="20"/>
          <w:szCs w:val="20"/>
          <w:lang w:val="es-MX"/>
        </w:rPr>
        <w:t xml:space="preserve">Teniendo en cuenta los parámetros indicados, la Comisión analizará si en el presente caso el Estado de Venezuela </w:t>
      </w:r>
      <w:r w:rsidRPr="00653813">
        <w:rPr>
          <w:rFonts w:asciiTheme="majorHAnsi" w:hAnsiTheme="majorHAnsi"/>
          <w:sz w:val="20"/>
          <w:szCs w:val="20"/>
          <w:lang w:val="es-CO"/>
        </w:rPr>
        <w:t>ofreció</w:t>
      </w:r>
      <w:r w:rsidRPr="00653813">
        <w:rPr>
          <w:rFonts w:asciiTheme="majorHAnsi" w:hAnsiTheme="majorHAnsi"/>
          <w:sz w:val="20"/>
          <w:szCs w:val="20"/>
          <w:lang w:val="es-MX"/>
        </w:rPr>
        <w:t xml:space="preserve"> a las víctimas un recurso efectivo que las protegiera de las violaciones a sus derechos humanos mediante una investigación seria, diligente y en un plazo razonable. </w:t>
      </w:r>
    </w:p>
    <w:p w14:paraId="1C6C4331" w14:textId="77777777" w:rsidR="00653813" w:rsidRDefault="00653813" w:rsidP="00653813">
      <w:pPr>
        <w:pStyle w:val="ListParagraph"/>
        <w:rPr>
          <w:rFonts w:asciiTheme="majorHAnsi" w:eastAsia="Times New Roman" w:hAnsiTheme="majorHAnsi"/>
          <w:sz w:val="20"/>
          <w:szCs w:val="20"/>
          <w:lang w:val="es-ES"/>
        </w:rPr>
      </w:pPr>
    </w:p>
    <w:p w14:paraId="42052C51"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Theme="majorHAnsi" w:eastAsia="Times New Roman" w:hAnsiTheme="majorHAnsi"/>
          <w:sz w:val="20"/>
          <w:szCs w:val="20"/>
          <w:lang w:val="es-ES"/>
        </w:rPr>
        <w:t xml:space="preserve">La Comisión observa que las víctimas acudieron tanto al recurso de amparo como a la denuncia penal. El recurso de amparo fue interpuesto el 22 de julio de 2004 mientras que la denuncia penal fue interpuesta el 27 de mayo de </w:t>
      </w:r>
      <w:r w:rsidRPr="00653813">
        <w:rPr>
          <w:rFonts w:asciiTheme="majorHAnsi" w:hAnsiTheme="majorHAnsi"/>
          <w:sz w:val="20"/>
          <w:szCs w:val="20"/>
          <w:lang w:val="es-CO"/>
        </w:rPr>
        <w:t>2004</w:t>
      </w:r>
      <w:r w:rsidRPr="00653813">
        <w:rPr>
          <w:rFonts w:asciiTheme="majorHAnsi" w:eastAsia="Times New Roman" w:hAnsiTheme="majorHAnsi"/>
          <w:sz w:val="20"/>
          <w:szCs w:val="20"/>
          <w:lang w:val="es-ES"/>
        </w:rPr>
        <w:t>. El recurso de amparo fue resuelto definitivamente de manera desfavorable el 9 de septiembre de 2005; mientras en la investigación penal fue sobreseída, decisión que quedó en firme tras el rechazo del recurso de casación el 27 de septiembre de 2005.</w:t>
      </w:r>
    </w:p>
    <w:p w14:paraId="24D710C8" w14:textId="77777777" w:rsidR="00653813" w:rsidRDefault="00653813" w:rsidP="00653813">
      <w:pPr>
        <w:pStyle w:val="ListParagraph"/>
        <w:rPr>
          <w:rFonts w:asciiTheme="majorHAnsi" w:eastAsia="Times New Roman" w:hAnsiTheme="majorHAnsi"/>
          <w:sz w:val="20"/>
          <w:szCs w:val="20"/>
          <w:lang w:val="es-ES"/>
        </w:rPr>
      </w:pPr>
    </w:p>
    <w:p w14:paraId="6AD8505B"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Theme="majorHAnsi" w:eastAsia="Times New Roman" w:hAnsiTheme="majorHAnsi"/>
          <w:sz w:val="20"/>
          <w:szCs w:val="20"/>
          <w:lang w:val="es-ES"/>
        </w:rPr>
        <w:t xml:space="preserve">Las motivaciones de las autoridades judiciales en ambos procesos son similares en cuanto a que en ambos recursos se concluyó que las víctimas no probaron la discriminación política que alegaron y se </w:t>
      </w:r>
      <w:r w:rsidRPr="00653813">
        <w:rPr>
          <w:rFonts w:asciiTheme="majorHAnsi" w:eastAsia="Times New Roman" w:hAnsiTheme="majorHAnsi"/>
          <w:sz w:val="20"/>
          <w:szCs w:val="20"/>
          <w:lang w:val="es-ES"/>
        </w:rPr>
        <w:lastRenderedPageBreak/>
        <w:t>asumió como cierta la explicación consistente en la aplicación de la cláusula séptima del contrato que otorgaba facultad discrecional al empleador. Así, por ejemplo, la decisión de primera instancia en el marco del recurso de amparo de 27 de julio de 2005, posteriormente confirmada, indica que no se logró “establecer fehacientemente el nexo causal entre el pretendido trato discriminatorio por haber firmado y la decisión de poner fin a la relación de trabajo”. En el marco del proceso penal, al momento de dictar el sobreseimiento, se indicó que si bien el CNF dio por terminada la relación laboral “no es menos cierto que así se lo permitía el contrato (…) de ninguno de los elementos reportados conllevan a corroborar el dicho de las denunciantes que el motivo (…) sea el hecho de haber votado en el referéndum revocatorio”.</w:t>
      </w:r>
    </w:p>
    <w:p w14:paraId="55723BED" w14:textId="77777777" w:rsidR="00C61CB9" w:rsidRPr="00452E02" w:rsidRDefault="00C61CB9" w:rsidP="00452E02">
      <w:pPr>
        <w:rPr>
          <w:rFonts w:asciiTheme="majorHAnsi" w:hAnsiTheme="majorHAnsi"/>
          <w:bCs/>
          <w:sz w:val="20"/>
          <w:szCs w:val="20"/>
          <w:lang w:val="es-EC"/>
        </w:rPr>
      </w:pPr>
    </w:p>
    <w:p w14:paraId="03B25DBD" w14:textId="309D2DB1" w:rsidR="00C61CB9" w:rsidRPr="00452E02" w:rsidRDefault="00452E02" w:rsidP="00C61CB9">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Pr>
          <w:rFonts w:asciiTheme="majorHAnsi" w:hAnsiTheme="majorHAnsi"/>
          <w:bCs/>
          <w:sz w:val="20"/>
          <w:szCs w:val="20"/>
          <w:lang w:val="es-EC"/>
        </w:rPr>
        <w:t>Asimismo, l</w:t>
      </w:r>
      <w:r w:rsidR="00D6022F" w:rsidRPr="00653813">
        <w:rPr>
          <w:rFonts w:asciiTheme="majorHAnsi" w:hAnsiTheme="majorHAnsi"/>
          <w:bCs/>
          <w:sz w:val="20"/>
          <w:szCs w:val="20"/>
          <w:lang w:val="es-EC"/>
        </w:rPr>
        <w:t xml:space="preserve">a Comisión hace notar que los operadores de justicia que conocieron ambos recursos se limitaron a determinar si los contratos de las víctimas con el Consejo Nacional de Fronteras conferían la facultad a esta institución de terminar unilateralmente los contratos. Esta corroboración no resulta idónea para determinar si hubo o no discriminación en un caso en el que se alega precisamente que la discriminación operó de manera encubierta </w:t>
      </w:r>
      <w:r w:rsidR="00D6022F" w:rsidRPr="00653813">
        <w:rPr>
          <w:rFonts w:asciiTheme="majorHAnsi" w:eastAsia="Times New Roman" w:hAnsiTheme="majorHAnsi"/>
          <w:sz w:val="20"/>
          <w:szCs w:val="20"/>
          <w:lang w:val="es-ES"/>
        </w:rPr>
        <w:t>tras</w:t>
      </w:r>
      <w:r w:rsidR="00D6022F" w:rsidRPr="00653813">
        <w:rPr>
          <w:rFonts w:asciiTheme="majorHAnsi" w:hAnsiTheme="majorHAnsi"/>
          <w:bCs/>
          <w:sz w:val="20"/>
          <w:szCs w:val="20"/>
          <w:lang w:val="es-EC"/>
        </w:rPr>
        <w:t xml:space="preserve"> el velo de legalidad que daba la facultad discrecional establecida en el contrato. Cuando una autoridad judicial se encuentra con un alegato de discriminación encubierta, la obligación de debida diligencia le impone investigar más allá de la motivación formalmente declarada y tomar en consideración todos los elementos indiciarios, circunstanciales y de otra índole. </w:t>
      </w:r>
    </w:p>
    <w:p w14:paraId="4022E386" w14:textId="77777777" w:rsidR="00653813" w:rsidRDefault="00653813" w:rsidP="00653813">
      <w:pPr>
        <w:pStyle w:val="ListParagraph"/>
        <w:rPr>
          <w:rFonts w:asciiTheme="majorHAnsi" w:hAnsiTheme="majorHAnsi"/>
          <w:bCs/>
          <w:sz w:val="20"/>
          <w:szCs w:val="20"/>
          <w:lang w:val="es-EC"/>
        </w:rPr>
      </w:pPr>
    </w:p>
    <w:p w14:paraId="5CF520DC" w14:textId="77777777" w:rsidR="00653813" w:rsidRPr="00B21E22"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Theme="majorHAnsi" w:hAnsiTheme="majorHAnsi"/>
          <w:bCs/>
          <w:sz w:val="20"/>
          <w:szCs w:val="20"/>
          <w:lang w:val="es-EC"/>
        </w:rPr>
        <w:t xml:space="preserve">Por otra parte, las motivaciones de los rechazos también hacen referencia a que las víctimas no probaron la discriminación. Al respecto, la Comisión destaca que las autoridades judiciales a cargo de resolver este tipo de casos deben </w:t>
      </w:r>
      <w:r w:rsidRPr="00653813">
        <w:rPr>
          <w:rFonts w:asciiTheme="majorHAnsi" w:eastAsia="Times New Roman" w:hAnsiTheme="majorHAnsi"/>
          <w:sz w:val="20"/>
          <w:szCs w:val="20"/>
          <w:lang w:val="es-ES"/>
        </w:rPr>
        <w:t>tener</w:t>
      </w:r>
      <w:r w:rsidRPr="00653813">
        <w:rPr>
          <w:rFonts w:asciiTheme="majorHAnsi" w:hAnsiTheme="majorHAnsi"/>
          <w:bCs/>
          <w:sz w:val="20"/>
          <w:szCs w:val="20"/>
          <w:lang w:val="es-EC"/>
        </w:rPr>
        <w:t xml:space="preserve"> presente que las formas encubiertas de discriminación generalmente no cuentan con prueba directa y, por lo tanto, la carga de la prueba no puede recaer de manera absoluta en la persona que alega la discriminación como ocurrió en el marco de estos recursos. </w:t>
      </w:r>
    </w:p>
    <w:p w14:paraId="5DD51298" w14:textId="77777777" w:rsidR="00B21E22" w:rsidRDefault="00B21E22" w:rsidP="00B21E22">
      <w:pPr>
        <w:pStyle w:val="ListParagraph"/>
        <w:rPr>
          <w:rFonts w:asciiTheme="majorHAnsi" w:hAnsiTheme="majorHAnsi"/>
          <w:sz w:val="20"/>
          <w:szCs w:val="20"/>
          <w:lang w:val="es-MX"/>
        </w:rPr>
      </w:pPr>
    </w:p>
    <w:p w14:paraId="6AD8A583" w14:textId="05E818B4" w:rsidR="00B21E22" w:rsidRPr="006E3D90" w:rsidRDefault="00B21E22" w:rsidP="00B21E2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E3D90">
        <w:rPr>
          <w:rFonts w:asciiTheme="majorHAnsi" w:hAnsiTheme="majorHAnsi"/>
          <w:sz w:val="20"/>
          <w:szCs w:val="20"/>
          <w:lang w:val="es-MX"/>
        </w:rPr>
        <w:t>En consecuencia, l</w:t>
      </w:r>
      <w:r w:rsidRPr="006E3D90">
        <w:rPr>
          <w:rFonts w:asciiTheme="majorHAnsi" w:hAnsiTheme="majorHAnsi"/>
          <w:sz w:val="20"/>
          <w:szCs w:val="20"/>
          <w:lang w:val="es-MX"/>
        </w:rPr>
        <w:t>a Comisión considera que si bien en el recurso de amparo la autoridad judicial hizo referencia al alegato de discriminación, solamente lo examinó</w:t>
      </w:r>
      <w:r w:rsidRPr="006E3D90">
        <w:rPr>
          <w:rFonts w:asciiTheme="majorHAnsi" w:hAnsiTheme="majorHAnsi"/>
          <w:sz w:val="20"/>
          <w:szCs w:val="20"/>
          <w:lang w:val="es-VE"/>
        </w:rPr>
        <w:t xml:space="preserve"> de manera formal y sin la debida diligencia. Asimismo, impuso un estándar demasiado alto a la víctima al exigirle demostrar “fehacientemente” el nexo causal entre el trato discriminatorio y la decisión de poner fin a la relación de trabajo. Ello implica además hacer recaer toda la carga probatoria en la persona que alega discriminación. </w:t>
      </w:r>
    </w:p>
    <w:p w14:paraId="1DC58DAF" w14:textId="77777777" w:rsidR="00653813" w:rsidRPr="006E3D90" w:rsidRDefault="00653813" w:rsidP="006E3D90">
      <w:pPr>
        <w:rPr>
          <w:sz w:val="20"/>
          <w:szCs w:val="20"/>
          <w:lang w:val="es-VE"/>
        </w:rPr>
      </w:pPr>
    </w:p>
    <w:p w14:paraId="1F74E47B" w14:textId="77777777" w:rsidR="00653813"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Cambria" w:hAnsi="Cambria"/>
          <w:sz w:val="20"/>
          <w:szCs w:val="20"/>
          <w:lang w:val="es-VE"/>
        </w:rPr>
        <w:t xml:space="preserve">La </w:t>
      </w:r>
      <w:r w:rsidRPr="00653813">
        <w:rPr>
          <w:rFonts w:asciiTheme="majorHAnsi" w:eastAsia="Times New Roman" w:hAnsiTheme="majorHAnsi"/>
          <w:sz w:val="20"/>
          <w:szCs w:val="20"/>
          <w:lang w:val="es-ES"/>
        </w:rPr>
        <w:t>Comisión</w:t>
      </w:r>
      <w:r w:rsidRPr="00653813">
        <w:rPr>
          <w:rFonts w:ascii="Cambria" w:hAnsi="Cambria"/>
          <w:sz w:val="20"/>
          <w:szCs w:val="20"/>
          <w:lang w:val="es-VE"/>
        </w:rPr>
        <w:t xml:space="preserve"> </w:t>
      </w:r>
      <w:r w:rsidRPr="00653813">
        <w:rPr>
          <w:rFonts w:ascii="Cambria" w:hAnsi="Cambria"/>
          <w:bCs/>
          <w:sz w:val="20"/>
          <w:szCs w:val="20"/>
          <w:lang w:val="es-EC"/>
        </w:rPr>
        <w:t>considera que las autoridades deben utilizar todos los medios legales a su alcance para la obtención de la verdad de lo ocurrido a víctimas de violaciones a los derechos humanos</w:t>
      </w:r>
      <w:r w:rsidRPr="00975FFB">
        <w:rPr>
          <w:rStyle w:val="FootnoteReference"/>
          <w:rFonts w:ascii="Cambria" w:hAnsi="Cambria"/>
          <w:bCs/>
          <w:sz w:val="20"/>
          <w:szCs w:val="20"/>
          <w:lang w:val="es-EC"/>
        </w:rPr>
        <w:footnoteReference w:id="182"/>
      </w:r>
      <w:r w:rsidRPr="00653813">
        <w:rPr>
          <w:rFonts w:ascii="Cambria" w:hAnsi="Cambria"/>
          <w:bCs/>
          <w:sz w:val="20"/>
          <w:szCs w:val="20"/>
          <w:lang w:val="es-EC"/>
        </w:rPr>
        <w:t xml:space="preserve">.  </w:t>
      </w:r>
      <w:r w:rsidRPr="00653813">
        <w:rPr>
          <w:rFonts w:ascii="Cambria" w:hAnsi="Cambria"/>
          <w:sz w:val="20"/>
          <w:szCs w:val="20"/>
          <w:lang w:val="es-VE"/>
        </w:rPr>
        <w:t>Una debida diligencia en los procesos investigativos requiere que las autoridades tomen en cuenta la complejidad de los hechos, el contexto y las circunstancias en que ocurrieron y los patrones que explican su comisión,</w:t>
      </w:r>
      <w:r w:rsidRPr="00653813">
        <w:rPr>
          <w:rFonts w:ascii="Cambria" w:hAnsi="Cambria"/>
          <w:bCs/>
          <w:sz w:val="20"/>
          <w:szCs w:val="20"/>
          <w:lang w:val="es-EC"/>
        </w:rPr>
        <w:t xml:space="preserve"> evitando omisiones en la recaudación de la prueba y</w:t>
      </w:r>
      <w:r w:rsidRPr="00653813">
        <w:rPr>
          <w:rFonts w:ascii="Cambria" w:hAnsi="Cambria"/>
          <w:sz w:val="20"/>
          <w:szCs w:val="20"/>
          <w:lang w:val="es-VE"/>
        </w:rPr>
        <w:t xml:space="preserve"> en el seguimiento de todas las líneas lógicas de investigación</w:t>
      </w:r>
      <w:r w:rsidRPr="00975FFB">
        <w:rPr>
          <w:rStyle w:val="FootnoteReference"/>
          <w:rFonts w:ascii="Cambria" w:hAnsi="Cambria"/>
          <w:sz w:val="20"/>
          <w:szCs w:val="20"/>
          <w:lang w:val="es-VE"/>
        </w:rPr>
        <w:footnoteReference w:id="183"/>
      </w:r>
      <w:r w:rsidRPr="00653813">
        <w:rPr>
          <w:rFonts w:ascii="Cambria" w:hAnsi="Cambria"/>
          <w:sz w:val="20"/>
          <w:szCs w:val="20"/>
          <w:lang w:val="es-VE"/>
        </w:rPr>
        <w:t xml:space="preserve">. </w:t>
      </w:r>
      <w:r w:rsidRPr="00653813">
        <w:rPr>
          <w:rFonts w:ascii="Cambria" w:hAnsi="Cambria"/>
          <w:sz w:val="20"/>
          <w:szCs w:val="20"/>
          <w:lang w:val="es-EC"/>
        </w:rPr>
        <w:t>Tanto la CIDH como la Corte IDH han establecido que los fiscales, al elaborar las líneas lógicas de investigación, deben tener en cuenta todo el material probatorio del cual dispongan.  En ese sentido, cuando las víctimas aportan a los cuerpos investigativos material probatorio, estos deben ser valorados por los órganos estatales para elaborar las hipótesis de investigación como una obligación propia de las garantías judiciales</w:t>
      </w:r>
      <w:r w:rsidRPr="00975FFB">
        <w:rPr>
          <w:rStyle w:val="FootnoteReference"/>
          <w:rFonts w:ascii="Cambria" w:hAnsi="Cambria"/>
          <w:sz w:val="20"/>
          <w:szCs w:val="20"/>
          <w:lang w:val="es-VE"/>
        </w:rPr>
        <w:footnoteReference w:id="184"/>
      </w:r>
      <w:r w:rsidRPr="00653813">
        <w:rPr>
          <w:rFonts w:ascii="Cambria" w:hAnsi="Cambria"/>
          <w:sz w:val="20"/>
          <w:szCs w:val="20"/>
          <w:lang w:val="es-EC"/>
        </w:rPr>
        <w:t xml:space="preserve">.  </w:t>
      </w:r>
      <w:r w:rsidRPr="00653813">
        <w:rPr>
          <w:rFonts w:ascii="Cambria" w:hAnsi="Cambria"/>
          <w:bCs/>
          <w:sz w:val="20"/>
          <w:szCs w:val="20"/>
          <w:lang w:val="es-EC"/>
        </w:rPr>
        <w:t xml:space="preserve"> </w:t>
      </w:r>
    </w:p>
    <w:p w14:paraId="30A02806" w14:textId="77777777" w:rsidR="00653813" w:rsidRDefault="00653813" w:rsidP="00653813">
      <w:pPr>
        <w:pStyle w:val="ListParagraph"/>
        <w:rPr>
          <w:bCs/>
          <w:sz w:val="20"/>
          <w:szCs w:val="20"/>
          <w:lang w:val="es-EC"/>
        </w:rPr>
      </w:pPr>
    </w:p>
    <w:p w14:paraId="519FA87D" w14:textId="7FC0FF93" w:rsidR="00653813" w:rsidRPr="00FF22DB" w:rsidRDefault="00D6022F" w:rsidP="0065381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Cambria" w:hAnsi="Cambria"/>
          <w:bCs/>
          <w:sz w:val="20"/>
          <w:szCs w:val="20"/>
          <w:lang w:val="es-EC"/>
        </w:rPr>
        <w:t>La Comisión destaca que la</w:t>
      </w:r>
      <w:r w:rsidR="005D68B7">
        <w:rPr>
          <w:rFonts w:ascii="Cambria" w:hAnsi="Cambria"/>
          <w:bCs/>
          <w:sz w:val="20"/>
          <w:szCs w:val="20"/>
          <w:lang w:val="es-EC"/>
        </w:rPr>
        <w:t xml:space="preserve">s autoridades judiciales que </w:t>
      </w:r>
      <w:r w:rsidRPr="00653813">
        <w:rPr>
          <w:rFonts w:ascii="Cambria" w:hAnsi="Cambria"/>
          <w:bCs/>
          <w:sz w:val="20"/>
          <w:szCs w:val="20"/>
          <w:lang w:val="es-EC"/>
        </w:rPr>
        <w:t>conocieron</w:t>
      </w:r>
      <w:r w:rsidR="005D68B7">
        <w:rPr>
          <w:rFonts w:ascii="Cambria" w:hAnsi="Cambria"/>
          <w:bCs/>
          <w:sz w:val="20"/>
          <w:szCs w:val="20"/>
          <w:lang w:val="es-EC"/>
        </w:rPr>
        <w:t xml:space="preserve"> los recursos</w:t>
      </w:r>
      <w:r w:rsidRPr="00653813">
        <w:rPr>
          <w:rFonts w:ascii="Cambria" w:hAnsi="Cambria"/>
          <w:bCs/>
          <w:sz w:val="20"/>
          <w:szCs w:val="20"/>
          <w:lang w:val="es-EC"/>
        </w:rPr>
        <w:t xml:space="preserve"> no consideraron la hipótesis relativa al uso de la facultad de terminación contractual prevista en los contratos con las presuntas víctimas como una represalia por su participación en la solicitud de referendo revocatorio. Las diligencias se limitaron a recabar las declaraciones testimoniales de las tres víctimas y del entonces Secretario </w:t>
      </w:r>
      <w:r w:rsidRPr="00653813">
        <w:rPr>
          <w:rFonts w:ascii="Cambria" w:hAnsi="Cambria"/>
          <w:bCs/>
          <w:sz w:val="20"/>
          <w:szCs w:val="20"/>
          <w:lang w:val="es-EC"/>
        </w:rPr>
        <w:lastRenderedPageBreak/>
        <w:t xml:space="preserve">Ejecutivo del Consejo Nacional de Fronteras, omitiendo la realización de otras diligencias fundamentales para comprobar el alegato de discriminación. Dentro de dichas diligencias la Comisión considera por ejemplo: i) Recibir la declaración del entonces </w:t>
      </w:r>
      <w:r w:rsidRPr="00653813">
        <w:rPr>
          <w:rFonts w:asciiTheme="majorHAnsi" w:eastAsia="Times New Roman" w:hAnsiTheme="majorHAnsi"/>
          <w:sz w:val="20"/>
          <w:szCs w:val="20"/>
          <w:lang w:val="es-ES"/>
        </w:rPr>
        <w:t>Presidente</w:t>
      </w:r>
      <w:r w:rsidRPr="00653813">
        <w:rPr>
          <w:rFonts w:ascii="Cambria" w:hAnsi="Cambria"/>
          <w:bCs/>
          <w:sz w:val="20"/>
          <w:szCs w:val="20"/>
          <w:lang w:val="es-EC"/>
        </w:rPr>
        <w:t xml:space="preserve"> del Consejo Nacional de Fronteras José Vicente Rangel Vale quien dio por terminados los contratos de las presuntas víctimas con el Consejo Nacional de Fronteras y a quien se le acusó en autos de haber ejercido dicha facultad de manera arbitraria, ii) realizar entrevista a Jorge Guerra Navarro,  empleado del Consejo Nacional de Fronteras, a quien se le habría terminado el contrato pero se le mantuvo en su cargo supuestamente por comprometerse a retirar su firmar en el proceso de reparos; iii) llamar a declarar a personal adscrito al Consejo Nacional de Fronteras, quienes pudieron haber declarado sobre los hechos del caso y el contexto en el Consejo Nacional de Fronteras; y iv) solicitar la nómina de personal del Consejo Nacional de Fronteras para el año 2003 así como la lista de firmantes de la solicit</w:t>
      </w:r>
      <w:r w:rsidR="00FF22DB">
        <w:rPr>
          <w:rFonts w:ascii="Cambria" w:hAnsi="Cambria"/>
          <w:bCs/>
          <w:sz w:val="20"/>
          <w:szCs w:val="20"/>
          <w:lang w:val="es-EC"/>
        </w:rPr>
        <w:t>ud de referendo revocatorio presidencial.</w:t>
      </w:r>
    </w:p>
    <w:p w14:paraId="738CC329" w14:textId="77777777" w:rsidR="00FF22DB" w:rsidRDefault="00FF22DB" w:rsidP="00FF22DB">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MX"/>
        </w:rPr>
      </w:pPr>
    </w:p>
    <w:p w14:paraId="00C9DF70" w14:textId="77777777"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653813">
        <w:rPr>
          <w:rFonts w:asciiTheme="majorHAnsi" w:hAnsiTheme="majorHAnsi"/>
          <w:bCs/>
          <w:sz w:val="20"/>
          <w:szCs w:val="20"/>
          <w:lang w:val="es-EC"/>
        </w:rPr>
        <w:t xml:space="preserve">En este sentido, la Comisión considera que ni en el marco del recurso de amparo ni en el marco de la investigación penal las autoridades judiciales examinaron adecuadamente el alegato de discriminación encubierta, limitándose a verificar la motivación formal dada por las autoridades, poniendo toda la carga probatoria en </w:t>
      </w:r>
      <w:r w:rsidRPr="00653813">
        <w:rPr>
          <w:rFonts w:asciiTheme="majorHAnsi" w:eastAsia="Times New Roman" w:hAnsiTheme="majorHAnsi"/>
          <w:sz w:val="20"/>
          <w:szCs w:val="20"/>
          <w:lang w:val="es-ES"/>
        </w:rPr>
        <w:t>las</w:t>
      </w:r>
      <w:r w:rsidRPr="00653813">
        <w:rPr>
          <w:rFonts w:asciiTheme="majorHAnsi" w:hAnsiTheme="majorHAnsi"/>
          <w:bCs/>
          <w:sz w:val="20"/>
          <w:szCs w:val="20"/>
          <w:lang w:val="es-EC"/>
        </w:rPr>
        <w:t xml:space="preserve"> víctimas frente a un hecho que, por su propia naturaleza, difícilmente puede contar con prueba directa o “fehaciente” como indicó la autoridad que conoció el amparo. </w:t>
      </w:r>
    </w:p>
    <w:p w14:paraId="5CA7F333" w14:textId="77777777" w:rsidR="00FF22DB" w:rsidRDefault="00FF22DB" w:rsidP="00FF22DB">
      <w:pPr>
        <w:pStyle w:val="ListParagraph"/>
        <w:rPr>
          <w:rFonts w:asciiTheme="majorHAnsi" w:hAnsiTheme="majorHAnsi"/>
          <w:sz w:val="20"/>
          <w:szCs w:val="20"/>
          <w:lang w:val="es-ES"/>
        </w:rPr>
      </w:pPr>
    </w:p>
    <w:p w14:paraId="032C5C82" w14:textId="77777777"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FF22DB">
        <w:rPr>
          <w:rFonts w:asciiTheme="majorHAnsi" w:hAnsiTheme="majorHAnsi"/>
          <w:sz w:val="20"/>
          <w:szCs w:val="20"/>
          <w:lang w:val="es-ES"/>
        </w:rPr>
        <w:t xml:space="preserve">La Comisión observa además que en el marco de la investigación penal las víctimas interpusieron un recurso de apelación respecto de la decisión de sobreseimiento. Al plantear el recurso de apelación argumentaron que la decisión de sobreseimiento incurrió en error de derecho al concluir “sí así fuere (si se hubiere corroborado que el motivo de la terminación de los contratos fue el hecho de haber votado en el referéndum revocatorio) tampoco tales hechos denunciados constituyen delitos”, indicando que los hechos configuran los delitos </w:t>
      </w:r>
      <w:r w:rsidRPr="00FF22DB">
        <w:rPr>
          <w:rFonts w:asciiTheme="majorHAnsi" w:hAnsiTheme="majorHAnsi"/>
          <w:sz w:val="20"/>
          <w:szCs w:val="20"/>
          <w:lang w:val="es-VE"/>
        </w:rPr>
        <w:t xml:space="preserve">establecidos en </w:t>
      </w:r>
      <w:r w:rsidRPr="00FF22DB">
        <w:rPr>
          <w:rFonts w:asciiTheme="majorHAnsi" w:eastAsia="Times New Roman" w:hAnsiTheme="majorHAnsi"/>
          <w:sz w:val="20"/>
          <w:szCs w:val="20"/>
          <w:lang w:val="es-ES"/>
        </w:rPr>
        <w:t>los</w:t>
      </w:r>
      <w:r w:rsidRPr="00FF22DB">
        <w:rPr>
          <w:rFonts w:asciiTheme="majorHAnsi" w:hAnsiTheme="majorHAnsi"/>
          <w:sz w:val="20"/>
          <w:szCs w:val="20"/>
          <w:lang w:val="es-VE"/>
        </w:rPr>
        <w:t xml:space="preserve"> artículos 203, 166, 175, 254, 286 del Código Penal, 256 de la Ley del Sufragio y Participación Política y 68 de la Ley Anticorrupción, argumentando además que </w:t>
      </w:r>
      <w:r w:rsidRPr="00FF22DB">
        <w:rPr>
          <w:rFonts w:asciiTheme="majorHAnsi" w:hAnsiTheme="majorHAnsi"/>
          <w:sz w:val="20"/>
          <w:szCs w:val="20"/>
          <w:lang w:val="es-ES"/>
        </w:rPr>
        <w:t xml:space="preserve">si no se corroboró que el motivo de la terminación de los contratos fue haber participado en el referendo revocatorio fue precisamente porque la Fiscalía no desarrolló una investigación adecuada.   </w:t>
      </w:r>
    </w:p>
    <w:p w14:paraId="1EE297C4" w14:textId="77777777" w:rsidR="00FF22DB" w:rsidRDefault="00FF22DB" w:rsidP="00FF22DB">
      <w:pPr>
        <w:pStyle w:val="ListParagraph"/>
        <w:rPr>
          <w:rFonts w:asciiTheme="majorHAnsi" w:hAnsiTheme="majorHAnsi"/>
          <w:sz w:val="20"/>
          <w:szCs w:val="20"/>
          <w:lang w:val="es-ES"/>
        </w:rPr>
      </w:pPr>
    </w:p>
    <w:p w14:paraId="0E5754FC" w14:textId="11ABA2E4"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FF22DB">
        <w:rPr>
          <w:rFonts w:asciiTheme="majorHAnsi" w:hAnsiTheme="majorHAnsi"/>
          <w:sz w:val="20"/>
          <w:szCs w:val="20"/>
          <w:lang w:val="es-ES"/>
        </w:rPr>
        <w:t>La Comisión destaca que en la decisión que deniega el recurso de apelación, la Corte de Apelaciones no analizó los alegatos de las presuntas víctimas  y se limitó a declarar que “resulta imposible exigirle a la Vindicta Pública (titular de la acción penal por excelencia) que ejerza un acto conclusivo distinto al que ya ejerció (sobreseimiento de la presente causa</w:t>
      </w:r>
      <w:r w:rsidR="005334E2" w:rsidRPr="00FF22DB">
        <w:rPr>
          <w:rFonts w:asciiTheme="majorHAnsi" w:hAnsiTheme="majorHAnsi"/>
          <w:sz w:val="20"/>
          <w:szCs w:val="20"/>
          <w:lang w:val="es-ES"/>
        </w:rPr>
        <w:t>) (</w:t>
      </w:r>
      <w:r w:rsidRPr="00FF22DB">
        <w:rPr>
          <w:rFonts w:asciiTheme="majorHAnsi" w:hAnsiTheme="majorHAnsi"/>
          <w:sz w:val="20"/>
          <w:szCs w:val="20"/>
          <w:lang w:val="es-ES"/>
        </w:rPr>
        <w:t>…)</w:t>
      </w:r>
      <w:r w:rsidR="00D9424B">
        <w:rPr>
          <w:rFonts w:asciiTheme="majorHAnsi" w:hAnsiTheme="majorHAnsi"/>
          <w:sz w:val="20"/>
          <w:szCs w:val="20"/>
          <w:lang w:val="es-ES"/>
        </w:rPr>
        <w:t>”</w:t>
      </w:r>
      <w:r w:rsidRPr="00D73FE2">
        <w:rPr>
          <w:rStyle w:val="FootnoteReference"/>
          <w:rFonts w:asciiTheme="majorHAnsi" w:hAnsiTheme="majorHAnsi"/>
          <w:sz w:val="20"/>
          <w:szCs w:val="20"/>
          <w:lang w:val="es-ES"/>
        </w:rPr>
        <w:footnoteReference w:id="185"/>
      </w:r>
      <w:r w:rsidRPr="00FF22DB">
        <w:rPr>
          <w:rFonts w:asciiTheme="majorHAnsi" w:hAnsiTheme="majorHAnsi"/>
          <w:sz w:val="20"/>
          <w:szCs w:val="20"/>
          <w:lang w:val="es-ES"/>
        </w:rPr>
        <w:t>. La Comisión observa que el artículo 447 del Código Orgánico Procesal Penal preveía la posibilidad de impugnar las decisiones que “pongan fin al proceso o hagan imposible su continuación”</w:t>
      </w:r>
      <w:r w:rsidRPr="00FF22DB">
        <w:rPr>
          <w:rStyle w:val="FootnoteReference"/>
          <w:rFonts w:asciiTheme="majorHAnsi" w:hAnsiTheme="majorHAnsi"/>
          <w:sz w:val="20"/>
          <w:szCs w:val="20"/>
          <w:lang w:val="es-VE"/>
        </w:rPr>
        <w:t xml:space="preserve"> </w:t>
      </w:r>
      <w:r w:rsidRPr="00D73FE2">
        <w:rPr>
          <w:rStyle w:val="FootnoteReference"/>
          <w:rFonts w:asciiTheme="majorHAnsi" w:hAnsiTheme="majorHAnsi"/>
          <w:sz w:val="20"/>
          <w:szCs w:val="20"/>
          <w:lang w:val="es-VE"/>
        </w:rPr>
        <w:footnoteReference w:id="186"/>
      </w:r>
      <w:r w:rsidRPr="00FF22DB">
        <w:rPr>
          <w:rFonts w:asciiTheme="majorHAnsi" w:hAnsiTheme="majorHAnsi"/>
          <w:sz w:val="20"/>
          <w:szCs w:val="20"/>
          <w:lang w:val="es-ES"/>
        </w:rPr>
        <w:t xml:space="preserve">. </w:t>
      </w:r>
    </w:p>
    <w:p w14:paraId="63F7CBF3" w14:textId="77777777" w:rsidR="00FF22DB" w:rsidRDefault="00FF22DB" w:rsidP="00FF22DB">
      <w:pPr>
        <w:pStyle w:val="ListParagraph"/>
        <w:rPr>
          <w:rFonts w:asciiTheme="majorHAnsi" w:hAnsiTheme="majorHAnsi"/>
          <w:sz w:val="20"/>
          <w:szCs w:val="20"/>
          <w:lang w:val="es-VE"/>
        </w:rPr>
      </w:pPr>
    </w:p>
    <w:p w14:paraId="56D63CED" w14:textId="77777777"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FF22DB">
        <w:rPr>
          <w:rFonts w:asciiTheme="majorHAnsi" w:hAnsiTheme="majorHAnsi"/>
          <w:sz w:val="20"/>
          <w:szCs w:val="20"/>
          <w:lang w:val="es-VE"/>
        </w:rPr>
        <w:t>Al respecto la Comisión recuerda que el artículo 25.1 de la Convención Americana consagra el deber estatal de proveer recursos internos eficaces</w:t>
      </w:r>
      <w:r w:rsidRPr="00D73FE2">
        <w:rPr>
          <w:rStyle w:val="FootnoteReference"/>
          <w:rFonts w:asciiTheme="majorHAnsi" w:hAnsiTheme="majorHAnsi"/>
          <w:sz w:val="20"/>
          <w:szCs w:val="20"/>
          <w:lang w:val="es-VE"/>
        </w:rPr>
        <w:footnoteReference w:id="187"/>
      </w:r>
      <w:r w:rsidRPr="00FF22DB">
        <w:rPr>
          <w:rFonts w:asciiTheme="majorHAnsi" w:hAnsiTheme="majorHAnsi"/>
          <w:sz w:val="20"/>
          <w:szCs w:val="20"/>
          <w:lang w:val="es-VE"/>
        </w:rPr>
        <w:t xml:space="preserve"> lo cual implica que no basta que el recurso esté previsto formalmente sino que deber ser capaz de producir el resultado para el que ha sido concebido dando resultados o respuestas a las violaciones de derechos contemplados ya sea en la Convención, en la Constitución o en las leyes</w:t>
      </w:r>
      <w:r w:rsidRPr="00D73FE2">
        <w:rPr>
          <w:rStyle w:val="FootnoteReference"/>
          <w:rFonts w:asciiTheme="majorHAnsi" w:hAnsiTheme="majorHAnsi"/>
          <w:sz w:val="20"/>
          <w:szCs w:val="20"/>
          <w:lang w:val="es-VE"/>
        </w:rPr>
        <w:footnoteReference w:id="188"/>
      </w:r>
      <w:r w:rsidRPr="00FF22DB">
        <w:rPr>
          <w:rFonts w:asciiTheme="majorHAnsi" w:hAnsiTheme="majorHAnsi"/>
          <w:sz w:val="20"/>
          <w:szCs w:val="20"/>
          <w:lang w:val="es-VE"/>
        </w:rPr>
        <w:t>.</w:t>
      </w:r>
    </w:p>
    <w:p w14:paraId="4875F250" w14:textId="77777777" w:rsidR="00FF22DB" w:rsidRDefault="00FF22DB" w:rsidP="00FF22DB">
      <w:pPr>
        <w:pStyle w:val="ListParagraph"/>
        <w:rPr>
          <w:rFonts w:asciiTheme="majorHAnsi" w:hAnsiTheme="majorHAnsi"/>
          <w:sz w:val="20"/>
          <w:szCs w:val="20"/>
          <w:lang w:val="es-VE"/>
        </w:rPr>
      </w:pPr>
    </w:p>
    <w:p w14:paraId="679219F9" w14:textId="1C5A6285"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FF22DB">
        <w:rPr>
          <w:rFonts w:asciiTheme="majorHAnsi" w:hAnsiTheme="majorHAnsi"/>
          <w:sz w:val="20"/>
          <w:szCs w:val="20"/>
          <w:lang w:val="es-VE"/>
        </w:rPr>
        <w:t xml:space="preserve">La Comisión considera que el recurso de apelación en el presente caso, al no pronunciarse ni contener una motivación adecuada que permita entender que los argumentos de las víctimas fueron </w:t>
      </w:r>
      <w:r w:rsidRPr="00FF22DB">
        <w:rPr>
          <w:rFonts w:asciiTheme="majorHAnsi" w:hAnsiTheme="majorHAnsi"/>
          <w:sz w:val="20"/>
          <w:szCs w:val="20"/>
          <w:lang w:val="es-VE"/>
        </w:rPr>
        <w:lastRenderedPageBreak/>
        <w:t xml:space="preserve">debidamente considerados así como las razones de su improcedencia, no constituyó un recurso eficaz para examinar la decisión de sobreseimiento. </w:t>
      </w:r>
    </w:p>
    <w:p w14:paraId="4450716D" w14:textId="77777777" w:rsidR="00FF22DB" w:rsidRDefault="00FF22DB" w:rsidP="00FF22DB">
      <w:pPr>
        <w:pStyle w:val="ListParagraph"/>
        <w:rPr>
          <w:rFonts w:asciiTheme="majorHAnsi" w:hAnsiTheme="majorHAnsi"/>
          <w:sz w:val="20"/>
          <w:szCs w:val="20"/>
          <w:lang w:val="es-VE"/>
        </w:rPr>
      </w:pPr>
    </w:p>
    <w:p w14:paraId="5490EEBD" w14:textId="52825B30" w:rsidR="00D6022F" w:rsidRP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MX"/>
        </w:rPr>
      </w:pPr>
      <w:r w:rsidRPr="00FF22DB">
        <w:rPr>
          <w:rFonts w:asciiTheme="majorHAnsi" w:hAnsiTheme="majorHAnsi"/>
          <w:sz w:val="20"/>
          <w:szCs w:val="20"/>
          <w:lang w:val="es-VE"/>
        </w:rPr>
        <w:t>En virtud de todas las anteriores consideraciones</w:t>
      </w:r>
      <w:r w:rsidR="00D9424B">
        <w:rPr>
          <w:rFonts w:asciiTheme="majorHAnsi" w:hAnsiTheme="majorHAnsi"/>
          <w:sz w:val="20"/>
          <w:szCs w:val="20"/>
          <w:lang w:val="es-VE"/>
        </w:rPr>
        <w:t>,</w:t>
      </w:r>
      <w:r w:rsidRPr="00FF22DB">
        <w:rPr>
          <w:rFonts w:asciiTheme="majorHAnsi" w:hAnsiTheme="majorHAnsi"/>
          <w:sz w:val="20"/>
          <w:szCs w:val="20"/>
          <w:lang w:val="es-VE"/>
        </w:rPr>
        <w:t xml:space="preserve"> la Comisión concluye que ni el recurso de amparo ni la investigación penal, incluido el recurso de apelación contra el sobreseimiento, constituyeron recursos eficaces para examinar un supuesto de desviación de poder materializado en una discriminación encubierta. En consecuencia, la Comisión concluye que el Estado de Venezuela es responsable por la violación de los derechos a las garantías judiciales y protección judicial establecidos en los artículos 8.1 y 25.1 de la Convención Americana en relación con las obligaciones establecidas en el artículo 1.1 del mismo instrumento, en perjuicio de Rocío San Miguel Sosa, </w:t>
      </w:r>
      <w:proofErr w:type="spellStart"/>
      <w:r w:rsidRPr="00FF22DB">
        <w:rPr>
          <w:rFonts w:asciiTheme="majorHAnsi" w:hAnsiTheme="majorHAnsi"/>
          <w:sz w:val="20"/>
          <w:szCs w:val="20"/>
          <w:lang w:val="es-VE"/>
        </w:rPr>
        <w:t>Magally</w:t>
      </w:r>
      <w:proofErr w:type="spellEnd"/>
      <w:r w:rsidRPr="00FF22DB">
        <w:rPr>
          <w:rFonts w:asciiTheme="majorHAnsi" w:hAnsiTheme="majorHAnsi"/>
          <w:sz w:val="20"/>
          <w:szCs w:val="20"/>
          <w:lang w:val="es-VE"/>
        </w:rPr>
        <w:t xml:space="preserve"> Chang Girón y Thais Peña Coromoto. </w:t>
      </w:r>
    </w:p>
    <w:p w14:paraId="5723A798" w14:textId="77777777" w:rsidR="00D6022F" w:rsidRPr="00D73FE2" w:rsidRDefault="00D6022F" w:rsidP="00D6022F">
      <w:pPr>
        <w:jc w:val="both"/>
        <w:rPr>
          <w:rFonts w:asciiTheme="majorHAnsi" w:eastAsia="Times New Roman" w:hAnsiTheme="majorHAnsi"/>
          <w:b/>
          <w:sz w:val="20"/>
          <w:szCs w:val="20"/>
          <w:lang w:val="es-ES"/>
        </w:rPr>
      </w:pPr>
    </w:p>
    <w:p w14:paraId="0DE15162" w14:textId="3E7433B2" w:rsidR="00D6022F" w:rsidRPr="00D73FE2" w:rsidRDefault="00D6022F" w:rsidP="00D6022F">
      <w:pPr>
        <w:ind w:firstLine="720"/>
        <w:jc w:val="both"/>
        <w:rPr>
          <w:rFonts w:asciiTheme="majorHAnsi" w:eastAsia="Times New Roman" w:hAnsiTheme="majorHAnsi"/>
          <w:b/>
          <w:sz w:val="20"/>
          <w:szCs w:val="20"/>
          <w:lang w:val="es-ES"/>
        </w:rPr>
      </w:pPr>
      <w:r w:rsidRPr="00D73FE2">
        <w:rPr>
          <w:rFonts w:asciiTheme="majorHAnsi" w:eastAsia="Times New Roman" w:hAnsiTheme="majorHAnsi"/>
          <w:b/>
          <w:sz w:val="20"/>
          <w:szCs w:val="20"/>
          <w:lang w:val="es-ES"/>
        </w:rPr>
        <w:t xml:space="preserve">3. </w:t>
      </w:r>
      <w:r w:rsidR="00BC55EA">
        <w:rPr>
          <w:rFonts w:asciiTheme="majorHAnsi" w:eastAsia="Times New Roman" w:hAnsiTheme="majorHAnsi"/>
          <w:b/>
          <w:sz w:val="20"/>
          <w:szCs w:val="20"/>
          <w:lang w:val="es-ES"/>
        </w:rPr>
        <w:t xml:space="preserve">            </w:t>
      </w:r>
      <w:r w:rsidRPr="00D73FE2">
        <w:rPr>
          <w:rFonts w:asciiTheme="majorHAnsi" w:eastAsia="Times New Roman" w:hAnsiTheme="majorHAnsi"/>
          <w:b/>
          <w:sz w:val="20"/>
          <w:szCs w:val="20"/>
          <w:lang w:val="es-ES"/>
        </w:rPr>
        <w:t>Análisis de plazo razonable del recurso de amparo</w:t>
      </w:r>
    </w:p>
    <w:p w14:paraId="17FBC3F1" w14:textId="77777777" w:rsidR="00D6022F" w:rsidRPr="00D73FE2" w:rsidRDefault="00D6022F" w:rsidP="00D6022F">
      <w:pPr>
        <w:rPr>
          <w:rFonts w:asciiTheme="majorHAnsi" w:hAnsiTheme="majorHAnsi" w:cs="Arial"/>
          <w:bCs/>
          <w:iCs/>
          <w:sz w:val="20"/>
          <w:szCs w:val="20"/>
          <w:lang w:val="es-EC"/>
        </w:rPr>
      </w:pPr>
    </w:p>
    <w:p w14:paraId="7F71FFA0" w14:textId="77777777"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F22DB">
        <w:rPr>
          <w:rFonts w:asciiTheme="majorHAnsi" w:hAnsiTheme="majorHAnsi"/>
          <w:sz w:val="20"/>
          <w:szCs w:val="20"/>
          <w:lang w:val="es-VE"/>
        </w:rPr>
        <w:t xml:space="preserve">A continuación la Comisión analizará si en el trámite de la acción de amparo el Estado respetó la garantía del plazo </w:t>
      </w:r>
      <w:r w:rsidRPr="00D6022F">
        <w:rPr>
          <w:rFonts w:asciiTheme="majorHAnsi" w:hAnsiTheme="majorHAnsi"/>
          <w:sz w:val="20"/>
          <w:szCs w:val="20"/>
          <w:lang w:val="es-VE"/>
        </w:rPr>
        <w:t>razonable</w:t>
      </w:r>
      <w:r w:rsidRPr="00FF22DB">
        <w:rPr>
          <w:rFonts w:asciiTheme="majorHAnsi" w:hAnsiTheme="majorHAnsi"/>
          <w:sz w:val="20"/>
          <w:szCs w:val="20"/>
          <w:lang w:val="es-VE"/>
        </w:rPr>
        <w:t xml:space="preserve">. El recurso de amparo fue interpuesto el 22 de julio de 2004 y resuelto definitivamente el 9 de septiembre de 2005, esto es, 14 meses después. </w:t>
      </w:r>
    </w:p>
    <w:p w14:paraId="6C1AFB45" w14:textId="77777777" w:rsidR="00FF22DB" w:rsidRDefault="00FF22DB" w:rsidP="00FF22DB">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VE"/>
        </w:rPr>
      </w:pPr>
    </w:p>
    <w:p w14:paraId="4D8F7D73" w14:textId="77777777"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F22DB">
        <w:rPr>
          <w:rFonts w:asciiTheme="majorHAnsi" w:hAnsiTheme="majorHAnsi"/>
          <w:bCs/>
          <w:sz w:val="20"/>
          <w:szCs w:val="20"/>
          <w:lang w:val="es-EC"/>
        </w:rPr>
        <w:t>La jurisprudencia de la Corte Interamericana ha establecido cuatro elementos que se deben tomar en cuenta para determinar la razonabilidad del plazo: a) la complejidad del asunto; b) la actividad procesal del interesado;  c) la conducta de las autoridades judiciales y d) la afectación generada en la situación jurídica de la persona involucrada en el proceso</w:t>
      </w:r>
      <w:r w:rsidRPr="000057E9">
        <w:rPr>
          <w:rStyle w:val="FootnoteReference"/>
          <w:rFonts w:asciiTheme="majorHAnsi" w:hAnsiTheme="majorHAnsi"/>
          <w:bCs/>
          <w:sz w:val="20"/>
          <w:szCs w:val="20"/>
          <w:lang w:val="es-EC"/>
        </w:rPr>
        <w:footnoteReference w:id="189"/>
      </w:r>
      <w:r w:rsidRPr="00FF22DB">
        <w:rPr>
          <w:rFonts w:asciiTheme="majorHAnsi" w:hAnsiTheme="majorHAnsi"/>
          <w:bCs/>
          <w:sz w:val="20"/>
          <w:szCs w:val="20"/>
          <w:lang w:val="es-EC"/>
        </w:rPr>
        <w:t xml:space="preserve">. </w:t>
      </w:r>
    </w:p>
    <w:p w14:paraId="0319D0F9" w14:textId="77777777" w:rsidR="00FF22DB" w:rsidRDefault="00FF22DB" w:rsidP="00FF22DB">
      <w:pPr>
        <w:pStyle w:val="ListParagraph"/>
        <w:rPr>
          <w:rFonts w:asciiTheme="majorHAnsi" w:hAnsiTheme="majorHAnsi"/>
          <w:sz w:val="20"/>
          <w:szCs w:val="20"/>
          <w:lang w:val="es-VE"/>
        </w:rPr>
      </w:pPr>
    </w:p>
    <w:p w14:paraId="5432B06F" w14:textId="77777777"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F22DB">
        <w:rPr>
          <w:rFonts w:asciiTheme="majorHAnsi" w:hAnsiTheme="majorHAnsi"/>
          <w:sz w:val="20"/>
          <w:szCs w:val="20"/>
          <w:lang w:val="es-VE"/>
        </w:rPr>
        <w:t xml:space="preserve">Con respecto a la complejidad del asunto, la Comisión observa que el recurso de amparo planteado en contra del Consejo Nacional de Fronteras pretendía que el Tribunal declarara que el acto administrativo de despido constituyó una violación al derecho a la igualdad ante la ley, a la garantía de no ser discriminado y a los derechos al trabajo y a la estabilidad laboral, así como la restitución de las presuntas víctimas a sus puestos de trabajo. Si bien, </w:t>
      </w:r>
      <w:r w:rsidRPr="00FF22DB">
        <w:rPr>
          <w:rFonts w:asciiTheme="majorHAnsi" w:hAnsiTheme="majorHAnsi"/>
          <w:bCs/>
          <w:sz w:val="20"/>
          <w:szCs w:val="20"/>
          <w:lang w:val="es-EC"/>
        </w:rPr>
        <w:t>como</w:t>
      </w:r>
      <w:r w:rsidRPr="00FF22DB">
        <w:rPr>
          <w:rFonts w:asciiTheme="majorHAnsi" w:hAnsiTheme="majorHAnsi"/>
          <w:sz w:val="20"/>
          <w:szCs w:val="20"/>
          <w:lang w:val="es-VE"/>
        </w:rPr>
        <w:t xml:space="preserve"> se indicó anteriormente, los casos de desviación de poder o discriminación encubierta pueden revestir cierta complejidad, especialmente en materia probatoria, la Comisión destaca que el trámite judicial del amparo interpuesto por las víctimas fue muy concreto, toda vez que consistió en la presentación del recurso de amparo acompañado de documentos probatorios.  La Comisión no cuenta con información sobre un despliegue probatorio relevante que pudiera justificar la demora de 14 meses en resolver un recurso de amparo. En consecuencia, la Comisión considera que el Estado no demostró que la demora fuera atribuible a la complejidad del asunto. </w:t>
      </w:r>
    </w:p>
    <w:p w14:paraId="2DDECE11" w14:textId="77777777" w:rsidR="00FF22DB" w:rsidRDefault="00FF22DB" w:rsidP="00FF22DB">
      <w:pPr>
        <w:pStyle w:val="ListParagraph"/>
        <w:rPr>
          <w:rFonts w:asciiTheme="majorHAnsi" w:hAnsiTheme="majorHAnsi"/>
          <w:sz w:val="20"/>
          <w:szCs w:val="20"/>
          <w:lang w:val="es-VE"/>
        </w:rPr>
      </w:pPr>
    </w:p>
    <w:p w14:paraId="3EBD99B6" w14:textId="77777777"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F22DB">
        <w:rPr>
          <w:rFonts w:asciiTheme="majorHAnsi" w:hAnsiTheme="majorHAnsi"/>
          <w:sz w:val="20"/>
          <w:szCs w:val="20"/>
          <w:lang w:val="es-VE"/>
        </w:rPr>
        <w:t xml:space="preserve">En cuanto a la actividad procesal del interesado, los peticionarios presentaron la acción de amparo el 22 de julio de 2004. El 4 de agosto de 2004 el Juzgado Cuarto de Primera Instancia se declaró incompetente para conocer de la acción de amparo y remitió el expediente a la Sala Constitucional del Tribunal Supremo de Justicia. En al menos tres ocasiones las víctimas solicitaron a la Sala Constitucional un pronunciamiento sobre la declinatoria de competencia. El 26 de mayo de 2005 la Sala Constitucional del Tribunal Supremo de Justicia emitió sentencia indicando que no acepta la declinatoria de competencia. En virtud de ello, el 17 de junio de 2005 el Tribunal Cuarto de Primera Instancia admitió la acción de amparo. El 20 de julio de 2005 las presuntas víctimas comparecieron a la audiencia constitucional ante el Juzgado Cuarto de Primera Instancia de Juicio del Trabajo y al final de la misma el Juzgado Cuarto de Primera Instancia declaró improcedente la acción de amparo, e indicó que publicaría la decisión con las razones de hecho y de derecho en que se apoya dicha decisión dentro de los cinco días hábiles siguientes a la audiencia.  El 27 de julio de 2005 el Tribunal Cuarto emitió sentencia sobre el fondo, declarando sin lugar la acción de amparo. En virtud de ello, el 29 de julio de 2005  las presuntas víctimas interpusieron recurso de apelación. El 9 de septiembre de 2005 el Juzgado Tercero Superior del Trabajo del Circuito Judicial del Trabajo declaró sin lugar la apelación.  En este sentido, la Comisión observa que las presuntas víctimas participaron activamente en el proceso sin que existan elementos que pudieran atribuirles la demora en la decisión del recurso de amparo. </w:t>
      </w:r>
    </w:p>
    <w:p w14:paraId="4DE3D2B2" w14:textId="77777777" w:rsidR="00FF22DB" w:rsidRDefault="00FF22DB" w:rsidP="00FF22DB">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VE"/>
        </w:rPr>
      </w:pPr>
    </w:p>
    <w:p w14:paraId="322941D1" w14:textId="77777777"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F22DB">
        <w:rPr>
          <w:rFonts w:asciiTheme="majorHAnsi" w:hAnsiTheme="majorHAnsi"/>
          <w:sz w:val="20"/>
          <w:szCs w:val="20"/>
          <w:lang w:val="es-VE"/>
        </w:rPr>
        <w:t>En cuanto a la conducta de las autoridades judiciales la Comisión observa que el artículo 26 de la Constitución establece el derecho de obtener con prontitud la decisión correspondiente en los órganos de administración de justicia</w:t>
      </w:r>
      <w:r w:rsidRPr="00D73FE2">
        <w:rPr>
          <w:rStyle w:val="FootnoteReference"/>
          <w:rFonts w:asciiTheme="majorHAnsi" w:hAnsiTheme="majorHAnsi"/>
          <w:sz w:val="20"/>
          <w:szCs w:val="20"/>
          <w:lang w:val="es-VE"/>
        </w:rPr>
        <w:footnoteReference w:id="190"/>
      </w:r>
      <w:r w:rsidRPr="00FF22DB">
        <w:rPr>
          <w:rFonts w:asciiTheme="majorHAnsi" w:hAnsiTheme="majorHAnsi"/>
          <w:sz w:val="20"/>
          <w:szCs w:val="20"/>
          <w:lang w:val="es-VE"/>
        </w:rPr>
        <w:t xml:space="preserve">. </w:t>
      </w:r>
      <w:r w:rsidRPr="00FF22DB">
        <w:rPr>
          <w:rFonts w:ascii="Cambria" w:hAnsi="Cambria"/>
          <w:sz w:val="20"/>
          <w:szCs w:val="20"/>
          <w:lang w:val="es-ES"/>
        </w:rPr>
        <w:t xml:space="preserve">La </w:t>
      </w:r>
      <w:r w:rsidRPr="00FF22DB">
        <w:rPr>
          <w:rFonts w:asciiTheme="majorHAnsi" w:hAnsiTheme="majorHAnsi"/>
          <w:sz w:val="20"/>
          <w:szCs w:val="20"/>
          <w:lang w:val="es-VE"/>
        </w:rPr>
        <w:t>legislación</w:t>
      </w:r>
      <w:r w:rsidRPr="00FF22DB">
        <w:rPr>
          <w:rFonts w:ascii="Cambria" w:hAnsi="Cambria"/>
          <w:sz w:val="20"/>
          <w:szCs w:val="20"/>
          <w:lang w:val="es-ES"/>
        </w:rPr>
        <w:t xml:space="preserve"> venezolana, específicamente la Ley Orgánica de Amparo sobre Derechos y Garantías Constitucionales del año 1988, vigente al momento de los hechos, preveía la acción de amparo como un recurso rápido para responder a presuntas violaciones de derechos humanos</w:t>
      </w:r>
      <w:r w:rsidRPr="009B7A5D">
        <w:rPr>
          <w:rStyle w:val="FootnoteReference"/>
          <w:rFonts w:ascii="Cambria" w:hAnsi="Cambria"/>
          <w:sz w:val="20"/>
          <w:szCs w:val="20"/>
          <w:lang w:val="es-ES"/>
        </w:rPr>
        <w:footnoteReference w:id="191"/>
      </w:r>
      <w:r w:rsidRPr="00FF22DB">
        <w:rPr>
          <w:rFonts w:ascii="Cambria" w:hAnsi="Cambria"/>
          <w:sz w:val="20"/>
          <w:szCs w:val="20"/>
          <w:lang w:val="es-ES"/>
        </w:rPr>
        <w:t xml:space="preserve">. </w:t>
      </w:r>
      <w:r w:rsidRPr="00FF22DB">
        <w:rPr>
          <w:rFonts w:ascii="Cambria" w:hAnsi="Cambria"/>
          <w:sz w:val="20"/>
          <w:szCs w:val="20"/>
          <w:lang w:val="es-CL"/>
        </w:rPr>
        <w:t xml:space="preserve">Dicha ley hacía referencia a la naturaleza </w:t>
      </w:r>
      <w:r w:rsidRPr="00FF22DB">
        <w:rPr>
          <w:rFonts w:ascii="Cambria" w:hAnsi="Cambria"/>
          <w:sz w:val="20"/>
          <w:szCs w:val="20"/>
          <w:lang w:val="es-ES"/>
        </w:rPr>
        <w:t>“breve, sumaria, y eficaz” del recurso y establecía que los tribunales deben dar “preferencia al trámite de amparo sobre cualquier otro asunto”</w:t>
      </w:r>
      <w:r w:rsidRPr="009B7A5D">
        <w:rPr>
          <w:rStyle w:val="FootnoteReference"/>
          <w:rFonts w:ascii="Cambria" w:hAnsi="Cambria"/>
          <w:sz w:val="20"/>
          <w:szCs w:val="20"/>
          <w:lang w:val="es-ES"/>
        </w:rPr>
        <w:footnoteReference w:id="192"/>
      </w:r>
      <w:r w:rsidRPr="00FF22DB">
        <w:rPr>
          <w:rFonts w:ascii="Cambria" w:hAnsi="Cambria"/>
          <w:sz w:val="20"/>
          <w:szCs w:val="20"/>
          <w:lang w:val="es-ES"/>
        </w:rPr>
        <w:t>.</w:t>
      </w:r>
    </w:p>
    <w:p w14:paraId="5D6C2AB8" w14:textId="77777777" w:rsidR="00FF22DB" w:rsidRDefault="00FF22DB" w:rsidP="00FF22DB">
      <w:pPr>
        <w:pStyle w:val="ListParagraph"/>
        <w:rPr>
          <w:sz w:val="20"/>
          <w:szCs w:val="20"/>
          <w:lang w:val="es-ES"/>
        </w:rPr>
      </w:pPr>
    </w:p>
    <w:p w14:paraId="228C8797" w14:textId="77777777" w:rsid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F22DB">
        <w:rPr>
          <w:rFonts w:ascii="Cambria" w:hAnsi="Cambria"/>
          <w:sz w:val="20"/>
          <w:szCs w:val="20"/>
          <w:lang w:val="es-ES"/>
        </w:rPr>
        <w:t>A pesar de estas disposiciones, la Comisión observa que d</w:t>
      </w:r>
      <w:proofErr w:type="spellStart"/>
      <w:r w:rsidRPr="00FF22DB">
        <w:rPr>
          <w:rFonts w:ascii="Cambria" w:hAnsi="Cambria"/>
          <w:sz w:val="20"/>
          <w:szCs w:val="20"/>
          <w:lang w:val="es-VE"/>
        </w:rPr>
        <w:t>urante</w:t>
      </w:r>
      <w:proofErr w:type="spellEnd"/>
      <w:r w:rsidRPr="00FF22DB">
        <w:rPr>
          <w:rFonts w:ascii="Cambria" w:hAnsi="Cambria"/>
          <w:sz w:val="20"/>
          <w:szCs w:val="20"/>
          <w:lang w:val="es-VE"/>
        </w:rPr>
        <w:t xml:space="preserve"> la mayoría del tiempo que duró el proceso de amparo las autoridades judiciales estuvieron discutiendo sobre cuestiones de competencia. En efecto, l</w:t>
      </w:r>
      <w:r w:rsidRPr="00FF22DB">
        <w:rPr>
          <w:rFonts w:asciiTheme="majorHAnsi" w:hAnsiTheme="majorHAnsi"/>
          <w:sz w:val="20"/>
          <w:szCs w:val="20"/>
          <w:lang w:val="es-VE"/>
        </w:rPr>
        <w:t>uego que el Juzgado Cuarto se declaró incompetente y remitió las actuaciones a la Sala Constitucional, y a pesar de las solicitudes reiteradas que las víctimas presentaron para que se resolviera la declinatoria, no fue sino hasta diez meses después, el 26 de mayo de 2005, que la Sala Constitucional del Tribunal Supremo de justicia emitió sentencia indicando que no acepta la declinatoria de competencia. A su vez, la sentencia de fondo sobre la acción de amparo se emitió el 27 de julio de 2005</w:t>
      </w:r>
      <w:r w:rsidRPr="00FF22DB">
        <w:rPr>
          <w:rFonts w:asciiTheme="majorHAnsi" w:hAnsiTheme="majorHAnsi"/>
          <w:sz w:val="20"/>
          <w:szCs w:val="20"/>
          <w:lang w:val="es-ES"/>
        </w:rPr>
        <w:t xml:space="preserve">, más de un año después de su presentación, sin que el Estado haya presentado justificación alguna para dicha demora respecto de un recurso que por su propia naturaleza debe ser resuelto con la mayor inmediatez posible. </w:t>
      </w:r>
    </w:p>
    <w:p w14:paraId="53BA9440" w14:textId="77777777" w:rsidR="00FF22DB" w:rsidRDefault="00FF22DB" w:rsidP="00FF22DB">
      <w:pPr>
        <w:pStyle w:val="ListParagraph"/>
        <w:rPr>
          <w:rFonts w:asciiTheme="majorHAnsi" w:hAnsiTheme="majorHAnsi"/>
          <w:sz w:val="20"/>
          <w:szCs w:val="20"/>
          <w:lang w:val="es-ES"/>
        </w:rPr>
      </w:pPr>
    </w:p>
    <w:p w14:paraId="5E0414CE" w14:textId="043A82DA" w:rsidR="00D6022F" w:rsidRP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FF22DB">
        <w:rPr>
          <w:rFonts w:asciiTheme="majorHAnsi" w:hAnsiTheme="majorHAnsi"/>
          <w:sz w:val="20"/>
          <w:szCs w:val="20"/>
          <w:lang w:val="es-ES"/>
        </w:rPr>
        <w:t xml:space="preserve">En virtud de lo dicho hasta el momento, la Comisión considera que </w:t>
      </w:r>
      <w:r w:rsidRPr="00FF22DB">
        <w:rPr>
          <w:rFonts w:asciiTheme="majorHAnsi" w:hAnsiTheme="majorHAnsi"/>
          <w:sz w:val="20"/>
          <w:szCs w:val="20"/>
          <w:lang w:val="es-CL"/>
        </w:rPr>
        <w:t xml:space="preserve">el recurso de amparo incumplió con la garantía de plazo </w:t>
      </w:r>
      <w:r w:rsidRPr="00FF22DB">
        <w:rPr>
          <w:rFonts w:asciiTheme="majorHAnsi" w:hAnsiTheme="majorHAnsi"/>
          <w:sz w:val="20"/>
          <w:szCs w:val="20"/>
          <w:lang w:val="es-VE"/>
        </w:rPr>
        <w:t>razonable</w:t>
      </w:r>
      <w:r w:rsidRPr="00FF22DB">
        <w:rPr>
          <w:rFonts w:asciiTheme="majorHAnsi" w:hAnsiTheme="majorHAnsi"/>
          <w:sz w:val="20"/>
          <w:szCs w:val="20"/>
          <w:lang w:val="es-CL"/>
        </w:rPr>
        <w:t xml:space="preserve">, lo que constituyó un factor adicional de la denegación de justicia que sufrieron las víctimas en los términos declarados en el presente informe. En consecuencia, la Comisión concluye que en el presente caso el incumplimiento de la garantía de plazo razonable en el marco del recurso de amparo constituyó una violación adicional de los derechos a las garantías judiciales y protección judicial establecidos en los artículos 8.1 y 25.1 de la Convención Americana en relación con el artículo 1.1 del mismo instrumento en perjuicio de Rocío San Miguel Sosa, </w:t>
      </w:r>
      <w:proofErr w:type="spellStart"/>
      <w:r w:rsidRPr="00FF22DB">
        <w:rPr>
          <w:rFonts w:asciiTheme="majorHAnsi" w:hAnsiTheme="majorHAnsi"/>
          <w:sz w:val="20"/>
          <w:szCs w:val="20"/>
          <w:lang w:val="es-CL"/>
        </w:rPr>
        <w:t>Magally</w:t>
      </w:r>
      <w:proofErr w:type="spellEnd"/>
      <w:r w:rsidRPr="00FF22DB">
        <w:rPr>
          <w:rFonts w:asciiTheme="majorHAnsi" w:hAnsiTheme="majorHAnsi"/>
          <w:sz w:val="20"/>
          <w:szCs w:val="20"/>
          <w:lang w:val="es-CL"/>
        </w:rPr>
        <w:t xml:space="preserve"> Chang Girón y Thais Coromoto Peña. </w:t>
      </w:r>
    </w:p>
    <w:p w14:paraId="5D9F1B2B" w14:textId="77777777" w:rsidR="00D6022F" w:rsidRPr="00D73FE2" w:rsidRDefault="00D6022F" w:rsidP="00D6022F">
      <w:pPr>
        <w:rPr>
          <w:rFonts w:asciiTheme="majorHAnsi" w:hAnsiTheme="majorHAnsi"/>
          <w:bCs/>
          <w:sz w:val="20"/>
          <w:szCs w:val="20"/>
          <w:lang w:val="es-EC"/>
        </w:rPr>
      </w:pPr>
    </w:p>
    <w:p w14:paraId="3BE235E2" w14:textId="77777777" w:rsidR="00D6022F" w:rsidRPr="00D73FE2" w:rsidRDefault="00D6022F" w:rsidP="00D6022F">
      <w:pPr>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rPr>
          <w:rFonts w:asciiTheme="majorHAnsi" w:eastAsia="Times New Roman" w:hAnsiTheme="majorHAnsi" w:cs="Arial"/>
          <w:bCs/>
          <w:sz w:val="20"/>
          <w:szCs w:val="20"/>
          <w:bdr w:val="none" w:sz="0" w:space="0" w:color="auto"/>
          <w:lang w:val="es-AR"/>
        </w:rPr>
      </w:pPr>
      <w:bookmarkStart w:id="38" w:name="_Toc370830584"/>
      <w:bookmarkStart w:id="39" w:name="_Toc374694266"/>
      <w:bookmarkStart w:id="40" w:name="_Toc423514429"/>
      <w:bookmarkStart w:id="41" w:name="_Toc431474327"/>
      <w:bookmarkStart w:id="42" w:name="_Toc431566933"/>
      <w:bookmarkStart w:id="43" w:name="_Toc433308907"/>
      <w:r w:rsidRPr="00D73FE2">
        <w:rPr>
          <w:rFonts w:asciiTheme="majorHAnsi" w:eastAsia="Times New Roman" w:hAnsiTheme="majorHAnsi"/>
          <w:b/>
          <w:sz w:val="20"/>
          <w:szCs w:val="20"/>
          <w:bdr w:val="none" w:sz="0" w:space="0" w:color="auto"/>
          <w:lang w:val="es-ES_tradnl"/>
        </w:rPr>
        <w:t>CONCLUSIONES</w:t>
      </w:r>
      <w:bookmarkEnd w:id="38"/>
      <w:bookmarkEnd w:id="39"/>
      <w:bookmarkEnd w:id="40"/>
      <w:bookmarkEnd w:id="41"/>
      <w:bookmarkEnd w:id="42"/>
      <w:bookmarkEnd w:id="43"/>
    </w:p>
    <w:p w14:paraId="703A0334" w14:textId="77777777" w:rsidR="00D6022F" w:rsidRPr="00D73FE2" w:rsidRDefault="00D6022F" w:rsidP="00D6022F">
      <w:pPr>
        <w:ind w:left="720"/>
        <w:jc w:val="both"/>
        <w:rPr>
          <w:rFonts w:asciiTheme="majorHAnsi" w:eastAsia="Times New Roman" w:hAnsiTheme="majorHAnsi"/>
          <w:sz w:val="20"/>
          <w:szCs w:val="20"/>
          <w:lang w:val="es-AR"/>
        </w:rPr>
      </w:pPr>
    </w:p>
    <w:p w14:paraId="7C99D580" w14:textId="77777777" w:rsidR="00D6022F" w:rsidRP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FF22DB">
        <w:rPr>
          <w:rFonts w:asciiTheme="majorHAnsi" w:hAnsiTheme="majorHAnsi"/>
          <w:sz w:val="20"/>
          <w:szCs w:val="20"/>
          <w:lang w:val="es-ES"/>
        </w:rPr>
        <w:lastRenderedPageBreak/>
        <w:t xml:space="preserve">De conformidad con las consideraciones de hecho y de derecho vertidas en el presente informe de fondo, la Comisión concluye que el Estado venezolano es responsable por la violación de los derechos políticos, el derecho a la libertad de expresión, el derecho a la igualdad ante la ley y no discriminación, a las garantías judiciales y a la protección judicial consagrados en los artículos 23, 13, 24, 8 y 25 de la Convención Americana, en relación con el artículo 1.1 del mismo instrumento en perjuicio de Rocío San Miguel Sosa, </w:t>
      </w:r>
      <w:proofErr w:type="spellStart"/>
      <w:r w:rsidRPr="00FF22DB">
        <w:rPr>
          <w:rFonts w:asciiTheme="majorHAnsi" w:hAnsiTheme="majorHAnsi"/>
          <w:sz w:val="20"/>
          <w:szCs w:val="20"/>
          <w:lang w:val="es-ES"/>
        </w:rPr>
        <w:t>Magally</w:t>
      </w:r>
      <w:proofErr w:type="spellEnd"/>
      <w:r w:rsidRPr="00FF22DB">
        <w:rPr>
          <w:rFonts w:asciiTheme="majorHAnsi" w:hAnsiTheme="majorHAnsi"/>
          <w:sz w:val="20"/>
          <w:szCs w:val="20"/>
          <w:lang w:val="es-ES"/>
        </w:rPr>
        <w:t xml:space="preserve"> Chang Girón y Thais Coromoto Peña.</w:t>
      </w:r>
    </w:p>
    <w:p w14:paraId="34A09A31" w14:textId="77777777" w:rsidR="00D6022F" w:rsidRDefault="00D6022F" w:rsidP="00D6022F">
      <w:pPr>
        <w:jc w:val="both"/>
        <w:rPr>
          <w:rFonts w:ascii="Cambria" w:hAnsi="Cambria"/>
          <w:sz w:val="20"/>
          <w:szCs w:val="20"/>
          <w:lang w:val="es-CL"/>
        </w:rPr>
      </w:pPr>
    </w:p>
    <w:p w14:paraId="10482C09" w14:textId="22DB819C" w:rsidR="00D6022F" w:rsidRP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FF22DB">
        <w:rPr>
          <w:rFonts w:asciiTheme="majorHAnsi" w:hAnsiTheme="majorHAnsi"/>
          <w:sz w:val="20"/>
          <w:szCs w:val="20"/>
          <w:lang w:val="es-ES"/>
        </w:rPr>
        <w:t>La Comisión considera que</w:t>
      </w:r>
      <w:r w:rsidR="0019117A" w:rsidRPr="00FF22DB">
        <w:rPr>
          <w:rFonts w:asciiTheme="majorHAnsi" w:hAnsiTheme="majorHAnsi"/>
          <w:sz w:val="20"/>
          <w:szCs w:val="20"/>
          <w:lang w:val="es-ES"/>
        </w:rPr>
        <w:t xml:space="preserve">, con base en la información disponible, </w:t>
      </w:r>
      <w:r w:rsidRPr="00FF22DB">
        <w:rPr>
          <w:rFonts w:asciiTheme="majorHAnsi" w:hAnsiTheme="majorHAnsi"/>
          <w:sz w:val="20"/>
          <w:szCs w:val="20"/>
          <w:lang w:val="es-ES"/>
        </w:rPr>
        <w:t>l</w:t>
      </w:r>
      <w:r w:rsidR="0019117A" w:rsidRPr="00FF22DB">
        <w:rPr>
          <w:rFonts w:asciiTheme="majorHAnsi" w:hAnsiTheme="majorHAnsi"/>
          <w:sz w:val="20"/>
          <w:szCs w:val="20"/>
          <w:lang w:val="es-ES"/>
        </w:rPr>
        <w:t xml:space="preserve">a posible violación al derecho a la integridad personal se encuentra subsumida en las violaciones declaradas a lo largo del presente informe. La Comisión no cuenta con elementos que le permitan determinar la necesidad de efectuar una determinación separada sobre el artículo 5 de la Convención Americana. </w:t>
      </w:r>
    </w:p>
    <w:p w14:paraId="3BCE0DC4" w14:textId="77777777" w:rsidR="00D6022F" w:rsidRPr="00D73FE2" w:rsidRDefault="00D6022F" w:rsidP="00D602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AR"/>
        </w:rPr>
      </w:pPr>
    </w:p>
    <w:p w14:paraId="6AF2F064" w14:textId="77777777" w:rsidR="00D6022F" w:rsidRPr="00D73FE2" w:rsidRDefault="00D6022F" w:rsidP="00D6022F">
      <w:pPr>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rPr>
          <w:rFonts w:asciiTheme="majorHAnsi" w:eastAsia="Times New Roman" w:hAnsiTheme="majorHAnsi"/>
          <w:b/>
          <w:sz w:val="20"/>
          <w:szCs w:val="20"/>
          <w:bdr w:val="none" w:sz="0" w:space="0" w:color="auto"/>
          <w:lang w:val="es-ES_tradnl"/>
        </w:rPr>
      </w:pPr>
      <w:bookmarkStart w:id="44" w:name="_Toc395298796"/>
      <w:bookmarkStart w:id="45" w:name="_Toc418254642"/>
      <w:bookmarkStart w:id="46" w:name="_Toc423514430"/>
      <w:bookmarkStart w:id="47" w:name="_Toc431474328"/>
      <w:bookmarkStart w:id="48" w:name="_Toc431566934"/>
      <w:bookmarkStart w:id="49" w:name="_Toc433308908"/>
      <w:r w:rsidRPr="00D73FE2">
        <w:rPr>
          <w:rFonts w:asciiTheme="majorHAnsi" w:eastAsia="Times New Roman" w:hAnsiTheme="majorHAnsi"/>
          <w:b/>
          <w:sz w:val="20"/>
          <w:szCs w:val="20"/>
          <w:bdr w:val="none" w:sz="0" w:space="0" w:color="auto"/>
          <w:lang w:val="es-ES_tradnl"/>
        </w:rPr>
        <w:t>RECOMENDACIONES</w:t>
      </w:r>
      <w:bookmarkEnd w:id="44"/>
      <w:bookmarkEnd w:id="45"/>
      <w:bookmarkEnd w:id="46"/>
      <w:bookmarkEnd w:id="47"/>
      <w:bookmarkEnd w:id="48"/>
      <w:bookmarkEnd w:id="49"/>
    </w:p>
    <w:p w14:paraId="04FD2484" w14:textId="77777777" w:rsidR="00D6022F" w:rsidRDefault="00D6022F" w:rsidP="00D6022F">
      <w:pPr>
        <w:jc w:val="both"/>
        <w:rPr>
          <w:rFonts w:asciiTheme="majorHAnsi" w:eastAsia="Times New Roman" w:hAnsiTheme="majorHAnsi"/>
          <w:sz w:val="20"/>
          <w:szCs w:val="20"/>
          <w:lang w:val="es-AR"/>
        </w:rPr>
      </w:pPr>
    </w:p>
    <w:p w14:paraId="7E6E9CEA" w14:textId="77777777" w:rsidR="00D6022F" w:rsidRPr="00FF22DB" w:rsidRDefault="00D6022F" w:rsidP="00FF22DB">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FF22DB">
        <w:rPr>
          <w:rFonts w:asciiTheme="majorHAnsi" w:hAnsiTheme="majorHAnsi"/>
          <w:sz w:val="20"/>
          <w:szCs w:val="20"/>
          <w:lang w:val="es-ES"/>
        </w:rPr>
        <w:t>En virtud de las anteriores conclusiones,</w:t>
      </w:r>
    </w:p>
    <w:p w14:paraId="7486A95A" w14:textId="77777777" w:rsidR="00D6022F" w:rsidRPr="00D73FE2" w:rsidRDefault="00D6022F" w:rsidP="00D6022F">
      <w:pPr>
        <w:jc w:val="center"/>
        <w:rPr>
          <w:rFonts w:asciiTheme="majorHAnsi" w:hAnsiTheme="majorHAnsi"/>
          <w:sz w:val="20"/>
          <w:szCs w:val="20"/>
          <w:lang w:val="es-ES"/>
        </w:rPr>
      </w:pPr>
    </w:p>
    <w:p w14:paraId="6D1BD48F" w14:textId="77777777" w:rsidR="00D6022F" w:rsidRPr="00D73FE2" w:rsidRDefault="00D6022F" w:rsidP="00D6022F">
      <w:pPr>
        <w:jc w:val="both"/>
        <w:rPr>
          <w:rFonts w:asciiTheme="majorHAnsi" w:hAnsiTheme="majorHAnsi"/>
          <w:b/>
          <w:sz w:val="20"/>
          <w:szCs w:val="20"/>
          <w:lang w:val="es-ES"/>
        </w:rPr>
      </w:pPr>
      <w:r w:rsidRPr="00D73FE2">
        <w:rPr>
          <w:rFonts w:asciiTheme="majorHAnsi" w:hAnsiTheme="majorHAnsi"/>
          <w:b/>
          <w:sz w:val="20"/>
          <w:szCs w:val="20"/>
          <w:lang w:val="es-ES"/>
        </w:rPr>
        <w:tab/>
        <w:t>LA COMISIÓN INTERAMERICANA DE DERECHOS HUMANOS RECOMIENDA AL ESTADO DE VENEZUELA,</w:t>
      </w:r>
    </w:p>
    <w:p w14:paraId="5FB65D52" w14:textId="77777777" w:rsidR="00D6022F" w:rsidRPr="00D73FE2" w:rsidRDefault="00D6022F" w:rsidP="00D6022F">
      <w:pPr>
        <w:ind w:left="720"/>
        <w:jc w:val="both"/>
        <w:rPr>
          <w:rFonts w:asciiTheme="majorHAnsi" w:hAnsiTheme="majorHAnsi"/>
          <w:sz w:val="20"/>
          <w:szCs w:val="20"/>
          <w:highlight w:val="yellow"/>
          <w:lang w:val="es-ES"/>
        </w:rPr>
      </w:pPr>
    </w:p>
    <w:p w14:paraId="7226F7DD" w14:textId="77777777" w:rsidR="00D6022F" w:rsidRDefault="00D6022F" w:rsidP="00D6022F">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Pr>
          <w:rFonts w:asciiTheme="majorHAnsi" w:hAnsiTheme="majorHAnsi"/>
          <w:sz w:val="20"/>
          <w:szCs w:val="20"/>
          <w:lang w:val="es-ES"/>
        </w:rPr>
        <w:t xml:space="preserve">Reincorporar a las víctimas a la función pública en un cargo de igual categoría al que tendrían actualmente de no haber sido separadas de sus cargos. En caso de que esta no sea la voluntad de las víctimas o que existan razones </w:t>
      </w:r>
      <w:r w:rsidRPr="006934D9">
        <w:rPr>
          <w:rFonts w:ascii="Cambria" w:hAnsi="Cambria"/>
          <w:sz w:val="20"/>
          <w:szCs w:val="20"/>
          <w:lang w:val="es-ES"/>
        </w:rPr>
        <w:t>objetivas</w:t>
      </w:r>
      <w:r>
        <w:rPr>
          <w:rFonts w:asciiTheme="majorHAnsi" w:hAnsiTheme="majorHAnsi"/>
          <w:sz w:val="20"/>
          <w:szCs w:val="20"/>
          <w:lang w:val="es-ES"/>
        </w:rPr>
        <w:t xml:space="preserve"> que impidan la reincorporación, el Estado deberá pagar una indemnización por este motivo, que es independiente de las reparaciones relativas al daño material y moral incluidas en la recomendación número dos. </w:t>
      </w:r>
    </w:p>
    <w:p w14:paraId="5BFFDAC3" w14:textId="77777777" w:rsidR="00D6022F" w:rsidRDefault="00D6022F" w:rsidP="00D6022F">
      <w:pPr>
        <w:ind w:left="720"/>
        <w:jc w:val="both"/>
        <w:rPr>
          <w:rFonts w:asciiTheme="majorHAnsi" w:hAnsiTheme="majorHAnsi"/>
          <w:sz w:val="20"/>
          <w:szCs w:val="20"/>
          <w:lang w:val="es-ES"/>
        </w:rPr>
      </w:pPr>
    </w:p>
    <w:p w14:paraId="01783FE3" w14:textId="77777777" w:rsidR="00D6022F" w:rsidRPr="00321C90" w:rsidRDefault="00D6022F" w:rsidP="00D6022F">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21C90">
        <w:rPr>
          <w:rFonts w:ascii="Cambria" w:hAnsi="Cambria"/>
          <w:sz w:val="20"/>
          <w:szCs w:val="20"/>
          <w:lang w:val="es-ES"/>
        </w:rPr>
        <w:t>Reparar adecuadamente las violaciones de derechos humanos declaradas en el presente informe tanto en el aspecto material como moral</w:t>
      </w:r>
      <w:r>
        <w:rPr>
          <w:rFonts w:ascii="Cambria" w:hAnsi="Cambria"/>
          <w:sz w:val="20"/>
          <w:szCs w:val="20"/>
          <w:lang w:val="es-ES"/>
        </w:rPr>
        <w:t>.</w:t>
      </w:r>
    </w:p>
    <w:p w14:paraId="7D37A128" w14:textId="77777777" w:rsidR="00D6022F" w:rsidRDefault="00D6022F" w:rsidP="00D6022F">
      <w:pPr>
        <w:pStyle w:val="ListParagraph"/>
        <w:rPr>
          <w:rFonts w:asciiTheme="majorHAnsi" w:hAnsiTheme="majorHAnsi"/>
          <w:sz w:val="20"/>
          <w:szCs w:val="20"/>
          <w:lang w:val="es-ES"/>
        </w:rPr>
      </w:pPr>
    </w:p>
    <w:p w14:paraId="5A2E767D" w14:textId="121D065E" w:rsidR="00D6022F" w:rsidRPr="00E321AB" w:rsidRDefault="00D6022F" w:rsidP="00D6022F">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E321AB">
        <w:rPr>
          <w:rFonts w:asciiTheme="majorHAnsi" w:hAnsiTheme="majorHAnsi"/>
          <w:sz w:val="20"/>
          <w:szCs w:val="20"/>
          <w:lang w:val="es-ES"/>
        </w:rPr>
        <w:t xml:space="preserve">Llevar a </w:t>
      </w:r>
      <w:r w:rsidR="00CA19CA">
        <w:rPr>
          <w:rFonts w:asciiTheme="majorHAnsi" w:hAnsiTheme="majorHAnsi"/>
          <w:sz w:val="20"/>
          <w:szCs w:val="20"/>
          <w:lang w:val="es-ES"/>
        </w:rPr>
        <w:t>cabo los procedimientos penales, administrativos o de otra índole</w:t>
      </w:r>
      <w:r>
        <w:rPr>
          <w:rFonts w:asciiTheme="majorHAnsi" w:hAnsiTheme="majorHAnsi"/>
          <w:sz w:val="20"/>
          <w:szCs w:val="20"/>
          <w:lang w:val="es-ES"/>
        </w:rPr>
        <w:t xml:space="preserve"> que correspondan</w:t>
      </w:r>
      <w:r w:rsidR="00F17535">
        <w:rPr>
          <w:rFonts w:asciiTheme="majorHAnsi" w:hAnsiTheme="majorHAnsi"/>
          <w:sz w:val="20"/>
          <w:szCs w:val="20"/>
          <w:lang w:val="es-ES"/>
        </w:rPr>
        <w:t>,</w:t>
      </w:r>
      <w:r>
        <w:rPr>
          <w:rFonts w:asciiTheme="majorHAnsi" w:hAnsiTheme="majorHAnsi"/>
          <w:sz w:val="20"/>
          <w:szCs w:val="20"/>
          <w:lang w:val="es-ES"/>
        </w:rPr>
        <w:t xml:space="preserve"> </w:t>
      </w:r>
      <w:r w:rsidRPr="00E321AB">
        <w:rPr>
          <w:rFonts w:asciiTheme="majorHAnsi" w:hAnsiTheme="majorHAnsi"/>
          <w:sz w:val="20"/>
          <w:szCs w:val="20"/>
          <w:lang w:val="es-ES"/>
        </w:rPr>
        <w:t>relacionados con las violaciones</w:t>
      </w:r>
      <w:r>
        <w:rPr>
          <w:rFonts w:asciiTheme="majorHAnsi" w:hAnsiTheme="majorHAnsi"/>
          <w:sz w:val="20"/>
          <w:szCs w:val="20"/>
          <w:lang w:val="es-ES"/>
        </w:rPr>
        <w:t xml:space="preserve"> de </w:t>
      </w:r>
      <w:r w:rsidRPr="00E321AB">
        <w:rPr>
          <w:rFonts w:asciiTheme="majorHAnsi" w:hAnsiTheme="majorHAnsi"/>
          <w:sz w:val="20"/>
          <w:szCs w:val="20"/>
          <w:lang w:val="es-ES"/>
        </w:rPr>
        <w:t>derechos humanos declaradas en el presente informe de manera imparcial, efectiva y dentro de un plazo razonable, con el objeto de esclarecer los hechos e</w:t>
      </w:r>
      <w:r>
        <w:rPr>
          <w:rFonts w:asciiTheme="majorHAnsi" w:hAnsiTheme="majorHAnsi"/>
          <w:sz w:val="20"/>
          <w:szCs w:val="20"/>
          <w:lang w:val="es-ES"/>
        </w:rPr>
        <w:t xml:space="preserve">n forma completa y establecer las respectivas responsabilidades. </w:t>
      </w:r>
    </w:p>
    <w:p w14:paraId="4384817C" w14:textId="77777777" w:rsidR="00D6022F" w:rsidRPr="00D73FE2" w:rsidRDefault="00D6022F" w:rsidP="00D6022F">
      <w:pPr>
        <w:jc w:val="both"/>
        <w:rPr>
          <w:rFonts w:asciiTheme="majorHAnsi" w:hAnsiTheme="majorHAnsi"/>
          <w:sz w:val="20"/>
          <w:szCs w:val="20"/>
          <w:lang w:val="es-ES"/>
        </w:rPr>
      </w:pPr>
    </w:p>
    <w:p w14:paraId="4D685759" w14:textId="392C1C34" w:rsidR="00D6022F" w:rsidRPr="00CA19CA" w:rsidRDefault="00D6022F" w:rsidP="00CA19CA">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73FE2">
        <w:rPr>
          <w:rFonts w:asciiTheme="majorHAnsi" w:hAnsiTheme="majorHAnsi"/>
          <w:sz w:val="20"/>
          <w:szCs w:val="20"/>
          <w:lang w:val="es-ES"/>
        </w:rPr>
        <w:t xml:space="preserve">Adoptar medidas de no repetición necesarias para evitar que en el futuro se produzcan hechos similares. </w:t>
      </w:r>
      <w:r>
        <w:rPr>
          <w:rFonts w:asciiTheme="majorHAnsi" w:hAnsiTheme="majorHAnsi"/>
          <w:sz w:val="20"/>
          <w:szCs w:val="20"/>
          <w:lang w:val="es-ES"/>
        </w:rPr>
        <w:t xml:space="preserve">En particular, adoptar medidas legislativas, administrativas o de otra índole para prevenir la discriminación por razones políticas. </w:t>
      </w:r>
      <w:r w:rsidR="00CA19CA">
        <w:rPr>
          <w:rFonts w:asciiTheme="majorHAnsi" w:hAnsiTheme="majorHAnsi"/>
          <w:sz w:val="20"/>
          <w:szCs w:val="20"/>
          <w:lang w:val="es-ES"/>
        </w:rPr>
        <w:t xml:space="preserve"> En este marco, asegurar la existencia de reglas claras sobre el acceso y utilización de datos recogidos en procesos electorales, con las salvaguardas necesarias para garantizar la libre expresión de la opinión política sin temor a posibles represalias. </w:t>
      </w:r>
      <w:r w:rsidRPr="00CA19CA">
        <w:rPr>
          <w:rFonts w:asciiTheme="majorHAnsi" w:hAnsiTheme="majorHAnsi"/>
          <w:sz w:val="20"/>
          <w:szCs w:val="20"/>
          <w:lang w:val="es-ES"/>
        </w:rPr>
        <w:t xml:space="preserve">Asimismo, llevar a cabo programas de capacitación: i) a funcionarios públicos de todos los niveles sobre la prohibición de discriminación con base en la opinión política; y ii) a operadores jurídicos llamados a conocer posibles denuncias de discriminación encubierta o desviación de poder. </w:t>
      </w:r>
    </w:p>
    <w:p w14:paraId="36EBE15A" w14:textId="77777777" w:rsidR="00D6022F" w:rsidRPr="00D73FE2" w:rsidRDefault="00D6022F" w:rsidP="00D6022F">
      <w:pPr>
        <w:tabs>
          <w:tab w:val="center" w:pos="5400"/>
        </w:tabs>
        <w:suppressAutoHyphens/>
        <w:rPr>
          <w:rFonts w:asciiTheme="majorHAnsi" w:hAnsiTheme="majorHAnsi"/>
          <w:sz w:val="20"/>
          <w:szCs w:val="20"/>
          <w:lang w:val="es-ES"/>
        </w:rPr>
      </w:pPr>
    </w:p>
    <w:p w14:paraId="10BB5A7C" w14:textId="2F5D7EAD" w:rsidR="00D531E3" w:rsidRPr="00420489" w:rsidRDefault="00D531E3" w:rsidP="003005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80808"/>
          <w:sz w:val="20"/>
          <w:szCs w:val="20"/>
          <w:shd w:val="clear" w:color="auto" w:fill="FFFFFF"/>
          <w:lang w:val="es-ES"/>
        </w:rPr>
      </w:pPr>
    </w:p>
    <w:sectPr w:rsidR="00D531E3" w:rsidRPr="00420489" w:rsidSect="00905478">
      <w:type w:val="oddPage"/>
      <w:pgSz w:w="12240" w:h="15840"/>
      <w:pgMar w:top="1440" w:right="135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A6B9D" w14:textId="77777777" w:rsidR="006B2D8F" w:rsidRDefault="006B2D8F">
      <w:r>
        <w:separator/>
      </w:r>
    </w:p>
  </w:endnote>
  <w:endnote w:type="continuationSeparator" w:id="0">
    <w:p w14:paraId="40A2A338" w14:textId="77777777" w:rsidR="006B2D8F" w:rsidRDefault="006B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16E3980E" w14:textId="77777777" w:rsidR="006B2D8F" w:rsidRPr="00934A2C" w:rsidRDefault="006B2D8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D6213">
          <w:rPr>
            <w:noProof/>
            <w:sz w:val="16"/>
            <w:szCs w:val="22"/>
          </w:rPr>
          <w:t>45</w:t>
        </w:r>
        <w:r w:rsidRPr="00934A2C">
          <w:rPr>
            <w:noProof/>
            <w:sz w:val="16"/>
            <w:szCs w:val="22"/>
          </w:rPr>
          <w:fldChar w:fldCharType="end"/>
        </w:r>
      </w:p>
    </w:sdtContent>
  </w:sdt>
  <w:p w14:paraId="344D13B3" w14:textId="77777777" w:rsidR="006B2D8F" w:rsidRDefault="006B2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FFD9" w14:textId="77777777" w:rsidR="006B2D8F" w:rsidRPr="00934A2C" w:rsidRDefault="006B2D8F">
    <w:pPr>
      <w:pStyle w:val="Footer"/>
      <w:jc w:val="center"/>
      <w:rPr>
        <w:sz w:val="16"/>
        <w:szCs w:val="22"/>
      </w:rPr>
    </w:pPr>
  </w:p>
  <w:p w14:paraId="24261B60" w14:textId="77777777" w:rsidR="006B2D8F" w:rsidRDefault="006B2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40B01" w14:textId="77777777" w:rsidR="006B2D8F" w:rsidRDefault="006B2D8F">
      <w:r>
        <w:separator/>
      </w:r>
    </w:p>
  </w:footnote>
  <w:footnote w:type="continuationSeparator" w:id="0">
    <w:p w14:paraId="1471735A" w14:textId="77777777" w:rsidR="006B2D8F" w:rsidRDefault="006B2D8F">
      <w:r>
        <w:continuationSeparator/>
      </w:r>
    </w:p>
  </w:footnote>
  <w:footnote w:type="continuationNotice" w:id="1">
    <w:p w14:paraId="7520E897" w14:textId="77777777" w:rsidR="006B2D8F" w:rsidRDefault="006B2D8F"/>
  </w:footnote>
  <w:footnote w:id="2">
    <w:p w14:paraId="7CDAECD5" w14:textId="77777777" w:rsidR="006B2D8F" w:rsidRPr="00B97F15" w:rsidRDefault="006B2D8F" w:rsidP="002A62F8">
      <w:pPr>
        <w:pStyle w:val="FootnoteText"/>
        <w:spacing w:after="120"/>
        <w:ind w:firstLine="720"/>
        <w:jc w:val="both"/>
        <w:rPr>
          <w:rFonts w:asciiTheme="majorHAnsi" w:hAnsiTheme="majorHAnsi"/>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ES"/>
        </w:rPr>
        <w:t xml:space="preserve"> CIDH, Informe No. 59/13, Petición 212-06, Admisibilidad, Rocío San Miguel Sosa y otras, Venezuela, 16 de julio de 2013, </w:t>
      </w:r>
      <w:proofErr w:type="spellStart"/>
      <w:r w:rsidRPr="00B97F15">
        <w:rPr>
          <w:rFonts w:asciiTheme="majorHAnsi" w:hAnsiTheme="majorHAnsi"/>
          <w:sz w:val="16"/>
          <w:szCs w:val="16"/>
          <w:lang w:val="es-ES"/>
        </w:rPr>
        <w:t>párrs</w:t>
      </w:r>
      <w:proofErr w:type="spellEnd"/>
      <w:r w:rsidRPr="00B97F15">
        <w:rPr>
          <w:rFonts w:asciiTheme="majorHAnsi" w:hAnsiTheme="majorHAnsi"/>
          <w:sz w:val="16"/>
          <w:szCs w:val="16"/>
          <w:lang w:val="es-ES"/>
        </w:rPr>
        <w:t xml:space="preserve">. </w:t>
      </w:r>
      <w:r w:rsidRPr="00B97F15">
        <w:rPr>
          <w:rFonts w:asciiTheme="majorHAnsi" w:hAnsiTheme="majorHAnsi"/>
          <w:sz w:val="16"/>
          <w:szCs w:val="16"/>
          <w:lang w:val="es-CO"/>
        </w:rPr>
        <w:t>5 -7.</w:t>
      </w:r>
    </w:p>
  </w:footnote>
  <w:footnote w:id="3">
    <w:p w14:paraId="667679D7" w14:textId="6080EDFE" w:rsidR="006B2D8F" w:rsidRPr="00B97F15" w:rsidRDefault="006B2D8F" w:rsidP="00BD4AA9">
      <w:pPr>
        <w:pStyle w:val="FootnoteText"/>
        <w:spacing w:after="120"/>
        <w:ind w:firstLine="720"/>
        <w:jc w:val="both"/>
        <w:rPr>
          <w:rFonts w:asciiTheme="majorHAnsi" w:hAnsiTheme="majorHAnsi"/>
          <w:sz w:val="16"/>
          <w:szCs w:val="16"/>
          <w:lang w:val="es-ES_tradnl"/>
        </w:rPr>
      </w:pPr>
      <w:r w:rsidRPr="00B97F15">
        <w:rPr>
          <w:rStyle w:val="FootnoteReference"/>
          <w:rFonts w:asciiTheme="majorHAnsi" w:hAnsiTheme="majorHAnsi"/>
          <w:sz w:val="16"/>
          <w:szCs w:val="16"/>
        </w:rPr>
        <w:footnoteRef/>
      </w:r>
      <w:r w:rsidRPr="00B97F15">
        <w:rPr>
          <w:rFonts w:asciiTheme="majorHAnsi" w:hAnsiTheme="majorHAnsi"/>
          <w:sz w:val="16"/>
          <w:szCs w:val="16"/>
          <w:lang w:val="es-MX"/>
        </w:rPr>
        <w:t xml:space="preserve"> </w:t>
      </w:r>
      <w:r w:rsidR="005E4F5F">
        <w:rPr>
          <w:rFonts w:asciiTheme="majorHAnsi" w:hAnsiTheme="majorHAnsi"/>
          <w:color w:val="auto"/>
          <w:sz w:val="16"/>
          <w:szCs w:val="16"/>
          <w:lang w:val="es-ES_tradnl"/>
        </w:rPr>
        <w:t>Corte IDH,</w:t>
      </w:r>
      <w:r w:rsidRPr="00B97F15">
        <w:rPr>
          <w:rFonts w:asciiTheme="majorHAnsi" w:hAnsiTheme="majorHAnsi"/>
          <w:color w:val="auto"/>
          <w:sz w:val="16"/>
          <w:szCs w:val="16"/>
          <w:lang w:val="es-ES_tradnl"/>
        </w:rPr>
        <w:t xml:space="preserve"> Caso Velásquez Rodríguez Vs. Honduras. Fondo. Sentencia de 29 de julio de 1988. Serie C No. 4, </w:t>
      </w:r>
      <w:proofErr w:type="spellStart"/>
      <w:r w:rsidRPr="00B97F15">
        <w:rPr>
          <w:rFonts w:asciiTheme="majorHAnsi" w:hAnsiTheme="majorHAnsi"/>
          <w:color w:val="auto"/>
          <w:sz w:val="16"/>
          <w:szCs w:val="16"/>
          <w:lang w:val="es-ES_tradnl"/>
        </w:rPr>
        <w:t>párrs</w:t>
      </w:r>
      <w:proofErr w:type="spellEnd"/>
      <w:r w:rsidRPr="00B97F15">
        <w:rPr>
          <w:rFonts w:asciiTheme="majorHAnsi" w:hAnsiTheme="majorHAnsi"/>
          <w:color w:val="auto"/>
          <w:sz w:val="16"/>
          <w:szCs w:val="16"/>
          <w:lang w:val="es-ES_tradnl"/>
        </w:rPr>
        <w:t>. 127 y 128.</w:t>
      </w:r>
    </w:p>
  </w:footnote>
  <w:footnote w:id="4">
    <w:p w14:paraId="6A2D1EC5" w14:textId="0689DF7B" w:rsidR="006B2D8F" w:rsidRPr="00B97F15" w:rsidRDefault="006B2D8F" w:rsidP="00BD4AA9">
      <w:pPr>
        <w:pStyle w:val="FootnoteText"/>
        <w:spacing w:after="120"/>
        <w:ind w:firstLine="720"/>
        <w:jc w:val="both"/>
        <w:rPr>
          <w:rFonts w:asciiTheme="majorHAnsi" w:hAnsiTheme="majorHAnsi"/>
          <w:sz w:val="16"/>
          <w:szCs w:val="16"/>
          <w:lang w:val="es-MX"/>
        </w:rPr>
      </w:pPr>
      <w:r w:rsidRPr="00B97F15">
        <w:rPr>
          <w:rStyle w:val="FootnoteReference"/>
          <w:rFonts w:asciiTheme="majorHAnsi" w:hAnsiTheme="majorHAnsi"/>
          <w:sz w:val="16"/>
          <w:szCs w:val="16"/>
        </w:rPr>
        <w:footnoteRef/>
      </w:r>
      <w:r w:rsidRPr="00B97F15">
        <w:rPr>
          <w:rFonts w:asciiTheme="majorHAnsi" w:hAnsiTheme="majorHAnsi"/>
          <w:sz w:val="16"/>
          <w:szCs w:val="16"/>
          <w:lang w:val="es-MX"/>
        </w:rPr>
        <w:t xml:space="preserve"> </w:t>
      </w:r>
      <w:hyperlink r:id="rId1" w:history="1">
        <w:r w:rsidR="005E4F5F">
          <w:rPr>
            <w:rFonts w:asciiTheme="majorHAnsi" w:hAnsiTheme="majorHAnsi"/>
            <w:sz w:val="16"/>
            <w:szCs w:val="16"/>
            <w:lang w:val="es-ES_tradnl"/>
          </w:rPr>
          <w:t>Corte IDH,</w:t>
        </w:r>
        <w:r w:rsidRPr="00B97F15">
          <w:rPr>
            <w:rFonts w:asciiTheme="majorHAnsi" w:hAnsiTheme="majorHAnsi"/>
            <w:sz w:val="16"/>
            <w:szCs w:val="16"/>
            <w:lang w:val="es-ES_tradnl"/>
          </w:rPr>
          <w:t xml:space="preserve"> Caso González Medina y familiares Vs. República Dominicana. Excepciones Preliminares, Fondo, Reparaciones y Costas. Sentencia de 27 de febrero de 2012 Serie C No. 240</w:t>
        </w:r>
      </w:hyperlink>
      <w:r w:rsidRPr="00B97F15">
        <w:rPr>
          <w:rFonts w:asciiTheme="majorHAnsi" w:hAnsiTheme="majorHAnsi"/>
          <w:sz w:val="16"/>
          <w:szCs w:val="16"/>
          <w:lang w:val="es-ES_tradnl"/>
        </w:rPr>
        <w:t>, párr. 132.</w:t>
      </w:r>
    </w:p>
  </w:footnote>
  <w:footnote w:id="5">
    <w:p w14:paraId="60025A75" w14:textId="076F7128" w:rsidR="006B2D8F" w:rsidRPr="00B97F15" w:rsidRDefault="006B2D8F" w:rsidP="00BD4AA9">
      <w:pPr>
        <w:spacing w:after="120"/>
        <w:ind w:firstLine="720"/>
        <w:jc w:val="both"/>
        <w:rPr>
          <w:rFonts w:asciiTheme="majorHAnsi" w:hAnsiTheme="majorHAnsi"/>
          <w:sz w:val="16"/>
          <w:szCs w:val="16"/>
          <w:lang w:val="es-MX"/>
        </w:rPr>
      </w:pPr>
      <w:r w:rsidRPr="00B97F15">
        <w:rPr>
          <w:rStyle w:val="FootnoteReference"/>
          <w:rFonts w:asciiTheme="majorHAnsi" w:hAnsiTheme="majorHAnsi"/>
          <w:sz w:val="16"/>
          <w:szCs w:val="16"/>
          <w:lang w:val="es-ES_tradnl"/>
        </w:rPr>
        <w:footnoteRef/>
      </w:r>
      <w:r w:rsidRPr="00B97F15">
        <w:rPr>
          <w:rFonts w:asciiTheme="majorHAnsi" w:hAnsiTheme="majorHAnsi"/>
          <w:sz w:val="16"/>
          <w:szCs w:val="16"/>
          <w:lang w:val="es-ES_tradnl"/>
        </w:rPr>
        <w:t xml:space="preserve"> </w:t>
      </w:r>
      <w:hyperlink r:id="rId2" w:history="1">
        <w:r w:rsidR="005E4F5F">
          <w:rPr>
            <w:rFonts w:asciiTheme="majorHAnsi" w:hAnsiTheme="majorHAnsi"/>
            <w:sz w:val="16"/>
            <w:szCs w:val="16"/>
            <w:lang w:val="es-ES_tradnl"/>
          </w:rPr>
          <w:t>Corte IDH,</w:t>
        </w:r>
        <w:r w:rsidRPr="00B97F15">
          <w:rPr>
            <w:rFonts w:asciiTheme="majorHAnsi" w:hAnsiTheme="majorHAnsi"/>
            <w:sz w:val="16"/>
            <w:szCs w:val="16"/>
            <w:lang w:val="es-ES_tradnl"/>
          </w:rPr>
          <w:t xml:space="preserve"> Caso González Medina y familiares Vs. República Dominicana. Excepciones Preliminares, Fondo, Reparaciones y Costas. Sentencia de 27 de febrero de 2012 Serie C No. 240</w:t>
        </w:r>
      </w:hyperlink>
      <w:r w:rsidRPr="00B97F15">
        <w:rPr>
          <w:rFonts w:asciiTheme="majorHAnsi" w:hAnsiTheme="majorHAnsi"/>
          <w:sz w:val="16"/>
          <w:szCs w:val="16"/>
          <w:lang w:val="es-ES_tradnl"/>
        </w:rPr>
        <w:t xml:space="preserve">, párr. 134. </w:t>
      </w:r>
    </w:p>
  </w:footnote>
  <w:footnote w:id="6">
    <w:p w14:paraId="7EE7E844" w14:textId="77777777" w:rsidR="006B2D8F" w:rsidRPr="00B97F15" w:rsidRDefault="006B2D8F" w:rsidP="00BD4AA9">
      <w:pPr>
        <w:pStyle w:val="FootnoteText"/>
        <w:spacing w:after="120"/>
        <w:ind w:firstLine="720"/>
        <w:jc w:val="both"/>
        <w:rPr>
          <w:rFonts w:asciiTheme="majorHAnsi" w:hAnsiTheme="majorHAnsi"/>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w:t>
      </w:r>
      <w:r w:rsidRPr="00B97F15">
        <w:rPr>
          <w:rFonts w:asciiTheme="majorHAnsi" w:hAnsiTheme="majorHAnsi"/>
          <w:sz w:val="16"/>
          <w:szCs w:val="16"/>
          <w:lang w:val="es-VE"/>
        </w:rPr>
        <w:t xml:space="preserve">Corte IDH, Caso </w:t>
      </w:r>
      <w:proofErr w:type="spellStart"/>
      <w:r w:rsidRPr="00B97F15">
        <w:rPr>
          <w:rFonts w:asciiTheme="majorHAnsi" w:hAnsiTheme="majorHAnsi"/>
          <w:sz w:val="16"/>
          <w:szCs w:val="16"/>
          <w:lang w:val="es-VE"/>
        </w:rPr>
        <w:t>Escher</w:t>
      </w:r>
      <w:proofErr w:type="spellEnd"/>
      <w:r w:rsidRPr="00B97F15">
        <w:rPr>
          <w:rFonts w:asciiTheme="majorHAnsi" w:hAnsiTheme="majorHAnsi"/>
          <w:sz w:val="16"/>
          <w:szCs w:val="16"/>
          <w:lang w:val="es-VE"/>
        </w:rPr>
        <w:t xml:space="preserve">  y otros vs. Brasil. Excepciones Preliminares, Fondo, Reparaciones y Costas. Sentencia de 6 de julio de 2009, Serie C No 200, párr. 114</w:t>
      </w:r>
      <w:r w:rsidRPr="00B97F15">
        <w:rPr>
          <w:rFonts w:asciiTheme="majorHAnsi" w:hAnsiTheme="majorHAnsi"/>
          <w:sz w:val="16"/>
          <w:szCs w:val="16"/>
          <w:lang w:val="es-CO"/>
        </w:rPr>
        <w:t xml:space="preserve">. </w:t>
      </w:r>
    </w:p>
  </w:footnote>
  <w:footnote w:id="7">
    <w:p w14:paraId="2F8A8C65" w14:textId="77777777" w:rsidR="006B2D8F" w:rsidRPr="00B97F15" w:rsidRDefault="006B2D8F" w:rsidP="00BD4AA9">
      <w:pPr>
        <w:pStyle w:val="FootnoteText"/>
        <w:spacing w:after="120"/>
        <w:ind w:firstLine="720"/>
        <w:jc w:val="both"/>
        <w:rPr>
          <w:rFonts w:asciiTheme="majorHAnsi" w:hAnsiTheme="majorHAnsi"/>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w:t>
      </w:r>
      <w:r w:rsidRPr="00B97F15">
        <w:rPr>
          <w:rFonts w:asciiTheme="majorHAnsi" w:hAnsiTheme="majorHAnsi"/>
          <w:sz w:val="16"/>
          <w:szCs w:val="16"/>
          <w:lang w:val="es-VE"/>
        </w:rPr>
        <w:t xml:space="preserve">Corte IDH, Caso </w:t>
      </w:r>
      <w:proofErr w:type="spellStart"/>
      <w:r w:rsidRPr="00B97F15">
        <w:rPr>
          <w:rFonts w:asciiTheme="majorHAnsi" w:hAnsiTheme="majorHAnsi"/>
          <w:sz w:val="16"/>
          <w:szCs w:val="16"/>
          <w:lang w:val="es-VE"/>
        </w:rPr>
        <w:t>Escher</w:t>
      </w:r>
      <w:proofErr w:type="spellEnd"/>
      <w:r w:rsidRPr="00B97F15">
        <w:rPr>
          <w:rFonts w:asciiTheme="majorHAnsi" w:hAnsiTheme="majorHAnsi"/>
          <w:sz w:val="16"/>
          <w:szCs w:val="16"/>
          <w:lang w:val="es-VE"/>
        </w:rPr>
        <w:t xml:space="preserve">  y otros vs. Brasil. Excepciones Preliminares, Fondo, Reparaciones y Costas. Sentencia de 6 de julio de 2009, Serie C No 200, párr. 116.</w:t>
      </w:r>
    </w:p>
  </w:footnote>
  <w:footnote w:id="8">
    <w:p w14:paraId="4F27E00C" w14:textId="045DE728" w:rsidR="006B2D8F" w:rsidRPr="00B97F15" w:rsidRDefault="006B2D8F" w:rsidP="00BD4AA9">
      <w:pPr>
        <w:pStyle w:val="FootnoteText"/>
        <w:spacing w:after="120"/>
        <w:ind w:firstLine="720"/>
        <w:jc w:val="both"/>
        <w:rPr>
          <w:rFonts w:asciiTheme="majorHAnsi" w:hAnsiTheme="majorHAnsi"/>
          <w:sz w:val="16"/>
          <w:szCs w:val="16"/>
          <w:lang w:val="es-CO"/>
        </w:rPr>
      </w:pPr>
      <w:r w:rsidRPr="00B97F15">
        <w:rPr>
          <w:rStyle w:val="FootnoteReference"/>
          <w:rFonts w:asciiTheme="majorHAnsi" w:hAnsiTheme="majorHAnsi"/>
          <w:sz w:val="16"/>
          <w:szCs w:val="16"/>
        </w:rPr>
        <w:footnoteRef/>
      </w:r>
      <w:r w:rsidRPr="00C77C84">
        <w:rPr>
          <w:rFonts w:asciiTheme="majorHAnsi" w:hAnsiTheme="majorHAnsi"/>
          <w:sz w:val="16"/>
          <w:szCs w:val="16"/>
          <w:lang w:val="es-VE"/>
        </w:rPr>
        <w:t xml:space="preserve"> ECHR, Radio Twist vs. </w:t>
      </w:r>
      <w:proofErr w:type="spellStart"/>
      <w:r w:rsidRPr="00C77C84">
        <w:rPr>
          <w:rFonts w:asciiTheme="majorHAnsi" w:hAnsiTheme="majorHAnsi"/>
          <w:sz w:val="16"/>
          <w:szCs w:val="16"/>
          <w:lang w:val="es-VE"/>
        </w:rPr>
        <w:t>Slovakia</w:t>
      </w:r>
      <w:proofErr w:type="spellEnd"/>
      <w:r w:rsidRPr="00C77C84">
        <w:rPr>
          <w:rFonts w:asciiTheme="majorHAnsi" w:hAnsiTheme="majorHAnsi"/>
          <w:sz w:val="16"/>
          <w:szCs w:val="16"/>
          <w:lang w:val="es-VE"/>
        </w:rPr>
        <w:t xml:space="preserve">. </w:t>
      </w:r>
      <w:proofErr w:type="spellStart"/>
      <w:r w:rsidRPr="00C77C84">
        <w:rPr>
          <w:rFonts w:asciiTheme="majorHAnsi" w:hAnsiTheme="majorHAnsi"/>
          <w:sz w:val="16"/>
          <w:szCs w:val="16"/>
          <w:lang w:val="es-VE"/>
        </w:rPr>
        <w:t>Application</w:t>
      </w:r>
      <w:proofErr w:type="spellEnd"/>
      <w:r w:rsidRPr="00C77C84">
        <w:rPr>
          <w:rFonts w:asciiTheme="majorHAnsi" w:hAnsiTheme="majorHAnsi"/>
          <w:sz w:val="16"/>
          <w:szCs w:val="16"/>
          <w:lang w:val="es-VE"/>
        </w:rPr>
        <w:t xml:space="preserve"> No. 62202100, </w:t>
      </w:r>
      <w:proofErr w:type="spellStart"/>
      <w:r w:rsidRPr="00C77C84">
        <w:rPr>
          <w:rFonts w:asciiTheme="majorHAnsi" w:hAnsiTheme="majorHAnsi"/>
          <w:sz w:val="16"/>
          <w:szCs w:val="16"/>
          <w:lang w:val="es-VE"/>
        </w:rPr>
        <w:t>December</w:t>
      </w:r>
      <w:proofErr w:type="spellEnd"/>
      <w:r w:rsidRPr="00C77C84">
        <w:rPr>
          <w:rFonts w:asciiTheme="majorHAnsi" w:hAnsiTheme="majorHAnsi"/>
          <w:sz w:val="16"/>
          <w:szCs w:val="16"/>
          <w:lang w:val="es-VE"/>
        </w:rPr>
        <w:t xml:space="preserve"> 19, 2006, </w:t>
      </w:r>
      <w:proofErr w:type="spellStart"/>
      <w:r w:rsidRPr="00C77C84">
        <w:rPr>
          <w:rFonts w:asciiTheme="majorHAnsi" w:hAnsiTheme="majorHAnsi"/>
          <w:sz w:val="16"/>
          <w:szCs w:val="16"/>
          <w:lang w:val="es-VE"/>
        </w:rPr>
        <w:t>párrs</w:t>
      </w:r>
      <w:proofErr w:type="spellEnd"/>
      <w:r w:rsidRPr="00C77C84">
        <w:rPr>
          <w:rFonts w:asciiTheme="majorHAnsi" w:hAnsiTheme="majorHAnsi"/>
          <w:sz w:val="16"/>
          <w:szCs w:val="16"/>
          <w:lang w:val="es-VE"/>
        </w:rPr>
        <w:t xml:space="preserve">. 56-65. </w:t>
      </w:r>
    </w:p>
  </w:footnote>
  <w:footnote w:id="9">
    <w:p w14:paraId="215FE04B" w14:textId="77777777" w:rsidR="006B2D8F" w:rsidRPr="00B97F15" w:rsidRDefault="006B2D8F" w:rsidP="00BD4AA9">
      <w:pPr>
        <w:spacing w:after="120"/>
        <w:ind w:firstLine="720"/>
        <w:jc w:val="both"/>
        <w:rPr>
          <w:rFonts w:asciiTheme="majorHAnsi" w:eastAsia="Calibri" w:hAnsiTheme="majorHAnsi" w:cs="Calibri"/>
          <w:color w:val="000000"/>
          <w:sz w:val="16"/>
          <w:szCs w:val="16"/>
          <w:u w:color="000000"/>
          <w:lang w:val="es-VE" w:eastAsia="es-ES"/>
        </w:rPr>
      </w:pPr>
      <w:r w:rsidRPr="00B97F15">
        <w:rPr>
          <w:rFonts w:asciiTheme="majorHAnsi" w:eastAsia="Calibri" w:hAnsiTheme="majorHAnsi" w:cs="Calibri"/>
          <w:color w:val="000000"/>
          <w:sz w:val="16"/>
          <w:szCs w:val="16"/>
          <w:u w:color="000000"/>
          <w:vertAlign w:val="superscript"/>
          <w:lang w:val="es-VE" w:eastAsia="es-ES"/>
        </w:rPr>
        <w:footnoteRef/>
      </w:r>
      <w:r w:rsidRPr="00B97F15">
        <w:rPr>
          <w:rFonts w:asciiTheme="majorHAnsi" w:eastAsia="Calibri" w:hAnsiTheme="majorHAnsi" w:cs="Calibri"/>
          <w:color w:val="000000"/>
          <w:sz w:val="16"/>
          <w:szCs w:val="16"/>
          <w:u w:color="000000"/>
          <w:lang w:val="es-VE" w:eastAsia="es-ES"/>
        </w:rPr>
        <w:t xml:space="preserve"> El artículo 71 de la Constitución establece que: Las materias de especial trascendencia nacional podrán ser sometidas a referendo consultivo por iniciativa del Presidente o Presidenta de la República en Consejo de Ministros; por acuerdo de la Asamblea Nacional, aprobado por el voto de la mayoría de sus integrantes; o a solicitud de un número no menor del diez por ciento de los electores y electoras inscritos en el registro civil y electoral. También podrán ser sometidas a referendo consultivo las materias de especial trascendencia parroquial, municipal y estadal. La iniciativa le corresponde a la Junta Parroquial, al Concejo Municipal o al Consejo Legislativo, por acuerdo de las dos terceras partes de sus integrantes; al Alcalde o Alcaldesa, o al Gobernador o Gobernadora de Estado, o a un número no menor del diez por ciento del total de inscritos en la circunscripción correspondiente, que lo soliciten.   A su vez, el artículo 72 estipula que: Todos los cargos y magistraturas de elección popular son revocables. Transcurrida la mitad del período para el cual fue elegido el funcionario o funcionaria, un número no menor del veinte por ciento de los electores o electoras inscritos en la correspondiente circunscripción podrá solicitar la convocatoria de un referendo para revocar su mandato. Cuando igual o mayor número de electores y electoras que eligieron al funcionario o funcionaria hubieren votado a favor de la revocatoria, siempre que haya concurrido al referendo un número de electores y electoras igual o superior al veinticinco por ciento de los electores y electoras inscritos, se considerará revocado su mandato y se procederá de inmediato a cubrir la falta absoluta conforme a lo dispuesto en esta Constitución y en la ley. La revocación del mandato para los cuerpos colegiados se realizará de acuerdo con lo que establezca la ley. </w:t>
      </w:r>
      <w:r w:rsidRPr="00B97F15">
        <w:rPr>
          <w:rFonts w:asciiTheme="majorHAnsi" w:eastAsia="Calibri" w:hAnsiTheme="majorHAnsi" w:cs="Calibri"/>
          <w:color w:val="000000"/>
          <w:sz w:val="16"/>
          <w:szCs w:val="16"/>
          <w:lang w:val="es-VE"/>
        </w:rPr>
        <w:t xml:space="preserve">Durante el período para el cual fue elegido el funcionario o funcionaria no podrá hacerse más de una solicitud de revocación de su mandato. Ver </w:t>
      </w:r>
      <w:r w:rsidRPr="00B97F15">
        <w:rPr>
          <w:rFonts w:asciiTheme="majorHAnsi" w:hAnsiTheme="majorHAnsi"/>
          <w:sz w:val="16"/>
          <w:szCs w:val="16"/>
          <w:lang w:val="es-VE"/>
        </w:rPr>
        <w:t xml:space="preserve">Constitución de la República Bolivariana de Venezuela, Gaceta oficial extraordinaria no. 36.380 de 30 de diciembre de 1999, disponible en: </w:t>
      </w:r>
      <w:hyperlink r:id="rId3" w:anchor="cap4" w:history="1">
        <w:r w:rsidRPr="00B97F15">
          <w:rPr>
            <w:rStyle w:val="Hyperlink"/>
            <w:rFonts w:asciiTheme="majorHAnsi" w:hAnsiTheme="majorHAnsi"/>
            <w:sz w:val="16"/>
            <w:szCs w:val="16"/>
            <w:u w:val="none"/>
            <w:lang w:val="es-VE"/>
          </w:rPr>
          <w:t>http://www.cne.gob.ve/web/normativa_electoral/constitucion/titulo3.php#cap4</w:t>
        </w:r>
      </w:hyperlink>
      <w:r w:rsidRPr="00B97F15">
        <w:rPr>
          <w:rFonts w:asciiTheme="majorHAnsi" w:hAnsiTheme="majorHAnsi"/>
          <w:sz w:val="16"/>
          <w:szCs w:val="16"/>
          <w:lang w:val="es-VE"/>
        </w:rPr>
        <w:t xml:space="preserve">.   </w:t>
      </w:r>
    </w:p>
  </w:footnote>
  <w:footnote w:id="10">
    <w:p w14:paraId="762C6F97"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Proyecto Súmate, disponible en: </w:t>
      </w:r>
      <w:hyperlink r:id="rId4" w:history="1">
        <w:r w:rsidRPr="00B97F15">
          <w:rPr>
            <w:rStyle w:val="Hyperlink"/>
            <w:rFonts w:asciiTheme="majorHAnsi" w:hAnsiTheme="majorHAnsi"/>
            <w:sz w:val="16"/>
            <w:szCs w:val="16"/>
            <w:u w:val="none"/>
            <w:lang w:val="es-VE"/>
          </w:rPr>
          <w:t>http://www.sumate.org/proyectos.html</w:t>
        </w:r>
      </w:hyperlink>
      <w:r w:rsidRPr="00B97F15">
        <w:rPr>
          <w:rFonts w:asciiTheme="majorHAnsi" w:hAnsiTheme="majorHAnsi"/>
          <w:sz w:val="16"/>
          <w:szCs w:val="16"/>
          <w:lang w:val="es-VE"/>
        </w:rPr>
        <w:t xml:space="preserve">. </w:t>
      </w:r>
    </w:p>
  </w:footnote>
  <w:footnote w:id="11">
    <w:p w14:paraId="21C1E599"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Analítica, Chávez: no renunciaré aunque logren 90% de votos en el referéndum, 25 de noviembre de 2002, disponible en: </w:t>
      </w:r>
      <w:hyperlink r:id="rId5" w:history="1">
        <w:r w:rsidRPr="00B97F15">
          <w:rPr>
            <w:rStyle w:val="Hyperlink"/>
            <w:rFonts w:asciiTheme="majorHAnsi" w:hAnsiTheme="majorHAnsi"/>
            <w:sz w:val="16"/>
            <w:szCs w:val="16"/>
            <w:u w:val="none"/>
            <w:lang w:val="es-VE"/>
          </w:rPr>
          <w:t>http://analitica.com/actualidad/actualidad-nacional/chavez-no-renunciare-aunque-logren-90-de-votos-en-el-referendum/</w:t>
        </w:r>
      </w:hyperlink>
      <w:r w:rsidRPr="00B97F15">
        <w:rPr>
          <w:rFonts w:asciiTheme="majorHAnsi" w:hAnsiTheme="majorHAnsi"/>
          <w:sz w:val="16"/>
          <w:szCs w:val="16"/>
          <w:lang w:val="es-VE"/>
        </w:rPr>
        <w:t xml:space="preserve">.   El Día, El Tribunal Supremo de Justicia anula el referéndum del 2 de febrero, 29 de noviembre de 2002, disponible en:    </w:t>
      </w:r>
      <w:hyperlink r:id="rId6" w:history="1">
        <w:r w:rsidRPr="00B97F15">
          <w:rPr>
            <w:rStyle w:val="Hyperlink"/>
            <w:rFonts w:asciiTheme="majorHAnsi" w:hAnsiTheme="majorHAnsi"/>
            <w:sz w:val="16"/>
            <w:szCs w:val="16"/>
            <w:u w:val="none"/>
            <w:lang w:val="es-VE"/>
          </w:rPr>
          <w:t>http://eldia.es/venezuela/2002-11-29/2-Tribunal-Supremo-Justicia-anula-referendum-febrero.htm</w:t>
        </w:r>
      </w:hyperlink>
      <w:r w:rsidRPr="00B97F15">
        <w:rPr>
          <w:rFonts w:asciiTheme="majorHAnsi" w:hAnsiTheme="majorHAnsi"/>
          <w:sz w:val="16"/>
          <w:szCs w:val="16"/>
          <w:lang w:val="es-VE"/>
        </w:rPr>
        <w:t xml:space="preserve">. </w:t>
      </w:r>
    </w:p>
  </w:footnote>
  <w:footnote w:id="12">
    <w:p w14:paraId="2691EE3C" w14:textId="60D5F71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Consejo Nacional Electoral, Resolución No. 021203-457, Gaceta Electoral No. 168, disponible en: </w:t>
      </w:r>
      <w:hyperlink r:id="rId7" w:history="1">
        <w:r w:rsidRPr="00B97F15">
          <w:rPr>
            <w:rStyle w:val="Hyperlink"/>
            <w:rFonts w:asciiTheme="majorHAnsi" w:hAnsiTheme="majorHAnsi"/>
            <w:sz w:val="16"/>
            <w:szCs w:val="16"/>
            <w:u w:val="none"/>
            <w:lang w:val="es-VE"/>
          </w:rPr>
          <w:t>http://www.cne.gob.ve/web/gaceta_electoral/gaceta_electoral_detallado.php?tg=1&amp;num_gac=168</w:t>
        </w:r>
      </w:hyperlink>
      <w:r w:rsidRPr="00B97F15">
        <w:rPr>
          <w:rFonts w:asciiTheme="majorHAnsi" w:hAnsiTheme="majorHAnsi"/>
          <w:sz w:val="16"/>
          <w:szCs w:val="16"/>
          <w:lang w:val="es-VE"/>
        </w:rPr>
        <w:t xml:space="preserve">. </w:t>
      </w:r>
    </w:p>
  </w:footnote>
  <w:footnote w:id="13">
    <w:p w14:paraId="476D2A7F"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Sala Accidental del Tribunal Supremo de Justicia, Decisión que declara con lugar solicitud de amparo constitucional cautelar, 22 de enero de 2003, disponible en: </w:t>
      </w:r>
      <w:hyperlink r:id="rId8" w:history="1">
        <w:r w:rsidRPr="00B97F15">
          <w:rPr>
            <w:rStyle w:val="Hyperlink"/>
            <w:rFonts w:asciiTheme="majorHAnsi" w:hAnsiTheme="majorHAnsi"/>
            <w:sz w:val="16"/>
            <w:szCs w:val="16"/>
            <w:u w:val="none"/>
            <w:lang w:val="es-VE"/>
          </w:rPr>
          <w:t>http://historico.tsj.gob.ve/decisiones/selec/enero/3-220103-X-0002.HTM</w:t>
        </w:r>
      </w:hyperlink>
      <w:r w:rsidRPr="00B97F15">
        <w:rPr>
          <w:rFonts w:asciiTheme="majorHAnsi" w:hAnsiTheme="majorHAnsi"/>
          <w:sz w:val="16"/>
          <w:szCs w:val="16"/>
          <w:lang w:val="es-VE"/>
        </w:rPr>
        <w:t xml:space="preserve">, Súmate, Informe de Avance “El Referendo Revocatorio Presidencial”, 7 de septiembre de 2004, página 14, disponible en: </w:t>
      </w:r>
      <w:hyperlink r:id="rId9" w:history="1">
        <w:r w:rsidRPr="00B97F15">
          <w:rPr>
            <w:rStyle w:val="Hyperlink"/>
            <w:rFonts w:asciiTheme="majorHAnsi" w:hAnsiTheme="majorHAnsi"/>
            <w:sz w:val="16"/>
            <w:szCs w:val="16"/>
            <w:u w:val="none"/>
            <w:lang w:val="es-VE"/>
          </w:rPr>
          <w:t>http://infovenezuela.org/democracy/attachments-spanish/T3%20ST03%20N8%20Avance%20Sumate%20RRP1-1.pdf</w:t>
        </w:r>
      </w:hyperlink>
      <w:r w:rsidRPr="00B97F15">
        <w:rPr>
          <w:rFonts w:asciiTheme="majorHAnsi" w:hAnsiTheme="majorHAnsi"/>
          <w:sz w:val="16"/>
          <w:szCs w:val="16"/>
          <w:lang w:val="es-VE"/>
        </w:rPr>
        <w:t xml:space="preserve">. </w:t>
      </w:r>
    </w:p>
  </w:footnote>
  <w:footnote w:id="14">
    <w:p w14:paraId="4204148A"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Sala Accidental del Tribunal Supremo de Justicia, Decisión que declara con lugar solicitud de amparo constitucional cautelar, 22 de enero de 2003, disponible en: </w:t>
      </w:r>
      <w:hyperlink r:id="rId10" w:history="1">
        <w:r w:rsidRPr="00B97F15">
          <w:rPr>
            <w:rStyle w:val="Hyperlink"/>
            <w:rFonts w:asciiTheme="majorHAnsi" w:hAnsiTheme="majorHAnsi"/>
            <w:sz w:val="16"/>
            <w:szCs w:val="16"/>
            <w:u w:val="none"/>
            <w:lang w:val="es-VE"/>
          </w:rPr>
          <w:t>http://historico.tsj.gob.ve/decisiones/selec/enero/3-220103-X-0002.HTM</w:t>
        </w:r>
      </w:hyperlink>
      <w:r w:rsidRPr="00B97F15">
        <w:rPr>
          <w:rFonts w:asciiTheme="majorHAnsi" w:hAnsiTheme="majorHAnsi"/>
          <w:sz w:val="16"/>
          <w:szCs w:val="16"/>
          <w:lang w:val="es-VE"/>
        </w:rPr>
        <w:t xml:space="preserve">. </w:t>
      </w:r>
    </w:p>
  </w:footnote>
  <w:footnote w:id="15">
    <w:p w14:paraId="3194DA22"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Sala Accidental del Tribunal Supremo de Justicia, Decisión que declara con lugar solicitud de amparo constitucional cautelar, 22 de enero de 2003, disponible en: </w:t>
      </w:r>
      <w:hyperlink r:id="rId11" w:history="1">
        <w:r w:rsidRPr="00B97F15">
          <w:rPr>
            <w:rStyle w:val="Hyperlink"/>
            <w:rFonts w:asciiTheme="majorHAnsi" w:hAnsiTheme="majorHAnsi"/>
            <w:sz w:val="16"/>
            <w:szCs w:val="16"/>
            <w:u w:val="none"/>
            <w:lang w:val="es-VE"/>
          </w:rPr>
          <w:t>http://historico.tsj.gob.ve/decisiones/selec/enero/3-220103-X-0002.HTM</w:t>
        </w:r>
      </w:hyperlink>
      <w:r w:rsidRPr="00B97F15">
        <w:rPr>
          <w:rFonts w:asciiTheme="majorHAnsi" w:hAnsiTheme="majorHAnsi"/>
          <w:sz w:val="16"/>
          <w:szCs w:val="16"/>
          <w:lang w:val="es-VE"/>
        </w:rPr>
        <w:t xml:space="preserve">. </w:t>
      </w:r>
    </w:p>
  </w:footnote>
  <w:footnote w:id="16">
    <w:p w14:paraId="368128B0"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Súmate, Informe de Avance “El Referendo Revocatorio Presidencial”, 7 de septiembre de 2004,  pag.14, disponible en: </w:t>
      </w:r>
      <w:hyperlink r:id="rId12" w:history="1">
        <w:r w:rsidRPr="00B97F15">
          <w:rPr>
            <w:rStyle w:val="Hyperlink"/>
            <w:rFonts w:asciiTheme="majorHAnsi" w:hAnsiTheme="majorHAnsi"/>
            <w:sz w:val="16"/>
            <w:szCs w:val="16"/>
            <w:u w:val="none"/>
            <w:lang w:val="es-VE"/>
          </w:rPr>
          <w:t>http://infovenezuela.org/democracy/attachments-spanish/T3%20ST03%20N8%20Avance%20Sumate%20RRP1-1.pdf</w:t>
        </w:r>
      </w:hyperlink>
      <w:r w:rsidRPr="00B97F15">
        <w:rPr>
          <w:rFonts w:asciiTheme="majorHAnsi" w:hAnsiTheme="majorHAnsi"/>
          <w:sz w:val="16"/>
          <w:szCs w:val="16"/>
          <w:lang w:val="es-VE"/>
        </w:rPr>
        <w:t>.</w:t>
      </w:r>
    </w:p>
  </w:footnote>
  <w:footnote w:id="17">
    <w:p w14:paraId="1402B5B7"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Súmate, Informe de Avance “El Referendo Revocatorio Presidencial”, 7 de septiembre de 2004,  pag.15, disponible en: </w:t>
      </w:r>
      <w:hyperlink r:id="rId13" w:history="1">
        <w:r w:rsidRPr="00B97F15">
          <w:rPr>
            <w:rStyle w:val="Hyperlink"/>
            <w:rFonts w:asciiTheme="majorHAnsi" w:hAnsiTheme="majorHAnsi"/>
            <w:sz w:val="16"/>
            <w:szCs w:val="16"/>
            <w:u w:val="none"/>
            <w:lang w:val="es-VE"/>
          </w:rPr>
          <w:t>http://infovenezuela.org/democracy/attachments-spanish/T3%20ST03%20N8%20Avance%20Sumate%20RRP1-1.pdf</w:t>
        </w:r>
      </w:hyperlink>
    </w:p>
  </w:footnote>
  <w:footnote w:id="18">
    <w:p w14:paraId="4701F5C9"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El País, La oposición canta victoria en el </w:t>
      </w:r>
      <w:proofErr w:type="spellStart"/>
      <w:r w:rsidRPr="00B97F15">
        <w:rPr>
          <w:rFonts w:asciiTheme="majorHAnsi" w:hAnsiTheme="majorHAnsi"/>
          <w:sz w:val="16"/>
          <w:szCs w:val="16"/>
          <w:lang w:val="es-VE"/>
        </w:rPr>
        <w:t>firmazo</w:t>
      </w:r>
      <w:proofErr w:type="spellEnd"/>
      <w:r w:rsidRPr="00B97F15">
        <w:rPr>
          <w:rFonts w:asciiTheme="majorHAnsi" w:hAnsiTheme="majorHAnsi"/>
          <w:sz w:val="16"/>
          <w:szCs w:val="16"/>
          <w:lang w:val="es-VE"/>
        </w:rPr>
        <w:t xml:space="preserve"> contra Chávez, 3 de diciembre de 2003, disponible en: </w:t>
      </w:r>
      <w:hyperlink r:id="rId14" w:history="1">
        <w:r w:rsidRPr="00B97F15">
          <w:rPr>
            <w:rStyle w:val="Hyperlink"/>
            <w:rFonts w:asciiTheme="majorHAnsi" w:hAnsiTheme="majorHAnsi"/>
            <w:sz w:val="16"/>
            <w:szCs w:val="16"/>
            <w:u w:val="none"/>
            <w:lang w:val="es-VE"/>
          </w:rPr>
          <w:t>http://elpais.com/diario/2003/12/03/internacional/1070406013_850215.html</w:t>
        </w:r>
      </w:hyperlink>
      <w:r w:rsidRPr="00B97F15">
        <w:rPr>
          <w:rFonts w:asciiTheme="majorHAnsi" w:hAnsiTheme="majorHAnsi"/>
          <w:sz w:val="16"/>
          <w:szCs w:val="16"/>
          <w:lang w:val="es-VE"/>
        </w:rPr>
        <w:t xml:space="preserve">. </w:t>
      </w:r>
    </w:p>
  </w:footnote>
  <w:footnote w:id="19">
    <w:p w14:paraId="313F04B9"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El Universal, Ordenan entrega de firmas después del 19A, 14 de agosto de 2003, disponible en: </w:t>
      </w:r>
      <w:hyperlink r:id="rId15" w:history="1">
        <w:r w:rsidRPr="00B97F15">
          <w:rPr>
            <w:rStyle w:val="Hyperlink"/>
            <w:rFonts w:asciiTheme="majorHAnsi" w:hAnsiTheme="majorHAnsi"/>
            <w:sz w:val="16"/>
            <w:szCs w:val="16"/>
            <w:u w:val="none"/>
            <w:lang w:val="es-VE"/>
          </w:rPr>
          <w:t>http://www.eluniversal.com/2003/08/14/pol_art_14104AA</w:t>
        </w:r>
      </w:hyperlink>
      <w:r w:rsidRPr="00B97F15">
        <w:rPr>
          <w:rFonts w:asciiTheme="majorHAnsi" w:hAnsiTheme="majorHAnsi"/>
          <w:sz w:val="16"/>
          <w:szCs w:val="16"/>
          <w:lang w:val="es-VE"/>
        </w:rPr>
        <w:t xml:space="preserve">. </w:t>
      </w:r>
    </w:p>
  </w:footnote>
  <w:footnote w:id="20">
    <w:p w14:paraId="59A50BD7"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Súmate, Informe de Avance “El Referendo Revocatorio Presidencial”, 7 de septiembre de 2004,  pag.14, disponible en: </w:t>
      </w:r>
      <w:hyperlink r:id="rId16" w:history="1">
        <w:r w:rsidRPr="00B97F15">
          <w:rPr>
            <w:rStyle w:val="Hyperlink"/>
            <w:rFonts w:asciiTheme="majorHAnsi" w:hAnsiTheme="majorHAnsi"/>
            <w:sz w:val="16"/>
            <w:szCs w:val="16"/>
            <w:u w:val="none"/>
            <w:lang w:val="es-VE"/>
          </w:rPr>
          <w:t>http://infovenezuela.org/democracy/attachments-spanish/T3%20ST03%20N8%20Avance%20Sumate%20RRP1-1.pdf</w:t>
        </w:r>
      </w:hyperlink>
      <w:r w:rsidRPr="00B97F15">
        <w:rPr>
          <w:rFonts w:asciiTheme="majorHAnsi" w:hAnsiTheme="majorHAnsi"/>
          <w:sz w:val="16"/>
          <w:szCs w:val="16"/>
          <w:lang w:val="es-VE"/>
        </w:rPr>
        <w:t>.</w:t>
      </w:r>
    </w:p>
  </w:footnote>
  <w:footnote w:id="21">
    <w:p w14:paraId="2BC420C2"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Consejo Nacional Electoral, Resolución No. 030912-461, 12 de septiembre de 2003, disponible en: </w:t>
      </w:r>
      <w:hyperlink r:id="rId17" w:history="1">
        <w:r w:rsidRPr="00B97F15">
          <w:rPr>
            <w:rStyle w:val="Hyperlink"/>
            <w:rFonts w:asciiTheme="majorHAnsi" w:hAnsiTheme="majorHAnsi"/>
            <w:sz w:val="16"/>
            <w:szCs w:val="16"/>
            <w:u w:val="none"/>
            <w:lang w:val="es-VE"/>
          </w:rPr>
          <w:t>http://www.cne.gob.ve/web/sala_prensa/noticia_detallada.php?id=1629</w:t>
        </w:r>
      </w:hyperlink>
      <w:r w:rsidRPr="00B97F15">
        <w:rPr>
          <w:rFonts w:asciiTheme="majorHAnsi" w:hAnsiTheme="majorHAnsi"/>
          <w:sz w:val="16"/>
          <w:szCs w:val="16"/>
          <w:lang w:val="es-VE"/>
        </w:rPr>
        <w:t xml:space="preserve">. </w:t>
      </w:r>
    </w:p>
  </w:footnote>
  <w:footnote w:id="22">
    <w:p w14:paraId="1E296A4D"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Consejo Nacional Electoral, Resolución No. 030912-461, 12 de septiembre de 2003, disponible en: </w:t>
      </w:r>
      <w:hyperlink r:id="rId18" w:history="1">
        <w:r w:rsidRPr="00B97F15">
          <w:rPr>
            <w:rStyle w:val="Hyperlink"/>
            <w:rFonts w:asciiTheme="majorHAnsi" w:hAnsiTheme="majorHAnsi"/>
            <w:sz w:val="16"/>
            <w:szCs w:val="16"/>
            <w:u w:val="none"/>
            <w:lang w:val="es-VE"/>
          </w:rPr>
          <w:t>http://www.cne.gob.ve/web/sala_prensa/noticia_detallada.php?id=1629</w:t>
        </w:r>
      </w:hyperlink>
      <w:r w:rsidRPr="00B97F15">
        <w:rPr>
          <w:rFonts w:asciiTheme="majorHAnsi" w:hAnsiTheme="majorHAnsi"/>
          <w:sz w:val="16"/>
          <w:szCs w:val="16"/>
          <w:lang w:val="es-VE"/>
        </w:rPr>
        <w:t xml:space="preserve">. </w:t>
      </w:r>
    </w:p>
  </w:footnote>
  <w:footnote w:id="23">
    <w:p w14:paraId="35DFCBD0"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Consejo Nacional Electoral, Resolución 030925-465, 25 de septiembre de 2003.</w:t>
      </w:r>
    </w:p>
  </w:footnote>
  <w:footnote w:id="24">
    <w:p w14:paraId="659ABB1C"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Consejo Nacional Electoral, Resolución 031015-539, 15 de octubre de 2003. </w:t>
      </w:r>
    </w:p>
  </w:footnote>
  <w:footnote w:id="25">
    <w:p w14:paraId="7C09051F" w14:textId="0C9C9A7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1</w:t>
      </w:r>
      <w:r w:rsidRPr="00B97F15">
        <w:rPr>
          <w:rFonts w:asciiTheme="majorHAnsi" w:hAnsiTheme="majorHAnsi"/>
          <w:sz w:val="16"/>
          <w:szCs w:val="16"/>
          <w:lang w:val="es-VE"/>
        </w:rPr>
        <w:t>.  Resolución del Consejo Nacional Electoral No. 031027-710 del 27 de octubre de 2003 (Anexo A al Escrito del Estado dentro del trámite de admisibilidad ante CIDH de 16 de enero de 2008).</w:t>
      </w:r>
    </w:p>
  </w:footnote>
  <w:footnote w:id="26">
    <w:p w14:paraId="0116824F" w14:textId="219B33A3"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w:t>
      </w:r>
      <w:r w:rsidR="005E4F5F">
        <w:rPr>
          <w:rFonts w:asciiTheme="majorHAnsi" w:hAnsiTheme="majorHAnsi"/>
          <w:sz w:val="16"/>
          <w:szCs w:val="16"/>
          <w:lang w:val="es-VE"/>
        </w:rPr>
        <w:t xml:space="preserve">. </w:t>
      </w:r>
      <w:r w:rsidRPr="00B97F15">
        <w:rPr>
          <w:rFonts w:asciiTheme="majorHAnsi" w:hAnsiTheme="majorHAnsi"/>
          <w:sz w:val="16"/>
          <w:szCs w:val="16"/>
          <w:lang w:val="es-VE"/>
        </w:rPr>
        <w:t>Resolución del Consejo Nacional Electoral No. 031120-794 del 20 de noviembre de 2003 (Anexo B al Escrito del Estado dentro del trámite de admisibilidad ante CIDH de 16 de enero de 2008).</w:t>
      </w:r>
    </w:p>
  </w:footnote>
  <w:footnote w:id="27">
    <w:p w14:paraId="5791B08B" w14:textId="77777777" w:rsidR="006B2D8F" w:rsidRPr="00B97F15" w:rsidRDefault="006B2D8F" w:rsidP="00BD4AA9">
      <w:pPr>
        <w:pStyle w:val="FootnoteText"/>
        <w:spacing w:after="120"/>
        <w:ind w:firstLine="720"/>
        <w:jc w:val="both"/>
        <w:rPr>
          <w:rFonts w:asciiTheme="majorHAnsi" w:eastAsia="Arial Unicode MS" w:hAnsiTheme="majorHAnsi" w:cs="Times New Roman"/>
          <w:sz w:val="16"/>
          <w:szCs w:val="16"/>
          <w:shd w:val="clear" w:color="auto" w:fill="FFFFFF"/>
          <w:lang w:val="es-ES" w:eastAsia="en-US"/>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En su Informe Anual de 2004, la CIDH indicó que fue informada sobre la “creciente tensión y polarización </w:t>
      </w:r>
      <w:r w:rsidRPr="00B97F15">
        <w:rPr>
          <w:rFonts w:asciiTheme="majorHAnsi" w:eastAsia="Arial Unicode MS" w:hAnsiTheme="majorHAnsi" w:cs="Times New Roman"/>
          <w:sz w:val="16"/>
          <w:szCs w:val="16"/>
          <w:shd w:val="clear" w:color="auto" w:fill="FFFFFF"/>
          <w:lang w:val="es-ES" w:eastAsia="en-US"/>
        </w:rPr>
        <w:t>entre los sectores de oposición y el Gobierno.  Esto se ha puesto en evidencia en hechos acontecidos durante el proceso de verificación y validación de firmas recogidas por el Consejo Nacional Electoral (“CNE”), así como en la denuncia por parte de altos funcionarios del Gobierno y del propio Presidente sobre un “</w:t>
      </w:r>
      <w:proofErr w:type="spellStart"/>
      <w:r w:rsidRPr="00B97F15">
        <w:rPr>
          <w:rFonts w:asciiTheme="majorHAnsi" w:eastAsia="Arial Unicode MS" w:hAnsiTheme="majorHAnsi" w:cs="Times New Roman"/>
          <w:sz w:val="16"/>
          <w:szCs w:val="16"/>
          <w:shd w:val="clear" w:color="auto" w:fill="FFFFFF"/>
          <w:lang w:val="es-ES" w:eastAsia="en-US"/>
        </w:rPr>
        <w:t>megafraude</w:t>
      </w:r>
      <w:proofErr w:type="spellEnd"/>
      <w:r w:rsidRPr="00B97F15">
        <w:rPr>
          <w:rFonts w:asciiTheme="majorHAnsi" w:eastAsia="Arial Unicode MS" w:hAnsiTheme="majorHAnsi" w:cs="Times New Roman"/>
          <w:sz w:val="16"/>
          <w:szCs w:val="16"/>
          <w:shd w:val="clear" w:color="auto" w:fill="FFFFFF"/>
          <w:lang w:val="es-ES" w:eastAsia="en-US"/>
        </w:rPr>
        <w:t xml:space="preserve">” y en la ola de protestas callejeras pacificas en algunas de las cuales se registraron hechos de violencia por el uso desproporcionado de la fuerza por parte de los aparatos de seguridad a </w:t>
      </w:r>
      <w:bookmarkStart w:id="27" w:name="_ftnref71"/>
      <w:r w:rsidRPr="00B97F15">
        <w:rPr>
          <w:rFonts w:asciiTheme="majorHAnsi" w:eastAsia="Arial Unicode MS" w:hAnsiTheme="majorHAnsi" w:cs="Times New Roman"/>
          <w:sz w:val="16"/>
          <w:szCs w:val="16"/>
          <w:shd w:val="clear" w:color="auto" w:fill="FFFFFF"/>
          <w:lang w:val="es-ES" w:eastAsia="en-US"/>
        </w:rPr>
        <w:t>cargo de la seguridad ciudadana</w:t>
      </w:r>
      <w:bookmarkEnd w:id="27"/>
      <w:r w:rsidRPr="00B97F15">
        <w:rPr>
          <w:rFonts w:asciiTheme="majorHAnsi" w:eastAsia="Arial Unicode MS" w:hAnsiTheme="majorHAnsi" w:cs="Times New Roman"/>
          <w:sz w:val="16"/>
          <w:szCs w:val="16"/>
          <w:shd w:val="clear" w:color="auto" w:fill="FFFFFF"/>
          <w:lang w:val="es-ES" w:eastAsia="en-US"/>
        </w:rPr>
        <w:t xml:space="preserve">. Ver. CIDH. Informe de Seguimiento sobre el cumplimiento por el Estado de la República Bolivariana de Venezuela de las recomendaciones efectuadas por la CIDH en el Informe sobre la situación de los derechos humanos en Venezuela, 23 de febrero de 2005, disponible en: </w:t>
      </w:r>
      <w:hyperlink r:id="rId19" w:history="1">
        <w:r w:rsidRPr="00B97F15">
          <w:rPr>
            <w:rStyle w:val="Hyperlink"/>
            <w:rFonts w:asciiTheme="majorHAnsi" w:eastAsia="Arial Unicode MS" w:hAnsiTheme="majorHAnsi" w:cs="Times New Roman"/>
            <w:sz w:val="16"/>
            <w:szCs w:val="16"/>
            <w:u w:val="none"/>
            <w:shd w:val="clear" w:color="auto" w:fill="FFFFFF"/>
            <w:lang w:val="es-ES" w:eastAsia="en-US"/>
          </w:rPr>
          <w:t>http://www.cidh.oas.org/annualrep/2004sp/cap.5d.htm</w:t>
        </w:r>
      </w:hyperlink>
      <w:r w:rsidRPr="00B97F15">
        <w:rPr>
          <w:rFonts w:asciiTheme="majorHAnsi" w:eastAsia="Arial Unicode MS" w:hAnsiTheme="majorHAnsi" w:cs="Times New Roman"/>
          <w:sz w:val="16"/>
          <w:szCs w:val="16"/>
          <w:shd w:val="clear" w:color="auto" w:fill="FFFFFF"/>
          <w:lang w:val="es-ES" w:eastAsia="en-US"/>
        </w:rPr>
        <w:t xml:space="preserve">. </w:t>
      </w:r>
    </w:p>
  </w:footnote>
  <w:footnote w:id="28">
    <w:p w14:paraId="0B2EA5E8"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Documental “La Lista un pueblo bajo sospecha, disponible en: </w:t>
      </w:r>
      <w:hyperlink r:id="rId20" w:history="1">
        <w:r w:rsidRPr="00B97F15">
          <w:rPr>
            <w:rStyle w:val="Hyperlink"/>
            <w:rFonts w:asciiTheme="majorHAnsi" w:hAnsiTheme="majorHAnsi"/>
            <w:sz w:val="16"/>
            <w:szCs w:val="16"/>
            <w:u w:val="none"/>
            <w:lang w:val="es-VE"/>
          </w:rPr>
          <w:t>https://www.youtube.com/watch?v=2LuOQjhg8BU</w:t>
        </w:r>
      </w:hyperlink>
      <w:r w:rsidRPr="00B97F15">
        <w:rPr>
          <w:rFonts w:asciiTheme="majorHAnsi" w:hAnsiTheme="majorHAnsi"/>
          <w:sz w:val="16"/>
          <w:szCs w:val="16"/>
          <w:lang w:val="es-VE"/>
        </w:rPr>
        <w:t xml:space="preserve">;  “El Universal, La lista infame, Lo que molesta es cómo millones de personas salieron de las barriadas a votar sin miedo, 25 de febrero de 2012, disponible en: </w:t>
      </w:r>
      <w:hyperlink r:id="rId21" w:history="1">
        <w:r w:rsidRPr="00B97F15">
          <w:rPr>
            <w:rStyle w:val="Hyperlink"/>
            <w:rFonts w:asciiTheme="majorHAnsi" w:hAnsiTheme="majorHAnsi"/>
            <w:sz w:val="16"/>
            <w:szCs w:val="16"/>
            <w:u w:val="none"/>
            <w:lang w:val="es-VE"/>
          </w:rPr>
          <w:t>http://www.eluniversal.com/opinion/120225/la-lista-infame-imp</w:t>
        </w:r>
      </w:hyperlink>
      <w:r w:rsidRPr="00B97F15">
        <w:rPr>
          <w:rFonts w:asciiTheme="majorHAnsi" w:hAnsiTheme="majorHAnsi"/>
          <w:sz w:val="16"/>
          <w:szCs w:val="16"/>
          <w:lang w:val="es-VE"/>
        </w:rPr>
        <w:t xml:space="preserve">. </w:t>
      </w:r>
    </w:p>
  </w:footnote>
  <w:footnote w:id="29">
    <w:p w14:paraId="179F7952"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Ciudadanía  Activa, Documental “La Lista, un pueblo bajo sospecha” disponible en: </w:t>
      </w:r>
      <w:hyperlink r:id="rId22" w:history="1">
        <w:r w:rsidRPr="00B97F15">
          <w:rPr>
            <w:rStyle w:val="Hyperlink"/>
            <w:rFonts w:asciiTheme="majorHAnsi" w:hAnsiTheme="majorHAnsi"/>
            <w:sz w:val="16"/>
            <w:szCs w:val="16"/>
            <w:u w:val="none"/>
            <w:lang w:val="es-VE"/>
          </w:rPr>
          <w:t>https://ciudadaniaactivavzla.wordpress.com/2015/03/26/documental-la-lista-tascon/</w:t>
        </w:r>
      </w:hyperlink>
      <w:r w:rsidRPr="00B97F15">
        <w:rPr>
          <w:rFonts w:asciiTheme="majorHAnsi" w:hAnsiTheme="majorHAnsi"/>
          <w:sz w:val="16"/>
          <w:szCs w:val="16"/>
          <w:lang w:val="es-VE"/>
        </w:rPr>
        <w:t xml:space="preserve">. </w:t>
      </w:r>
    </w:p>
  </w:footnote>
  <w:footnote w:id="30">
    <w:p w14:paraId="5BFDEF91"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Ciudadanía  Activa, Documental “La Lista, un pueblo bajo sospecha” disponible en: </w:t>
      </w:r>
      <w:hyperlink r:id="rId23" w:history="1">
        <w:r w:rsidRPr="00B97F15">
          <w:rPr>
            <w:rStyle w:val="Hyperlink"/>
            <w:rFonts w:asciiTheme="majorHAnsi" w:hAnsiTheme="majorHAnsi"/>
            <w:sz w:val="16"/>
            <w:szCs w:val="16"/>
            <w:u w:val="none"/>
            <w:lang w:val="es-VE"/>
          </w:rPr>
          <w:t>https://ciudadaniaactivavzla.wordpress.com/2015/03/26/documental-la-lista-tascon/</w:t>
        </w:r>
      </w:hyperlink>
      <w:r w:rsidRPr="00B97F15">
        <w:rPr>
          <w:rFonts w:asciiTheme="majorHAnsi" w:hAnsiTheme="majorHAnsi"/>
          <w:sz w:val="16"/>
          <w:szCs w:val="16"/>
          <w:lang w:val="es-VE"/>
        </w:rPr>
        <w:t xml:space="preserve">. </w:t>
      </w:r>
    </w:p>
  </w:footnote>
  <w:footnote w:id="31">
    <w:p w14:paraId="37DC7108"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The</w:t>
      </w:r>
      <w:proofErr w:type="spellEnd"/>
      <w:r w:rsidRPr="00B97F15">
        <w:rPr>
          <w:rFonts w:asciiTheme="majorHAnsi" w:hAnsiTheme="majorHAnsi"/>
          <w:sz w:val="16"/>
          <w:szCs w:val="16"/>
          <w:lang w:val="es-VE"/>
        </w:rPr>
        <w:t xml:space="preserve"> Carter Center, Observación del Referendo Revocatorio Presidencial en Venezuela, febrero de 2005, página 28, disponible en: </w:t>
      </w:r>
      <w:hyperlink r:id="rId24" w:history="1">
        <w:r w:rsidRPr="00B97F15">
          <w:rPr>
            <w:rStyle w:val="Hyperlink"/>
            <w:rFonts w:asciiTheme="majorHAnsi" w:hAnsiTheme="majorHAnsi"/>
            <w:sz w:val="16"/>
            <w:szCs w:val="16"/>
            <w:u w:val="none"/>
            <w:lang w:val="es-VE"/>
          </w:rPr>
          <w:t>https://www.cartercenter.org/documents/2021.pdf</w:t>
        </w:r>
      </w:hyperlink>
      <w:r w:rsidRPr="00B97F15">
        <w:rPr>
          <w:rFonts w:asciiTheme="majorHAnsi" w:hAnsiTheme="majorHAnsi"/>
          <w:sz w:val="16"/>
          <w:szCs w:val="16"/>
          <w:lang w:val="es-VE"/>
        </w:rPr>
        <w:t xml:space="preserve">. </w:t>
      </w:r>
    </w:p>
  </w:footnote>
  <w:footnote w:id="32">
    <w:p w14:paraId="1EE91434"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ABC, Chávez coloca en una lista negra a todos los que participaron en las primarias de la oposición, 10 de abril de 2012, disponible en: </w:t>
      </w:r>
      <w:hyperlink r:id="rId25" w:history="1">
        <w:r w:rsidRPr="00B97F15">
          <w:rPr>
            <w:rStyle w:val="Hyperlink"/>
            <w:rFonts w:asciiTheme="majorHAnsi" w:hAnsiTheme="majorHAnsi"/>
            <w:sz w:val="16"/>
            <w:szCs w:val="16"/>
            <w:u w:val="none"/>
            <w:lang w:val="es-VE"/>
          </w:rPr>
          <w:t>http://www.abc.es/20120410/internacional/abci-chavez-coloca-lista-negra-201204092159.html</w:t>
        </w:r>
      </w:hyperlink>
      <w:r w:rsidRPr="00B97F15">
        <w:rPr>
          <w:rFonts w:asciiTheme="majorHAnsi" w:hAnsiTheme="majorHAnsi"/>
          <w:sz w:val="16"/>
          <w:szCs w:val="16"/>
          <w:lang w:val="es-VE"/>
        </w:rPr>
        <w:t xml:space="preserve">, El Universal, 42 organismos públicos incurrieron en discriminación, 11 de noviembre de 2006, disponible en: </w:t>
      </w:r>
      <w:hyperlink r:id="rId26" w:history="1">
        <w:r w:rsidRPr="00B97F15">
          <w:rPr>
            <w:rStyle w:val="Hyperlink"/>
            <w:rFonts w:asciiTheme="majorHAnsi" w:hAnsiTheme="majorHAnsi"/>
            <w:sz w:val="16"/>
            <w:szCs w:val="16"/>
            <w:u w:val="none"/>
            <w:lang w:val="es-VE"/>
          </w:rPr>
          <w:t>http://www.eluniversal.com/2006/11/11/imp_pol_art_65474</w:t>
        </w:r>
      </w:hyperlink>
      <w:r w:rsidRPr="00B97F15">
        <w:rPr>
          <w:rFonts w:asciiTheme="majorHAnsi" w:hAnsiTheme="majorHAnsi"/>
          <w:sz w:val="16"/>
          <w:szCs w:val="16"/>
          <w:lang w:val="es-VE"/>
        </w:rPr>
        <w:t xml:space="preserve">. </w:t>
      </w:r>
    </w:p>
  </w:footnote>
  <w:footnote w:id="33">
    <w:p w14:paraId="6EB8CFA0"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Ciudadanía  Activa, Documental “La Lista, un pueblo bajo sospecha” disponible en: </w:t>
      </w:r>
      <w:hyperlink r:id="rId27" w:history="1">
        <w:r w:rsidRPr="00B97F15">
          <w:rPr>
            <w:rStyle w:val="Hyperlink"/>
            <w:rFonts w:asciiTheme="majorHAnsi" w:hAnsiTheme="majorHAnsi"/>
            <w:sz w:val="16"/>
            <w:szCs w:val="16"/>
            <w:u w:val="none"/>
            <w:lang w:val="es-VE"/>
          </w:rPr>
          <w:t>https://ciudadaniaactivavzla.wordpress.com/2015/03/26/documental-la-lista-tascon/</w:t>
        </w:r>
      </w:hyperlink>
      <w:r w:rsidRPr="00B97F15">
        <w:rPr>
          <w:rFonts w:asciiTheme="majorHAnsi" w:hAnsiTheme="majorHAnsi"/>
          <w:sz w:val="16"/>
          <w:szCs w:val="16"/>
          <w:lang w:val="es-VE"/>
        </w:rPr>
        <w:t>.</w:t>
      </w:r>
    </w:p>
  </w:footnote>
  <w:footnote w:id="34">
    <w:p w14:paraId="43022AEE"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Ciudadanía  Activa, Documental “La Lista, un pueblo bajo sospecha” disponible en: </w:t>
      </w:r>
      <w:hyperlink r:id="rId28" w:history="1">
        <w:r w:rsidRPr="00B97F15">
          <w:rPr>
            <w:rStyle w:val="Hyperlink"/>
            <w:rFonts w:asciiTheme="majorHAnsi" w:hAnsiTheme="majorHAnsi"/>
            <w:sz w:val="16"/>
            <w:szCs w:val="16"/>
            <w:u w:val="none"/>
            <w:lang w:val="es-VE"/>
          </w:rPr>
          <w:t>https://ciudadaniaactivavzla.wordpress.com/2015/03/26/documental-la-lista-tascon/</w:t>
        </w:r>
      </w:hyperlink>
      <w:r w:rsidRPr="00B97F15">
        <w:rPr>
          <w:rFonts w:asciiTheme="majorHAnsi" w:hAnsiTheme="majorHAnsi"/>
          <w:sz w:val="16"/>
          <w:szCs w:val="16"/>
          <w:lang w:val="es-VE"/>
        </w:rPr>
        <w:t>.</w:t>
      </w:r>
    </w:p>
  </w:footnote>
  <w:footnote w:id="35">
    <w:p w14:paraId="4535C567"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Ciudadanía  Activa, Documental “La Lista, un pueblo bajo sospecha” disponible en: </w:t>
      </w:r>
      <w:hyperlink r:id="rId29" w:history="1">
        <w:r w:rsidRPr="00B97F15">
          <w:rPr>
            <w:rStyle w:val="Hyperlink"/>
            <w:rFonts w:asciiTheme="majorHAnsi" w:hAnsiTheme="majorHAnsi"/>
            <w:sz w:val="16"/>
            <w:szCs w:val="16"/>
            <w:u w:val="none"/>
            <w:lang w:val="es-VE"/>
          </w:rPr>
          <w:t>https://ciudadaniaactivavzla.wordpress.com/2015/03/26/documental-la-lista-tascon/</w:t>
        </w:r>
      </w:hyperlink>
      <w:r w:rsidRPr="00B97F15">
        <w:rPr>
          <w:rFonts w:asciiTheme="majorHAnsi" w:hAnsiTheme="majorHAnsi"/>
          <w:sz w:val="16"/>
          <w:szCs w:val="16"/>
          <w:lang w:val="es-VE"/>
        </w:rPr>
        <w:t>.</w:t>
      </w:r>
    </w:p>
  </w:footnote>
  <w:footnote w:id="36">
    <w:p w14:paraId="3AE2CB32" w14:textId="1EAD8A94"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Ver Anexo </w:t>
      </w:r>
      <w:r>
        <w:rPr>
          <w:rFonts w:asciiTheme="majorHAnsi" w:hAnsiTheme="majorHAnsi"/>
          <w:sz w:val="16"/>
          <w:szCs w:val="16"/>
          <w:lang w:val="es-VE"/>
        </w:rPr>
        <w:t>3</w:t>
      </w:r>
      <w:r w:rsidRPr="00B97F15">
        <w:rPr>
          <w:rFonts w:asciiTheme="majorHAnsi" w:hAnsiTheme="majorHAnsi"/>
          <w:sz w:val="16"/>
          <w:szCs w:val="16"/>
          <w:lang w:val="es-VE"/>
        </w:rPr>
        <w:t xml:space="preserve">. Compilación de artículos de prensa sobre denuncias de </w:t>
      </w:r>
      <w:proofErr w:type="spellStart"/>
      <w:r w:rsidRPr="00B97F15">
        <w:rPr>
          <w:rFonts w:asciiTheme="majorHAnsi" w:hAnsiTheme="majorHAnsi"/>
          <w:sz w:val="16"/>
          <w:szCs w:val="16"/>
          <w:lang w:val="es-VE"/>
        </w:rPr>
        <w:t>represalías</w:t>
      </w:r>
      <w:proofErr w:type="spellEnd"/>
      <w:r w:rsidRPr="00B97F15">
        <w:rPr>
          <w:rFonts w:asciiTheme="majorHAnsi" w:hAnsiTheme="majorHAnsi"/>
          <w:sz w:val="16"/>
          <w:szCs w:val="16"/>
          <w:lang w:val="es-VE"/>
        </w:rPr>
        <w:t xml:space="preserve"> por la firma de la solicitud de referendo revocatorio presidencial, Anexo M del Anexo IV de la denuncia presentada ante la CIDH el 7 de marzo de 2006.</w:t>
      </w:r>
    </w:p>
  </w:footnote>
  <w:footnote w:id="37">
    <w:p w14:paraId="03E55A3F" w14:textId="77777777" w:rsidR="006B2D8F" w:rsidRPr="00B97F15" w:rsidRDefault="006B2D8F" w:rsidP="002A62F8">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El Universal, Firmar contra Chávez es un acto de terrorismo, 21 de marzo de 2004, disponible en: </w:t>
      </w:r>
      <w:hyperlink r:id="rId30" w:history="1">
        <w:r w:rsidRPr="00B97F15">
          <w:rPr>
            <w:rStyle w:val="Hyperlink"/>
            <w:rFonts w:asciiTheme="majorHAnsi" w:hAnsiTheme="majorHAnsi"/>
            <w:sz w:val="16"/>
            <w:szCs w:val="16"/>
            <w:u w:val="none"/>
            <w:lang w:val="es-VE"/>
          </w:rPr>
          <w:t>http://www.eluniversal.com/2004/03/21/pol_art_21108A</w:t>
        </w:r>
      </w:hyperlink>
      <w:r w:rsidRPr="00B97F15">
        <w:rPr>
          <w:rFonts w:asciiTheme="majorHAnsi" w:hAnsiTheme="majorHAnsi"/>
          <w:sz w:val="16"/>
          <w:szCs w:val="16"/>
          <w:lang w:val="es-VE"/>
        </w:rPr>
        <w:t xml:space="preserve">. </w:t>
      </w:r>
    </w:p>
  </w:footnote>
  <w:footnote w:id="38">
    <w:p w14:paraId="299A21A5" w14:textId="77777777" w:rsidR="006B2D8F" w:rsidRPr="00B97F15" w:rsidRDefault="006B2D8F" w:rsidP="002A62F8">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El Universal, Firmar contra Chávez es un acto de terrorismo, 21 de marzo de 2004, disponible en: </w:t>
      </w:r>
      <w:hyperlink r:id="rId31" w:history="1">
        <w:r w:rsidRPr="00B97F15">
          <w:rPr>
            <w:rStyle w:val="Hyperlink"/>
            <w:rFonts w:asciiTheme="majorHAnsi" w:hAnsiTheme="majorHAnsi"/>
            <w:sz w:val="16"/>
            <w:szCs w:val="16"/>
            <w:u w:val="none"/>
            <w:lang w:val="es-VE"/>
          </w:rPr>
          <w:t>http://www.eluniversal.com/2004/03/21/pol_art_21108A</w:t>
        </w:r>
      </w:hyperlink>
      <w:r w:rsidRPr="00B97F15">
        <w:rPr>
          <w:rFonts w:asciiTheme="majorHAnsi" w:hAnsiTheme="majorHAnsi"/>
          <w:sz w:val="16"/>
          <w:szCs w:val="16"/>
          <w:lang w:val="es-VE"/>
        </w:rPr>
        <w:t xml:space="preserve">. </w:t>
      </w:r>
    </w:p>
  </w:footnote>
  <w:footnote w:id="39">
    <w:p w14:paraId="190980AC" w14:textId="77777777" w:rsidR="006B2D8F" w:rsidRPr="00B97F15" w:rsidRDefault="006B2D8F" w:rsidP="002A62F8">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w:t>
      </w:r>
      <w:r w:rsidRPr="00B97F15">
        <w:rPr>
          <w:rFonts w:asciiTheme="majorHAnsi" w:hAnsiTheme="majorHAnsi"/>
          <w:sz w:val="16"/>
          <w:szCs w:val="16"/>
          <w:lang w:val="es-ES"/>
        </w:rPr>
        <w:t>CIDH, Informe No. 59/13, Petición 212-06, Admisibilidad, Rocío San Miguel Sosa y otras, Venezuela, 16 de julio de 2013, párr. 16.</w:t>
      </w:r>
    </w:p>
  </w:footnote>
  <w:footnote w:id="40">
    <w:p w14:paraId="1C9A1623" w14:textId="77777777" w:rsidR="006B2D8F" w:rsidRPr="00B97F15" w:rsidRDefault="006B2D8F" w:rsidP="002A62F8">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Human </w:t>
      </w:r>
      <w:proofErr w:type="spellStart"/>
      <w:r w:rsidRPr="00B97F15">
        <w:rPr>
          <w:rFonts w:asciiTheme="majorHAnsi" w:hAnsiTheme="majorHAnsi"/>
          <w:sz w:val="16"/>
          <w:szCs w:val="16"/>
          <w:lang w:val="es-VE"/>
        </w:rPr>
        <w:t>rights</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watch</w:t>
      </w:r>
      <w:proofErr w:type="spellEnd"/>
      <w:r w:rsidRPr="00B97F15">
        <w:rPr>
          <w:rFonts w:asciiTheme="majorHAnsi" w:hAnsiTheme="majorHAnsi"/>
          <w:sz w:val="16"/>
          <w:szCs w:val="16"/>
          <w:lang w:val="es-VE"/>
        </w:rPr>
        <w:t xml:space="preserve">, Una década de Chávez, Intolerancia política y oportunidades perdidas para el progreso de los derechos humanos en Venezuela,  Pág.20. Disponible en: </w:t>
      </w:r>
      <w:hyperlink r:id="rId32" w:history="1">
        <w:r w:rsidRPr="00B97F15">
          <w:rPr>
            <w:rStyle w:val="Hyperlink"/>
            <w:rFonts w:asciiTheme="majorHAnsi" w:hAnsiTheme="majorHAnsi"/>
            <w:sz w:val="16"/>
            <w:szCs w:val="16"/>
            <w:u w:val="none"/>
            <w:lang w:val="es-VE"/>
          </w:rPr>
          <w:t>https://www.hrw.org/sites/default/files/reports/venezuela0908spweb_0.pdf</w:t>
        </w:r>
      </w:hyperlink>
      <w:r w:rsidRPr="00B97F15">
        <w:rPr>
          <w:rFonts w:asciiTheme="majorHAnsi" w:hAnsiTheme="majorHAnsi"/>
          <w:sz w:val="16"/>
          <w:szCs w:val="16"/>
          <w:lang w:val="es-VE"/>
        </w:rPr>
        <w:t xml:space="preserve">.  </w:t>
      </w:r>
    </w:p>
  </w:footnote>
  <w:footnote w:id="41">
    <w:p w14:paraId="5E4FF369" w14:textId="77777777" w:rsidR="006B2D8F" w:rsidRPr="00B97F15" w:rsidRDefault="006B2D8F" w:rsidP="002A62F8">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Human </w:t>
      </w:r>
      <w:proofErr w:type="spellStart"/>
      <w:r w:rsidRPr="00B97F15">
        <w:rPr>
          <w:rFonts w:asciiTheme="majorHAnsi" w:hAnsiTheme="majorHAnsi"/>
          <w:sz w:val="16"/>
          <w:szCs w:val="16"/>
          <w:lang w:val="es-VE"/>
        </w:rPr>
        <w:t>rights</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watch</w:t>
      </w:r>
      <w:proofErr w:type="spellEnd"/>
      <w:r w:rsidRPr="00B97F15">
        <w:rPr>
          <w:rFonts w:asciiTheme="majorHAnsi" w:hAnsiTheme="majorHAnsi"/>
          <w:sz w:val="16"/>
          <w:szCs w:val="16"/>
          <w:lang w:val="es-VE"/>
        </w:rPr>
        <w:t xml:space="preserve">, Una década de Chávez, Intolerancia política y oportunidades perdidas para el progreso de los derechos humanos en Venezuela,  Pág.20. Disponible en: </w:t>
      </w:r>
      <w:hyperlink r:id="rId33" w:history="1">
        <w:r w:rsidRPr="00B97F15">
          <w:rPr>
            <w:rStyle w:val="Hyperlink"/>
            <w:rFonts w:asciiTheme="majorHAnsi" w:hAnsiTheme="majorHAnsi"/>
            <w:sz w:val="16"/>
            <w:szCs w:val="16"/>
            <w:u w:val="none"/>
            <w:lang w:val="es-VE"/>
          </w:rPr>
          <w:t>https://www.hrw.org/sites/default/files/reports/venezuela0908spweb_0.pdf</w:t>
        </w:r>
      </w:hyperlink>
      <w:r w:rsidRPr="00B97F15">
        <w:rPr>
          <w:rFonts w:asciiTheme="majorHAnsi" w:hAnsiTheme="majorHAnsi"/>
          <w:sz w:val="16"/>
          <w:szCs w:val="16"/>
          <w:lang w:val="es-VE"/>
        </w:rPr>
        <w:t xml:space="preserve">.  </w:t>
      </w:r>
    </w:p>
  </w:footnote>
  <w:footnote w:id="42">
    <w:p w14:paraId="142E3F32" w14:textId="4B2757F6" w:rsidR="006B2D8F" w:rsidRPr="00B97F15" w:rsidRDefault="006B2D8F" w:rsidP="002A62F8">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Human </w:t>
      </w:r>
      <w:proofErr w:type="spellStart"/>
      <w:r w:rsidRPr="00B97F15">
        <w:rPr>
          <w:rFonts w:asciiTheme="majorHAnsi" w:hAnsiTheme="majorHAnsi"/>
          <w:sz w:val="16"/>
          <w:szCs w:val="16"/>
          <w:lang w:val="es-VE"/>
        </w:rPr>
        <w:t>rights</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watch</w:t>
      </w:r>
      <w:proofErr w:type="spellEnd"/>
      <w:r w:rsidRPr="00B97F15">
        <w:rPr>
          <w:rFonts w:asciiTheme="majorHAnsi" w:hAnsiTheme="majorHAnsi"/>
          <w:sz w:val="16"/>
          <w:szCs w:val="16"/>
          <w:lang w:val="es-VE"/>
        </w:rPr>
        <w:t xml:space="preserve">, Una década de Chávez, Intolerancia política y oportunidades perdidas para el progreso de los derechos humanos en Venezuela,  Pág.20. Disponible en: </w:t>
      </w:r>
      <w:hyperlink r:id="rId34" w:history="1">
        <w:r w:rsidRPr="00B97F15">
          <w:rPr>
            <w:rStyle w:val="Hyperlink"/>
            <w:rFonts w:asciiTheme="majorHAnsi" w:hAnsiTheme="majorHAnsi"/>
            <w:sz w:val="16"/>
            <w:szCs w:val="16"/>
            <w:u w:val="none"/>
            <w:lang w:val="es-VE"/>
          </w:rPr>
          <w:t>https://www.hrw.org/sites/default/files/reports/venezuela0908spweb_0.pdf</w:t>
        </w:r>
      </w:hyperlink>
      <w:r w:rsidRPr="00B97F15">
        <w:rPr>
          <w:rFonts w:asciiTheme="majorHAnsi" w:hAnsiTheme="majorHAnsi"/>
          <w:sz w:val="16"/>
          <w:szCs w:val="16"/>
          <w:lang w:val="es-VE"/>
        </w:rPr>
        <w:t xml:space="preserve">; Asociación Civil Súmate, Apartheid del Siglo XXI. La informática al servicio de la discriminación política en Venezuela, capítulo 3. Disponible en: </w:t>
      </w:r>
      <w:hyperlink r:id="rId35" w:history="1">
        <w:r w:rsidRPr="00B97F15">
          <w:rPr>
            <w:rStyle w:val="Hyperlink"/>
            <w:rFonts w:asciiTheme="majorHAnsi" w:hAnsiTheme="majorHAnsi"/>
            <w:sz w:val="16"/>
            <w:szCs w:val="16"/>
            <w:u w:val="none"/>
            <w:lang w:val="es-VE"/>
          </w:rPr>
          <w:t>http://sumate.org/documentos/ApartheidSigloXXI/Apartheid%20del%20Siglo%20XXI%20Capitulo3.pdf</w:t>
        </w:r>
      </w:hyperlink>
      <w:r w:rsidRPr="00B97F15">
        <w:rPr>
          <w:rFonts w:asciiTheme="majorHAnsi" w:hAnsiTheme="majorHAnsi"/>
          <w:sz w:val="16"/>
          <w:szCs w:val="16"/>
          <w:lang w:val="es-VE"/>
        </w:rPr>
        <w:t xml:space="preserve">. </w:t>
      </w:r>
    </w:p>
  </w:footnote>
  <w:footnote w:id="43">
    <w:p w14:paraId="3C39F3EA" w14:textId="77777777" w:rsidR="006B2D8F" w:rsidRPr="00B97F15" w:rsidRDefault="006B2D8F" w:rsidP="002A62F8">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Human </w:t>
      </w:r>
      <w:proofErr w:type="spellStart"/>
      <w:r w:rsidRPr="00B97F15">
        <w:rPr>
          <w:rFonts w:asciiTheme="majorHAnsi" w:hAnsiTheme="majorHAnsi"/>
          <w:sz w:val="16"/>
          <w:szCs w:val="16"/>
          <w:lang w:val="es-VE"/>
        </w:rPr>
        <w:t>rights</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watch</w:t>
      </w:r>
      <w:proofErr w:type="spellEnd"/>
      <w:r w:rsidRPr="00B97F15">
        <w:rPr>
          <w:rFonts w:asciiTheme="majorHAnsi" w:hAnsiTheme="majorHAnsi"/>
          <w:sz w:val="16"/>
          <w:szCs w:val="16"/>
          <w:lang w:val="es-VE"/>
        </w:rPr>
        <w:t xml:space="preserve">, Una década de Chávez, Intolerancia política y oportunidades perdidas para el progreso de los derechos humanos en Venezuela,  Pág.24. Disponible en: </w:t>
      </w:r>
      <w:hyperlink r:id="rId36" w:history="1">
        <w:r w:rsidRPr="00B97F15">
          <w:rPr>
            <w:rStyle w:val="Hyperlink"/>
            <w:rFonts w:asciiTheme="majorHAnsi" w:hAnsiTheme="majorHAnsi"/>
            <w:sz w:val="16"/>
            <w:szCs w:val="16"/>
            <w:u w:val="none"/>
            <w:lang w:val="es-VE"/>
          </w:rPr>
          <w:t>https://www.hrw.org/sites/default/files/reports/venezuela0908spweb_0.pdf</w:t>
        </w:r>
      </w:hyperlink>
      <w:r w:rsidRPr="00B97F15">
        <w:rPr>
          <w:rFonts w:asciiTheme="majorHAnsi" w:hAnsiTheme="majorHAnsi"/>
          <w:sz w:val="16"/>
          <w:szCs w:val="16"/>
          <w:lang w:val="es-VE"/>
        </w:rPr>
        <w:t xml:space="preserve">.  </w:t>
      </w:r>
    </w:p>
  </w:footnote>
  <w:footnote w:id="44">
    <w:p w14:paraId="164F19A6" w14:textId="72AB115C" w:rsidR="006B2D8F" w:rsidRPr="00B97F15" w:rsidRDefault="006B2D8F" w:rsidP="002A62F8">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Human </w:t>
      </w:r>
      <w:proofErr w:type="spellStart"/>
      <w:r w:rsidRPr="00B97F15">
        <w:rPr>
          <w:rFonts w:asciiTheme="majorHAnsi" w:hAnsiTheme="majorHAnsi"/>
          <w:sz w:val="16"/>
          <w:szCs w:val="16"/>
          <w:lang w:val="es-VE"/>
        </w:rPr>
        <w:t>rights</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watch</w:t>
      </w:r>
      <w:proofErr w:type="spellEnd"/>
      <w:r w:rsidRPr="00B97F15">
        <w:rPr>
          <w:rFonts w:asciiTheme="majorHAnsi" w:hAnsiTheme="majorHAnsi"/>
          <w:sz w:val="16"/>
          <w:szCs w:val="16"/>
          <w:lang w:val="es-VE"/>
        </w:rPr>
        <w:t xml:space="preserve">, Una década de Chávez, Intolerancia política y oportunidades perdidas para el progreso de los derechos humanos en Venezuela,  Pág.24. Disponible en: </w:t>
      </w:r>
      <w:hyperlink r:id="rId37" w:history="1">
        <w:r w:rsidRPr="00B97F15">
          <w:rPr>
            <w:rStyle w:val="Hyperlink"/>
            <w:rFonts w:asciiTheme="majorHAnsi" w:hAnsiTheme="majorHAnsi"/>
            <w:sz w:val="16"/>
            <w:szCs w:val="16"/>
            <w:u w:val="none"/>
            <w:lang w:val="es-VE"/>
          </w:rPr>
          <w:t>https://www.hrw.org/sites/default/files/reports/venezuela0908spweb_0.pdf</w:t>
        </w:r>
      </w:hyperlink>
      <w:r w:rsidRPr="00B97F15">
        <w:rPr>
          <w:rFonts w:asciiTheme="majorHAnsi" w:hAnsiTheme="majorHAnsi"/>
          <w:sz w:val="16"/>
          <w:szCs w:val="16"/>
          <w:lang w:val="es-VE"/>
        </w:rPr>
        <w:t xml:space="preserve">.  </w:t>
      </w:r>
    </w:p>
  </w:footnote>
  <w:footnote w:id="45">
    <w:p w14:paraId="7397AD46" w14:textId="376C226E" w:rsidR="006B2D8F" w:rsidRPr="00B97F15" w:rsidRDefault="006B2D8F" w:rsidP="002A62F8">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Human </w:t>
      </w:r>
      <w:proofErr w:type="spellStart"/>
      <w:r w:rsidRPr="00B97F15">
        <w:rPr>
          <w:rFonts w:asciiTheme="majorHAnsi" w:hAnsiTheme="majorHAnsi"/>
          <w:sz w:val="16"/>
          <w:szCs w:val="16"/>
          <w:lang w:val="es-VE"/>
        </w:rPr>
        <w:t>rights</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watch</w:t>
      </w:r>
      <w:proofErr w:type="spellEnd"/>
      <w:r w:rsidRPr="00B97F15">
        <w:rPr>
          <w:rFonts w:asciiTheme="majorHAnsi" w:hAnsiTheme="majorHAnsi"/>
          <w:sz w:val="16"/>
          <w:szCs w:val="16"/>
          <w:lang w:val="es-VE"/>
        </w:rPr>
        <w:t xml:space="preserve">, Una década de Chávez, Intolerancia política y oportunidades perdidas para el progreso de los derechos humanos en Venezuela,  Pág.24. Disponible en: </w:t>
      </w:r>
      <w:hyperlink r:id="rId38" w:history="1">
        <w:r w:rsidRPr="00B97F15">
          <w:rPr>
            <w:rStyle w:val="Hyperlink"/>
            <w:rFonts w:asciiTheme="majorHAnsi" w:hAnsiTheme="majorHAnsi"/>
            <w:sz w:val="16"/>
            <w:szCs w:val="16"/>
            <w:u w:val="none"/>
            <w:lang w:val="es-VE"/>
          </w:rPr>
          <w:t>https://www.hrw.org/sites/default/files/reports/venezuela0908spweb_0.pdf</w:t>
        </w:r>
      </w:hyperlink>
      <w:r w:rsidRPr="00B97F15">
        <w:rPr>
          <w:rFonts w:asciiTheme="majorHAnsi" w:hAnsiTheme="majorHAnsi"/>
          <w:sz w:val="16"/>
          <w:szCs w:val="16"/>
          <w:lang w:val="es-VE"/>
        </w:rPr>
        <w:t xml:space="preserve">.  </w:t>
      </w:r>
    </w:p>
  </w:footnote>
  <w:footnote w:id="46">
    <w:p w14:paraId="1CDF4A92" w14:textId="77777777" w:rsidR="006B2D8F" w:rsidRPr="00B97F15" w:rsidRDefault="006B2D8F" w:rsidP="002A62F8">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El Universal, Despidos ilegales impactan las cuentas de </w:t>
      </w:r>
      <w:proofErr w:type="spellStart"/>
      <w:r w:rsidRPr="00B97F15">
        <w:rPr>
          <w:rFonts w:asciiTheme="majorHAnsi" w:hAnsiTheme="majorHAnsi"/>
          <w:sz w:val="16"/>
          <w:szCs w:val="16"/>
          <w:lang w:val="es-VE"/>
        </w:rPr>
        <w:t>Fogade</w:t>
      </w:r>
      <w:proofErr w:type="spellEnd"/>
      <w:r w:rsidRPr="00B97F15">
        <w:rPr>
          <w:rFonts w:asciiTheme="majorHAnsi" w:hAnsiTheme="majorHAnsi"/>
          <w:sz w:val="16"/>
          <w:szCs w:val="16"/>
          <w:lang w:val="es-VE"/>
        </w:rPr>
        <w:t xml:space="preserve">, 23 de febrero de 2008.  Disponible en: </w:t>
      </w:r>
      <w:hyperlink r:id="rId39" w:history="1">
        <w:r w:rsidRPr="00B97F15">
          <w:rPr>
            <w:rStyle w:val="Hyperlink"/>
            <w:rFonts w:asciiTheme="majorHAnsi" w:hAnsiTheme="majorHAnsi"/>
            <w:sz w:val="16"/>
            <w:szCs w:val="16"/>
            <w:u w:val="none"/>
            <w:lang w:val="es-VE"/>
          </w:rPr>
          <w:t>http://www.eluniversal.com/2008/02/23/eco_art_despidos-ilegales-im_726634</w:t>
        </w:r>
      </w:hyperlink>
      <w:r w:rsidRPr="00B97F15">
        <w:rPr>
          <w:rFonts w:asciiTheme="majorHAnsi" w:hAnsiTheme="majorHAnsi"/>
          <w:sz w:val="16"/>
          <w:szCs w:val="16"/>
          <w:lang w:val="es-VE"/>
        </w:rPr>
        <w:t xml:space="preserve">.  Según otro reporte, se establecía la siguiente gradación del 1 al 6: “chavista duro”, “chavista light”, “nini” (ni oposición ni chavista), “oposición radical política”, “oposición radical” y, “oposición light”. Ver  Súmate, Y más listas: de “Chavismo duro a “oposición light”, pág. 120. Disponible en: </w:t>
      </w:r>
      <w:hyperlink r:id="rId40" w:history="1">
        <w:r w:rsidRPr="00B97F15">
          <w:rPr>
            <w:rStyle w:val="Hyperlink"/>
            <w:rFonts w:asciiTheme="majorHAnsi" w:hAnsiTheme="majorHAnsi"/>
            <w:sz w:val="16"/>
            <w:szCs w:val="16"/>
            <w:u w:val="none"/>
            <w:lang w:val="es-VE"/>
          </w:rPr>
          <w:t>http://www.sumate.org/documentos/ApartheidSigloXXI/Apartheid%20del%20Siglo%20XXI%20Capitulo7.pdf</w:t>
        </w:r>
      </w:hyperlink>
      <w:r w:rsidRPr="00B97F15">
        <w:rPr>
          <w:rFonts w:asciiTheme="majorHAnsi" w:hAnsiTheme="majorHAnsi"/>
          <w:sz w:val="16"/>
          <w:szCs w:val="16"/>
          <w:lang w:val="es-VE"/>
        </w:rPr>
        <w:t xml:space="preserve">. </w:t>
      </w:r>
    </w:p>
  </w:footnote>
  <w:footnote w:id="47">
    <w:p w14:paraId="3D3C8B7F"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El Universal, Coletazos del </w:t>
      </w:r>
      <w:proofErr w:type="spellStart"/>
      <w:r w:rsidRPr="00B97F15">
        <w:rPr>
          <w:rFonts w:asciiTheme="majorHAnsi" w:hAnsiTheme="majorHAnsi"/>
          <w:sz w:val="16"/>
          <w:szCs w:val="16"/>
          <w:lang w:val="es-VE"/>
        </w:rPr>
        <w:t>Reafirmazo</w:t>
      </w:r>
      <w:proofErr w:type="spellEnd"/>
      <w:r w:rsidRPr="00B97F15">
        <w:rPr>
          <w:rFonts w:asciiTheme="majorHAnsi" w:hAnsiTheme="majorHAnsi"/>
          <w:sz w:val="16"/>
          <w:szCs w:val="16"/>
          <w:lang w:val="es-VE"/>
        </w:rPr>
        <w:t xml:space="preserve">, 1909 petroleros bajo presión laboral, 18 de marzo de 2004, disponible en: </w:t>
      </w:r>
      <w:hyperlink r:id="rId41" w:history="1">
        <w:r w:rsidRPr="00B97F15">
          <w:rPr>
            <w:rStyle w:val="Hyperlink"/>
            <w:rFonts w:asciiTheme="majorHAnsi" w:hAnsiTheme="majorHAnsi"/>
            <w:sz w:val="16"/>
            <w:szCs w:val="16"/>
            <w:u w:val="none"/>
            <w:lang w:val="es-VE"/>
          </w:rPr>
          <w:t>http://www.eluniversal.com/2004/03/18/imp_eco_art_18166A</w:t>
        </w:r>
      </w:hyperlink>
      <w:r w:rsidRPr="00B97F15">
        <w:rPr>
          <w:rFonts w:asciiTheme="majorHAnsi" w:hAnsiTheme="majorHAnsi"/>
          <w:sz w:val="16"/>
          <w:szCs w:val="16"/>
          <w:lang w:val="es-VE"/>
        </w:rPr>
        <w:t xml:space="preserve">. </w:t>
      </w:r>
    </w:p>
  </w:footnote>
  <w:footnote w:id="48">
    <w:p w14:paraId="56C0536A" w14:textId="53B0D85B"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El Nacional, Resumen de casos recolectados por el Nacional, 24 de abril de 2005, disponible en: </w:t>
      </w:r>
      <w:hyperlink r:id="rId42" w:history="1">
        <w:r w:rsidRPr="00B97F15">
          <w:rPr>
            <w:rStyle w:val="Hyperlink"/>
            <w:rFonts w:asciiTheme="majorHAnsi" w:hAnsiTheme="majorHAnsi"/>
            <w:sz w:val="16"/>
            <w:szCs w:val="16"/>
            <w:u w:val="none"/>
            <w:lang w:val="es-VE"/>
          </w:rPr>
          <w:t>http://infovenezuela.org/democracy/attachments-spanish/T5%20ST02%20N2%20Y%20T5ST02N3.pdf</w:t>
        </w:r>
      </w:hyperlink>
      <w:r w:rsidRPr="00B97F15">
        <w:rPr>
          <w:rFonts w:asciiTheme="majorHAnsi" w:hAnsiTheme="majorHAnsi"/>
          <w:sz w:val="16"/>
          <w:szCs w:val="16"/>
          <w:lang w:val="es-VE"/>
        </w:rPr>
        <w:t xml:space="preserve">. </w:t>
      </w:r>
    </w:p>
  </w:footnote>
  <w:footnote w:id="49">
    <w:p w14:paraId="2B4CDFE7" w14:textId="35CAF646"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w:t>
      </w:r>
      <w:r w:rsidRPr="00B97F15">
        <w:rPr>
          <w:rFonts w:asciiTheme="majorHAnsi" w:hAnsiTheme="majorHAnsi"/>
          <w:sz w:val="16"/>
          <w:szCs w:val="16"/>
          <w:lang w:val="es-VE"/>
        </w:rPr>
        <w:t xml:space="preserve">.  Resolución del Consejo Nacional Electoral No. 040302-131 del 2 de marzo de 2004 (Anexo C al Escrito del Estado dentro del trámite de admisibilidad ante CIDH de 16 de enero de 2008). En dicha resolución se informó de los siguientes resultados: a)Total de planillas procesadas sometidas a la verificación física por este organismo: trescientas ochenta y ocho mil ciento ocho (388108), b)Planillas vacías y/o inutilizadas en la jornada de recolección de firmas: siete mil doscientos noventa y siete (7297) planillas, c) Planillas invalidadas en razón del incumplimiento de las “Normas sobre los Criterios de Validación de las Firmas y de las Planillas de recolección de firmas para los procesos de Referendo Revocatorio de Mandatos de Cargos de Elección Popular”, en especial, los numerales 2, 3, 4 y 5: treinta y nueve mil sesenta (39060) planillas, d)Total de solicitudes procesadas del universo de planillas validadas según actas: tres millones ochenta y seis mil trece (3086013) solicitudes. </w:t>
      </w:r>
    </w:p>
  </w:footnote>
  <w:footnote w:id="50">
    <w:p w14:paraId="3F3664F4" w14:textId="729A9DE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w:t>
      </w:r>
      <w:r w:rsidRPr="00B97F15">
        <w:rPr>
          <w:rFonts w:asciiTheme="majorHAnsi" w:hAnsiTheme="majorHAnsi"/>
          <w:sz w:val="16"/>
          <w:szCs w:val="16"/>
          <w:lang w:val="es-VE"/>
        </w:rPr>
        <w:t>.  Resolución del Consejo Nacional Electoral No. 040420-563 del 27 de octubre de 2003, Anexo D al Escrito del Estado dentro del trámite de admisibilidad ante CIDH de 16 de enero de 2008.</w:t>
      </w:r>
    </w:p>
  </w:footnote>
  <w:footnote w:id="51">
    <w:p w14:paraId="24CBBBC9"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Radio Nacional de Venezuela, Descartada posibilidad de incluir firmas invalidas para reparos, 4 de mayo de 2004, disponible en: </w:t>
      </w:r>
      <w:hyperlink r:id="rId43" w:history="1">
        <w:r w:rsidRPr="00B97F15">
          <w:rPr>
            <w:rStyle w:val="Hyperlink"/>
            <w:rFonts w:asciiTheme="majorHAnsi" w:hAnsiTheme="majorHAnsi"/>
            <w:sz w:val="16"/>
            <w:szCs w:val="16"/>
            <w:u w:val="none"/>
            <w:lang w:val="es-VE"/>
          </w:rPr>
          <w:t>http://www.rnv.gob.ve/descartada-posibilidad-de-incluir-firmas-invlidas-para-reparos/</w:t>
        </w:r>
      </w:hyperlink>
      <w:r w:rsidRPr="00B97F15">
        <w:rPr>
          <w:rFonts w:asciiTheme="majorHAnsi" w:hAnsiTheme="majorHAnsi"/>
          <w:sz w:val="16"/>
          <w:szCs w:val="16"/>
          <w:lang w:val="es-VE"/>
        </w:rPr>
        <w:t xml:space="preserve">. </w:t>
      </w:r>
    </w:p>
  </w:footnote>
  <w:footnote w:id="52">
    <w:p w14:paraId="36EFCB03"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CNE, Resolución No. 040615-852 de 25 de junio de 2004, disponible en: </w:t>
      </w:r>
      <w:hyperlink r:id="rId44" w:history="1">
        <w:r w:rsidRPr="00B97F15">
          <w:rPr>
            <w:rStyle w:val="Hyperlink"/>
            <w:rFonts w:asciiTheme="majorHAnsi" w:hAnsiTheme="majorHAnsi"/>
            <w:sz w:val="16"/>
            <w:szCs w:val="16"/>
            <w:u w:val="none"/>
            <w:lang w:val="es-VE"/>
          </w:rPr>
          <w:t>http://www.cne.gob.ve/web/gaceta_electoral/gaceta_electoral_detallado.php?tg=1&amp;num_gac=202</w:t>
        </w:r>
      </w:hyperlink>
      <w:r w:rsidRPr="00B97F15">
        <w:rPr>
          <w:rFonts w:asciiTheme="majorHAnsi" w:hAnsiTheme="majorHAnsi"/>
          <w:sz w:val="16"/>
          <w:szCs w:val="16"/>
          <w:lang w:val="es-VE"/>
        </w:rPr>
        <w:t xml:space="preserve">. Ver también, Súmate, Informe de avance “El Referendo Revocatorio Presidencial”, Anexos, disponible en: </w:t>
      </w:r>
      <w:hyperlink r:id="rId45" w:history="1">
        <w:r w:rsidRPr="00B97F15">
          <w:rPr>
            <w:rStyle w:val="Hyperlink"/>
            <w:rFonts w:asciiTheme="majorHAnsi" w:hAnsiTheme="majorHAnsi"/>
            <w:sz w:val="16"/>
            <w:szCs w:val="16"/>
            <w:u w:val="none"/>
            <w:lang w:val="es-VE"/>
          </w:rPr>
          <w:t>http://sumate.org/Elecciones/2004Revocatorio/200409_informe_avance_anexos_referendo_revocatorio_presidencial.pdf</w:t>
        </w:r>
      </w:hyperlink>
      <w:r w:rsidRPr="00B97F15">
        <w:rPr>
          <w:rFonts w:asciiTheme="majorHAnsi" w:hAnsiTheme="majorHAnsi"/>
          <w:sz w:val="16"/>
          <w:szCs w:val="16"/>
          <w:lang w:val="es-VE"/>
        </w:rPr>
        <w:t xml:space="preserve">. </w:t>
      </w:r>
    </w:p>
  </w:footnote>
  <w:footnote w:id="53">
    <w:p w14:paraId="284C0663" w14:textId="5A18ACDC"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CNE, Resolución No. 040826-1118, 30 de agosto de 2004, disponible en: </w:t>
      </w:r>
      <w:hyperlink r:id="rId46" w:history="1">
        <w:r w:rsidRPr="00B97F15">
          <w:rPr>
            <w:rStyle w:val="Hyperlink"/>
            <w:rFonts w:asciiTheme="majorHAnsi" w:hAnsiTheme="majorHAnsi"/>
            <w:sz w:val="16"/>
            <w:szCs w:val="16"/>
            <w:u w:val="none"/>
            <w:lang w:val="es-VE"/>
          </w:rPr>
          <w:t>http://www.cne.gob.ve/web/gaceta_electoral/gaceta_electoral_detallado.php?tg=1&amp;num_gac=210</w:t>
        </w:r>
      </w:hyperlink>
      <w:r w:rsidRPr="00B97F15">
        <w:rPr>
          <w:rFonts w:asciiTheme="majorHAnsi" w:hAnsiTheme="majorHAnsi"/>
          <w:sz w:val="16"/>
          <w:szCs w:val="16"/>
          <w:lang w:val="es-VE"/>
        </w:rPr>
        <w:t xml:space="preserve">. </w:t>
      </w:r>
    </w:p>
  </w:footnote>
  <w:footnote w:id="54">
    <w:p w14:paraId="079DC4B5" w14:textId="5EA0A398"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w:t>
      </w:r>
      <w:r w:rsidR="005E4F5F">
        <w:rPr>
          <w:rFonts w:asciiTheme="majorHAnsi" w:hAnsiTheme="majorHAnsi"/>
          <w:sz w:val="16"/>
          <w:szCs w:val="16"/>
          <w:lang w:val="es-VE"/>
        </w:rPr>
        <w:t xml:space="preserve">    </w:t>
      </w:r>
      <w:r w:rsidRPr="00B97F15">
        <w:rPr>
          <w:rFonts w:asciiTheme="majorHAnsi" w:hAnsiTheme="majorHAnsi"/>
          <w:sz w:val="16"/>
          <w:szCs w:val="16"/>
          <w:lang w:val="es-VE"/>
        </w:rPr>
        <w:t xml:space="preserve">OEA, Declaración de la Misión de Observación Electoral de la OEA sobre el Referendo Presidencial de Venezuela, 18 de agosto de 2004, disponible en: </w:t>
      </w:r>
      <w:hyperlink r:id="rId47" w:history="1">
        <w:r w:rsidRPr="00B97F15">
          <w:rPr>
            <w:rStyle w:val="Hyperlink"/>
            <w:rFonts w:asciiTheme="majorHAnsi" w:hAnsiTheme="majorHAnsi"/>
            <w:sz w:val="16"/>
            <w:szCs w:val="16"/>
            <w:u w:val="none"/>
            <w:lang w:val="es-VE"/>
          </w:rPr>
          <w:t>http://www.oas.org/es/centro_noticias/comunicado_prensa.asp?sCodigo=C-003/04</w:t>
        </w:r>
      </w:hyperlink>
      <w:r w:rsidRPr="00B97F15">
        <w:rPr>
          <w:rFonts w:asciiTheme="majorHAnsi" w:hAnsiTheme="majorHAnsi"/>
          <w:sz w:val="16"/>
          <w:szCs w:val="16"/>
          <w:lang w:val="es-VE"/>
        </w:rPr>
        <w:t xml:space="preserve">; OEA, OEA aprueba resolución sobre los resultados del referéndum en Venezuela, 26 de agosto de 2004, disponible en: </w:t>
      </w:r>
      <w:hyperlink r:id="rId48" w:history="1">
        <w:r w:rsidRPr="00B97F15">
          <w:rPr>
            <w:rStyle w:val="Hyperlink"/>
            <w:rFonts w:asciiTheme="majorHAnsi" w:hAnsiTheme="majorHAnsi"/>
            <w:sz w:val="16"/>
            <w:szCs w:val="16"/>
            <w:u w:val="none"/>
            <w:lang w:val="es-VE"/>
          </w:rPr>
          <w:t>http://www.oas.org/es/centro_noticias/comunicado_prensa.asp?sCodigo=C-138/04</w:t>
        </w:r>
      </w:hyperlink>
      <w:r w:rsidRPr="00B97F15">
        <w:rPr>
          <w:rFonts w:asciiTheme="majorHAnsi" w:hAnsiTheme="majorHAnsi"/>
          <w:sz w:val="16"/>
          <w:szCs w:val="16"/>
          <w:lang w:val="es-VE"/>
        </w:rPr>
        <w:t xml:space="preserve">.  </w:t>
      </w:r>
    </w:p>
  </w:footnote>
  <w:footnote w:id="55">
    <w:p w14:paraId="4A9004D5" w14:textId="2853035E"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6</w:t>
      </w:r>
      <w:r w:rsidRPr="00B97F15">
        <w:rPr>
          <w:rFonts w:asciiTheme="majorHAnsi" w:hAnsiTheme="majorHAnsi"/>
          <w:sz w:val="16"/>
          <w:szCs w:val="16"/>
          <w:lang w:val="es-VE"/>
        </w:rPr>
        <w:t>. El Universal, Fiscalía abre investigación por discriminación a firmantes del RR, 28 de abril de</w:t>
      </w:r>
      <w:r>
        <w:rPr>
          <w:rFonts w:asciiTheme="majorHAnsi" w:hAnsiTheme="majorHAnsi"/>
          <w:sz w:val="16"/>
          <w:szCs w:val="16"/>
          <w:lang w:val="es-VE"/>
        </w:rPr>
        <w:t xml:space="preserve"> 2005.</w:t>
      </w:r>
      <w:r w:rsidRPr="00B97F15">
        <w:rPr>
          <w:rFonts w:asciiTheme="majorHAnsi" w:hAnsiTheme="majorHAnsi"/>
          <w:sz w:val="16"/>
          <w:szCs w:val="16"/>
          <w:lang w:val="es-VE"/>
        </w:rPr>
        <w:t xml:space="preserve"> Anexo M del Anexo IV de la denuncia presentada ante la CIDH el 7 de marzo de 2006.</w:t>
      </w:r>
    </w:p>
  </w:footnote>
  <w:footnote w:id="56">
    <w:p w14:paraId="1216383F" w14:textId="0B485985"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7</w:t>
      </w:r>
      <w:r w:rsidRPr="00B97F15">
        <w:rPr>
          <w:rFonts w:asciiTheme="majorHAnsi" w:hAnsiTheme="majorHAnsi"/>
          <w:sz w:val="16"/>
          <w:szCs w:val="16"/>
          <w:lang w:val="es-VE"/>
        </w:rPr>
        <w:t>.  Comunicado del Ministerio Público: Ministerio Público inició averiguación sobre uso de listados para solicitud de referendos en 2004.  Anexo III de la denuncia presentada ante la CIDH el 7 de marzo de 2006.</w:t>
      </w:r>
    </w:p>
  </w:footnote>
  <w:footnote w:id="57">
    <w:p w14:paraId="79788CB2"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w:t>
      </w:r>
      <w:r w:rsidRPr="00B97F15">
        <w:rPr>
          <w:rFonts w:asciiTheme="majorHAnsi" w:eastAsia="Arial Unicode MS" w:hAnsiTheme="majorHAnsi" w:cs="Times New Roman"/>
          <w:sz w:val="16"/>
          <w:szCs w:val="16"/>
          <w:lang w:val="es-EC" w:eastAsia="en-US"/>
        </w:rPr>
        <w:t xml:space="preserve">Pronunciamiento del Presidente de la República venezolana, Hugo Chávez durante el V Gabinete Móvil 15 de abril de 2005 en la ciudad de Puerto Ordaz citado en </w:t>
      </w:r>
      <w:r w:rsidRPr="00B97F15">
        <w:rPr>
          <w:rFonts w:asciiTheme="majorHAnsi" w:hAnsiTheme="majorHAnsi"/>
          <w:sz w:val="16"/>
          <w:szCs w:val="16"/>
          <w:lang w:val="es-VE"/>
        </w:rPr>
        <w:t>CIDH, Democracia y derechos humanos en Venezuela, OEA/</w:t>
      </w:r>
      <w:proofErr w:type="spellStart"/>
      <w:r w:rsidRPr="00B97F15">
        <w:rPr>
          <w:rFonts w:asciiTheme="majorHAnsi" w:hAnsiTheme="majorHAnsi"/>
          <w:sz w:val="16"/>
          <w:szCs w:val="16"/>
          <w:lang w:val="es-VE"/>
        </w:rPr>
        <w:t>Ser.L</w:t>
      </w:r>
      <w:proofErr w:type="spellEnd"/>
      <w:r w:rsidRPr="00B97F15">
        <w:rPr>
          <w:rFonts w:asciiTheme="majorHAnsi" w:hAnsiTheme="majorHAnsi"/>
          <w:sz w:val="16"/>
          <w:szCs w:val="16"/>
          <w:lang w:val="es-VE"/>
        </w:rPr>
        <w:t xml:space="preserve">/V/II.Doc.54, 30 de diciembre de 2009, </w:t>
      </w:r>
      <w:proofErr w:type="spellStart"/>
      <w:r w:rsidRPr="00B97F15">
        <w:rPr>
          <w:rFonts w:asciiTheme="majorHAnsi" w:hAnsiTheme="majorHAnsi"/>
          <w:sz w:val="16"/>
          <w:szCs w:val="16"/>
          <w:lang w:val="es-VE"/>
        </w:rPr>
        <w:t>cap</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II.a</w:t>
      </w:r>
      <w:proofErr w:type="spellEnd"/>
      <w:r w:rsidRPr="00B97F15">
        <w:rPr>
          <w:rFonts w:asciiTheme="majorHAnsi" w:hAnsiTheme="majorHAnsi"/>
          <w:sz w:val="16"/>
          <w:szCs w:val="16"/>
          <w:lang w:val="es-VE"/>
        </w:rPr>
        <w:t>, párr. 99.</w:t>
      </w:r>
    </w:p>
  </w:footnote>
  <w:footnote w:id="58">
    <w:p w14:paraId="20BA7144"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CIDH, Democracia y derechos humanos en Venezuela, OEA/</w:t>
      </w:r>
      <w:proofErr w:type="spellStart"/>
      <w:r w:rsidRPr="00B97F15">
        <w:rPr>
          <w:rFonts w:asciiTheme="majorHAnsi" w:hAnsiTheme="majorHAnsi"/>
          <w:sz w:val="16"/>
          <w:szCs w:val="16"/>
          <w:lang w:val="es-VE"/>
        </w:rPr>
        <w:t>Ser.L</w:t>
      </w:r>
      <w:proofErr w:type="spellEnd"/>
      <w:r w:rsidRPr="00B97F15">
        <w:rPr>
          <w:rFonts w:asciiTheme="majorHAnsi" w:hAnsiTheme="majorHAnsi"/>
          <w:sz w:val="16"/>
          <w:szCs w:val="16"/>
          <w:lang w:val="es-VE"/>
        </w:rPr>
        <w:t xml:space="preserve">/V/II.Doc.54, 30 de diciembre de 2009, </w:t>
      </w:r>
      <w:proofErr w:type="spellStart"/>
      <w:r w:rsidRPr="00B97F15">
        <w:rPr>
          <w:rFonts w:asciiTheme="majorHAnsi" w:hAnsiTheme="majorHAnsi"/>
          <w:sz w:val="16"/>
          <w:szCs w:val="16"/>
          <w:lang w:val="es-VE"/>
        </w:rPr>
        <w:t>cap</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II.a</w:t>
      </w:r>
      <w:proofErr w:type="spellEnd"/>
      <w:r w:rsidRPr="00B97F15">
        <w:rPr>
          <w:rFonts w:asciiTheme="majorHAnsi" w:hAnsiTheme="majorHAnsi"/>
          <w:sz w:val="16"/>
          <w:szCs w:val="16"/>
          <w:lang w:val="es-VE"/>
        </w:rPr>
        <w:t>, párr. 99.</w:t>
      </w:r>
    </w:p>
  </w:footnote>
  <w:footnote w:id="59">
    <w:p w14:paraId="2B98070F"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CIDH, Democracia y derechos humanos en Venezuela, OEA/</w:t>
      </w:r>
      <w:proofErr w:type="spellStart"/>
      <w:r w:rsidRPr="00B97F15">
        <w:rPr>
          <w:rFonts w:asciiTheme="majorHAnsi" w:hAnsiTheme="majorHAnsi"/>
          <w:sz w:val="16"/>
          <w:szCs w:val="16"/>
          <w:lang w:val="es-VE"/>
        </w:rPr>
        <w:t>Ser.L</w:t>
      </w:r>
      <w:proofErr w:type="spellEnd"/>
      <w:r w:rsidRPr="00B97F15">
        <w:rPr>
          <w:rFonts w:asciiTheme="majorHAnsi" w:hAnsiTheme="majorHAnsi"/>
          <w:sz w:val="16"/>
          <w:szCs w:val="16"/>
          <w:lang w:val="es-VE"/>
        </w:rPr>
        <w:t xml:space="preserve">/V/II.Doc.54, 30 de diciembre de 2009, </w:t>
      </w:r>
      <w:proofErr w:type="spellStart"/>
      <w:r w:rsidRPr="00B97F15">
        <w:rPr>
          <w:rFonts w:asciiTheme="majorHAnsi" w:hAnsiTheme="majorHAnsi"/>
          <w:sz w:val="16"/>
          <w:szCs w:val="16"/>
          <w:lang w:val="es-VE"/>
        </w:rPr>
        <w:t>cap</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II.a</w:t>
      </w:r>
      <w:proofErr w:type="spellEnd"/>
      <w:r w:rsidRPr="00B97F15">
        <w:rPr>
          <w:rFonts w:asciiTheme="majorHAnsi" w:hAnsiTheme="majorHAnsi"/>
          <w:sz w:val="16"/>
          <w:szCs w:val="16"/>
          <w:lang w:val="es-VE"/>
        </w:rPr>
        <w:t>, párr. 101.</w:t>
      </w:r>
    </w:p>
  </w:footnote>
  <w:footnote w:id="60">
    <w:p w14:paraId="02539DA0" w14:textId="50AF6C8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8</w:t>
      </w:r>
      <w:r w:rsidRPr="00B97F15">
        <w:rPr>
          <w:rFonts w:asciiTheme="majorHAnsi" w:hAnsiTheme="majorHAnsi"/>
          <w:sz w:val="16"/>
          <w:szCs w:val="16"/>
          <w:lang w:val="es-VE"/>
        </w:rPr>
        <w:t>. Informe de la Coordinadora de Análisis y Asesoría Jurídica de la Vicepresidencia de la República dirigido al Vicepresidente de Venezuela, 8 de diciembre de 2003, Anexo H del Anexo IV de la denuncia presentada ante la CIDH el 7 de marzo de 2006.</w:t>
      </w:r>
    </w:p>
  </w:footnote>
  <w:footnote w:id="61">
    <w:p w14:paraId="5CD2A810" w14:textId="78DCAA8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Dentro del expediente consta la celebración de distintos contratos de Rocío San Miguel con el Consejo Nacional de Fronteras:  Del 1 de julio de 1996 hasta el 31 de diciembre de 1996, del 1 de enero de 1997 al 31 de diciembre de 1997, del 1 de enero de 1998 al 31 de diciembre de 1998, del 1 de enero de 2000 al 31 de marzo de 2000, del 1 de enero de 2001 al 31 de diciembre de 2001, del 1 de enero de 2002 a 31 de diciembre de 2002, del 1 de enero de 2003 a 31 de diciembre de 2003 y del 1 de enero de 2004 al 31 de diciembre de 2004. Ver Anexo </w:t>
      </w:r>
      <w:r>
        <w:rPr>
          <w:rFonts w:asciiTheme="majorHAnsi" w:hAnsiTheme="majorHAnsi"/>
          <w:sz w:val="16"/>
          <w:szCs w:val="16"/>
          <w:lang w:val="es-VE"/>
        </w:rPr>
        <w:t>9</w:t>
      </w:r>
      <w:r w:rsidRPr="00B97F15">
        <w:rPr>
          <w:rFonts w:asciiTheme="majorHAnsi" w:hAnsiTheme="majorHAnsi"/>
          <w:sz w:val="16"/>
          <w:szCs w:val="16"/>
          <w:lang w:val="es-VE"/>
        </w:rPr>
        <w:t xml:space="preserve">. Contratos de Rocío San Miguel con el Consejo Nacional de Fronteras,  Anexo A del Anexo IV de la denuncia presentada ante la CIDH el 7 de marzo de 2006. </w:t>
      </w:r>
    </w:p>
  </w:footnote>
  <w:footnote w:id="62">
    <w:p w14:paraId="18865CB6" w14:textId="686F536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10</w:t>
      </w:r>
      <w:r w:rsidRPr="00B97F15">
        <w:rPr>
          <w:rFonts w:asciiTheme="majorHAnsi" w:hAnsiTheme="majorHAnsi"/>
          <w:sz w:val="16"/>
          <w:szCs w:val="16"/>
          <w:lang w:val="es-VE"/>
        </w:rPr>
        <w:t>.  Contrato laboral celebrado entre el titular del Consejo Nacional de Fronteras con Rocío San Miguel Sosa el 31 de diciembre de 2003, Anexo F al Escrito del Estado dentro del trámite de admisibilidad ante CIDH de 16 de enero de 2008.</w:t>
      </w:r>
    </w:p>
  </w:footnote>
  <w:footnote w:id="63">
    <w:p w14:paraId="759F7600" w14:textId="2B254F6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Dentro del expediente consta la celebración de distintos contratos de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con el Consejo Nacional de Fronteras: del 1 de mayo de 1997 al 31 de diciembre de 1997, del 1 de enero de 1998 al 31 de diciembre de 1998, del 1 de enero de 1999 al 31 de marzo de 1999, del 1 de abril de 1999 al 31 de mayo de 1999, del 1 de junio de 1999 al 30 de junio de 1999, del 1 de julio de 1999 al 31 de diciembre de 1999, del 1 de enero de 2000 al 31 de marzo de 2000, del 1 de abril de 2000 al 31 diciembre de 2000, del 1 de enero de 2001 al 31 de diciembre de 2001, del 1 de enero de 2002 al 31 de diciembre de 2002, del 1 de enero de 2003 al 31 de diciembre de 2003 y del 1 de enero de 2004 al 31 de diciembre de 2004.  Ver Anexo </w:t>
      </w:r>
      <w:r>
        <w:rPr>
          <w:rFonts w:asciiTheme="majorHAnsi" w:hAnsiTheme="majorHAnsi"/>
          <w:sz w:val="16"/>
          <w:szCs w:val="16"/>
          <w:lang w:val="es-VE"/>
        </w:rPr>
        <w:t>11</w:t>
      </w:r>
      <w:r w:rsidRPr="00B97F15">
        <w:rPr>
          <w:rFonts w:asciiTheme="majorHAnsi" w:hAnsiTheme="majorHAnsi"/>
          <w:sz w:val="16"/>
          <w:szCs w:val="16"/>
          <w:lang w:val="es-VE"/>
        </w:rPr>
        <w:t xml:space="preserve">. Contratos de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con el Consejo Nacional de Fronteras,  Anexo A del Anexo IV de la denuncia presentada ante la CIDH el 7 de marzo de 2006. </w:t>
      </w:r>
    </w:p>
  </w:footnote>
  <w:footnote w:id="64">
    <w:p w14:paraId="017ECD93" w14:textId="1E52C9BD"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12</w:t>
      </w:r>
      <w:r w:rsidRPr="00B97F15">
        <w:rPr>
          <w:rFonts w:asciiTheme="majorHAnsi" w:hAnsiTheme="majorHAnsi"/>
          <w:sz w:val="16"/>
          <w:szCs w:val="16"/>
          <w:lang w:val="es-VE"/>
        </w:rPr>
        <w:t xml:space="preserve">.  Contrato laboral celebrado entre el titular del Consejo Nacional de Fronteras con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M. Chang Girón el 31 de diciembre de 2003, Anexo F al Escrito del Estado dentro del trámite de admisibilidad ante CIDH de 16 de enero de 2008.</w:t>
      </w:r>
    </w:p>
  </w:footnote>
  <w:footnote w:id="65">
    <w:p w14:paraId="78A11F58" w14:textId="66489462"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Dentro del expediente consta la celebración de contratos para prestar sus servicios del 1 de abril de 2000 al 31 de diciembre de 2000, 1 de enero de 2002 al 31 de diciembre de 2002, 1 de enero de 2003 al 31 de diciembre de 2003 y 1 de enero de 2004 al 31 de diciembre 2004.  Ver Anexo </w:t>
      </w:r>
      <w:r>
        <w:rPr>
          <w:rFonts w:asciiTheme="majorHAnsi" w:hAnsiTheme="majorHAnsi"/>
          <w:sz w:val="16"/>
          <w:szCs w:val="16"/>
          <w:lang w:val="es-VE"/>
        </w:rPr>
        <w:t>13</w:t>
      </w:r>
      <w:r w:rsidRPr="00B97F15">
        <w:rPr>
          <w:rFonts w:asciiTheme="majorHAnsi" w:hAnsiTheme="majorHAnsi"/>
          <w:sz w:val="16"/>
          <w:szCs w:val="16"/>
          <w:lang w:val="es-VE"/>
        </w:rPr>
        <w:t>. Contratos de Thais Coromoto Peña con el Consejo Nacional de Fronteras,  Anexo A del Anexo IV de la denuncia presentada ante la CIDH el 7 de marzo de 2006.</w:t>
      </w:r>
    </w:p>
  </w:footnote>
  <w:footnote w:id="66">
    <w:p w14:paraId="583C73D8" w14:textId="5D7F169D"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14</w:t>
      </w:r>
      <w:r w:rsidRPr="00B97F15">
        <w:rPr>
          <w:rFonts w:asciiTheme="majorHAnsi" w:hAnsiTheme="majorHAnsi"/>
          <w:sz w:val="16"/>
          <w:szCs w:val="16"/>
          <w:lang w:val="es-VE"/>
        </w:rPr>
        <w:t>.  Contrato laboral celebrado entre el titular del Consejo Nacional de Fronteras con Thais Coromoto Peña el 31 de diciembre de 2003, Anexo F al Escrito del Estado dentro del trámite de admisibilidad ante CIDH de 16 de enero de 2008.</w:t>
      </w:r>
    </w:p>
  </w:footnote>
  <w:footnote w:id="67">
    <w:p w14:paraId="22351B09" w14:textId="759DACCA"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15</w:t>
      </w:r>
      <w:r w:rsidRPr="00B97F15">
        <w:rPr>
          <w:rFonts w:asciiTheme="majorHAnsi" w:hAnsiTheme="majorHAnsi"/>
          <w:sz w:val="16"/>
          <w:szCs w:val="16"/>
          <w:lang w:val="es-VE"/>
        </w:rPr>
        <w:t xml:space="preserve">. Planilla de Recolección de Firmas, 19 de agosto del 2000, Anexo C del Anexo IV de la denuncia presentada ante la CIDH el 7 de marzo de 2006.  Anexo II de la denuncia presentada ante la CIDH el 7 de marzo de 2006. </w:t>
      </w:r>
      <w:r w:rsidRPr="00B97F15">
        <w:rPr>
          <w:rFonts w:asciiTheme="majorHAnsi" w:hAnsiTheme="majorHAnsi"/>
          <w:sz w:val="16"/>
          <w:szCs w:val="16"/>
          <w:lang w:val="es-VE"/>
        </w:rPr>
        <w:tab/>
      </w:r>
    </w:p>
  </w:footnote>
  <w:footnote w:id="68">
    <w:p w14:paraId="6A5ADB85" w14:textId="4052F95A"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16</w:t>
      </w:r>
      <w:r w:rsidRPr="00B97F15">
        <w:rPr>
          <w:rFonts w:asciiTheme="majorHAnsi" w:hAnsiTheme="majorHAnsi"/>
          <w:sz w:val="16"/>
          <w:szCs w:val="16"/>
          <w:lang w:val="es-VE"/>
        </w:rPr>
        <w:t xml:space="preserve">.  Recurso de casación interpuesto por Rocío San Miguel,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Girón y Thais Coromoto Peña en contra de la decisión de la Sala Séptima de la Corte de Apelaciones del Circuito Judicial Penal del Área Metropolitana de Caracas, 6 de julio de 2005. Anexo II de la denuncia presentada ante la CIDH el 7 de marzo de 2006. </w:t>
      </w:r>
      <w:r w:rsidRPr="00B97F15">
        <w:rPr>
          <w:rFonts w:asciiTheme="majorHAnsi" w:hAnsiTheme="majorHAnsi"/>
          <w:sz w:val="16"/>
          <w:szCs w:val="16"/>
          <w:lang w:val="es-VE"/>
        </w:rPr>
        <w:tab/>
      </w:r>
    </w:p>
  </w:footnote>
  <w:footnote w:id="69">
    <w:p w14:paraId="3AA46072"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La notificación a Rocío San Miguel contiene una firma de recepción con fecha 25 de marzo de 2004. A su vez, la notificación a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Girón contiene una firma de acuse y recepción con fecha 22 de marzo de 2004. En el caso de Thais Coromoto Peña dicha comunicación contiene una firma de recepción con fecha 31 de marzo de 2004.   </w:t>
      </w:r>
    </w:p>
  </w:footnote>
  <w:footnote w:id="70">
    <w:p w14:paraId="4F14DB2B" w14:textId="29EBDD00"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17</w:t>
      </w:r>
      <w:r w:rsidR="005E4F5F">
        <w:rPr>
          <w:rFonts w:asciiTheme="majorHAnsi" w:hAnsiTheme="majorHAnsi"/>
          <w:sz w:val="16"/>
          <w:szCs w:val="16"/>
          <w:lang w:val="es-VE"/>
        </w:rPr>
        <w:t xml:space="preserve">. </w:t>
      </w:r>
      <w:r w:rsidRPr="00B97F15">
        <w:rPr>
          <w:rFonts w:asciiTheme="majorHAnsi" w:hAnsiTheme="majorHAnsi"/>
          <w:sz w:val="16"/>
          <w:szCs w:val="16"/>
          <w:lang w:val="es-VE"/>
        </w:rPr>
        <w:t xml:space="preserve">Carta del Presidente del Consejo Nacional de Fronteras a Rocío San Miguel, comunicando la finalización de la relación laboral, el 12 de marzo de 2004, Anexo F al Escrito del Estado dentro del trámite de admisibilidad ante CIDH de 16 de enero de 2008; Anexo </w:t>
      </w:r>
      <w:r>
        <w:rPr>
          <w:rFonts w:asciiTheme="majorHAnsi" w:hAnsiTheme="majorHAnsi"/>
          <w:sz w:val="16"/>
          <w:szCs w:val="16"/>
          <w:lang w:val="es-VE"/>
        </w:rPr>
        <w:t>18</w:t>
      </w:r>
      <w:r w:rsidRPr="00B97F15">
        <w:rPr>
          <w:rFonts w:asciiTheme="majorHAnsi" w:hAnsiTheme="majorHAnsi"/>
          <w:sz w:val="16"/>
          <w:szCs w:val="16"/>
          <w:lang w:val="es-VE"/>
        </w:rPr>
        <w:t xml:space="preserve">.  Carta del Presidente del Consejo Nacional de Fronteras a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Girón, comunicando la finalización de la relación laboral, el 12 de marzo de 2004, Anexo F al Escrito del Estado dentro del trámite de admisibilidad ante CIDH de 16 de enero de 2008; Anexo </w:t>
      </w:r>
      <w:r>
        <w:rPr>
          <w:rFonts w:asciiTheme="majorHAnsi" w:hAnsiTheme="majorHAnsi"/>
          <w:sz w:val="16"/>
          <w:szCs w:val="16"/>
          <w:lang w:val="es-VE"/>
        </w:rPr>
        <w:t>19</w:t>
      </w:r>
      <w:r w:rsidRPr="00B97F15">
        <w:rPr>
          <w:rFonts w:asciiTheme="majorHAnsi" w:hAnsiTheme="majorHAnsi"/>
          <w:sz w:val="16"/>
          <w:szCs w:val="16"/>
          <w:lang w:val="es-VE"/>
        </w:rPr>
        <w:t xml:space="preserve">.  Carta del Presidente del Consejo Nacional de Fronteras a Thais Coromoto Peña, comunicando la finalización de la relación laboral, el 12 de marzo de 2004, Anexo F al Escrito del Estado dentro del trámite de admisibilidad ante CIDH de 16 de enero de 2008. De conformidad con una comunicación del entonces Secretario Ejecutivo del Consejo Nacional de Fronteras, las presuntas víctimas prestaron sus servicios al Consejo Nacional de Fronteras hasta el 30 de abril de 2004.  Ver Anexo </w:t>
      </w:r>
      <w:r>
        <w:rPr>
          <w:rFonts w:asciiTheme="majorHAnsi" w:hAnsiTheme="majorHAnsi"/>
          <w:sz w:val="16"/>
          <w:szCs w:val="16"/>
          <w:lang w:val="es-VE"/>
        </w:rPr>
        <w:t>20</w:t>
      </w:r>
      <w:r w:rsidRPr="00B97F15">
        <w:rPr>
          <w:rFonts w:asciiTheme="majorHAnsi" w:hAnsiTheme="majorHAnsi"/>
          <w:sz w:val="16"/>
          <w:szCs w:val="16"/>
          <w:lang w:val="es-VE"/>
        </w:rPr>
        <w:t xml:space="preserve">. Carta del Secretario Ejecutivo del Consejo Nacional de Fronteras al Fiscal 37 del Ministerio Público, 13 de julio de 2004, Anexo II de la denuncia presentada ante la CIDH el 7 de marzo de 2006. </w:t>
      </w:r>
      <w:r w:rsidRPr="00B97F15">
        <w:rPr>
          <w:rFonts w:asciiTheme="majorHAnsi" w:hAnsiTheme="majorHAnsi"/>
          <w:sz w:val="16"/>
          <w:szCs w:val="16"/>
          <w:lang w:val="es-VE"/>
        </w:rPr>
        <w:tab/>
      </w:r>
    </w:p>
  </w:footnote>
  <w:footnote w:id="71">
    <w:p w14:paraId="6E28CDB8" w14:textId="15E108C8"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21</w:t>
      </w:r>
      <w:r w:rsidRPr="00B97F15">
        <w:rPr>
          <w:rFonts w:asciiTheme="majorHAnsi" w:hAnsiTheme="majorHAnsi"/>
          <w:sz w:val="16"/>
          <w:szCs w:val="16"/>
          <w:lang w:val="es-VE"/>
        </w:rPr>
        <w:t xml:space="preserve">. Conversación telefónica entre Feijoo </w:t>
      </w:r>
      <w:proofErr w:type="spellStart"/>
      <w:r w:rsidRPr="00B97F15">
        <w:rPr>
          <w:rFonts w:asciiTheme="majorHAnsi" w:hAnsiTheme="majorHAnsi"/>
          <w:sz w:val="16"/>
          <w:szCs w:val="16"/>
          <w:lang w:val="es-VE"/>
        </w:rPr>
        <w:t>Colomine</w:t>
      </w:r>
      <w:proofErr w:type="spellEnd"/>
      <w:r w:rsidRPr="00B97F15">
        <w:rPr>
          <w:rFonts w:asciiTheme="majorHAnsi" w:hAnsiTheme="majorHAnsi"/>
          <w:sz w:val="16"/>
          <w:szCs w:val="16"/>
          <w:lang w:val="es-VE"/>
        </w:rPr>
        <w:t xml:space="preserve"> y Rocío San Miguel, 24 de marzo de 2004, Anexo B del Anexo IV de la denuncia presentada ante la CIDH el 7 de marzo de 2006.</w:t>
      </w:r>
    </w:p>
  </w:footnote>
  <w:footnote w:id="72">
    <w:p w14:paraId="2E690887" w14:textId="4F2A45E3"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22</w:t>
      </w:r>
      <w:r w:rsidRPr="00B97F15">
        <w:rPr>
          <w:rFonts w:asciiTheme="majorHAnsi" w:hAnsiTheme="majorHAnsi"/>
          <w:sz w:val="16"/>
          <w:szCs w:val="16"/>
          <w:lang w:val="es-VE"/>
        </w:rPr>
        <w:t>. Acta de entrevista a Rocío del Carmen San Miguel Sosa,  rendida ante la Fiscalía Trigésima Séptima el 15 de julio de 2004, Anexo II de la denuncia presentada ante la CIDH el 7 de marzo de 2006.</w:t>
      </w:r>
    </w:p>
  </w:footnote>
  <w:footnote w:id="73">
    <w:p w14:paraId="0E78E01D" w14:textId="67A66310"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23</w:t>
      </w:r>
      <w:r w:rsidRPr="00B97F15">
        <w:rPr>
          <w:rFonts w:asciiTheme="majorHAnsi" w:hAnsiTheme="majorHAnsi"/>
          <w:sz w:val="16"/>
          <w:szCs w:val="16"/>
          <w:lang w:val="es-VE"/>
        </w:rPr>
        <w:t>. Carta de Rocío San Miguel al Presidente del Consejo Nacional de Fronteras, 29 de marzo de 2004,  Anexo I de la denuncia presentada ante la CIDH el 7 de marzo de 2006.</w:t>
      </w:r>
    </w:p>
  </w:footnote>
  <w:footnote w:id="74">
    <w:p w14:paraId="4E3A6D6F" w14:textId="1394DB34"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24</w:t>
      </w:r>
      <w:r w:rsidR="005E4F5F">
        <w:rPr>
          <w:rFonts w:asciiTheme="majorHAnsi" w:hAnsiTheme="majorHAnsi"/>
          <w:sz w:val="16"/>
          <w:szCs w:val="16"/>
          <w:lang w:val="es-VE"/>
        </w:rPr>
        <w:t xml:space="preserve">. </w:t>
      </w:r>
      <w:r w:rsidRPr="00B97F15">
        <w:rPr>
          <w:rFonts w:asciiTheme="majorHAnsi" w:hAnsiTheme="majorHAnsi"/>
          <w:sz w:val="16"/>
          <w:szCs w:val="16"/>
          <w:lang w:val="es-VE"/>
        </w:rPr>
        <w:t xml:space="preserve">Carta del Presidente del Consejo Nacional de Fronteras a Rocío San Miguel, comunicando la finalización de la relación laboral, el 12 de marzo de 2004, Anexo F al Escrito del Estado dentro del trámite de admisibilidad ante CIDH de 16 de enero de 2008; Anexo </w:t>
      </w:r>
      <w:r>
        <w:rPr>
          <w:rFonts w:asciiTheme="majorHAnsi" w:hAnsiTheme="majorHAnsi"/>
          <w:sz w:val="16"/>
          <w:szCs w:val="16"/>
          <w:lang w:val="es-VE"/>
        </w:rPr>
        <w:t>25</w:t>
      </w:r>
      <w:r w:rsidRPr="00B97F15">
        <w:rPr>
          <w:rFonts w:asciiTheme="majorHAnsi" w:hAnsiTheme="majorHAnsi"/>
          <w:sz w:val="16"/>
          <w:szCs w:val="16"/>
          <w:lang w:val="es-VE"/>
        </w:rPr>
        <w:t xml:space="preserve">.  Carta del Presidente del Consejo Nacional de Fronteras a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Girón, comunicando la finalización de la relación laboral, el 12 de marzo de 2004, Anexo F al Escrito del Estado dentro del trámite de admisibilidad ante CIDH de 16 de enero de 2008; Anexo </w:t>
      </w:r>
      <w:r>
        <w:rPr>
          <w:rFonts w:asciiTheme="majorHAnsi" w:hAnsiTheme="majorHAnsi"/>
          <w:sz w:val="16"/>
          <w:szCs w:val="16"/>
          <w:lang w:val="es-VE"/>
        </w:rPr>
        <w:t>26</w:t>
      </w:r>
      <w:r w:rsidRPr="00B97F15">
        <w:rPr>
          <w:rFonts w:asciiTheme="majorHAnsi" w:hAnsiTheme="majorHAnsi"/>
          <w:sz w:val="16"/>
          <w:szCs w:val="16"/>
          <w:lang w:val="es-VE"/>
        </w:rPr>
        <w:t>.  Carta del Presidente del Consejo Nacional de Fronteras a Thais Coromoto Peña, comunicando la finalización de la relación laboral, el 12 de marzo de 2004, Anexo F al Escrito del Estado dentro del trámite de admisibilidad ante CIDH de 16 de enero de 2008. De conformidad con una comunicación del entonces Secretario Ejecutivo del Consejo Nacional de Fronteras, las presuntas víctimas prestaron sus servicios al Consejo Nacional de Fronteras hasta el 30 de abril de 2004.  Ver Anexo</w:t>
      </w:r>
      <w:r>
        <w:rPr>
          <w:rFonts w:asciiTheme="majorHAnsi" w:hAnsiTheme="majorHAnsi"/>
          <w:sz w:val="16"/>
          <w:szCs w:val="16"/>
          <w:lang w:val="es-VE"/>
        </w:rPr>
        <w:t xml:space="preserve"> 20</w:t>
      </w:r>
      <w:r w:rsidRPr="00B97F15">
        <w:rPr>
          <w:rFonts w:asciiTheme="majorHAnsi" w:hAnsiTheme="majorHAnsi"/>
          <w:sz w:val="16"/>
          <w:szCs w:val="16"/>
          <w:lang w:val="es-VE"/>
        </w:rPr>
        <w:t xml:space="preserve">. Carta del Secretario Ejecutivo del Consejo Nacional de Fronteras al Fiscal 37 del Ministerio Público, 13 de julio de 2004, Anexo II de la denuncia presentada ante la CIDH el 7 de marzo de 2006. </w:t>
      </w:r>
      <w:r w:rsidRPr="00B97F15">
        <w:rPr>
          <w:rFonts w:asciiTheme="majorHAnsi" w:hAnsiTheme="majorHAnsi"/>
          <w:sz w:val="16"/>
          <w:szCs w:val="16"/>
          <w:lang w:val="es-VE"/>
        </w:rPr>
        <w:tab/>
      </w:r>
    </w:p>
  </w:footnote>
  <w:footnote w:id="75">
    <w:p w14:paraId="32851E4E" w14:textId="2634DECC"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27</w:t>
      </w:r>
      <w:r w:rsidRPr="00B97F15">
        <w:rPr>
          <w:rFonts w:asciiTheme="majorHAnsi" w:hAnsiTheme="majorHAnsi"/>
          <w:sz w:val="16"/>
          <w:szCs w:val="16"/>
          <w:lang w:val="es-VE"/>
        </w:rPr>
        <w:t>. Oficio del Secretario Ejecutivo del Consejo Nacional de Fronteras dirigido a la Defensora Delegada del Área Metropolitana de Caracas en la que se refiere a la terminación de la relación laboral con las víctimas del caso, pág.1, Anexo E al Escrito del Estado dentro del trámite de admisibilidad ante CIDH de 16 de enero de 2008.</w:t>
      </w:r>
    </w:p>
  </w:footnote>
  <w:footnote w:id="76">
    <w:p w14:paraId="37E86E27" w14:textId="1DFD6EB3"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27</w:t>
      </w:r>
      <w:r w:rsidRPr="00B97F15">
        <w:rPr>
          <w:rFonts w:asciiTheme="majorHAnsi" w:hAnsiTheme="majorHAnsi"/>
          <w:sz w:val="16"/>
          <w:szCs w:val="16"/>
          <w:lang w:val="es-VE"/>
        </w:rPr>
        <w:t>. Oficio del Secretario Ejecutivo del Consejo Nacional de Fronteras dirigido a la Defensora Delegada del Área Metropolitana de Caracas en la que se refiere a la terminación de la relación laboral con las víctimas del caso, pág.2, Anexo E al Escrito del Estado dentro del trámite de admisibilidad ante CIDH de 16 de enero de 2008.</w:t>
      </w:r>
    </w:p>
  </w:footnote>
  <w:footnote w:id="77">
    <w:p w14:paraId="6AD6A382" w14:textId="4228B08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w:t>
      </w:r>
      <w:r>
        <w:rPr>
          <w:rFonts w:asciiTheme="majorHAnsi" w:hAnsiTheme="majorHAnsi"/>
          <w:sz w:val="16"/>
          <w:szCs w:val="16"/>
          <w:lang w:val="es-VE"/>
        </w:rPr>
        <w:t xml:space="preserve"> 28</w:t>
      </w:r>
      <w:r w:rsidRPr="00B97F15">
        <w:rPr>
          <w:rFonts w:asciiTheme="majorHAnsi" w:hAnsiTheme="majorHAnsi"/>
          <w:sz w:val="16"/>
          <w:szCs w:val="16"/>
          <w:lang w:val="es-VE"/>
        </w:rPr>
        <w:t xml:space="preserve">. Entrevista realizada por </w:t>
      </w:r>
      <w:proofErr w:type="spellStart"/>
      <w:r w:rsidRPr="00B97F15">
        <w:rPr>
          <w:rFonts w:asciiTheme="majorHAnsi" w:hAnsiTheme="majorHAnsi"/>
          <w:sz w:val="16"/>
          <w:szCs w:val="16"/>
          <w:lang w:val="es-VE"/>
        </w:rPr>
        <w:t>Ybellize</w:t>
      </w:r>
      <w:proofErr w:type="spellEnd"/>
      <w:r w:rsidRPr="00B97F15">
        <w:rPr>
          <w:rFonts w:asciiTheme="majorHAnsi" w:hAnsiTheme="majorHAnsi"/>
          <w:sz w:val="16"/>
          <w:szCs w:val="16"/>
          <w:lang w:val="es-VE"/>
        </w:rPr>
        <w:t xml:space="preserve"> Pacheco a Feijoo </w:t>
      </w:r>
      <w:proofErr w:type="spellStart"/>
      <w:r w:rsidRPr="00B97F15">
        <w:rPr>
          <w:rFonts w:asciiTheme="majorHAnsi" w:hAnsiTheme="majorHAnsi"/>
          <w:sz w:val="16"/>
          <w:szCs w:val="16"/>
          <w:lang w:val="es-VE"/>
        </w:rPr>
        <w:t>Colomine</w:t>
      </w:r>
      <w:proofErr w:type="spellEnd"/>
      <w:r w:rsidRPr="00B97F15">
        <w:rPr>
          <w:rFonts w:asciiTheme="majorHAnsi" w:hAnsiTheme="majorHAnsi"/>
          <w:sz w:val="16"/>
          <w:szCs w:val="16"/>
          <w:lang w:val="es-VE"/>
        </w:rPr>
        <w:t xml:space="preserve"> el 3 de agosto de 2004, Anexo G del Anexo IV de la denuncia presentada ante la CIDH el 7 de marzo de 2006.</w:t>
      </w:r>
    </w:p>
  </w:footnote>
  <w:footnote w:id="78">
    <w:p w14:paraId="474BAE28" w14:textId="2A7A2913"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29</w:t>
      </w:r>
      <w:r w:rsidRPr="00B97F15">
        <w:rPr>
          <w:rFonts w:asciiTheme="majorHAnsi" w:hAnsiTheme="majorHAnsi"/>
          <w:sz w:val="16"/>
          <w:szCs w:val="16"/>
          <w:lang w:val="es-VE"/>
        </w:rPr>
        <w:t xml:space="preserve">. Acta de entrevista a Feijoo </w:t>
      </w:r>
      <w:proofErr w:type="spellStart"/>
      <w:r w:rsidRPr="00B97F15">
        <w:rPr>
          <w:rFonts w:asciiTheme="majorHAnsi" w:hAnsiTheme="majorHAnsi"/>
          <w:sz w:val="16"/>
          <w:szCs w:val="16"/>
          <w:lang w:val="es-VE"/>
        </w:rPr>
        <w:t>Colomine</w:t>
      </w:r>
      <w:proofErr w:type="spellEnd"/>
      <w:r w:rsidRPr="00B97F15">
        <w:rPr>
          <w:rFonts w:asciiTheme="majorHAnsi" w:hAnsiTheme="majorHAnsi"/>
          <w:sz w:val="16"/>
          <w:szCs w:val="16"/>
          <w:lang w:val="es-VE"/>
        </w:rPr>
        <w:t xml:space="preserve"> Rincones rendida ante la Fiscalía Trigésima Séptima el 14 de julio de 2004, Anexo II de la denuncia presentada ante la CIDH el 7 de marzo de 2006.</w:t>
      </w:r>
    </w:p>
  </w:footnote>
  <w:footnote w:id="79">
    <w:p w14:paraId="3D651F28" w14:textId="5543DEA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22</w:t>
      </w:r>
      <w:r w:rsidRPr="00B97F15">
        <w:rPr>
          <w:rFonts w:asciiTheme="majorHAnsi" w:hAnsiTheme="majorHAnsi"/>
          <w:sz w:val="16"/>
          <w:szCs w:val="16"/>
          <w:lang w:val="es-VE"/>
        </w:rPr>
        <w:t>. Acta de entrevista a Rocío del Carmen San Miguel Sosa,  rendida ante la Fiscalía Trigésima Séptima el 15 de julio de 2004, Anexo II de la denuncia presentada ante la CIDH el 7 de marzo de 2006.</w:t>
      </w:r>
    </w:p>
  </w:footnote>
  <w:footnote w:id="80">
    <w:p w14:paraId="6B690736" w14:textId="04A2B30A"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Pr>
          <w:rFonts w:asciiTheme="majorHAnsi" w:hAnsiTheme="majorHAnsi"/>
          <w:sz w:val="16"/>
          <w:szCs w:val="16"/>
          <w:lang w:val="es-VE"/>
        </w:rPr>
        <w:t xml:space="preserve"> Anexo 22</w:t>
      </w:r>
      <w:r w:rsidRPr="00B97F15">
        <w:rPr>
          <w:rFonts w:asciiTheme="majorHAnsi" w:hAnsiTheme="majorHAnsi"/>
          <w:sz w:val="16"/>
          <w:szCs w:val="16"/>
          <w:lang w:val="es-VE"/>
        </w:rPr>
        <w:t>. Acta de entrevista a Rocío del Carmen San Miguel Sosa,  rendida ante la Fiscalía Trigésima Séptima el 15 de julio de 2004, Anexo II de la denuncia presentada ante la CIDH el 7 de marzo de 2006.</w:t>
      </w:r>
    </w:p>
  </w:footnote>
  <w:footnote w:id="81">
    <w:p w14:paraId="37469FF9" w14:textId="380D863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w:t>
      </w:r>
      <w:r>
        <w:rPr>
          <w:rFonts w:asciiTheme="majorHAnsi" w:hAnsiTheme="majorHAnsi"/>
          <w:sz w:val="16"/>
          <w:szCs w:val="16"/>
          <w:lang w:val="es-VE"/>
        </w:rPr>
        <w:t xml:space="preserve"> 22</w:t>
      </w:r>
      <w:r w:rsidRPr="00B97F15">
        <w:rPr>
          <w:rFonts w:asciiTheme="majorHAnsi" w:hAnsiTheme="majorHAnsi"/>
          <w:sz w:val="16"/>
          <w:szCs w:val="16"/>
          <w:lang w:val="es-VE"/>
        </w:rPr>
        <w:t>. Acta de entrevista a Rocío del Carmen San Miguel Sosa,  rendida ante la Fiscalía Trigésima Séptima el 15 de julio de 2004, Anexo II de la denuncia presentada ante la CIDH el 7 de marzo de 2006.</w:t>
      </w:r>
    </w:p>
  </w:footnote>
  <w:footnote w:id="82">
    <w:p w14:paraId="2B73E8F4" w14:textId="404378CC"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22</w:t>
      </w:r>
      <w:r w:rsidRPr="00B97F15">
        <w:rPr>
          <w:rFonts w:asciiTheme="majorHAnsi" w:hAnsiTheme="majorHAnsi"/>
          <w:sz w:val="16"/>
          <w:szCs w:val="16"/>
          <w:lang w:val="es-VE"/>
        </w:rPr>
        <w:t>. Acta de entrevista a Rocío del Carmen San Miguel Sosa,  rendida ante la Fiscalía Trigésima Séptima el 15 de julio de 2004, Anexo II de la denuncia presentada ante la CIDH el 7 de marzo de 2006.</w:t>
      </w:r>
    </w:p>
  </w:footnote>
  <w:footnote w:id="83">
    <w:p w14:paraId="18BC95C9" w14:textId="19362558"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30</w:t>
      </w:r>
      <w:r w:rsidRPr="00B97F15">
        <w:rPr>
          <w:rFonts w:asciiTheme="majorHAnsi" w:hAnsiTheme="majorHAnsi"/>
          <w:sz w:val="16"/>
          <w:szCs w:val="16"/>
          <w:lang w:val="es-VE"/>
        </w:rPr>
        <w:t xml:space="preserve">. Acta de entrevista a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Margarita Chang </w:t>
      </w:r>
      <w:proofErr w:type="spellStart"/>
      <w:r w:rsidRPr="00B97F15">
        <w:rPr>
          <w:rFonts w:asciiTheme="majorHAnsi" w:hAnsiTheme="majorHAnsi"/>
          <w:sz w:val="16"/>
          <w:szCs w:val="16"/>
          <w:lang w:val="es-VE"/>
        </w:rPr>
        <w:t>Giron</w:t>
      </w:r>
      <w:proofErr w:type="spellEnd"/>
      <w:r w:rsidRPr="00B97F15">
        <w:rPr>
          <w:rFonts w:asciiTheme="majorHAnsi" w:hAnsiTheme="majorHAnsi"/>
          <w:sz w:val="16"/>
          <w:szCs w:val="16"/>
          <w:lang w:val="es-VE"/>
        </w:rPr>
        <w:t>,  rendida ante la Fiscalía Trigésima Séptima el 16 de julio de 2004, Anexo II de la denuncia presentada ante la CIDH el 7 de marzo de 2006.</w:t>
      </w:r>
    </w:p>
  </w:footnote>
  <w:footnote w:id="84">
    <w:p w14:paraId="15CAFBE4" w14:textId="136C137F"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30</w:t>
      </w:r>
      <w:r w:rsidRPr="00B97F15">
        <w:rPr>
          <w:rFonts w:asciiTheme="majorHAnsi" w:hAnsiTheme="majorHAnsi"/>
          <w:sz w:val="16"/>
          <w:szCs w:val="16"/>
          <w:lang w:val="es-VE"/>
        </w:rPr>
        <w:t xml:space="preserve">. Acta de entrevista a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Margarita Chang </w:t>
      </w:r>
      <w:proofErr w:type="spellStart"/>
      <w:r w:rsidRPr="00B97F15">
        <w:rPr>
          <w:rFonts w:asciiTheme="majorHAnsi" w:hAnsiTheme="majorHAnsi"/>
          <w:sz w:val="16"/>
          <w:szCs w:val="16"/>
          <w:lang w:val="es-VE"/>
        </w:rPr>
        <w:t>Giron</w:t>
      </w:r>
      <w:proofErr w:type="spellEnd"/>
      <w:r w:rsidRPr="00B97F15">
        <w:rPr>
          <w:rFonts w:asciiTheme="majorHAnsi" w:hAnsiTheme="majorHAnsi"/>
          <w:sz w:val="16"/>
          <w:szCs w:val="16"/>
          <w:lang w:val="es-VE"/>
        </w:rPr>
        <w:t>,  rendida ante la Fiscalía Trigésima Séptima el 16 de julio de 2004, Anexo II de la denuncia presentada ante la CIDH el 7 de marzo de 2006.</w:t>
      </w:r>
    </w:p>
  </w:footnote>
  <w:footnote w:id="85">
    <w:p w14:paraId="272E1253" w14:textId="7F5B51A5"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31</w:t>
      </w:r>
      <w:r w:rsidRPr="00B97F15">
        <w:rPr>
          <w:rFonts w:asciiTheme="majorHAnsi" w:hAnsiTheme="majorHAnsi"/>
          <w:sz w:val="16"/>
          <w:szCs w:val="16"/>
          <w:lang w:val="es-VE"/>
        </w:rPr>
        <w:t>. Acta de entrevista a Thais Coromoto Peña,  rendida ante la Fiscalía Trigésima Séptima el 15 de julio de 2004, Anexo II de la denuncia presentada ante la CIDH el 7 de marzo de 2006.</w:t>
      </w:r>
    </w:p>
  </w:footnote>
  <w:footnote w:id="86">
    <w:p w14:paraId="2D81D258" w14:textId="7D219D74"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31</w:t>
      </w:r>
      <w:r w:rsidRPr="00B97F15">
        <w:rPr>
          <w:rFonts w:asciiTheme="majorHAnsi" w:hAnsiTheme="majorHAnsi"/>
          <w:sz w:val="16"/>
          <w:szCs w:val="16"/>
          <w:lang w:val="es-VE"/>
        </w:rPr>
        <w:t>. Acta de entrevista a Thais Coromoto Peña,  rendida ante la Fiscalía Trigésima Séptima el 15 de julio de 2004, Anexo II de la denuncia presentada ante la CIDH el 7 de marzo de 2006.</w:t>
      </w:r>
    </w:p>
  </w:footnote>
  <w:footnote w:id="87">
    <w:p w14:paraId="7AA442F9" w14:textId="6393BAC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Ver Anexo </w:t>
      </w:r>
      <w:r>
        <w:rPr>
          <w:rFonts w:asciiTheme="majorHAnsi" w:hAnsiTheme="majorHAnsi"/>
          <w:sz w:val="16"/>
          <w:szCs w:val="16"/>
          <w:lang w:val="es-VE"/>
        </w:rPr>
        <w:t>21</w:t>
      </w:r>
      <w:r w:rsidRPr="00B97F15">
        <w:rPr>
          <w:rFonts w:asciiTheme="majorHAnsi" w:hAnsiTheme="majorHAnsi"/>
          <w:sz w:val="16"/>
          <w:szCs w:val="16"/>
          <w:lang w:val="es-VE"/>
        </w:rPr>
        <w:t xml:space="preserve">. Conversación telefónica entre Feijoo </w:t>
      </w:r>
      <w:proofErr w:type="spellStart"/>
      <w:r w:rsidRPr="00B97F15">
        <w:rPr>
          <w:rFonts w:asciiTheme="majorHAnsi" w:hAnsiTheme="majorHAnsi"/>
          <w:sz w:val="16"/>
          <w:szCs w:val="16"/>
          <w:lang w:val="es-VE"/>
        </w:rPr>
        <w:t>Colomine</w:t>
      </w:r>
      <w:proofErr w:type="spellEnd"/>
      <w:r w:rsidRPr="00B97F15">
        <w:rPr>
          <w:rFonts w:asciiTheme="majorHAnsi" w:hAnsiTheme="majorHAnsi"/>
          <w:sz w:val="16"/>
          <w:szCs w:val="16"/>
          <w:lang w:val="es-VE"/>
        </w:rPr>
        <w:t xml:space="preserve"> y Rocío San Miguel, 24 de marzo de 2004, Anexo B del Anexo IV de la denuncia presentada ante la CIDH el 7 de marzo de 2006.</w:t>
      </w:r>
    </w:p>
  </w:footnote>
  <w:footnote w:id="88">
    <w:p w14:paraId="41DC0F50" w14:textId="6BDE6B6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Ver Anexo </w:t>
      </w:r>
      <w:r>
        <w:rPr>
          <w:rFonts w:asciiTheme="majorHAnsi" w:hAnsiTheme="majorHAnsi"/>
          <w:sz w:val="16"/>
          <w:szCs w:val="16"/>
          <w:lang w:val="es-VE"/>
        </w:rPr>
        <w:t>21</w:t>
      </w:r>
      <w:r w:rsidRPr="00B97F15">
        <w:rPr>
          <w:rFonts w:asciiTheme="majorHAnsi" w:hAnsiTheme="majorHAnsi"/>
          <w:sz w:val="16"/>
          <w:szCs w:val="16"/>
          <w:lang w:val="es-VE"/>
        </w:rPr>
        <w:t xml:space="preserve">. Conversación telefónica entre Feijoo </w:t>
      </w:r>
      <w:proofErr w:type="spellStart"/>
      <w:r w:rsidRPr="00B97F15">
        <w:rPr>
          <w:rFonts w:asciiTheme="majorHAnsi" w:hAnsiTheme="majorHAnsi"/>
          <w:sz w:val="16"/>
          <w:szCs w:val="16"/>
          <w:lang w:val="es-VE"/>
        </w:rPr>
        <w:t>Colomine</w:t>
      </w:r>
      <w:proofErr w:type="spellEnd"/>
      <w:r w:rsidRPr="00B97F15">
        <w:rPr>
          <w:rFonts w:asciiTheme="majorHAnsi" w:hAnsiTheme="majorHAnsi"/>
          <w:sz w:val="16"/>
          <w:szCs w:val="16"/>
          <w:lang w:val="es-VE"/>
        </w:rPr>
        <w:t xml:space="preserve"> y Rocío San Miguel, 24 de marzo de 2004, Anexo B del Anexo IV de la denuncia presentada ante la CIDH el 7 de marzo de 2006.</w:t>
      </w:r>
    </w:p>
  </w:footnote>
  <w:footnote w:id="89">
    <w:p w14:paraId="6866E25B" w14:textId="010E3304"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Ver Anexo </w:t>
      </w:r>
      <w:r>
        <w:rPr>
          <w:rFonts w:asciiTheme="majorHAnsi" w:hAnsiTheme="majorHAnsi"/>
          <w:sz w:val="16"/>
          <w:szCs w:val="16"/>
          <w:lang w:val="es-VE"/>
        </w:rPr>
        <w:t>21</w:t>
      </w:r>
      <w:r w:rsidRPr="00B97F15">
        <w:rPr>
          <w:rFonts w:asciiTheme="majorHAnsi" w:hAnsiTheme="majorHAnsi"/>
          <w:sz w:val="16"/>
          <w:szCs w:val="16"/>
          <w:lang w:val="es-VE"/>
        </w:rPr>
        <w:t xml:space="preserve">. Conversación telefónica entre Feijoo </w:t>
      </w:r>
      <w:proofErr w:type="spellStart"/>
      <w:r w:rsidRPr="00B97F15">
        <w:rPr>
          <w:rFonts w:asciiTheme="majorHAnsi" w:hAnsiTheme="majorHAnsi"/>
          <w:sz w:val="16"/>
          <w:szCs w:val="16"/>
          <w:lang w:val="es-VE"/>
        </w:rPr>
        <w:t>Colomine</w:t>
      </w:r>
      <w:proofErr w:type="spellEnd"/>
      <w:r w:rsidRPr="00B97F15">
        <w:rPr>
          <w:rFonts w:asciiTheme="majorHAnsi" w:hAnsiTheme="majorHAnsi"/>
          <w:sz w:val="16"/>
          <w:szCs w:val="16"/>
          <w:lang w:val="es-VE"/>
        </w:rPr>
        <w:t xml:space="preserve"> y Rocío San Miguel, 24 de marzo de 2004, Anexo B del Anexo IV de la denuncia presentada ante la CIDH el 7 de marzo de 2006.</w:t>
      </w:r>
    </w:p>
  </w:footnote>
  <w:footnote w:id="90">
    <w:p w14:paraId="408B10F3" w14:textId="4A4DD4A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32</w:t>
      </w:r>
      <w:r w:rsidRPr="00B97F15">
        <w:rPr>
          <w:rFonts w:asciiTheme="majorHAnsi" w:hAnsiTheme="majorHAnsi"/>
          <w:sz w:val="16"/>
          <w:szCs w:val="16"/>
          <w:lang w:val="es-VE"/>
        </w:rPr>
        <w:t xml:space="preserve">. Conversación telefónica Rocío San Miguel e Ilia </w:t>
      </w:r>
      <w:proofErr w:type="spellStart"/>
      <w:r w:rsidRPr="00B97F15">
        <w:rPr>
          <w:rFonts w:asciiTheme="majorHAnsi" w:hAnsiTheme="majorHAnsi"/>
          <w:sz w:val="16"/>
          <w:szCs w:val="16"/>
          <w:lang w:val="es-VE"/>
        </w:rPr>
        <w:t>Azpurua</w:t>
      </w:r>
      <w:proofErr w:type="spellEnd"/>
      <w:r w:rsidRPr="00B97F15">
        <w:rPr>
          <w:rFonts w:asciiTheme="majorHAnsi" w:hAnsiTheme="majorHAnsi"/>
          <w:sz w:val="16"/>
          <w:szCs w:val="16"/>
          <w:lang w:val="es-VE"/>
        </w:rPr>
        <w:t>, 31 de marzo de 2004, Anexo I del Anexo IV de la denuncia presentada ante la CIDH el 7 de marzo de 2006.</w:t>
      </w:r>
    </w:p>
  </w:footnote>
  <w:footnote w:id="91">
    <w:p w14:paraId="3215FF37" w14:textId="69FEC13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Dentro del expediente consta la celebración de distintos contratos de Rocío San Miguel con el Consejo Nacional de Fronteras:  Del 1 de julio de 1996 hasta el 31 de diciembre de 1996, del 1 de enero de 1997 al 31 de diciembre de 1997, del 1 de enero de 1998 al 31 de diciembre de 1998, del 1 de enero de 2000 al 31 de marzo de 2000, del 1 de enero de 2001 al 31 de diciembre de 2001, del 1 de enero de 2002 a 31 de diciembre de 2002, del 1 de enero de 2003 a 31 de diciembre de 2003 y del 1 de enero de 2004 al 31 de diciembre de 2004. Ver Anexo </w:t>
      </w:r>
      <w:r>
        <w:rPr>
          <w:rFonts w:asciiTheme="majorHAnsi" w:hAnsiTheme="majorHAnsi"/>
          <w:sz w:val="16"/>
          <w:szCs w:val="16"/>
          <w:lang w:val="es-VE"/>
        </w:rPr>
        <w:t>9</w:t>
      </w:r>
      <w:r w:rsidRPr="00B97F15">
        <w:rPr>
          <w:rFonts w:asciiTheme="majorHAnsi" w:hAnsiTheme="majorHAnsi"/>
          <w:sz w:val="16"/>
          <w:szCs w:val="16"/>
          <w:lang w:val="es-VE"/>
        </w:rPr>
        <w:t xml:space="preserve">. Contratos de Rocío San Miguel con el Consejo Nacional de Fronteras,  Anexo A del Anexo IV de la denuncia presentada ante la CIDH el 7 de marzo de 2006. </w:t>
      </w:r>
    </w:p>
  </w:footnote>
  <w:footnote w:id="92">
    <w:p w14:paraId="10ECA41F" w14:textId="40A35C3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Dentro del expediente consta la celebración de distintos contratos de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con el Consejo Nacional de Fronteras: del 1 de mayo de 1997 al 31 de diciembre de 1997, del 1 de enero de 1998 al 31 de diciembre de 1998, del 1 de enero de 1999 al 31 de marzo de 1999, del 1 de abril de 1999 al 31 de mayo de 1999, del 1 de junio de 1999 al 30 de junio de 1999, del 1 de julio de 1999 al 31 de diciembre de 1999, del 1 de enero de 2000 al 31 de marzo de 2000, del 1 de abril de 2000 al 31 diciembre de 2000, del 1 de enero de 2001 al 31 de diciembre de 2001, del 1 de enero de 2002 al 31 de diciembre de 2002, del 1 de enero de 2003 al 31 de diciembre de 2003 y del 1 de enero de 2004 al 31 de diciembre de 2004.  Ver Anexo </w:t>
      </w:r>
      <w:r>
        <w:rPr>
          <w:rFonts w:asciiTheme="majorHAnsi" w:hAnsiTheme="majorHAnsi"/>
          <w:sz w:val="16"/>
          <w:szCs w:val="16"/>
          <w:lang w:val="es-VE"/>
        </w:rPr>
        <w:t>11</w:t>
      </w:r>
      <w:r w:rsidRPr="00B97F15">
        <w:rPr>
          <w:rFonts w:asciiTheme="majorHAnsi" w:hAnsiTheme="majorHAnsi"/>
          <w:sz w:val="16"/>
          <w:szCs w:val="16"/>
          <w:lang w:val="es-VE"/>
        </w:rPr>
        <w:t xml:space="preserve">. Contratos de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con el Consejo Nacional de Fronteras,  Anexo A del Anexo IV de la denuncia presentada ante la CIDH el 7 de marzo de 2006. </w:t>
      </w:r>
    </w:p>
  </w:footnote>
  <w:footnote w:id="93">
    <w:p w14:paraId="6160E325" w14:textId="73BAB9A2"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Dentro del expediente consta la celebración de contratos para prestar sus servicios del 1 de abril de 2000 al 31 de diciembre de 2000, 1 de enero de 2002 al 31 de diciembre de 2002, 1 de enero de 2003 al 31 de diciembre de 2003 y 1 de enero de 2004 al 31 de diciembre 2004.  Ver Anexo </w:t>
      </w:r>
      <w:r>
        <w:rPr>
          <w:rFonts w:asciiTheme="majorHAnsi" w:hAnsiTheme="majorHAnsi"/>
          <w:sz w:val="16"/>
          <w:szCs w:val="16"/>
          <w:lang w:val="es-VE"/>
        </w:rPr>
        <w:t>13</w:t>
      </w:r>
      <w:r w:rsidRPr="00B97F15">
        <w:rPr>
          <w:rFonts w:asciiTheme="majorHAnsi" w:hAnsiTheme="majorHAnsi"/>
          <w:sz w:val="16"/>
          <w:szCs w:val="16"/>
          <w:lang w:val="es-VE"/>
        </w:rPr>
        <w:t>. Contratos de Thais Coromoto Peña con el Consejo Nacional de Fronteras,  Anexo A del Anexo IV de la denuncia presentada ante la CIDH el 7 de marzo de 2006</w:t>
      </w:r>
    </w:p>
  </w:footnote>
  <w:footnote w:id="94">
    <w:p w14:paraId="5CF6F0E2" w14:textId="36C0933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33</w:t>
      </w:r>
      <w:r w:rsidRPr="00B97F15">
        <w:rPr>
          <w:rFonts w:asciiTheme="majorHAnsi" w:hAnsiTheme="majorHAnsi"/>
          <w:sz w:val="16"/>
          <w:szCs w:val="16"/>
          <w:lang w:val="es-VE"/>
        </w:rPr>
        <w:t>.  Copia de la nómina del Personal Contratado en el Consejo Nacional de Fronteras hasta diciembre de 2003, Anexo  7 a la Información adicional presentada por los peticionarios el 30 de mayo de 2007.</w:t>
      </w:r>
    </w:p>
  </w:footnote>
  <w:footnote w:id="95">
    <w:p w14:paraId="08840444" w14:textId="6659933B"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21</w:t>
      </w:r>
      <w:r w:rsidRPr="00B97F15">
        <w:rPr>
          <w:rFonts w:asciiTheme="majorHAnsi" w:hAnsiTheme="majorHAnsi"/>
          <w:sz w:val="16"/>
          <w:szCs w:val="16"/>
          <w:lang w:val="es-VE"/>
        </w:rPr>
        <w:t xml:space="preserve">. Conversación telefónica entre Feijoo </w:t>
      </w:r>
      <w:proofErr w:type="spellStart"/>
      <w:r w:rsidRPr="00B97F15">
        <w:rPr>
          <w:rFonts w:asciiTheme="majorHAnsi" w:hAnsiTheme="majorHAnsi"/>
          <w:sz w:val="16"/>
          <w:szCs w:val="16"/>
          <w:lang w:val="es-VE"/>
        </w:rPr>
        <w:t>Colomine</w:t>
      </w:r>
      <w:proofErr w:type="spellEnd"/>
      <w:r w:rsidRPr="00B97F15">
        <w:rPr>
          <w:rFonts w:asciiTheme="majorHAnsi" w:hAnsiTheme="majorHAnsi"/>
          <w:sz w:val="16"/>
          <w:szCs w:val="16"/>
          <w:lang w:val="es-VE"/>
        </w:rPr>
        <w:t xml:space="preserve"> y Rocío San Miguel, 24 de marzo de 2004, Anexo B del Anexo IV de la denuncia presentada ante la CIDH el 7 de marzo de 2006.</w:t>
      </w:r>
    </w:p>
  </w:footnote>
  <w:footnote w:id="96">
    <w:p w14:paraId="4BA46956" w14:textId="0D0274C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34</w:t>
      </w:r>
      <w:r w:rsidRPr="00B97F15">
        <w:rPr>
          <w:rFonts w:asciiTheme="majorHAnsi" w:hAnsiTheme="majorHAnsi"/>
          <w:sz w:val="16"/>
          <w:szCs w:val="16"/>
          <w:lang w:val="es-VE"/>
        </w:rPr>
        <w:t>. Denuncia ante la Defensoría del Pueblo,  Anexo III de la denuncia presentada ante la CIDH el 7 de marzo de 2006.</w:t>
      </w:r>
    </w:p>
  </w:footnote>
  <w:footnote w:id="97">
    <w:p w14:paraId="7D69F0C4" w14:textId="59EFE31E"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35</w:t>
      </w:r>
      <w:r w:rsidRPr="00B97F15">
        <w:rPr>
          <w:rFonts w:asciiTheme="majorHAnsi" w:hAnsiTheme="majorHAnsi"/>
          <w:sz w:val="16"/>
          <w:szCs w:val="16"/>
          <w:lang w:val="es-VE"/>
        </w:rPr>
        <w:t>. Auto de apertura del 29 de junio de 2004.  Anexo III de la denuncia presentada ante la CIDH el 7 de marzo de 2006.</w:t>
      </w:r>
    </w:p>
  </w:footnote>
  <w:footnote w:id="98">
    <w:p w14:paraId="644677F3" w14:textId="31E632BA"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36</w:t>
      </w:r>
      <w:r w:rsidRPr="00B97F15">
        <w:rPr>
          <w:rFonts w:asciiTheme="majorHAnsi" w:hAnsiTheme="majorHAnsi"/>
          <w:sz w:val="16"/>
          <w:szCs w:val="16"/>
          <w:lang w:val="es-VE"/>
        </w:rPr>
        <w:t>. Punto de información del Coordinador de Servicios Jurídicos de la Defensoría, 16 de julio de 2004.  Anexo III de la denuncia presentada ante la CIDH el 7 de marzo de 2006.</w:t>
      </w:r>
    </w:p>
  </w:footnote>
  <w:footnote w:id="99">
    <w:p w14:paraId="7E74A314" w14:textId="5C4BD86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36</w:t>
      </w:r>
      <w:r w:rsidRPr="00B97F15">
        <w:rPr>
          <w:rFonts w:asciiTheme="majorHAnsi" w:hAnsiTheme="majorHAnsi"/>
          <w:sz w:val="16"/>
          <w:szCs w:val="16"/>
          <w:lang w:val="es-VE"/>
        </w:rPr>
        <w:t>. Punto de información del Coordinador de Servicios Jurídicos de la Defensoría, 16 de julio de 2004.  Anexo III de la denuncia presentada ante la CIDH el 7 de marzo de 2006.</w:t>
      </w:r>
    </w:p>
  </w:footnote>
  <w:footnote w:id="100">
    <w:p w14:paraId="5BA1357E" w14:textId="3277B43F"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C77C84">
        <w:rPr>
          <w:rFonts w:asciiTheme="majorHAnsi" w:hAnsiTheme="majorHAnsi"/>
          <w:sz w:val="16"/>
          <w:szCs w:val="16"/>
          <w:lang w:val="es-VE"/>
        </w:rPr>
        <w:t xml:space="preserve"> Anexo 37. Acta de cierre, 17 de agosto de 2004.  </w:t>
      </w:r>
      <w:r w:rsidRPr="00B97F15">
        <w:rPr>
          <w:rFonts w:asciiTheme="majorHAnsi" w:hAnsiTheme="majorHAnsi"/>
          <w:sz w:val="16"/>
          <w:szCs w:val="16"/>
          <w:lang w:val="es-VE"/>
        </w:rPr>
        <w:t>Anexo III de la denuncia presentada ante la CIDH el 7 de marzo de 2006.</w:t>
      </w:r>
    </w:p>
  </w:footnote>
  <w:footnote w:id="101">
    <w:p w14:paraId="528E0D19" w14:textId="30333C5C"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38</w:t>
      </w:r>
      <w:r w:rsidRPr="00B97F15">
        <w:rPr>
          <w:rFonts w:asciiTheme="majorHAnsi" w:hAnsiTheme="majorHAnsi"/>
          <w:sz w:val="16"/>
          <w:szCs w:val="16"/>
          <w:lang w:val="es-VE"/>
        </w:rPr>
        <w:t>. Demanda de amparo constitucional, 22 de julio de 2004,  Anexo I de la denuncia presentada ante la CIDH el 7 de marzo de 2006.</w:t>
      </w:r>
    </w:p>
  </w:footnote>
  <w:footnote w:id="102">
    <w:p w14:paraId="2E994842" w14:textId="0BF8B5B0"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39</w:t>
      </w:r>
      <w:r w:rsidRPr="00B97F15">
        <w:rPr>
          <w:rFonts w:asciiTheme="majorHAnsi" w:hAnsiTheme="majorHAnsi"/>
          <w:sz w:val="16"/>
          <w:szCs w:val="16"/>
          <w:lang w:val="es-VE"/>
        </w:rPr>
        <w:t>.  Resolución del Juzgado Cuarto de Primera Instancia de Juicio del Circuito Judicial del Trabajo declarándose incompetente para conocer de la acción de amparo constitucional, 4 de agosto de 2004,  Anexo I de la denuncia presentada ante la CIDH el 7 de marzo de 2006.</w:t>
      </w:r>
    </w:p>
  </w:footnote>
  <w:footnote w:id="103">
    <w:p w14:paraId="4975CD17" w14:textId="57044825"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40</w:t>
      </w:r>
      <w:r w:rsidRPr="00B97F15">
        <w:rPr>
          <w:rFonts w:asciiTheme="majorHAnsi" w:hAnsiTheme="majorHAnsi"/>
          <w:sz w:val="16"/>
          <w:szCs w:val="16"/>
          <w:lang w:val="es-VE"/>
        </w:rPr>
        <w:t>.  Solicitud a la Sala Constitucional del Tribunal Supremo de Justicia, 23 de noviembre de 2004,  Anexo I de la denuncia presentada ante la CIDH el 7 de marzo de 2006.</w:t>
      </w:r>
    </w:p>
  </w:footnote>
  <w:footnote w:id="104">
    <w:p w14:paraId="4749BF46" w14:textId="1F68C79A"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41</w:t>
      </w:r>
      <w:r w:rsidRPr="00B97F15">
        <w:rPr>
          <w:rFonts w:asciiTheme="majorHAnsi" w:hAnsiTheme="majorHAnsi"/>
          <w:sz w:val="16"/>
          <w:szCs w:val="16"/>
          <w:lang w:val="es-VE"/>
        </w:rPr>
        <w:t>.  Solicitud a la Sala Constitucional del Tribunal Supremo de Justicia, 3 de febrero de 2005,  Anexo I de la denuncia presentada ante la CIDH el 7 de marzo de 2006.</w:t>
      </w:r>
    </w:p>
  </w:footnote>
  <w:footnote w:id="105">
    <w:p w14:paraId="733BCB0D" w14:textId="15549492"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42</w:t>
      </w:r>
      <w:r w:rsidRPr="00B97F15">
        <w:rPr>
          <w:rFonts w:asciiTheme="majorHAnsi" w:hAnsiTheme="majorHAnsi"/>
          <w:sz w:val="16"/>
          <w:szCs w:val="16"/>
          <w:lang w:val="es-VE"/>
        </w:rPr>
        <w:t>.  Solicitud a la Sala Constitucional del Tribunal Supremo de Justicia, 3 de mayo de 2005,  Anexo I de la denuncia presentada ante la CIDH el 7 de marzo de 2006.</w:t>
      </w:r>
    </w:p>
  </w:footnote>
  <w:footnote w:id="106">
    <w:p w14:paraId="57E99DC5" w14:textId="665AC3EE"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43</w:t>
      </w:r>
      <w:r w:rsidRPr="00B97F15">
        <w:rPr>
          <w:rFonts w:asciiTheme="majorHAnsi" w:hAnsiTheme="majorHAnsi"/>
          <w:sz w:val="16"/>
          <w:szCs w:val="16"/>
          <w:lang w:val="es-VE"/>
        </w:rPr>
        <w:t>.  Solicitud a la Sala Constitucional del Tribunal Supremo de Justicia, 11 de mayo de 2005,  Anexo I de la denuncia presentada ante la CIDH el 7 de marzo de 2006.</w:t>
      </w:r>
    </w:p>
  </w:footnote>
  <w:footnote w:id="107">
    <w:p w14:paraId="385665B5" w14:textId="0EC8973F"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44</w:t>
      </w:r>
      <w:r w:rsidRPr="00B97F15">
        <w:rPr>
          <w:rFonts w:asciiTheme="majorHAnsi" w:hAnsiTheme="majorHAnsi"/>
          <w:sz w:val="16"/>
          <w:szCs w:val="16"/>
          <w:lang w:val="es-VE"/>
        </w:rPr>
        <w:t>.  Sentencia de la Sala Constitucional del Tribunal Supremo de Justicia indicando que no acepta la declinatoria de competencia del  Juzgado Cuarto de Primera Instancia de Juicio del Circuito Judicial del Trabajo del Área Metropolitana de Caracas, 26 de mayo de 2005,  Anexo I de la denuncia presentada ante la CIDH el 7 de marzo de 2006.</w:t>
      </w:r>
    </w:p>
  </w:footnote>
  <w:footnote w:id="108">
    <w:p w14:paraId="6588B41B" w14:textId="05C1C9B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45</w:t>
      </w:r>
      <w:r w:rsidRPr="00B97F15">
        <w:rPr>
          <w:rFonts w:asciiTheme="majorHAnsi" w:hAnsiTheme="majorHAnsi"/>
          <w:sz w:val="16"/>
          <w:szCs w:val="16"/>
          <w:lang w:val="es-VE"/>
        </w:rPr>
        <w:t>.  Decisión del Tribunal Cuarto de Primera Instancia de Juicio del Circuito Judicial del Trabajo del Área Metropolitana de Caracas, 17 de junio de dos mil cinco,  Anexo I de la denuncia presentada ante la CIDH el 7 de marzo de 2006.</w:t>
      </w:r>
    </w:p>
  </w:footnote>
  <w:footnote w:id="109">
    <w:p w14:paraId="48726A77" w14:textId="69E0D00F"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46</w:t>
      </w:r>
      <w:r w:rsidRPr="00B97F15">
        <w:rPr>
          <w:rFonts w:asciiTheme="majorHAnsi" w:hAnsiTheme="majorHAnsi"/>
          <w:sz w:val="16"/>
          <w:szCs w:val="16"/>
          <w:lang w:val="es-VE"/>
        </w:rPr>
        <w:t>. Escrito de opinión fiscal solicitando que se declare sin lugar la acción de amparo constitucional, 20 de julio de 2005,  Anexo I de la denuncia presentada ante la CIDH el 7 de marzo de 2006.</w:t>
      </w:r>
    </w:p>
  </w:footnote>
  <w:footnote w:id="110">
    <w:p w14:paraId="686B3E54" w14:textId="105942B5"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47</w:t>
      </w:r>
      <w:r w:rsidRPr="00B97F15">
        <w:rPr>
          <w:rFonts w:asciiTheme="majorHAnsi" w:hAnsiTheme="majorHAnsi"/>
          <w:sz w:val="16"/>
          <w:szCs w:val="16"/>
          <w:lang w:val="es-VE"/>
        </w:rPr>
        <w:t xml:space="preserve">. Escrito del Presidente del Consejo Nacional de Fronteras al Juez Cuarto de Primera Instancia de Juicio del Circuito Judicial del Trabajo del Área Metropolitana de Caracas, 20 de julio de 2005, Anexo I de la denuncia presentada ante la CIDH el 7 de marzo de 2006. </w:t>
      </w:r>
    </w:p>
  </w:footnote>
  <w:footnote w:id="111">
    <w:p w14:paraId="3E0C9A6A" w14:textId="3E917712"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48</w:t>
      </w:r>
      <w:r w:rsidRPr="00B97F15">
        <w:rPr>
          <w:rFonts w:asciiTheme="majorHAnsi" w:hAnsiTheme="majorHAnsi"/>
          <w:sz w:val="16"/>
          <w:szCs w:val="16"/>
          <w:lang w:val="es-VE"/>
        </w:rPr>
        <w:t>.  Acta de la Audiencia Constitucional de 20 de julio de 2005, Anexo I de la denuncia presentada ante la CIDH el 7 de marzo de 2006.</w:t>
      </w:r>
    </w:p>
  </w:footnote>
  <w:footnote w:id="112">
    <w:p w14:paraId="2A5594A8" w14:textId="59087770"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49</w:t>
      </w:r>
      <w:r w:rsidRPr="00B97F15">
        <w:rPr>
          <w:rFonts w:asciiTheme="majorHAnsi" w:hAnsiTheme="majorHAnsi"/>
          <w:sz w:val="16"/>
          <w:szCs w:val="16"/>
          <w:lang w:val="es-VE"/>
        </w:rPr>
        <w:t xml:space="preserve">. Sentencia del Juzgado Cuarto de Primera Instancia de Juicio del Circuito Judicial del Trabajo del Área Metropolitana de Caracas, 27 de julio de 2005,  Anexo I de la denuncia presentada ante la CIDH el 7 de marzo de 2006. </w:t>
      </w:r>
    </w:p>
  </w:footnote>
  <w:footnote w:id="113">
    <w:p w14:paraId="3034B4FE" w14:textId="3766540E"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49</w:t>
      </w:r>
      <w:r w:rsidRPr="00B97F15">
        <w:rPr>
          <w:rFonts w:asciiTheme="majorHAnsi" w:hAnsiTheme="majorHAnsi"/>
          <w:sz w:val="16"/>
          <w:szCs w:val="16"/>
          <w:lang w:val="es-VE"/>
        </w:rPr>
        <w:t xml:space="preserve">. Sentencia del Juzgado Cuarto de Primera Instancia de Juicio del Circuito Judicial del Trabajo del Área Metropolitana de Caracas, 27 de julio de 2005,  Anexo I de la denuncia presentada ante la CIDH el 7 de marzo de 2006.  En dicha decisión se indica que durante la audiencia pública constitucional, la parte accionada  aportó copia certificada de la notificación de terminación del contrato de trabajo del ciudadano Leoni López, en fecha 12-32004 quien no firmó contra el Presidente de la Republica. </w:t>
      </w:r>
    </w:p>
  </w:footnote>
  <w:footnote w:id="114">
    <w:p w14:paraId="71104472" w14:textId="28EEA3BB"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50</w:t>
      </w:r>
      <w:r w:rsidRPr="00B97F15">
        <w:rPr>
          <w:rFonts w:asciiTheme="majorHAnsi" w:hAnsiTheme="majorHAnsi"/>
          <w:sz w:val="16"/>
          <w:szCs w:val="16"/>
          <w:lang w:val="es-VE"/>
        </w:rPr>
        <w:t xml:space="preserve">. Recurso de apelación interpuesto por las presuntas víctimas el 29 de julio de 2005, Anexo I de la denuncia presentada ante la CIDH el 7 de marzo de 2006. </w:t>
      </w:r>
    </w:p>
  </w:footnote>
  <w:footnote w:id="115">
    <w:p w14:paraId="181EB0E5" w14:textId="207B73A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51</w:t>
      </w:r>
      <w:r w:rsidRPr="00B97F15">
        <w:rPr>
          <w:rFonts w:asciiTheme="majorHAnsi" w:hAnsiTheme="majorHAnsi"/>
          <w:sz w:val="16"/>
          <w:szCs w:val="16"/>
          <w:lang w:val="es-VE"/>
        </w:rPr>
        <w:t xml:space="preserve">. Fundamentos de la apelación, 29 de julio de 2005, Anexo I de la denuncia presentada ante la CIDH el 7 de marzo de 2006. </w:t>
      </w:r>
    </w:p>
  </w:footnote>
  <w:footnote w:id="116">
    <w:p w14:paraId="6C74EED2" w14:textId="6DE63B42"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52</w:t>
      </w:r>
      <w:r w:rsidRPr="00B97F15">
        <w:rPr>
          <w:rFonts w:asciiTheme="majorHAnsi" w:hAnsiTheme="majorHAnsi"/>
          <w:sz w:val="16"/>
          <w:szCs w:val="16"/>
          <w:lang w:val="es-VE"/>
        </w:rPr>
        <w:t xml:space="preserve">. Sentencia del Juzgado Tercero Superior del Trabajo del Circuito Judicial del Trabajo de la Circunscripción Judicial del Área Metropolitana de Caracas, 9 de septiembre de 2005,  Anexo I de la denuncia presentada ante la CIDH el 7 de marzo de 2006. </w:t>
      </w:r>
    </w:p>
  </w:footnote>
  <w:footnote w:id="117">
    <w:p w14:paraId="5CFADFE1" w14:textId="1CD9DA22"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53</w:t>
      </w:r>
      <w:r w:rsidRPr="00B97F15">
        <w:rPr>
          <w:rFonts w:asciiTheme="majorHAnsi" w:hAnsiTheme="majorHAnsi"/>
          <w:sz w:val="16"/>
          <w:szCs w:val="16"/>
          <w:lang w:val="es-VE"/>
        </w:rPr>
        <w:t>. Denuncia penal ante la Fiscalía General de la República, 27 de mayo de 2004, Anexo II de la denuncia presentada ante la CIDH el 7 de marzo de 2006.</w:t>
      </w:r>
    </w:p>
  </w:footnote>
  <w:footnote w:id="118">
    <w:p w14:paraId="1F6BA2AB" w14:textId="76D8ADDE"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53</w:t>
      </w:r>
      <w:r w:rsidRPr="00B97F15">
        <w:rPr>
          <w:rFonts w:asciiTheme="majorHAnsi" w:hAnsiTheme="majorHAnsi"/>
          <w:sz w:val="16"/>
          <w:szCs w:val="16"/>
          <w:lang w:val="es-VE"/>
        </w:rPr>
        <w:t>. Denuncia penal ante la Fiscalía General de la República, 27 de mayo de 2004, Anexo II de la denuncia presentada ante la CIDH el 7 de marzo de 2006.</w:t>
      </w:r>
    </w:p>
  </w:footnote>
  <w:footnote w:id="119">
    <w:p w14:paraId="7F4C2B1F" w14:textId="4C17869E"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53</w:t>
      </w:r>
      <w:r w:rsidRPr="00B97F15">
        <w:rPr>
          <w:rFonts w:asciiTheme="majorHAnsi" w:hAnsiTheme="majorHAnsi"/>
          <w:sz w:val="16"/>
          <w:szCs w:val="16"/>
          <w:lang w:val="es-VE"/>
        </w:rPr>
        <w:t>. Denuncia penal ante la Fiscalía General de la República, 27 de mayo de 2004, Anexo II de la denuncia presentada ante la CIDH el 7 de marzo de 2006.</w:t>
      </w:r>
    </w:p>
  </w:footnote>
  <w:footnote w:id="120">
    <w:p w14:paraId="281F3C86" w14:textId="6C95E38A"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54</w:t>
      </w:r>
      <w:r w:rsidRPr="00B97F15">
        <w:rPr>
          <w:rFonts w:asciiTheme="majorHAnsi" w:hAnsiTheme="majorHAnsi"/>
          <w:sz w:val="16"/>
          <w:szCs w:val="16"/>
          <w:lang w:val="es-VE"/>
        </w:rPr>
        <w:t xml:space="preserve">. Oficio mediante el que se acuerda el inició de la investigación penal  respecto de la denuncia de Rocío San Miguel,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Girón y Thais Peña,  27 de mayo de 2004, Anexo II de la denuncia presentada ante la CIDH el 7 de marzo de 2006.</w:t>
      </w:r>
    </w:p>
  </w:footnote>
  <w:footnote w:id="121">
    <w:p w14:paraId="5161A8AF" w14:textId="7D98690D"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29</w:t>
      </w:r>
      <w:r w:rsidRPr="00B97F15">
        <w:rPr>
          <w:rFonts w:asciiTheme="majorHAnsi" w:hAnsiTheme="majorHAnsi"/>
          <w:sz w:val="16"/>
          <w:szCs w:val="16"/>
          <w:lang w:val="es-VE"/>
        </w:rPr>
        <w:t xml:space="preserve">. Acta de entrevista a Feijoo </w:t>
      </w:r>
      <w:proofErr w:type="spellStart"/>
      <w:r w:rsidRPr="00B97F15">
        <w:rPr>
          <w:rFonts w:asciiTheme="majorHAnsi" w:hAnsiTheme="majorHAnsi"/>
          <w:sz w:val="16"/>
          <w:szCs w:val="16"/>
          <w:lang w:val="es-VE"/>
        </w:rPr>
        <w:t>Colomine</w:t>
      </w:r>
      <w:proofErr w:type="spellEnd"/>
      <w:r w:rsidRPr="00B97F15">
        <w:rPr>
          <w:rFonts w:asciiTheme="majorHAnsi" w:hAnsiTheme="majorHAnsi"/>
          <w:sz w:val="16"/>
          <w:szCs w:val="16"/>
          <w:lang w:val="es-VE"/>
        </w:rPr>
        <w:t xml:space="preserve"> Rincones, 14 de julio de 2004, Anexo II de la denuncia presentada ante la CIDH el 7 de marzo de 2006.</w:t>
      </w:r>
    </w:p>
  </w:footnote>
  <w:footnote w:id="122">
    <w:p w14:paraId="2A9130C5" w14:textId="5954526A"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55</w:t>
      </w:r>
      <w:r w:rsidRPr="00B97F15">
        <w:rPr>
          <w:rFonts w:asciiTheme="majorHAnsi" w:hAnsiTheme="majorHAnsi"/>
          <w:sz w:val="16"/>
          <w:szCs w:val="16"/>
          <w:lang w:val="es-VE"/>
        </w:rPr>
        <w:t>. Informe del Secretario Ejecutivo del Consejo Nacional de Fronteras, 14 de julio de 2004, Anexo II de la denuncia presentada ante la CIDH el 7 de marzo de 2006.</w:t>
      </w:r>
    </w:p>
  </w:footnote>
  <w:footnote w:id="123">
    <w:p w14:paraId="1F08BE53" w14:textId="7201E9F8"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56</w:t>
      </w:r>
      <w:r w:rsidRPr="00B97F15">
        <w:rPr>
          <w:rFonts w:asciiTheme="majorHAnsi" w:hAnsiTheme="majorHAnsi"/>
          <w:sz w:val="16"/>
          <w:szCs w:val="16"/>
          <w:lang w:val="es-VE"/>
        </w:rPr>
        <w:t xml:space="preserve">. Declaraciones testimoniales de las presuntas víctimas 15 y 16 de </w:t>
      </w:r>
      <w:proofErr w:type="spellStart"/>
      <w:r w:rsidRPr="00B97F15">
        <w:rPr>
          <w:rFonts w:asciiTheme="majorHAnsi" w:hAnsiTheme="majorHAnsi"/>
          <w:sz w:val="16"/>
          <w:szCs w:val="16"/>
          <w:lang w:val="es-VE"/>
        </w:rPr>
        <w:t>de</w:t>
      </w:r>
      <w:proofErr w:type="spellEnd"/>
      <w:r w:rsidRPr="00B97F15">
        <w:rPr>
          <w:rFonts w:asciiTheme="majorHAnsi" w:hAnsiTheme="majorHAnsi"/>
          <w:sz w:val="16"/>
          <w:szCs w:val="16"/>
          <w:lang w:val="es-VE"/>
        </w:rPr>
        <w:t xml:space="preserve"> julio de 2004, Anexo II de la denuncia presentada ante la CIDH el 7 de marzo de 2006.</w:t>
      </w:r>
    </w:p>
  </w:footnote>
  <w:footnote w:id="124">
    <w:p w14:paraId="2D7A37F1" w14:textId="73D52B95"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57</w:t>
      </w:r>
      <w:r w:rsidRPr="00B97F15">
        <w:rPr>
          <w:rFonts w:asciiTheme="majorHAnsi" w:hAnsiTheme="majorHAnsi"/>
          <w:sz w:val="16"/>
          <w:szCs w:val="16"/>
          <w:lang w:val="es-VE"/>
        </w:rPr>
        <w:t>.  Solicitud de sobreseimiento de la causa a Juez de Primera Instancia en Funciones de Control del Circuito Judicial Penal del Área Metropolitana de Caracas, , Anexo II de la denuncia presentada ante la CIDH el 7 de marzo de 2006.</w:t>
      </w:r>
    </w:p>
  </w:footnote>
  <w:footnote w:id="125">
    <w:p w14:paraId="44C0DE75" w14:textId="001E6EAD"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58</w:t>
      </w:r>
      <w:r w:rsidRPr="00B97F15">
        <w:rPr>
          <w:rFonts w:asciiTheme="majorHAnsi" w:hAnsiTheme="majorHAnsi"/>
          <w:sz w:val="16"/>
          <w:szCs w:val="16"/>
          <w:lang w:val="es-VE"/>
        </w:rPr>
        <w:t>. Resolución de sobreseimiento del Juzgado Vigésimo Primero de Primera Instancia en Funciones de Control, 4 de abril de 2004.  Anexo II de la denuncia presentada ante la CIDH el 7 de marzo de 2006.</w:t>
      </w:r>
    </w:p>
  </w:footnote>
  <w:footnote w:id="126">
    <w:p w14:paraId="36231A67" w14:textId="0201208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59</w:t>
      </w:r>
      <w:r w:rsidRPr="00B97F15">
        <w:rPr>
          <w:rFonts w:asciiTheme="majorHAnsi" w:hAnsiTheme="majorHAnsi"/>
          <w:sz w:val="16"/>
          <w:szCs w:val="16"/>
          <w:lang w:val="es-VE"/>
        </w:rPr>
        <w:t>. Recurso de apelación contra la decisión de sobreseimiento, 15 de abril de 2005,  Anexo II de la denuncia presentada ante la CIDH el 7 de marzo de 2006.</w:t>
      </w:r>
    </w:p>
  </w:footnote>
  <w:footnote w:id="127">
    <w:p w14:paraId="7BB8AA78" w14:textId="7124915D"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59</w:t>
      </w:r>
      <w:r w:rsidRPr="00B97F15">
        <w:rPr>
          <w:rFonts w:asciiTheme="majorHAnsi" w:hAnsiTheme="majorHAnsi"/>
          <w:sz w:val="16"/>
          <w:szCs w:val="16"/>
          <w:lang w:val="es-VE"/>
        </w:rPr>
        <w:t>. Recurso de apelación contra la decisión de sobreseimiento, 15 de abril de 2005,  Anexo II de la denuncia presentada ante la CIDH el 7 de marzo de 2006.</w:t>
      </w:r>
    </w:p>
  </w:footnote>
  <w:footnote w:id="128">
    <w:p w14:paraId="7670C19D" w14:textId="190812C0"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60</w:t>
      </w:r>
      <w:r w:rsidRPr="00B97F15">
        <w:rPr>
          <w:rFonts w:asciiTheme="majorHAnsi" w:hAnsiTheme="majorHAnsi"/>
          <w:sz w:val="16"/>
          <w:szCs w:val="16"/>
          <w:lang w:val="es-VE"/>
        </w:rPr>
        <w:t>. Contestación de la fiscalía Trigésima Séptima al Recurso de apelación contra la decisión de sobreseimiento, 28 de abril de 2005,  Anexo II de la denuncia presentada ante la CIDH el 7 de marzo de 2006.</w:t>
      </w:r>
      <w:r w:rsidRPr="00B97F15">
        <w:rPr>
          <w:rFonts w:asciiTheme="majorHAnsi" w:hAnsiTheme="majorHAnsi"/>
          <w:sz w:val="16"/>
          <w:szCs w:val="16"/>
          <w:lang w:val="es-VE"/>
        </w:rPr>
        <w:tab/>
      </w:r>
    </w:p>
  </w:footnote>
  <w:footnote w:id="129">
    <w:p w14:paraId="5EC0A655" w14:textId="5DFBBD8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61</w:t>
      </w:r>
      <w:r w:rsidRPr="00B97F15">
        <w:rPr>
          <w:rFonts w:asciiTheme="majorHAnsi" w:hAnsiTheme="majorHAnsi"/>
          <w:sz w:val="16"/>
          <w:szCs w:val="16"/>
          <w:lang w:val="es-VE"/>
        </w:rPr>
        <w:t>.  Admisión de recurso de apelación por la Sala Séptima de la Corte de Apelaciones, Circuito Judicial del Área Metropolitana de Carcas, 5 de mayo de 2005,  Anexo II de la denuncia presentada ante la CIDH el 7 de marzo de 2006.</w:t>
      </w:r>
    </w:p>
  </w:footnote>
  <w:footnote w:id="130">
    <w:p w14:paraId="1FBA064A" w14:textId="1B3EE6F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62</w:t>
      </w:r>
      <w:r w:rsidRPr="00B97F15">
        <w:rPr>
          <w:rFonts w:asciiTheme="majorHAnsi" w:hAnsiTheme="majorHAnsi"/>
          <w:sz w:val="16"/>
          <w:szCs w:val="16"/>
          <w:lang w:val="es-VE"/>
        </w:rPr>
        <w:t>. Decisión de la Sala Séptima de la Corte de Apelaciones del Circuito Judicial Penal del Área Metropolitana de Caracas que declara sin lugar recurso de apelación, 12 de mayo de 2005, Anexo II de la denuncia presentada ante la CIDH el 7 de marzo de 2006.</w:t>
      </w:r>
    </w:p>
  </w:footnote>
  <w:footnote w:id="131">
    <w:p w14:paraId="3E8FFE94" w14:textId="0D687E4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63</w:t>
      </w:r>
      <w:r w:rsidRPr="00B97F15">
        <w:rPr>
          <w:rFonts w:asciiTheme="majorHAnsi" w:hAnsiTheme="majorHAnsi"/>
          <w:sz w:val="16"/>
          <w:szCs w:val="16"/>
          <w:lang w:val="es-VE"/>
        </w:rPr>
        <w:t xml:space="preserve">. Recurso de casación interpuesto por rocío San Miguel Sosa,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Girón y Thais Coromoto Peña ante la Sala de Casación Penal del Tribunal Supremo de Justicia, 7 de julio de 2005,  Anexo II de la denuncia presentada ante la CIDH el 7 de marzo de 2006.</w:t>
      </w:r>
    </w:p>
  </w:footnote>
  <w:footnote w:id="132">
    <w:p w14:paraId="3526485C" w14:textId="3FFF3892"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64</w:t>
      </w:r>
      <w:r w:rsidRPr="00B97F15">
        <w:rPr>
          <w:rFonts w:asciiTheme="majorHAnsi" w:hAnsiTheme="majorHAnsi"/>
          <w:sz w:val="16"/>
          <w:szCs w:val="16"/>
          <w:lang w:val="es-VE"/>
        </w:rPr>
        <w:t>. Sentencia de la Sala de Casación Penal del Tribunal Supremo de Justica que desestima recurso de casación, 27 de septiembre de 2005,  Anexo II de la denuncia presentada ante la CIDH el 7 de marzo de 2006.</w:t>
      </w:r>
    </w:p>
  </w:footnote>
  <w:footnote w:id="133">
    <w:p w14:paraId="300F0B2E"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CIDH, Democracia y derechos humanos en Venezuela, OEA/</w:t>
      </w:r>
      <w:proofErr w:type="spellStart"/>
      <w:r w:rsidRPr="00B97F15">
        <w:rPr>
          <w:rFonts w:asciiTheme="majorHAnsi" w:hAnsiTheme="majorHAnsi"/>
          <w:sz w:val="16"/>
          <w:szCs w:val="16"/>
          <w:lang w:val="es-VE"/>
        </w:rPr>
        <w:t>Ser.L</w:t>
      </w:r>
      <w:proofErr w:type="spellEnd"/>
      <w:r w:rsidRPr="00B97F15">
        <w:rPr>
          <w:rFonts w:asciiTheme="majorHAnsi" w:hAnsiTheme="majorHAnsi"/>
          <w:sz w:val="16"/>
          <w:szCs w:val="16"/>
          <w:lang w:val="es-VE"/>
        </w:rPr>
        <w:t xml:space="preserve">/V/II.Doc.54, 30 de diciembre de 2009, cap. II, párr. 18;  Corte IDH, Caso </w:t>
      </w:r>
      <w:proofErr w:type="spellStart"/>
      <w:r w:rsidRPr="00B97F15">
        <w:rPr>
          <w:rFonts w:asciiTheme="majorHAnsi" w:hAnsiTheme="majorHAnsi"/>
          <w:sz w:val="16"/>
          <w:szCs w:val="16"/>
          <w:lang w:val="es-VE"/>
        </w:rPr>
        <w:t>Yatama</w:t>
      </w:r>
      <w:proofErr w:type="spellEnd"/>
      <w:r w:rsidRPr="00B97F15">
        <w:rPr>
          <w:rFonts w:asciiTheme="majorHAnsi" w:hAnsiTheme="majorHAnsi"/>
          <w:sz w:val="16"/>
          <w:szCs w:val="16"/>
          <w:lang w:val="es-VE"/>
        </w:rPr>
        <w:t xml:space="preserve"> vs Nicaragua, Excepciones Preliminares, Fondo, Reparaciones y Costas,  sentencia de 23 de junio de 2005, Serie C No.127, párr.192. </w:t>
      </w:r>
    </w:p>
  </w:footnote>
  <w:footnote w:id="134">
    <w:p w14:paraId="4C2CBE60" w14:textId="77777777" w:rsidR="006B2D8F" w:rsidRPr="00B97F15" w:rsidRDefault="006B2D8F" w:rsidP="00BD4AA9">
      <w:pPr>
        <w:spacing w:after="120"/>
        <w:ind w:firstLine="720"/>
        <w:jc w:val="both"/>
        <w:rPr>
          <w:rFonts w:asciiTheme="majorHAnsi" w:hAnsiTheme="majorHAnsi" w:cs="Verdana"/>
          <w:b/>
          <w:bCs/>
          <w:smallCaps/>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Corte IDH, Caso </w:t>
      </w:r>
      <w:proofErr w:type="spellStart"/>
      <w:r w:rsidRPr="00B97F15">
        <w:rPr>
          <w:rFonts w:asciiTheme="majorHAnsi" w:hAnsiTheme="majorHAnsi"/>
          <w:sz w:val="16"/>
          <w:szCs w:val="16"/>
          <w:lang w:val="es-VE"/>
        </w:rPr>
        <w:t>Yatama</w:t>
      </w:r>
      <w:proofErr w:type="spellEnd"/>
      <w:r w:rsidRPr="00B97F15">
        <w:rPr>
          <w:rFonts w:asciiTheme="majorHAnsi" w:hAnsiTheme="majorHAnsi"/>
          <w:sz w:val="16"/>
          <w:szCs w:val="16"/>
          <w:lang w:val="es-VE"/>
        </w:rPr>
        <w:t xml:space="preserve"> vs Nicaragua, Excepciones Preliminares, Fondo, Reparaciones y Costas,  sentencia de 23 de junio de 2005, Serie C No.127, párr.195; Corte IDH, Caso Castañeda </w:t>
      </w:r>
      <w:proofErr w:type="spellStart"/>
      <w:r w:rsidRPr="00B97F15">
        <w:rPr>
          <w:rFonts w:asciiTheme="majorHAnsi" w:hAnsiTheme="majorHAnsi"/>
          <w:sz w:val="16"/>
          <w:szCs w:val="16"/>
          <w:lang w:val="es-VE"/>
        </w:rPr>
        <w:t>Gutman</w:t>
      </w:r>
      <w:proofErr w:type="spellEnd"/>
      <w:r w:rsidRPr="00B97F15">
        <w:rPr>
          <w:rFonts w:asciiTheme="majorHAnsi" w:hAnsiTheme="majorHAnsi"/>
          <w:sz w:val="16"/>
          <w:szCs w:val="16"/>
          <w:lang w:val="es-VE"/>
        </w:rPr>
        <w:t xml:space="preserve"> vs. Estados Unidos Mexicanos, Excepciones Preliminares, Fondo, Reparaciones y Costas, Sentencia de 6 de agosto de 2008, Serie C No 184, parr.145.</w:t>
      </w:r>
    </w:p>
  </w:footnote>
  <w:footnote w:id="135">
    <w:p w14:paraId="6B903A78" w14:textId="77777777" w:rsidR="006B2D8F" w:rsidRPr="00B97F15" w:rsidRDefault="006B2D8F" w:rsidP="00BD4AA9">
      <w:pPr>
        <w:pStyle w:val="FootnoteText"/>
        <w:spacing w:after="120"/>
        <w:ind w:firstLine="720"/>
        <w:jc w:val="both"/>
        <w:rPr>
          <w:rFonts w:asciiTheme="majorHAnsi" w:hAnsiTheme="majorHAnsi"/>
          <w:sz w:val="16"/>
          <w:szCs w:val="16"/>
          <w:lang w:val="fr-CA"/>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Corte IDH, Caso Castañeda </w:t>
      </w:r>
      <w:proofErr w:type="spellStart"/>
      <w:r w:rsidRPr="00B97F15">
        <w:rPr>
          <w:rFonts w:asciiTheme="majorHAnsi" w:hAnsiTheme="majorHAnsi"/>
          <w:sz w:val="16"/>
          <w:szCs w:val="16"/>
          <w:lang w:val="es-VE"/>
        </w:rPr>
        <w:t>Gutman</w:t>
      </w:r>
      <w:proofErr w:type="spellEnd"/>
      <w:r w:rsidRPr="00B97F15">
        <w:rPr>
          <w:rFonts w:asciiTheme="majorHAnsi" w:hAnsiTheme="majorHAnsi"/>
          <w:sz w:val="16"/>
          <w:szCs w:val="16"/>
          <w:lang w:val="es-VE"/>
        </w:rPr>
        <w:t xml:space="preserve"> vs. Estados Unidos Mexicanos, Excepciones Preliminares, Fondo, Reparaciones y Costas, Sentencia de 6 de agosto de 2008, Serie C No 184, parr.147.  En similar sentido, el Comité de Derechos Humanos al interpretar el artículo 25 del Pacto Internacional de Derechos Civiles y Políticos, el cual comparte en su redacción una gran similitud con el artículo 23 de la Convención Americana, ha entendido que los derechos políticos  deben también garantizarse para elección o modificación constitucional, referendos y otros procesos electorales. Ver Observación General No. 25, comentarios generales adoptados por el Comité de los Derechos Humanos, Artículo 25 – La participación en los asuntos públicos y el derecho de voto, 57º período de sesiones, U.N. Doc. </w:t>
      </w:r>
      <w:r w:rsidRPr="00B97F15">
        <w:rPr>
          <w:rFonts w:asciiTheme="majorHAnsi" w:hAnsiTheme="majorHAnsi"/>
          <w:sz w:val="16"/>
          <w:szCs w:val="16"/>
          <w:lang w:val="fr-CA"/>
        </w:rPr>
        <w:t xml:space="preserve">HRI/GEN/1/Rev.7 at 194 (1996), disponible en: </w:t>
      </w:r>
      <w:hyperlink r:id="rId49" w:history="1">
        <w:r w:rsidRPr="00B97F15">
          <w:rPr>
            <w:rStyle w:val="Hyperlink"/>
            <w:rFonts w:asciiTheme="majorHAnsi" w:hAnsiTheme="majorHAnsi"/>
            <w:sz w:val="16"/>
            <w:szCs w:val="16"/>
            <w:u w:val="none"/>
            <w:lang w:val="fr-CA"/>
          </w:rPr>
          <w:t>http://www1.umn.edu/humanrts/hrcommittee/Sgencom25.html</w:t>
        </w:r>
      </w:hyperlink>
      <w:r w:rsidRPr="00B97F15">
        <w:rPr>
          <w:rFonts w:asciiTheme="majorHAnsi" w:hAnsiTheme="majorHAnsi"/>
          <w:sz w:val="16"/>
          <w:szCs w:val="16"/>
          <w:lang w:val="fr-CA"/>
        </w:rPr>
        <w:t xml:space="preserve">. </w:t>
      </w:r>
    </w:p>
  </w:footnote>
  <w:footnote w:id="136">
    <w:p w14:paraId="17200662"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CIDH, Informe 14/93, caso 10.956, Luis Felipe Bravo Mena, 7 de octubre de 1993, disponible en: </w:t>
      </w:r>
      <w:hyperlink r:id="rId50" w:history="1">
        <w:r w:rsidRPr="00B97F15">
          <w:rPr>
            <w:rStyle w:val="Hyperlink"/>
            <w:rFonts w:asciiTheme="majorHAnsi" w:hAnsiTheme="majorHAnsi"/>
            <w:sz w:val="16"/>
            <w:szCs w:val="16"/>
            <w:u w:val="none"/>
            <w:lang w:val="es-VE"/>
          </w:rPr>
          <w:t>http://www.cidh.oas.org/annualrep/93span/cap.III.mexico10.956.htm</w:t>
        </w:r>
      </w:hyperlink>
      <w:r w:rsidRPr="00B97F15">
        <w:rPr>
          <w:rFonts w:asciiTheme="majorHAnsi" w:hAnsiTheme="majorHAnsi"/>
          <w:sz w:val="16"/>
          <w:szCs w:val="16"/>
          <w:lang w:val="es-VE"/>
        </w:rPr>
        <w:t xml:space="preserve">. </w:t>
      </w:r>
    </w:p>
  </w:footnote>
  <w:footnote w:id="137">
    <w:p w14:paraId="42A18996"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Comité de Derechos Humanos. Observación General 25. Párr. 20. </w:t>
      </w:r>
    </w:p>
  </w:footnote>
  <w:footnote w:id="138">
    <w:p w14:paraId="29790192" w14:textId="4B50E648" w:rsidR="006B2D8F" w:rsidRPr="00B97F15" w:rsidRDefault="006B2D8F" w:rsidP="00BD4AA9">
      <w:pPr>
        <w:pStyle w:val="FootnoteText"/>
        <w:spacing w:after="120"/>
        <w:ind w:firstLine="720"/>
        <w:jc w:val="both"/>
        <w:rPr>
          <w:rFonts w:asciiTheme="majorHAnsi" w:hAnsiTheme="majorHAnsi" w:cs="Arial"/>
          <w:sz w:val="16"/>
          <w:szCs w:val="16"/>
          <w:lang w:val="es-ES_tradnl"/>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Corte IDH, Caso Ricardo </w:t>
      </w:r>
      <w:proofErr w:type="spellStart"/>
      <w:r w:rsidRPr="00B97F15">
        <w:rPr>
          <w:rFonts w:asciiTheme="majorHAnsi" w:hAnsiTheme="majorHAnsi"/>
          <w:sz w:val="16"/>
          <w:szCs w:val="16"/>
          <w:lang w:val="es-VE"/>
        </w:rPr>
        <w:t>Canese</w:t>
      </w:r>
      <w:proofErr w:type="spellEnd"/>
      <w:r w:rsidRPr="00B97F15">
        <w:rPr>
          <w:rFonts w:asciiTheme="majorHAnsi" w:hAnsiTheme="majorHAnsi"/>
          <w:sz w:val="16"/>
          <w:szCs w:val="16"/>
          <w:lang w:val="es-VE"/>
        </w:rPr>
        <w:t xml:space="preserve"> vs. Paraguay, Fondo, Reparaciones y Costas. Sentencia de 31 de agosto de 20</w:t>
      </w:r>
      <w:r>
        <w:rPr>
          <w:rFonts w:asciiTheme="majorHAnsi" w:hAnsiTheme="majorHAnsi"/>
          <w:sz w:val="16"/>
          <w:szCs w:val="16"/>
          <w:lang w:val="es-VE"/>
        </w:rPr>
        <w:t xml:space="preserve">04, Serie C No, 111,  párr.90; </w:t>
      </w:r>
      <w:r w:rsidRPr="00B97F15">
        <w:rPr>
          <w:rFonts w:asciiTheme="majorHAnsi" w:hAnsiTheme="majorHAnsi"/>
          <w:sz w:val="16"/>
          <w:szCs w:val="16"/>
          <w:lang w:val="es-VE"/>
        </w:rPr>
        <w:t xml:space="preserve">CIDH, Libertad de Expresión y Procesos Electorales: El Caso de las Encuestas de Opinión y los Sondeos de Boca de Urna, 2005, párrs.11-15, disponible en: </w:t>
      </w:r>
      <w:hyperlink r:id="rId51" w:history="1">
        <w:r w:rsidRPr="00B97F15">
          <w:rPr>
            <w:rStyle w:val="Hyperlink"/>
            <w:rFonts w:asciiTheme="majorHAnsi" w:hAnsiTheme="majorHAnsi"/>
            <w:sz w:val="16"/>
            <w:szCs w:val="16"/>
            <w:u w:val="none"/>
            <w:lang w:val="es-VE"/>
          </w:rPr>
          <w:t>http://www.oas.org/es/cidh/expresion/informes/tematicos.asp</w:t>
        </w:r>
      </w:hyperlink>
      <w:r w:rsidRPr="00B97F15">
        <w:rPr>
          <w:rFonts w:asciiTheme="majorHAnsi" w:hAnsiTheme="majorHAnsi"/>
          <w:sz w:val="16"/>
          <w:szCs w:val="16"/>
          <w:lang w:val="es-VE"/>
        </w:rPr>
        <w:t xml:space="preserve">. En igual sentido </w:t>
      </w:r>
      <w:r w:rsidRPr="00B97F15">
        <w:rPr>
          <w:rFonts w:asciiTheme="majorHAnsi" w:hAnsiTheme="majorHAnsi" w:cs="Arial"/>
          <w:sz w:val="16"/>
          <w:szCs w:val="16"/>
          <w:lang w:val="es-AR"/>
        </w:rPr>
        <w:t xml:space="preserve">la Corte Europea de Derechos Humanos  ha establecido que los dos derechos están interrelacionados. Ver </w:t>
      </w:r>
      <w:r w:rsidRPr="00B97F15">
        <w:rPr>
          <w:rFonts w:asciiTheme="majorHAnsi" w:hAnsiTheme="majorHAnsi" w:cs="Arial"/>
          <w:sz w:val="16"/>
          <w:szCs w:val="16"/>
          <w:lang w:val="es-ES_tradnl"/>
        </w:rPr>
        <w:t xml:space="preserve">Corte EDH, Caso </w:t>
      </w:r>
      <w:proofErr w:type="spellStart"/>
      <w:r w:rsidRPr="00B97F15">
        <w:rPr>
          <w:rFonts w:asciiTheme="majorHAnsi" w:hAnsiTheme="majorHAnsi" w:cs="Arial"/>
          <w:sz w:val="16"/>
          <w:szCs w:val="16"/>
          <w:lang w:val="es-ES_tradnl"/>
        </w:rPr>
        <w:t>Mathieu-Mohin</w:t>
      </w:r>
      <w:proofErr w:type="spellEnd"/>
      <w:r w:rsidRPr="00B97F15">
        <w:rPr>
          <w:rFonts w:asciiTheme="majorHAnsi" w:hAnsiTheme="majorHAnsi" w:cs="Arial"/>
          <w:sz w:val="16"/>
          <w:szCs w:val="16"/>
          <w:lang w:val="es-ES_tradnl"/>
        </w:rPr>
        <w:t xml:space="preserve"> y </w:t>
      </w:r>
      <w:proofErr w:type="spellStart"/>
      <w:r w:rsidRPr="00B97F15">
        <w:rPr>
          <w:rFonts w:asciiTheme="majorHAnsi" w:hAnsiTheme="majorHAnsi" w:cs="Arial"/>
          <w:sz w:val="16"/>
          <w:szCs w:val="16"/>
          <w:lang w:val="es-ES_tradnl"/>
        </w:rPr>
        <w:t>Clerfayt</w:t>
      </w:r>
      <w:proofErr w:type="spellEnd"/>
      <w:r w:rsidRPr="00B97F15">
        <w:rPr>
          <w:rFonts w:asciiTheme="majorHAnsi" w:hAnsiTheme="majorHAnsi" w:cs="Arial"/>
          <w:sz w:val="16"/>
          <w:szCs w:val="16"/>
          <w:lang w:val="es-ES_tradnl"/>
        </w:rPr>
        <w:t xml:space="preserve"> c. </w:t>
      </w:r>
      <w:proofErr w:type="spellStart"/>
      <w:r w:rsidRPr="00B97F15">
        <w:rPr>
          <w:rFonts w:asciiTheme="majorHAnsi" w:hAnsiTheme="majorHAnsi" w:cs="Arial"/>
          <w:sz w:val="16"/>
          <w:szCs w:val="16"/>
          <w:lang w:val="es-ES_tradnl"/>
        </w:rPr>
        <w:t>Belgica</w:t>
      </w:r>
      <w:proofErr w:type="spellEnd"/>
      <w:r w:rsidRPr="00B97F15">
        <w:rPr>
          <w:rFonts w:asciiTheme="majorHAnsi" w:hAnsiTheme="majorHAnsi" w:cs="Arial"/>
          <w:sz w:val="16"/>
          <w:szCs w:val="16"/>
          <w:lang w:val="es-ES_tradnl"/>
        </w:rPr>
        <w:t xml:space="preserve">, Sentencia de 2 de marzo de 1987, Serie A, No. 113, </w:t>
      </w:r>
      <w:r w:rsidRPr="00B97F15">
        <w:rPr>
          <w:rFonts w:asciiTheme="majorHAnsi" w:hAnsiTheme="majorHAnsi" w:cs="Arial"/>
          <w:sz w:val="16"/>
          <w:szCs w:val="16"/>
          <w:lang w:val="es-ES_tradnl"/>
        </w:rPr>
        <w:br/>
        <w:t>párr. 54.</w:t>
      </w:r>
    </w:p>
  </w:footnote>
  <w:footnote w:id="139">
    <w:p w14:paraId="223E1782" w14:textId="77777777" w:rsidR="006B2D8F" w:rsidRPr="00B97F15" w:rsidRDefault="006B2D8F" w:rsidP="00BD4AA9">
      <w:pPr>
        <w:spacing w:after="120"/>
        <w:ind w:firstLine="720"/>
        <w:jc w:val="both"/>
        <w:rPr>
          <w:rFonts w:asciiTheme="majorHAnsi" w:hAnsiTheme="majorHAnsi" w:cs="Verdana"/>
          <w:b/>
          <w:bCs/>
          <w:smallCaps/>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Corte IDH, Caso Castañeda </w:t>
      </w:r>
      <w:proofErr w:type="spellStart"/>
      <w:r w:rsidRPr="00B97F15">
        <w:rPr>
          <w:rFonts w:asciiTheme="majorHAnsi" w:hAnsiTheme="majorHAnsi"/>
          <w:sz w:val="16"/>
          <w:szCs w:val="16"/>
          <w:lang w:val="es-VE"/>
        </w:rPr>
        <w:t>Gutman</w:t>
      </w:r>
      <w:proofErr w:type="spellEnd"/>
      <w:r w:rsidRPr="00B97F15">
        <w:rPr>
          <w:rFonts w:asciiTheme="majorHAnsi" w:hAnsiTheme="majorHAnsi"/>
          <w:sz w:val="16"/>
          <w:szCs w:val="16"/>
          <w:lang w:val="es-VE"/>
        </w:rPr>
        <w:t xml:space="preserve"> vs. Estados Unidos Mexicanos, Excepciones Preliminares, Fondo, Reparaciones y Costas, Sentencia de 6 de agosto de 2008, Serie C No 184, parr.141.</w:t>
      </w:r>
    </w:p>
  </w:footnote>
  <w:footnote w:id="140">
    <w:p w14:paraId="4318908F" w14:textId="77777777" w:rsidR="006B2D8F" w:rsidRPr="00B97F15" w:rsidRDefault="006B2D8F" w:rsidP="00BD4AA9">
      <w:pPr>
        <w:pStyle w:val="FootnoteText"/>
        <w:spacing w:after="120"/>
        <w:ind w:firstLine="720"/>
        <w:jc w:val="both"/>
        <w:rPr>
          <w:rFonts w:asciiTheme="majorHAnsi" w:hAnsiTheme="majorHAnsi"/>
          <w:sz w:val="16"/>
          <w:szCs w:val="16"/>
          <w:lang w:val="es-PE"/>
        </w:rPr>
      </w:pPr>
      <w:r w:rsidRPr="00B97F15">
        <w:rPr>
          <w:rStyle w:val="FootnoteReference"/>
          <w:rFonts w:asciiTheme="majorHAnsi" w:hAnsiTheme="majorHAnsi"/>
          <w:sz w:val="16"/>
          <w:szCs w:val="16"/>
        </w:rPr>
        <w:footnoteRef/>
      </w:r>
      <w:r w:rsidRPr="00B97F15">
        <w:rPr>
          <w:rFonts w:asciiTheme="majorHAnsi" w:hAnsiTheme="majorHAnsi"/>
          <w:sz w:val="16"/>
          <w:szCs w:val="16"/>
          <w:lang w:val="es-PE"/>
        </w:rPr>
        <w:t xml:space="preserve"> Cfr. Corte IDH, Caso Claude Reyes y otros. Sentencia de 19 de septiembre de 2006. Serie C No. 151, párr. 85; Corte IDH, Caso Herrera Ulloa Vs. Costa Rica. Sentencia de 2 de julio de 2004. Serie C No. 107, párr. 116; Corte I.D.H., Caso Ricardo </w:t>
      </w:r>
      <w:proofErr w:type="spellStart"/>
      <w:r w:rsidRPr="00B97F15">
        <w:rPr>
          <w:rFonts w:asciiTheme="majorHAnsi" w:hAnsiTheme="majorHAnsi"/>
          <w:sz w:val="16"/>
          <w:szCs w:val="16"/>
          <w:lang w:val="es-PE"/>
        </w:rPr>
        <w:t>Canese</w:t>
      </w:r>
      <w:proofErr w:type="spellEnd"/>
      <w:r w:rsidRPr="00B97F15">
        <w:rPr>
          <w:rFonts w:asciiTheme="majorHAnsi" w:hAnsiTheme="majorHAnsi"/>
          <w:sz w:val="16"/>
          <w:szCs w:val="16"/>
          <w:lang w:val="es-PE"/>
        </w:rPr>
        <w:t xml:space="preserve"> Vs. Paraguay. Sentencia del 31 de agosto de 2004. Serie C No. 111, párr. 86; Corte IDH, La Colegiación Obligatoria de Periodistas (arts. 13 y 29 Convención Americana sobre Derechos Humanos). Opinión Consultiva OC-5/85 del 13 de noviembre de 1985. Serie A No. 5, párr. 70.</w:t>
      </w:r>
    </w:p>
  </w:footnote>
  <w:footnote w:id="141">
    <w:p w14:paraId="206E943B"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Corte IDH,   Caso </w:t>
      </w:r>
      <w:proofErr w:type="spellStart"/>
      <w:r w:rsidRPr="00B97F15">
        <w:rPr>
          <w:rFonts w:asciiTheme="majorHAnsi" w:hAnsiTheme="majorHAnsi"/>
          <w:sz w:val="16"/>
          <w:szCs w:val="16"/>
          <w:lang w:val="es-VE"/>
        </w:rPr>
        <w:t>Granier</w:t>
      </w:r>
      <w:proofErr w:type="spellEnd"/>
      <w:r w:rsidRPr="00B97F15">
        <w:rPr>
          <w:rFonts w:asciiTheme="majorHAnsi" w:hAnsiTheme="majorHAnsi"/>
          <w:sz w:val="16"/>
          <w:szCs w:val="16"/>
          <w:lang w:val="es-VE"/>
        </w:rPr>
        <w:t xml:space="preserve"> y otros (Radio Caracas Televisión) vs. Venezuela. Excepciones Preliminares, Fondo, Reparaciones y Costas. Sentencia de 22 de junio de 2015. Serie C No. 293, párr.140. </w:t>
      </w:r>
    </w:p>
  </w:footnote>
  <w:footnote w:id="142">
    <w:p w14:paraId="4D396829" w14:textId="70060B6B" w:rsidR="006B2D8F" w:rsidRPr="00B97F15" w:rsidRDefault="006B2D8F" w:rsidP="00BD4AA9">
      <w:pPr>
        <w:pStyle w:val="FootnoteText"/>
        <w:tabs>
          <w:tab w:val="left" w:pos="567"/>
        </w:tabs>
        <w:spacing w:after="120"/>
        <w:ind w:firstLine="720"/>
        <w:jc w:val="both"/>
        <w:rPr>
          <w:rFonts w:asciiTheme="majorHAnsi" w:hAnsiTheme="majorHAnsi"/>
          <w:sz w:val="16"/>
          <w:szCs w:val="16"/>
          <w:lang w:val="es-CR"/>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w:t>
      </w:r>
      <w:r w:rsidRPr="00B97F15">
        <w:rPr>
          <w:rFonts w:asciiTheme="majorHAnsi" w:hAnsiTheme="majorHAnsi"/>
          <w:sz w:val="16"/>
          <w:szCs w:val="16"/>
          <w:lang w:val="es-VE"/>
        </w:rPr>
        <w:t xml:space="preserve">Corte IDH,   Caso </w:t>
      </w:r>
      <w:proofErr w:type="spellStart"/>
      <w:r w:rsidRPr="00B97F15">
        <w:rPr>
          <w:rFonts w:asciiTheme="majorHAnsi" w:hAnsiTheme="majorHAnsi"/>
          <w:sz w:val="16"/>
          <w:szCs w:val="16"/>
          <w:lang w:val="es-VE"/>
        </w:rPr>
        <w:t>Granier</w:t>
      </w:r>
      <w:proofErr w:type="spellEnd"/>
      <w:r w:rsidRPr="00B97F15">
        <w:rPr>
          <w:rFonts w:asciiTheme="majorHAnsi" w:hAnsiTheme="majorHAnsi"/>
          <w:sz w:val="16"/>
          <w:szCs w:val="16"/>
          <w:lang w:val="es-VE"/>
        </w:rPr>
        <w:t xml:space="preserve"> y otros (Radio Caracas Televisión) vs. Venezuela. Excepciones Preliminares, Fondo, Reparaciones y Costas. Sentencia de 22 de junio de 2015. Serie C No. 293, párr.161. </w:t>
      </w:r>
      <w:r w:rsidRPr="00B97F15">
        <w:rPr>
          <w:rFonts w:asciiTheme="majorHAnsi" w:hAnsiTheme="majorHAnsi"/>
          <w:sz w:val="16"/>
          <w:szCs w:val="16"/>
          <w:lang w:val="es-CR"/>
        </w:rPr>
        <w:tab/>
      </w:r>
    </w:p>
  </w:footnote>
  <w:footnote w:id="143">
    <w:p w14:paraId="2E5DC6BC" w14:textId="32F104DA" w:rsidR="006B2D8F" w:rsidRPr="00B97F15" w:rsidRDefault="006B2D8F" w:rsidP="00BD4AA9">
      <w:pPr>
        <w:pStyle w:val="FootnoteText"/>
        <w:tabs>
          <w:tab w:val="left" w:pos="567"/>
        </w:tabs>
        <w:spacing w:after="120"/>
        <w:ind w:firstLine="720"/>
        <w:jc w:val="both"/>
        <w:rPr>
          <w:rFonts w:asciiTheme="majorHAnsi" w:hAnsiTheme="majorHAnsi"/>
          <w:sz w:val="16"/>
          <w:szCs w:val="16"/>
          <w:lang w:val="es-CR"/>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w:t>
      </w:r>
      <w:r w:rsidRPr="00B97F15">
        <w:rPr>
          <w:rFonts w:asciiTheme="majorHAnsi" w:hAnsiTheme="majorHAnsi"/>
          <w:sz w:val="16"/>
          <w:szCs w:val="16"/>
          <w:lang w:val="es-VE"/>
        </w:rPr>
        <w:t xml:space="preserve">Corte IDH,   Caso </w:t>
      </w:r>
      <w:proofErr w:type="spellStart"/>
      <w:r w:rsidRPr="00B97F15">
        <w:rPr>
          <w:rFonts w:asciiTheme="majorHAnsi" w:hAnsiTheme="majorHAnsi"/>
          <w:sz w:val="16"/>
          <w:szCs w:val="16"/>
          <w:lang w:val="es-VE"/>
        </w:rPr>
        <w:t>Granier</w:t>
      </w:r>
      <w:proofErr w:type="spellEnd"/>
      <w:r w:rsidRPr="00B97F15">
        <w:rPr>
          <w:rFonts w:asciiTheme="majorHAnsi" w:hAnsiTheme="majorHAnsi"/>
          <w:sz w:val="16"/>
          <w:szCs w:val="16"/>
          <w:lang w:val="es-VE"/>
        </w:rPr>
        <w:t xml:space="preserve"> y otros (Radio Caracas Televisión) vs. Venezuela. Excepciones Preliminares, Fondo, Reparaciones y Costas. Sentencia de 22 de junio de 2015. Serie C No. 293, párr.162.</w:t>
      </w:r>
      <w:r w:rsidRPr="00B97F15">
        <w:rPr>
          <w:rFonts w:asciiTheme="majorHAnsi" w:hAnsiTheme="majorHAnsi"/>
          <w:sz w:val="16"/>
          <w:szCs w:val="16"/>
          <w:lang w:val="es-CO"/>
        </w:rPr>
        <w:t xml:space="preserve"> </w:t>
      </w:r>
      <w:r w:rsidRPr="00B97F15">
        <w:rPr>
          <w:rFonts w:asciiTheme="majorHAnsi" w:hAnsiTheme="majorHAnsi"/>
          <w:sz w:val="16"/>
          <w:szCs w:val="16"/>
          <w:lang w:val="es-CR"/>
        </w:rPr>
        <w:tab/>
      </w:r>
    </w:p>
  </w:footnote>
  <w:footnote w:id="144">
    <w:p w14:paraId="5E9DEBF8" w14:textId="19774105" w:rsidR="006B2D8F" w:rsidRPr="00B97F15" w:rsidRDefault="006B2D8F" w:rsidP="00BD4AA9">
      <w:pPr>
        <w:pStyle w:val="FootnoteText"/>
        <w:tabs>
          <w:tab w:val="left" w:pos="567"/>
        </w:tabs>
        <w:spacing w:after="120"/>
        <w:ind w:firstLine="720"/>
        <w:jc w:val="both"/>
        <w:rPr>
          <w:rFonts w:asciiTheme="majorHAnsi" w:hAnsiTheme="majorHAnsi"/>
          <w:sz w:val="16"/>
          <w:szCs w:val="16"/>
          <w:lang w:val="es-CR"/>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w:t>
      </w:r>
      <w:r w:rsidRPr="00B97F15">
        <w:rPr>
          <w:rFonts w:asciiTheme="majorHAnsi" w:hAnsiTheme="majorHAnsi"/>
          <w:sz w:val="16"/>
          <w:szCs w:val="16"/>
          <w:lang w:val="es-VE"/>
        </w:rPr>
        <w:t xml:space="preserve">Corte IDH,   Caso </w:t>
      </w:r>
      <w:proofErr w:type="spellStart"/>
      <w:r w:rsidRPr="00B97F15">
        <w:rPr>
          <w:rFonts w:asciiTheme="majorHAnsi" w:hAnsiTheme="majorHAnsi"/>
          <w:sz w:val="16"/>
          <w:szCs w:val="16"/>
          <w:lang w:val="es-VE"/>
        </w:rPr>
        <w:t>Granier</w:t>
      </w:r>
      <w:proofErr w:type="spellEnd"/>
      <w:r w:rsidRPr="00B97F15">
        <w:rPr>
          <w:rFonts w:asciiTheme="majorHAnsi" w:hAnsiTheme="majorHAnsi"/>
          <w:sz w:val="16"/>
          <w:szCs w:val="16"/>
          <w:lang w:val="es-VE"/>
        </w:rPr>
        <w:t xml:space="preserve"> y otros (Radio Caracas Televisión) vs. Venezuela. Excepciones Preliminares, Fondo, Reparaciones y Costas. Sentencia de 22 de junio de 2015. Serie C No. 293, párr.</w:t>
      </w:r>
      <w:r w:rsidRPr="00B97F15">
        <w:rPr>
          <w:rFonts w:asciiTheme="majorHAnsi" w:hAnsiTheme="majorHAnsi"/>
          <w:sz w:val="16"/>
          <w:szCs w:val="16"/>
          <w:lang w:val="es-CO"/>
        </w:rPr>
        <w:t xml:space="preserve"> 163. </w:t>
      </w:r>
      <w:r w:rsidRPr="00B97F15">
        <w:rPr>
          <w:rFonts w:asciiTheme="majorHAnsi" w:hAnsiTheme="majorHAnsi"/>
          <w:sz w:val="16"/>
          <w:szCs w:val="16"/>
          <w:lang w:val="es-CR"/>
        </w:rPr>
        <w:tab/>
      </w:r>
    </w:p>
  </w:footnote>
  <w:footnote w:id="145">
    <w:p w14:paraId="6B72627B" w14:textId="7422A078" w:rsidR="006B2D8F" w:rsidRPr="00B97F15" w:rsidRDefault="006B2D8F" w:rsidP="00BD4AA9">
      <w:pPr>
        <w:pStyle w:val="FootnoteText"/>
        <w:tabs>
          <w:tab w:val="left" w:pos="567"/>
        </w:tabs>
        <w:spacing w:after="120"/>
        <w:ind w:firstLine="720"/>
        <w:jc w:val="both"/>
        <w:rPr>
          <w:rFonts w:asciiTheme="majorHAnsi" w:hAnsiTheme="majorHAnsi"/>
          <w:sz w:val="16"/>
          <w:szCs w:val="16"/>
          <w:lang w:val="es-CR"/>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w:t>
      </w:r>
      <w:r w:rsidRPr="00B97F15">
        <w:rPr>
          <w:rFonts w:asciiTheme="majorHAnsi" w:hAnsiTheme="majorHAnsi"/>
          <w:sz w:val="16"/>
          <w:szCs w:val="16"/>
          <w:lang w:val="es-VE"/>
        </w:rPr>
        <w:t xml:space="preserve">Corte IDH,   Caso </w:t>
      </w:r>
      <w:proofErr w:type="spellStart"/>
      <w:r w:rsidRPr="00B97F15">
        <w:rPr>
          <w:rFonts w:asciiTheme="majorHAnsi" w:hAnsiTheme="majorHAnsi"/>
          <w:sz w:val="16"/>
          <w:szCs w:val="16"/>
          <w:lang w:val="es-VE"/>
        </w:rPr>
        <w:t>Granier</w:t>
      </w:r>
      <w:proofErr w:type="spellEnd"/>
      <w:r w:rsidRPr="00B97F15">
        <w:rPr>
          <w:rFonts w:asciiTheme="majorHAnsi" w:hAnsiTheme="majorHAnsi"/>
          <w:sz w:val="16"/>
          <w:szCs w:val="16"/>
          <w:lang w:val="es-VE"/>
        </w:rPr>
        <w:t xml:space="preserve"> y otros (Radio Caracas Televisión) vs. Venezuela. Excepciones Preliminares, Fondo, Reparaciones y Costas. Sentencia de 22 de junio de 2015. Serie C No. 293,</w:t>
      </w:r>
      <w:r w:rsidRPr="00B97F15">
        <w:rPr>
          <w:rFonts w:asciiTheme="majorHAnsi" w:hAnsiTheme="majorHAnsi"/>
          <w:sz w:val="16"/>
          <w:szCs w:val="16"/>
          <w:lang w:val="es-CO"/>
        </w:rPr>
        <w:t xml:space="preserve"> citando. Cfr. Caso Ríos y otros Vs. Venezuela, párr. 340, y Caso Perozo y otros Vs. Venezuela, párr. 367.</w:t>
      </w:r>
    </w:p>
  </w:footnote>
  <w:footnote w:id="146">
    <w:p w14:paraId="1E38FD46" w14:textId="310726EA" w:rsidR="006B2D8F" w:rsidRPr="00B97F15" w:rsidRDefault="006B2D8F" w:rsidP="00BD4AA9">
      <w:pPr>
        <w:pStyle w:val="FootnoteText"/>
        <w:spacing w:after="120"/>
        <w:ind w:firstLine="720"/>
        <w:jc w:val="both"/>
        <w:rPr>
          <w:rFonts w:asciiTheme="majorHAnsi" w:hAnsiTheme="majorHAnsi"/>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w:t>
      </w:r>
      <w:r>
        <w:rPr>
          <w:rFonts w:asciiTheme="majorHAnsi" w:hAnsiTheme="majorHAnsi"/>
          <w:sz w:val="16"/>
          <w:szCs w:val="16"/>
          <w:lang w:val="es-ES_tradnl"/>
        </w:rPr>
        <w:t>Corte IDH</w:t>
      </w:r>
      <w:r w:rsidRPr="00B97F15">
        <w:rPr>
          <w:rFonts w:asciiTheme="majorHAnsi" w:hAnsiTheme="majorHAnsi"/>
          <w:sz w:val="16"/>
          <w:szCs w:val="16"/>
          <w:lang w:val="es-ES_tradnl"/>
        </w:rPr>
        <w:t xml:space="preserve">, </w:t>
      </w:r>
      <w:r w:rsidRPr="00B97F15">
        <w:rPr>
          <w:rFonts w:asciiTheme="majorHAnsi" w:hAnsiTheme="majorHAnsi"/>
          <w:iCs/>
          <w:sz w:val="16"/>
          <w:szCs w:val="16"/>
          <w:lang w:val="es-ES_tradnl"/>
        </w:rPr>
        <w:t>Condición Jurídica y Derechos de los Migrantes Indocumentados.</w:t>
      </w:r>
      <w:r w:rsidRPr="00B97F15">
        <w:rPr>
          <w:rFonts w:asciiTheme="majorHAnsi" w:hAnsiTheme="majorHAnsi"/>
          <w:sz w:val="16"/>
          <w:szCs w:val="16"/>
          <w:lang w:val="es-ES_tradnl"/>
        </w:rPr>
        <w:t xml:space="preserve"> Opinión Consultiva OC-18/03 de 17 de septiembre  de 2003. Serie A No. 18</w:t>
      </w:r>
      <w:r w:rsidRPr="00B97F15">
        <w:rPr>
          <w:rFonts w:asciiTheme="majorHAnsi" w:hAnsiTheme="majorHAnsi"/>
          <w:sz w:val="16"/>
          <w:szCs w:val="16"/>
          <w:lang w:val="es-ES"/>
        </w:rPr>
        <w:t xml:space="preserve">, </w:t>
      </w:r>
      <w:r w:rsidRPr="00B97F15">
        <w:rPr>
          <w:rFonts w:asciiTheme="majorHAnsi" w:hAnsiTheme="majorHAnsi"/>
          <w:sz w:val="16"/>
          <w:szCs w:val="16"/>
          <w:lang w:val="es-ES_tradnl"/>
        </w:rPr>
        <w:t>párr. 173 (5).</w:t>
      </w:r>
    </w:p>
  </w:footnote>
  <w:footnote w:id="147">
    <w:p w14:paraId="0B593230" w14:textId="171F0914" w:rsidR="006B2D8F" w:rsidRPr="00B97F15" w:rsidRDefault="006B2D8F" w:rsidP="00BD4AA9">
      <w:pPr>
        <w:pStyle w:val="FootnoteText"/>
        <w:tabs>
          <w:tab w:val="left" w:pos="567"/>
        </w:tabs>
        <w:spacing w:after="120"/>
        <w:ind w:firstLine="720"/>
        <w:jc w:val="both"/>
        <w:rPr>
          <w:rFonts w:asciiTheme="majorHAnsi" w:hAnsiTheme="majorHAnsi" w:cs="Arial"/>
          <w:b/>
          <w:iCs/>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Cfr. </w:t>
      </w:r>
      <w:r w:rsidRPr="00B97F15">
        <w:rPr>
          <w:rFonts w:asciiTheme="majorHAnsi" w:hAnsiTheme="majorHAnsi" w:cs="Arial"/>
          <w:iCs/>
          <w:sz w:val="16"/>
          <w:szCs w:val="16"/>
          <w:lang w:val="es-CO"/>
        </w:rPr>
        <w:t>Condición Jurídica y Derechos de los Migrantes Indocumentados</w:t>
      </w:r>
      <w:r w:rsidRPr="00B97F15">
        <w:rPr>
          <w:rFonts w:asciiTheme="majorHAnsi" w:hAnsiTheme="majorHAnsi" w:cs="Arial"/>
          <w:sz w:val="16"/>
          <w:szCs w:val="16"/>
          <w:lang w:val="es-CO"/>
        </w:rPr>
        <w:t>,</w:t>
      </w:r>
      <w:r w:rsidRPr="00B97F15">
        <w:rPr>
          <w:rFonts w:asciiTheme="majorHAnsi" w:hAnsiTheme="majorHAnsi" w:cs="Arial"/>
          <w:iCs/>
          <w:sz w:val="16"/>
          <w:szCs w:val="16"/>
          <w:lang w:val="es-CO"/>
        </w:rPr>
        <w:t xml:space="preserve"> </w:t>
      </w:r>
      <w:r w:rsidRPr="00B97F15">
        <w:rPr>
          <w:rFonts w:asciiTheme="majorHAnsi" w:hAnsiTheme="majorHAnsi" w:cs="Arial"/>
          <w:sz w:val="16"/>
          <w:szCs w:val="16"/>
          <w:lang w:val="es-CO"/>
        </w:rPr>
        <w:t>párr. 101, y</w:t>
      </w:r>
      <w:r w:rsidRPr="00B97F15">
        <w:rPr>
          <w:rStyle w:val="Strong"/>
          <w:rFonts w:asciiTheme="majorHAnsi" w:hAnsiTheme="majorHAnsi"/>
          <w:sz w:val="16"/>
          <w:szCs w:val="16"/>
          <w:shd w:val="clear" w:color="auto" w:fill="FFFFFF"/>
          <w:lang w:val="es-CO"/>
        </w:rPr>
        <w:t xml:space="preserve"> </w:t>
      </w:r>
      <w:r w:rsidRPr="00B97F15">
        <w:rPr>
          <w:rStyle w:val="Strong"/>
          <w:rFonts w:asciiTheme="majorHAnsi" w:hAnsiTheme="majorHAnsi"/>
          <w:b w:val="0"/>
          <w:sz w:val="16"/>
          <w:szCs w:val="16"/>
          <w:shd w:val="clear" w:color="auto" w:fill="FFFFFF"/>
          <w:lang w:val="es-CO"/>
        </w:rPr>
        <w:t>Caso Espinoza Gonzáles Vs. Perú. Excepciones Preliminares, párr. 216.</w:t>
      </w:r>
    </w:p>
  </w:footnote>
  <w:footnote w:id="148">
    <w:p w14:paraId="77E7010C" w14:textId="625478D9" w:rsidR="006B2D8F" w:rsidRPr="00B97F15" w:rsidRDefault="006B2D8F" w:rsidP="00BD4AA9">
      <w:pPr>
        <w:pStyle w:val="FootnoteText"/>
        <w:tabs>
          <w:tab w:val="left" w:pos="567"/>
        </w:tabs>
        <w:spacing w:after="120"/>
        <w:ind w:firstLine="720"/>
        <w:jc w:val="both"/>
        <w:rPr>
          <w:rFonts w:asciiTheme="majorHAnsi" w:hAnsiTheme="majorHAnsi"/>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Cfr. Propuesta de Modificación a la Constitución Política de Costa Rica relacionada con la Naturalización. Opinión Consultiva OC-4/84 del 19 de enero de 1984. Serie A No. 4, párr. 53, y Caso de las Comunidades Afrodescendientes Desplazadas de la Cuenca del Río Cacarica (Operación Génesis) Vs. Colombia. Excepciones Preliminares, Fondo, Reparaciones y Costas. Sentencia de 20 de noviembre de 2013. Serie C No. 270, párr. 332. </w:t>
      </w:r>
    </w:p>
  </w:footnote>
  <w:footnote w:id="149">
    <w:p w14:paraId="7420309A" w14:textId="6A20D3A4" w:rsidR="006B2D8F" w:rsidRPr="00B97F15" w:rsidRDefault="006B2D8F" w:rsidP="00BD4AA9">
      <w:pPr>
        <w:pStyle w:val="FootnoteText"/>
        <w:tabs>
          <w:tab w:val="left" w:pos="567"/>
        </w:tabs>
        <w:spacing w:after="120"/>
        <w:ind w:firstLine="720"/>
        <w:jc w:val="both"/>
        <w:rPr>
          <w:rFonts w:asciiTheme="majorHAnsi" w:hAnsiTheme="majorHAnsi" w:cs="Arial"/>
          <w:iCs/>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Cfr. </w:t>
      </w:r>
      <w:r w:rsidRPr="00B97F15">
        <w:rPr>
          <w:rFonts w:asciiTheme="majorHAnsi" w:hAnsiTheme="majorHAnsi" w:cs="Arial"/>
          <w:iCs/>
          <w:sz w:val="16"/>
          <w:szCs w:val="16"/>
          <w:lang w:val="es-CO"/>
        </w:rPr>
        <w:t xml:space="preserve">Condición Jurídica y Derechos de los Migrantes Indocumentados. </w:t>
      </w:r>
      <w:r w:rsidRPr="00B97F15">
        <w:rPr>
          <w:rFonts w:asciiTheme="majorHAnsi" w:hAnsiTheme="majorHAnsi" w:cs="Arial"/>
          <w:sz w:val="16"/>
          <w:szCs w:val="16"/>
          <w:lang w:val="es-CO"/>
        </w:rPr>
        <w:t xml:space="preserve">Opinión Consultiva OC-18/03 del 17 de septiembre de 2003. Serie A No. 18, párr. 85, y </w:t>
      </w:r>
      <w:r w:rsidRPr="00B97F15">
        <w:rPr>
          <w:rStyle w:val="FootnoteReference"/>
          <w:rFonts w:asciiTheme="majorHAnsi" w:hAnsiTheme="majorHAnsi"/>
          <w:b/>
          <w:sz w:val="16"/>
          <w:szCs w:val="16"/>
          <w:shd w:val="clear" w:color="auto" w:fill="FFFFFF"/>
          <w:lang w:val="es-CO"/>
        </w:rPr>
        <w:t xml:space="preserve"> </w:t>
      </w:r>
      <w:r w:rsidRPr="00B97F15">
        <w:rPr>
          <w:rStyle w:val="Strong"/>
          <w:rFonts w:asciiTheme="majorHAnsi" w:hAnsiTheme="majorHAnsi"/>
          <w:b w:val="0"/>
          <w:sz w:val="16"/>
          <w:szCs w:val="16"/>
          <w:shd w:val="clear" w:color="auto" w:fill="FFFFFF"/>
          <w:lang w:val="es-CO"/>
        </w:rPr>
        <w:t>Caso Espinoza Gonzáles Vs. Perú, párr. 218.</w:t>
      </w:r>
    </w:p>
  </w:footnote>
  <w:footnote w:id="150">
    <w:p w14:paraId="11F57EE8" w14:textId="6058552E" w:rsidR="006B2D8F" w:rsidRPr="00B97F15" w:rsidRDefault="006B2D8F" w:rsidP="00BD4AA9">
      <w:pPr>
        <w:pStyle w:val="FootnoteText"/>
        <w:tabs>
          <w:tab w:val="left" w:pos="567"/>
        </w:tabs>
        <w:spacing w:after="120"/>
        <w:ind w:firstLine="720"/>
        <w:jc w:val="both"/>
        <w:rPr>
          <w:rFonts w:asciiTheme="majorHAnsi" w:hAnsiTheme="majorHAnsi"/>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Cfr. </w:t>
      </w:r>
      <w:r w:rsidRPr="00B97F15">
        <w:rPr>
          <w:rFonts w:asciiTheme="majorHAnsi" w:hAnsiTheme="majorHAnsi" w:cs="Arial"/>
          <w:iCs/>
          <w:sz w:val="16"/>
          <w:szCs w:val="16"/>
          <w:lang w:val="es-CO"/>
        </w:rPr>
        <w:t xml:space="preserve">Condición Jurídica y Derechos de los Migrantes Indocumentados, </w:t>
      </w:r>
      <w:r w:rsidRPr="00B97F15">
        <w:rPr>
          <w:rFonts w:asciiTheme="majorHAnsi" w:hAnsiTheme="majorHAnsi" w:cs="Arial"/>
          <w:sz w:val="16"/>
          <w:szCs w:val="16"/>
          <w:lang w:val="es-CO"/>
        </w:rPr>
        <w:t>párr. 53, y</w:t>
      </w:r>
      <w:r w:rsidRPr="00B97F15">
        <w:rPr>
          <w:rStyle w:val="Strong"/>
          <w:rFonts w:asciiTheme="majorHAnsi" w:hAnsiTheme="majorHAnsi"/>
          <w:sz w:val="16"/>
          <w:szCs w:val="16"/>
          <w:shd w:val="clear" w:color="auto" w:fill="FFFFFF"/>
          <w:lang w:val="es-CO"/>
        </w:rPr>
        <w:t xml:space="preserve"> </w:t>
      </w:r>
      <w:r w:rsidRPr="00B97F15">
        <w:rPr>
          <w:rStyle w:val="Strong"/>
          <w:rFonts w:asciiTheme="majorHAnsi" w:hAnsiTheme="majorHAnsi"/>
          <w:b w:val="0"/>
          <w:sz w:val="16"/>
          <w:szCs w:val="16"/>
          <w:shd w:val="clear" w:color="auto" w:fill="FFFFFF"/>
          <w:lang w:val="es-CO"/>
        </w:rPr>
        <w:t>Caso Espinoza Gonzáles Vs. Perú, párr. 218.</w:t>
      </w:r>
    </w:p>
  </w:footnote>
  <w:footnote w:id="151">
    <w:p w14:paraId="2B379C60" w14:textId="2D7CAB4E"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17</w:t>
      </w:r>
      <w:r w:rsidRPr="00B97F15">
        <w:rPr>
          <w:rFonts w:asciiTheme="majorHAnsi" w:hAnsiTheme="majorHAnsi"/>
          <w:sz w:val="16"/>
          <w:szCs w:val="16"/>
          <w:lang w:val="es-VE"/>
        </w:rPr>
        <w:t xml:space="preserve">.  Carta del Presidente del Consejo Nacional de Fronteras a Rocío San Miguel, comunicando la finalización de la relación laboral, el 12 de marzo de 2004, Anexo F al Escrito del Estado dentro del trámite de admisibilidad ante CIDH de 16 de enero de 2008; Anexo </w:t>
      </w:r>
      <w:r>
        <w:rPr>
          <w:rFonts w:asciiTheme="majorHAnsi" w:hAnsiTheme="majorHAnsi"/>
          <w:sz w:val="16"/>
          <w:szCs w:val="16"/>
          <w:lang w:val="es-VE"/>
        </w:rPr>
        <w:t>18</w:t>
      </w:r>
      <w:r w:rsidRPr="00B97F15">
        <w:rPr>
          <w:rFonts w:asciiTheme="majorHAnsi" w:hAnsiTheme="majorHAnsi"/>
          <w:sz w:val="16"/>
          <w:szCs w:val="16"/>
          <w:lang w:val="es-VE"/>
        </w:rPr>
        <w:t xml:space="preserve">.  Carta del Presidente del Consejo Nacional de Fronteras a </w:t>
      </w:r>
      <w:proofErr w:type="spellStart"/>
      <w:r w:rsidRPr="00B97F15">
        <w:rPr>
          <w:rFonts w:asciiTheme="majorHAnsi" w:hAnsiTheme="majorHAnsi"/>
          <w:sz w:val="16"/>
          <w:szCs w:val="16"/>
          <w:lang w:val="es-VE"/>
        </w:rPr>
        <w:t>Magally</w:t>
      </w:r>
      <w:proofErr w:type="spellEnd"/>
      <w:r w:rsidRPr="00B97F15">
        <w:rPr>
          <w:rFonts w:asciiTheme="majorHAnsi" w:hAnsiTheme="majorHAnsi"/>
          <w:sz w:val="16"/>
          <w:szCs w:val="16"/>
          <w:lang w:val="es-VE"/>
        </w:rPr>
        <w:t xml:space="preserve"> Chang Girón, comunicando la finalización de la relación laboral, el 12 de marzo de 2004, Anexo F al Escrito del Estado dentro del trámite de admisibilidad ante CIDH de 16 de enero de 2008; Anexo </w:t>
      </w:r>
      <w:r>
        <w:rPr>
          <w:rFonts w:asciiTheme="majorHAnsi" w:hAnsiTheme="majorHAnsi"/>
          <w:sz w:val="16"/>
          <w:szCs w:val="16"/>
          <w:lang w:val="es-VE"/>
        </w:rPr>
        <w:t>19</w:t>
      </w:r>
      <w:r w:rsidRPr="00B97F15">
        <w:rPr>
          <w:rFonts w:asciiTheme="majorHAnsi" w:hAnsiTheme="majorHAnsi"/>
          <w:sz w:val="16"/>
          <w:szCs w:val="16"/>
          <w:lang w:val="es-VE"/>
        </w:rPr>
        <w:t xml:space="preserve">.  Carta del Presidente del Consejo Nacional de Fronteras a Thais Coromoto Peña, comunicando la finalización de la relación laboral, el 12 de marzo de 2004, Anexo F al Escrito del Estado dentro del trámite de admisibilidad ante CIDH de 16 de enero de 2008. De conformidad con una comunicación del entonces Secretario Ejecutivo del Consejo Nacional de Fronteras, las presuntas víctimas prestaron sus servicios al Consejo Nacional de Fronteras hasta el 30 de abril de 2004.  Ver Anexo </w:t>
      </w:r>
      <w:r>
        <w:rPr>
          <w:rFonts w:asciiTheme="majorHAnsi" w:hAnsiTheme="majorHAnsi"/>
          <w:sz w:val="16"/>
          <w:szCs w:val="16"/>
          <w:lang w:val="es-VE"/>
        </w:rPr>
        <w:t>20</w:t>
      </w:r>
      <w:r w:rsidRPr="00B97F15">
        <w:rPr>
          <w:rFonts w:asciiTheme="majorHAnsi" w:hAnsiTheme="majorHAnsi"/>
          <w:sz w:val="16"/>
          <w:szCs w:val="16"/>
          <w:lang w:val="es-VE"/>
        </w:rPr>
        <w:t xml:space="preserve">. Carta del Secretario Ejecutivo del Consejo Nacional de Fronteras al Fiscal 37 del Ministerio Público, 13 de julio de 2004, Anexo II de la denuncia presentada ante la CIDH el 7 de marzo de 2006. </w:t>
      </w:r>
      <w:r w:rsidRPr="00B97F15">
        <w:rPr>
          <w:rFonts w:asciiTheme="majorHAnsi" w:hAnsiTheme="majorHAnsi"/>
          <w:sz w:val="16"/>
          <w:szCs w:val="16"/>
          <w:lang w:val="es-VE"/>
        </w:rPr>
        <w:tab/>
      </w:r>
    </w:p>
  </w:footnote>
  <w:footnote w:id="152">
    <w:p w14:paraId="4796FAE9" w14:textId="1B4904ED"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52</w:t>
      </w:r>
      <w:r w:rsidRPr="00B97F15">
        <w:rPr>
          <w:rFonts w:asciiTheme="majorHAnsi" w:hAnsiTheme="majorHAnsi"/>
          <w:sz w:val="16"/>
          <w:szCs w:val="16"/>
          <w:lang w:val="es-VE"/>
        </w:rPr>
        <w:t xml:space="preserve">. Sentencia del Juzgado Tercero Superior del Trabajo del Circuito Judicial del Trabajo de la Circunscripción Judicial del Área Metropolitana de Caracas, 9 de septiembre de 2005,  Anexo I de la denuncia presentada ante la CIDH el 7 de marzo de 2006. </w:t>
      </w:r>
    </w:p>
  </w:footnote>
  <w:footnote w:id="153">
    <w:p w14:paraId="0624A5C6" w14:textId="5926694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58</w:t>
      </w:r>
      <w:r w:rsidRPr="00B97F15">
        <w:rPr>
          <w:rFonts w:asciiTheme="majorHAnsi" w:hAnsiTheme="majorHAnsi"/>
          <w:sz w:val="16"/>
          <w:szCs w:val="16"/>
          <w:lang w:val="es-VE"/>
        </w:rPr>
        <w:t>. Resolución de sobreseimiento del Juzgado Vigésimo Primero de Primera Instancia en Funciones de Control, 4 de abril de 2004.  Anexo II de la denuncia presentada ante la CIDH el 7 de marzo de 2006.</w:t>
      </w:r>
    </w:p>
  </w:footnote>
  <w:footnote w:id="154">
    <w:p w14:paraId="33B6FF08" w14:textId="77777777" w:rsidR="006B2D8F" w:rsidRPr="00B97F15" w:rsidRDefault="006B2D8F" w:rsidP="00BD4AA9">
      <w:pPr>
        <w:pStyle w:val="FootnoteText"/>
        <w:tabs>
          <w:tab w:val="left" w:pos="360"/>
        </w:tabs>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CIDH, Demanda ante la Corte Interamericana de Derechos humanos en el caso de Ana María </w:t>
      </w:r>
      <w:proofErr w:type="spellStart"/>
      <w:r w:rsidRPr="00B97F15">
        <w:rPr>
          <w:rFonts w:asciiTheme="majorHAnsi" w:hAnsiTheme="majorHAnsi"/>
          <w:sz w:val="16"/>
          <w:szCs w:val="16"/>
          <w:lang w:val="es-VE"/>
        </w:rPr>
        <w:t>Ruggeri</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Cova</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Perkings</w:t>
      </w:r>
      <w:proofErr w:type="spellEnd"/>
      <w:r w:rsidRPr="00B97F15">
        <w:rPr>
          <w:rFonts w:asciiTheme="majorHAnsi" w:hAnsiTheme="majorHAnsi"/>
          <w:sz w:val="16"/>
          <w:szCs w:val="16"/>
          <w:lang w:val="es-VE"/>
        </w:rPr>
        <w:t xml:space="preserve"> Rocha Contreras y Juan Carlos </w:t>
      </w:r>
      <w:proofErr w:type="spellStart"/>
      <w:r w:rsidRPr="00B97F15">
        <w:rPr>
          <w:rFonts w:asciiTheme="majorHAnsi" w:hAnsiTheme="majorHAnsi"/>
          <w:sz w:val="16"/>
          <w:szCs w:val="16"/>
          <w:lang w:val="es-VE"/>
        </w:rPr>
        <w:t>Apitz</w:t>
      </w:r>
      <w:proofErr w:type="spellEnd"/>
      <w:r w:rsidRPr="00B97F15">
        <w:rPr>
          <w:rFonts w:asciiTheme="majorHAnsi" w:hAnsiTheme="majorHAnsi"/>
          <w:sz w:val="16"/>
          <w:szCs w:val="16"/>
          <w:lang w:val="es-VE"/>
        </w:rPr>
        <w:t xml:space="preserve"> (“Corte Primera de lo Contencioso Administrativo) (Caso 12.489) contra la República Bolivariana de Venezuela, 29 de noviembre de 2006, párr. 129.  </w:t>
      </w:r>
    </w:p>
  </w:footnote>
  <w:footnote w:id="155">
    <w:p w14:paraId="5B6BAAF1" w14:textId="77777777" w:rsidR="006B2D8F" w:rsidRPr="00B97F15" w:rsidRDefault="006B2D8F" w:rsidP="00BD4AA9">
      <w:pPr>
        <w:pStyle w:val="FootnoteText"/>
        <w:tabs>
          <w:tab w:val="left" w:pos="360"/>
        </w:tabs>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CIDH, Demanda ante la Corte Interamericana de Derechos humanos en el caso de Ana María </w:t>
      </w:r>
      <w:proofErr w:type="spellStart"/>
      <w:r w:rsidRPr="00B97F15">
        <w:rPr>
          <w:rFonts w:asciiTheme="majorHAnsi" w:hAnsiTheme="majorHAnsi"/>
          <w:sz w:val="16"/>
          <w:szCs w:val="16"/>
          <w:lang w:val="es-VE"/>
        </w:rPr>
        <w:t>Ruggeri</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Cova</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Perkings</w:t>
      </w:r>
      <w:proofErr w:type="spellEnd"/>
      <w:r w:rsidRPr="00B97F15">
        <w:rPr>
          <w:rFonts w:asciiTheme="majorHAnsi" w:hAnsiTheme="majorHAnsi"/>
          <w:sz w:val="16"/>
          <w:szCs w:val="16"/>
          <w:lang w:val="es-VE"/>
        </w:rPr>
        <w:t xml:space="preserve"> Rocha Contreras y Juan Carlos </w:t>
      </w:r>
      <w:proofErr w:type="spellStart"/>
      <w:r w:rsidRPr="00B97F15">
        <w:rPr>
          <w:rFonts w:asciiTheme="majorHAnsi" w:hAnsiTheme="majorHAnsi"/>
          <w:sz w:val="16"/>
          <w:szCs w:val="16"/>
          <w:lang w:val="es-VE"/>
        </w:rPr>
        <w:t>Apitz</w:t>
      </w:r>
      <w:proofErr w:type="spellEnd"/>
      <w:r w:rsidRPr="00B97F15">
        <w:rPr>
          <w:rFonts w:asciiTheme="majorHAnsi" w:hAnsiTheme="majorHAnsi"/>
          <w:sz w:val="16"/>
          <w:szCs w:val="16"/>
          <w:lang w:val="es-VE"/>
        </w:rPr>
        <w:t xml:space="preserve"> (“Corte Primera de lo Contencioso Administrativo) (Caso 12.489) contra la República Bolivariana de Venezuela, 29 de noviembre de 2006, párr. 129.  </w:t>
      </w:r>
    </w:p>
  </w:footnote>
  <w:footnote w:id="156">
    <w:p w14:paraId="061D21E8" w14:textId="25E752A2" w:rsidR="006B2D8F" w:rsidRPr="00B90F54" w:rsidRDefault="006B2D8F" w:rsidP="00B90F54">
      <w:pPr>
        <w:pStyle w:val="FootnoteText"/>
        <w:ind w:firstLine="720"/>
        <w:rPr>
          <w:lang w:val="es-CO"/>
        </w:rPr>
      </w:pPr>
      <w:r w:rsidRPr="00B90F54">
        <w:rPr>
          <w:rStyle w:val="FootnoteReference"/>
          <w:rFonts w:asciiTheme="majorHAnsi" w:hAnsiTheme="majorHAnsi"/>
          <w:sz w:val="16"/>
          <w:szCs w:val="16"/>
        </w:rPr>
        <w:footnoteRef/>
      </w:r>
      <w:r w:rsidRPr="00B90F54">
        <w:rPr>
          <w:rFonts w:asciiTheme="majorHAnsi" w:hAnsiTheme="majorHAnsi"/>
          <w:sz w:val="16"/>
          <w:szCs w:val="16"/>
          <w:lang w:val="es-CO"/>
        </w:rPr>
        <w:t xml:space="preserve"> </w:t>
      </w:r>
      <w:r w:rsidRPr="00B90F54">
        <w:rPr>
          <w:rFonts w:asciiTheme="majorHAnsi" w:hAnsiTheme="majorHAnsi"/>
          <w:sz w:val="16"/>
          <w:szCs w:val="16"/>
          <w:lang w:val="es-ES"/>
        </w:rPr>
        <w:t xml:space="preserve">CIDH, </w:t>
      </w:r>
      <w:hyperlink r:id="rId52" w:history="1">
        <w:r w:rsidRPr="00B90F54">
          <w:rPr>
            <w:rStyle w:val="Hyperlink"/>
            <w:rFonts w:asciiTheme="majorHAnsi" w:hAnsiTheme="majorHAnsi"/>
            <w:sz w:val="16"/>
            <w:szCs w:val="16"/>
            <w:u w:val="none"/>
            <w:lang w:val="es-VE"/>
          </w:rPr>
          <w:t>Marco jurídico interamericano sobre el derecho a la libertad de expresión</w:t>
        </w:r>
      </w:hyperlink>
      <w:r w:rsidRPr="00B90F54">
        <w:rPr>
          <w:rFonts w:asciiTheme="majorHAnsi" w:hAnsiTheme="majorHAnsi"/>
          <w:sz w:val="16"/>
          <w:szCs w:val="16"/>
          <w:lang w:val="es-VE"/>
        </w:rPr>
        <w:t>, OEA/</w:t>
      </w:r>
      <w:proofErr w:type="spellStart"/>
      <w:r w:rsidRPr="00B90F54">
        <w:rPr>
          <w:rFonts w:asciiTheme="majorHAnsi" w:hAnsiTheme="majorHAnsi"/>
          <w:sz w:val="16"/>
          <w:szCs w:val="16"/>
          <w:lang w:val="es-VE"/>
        </w:rPr>
        <w:t>Ser.L</w:t>
      </w:r>
      <w:proofErr w:type="spellEnd"/>
      <w:r w:rsidRPr="00B90F54">
        <w:rPr>
          <w:rFonts w:asciiTheme="majorHAnsi" w:hAnsiTheme="majorHAnsi"/>
          <w:sz w:val="16"/>
          <w:szCs w:val="16"/>
          <w:lang w:val="es-VE"/>
        </w:rPr>
        <w:t>/V/IICIDH/RELE/INF.2/09/, 30 de diciembre de 2009,  párr. 203</w:t>
      </w:r>
      <w:r w:rsidRPr="00B97F15">
        <w:rPr>
          <w:rFonts w:asciiTheme="majorHAnsi" w:hAnsiTheme="majorHAnsi"/>
          <w:sz w:val="16"/>
          <w:szCs w:val="16"/>
          <w:lang w:val="es-VE"/>
        </w:rPr>
        <w:t xml:space="preserve">. </w:t>
      </w:r>
      <w:r w:rsidRPr="00B97F15">
        <w:rPr>
          <w:rFonts w:asciiTheme="majorHAnsi" w:hAnsiTheme="majorHAnsi"/>
          <w:sz w:val="16"/>
          <w:szCs w:val="16"/>
          <w:lang w:val="es-ES"/>
        </w:rPr>
        <w:t xml:space="preserve">  </w:t>
      </w:r>
    </w:p>
  </w:footnote>
  <w:footnote w:id="157">
    <w:p w14:paraId="2CF0CD56" w14:textId="0ABB82F6" w:rsidR="006B2D8F" w:rsidRPr="00B97F15" w:rsidRDefault="006B2D8F" w:rsidP="00BD4AA9">
      <w:pPr>
        <w:pStyle w:val="footnote"/>
        <w:spacing w:before="0" w:beforeAutospacing="0" w:after="120" w:afterAutospacing="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CIDH, Informe anual de la Comisión Interamericana de derechos humanos 2013, Volumen II, </w:t>
      </w:r>
      <w:hyperlink r:id="rId53" w:history="1">
        <w:r w:rsidRPr="00B97F15">
          <w:rPr>
            <w:rStyle w:val="Hyperlink"/>
            <w:rFonts w:asciiTheme="majorHAnsi" w:hAnsiTheme="majorHAnsi"/>
            <w:sz w:val="16"/>
            <w:szCs w:val="16"/>
            <w:u w:val="none"/>
            <w:lang w:val="es-VE"/>
          </w:rPr>
          <w:t>Informe de la Relatoría Especial para libertad de expresión</w:t>
        </w:r>
      </w:hyperlink>
      <w:r w:rsidRPr="00B97F15">
        <w:rPr>
          <w:rFonts w:asciiTheme="majorHAnsi" w:hAnsiTheme="majorHAnsi"/>
          <w:sz w:val="16"/>
          <w:szCs w:val="16"/>
          <w:lang w:val="es-VE"/>
        </w:rPr>
        <w:t>, OEA/</w:t>
      </w:r>
      <w:proofErr w:type="spellStart"/>
      <w:r w:rsidRPr="00B97F15">
        <w:rPr>
          <w:rFonts w:asciiTheme="majorHAnsi" w:hAnsiTheme="majorHAnsi"/>
          <w:sz w:val="16"/>
          <w:szCs w:val="16"/>
          <w:lang w:val="es-VE"/>
        </w:rPr>
        <w:t>ser.L</w:t>
      </w:r>
      <w:proofErr w:type="spellEnd"/>
      <w:r w:rsidRPr="00B97F15">
        <w:rPr>
          <w:rFonts w:asciiTheme="majorHAnsi" w:hAnsiTheme="majorHAnsi"/>
          <w:sz w:val="16"/>
          <w:szCs w:val="16"/>
          <w:lang w:val="es-VE"/>
        </w:rPr>
        <w:t>/V.II/Doc.50, 31 de diciembre de 2013, párr. 911.</w:t>
      </w:r>
    </w:p>
  </w:footnote>
  <w:footnote w:id="158">
    <w:p w14:paraId="2D022500" w14:textId="569BD46F" w:rsidR="006B2D8F" w:rsidRPr="00B97F15" w:rsidRDefault="006B2D8F" w:rsidP="00BD4AA9">
      <w:pPr>
        <w:pStyle w:val="footnote"/>
        <w:spacing w:before="0" w:beforeAutospacing="0" w:after="120" w:afterAutospacing="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Ibíd. párr. 870.</w:t>
      </w:r>
    </w:p>
  </w:footnote>
  <w:footnote w:id="159">
    <w:p w14:paraId="2A5E325D"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w:t>
      </w:r>
      <w:r w:rsidRPr="00B97F15">
        <w:rPr>
          <w:rFonts w:asciiTheme="majorHAnsi" w:eastAsia="Arial Unicode MS" w:hAnsiTheme="majorHAnsi" w:cs="Times New Roman"/>
          <w:sz w:val="16"/>
          <w:szCs w:val="16"/>
          <w:lang w:val="es-EC" w:eastAsia="en-US"/>
        </w:rPr>
        <w:t xml:space="preserve">Pronunciamiento del Presidente de la República venezolana, Hugo Chávez durante el V Gabinete Móvil 15 de abril de 2005 en la ciudad de Puerto Ordaz citado en </w:t>
      </w:r>
      <w:r w:rsidRPr="00B97F15">
        <w:rPr>
          <w:rFonts w:asciiTheme="majorHAnsi" w:hAnsiTheme="majorHAnsi"/>
          <w:sz w:val="16"/>
          <w:szCs w:val="16"/>
          <w:lang w:val="es-VE"/>
        </w:rPr>
        <w:t>CIDH, Democracia y derechos humanos en Venezuela, OEA/</w:t>
      </w:r>
      <w:proofErr w:type="spellStart"/>
      <w:r w:rsidRPr="00B97F15">
        <w:rPr>
          <w:rFonts w:asciiTheme="majorHAnsi" w:hAnsiTheme="majorHAnsi"/>
          <w:sz w:val="16"/>
          <w:szCs w:val="16"/>
          <w:lang w:val="es-VE"/>
        </w:rPr>
        <w:t>Ser.L</w:t>
      </w:r>
      <w:proofErr w:type="spellEnd"/>
      <w:r w:rsidRPr="00B97F15">
        <w:rPr>
          <w:rFonts w:asciiTheme="majorHAnsi" w:hAnsiTheme="majorHAnsi"/>
          <w:sz w:val="16"/>
          <w:szCs w:val="16"/>
          <w:lang w:val="es-VE"/>
        </w:rPr>
        <w:t xml:space="preserve">/V/II.Doc.54, 30 de diciembre de 2009, </w:t>
      </w:r>
      <w:proofErr w:type="spellStart"/>
      <w:r w:rsidRPr="00B97F15">
        <w:rPr>
          <w:rFonts w:asciiTheme="majorHAnsi" w:hAnsiTheme="majorHAnsi"/>
          <w:sz w:val="16"/>
          <w:szCs w:val="16"/>
          <w:lang w:val="es-VE"/>
        </w:rPr>
        <w:t>cap</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II.a</w:t>
      </w:r>
      <w:proofErr w:type="spellEnd"/>
      <w:r w:rsidRPr="00B97F15">
        <w:rPr>
          <w:rFonts w:asciiTheme="majorHAnsi" w:hAnsiTheme="majorHAnsi"/>
          <w:sz w:val="16"/>
          <w:szCs w:val="16"/>
          <w:lang w:val="es-VE"/>
        </w:rPr>
        <w:t>, párr. 99.</w:t>
      </w:r>
    </w:p>
  </w:footnote>
  <w:footnote w:id="160">
    <w:p w14:paraId="74C0CD88" w14:textId="7BD658FA" w:rsidR="006B2D8F" w:rsidRPr="00B97F15" w:rsidRDefault="006B2D8F" w:rsidP="00BD4AA9">
      <w:pPr>
        <w:pStyle w:val="FootnoteText"/>
        <w:tabs>
          <w:tab w:val="left" w:pos="360"/>
        </w:tabs>
        <w:spacing w:after="120"/>
        <w:ind w:firstLine="720"/>
        <w:jc w:val="both"/>
        <w:rPr>
          <w:rFonts w:asciiTheme="majorHAnsi" w:hAnsiTheme="majorHAnsi"/>
          <w:sz w:val="16"/>
          <w:szCs w:val="16"/>
          <w:lang w:val="es-VE"/>
        </w:rPr>
      </w:pPr>
      <w:r w:rsidRPr="00B97F15">
        <w:rPr>
          <w:rFonts w:asciiTheme="majorHAnsi" w:hAnsiTheme="majorHAnsi"/>
          <w:sz w:val="16"/>
          <w:szCs w:val="16"/>
          <w:lang w:val="es-VE"/>
        </w:rPr>
        <w:t xml:space="preserve"> </w:t>
      </w: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CIDH, Demanda ante la Corte Interamericana de Derechos humanos en el caso de Ana María </w:t>
      </w:r>
      <w:proofErr w:type="spellStart"/>
      <w:r w:rsidRPr="00B97F15">
        <w:rPr>
          <w:rFonts w:asciiTheme="majorHAnsi" w:hAnsiTheme="majorHAnsi"/>
          <w:sz w:val="16"/>
          <w:szCs w:val="16"/>
          <w:lang w:val="es-VE"/>
        </w:rPr>
        <w:t>Ruggeri</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Cova</w:t>
      </w:r>
      <w:proofErr w:type="spellEnd"/>
      <w:r w:rsidRPr="00B97F15">
        <w:rPr>
          <w:rFonts w:asciiTheme="majorHAnsi" w:hAnsiTheme="majorHAnsi"/>
          <w:sz w:val="16"/>
          <w:szCs w:val="16"/>
          <w:lang w:val="es-VE"/>
        </w:rPr>
        <w:t xml:space="preserve">, </w:t>
      </w:r>
      <w:proofErr w:type="spellStart"/>
      <w:r w:rsidRPr="00B97F15">
        <w:rPr>
          <w:rFonts w:asciiTheme="majorHAnsi" w:hAnsiTheme="majorHAnsi"/>
          <w:sz w:val="16"/>
          <w:szCs w:val="16"/>
          <w:lang w:val="es-VE"/>
        </w:rPr>
        <w:t>Perkings</w:t>
      </w:r>
      <w:proofErr w:type="spellEnd"/>
      <w:r w:rsidRPr="00B97F15">
        <w:rPr>
          <w:rFonts w:asciiTheme="majorHAnsi" w:hAnsiTheme="majorHAnsi"/>
          <w:sz w:val="16"/>
          <w:szCs w:val="16"/>
          <w:lang w:val="es-VE"/>
        </w:rPr>
        <w:t xml:space="preserve"> Rocha Contreras y Juan Carlos </w:t>
      </w:r>
      <w:proofErr w:type="spellStart"/>
      <w:r w:rsidRPr="00B97F15">
        <w:rPr>
          <w:rFonts w:asciiTheme="majorHAnsi" w:hAnsiTheme="majorHAnsi"/>
          <w:sz w:val="16"/>
          <w:szCs w:val="16"/>
          <w:lang w:val="es-VE"/>
        </w:rPr>
        <w:t>Apitz</w:t>
      </w:r>
      <w:proofErr w:type="spellEnd"/>
      <w:r w:rsidRPr="00B97F15">
        <w:rPr>
          <w:rFonts w:asciiTheme="majorHAnsi" w:hAnsiTheme="majorHAnsi"/>
          <w:sz w:val="16"/>
          <w:szCs w:val="16"/>
          <w:lang w:val="es-VE"/>
        </w:rPr>
        <w:t xml:space="preserve"> (“Corte Primera de lo Contencioso Administrativo) (Caso 12.489) contra la República Bolivariana de Venezuela, 29 de noviembre de 2006, párr. 124.  </w:t>
      </w:r>
    </w:p>
  </w:footnote>
  <w:footnote w:id="161">
    <w:p w14:paraId="2399D31E" w14:textId="38BBC0C5" w:rsidR="006B2D8F" w:rsidRPr="00B97F15" w:rsidRDefault="006B2D8F" w:rsidP="00BD4AA9">
      <w:pPr>
        <w:pStyle w:val="FootnoteText"/>
        <w:tabs>
          <w:tab w:val="left" w:pos="567"/>
        </w:tabs>
        <w:spacing w:after="120"/>
        <w:ind w:firstLine="720"/>
        <w:jc w:val="both"/>
        <w:rPr>
          <w:rFonts w:asciiTheme="majorHAnsi" w:hAnsiTheme="majorHAnsi"/>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w:t>
      </w:r>
      <w:r w:rsidR="003C6160">
        <w:rPr>
          <w:rFonts w:asciiTheme="majorHAnsi" w:hAnsiTheme="majorHAnsi"/>
          <w:sz w:val="16"/>
          <w:szCs w:val="16"/>
          <w:lang w:val="es-VE"/>
        </w:rPr>
        <w:t xml:space="preserve">Corte IDH, </w:t>
      </w:r>
      <w:r w:rsidRPr="00B97F15">
        <w:rPr>
          <w:rFonts w:asciiTheme="majorHAnsi" w:hAnsiTheme="majorHAnsi"/>
          <w:sz w:val="16"/>
          <w:szCs w:val="16"/>
          <w:lang w:val="es-VE"/>
        </w:rPr>
        <w:t xml:space="preserve"> Caso </w:t>
      </w:r>
      <w:proofErr w:type="spellStart"/>
      <w:r w:rsidRPr="00B97F15">
        <w:rPr>
          <w:rFonts w:asciiTheme="majorHAnsi" w:hAnsiTheme="majorHAnsi"/>
          <w:sz w:val="16"/>
          <w:szCs w:val="16"/>
          <w:lang w:val="es-VE"/>
        </w:rPr>
        <w:t>Granier</w:t>
      </w:r>
      <w:proofErr w:type="spellEnd"/>
      <w:r w:rsidRPr="00B97F15">
        <w:rPr>
          <w:rFonts w:asciiTheme="majorHAnsi" w:hAnsiTheme="majorHAnsi"/>
          <w:sz w:val="16"/>
          <w:szCs w:val="16"/>
          <w:lang w:val="es-VE"/>
        </w:rPr>
        <w:t xml:space="preserve"> y otros (Radio Caracas Televisión) vs. Venezuela. Excepciones Preliminares, Fondo, Reparaciones y Costas. Sentencia de 22 de junio de 2015. Serie C No. 293, párr.</w:t>
      </w:r>
      <w:r w:rsidRPr="00B97F15">
        <w:rPr>
          <w:rFonts w:asciiTheme="majorHAnsi" w:hAnsiTheme="majorHAnsi"/>
          <w:sz w:val="16"/>
          <w:szCs w:val="16"/>
          <w:lang w:val="es-CO"/>
        </w:rPr>
        <w:t xml:space="preserve"> 189. Citando. Caso de la Corte Suprema de Justicia (Quintana Coello y otros) Vs. Ecuador. Excepción Preliminar, Fondo, Reparaciones y Costas. Sentencia de 23 de agosto de 2013. Serie C No. 266, párr. 173, y Caso del Tribunal Constitucional (Camba Campos y otros) Vs. Ecuador. Excepciones Preliminares, Fondo, Reparaciones y Costas. Sentencia de 28 de agosto de 2013. Serie C No. 268, párr. 210.</w:t>
      </w:r>
    </w:p>
  </w:footnote>
  <w:footnote w:id="162">
    <w:p w14:paraId="5F44F15A" w14:textId="28D0AC78" w:rsidR="006B2D8F" w:rsidRPr="00B97F15" w:rsidRDefault="006B2D8F" w:rsidP="00BD4AA9">
      <w:pPr>
        <w:tabs>
          <w:tab w:val="left" w:pos="567"/>
        </w:tabs>
        <w:spacing w:after="120"/>
        <w:ind w:firstLine="720"/>
        <w:jc w:val="both"/>
        <w:rPr>
          <w:rFonts w:asciiTheme="majorHAnsi" w:hAnsiTheme="majorHAnsi" w:cs="Arial"/>
          <w:sz w:val="16"/>
          <w:szCs w:val="16"/>
          <w:lang w:val="es-ES"/>
        </w:rPr>
      </w:pPr>
      <w:r w:rsidRPr="00B97F15">
        <w:rPr>
          <w:rStyle w:val="FootnoteReference"/>
          <w:rFonts w:asciiTheme="majorHAnsi" w:eastAsia="ヒラギノ角ゴ Pro W3" w:hAnsiTheme="majorHAnsi"/>
          <w:sz w:val="16"/>
          <w:szCs w:val="16"/>
        </w:rPr>
        <w:footnoteRef/>
      </w:r>
      <w:r w:rsidRPr="00B97F15">
        <w:rPr>
          <w:rFonts w:asciiTheme="majorHAnsi" w:hAnsiTheme="majorHAnsi"/>
          <w:sz w:val="16"/>
          <w:szCs w:val="16"/>
          <w:lang w:val="es-CO"/>
        </w:rPr>
        <w:t xml:space="preserve"> </w:t>
      </w:r>
      <w:r>
        <w:rPr>
          <w:rFonts w:asciiTheme="majorHAnsi" w:hAnsiTheme="majorHAnsi"/>
          <w:sz w:val="16"/>
          <w:szCs w:val="16"/>
          <w:lang w:val="es-VE"/>
        </w:rPr>
        <w:t xml:space="preserve">Corte IDH, </w:t>
      </w:r>
      <w:r w:rsidRPr="00B97F15">
        <w:rPr>
          <w:rFonts w:asciiTheme="majorHAnsi" w:hAnsiTheme="majorHAnsi"/>
          <w:sz w:val="16"/>
          <w:szCs w:val="16"/>
          <w:lang w:val="es-VE"/>
        </w:rPr>
        <w:t xml:space="preserve">Caso </w:t>
      </w:r>
      <w:proofErr w:type="spellStart"/>
      <w:r w:rsidRPr="00B97F15">
        <w:rPr>
          <w:rFonts w:asciiTheme="majorHAnsi" w:hAnsiTheme="majorHAnsi"/>
          <w:sz w:val="16"/>
          <w:szCs w:val="16"/>
          <w:lang w:val="es-VE"/>
        </w:rPr>
        <w:t>Granier</w:t>
      </w:r>
      <w:proofErr w:type="spellEnd"/>
      <w:r w:rsidRPr="00B97F15">
        <w:rPr>
          <w:rFonts w:asciiTheme="majorHAnsi" w:hAnsiTheme="majorHAnsi"/>
          <w:sz w:val="16"/>
          <w:szCs w:val="16"/>
          <w:lang w:val="es-VE"/>
        </w:rPr>
        <w:t xml:space="preserve"> y otros (Radio Caracas Televisión) vs. Venezuela. Excepciones Preliminares, Fondo, Reparaciones y Costas. Sentencia de 22 de junio de 2015. Serie C No. 293, párr.</w:t>
      </w:r>
      <w:r w:rsidRPr="00B97F15">
        <w:rPr>
          <w:rFonts w:asciiTheme="majorHAnsi" w:hAnsiTheme="majorHAnsi"/>
          <w:sz w:val="16"/>
          <w:szCs w:val="16"/>
          <w:lang w:val="es-ES"/>
        </w:rPr>
        <w:t xml:space="preserve"> 189</w:t>
      </w:r>
      <w:r w:rsidRPr="00B97F15">
        <w:rPr>
          <w:rFonts w:asciiTheme="majorHAnsi" w:hAnsiTheme="majorHAnsi"/>
          <w:sz w:val="16"/>
          <w:szCs w:val="16"/>
          <w:lang w:val="es-CO"/>
        </w:rPr>
        <w:t xml:space="preserve">. Citando. Caso de la Corte Suprema de Justicia (Quintana Coello y otros) Vs. Ecuador. Al respecto, el Tribunal Europeo ha tenido en cuenta el propósito o motivación que las autoridades estatales mostraron a la hora de ejercer sus funciones, para determinar si existió o no una violación al Convenio Europeo de Derechos Humanos. Por ejemplo, en </w:t>
      </w:r>
      <w:r w:rsidRPr="00B97F15">
        <w:rPr>
          <w:rFonts w:asciiTheme="majorHAnsi" w:hAnsiTheme="majorHAnsi" w:cs="Arial"/>
          <w:sz w:val="16"/>
          <w:szCs w:val="16"/>
          <w:lang w:val="es-ES"/>
        </w:rPr>
        <w:t xml:space="preserve">el Caso </w:t>
      </w:r>
      <w:proofErr w:type="spellStart"/>
      <w:r w:rsidR="003C6160">
        <w:rPr>
          <w:rFonts w:asciiTheme="majorHAnsi" w:hAnsiTheme="majorHAnsi" w:cs="Arial"/>
          <w:iCs/>
          <w:sz w:val="16"/>
          <w:szCs w:val="16"/>
          <w:lang w:val="es-ES"/>
        </w:rPr>
        <w:t>Gusinskiy</w:t>
      </w:r>
      <w:proofErr w:type="spellEnd"/>
      <w:r w:rsidR="003C6160">
        <w:rPr>
          <w:rFonts w:asciiTheme="majorHAnsi" w:hAnsiTheme="majorHAnsi" w:cs="Arial"/>
          <w:iCs/>
          <w:sz w:val="16"/>
          <w:szCs w:val="16"/>
          <w:lang w:val="es-ES"/>
        </w:rPr>
        <w:t xml:space="preserve"> </w:t>
      </w:r>
      <w:r w:rsidRPr="00B97F15">
        <w:rPr>
          <w:rFonts w:asciiTheme="majorHAnsi" w:hAnsiTheme="majorHAnsi" w:cs="Arial"/>
          <w:iCs/>
          <w:sz w:val="16"/>
          <w:szCs w:val="16"/>
          <w:lang w:val="es-ES"/>
        </w:rPr>
        <w:t xml:space="preserve">s. Rusia, </w:t>
      </w:r>
      <w:r w:rsidRPr="00B97F15">
        <w:rPr>
          <w:rFonts w:asciiTheme="majorHAnsi" w:hAnsiTheme="majorHAnsi" w:cs="Arial"/>
          <w:sz w:val="16"/>
          <w:szCs w:val="16"/>
          <w:lang w:val="es-ES"/>
        </w:rPr>
        <w:t xml:space="preserve">el Tribunal Europeo consideró que la restricción del derecho a la libertad de la víctima, autorizada por el artículo 5.1 (c) del Convenio Europeo, se aplicó no solo con la finalidad de hacerle comparecer ante la autoridad judicial competente, por estimar que había indicios razonables de la comisión de un delito, sino también con el propósito de obligarlo a vender su compañía al Estado. En el Caso </w:t>
      </w:r>
      <w:proofErr w:type="spellStart"/>
      <w:r w:rsidRPr="00B97F15">
        <w:rPr>
          <w:rFonts w:asciiTheme="majorHAnsi" w:hAnsiTheme="majorHAnsi" w:cs="Arial"/>
          <w:iCs/>
          <w:sz w:val="16"/>
          <w:szCs w:val="16"/>
          <w:lang w:val="es-ES"/>
        </w:rPr>
        <w:t>Cebotari</w:t>
      </w:r>
      <w:proofErr w:type="spellEnd"/>
      <w:r w:rsidRPr="00B97F15">
        <w:rPr>
          <w:rFonts w:asciiTheme="majorHAnsi" w:hAnsiTheme="majorHAnsi" w:cs="Arial"/>
          <w:iCs/>
          <w:sz w:val="16"/>
          <w:szCs w:val="16"/>
          <w:lang w:val="es-ES"/>
        </w:rPr>
        <w:t xml:space="preserve"> Vs. Moldavia </w:t>
      </w:r>
      <w:r w:rsidRPr="00B97F15">
        <w:rPr>
          <w:rFonts w:asciiTheme="majorHAnsi" w:hAnsiTheme="majorHAnsi" w:cs="Arial"/>
          <w:sz w:val="16"/>
          <w:szCs w:val="16"/>
          <w:lang w:val="es-ES"/>
        </w:rPr>
        <w:t xml:space="preserve">declaró que se violó el artículo 18 del Convenio Europeo en virtud de que el Gobierno no logró convencer al Tribunal que había una sospecha razonable para considerar que el solicitante había cometido un delito, concluyendo el referido Tribunal que el verdadero objetivo del proceso penal y la detención del solicitante era para presionarlo y con ello impedir que su compañía “Oferta Plus” demandara ante la Corte. Finalmente, el Tribunal Europeo en el Caso </w:t>
      </w:r>
      <w:proofErr w:type="spellStart"/>
      <w:r w:rsidRPr="00B97F15">
        <w:rPr>
          <w:rFonts w:asciiTheme="majorHAnsi" w:hAnsiTheme="majorHAnsi" w:cs="Arial"/>
          <w:iCs/>
          <w:sz w:val="16"/>
          <w:szCs w:val="16"/>
          <w:lang w:val="es-ES"/>
        </w:rPr>
        <w:t>Lutsenko</w:t>
      </w:r>
      <w:proofErr w:type="spellEnd"/>
      <w:r w:rsidRPr="00B97F15">
        <w:rPr>
          <w:rFonts w:asciiTheme="majorHAnsi" w:hAnsiTheme="majorHAnsi" w:cs="Arial"/>
          <w:iCs/>
          <w:sz w:val="16"/>
          <w:szCs w:val="16"/>
          <w:lang w:val="es-ES"/>
        </w:rPr>
        <w:t xml:space="preserve"> Vs. Ucrania</w:t>
      </w:r>
      <w:r w:rsidRPr="00B97F15">
        <w:rPr>
          <w:rFonts w:asciiTheme="majorHAnsi" w:hAnsiTheme="majorHAnsi" w:cs="Arial"/>
          <w:sz w:val="16"/>
          <w:szCs w:val="16"/>
          <w:lang w:val="es-ES"/>
        </w:rPr>
        <w:t xml:space="preserve"> determinó que la privación de la libertad del solicitante, autorizada por el artículo 5.1 (c), se aplicó no solo con el fin de hacerle comparecer ante la autoridad judicial competente, por existir indicios razonables de que cometió un delito, sino también por otras razones, relacionadas con el intento de la Fiscalía de acusar al solicitante por expresar públicamente su oposición a las acusaciones en su contra. Cfr. </w:t>
      </w:r>
      <w:r w:rsidRPr="00B97F15">
        <w:rPr>
          <w:rFonts w:asciiTheme="majorHAnsi" w:hAnsiTheme="majorHAnsi"/>
          <w:sz w:val="16"/>
          <w:szCs w:val="16"/>
          <w:lang w:val="es-CO"/>
        </w:rPr>
        <w:t xml:space="preserve">TEDH, </w:t>
      </w:r>
      <w:r w:rsidRPr="00B97F15">
        <w:rPr>
          <w:rFonts w:asciiTheme="majorHAnsi" w:hAnsiTheme="majorHAnsi" w:cs="Arial"/>
          <w:sz w:val="16"/>
          <w:szCs w:val="16"/>
          <w:lang w:val="es-ES"/>
        </w:rPr>
        <w:t xml:space="preserve">Caso </w:t>
      </w:r>
      <w:proofErr w:type="spellStart"/>
      <w:r w:rsidRPr="00B97F15">
        <w:rPr>
          <w:rFonts w:asciiTheme="majorHAnsi" w:hAnsiTheme="majorHAnsi" w:cs="Arial"/>
          <w:sz w:val="16"/>
          <w:szCs w:val="16"/>
          <w:lang w:val="es-ES"/>
        </w:rPr>
        <w:t>Gusinskiy</w:t>
      </w:r>
      <w:proofErr w:type="spellEnd"/>
      <w:r w:rsidRPr="00B97F15">
        <w:rPr>
          <w:rFonts w:asciiTheme="majorHAnsi" w:hAnsiTheme="majorHAnsi" w:cs="Arial"/>
          <w:sz w:val="16"/>
          <w:szCs w:val="16"/>
          <w:lang w:val="es-ES"/>
        </w:rPr>
        <w:t xml:space="preserve"> Vs. Rusia, (No. 70276/01), Sentencia de 19 de mayo de 2004, </w:t>
      </w:r>
      <w:proofErr w:type="spellStart"/>
      <w:r w:rsidRPr="00B97F15">
        <w:rPr>
          <w:rFonts w:asciiTheme="majorHAnsi" w:hAnsiTheme="majorHAnsi" w:cs="Arial"/>
          <w:sz w:val="16"/>
          <w:szCs w:val="16"/>
          <w:lang w:val="es-ES"/>
        </w:rPr>
        <w:t>párrs</w:t>
      </w:r>
      <w:proofErr w:type="spellEnd"/>
      <w:r w:rsidRPr="00B97F15">
        <w:rPr>
          <w:rFonts w:asciiTheme="majorHAnsi" w:hAnsiTheme="majorHAnsi" w:cs="Arial"/>
          <w:sz w:val="16"/>
          <w:szCs w:val="16"/>
          <w:lang w:val="es-ES"/>
        </w:rPr>
        <w:t xml:space="preserve">. 71 a 78; Caso </w:t>
      </w:r>
      <w:proofErr w:type="spellStart"/>
      <w:r w:rsidRPr="00B97F15">
        <w:rPr>
          <w:rFonts w:asciiTheme="majorHAnsi" w:hAnsiTheme="majorHAnsi" w:cs="Arial"/>
          <w:iCs/>
          <w:sz w:val="16"/>
          <w:szCs w:val="16"/>
          <w:lang w:val="es-ES"/>
        </w:rPr>
        <w:t>Cebotari</w:t>
      </w:r>
      <w:proofErr w:type="spellEnd"/>
      <w:r w:rsidRPr="00B97F15">
        <w:rPr>
          <w:rFonts w:asciiTheme="majorHAnsi" w:hAnsiTheme="majorHAnsi" w:cs="Arial"/>
          <w:iCs/>
          <w:sz w:val="16"/>
          <w:szCs w:val="16"/>
          <w:lang w:val="es-ES"/>
        </w:rPr>
        <w:t xml:space="preserve"> Vs. Moldavia, </w:t>
      </w:r>
      <w:r w:rsidRPr="00B97F15">
        <w:rPr>
          <w:rFonts w:asciiTheme="majorHAnsi" w:hAnsiTheme="majorHAnsi" w:cs="Arial"/>
          <w:sz w:val="16"/>
          <w:szCs w:val="16"/>
          <w:lang w:val="es-ES"/>
        </w:rPr>
        <w:t>(No.</w:t>
      </w:r>
      <w:r w:rsidRPr="00B97F15">
        <w:rPr>
          <w:rFonts w:asciiTheme="majorHAnsi" w:hAnsiTheme="majorHAnsi"/>
          <w:sz w:val="16"/>
          <w:szCs w:val="16"/>
          <w:lang w:val="es-ES"/>
        </w:rPr>
        <w:t xml:space="preserve"> </w:t>
      </w:r>
      <w:r w:rsidRPr="00B97F15">
        <w:rPr>
          <w:rFonts w:asciiTheme="majorHAnsi" w:hAnsiTheme="majorHAnsi" w:cs="Arial"/>
          <w:sz w:val="16"/>
          <w:szCs w:val="16"/>
          <w:lang w:val="es-ES"/>
        </w:rPr>
        <w:t xml:space="preserve">35615/06), </w:t>
      </w:r>
      <w:r w:rsidRPr="00B97F15">
        <w:rPr>
          <w:rFonts w:asciiTheme="majorHAnsi" w:hAnsiTheme="majorHAnsi" w:cs="Arial"/>
          <w:iCs/>
          <w:sz w:val="16"/>
          <w:szCs w:val="16"/>
          <w:lang w:val="es-ES"/>
        </w:rPr>
        <w:t xml:space="preserve">Sentencia de 13 de noviembre de 2007, </w:t>
      </w:r>
      <w:proofErr w:type="spellStart"/>
      <w:r w:rsidRPr="00B97F15">
        <w:rPr>
          <w:rFonts w:asciiTheme="majorHAnsi" w:hAnsiTheme="majorHAnsi" w:cs="Arial"/>
          <w:sz w:val="16"/>
          <w:szCs w:val="16"/>
          <w:lang w:val="es-ES"/>
        </w:rPr>
        <w:t>párrs</w:t>
      </w:r>
      <w:proofErr w:type="spellEnd"/>
      <w:r w:rsidRPr="00B97F15">
        <w:rPr>
          <w:rFonts w:asciiTheme="majorHAnsi" w:hAnsiTheme="majorHAnsi" w:cs="Arial"/>
          <w:sz w:val="16"/>
          <w:szCs w:val="16"/>
          <w:lang w:val="es-ES"/>
        </w:rPr>
        <w:t xml:space="preserve">. </w:t>
      </w:r>
      <w:r w:rsidRPr="00B97F15">
        <w:rPr>
          <w:rFonts w:asciiTheme="majorHAnsi" w:hAnsiTheme="majorHAnsi" w:cs="Arial"/>
          <w:iCs/>
          <w:sz w:val="16"/>
          <w:szCs w:val="16"/>
          <w:lang w:val="es-ES"/>
        </w:rPr>
        <w:t xml:space="preserve">46 a 53, </w:t>
      </w:r>
      <w:r w:rsidRPr="00B97F15">
        <w:rPr>
          <w:rFonts w:asciiTheme="majorHAnsi" w:hAnsiTheme="majorHAnsi" w:cs="Arial"/>
          <w:sz w:val="16"/>
          <w:szCs w:val="16"/>
          <w:lang w:val="es-ES"/>
        </w:rPr>
        <w:t xml:space="preserve">y Caso </w:t>
      </w:r>
      <w:proofErr w:type="spellStart"/>
      <w:r w:rsidRPr="00B97F15">
        <w:rPr>
          <w:rFonts w:asciiTheme="majorHAnsi" w:hAnsiTheme="majorHAnsi" w:cs="Arial"/>
          <w:sz w:val="16"/>
          <w:szCs w:val="16"/>
          <w:lang w:val="es-ES"/>
        </w:rPr>
        <w:t>Lutsenko</w:t>
      </w:r>
      <w:proofErr w:type="spellEnd"/>
      <w:r w:rsidRPr="00B97F15">
        <w:rPr>
          <w:rFonts w:asciiTheme="majorHAnsi" w:hAnsiTheme="majorHAnsi" w:cs="Arial"/>
          <w:sz w:val="16"/>
          <w:szCs w:val="16"/>
          <w:lang w:val="es-ES"/>
        </w:rPr>
        <w:t xml:space="preserve"> Vs. Ucrania, (No.</w:t>
      </w:r>
      <w:r w:rsidRPr="00B97F15">
        <w:rPr>
          <w:rFonts w:asciiTheme="majorHAnsi" w:hAnsiTheme="majorHAnsi"/>
          <w:sz w:val="16"/>
          <w:szCs w:val="16"/>
          <w:lang w:val="es-ES"/>
        </w:rPr>
        <w:t xml:space="preserve"> </w:t>
      </w:r>
      <w:r w:rsidRPr="00B97F15">
        <w:rPr>
          <w:rFonts w:asciiTheme="majorHAnsi" w:hAnsiTheme="majorHAnsi" w:cs="Arial"/>
          <w:sz w:val="16"/>
          <w:szCs w:val="16"/>
          <w:lang w:val="es-ES"/>
        </w:rPr>
        <w:t xml:space="preserve">6492/11), Sentencia de 3 de julio de 2012, </w:t>
      </w:r>
      <w:proofErr w:type="spellStart"/>
      <w:r w:rsidRPr="00B97F15">
        <w:rPr>
          <w:rFonts w:asciiTheme="majorHAnsi" w:hAnsiTheme="majorHAnsi" w:cs="Arial"/>
          <w:sz w:val="16"/>
          <w:szCs w:val="16"/>
          <w:lang w:val="es-ES"/>
        </w:rPr>
        <w:t>párrs</w:t>
      </w:r>
      <w:proofErr w:type="spellEnd"/>
      <w:r w:rsidRPr="00B97F15">
        <w:rPr>
          <w:rFonts w:asciiTheme="majorHAnsi" w:hAnsiTheme="majorHAnsi" w:cs="Arial"/>
          <w:sz w:val="16"/>
          <w:szCs w:val="16"/>
          <w:lang w:val="es-ES"/>
        </w:rPr>
        <w:t>. 100 a 110.</w:t>
      </w:r>
    </w:p>
  </w:footnote>
  <w:footnote w:id="163">
    <w:p w14:paraId="72EBE029" w14:textId="50A092D1" w:rsidR="006B2D8F" w:rsidRPr="00B97F15" w:rsidRDefault="006B2D8F" w:rsidP="00BD4AA9">
      <w:pPr>
        <w:pStyle w:val="FootnoteText"/>
        <w:tabs>
          <w:tab w:val="left" w:pos="567"/>
        </w:tabs>
        <w:spacing w:after="120"/>
        <w:ind w:firstLine="720"/>
        <w:jc w:val="both"/>
        <w:rPr>
          <w:rFonts w:asciiTheme="majorHAnsi" w:hAnsiTheme="majorHAnsi"/>
          <w:sz w:val="16"/>
          <w:szCs w:val="16"/>
          <w:lang w:val="es-CO"/>
        </w:rPr>
      </w:pPr>
      <w:r w:rsidRPr="00B97F15">
        <w:rPr>
          <w:rStyle w:val="FootnoteReference"/>
          <w:rFonts w:asciiTheme="majorHAnsi" w:hAnsiTheme="majorHAnsi"/>
          <w:sz w:val="16"/>
          <w:szCs w:val="16"/>
        </w:rPr>
        <w:footnoteRef/>
      </w:r>
      <w:r>
        <w:rPr>
          <w:rFonts w:asciiTheme="majorHAnsi" w:hAnsiTheme="majorHAnsi"/>
          <w:sz w:val="16"/>
          <w:szCs w:val="16"/>
          <w:lang w:val="es-VE"/>
        </w:rPr>
        <w:t xml:space="preserve">Corte IDH, </w:t>
      </w:r>
      <w:r w:rsidRPr="00B97F15">
        <w:rPr>
          <w:rFonts w:asciiTheme="majorHAnsi" w:hAnsiTheme="majorHAnsi"/>
          <w:sz w:val="16"/>
          <w:szCs w:val="16"/>
          <w:lang w:val="es-VE"/>
        </w:rPr>
        <w:t xml:space="preserve">Caso </w:t>
      </w:r>
      <w:proofErr w:type="spellStart"/>
      <w:r w:rsidRPr="00B97F15">
        <w:rPr>
          <w:rFonts w:asciiTheme="majorHAnsi" w:hAnsiTheme="majorHAnsi"/>
          <w:sz w:val="16"/>
          <w:szCs w:val="16"/>
          <w:lang w:val="es-VE"/>
        </w:rPr>
        <w:t>Granier</w:t>
      </w:r>
      <w:proofErr w:type="spellEnd"/>
      <w:r w:rsidRPr="00B97F15">
        <w:rPr>
          <w:rFonts w:asciiTheme="majorHAnsi" w:hAnsiTheme="majorHAnsi"/>
          <w:sz w:val="16"/>
          <w:szCs w:val="16"/>
          <w:lang w:val="es-VE"/>
        </w:rPr>
        <w:t xml:space="preserve"> y otros (Radio Caracas Televisión) vs. Venezuela. Excepciones Preliminares, Fondo, Reparaciones y Costas. Sentencia de 22 de junio de 2015. Serie C No. 293, párr.</w:t>
      </w:r>
      <w:r w:rsidRPr="00B97F15">
        <w:rPr>
          <w:rFonts w:asciiTheme="majorHAnsi" w:hAnsiTheme="majorHAnsi"/>
          <w:sz w:val="16"/>
          <w:szCs w:val="16"/>
          <w:lang w:val="es-ES"/>
        </w:rPr>
        <w:t xml:space="preserve"> 189. Citando. Caso de la Corte Suprema de Justicia (Quintana Coello y otros) Vs. </w:t>
      </w:r>
      <w:r w:rsidRPr="00B97F15">
        <w:rPr>
          <w:rFonts w:asciiTheme="majorHAnsi" w:hAnsiTheme="majorHAnsi"/>
          <w:sz w:val="16"/>
          <w:szCs w:val="16"/>
          <w:lang w:val="es-CO"/>
        </w:rPr>
        <w:t>Ecuador, párr. 173, y Caso del Tribunal Constitucional (Camba Campos y otros) Vs. Ecuador, párr. 210.</w:t>
      </w:r>
    </w:p>
  </w:footnote>
  <w:footnote w:id="164">
    <w:p w14:paraId="5E037642" w14:textId="45770801" w:rsidR="006B2D8F" w:rsidRPr="00B97F15" w:rsidRDefault="006B2D8F" w:rsidP="00BD4AA9">
      <w:pPr>
        <w:tabs>
          <w:tab w:val="left" w:pos="567"/>
        </w:tabs>
        <w:autoSpaceDE w:val="0"/>
        <w:autoSpaceDN w:val="0"/>
        <w:adjustRightInd w:val="0"/>
        <w:spacing w:after="120"/>
        <w:ind w:firstLine="720"/>
        <w:jc w:val="both"/>
        <w:rPr>
          <w:rFonts w:asciiTheme="majorHAnsi" w:hAnsiTheme="majorHAnsi" w:cs="Arial"/>
          <w:sz w:val="16"/>
          <w:szCs w:val="16"/>
          <w:lang w:val="es-CO" w:eastAsia="de-DE"/>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w:t>
      </w:r>
      <w:r>
        <w:rPr>
          <w:rFonts w:asciiTheme="majorHAnsi" w:hAnsiTheme="majorHAnsi"/>
          <w:sz w:val="16"/>
          <w:szCs w:val="16"/>
          <w:lang w:val="es-VE"/>
        </w:rPr>
        <w:t xml:space="preserve">Corte IDH, </w:t>
      </w:r>
      <w:r w:rsidRPr="00B97F15">
        <w:rPr>
          <w:rFonts w:asciiTheme="majorHAnsi" w:hAnsiTheme="majorHAnsi"/>
          <w:sz w:val="16"/>
          <w:szCs w:val="16"/>
          <w:lang w:val="es-VE"/>
        </w:rPr>
        <w:t xml:space="preserve">Caso </w:t>
      </w:r>
      <w:proofErr w:type="spellStart"/>
      <w:r w:rsidRPr="00B97F15">
        <w:rPr>
          <w:rFonts w:asciiTheme="majorHAnsi" w:hAnsiTheme="majorHAnsi"/>
          <w:sz w:val="16"/>
          <w:szCs w:val="16"/>
          <w:lang w:val="es-VE"/>
        </w:rPr>
        <w:t>Granier</w:t>
      </w:r>
      <w:proofErr w:type="spellEnd"/>
      <w:r w:rsidRPr="00B97F15">
        <w:rPr>
          <w:rFonts w:asciiTheme="majorHAnsi" w:hAnsiTheme="majorHAnsi"/>
          <w:sz w:val="16"/>
          <w:szCs w:val="16"/>
          <w:lang w:val="es-VE"/>
        </w:rPr>
        <w:t xml:space="preserve"> y otros (Radio Caracas Televisión) vs. Venezuela. Excepciones Preliminares, Fondo, Reparaciones y Costas. Sentencia de 22 de junio de 2015. Serie C No. 293, párr.</w:t>
      </w:r>
      <w:r w:rsidRPr="00B97F15">
        <w:rPr>
          <w:rFonts w:asciiTheme="majorHAnsi" w:hAnsiTheme="majorHAnsi"/>
          <w:sz w:val="16"/>
          <w:szCs w:val="16"/>
          <w:lang w:val="es-CO"/>
        </w:rPr>
        <w:t xml:space="preserve"> 189. Citando. Caso de la Corte Suprema de Justicia (Quintana Coello y otros) Vs. Ecuador, párr. 173, y Caso del Tribunal Constitucional (Camba Campos y otros) Vs. Ecuador, párr. 210.</w:t>
      </w:r>
      <w:r w:rsidRPr="00B97F15">
        <w:rPr>
          <w:rFonts w:asciiTheme="majorHAnsi" w:hAnsiTheme="majorHAnsi" w:cs="Arial"/>
          <w:sz w:val="16"/>
          <w:szCs w:val="16"/>
          <w:lang w:val="es-CO" w:eastAsia="de-DE"/>
        </w:rPr>
        <w:t xml:space="preserve"> </w:t>
      </w:r>
    </w:p>
  </w:footnote>
  <w:footnote w:id="165">
    <w:p w14:paraId="44BE81ED" w14:textId="56D830C7" w:rsidR="006B2D8F" w:rsidRPr="00B97F15" w:rsidRDefault="006B2D8F" w:rsidP="00BD4AA9">
      <w:pPr>
        <w:pStyle w:val="FootnoteText"/>
        <w:spacing w:after="120"/>
        <w:ind w:firstLine="720"/>
        <w:jc w:val="both"/>
        <w:rPr>
          <w:rFonts w:asciiTheme="majorHAnsi" w:hAnsiTheme="majorHAnsi"/>
          <w:sz w:val="16"/>
          <w:szCs w:val="16"/>
          <w:lang w:val="es-ES"/>
        </w:rPr>
      </w:pPr>
      <w:r w:rsidRPr="00B97F15">
        <w:rPr>
          <w:rStyle w:val="FootnoteReference"/>
          <w:rFonts w:asciiTheme="majorHAnsi" w:hAnsiTheme="majorHAnsi"/>
          <w:sz w:val="16"/>
          <w:szCs w:val="16"/>
        </w:rPr>
        <w:footnoteRef/>
      </w:r>
      <w:r w:rsidR="003C6160">
        <w:rPr>
          <w:rFonts w:asciiTheme="majorHAnsi" w:hAnsiTheme="majorHAnsi"/>
          <w:sz w:val="16"/>
          <w:szCs w:val="16"/>
          <w:lang w:val="es-ES"/>
        </w:rPr>
        <w:t xml:space="preserve"> Corte IDH,</w:t>
      </w:r>
      <w:r w:rsidRPr="00B97F15">
        <w:rPr>
          <w:rFonts w:asciiTheme="majorHAnsi" w:hAnsiTheme="majorHAnsi"/>
          <w:sz w:val="16"/>
          <w:szCs w:val="16"/>
          <w:lang w:val="es-ES"/>
        </w:rPr>
        <w:t xml:space="preserve"> </w:t>
      </w:r>
      <w:r w:rsidRPr="00B97F15">
        <w:rPr>
          <w:rFonts w:asciiTheme="majorHAnsi" w:hAnsiTheme="majorHAnsi"/>
          <w:bCs/>
          <w:sz w:val="16"/>
          <w:szCs w:val="16"/>
          <w:lang w:val="es-ES"/>
        </w:rPr>
        <w:t xml:space="preserve">Condición Jurídica y Derechos Humanos del Niño. Opinión Consultiva OC-17/02 del 28 de agosto de 2002. </w:t>
      </w:r>
      <w:r w:rsidRPr="00B97F15">
        <w:rPr>
          <w:rFonts w:asciiTheme="majorHAnsi" w:hAnsiTheme="majorHAnsi"/>
          <w:sz w:val="16"/>
          <w:szCs w:val="16"/>
          <w:lang w:val="es-ES"/>
        </w:rPr>
        <w:t>Serie A No. 17, párr. 46.</w:t>
      </w:r>
    </w:p>
  </w:footnote>
  <w:footnote w:id="166">
    <w:p w14:paraId="5B8B37B7" w14:textId="69CFA25F" w:rsidR="006B2D8F" w:rsidRPr="00B97F15" w:rsidRDefault="006B2D8F" w:rsidP="00BD4AA9">
      <w:pPr>
        <w:autoSpaceDE w:val="0"/>
        <w:autoSpaceDN w:val="0"/>
        <w:adjustRightInd w:val="0"/>
        <w:spacing w:after="120"/>
        <w:ind w:firstLine="720"/>
        <w:jc w:val="both"/>
        <w:rPr>
          <w:rFonts w:asciiTheme="majorHAnsi" w:hAnsiTheme="majorHAnsi"/>
          <w:sz w:val="16"/>
          <w:szCs w:val="16"/>
          <w:lang w:val="es-ES"/>
        </w:rPr>
      </w:pPr>
      <w:r w:rsidRPr="00B97F15">
        <w:rPr>
          <w:rStyle w:val="FootnoteReference"/>
          <w:rFonts w:asciiTheme="majorHAnsi" w:hAnsiTheme="majorHAnsi"/>
          <w:sz w:val="16"/>
          <w:szCs w:val="16"/>
        </w:rPr>
        <w:footnoteRef/>
      </w:r>
      <w:r w:rsidRPr="00B97F15">
        <w:rPr>
          <w:rFonts w:asciiTheme="majorHAnsi" w:hAnsiTheme="majorHAnsi"/>
          <w:sz w:val="16"/>
          <w:szCs w:val="16"/>
          <w:lang w:val="es-ES"/>
        </w:rPr>
        <w:t xml:space="preserve"> Corte IDH, </w:t>
      </w:r>
      <w:r w:rsidRPr="00B97F15">
        <w:rPr>
          <w:rFonts w:asciiTheme="majorHAnsi" w:hAnsiTheme="majorHAnsi"/>
          <w:bCs/>
          <w:sz w:val="16"/>
          <w:szCs w:val="16"/>
          <w:lang w:val="es-ES"/>
        </w:rPr>
        <w:t xml:space="preserve">Caso Castañeda </w:t>
      </w:r>
      <w:proofErr w:type="spellStart"/>
      <w:r w:rsidRPr="00B97F15">
        <w:rPr>
          <w:rFonts w:asciiTheme="majorHAnsi" w:hAnsiTheme="majorHAnsi"/>
          <w:bCs/>
          <w:sz w:val="16"/>
          <w:szCs w:val="16"/>
          <w:lang w:val="es-ES"/>
        </w:rPr>
        <w:t>Gutman</w:t>
      </w:r>
      <w:proofErr w:type="spellEnd"/>
      <w:r w:rsidRPr="00B97F15">
        <w:rPr>
          <w:rFonts w:asciiTheme="majorHAnsi" w:hAnsiTheme="majorHAnsi"/>
          <w:bCs/>
          <w:sz w:val="16"/>
          <w:szCs w:val="16"/>
          <w:lang w:val="es-ES"/>
        </w:rPr>
        <w:t xml:space="preserve"> Vs. México.</w:t>
      </w:r>
      <w:r w:rsidRPr="00B97F15">
        <w:rPr>
          <w:rFonts w:asciiTheme="majorHAnsi" w:hAnsiTheme="majorHAnsi"/>
          <w:b/>
          <w:bCs/>
          <w:sz w:val="16"/>
          <w:szCs w:val="16"/>
          <w:lang w:val="es-ES"/>
        </w:rPr>
        <w:t xml:space="preserve"> </w:t>
      </w:r>
      <w:r w:rsidRPr="00B97F15">
        <w:rPr>
          <w:rFonts w:asciiTheme="majorHAnsi" w:hAnsiTheme="majorHAnsi"/>
          <w:sz w:val="16"/>
          <w:szCs w:val="16"/>
          <w:lang w:val="es-ES"/>
        </w:rPr>
        <w:t xml:space="preserve">Excepciones Preliminares, Fondo, Reparaciones y Costas. Sentencia de 6 de agosto de 2008. Serie C No. 184, párr. 211 citando </w:t>
      </w:r>
      <w:r w:rsidRPr="00B97F15">
        <w:rPr>
          <w:rFonts w:asciiTheme="majorHAnsi" w:hAnsiTheme="majorHAnsi"/>
          <w:color w:val="000000"/>
          <w:sz w:val="16"/>
          <w:szCs w:val="16"/>
          <w:lang w:val="es-ES_tradnl"/>
        </w:rPr>
        <w:t xml:space="preserve">Corte I.D.H., Condición Jurídica y Derechos de los Migrantes Indocumentados. </w:t>
      </w:r>
      <w:r w:rsidRPr="00B97F15">
        <w:rPr>
          <w:rFonts w:asciiTheme="majorHAnsi" w:hAnsiTheme="majorHAnsi"/>
          <w:sz w:val="16"/>
          <w:szCs w:val="16"/>
          <w:lang w:val="es-ES_tradnl"/>
        </w:rPr>
        <w:t>Opinión Consultiva OC-18/03 de 17 de septiembre de 2003, Serie A No. 18</w:t>
      </w:r>
      <w:r w:rsidRPr="00B97F15">
        <w:rPr>
          <w:rFonts w:asciiTheme="majorHAnsi" w:hAnsiTheme="majorHAnsi"/>
          <w:iCs/>
          <w:sz w:val="16"/>
          <w:szCs w:val="16"/>
          <w:lang w:val="es-ES_tradnl"/>
        </w:rPr>
        <w:t xml:space="preserve">, </w:t>
      </w:r>
      <w:r w:rsidRPr="00B97F15">
        <w:rPr>
          <w:rFonts w:asciiTheme="majorHAnsi" w:hAnsiTheme="majorHAnsi"/>
          <w:color w:val="000000"/>
          <w:sz w:val="16"/>
          <w:szCs w:val="16"/>
          <w:lang w:val="es-ES_tradnl"/>
        </w:rPr>
        <w:t>párr. 84.</w:t>
      </w:r>
    </w:p>
  </w:footnote>
  <w:footnote w:id="167">
    <w:p w14:paraId="20CCC88B" w14:textId="0F5F596D" w:rsidR="006B2D8F" w:rsidRPr="00B97F15" w:rsidRDefault="006B2D8F" w:rsidP="00BD4AA9">
      <w:pPr>
        <w:pStyle w:val="FootnoteText"/>
        <w:spacing w:after="120"/>
        <w:ind w:firstLine="720"/>
        <w:jc w:val="both"/>
        <w:rPr>
          <w:rFonts w:asciiTheme="majorHAnsi" w:hAnsiTheme="majorHAnsi"/>
          <w:sz w:val="16"/>
          <w:szCs w:val="16"/>
          <w:lang w:val="es-ES"/>
        </w:rPr>
      </w:pPr>
      <w:r w:rsidRPr="00B97F15">
        <w:rPr>
          <w:rStyle w:val="FootnoteReference"/>
          <w:rFonts w:asciiTheme="majorHAnsi" w:hAnsiTheme="majorHAnsi"/>
          <w:sz w:val="16"/>
          <w:szCs w:val="16"/>
        </w:rPr>
        <w:footnoteRef/>
      </w:r>
      <w:r w:rsidR="003C6160">
        <w:rPr>
          <w:rFonts w:asciiTheme="majorHAnsi" w:hAnsiTheme="majorHAnsi"/>
          <w:sz w:val="16"/>
          <w:szCs w:val="16"/>
          <w:lang w:val="es-ES"/>
        </w:rPr>
        <w:t xml:space="preserve"> Corte IDH,</w:t>
      </w:r>
      <w:r w:rsidRPr="00B97F15">
        <w:rPr>
          <w:rFonts w:asciiTheme="majorHAnsi" w:hAnsiTheme="majorHAnsi"/>
          <w:sz w:val="16"/>
          <w:szCs w:val="16"/>
          <w:lang w:val="es-ES"/>
        </w:rPr>
        <w:t xml:space="preserve"> </w:t>
      </w:r>
      <w:r w:rsidRPr="00B97F15">
        <w:rPr>
          <w:rFonts w:asciiTheme="majorHAnsi" w:hAnsiTheme="majorHAnsi"/>
          <w:bCs/>
          <w:sz w:val="16"/>
          <w:szCs w:val="16"/>
          <w:lang w:val="es-ES"/>
        </w:rPr>
        <w:t xml:space="preserve">Caso </w:t>
      </w:r>
      <w:proofErr w:type="spellStart"/>
      <w:r w:rsidRPr="00B97F15">
        <w:rPr>
          <w:rFonts w:asciiTheme="majorHAnsi" w:hAnsiTheme="majorHAnsi"/>
          <w:bCs/>
          <w:sz w:val="16"/>
          <w:szCs w:val="16"/>
          <w:lang w:val="es-ES"/>
        </w:rPr>
        <w:t>Atala</w:t>
      </w:r>
      <w:proofErr w:type="spellEnd"/>
      <w:r w:rsidRPr="00B97F15">
        <w:rPr>
          <w:rFonts w:asciiTheme="majorHAnsi" w:hAnsiTheme="majorHAnsi"/>
          <w:bCs/>
          <w:sz w:val="16"/>
          <w:szCs w:val="16"/>
          <w:lang w:val="es-ES"/>
        </w:rPr>
        <w:t xml:space="preserve"> </w:t>
      </w:r>
      <w:proofErr w:type="spellStart"/>
      <w:r w:rsidRPr="00B97F15">
        <w:rPr>
          <w:rFonts w:asciiTheme="majorHAnsi" w:hAnsiTheme="majorHAnsi"/>
          <w:bCs/>
          <w:sz w:val="16"/>
          <w:szCs w:val="16"/>
          <w:lang w:val="es-ES"/>
        </w:rPr>
        <w:t>Riffo</w:t>
      </w:r>
      <w:proofErr w:type="spellEnd"/>
      <w:r w:rsidRPr="00B97F15">
        <w:rPr>
          <w:rFonts w:asciiTheme="majorHAnsi" w:hAnsiTheme="majorHAnsi"/>
          <w:bCs/>
          <w:sz w:val="16"/>
          <w:szCs w:val="16"/>
          <w:lang w:val="es-ES"/>
        </w:rPr>
        <w:t xml:space="preserve"> y Niñas Vs. Chile.</w:t>
      </w:r>
      <w:r w:rsidRPr="00B97F15">
        <w:rPr>
          <w:rFonts w:asciiTheme="majorHAnsi" w:hAnsiTheme="majorHAnsi"/>
          <w:b/>
          <w:bCs/>
          <w:sz w:val="16"/>
          <w:szCs w:val="16"/>
          <w:lang w:val="es-ES"/>
        </w:rPr>
        <w:t xml:space="preserve"> </w:t>
      </w:r>
      <w:r w:rsidRPr="00B97F15">
        <w:rPr>
          <w:rFonts w:asciiTheme="majorHAnsi" w:hAnsiTheme="majorHAnsi"/>
          <w:sz w:val="16"/>
          <w:szCs w:val="16"/>
          <w:lang w:val="es-ES"/>
        </w:rPr>
        <w:t>Fondo, Reparaciones y Costas. Sentencia del 24 de febrero de 2012. Serie C No. 239, párr. 85.</w:t>
      </w:r>
    </w:p>
  </w:footnote>
  <w:footnote w:id="168">
    <w:p w14:paraId="6B363537" w14:textId="77777777" w:rsidR="006B2D8F" w:rsidRPr="00B97F15" w:rsidRDefault="006B2D8F" w:rsidP="00BD4AA9">
      <w:pPr>
        <w:pStyle w:val="FootnoteText"/>
        <w:spacing w:after="120"/>
        <w:ind w:firstLine="720"/>
        <w:jc w:val="both"/>
        <w:rPr>
          <w:rFonts w:asciiTheme="majorHAnsi" w:hAnsiTheme="majorHAnsi"/>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ES"/>
        </w:rPr>
        <w:t xml:space="preserve"> Cfr. CIDH, Demanda ante la Corte I.D.H. en el caso Karen </w:t>
      </w:r>
      <w:proofErr w:type="spellStart"/>
      <w:r w:rsidRPr="00B97F15">
        <w:rPr>
          <w:rFonts w:asciiTheme="majorHAnsi" w:hAnsiTheme="majorHAnsi"/>
          <w:sz w:val="16"/>
          <w:szCs w:val="16"/>
          <w:lang w:val="es-ES"/>
        </w:rPr>
        <w:t>Atala</w:t>
      </w:r>
      <w:proofErr w:type="spellEnd"/>
      <w:r w:rsidRPr="00B97F15">
        <w:rPr>
          <w:rFonts w:asciiTheme="majorHAnsi" w:hAnsiTheme="majorHAnsi"/>
          <w:sz w:val="16"/>
          <w:szCs w:val="16"/>
          <w:lang w:val="es-ES"/>
        </w:rPr>
        <w:t xml:space="preserve"> e Hijas contra el Estado de Chile, 17 de septiembre de 2010, párr. </w:t>
      </w:r>
      <w:r w:rsidRPr="00B97F15">
        <w:rPr>
          <w:rFonts w:asciiTheme="majorHAnsi" w:hAnsiTheme="majorHAnsi"/>
          <w:sz w:val="16"/>
          <w:szCs w:val="16"/>
          <w:lang w:val="es-CO"/>
        </w:rPr>
        <w:t xml:space="preserve">88, disponible en: </w:t>
      </w:r>
      <w:hyperlink r:id="rId54" w:history="1">
        <w:r w:rsidRPr="00B97F15">
          <w:rPr>
            <w:rStyle w:val="Hyperlink"/>
            <w:rFonts w:asciiTheme="majorHAnsi" w:hAnsiTheme="majorHAnsi"/>
            <w:sz w:val="16"/>
            <w:szCs w:val="16"/>
            <w:u w:val="none"/>
            <w:lang w:val="es-CO"/>
          </w:rPr>
          <w:t>http://www.cidh.oas.org/demandas/12.502SP.pdf</w:t>
        </w:r>
      </w:hyperlink>
      <w:r w:rsidRPr="00B97F15">
        <w:rPr>
          <w:rFonts w:asciiTheme="majorHAnsi" w:hAnsiTheme="majorHAnsi"/>
          <w:sz w:val="16"/>
          <w:szCs w:val="16"/>
          <w:lang w:val="es-CO"/>
        </w:rPr>
        <w:t>.</w:t>
      </w:r>
    </w:p>
  </w:footnote>
  <w:footnote w:id="169">
    <w:p w14:paraId="6ECAB05E" w14:textId="4A39410B" w:rsidR="006B2D8F" w:rsidRPr="00B97F15" w:rsidRDefault="006B2D8F" w:rsidP="00BD4AA9">
      <w:pPr>
        <w:pStyle w:val="FootnoteText"/>
        <w:spacing w:after="120"/>
        <w:ind w:firstLine="720"/>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Corte IDH, Caso </w:t>
      </w:r>
      <w:proofErr w:type="spellStart"/>
      <w:r w:rsidRPr="00B97F15">
        <w:rPr>
          <w:rFonts w:asciiTheme="majorHAnsi" w:hAnsiTheme="majorHAnsi"/>
          <w:sz w:val="16"/>
          <w:szCs w:val="16"/>
          <w:lang w:val="es-VE"/>
        </w:rPr>
        <w:t>Granier</w:t>
      </w:r>
      <w:proofErr w:type="spellEnd"/>
      <w:r w:rsidRPr="00B97F15">
        <w:rPr>
          <w:rFonts w:asciiTheme="majorHAnsi" w:hAnsiTheme="majorHAnsi"/>
          <w:sz w:val="16"/>
          <w:szCs w:val="16"/>
          <w:lang w:val="es-VE"/>
        </w:rPr>
        <w:t xml:space="preserve"> y otros (Radio Caracas Televisión) vs. Venezuela. Excepciones Preliminares, Fondo, Reparaciones y Costas. Sentencia de 22 de julio de 2015. Serie C No. 293, párr. 223-227.</w:t>
      </w:r>
    </w:p>
  </w:footnote>
  <w:footnote w:id="170">
    <w:p w14:paraId="19A46C14" w14:textId="12155147" w:rsidR="006B2D8F" w:rsidRPr="00B97F15" w:rsidRDefault="006B2D8F" w:rsidP="00BD4AA9">
      <w:pPr>
        <w:pStyle w:val="FootnoteText"/>
        <w:spacing w:after="120"/>
        <w:ind w:firstLine="720"/>
        <w:jc w:val="both"/>
        <w:rPr>
          <w:rFonts w:asciiTheme="majorHAnsi" w:hAnsiTheme="majorHAnsi"/>
          <w:sz w:val="16"/>
          <w:szCs w:val="16"/>
          <w:lang w:val="es-ES"/>
        </w:rPr>
      </w:pPr>
      <w:r w:rsidRPr="00B97F15">
        <w:rPr>
          <w:rStyle w:val="FootnoteReference"/>
          <w:rFonts w:asciiTheme="majorHAnsi" w:hAnsiTheme="majorHAnsi"/>
          <w:sz w:val="16"/>
          <w:szCs w:val="16"/>
        </w:rPr>
        <w:footnoteRef/>
      </w:r>
      <w:r w:rsidRPr="00B97F15">
        <w:rPr>
          <w:rFonts w:asciiTheme="majorHAnsi" w:hAnsiTheme="majorHAnsi"/>
          <w:sz w:val="16"/>
          <w:szCs w:val="16"/>
          <w:lang w:val="es-ES"/>
        </w:rPr>
        <w:t xml:space="preserve"> Cfr</w:t>
      </w:r>
      <w:r w:rsidR="003C6160">
        <w:rPr>
          <w:rFonts w:asciiTheme="majorHAnsi" w:hAnsiTheme="majorHAnsi"/>
          <w:sz w:val="16"/>
          <w:szCs w:val="16"/>
          <w:lang w:val="es-ES"/>
        </w:rPr>
        <w:t>. CIDH, Demanda ante la Corte IDH</w:t>
      </w:r>
      <w:r w:rsidRPr="00B97F15">
        <w:rPr>
          <w:rFonts w:asciiTheme="majorHAnsi" w:hAnsiTheme="majorHAnsi"/>
          <w:sz w:val="16"/>
          <w:szCs w:val="16"/>
          <w:lang w:val="es-ES"/>
        </w:rPr>
        <w:t xml:space="preserve"> en el caso Karen </w:t>
      </w:r>
      <w:proofErr w:type="spellStart"/>
      <w:r w:rsidRPr="00B97F15">
        <w:rPr>
          <w:rFonts w:asciiTheme="majorHAnsi" w:hAnsiTheme="majorHAnsi"/>
          <w:sz w:val="16"/>
          <w:szCs w:val="16"/>
          <w:lang w:val="es-ES"/>
        </w:rPr>
        <w:t>Atala</w:t>
      </w:r>
      <w:proofErr w:type="spellEnd"/>
      <w:r w:rsidRPr="00B97F15">
        <w:rPr>
          <w:rFonts w:asciiTheme="majorHAnsi" w:hAnsiTheme="majorHAnsi"/>
          <w:sz w:val="16"/>
          <w:szCs w:val="16"/>
          <w:lang w:val="es-ES"/>
        </w:rPr>
        <w:t xml:space="preserve"> e Hijas contra el Estado de Chile, 17 de septiembre de 2010, párr. 89, disponible en: </w:t>
      </w:r>
      <w:hyperlink r:id="rId55" w:history="1">
        <w:r w:rsidRPr="00B97F15">
          <w:rPr>
            <w:rStyle w:val="Hyperlink"/>
            <w:rFonts w:asciiTheme="majorHAnsi" w:hAnsiTheme="majorHAnsi"/>
            <w:sz w:val="16"/>
            <w:szCs w:val="16"/>
            <w:u w:val="none"/>
            <w:lang w:val="es-ES"/>
          </w:rPr>
          <w:t>http://www.cidh.oas.org/demandas/12.502SP.pdf</w:t>
        </w:r>
      </w:hyperlink>
      <w:r w:rsidRPr="00B97F15">
        <w:rPr>
          <w:rFonts w:asciiTheme="majorHAnsi" w:hAnsiTheme="majorHAnsi"/>
          <w:sz w:val="16"/>
          <w:szCs w:val="16"/>
          <w:lang w:val="es-ES"/>
        </w:rPr>
        <w:t>.</w:t>
      </w:r>
    </w:p>
  </w:footnote>
  <w:footnote w:id="171">
    <w:p w14:paraId="75034F7A" w14:textId="399A4C0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En el Caso del General Gallardo, la Comisión Interamericana resaltó que "toda actividad administrativa debe dirigirse a la consecución de un fin, determinado siempre, expresa o tácitamente (y, por tanto, elemento necesariamente reglado), por la norma que atribuye la potestad para actuar. Si la autoridad u órgano de la Administración se apartan de ese fin que condiciona el ejercicio de su competencia, el acto o la decisión que adopten en consideración a un fin distinto deja de ser legítimo...".  Asimismo, el autor </w:t>
      </w:r>
      <w:proofErr w:type="spellStart"/>
      <w:r w:rsidRPr="00B97F15">
        <w:rPr>
          <w:rFonts w:asciiTheme="majorHAnsi" w:hAnsiTheme="majorHAnsi"/>
          <w:sz w:val="16"/>
          <w:szCs w:val="16"/>
          <w:lang w:val="es-VE"/>
        </w:rPr>
        <w:t>Alibert</w:t>
      </w:r>
      <w:proofErr w:type="spellEnd"/>
      <w:r w:rsidRPr="00B97F15">
        <w:rPr>
          <w:rFonts w:asciiTheme="majorHAnsi" w:hAnsiTheme="majorHAnsi"/>
          <w:sz w:val="16"/>
          <w:szCs w:val="16"/>
          <w:lang w:val="es-VE"/>
        </w:rPr>
        <w:t xml:space="preserve"> ha dicho que "la desviación de poder es el hecho del agente administrativo, que realizando un acto de su competencia y respetando las formas impuestas por la legislación, usa de su poder en casos, por motivos y para fines distintos de aquellos en vista de los cuales este poder le ha sido conferido. La desviación de poder es un abuso de mandato, un abuso de derecho. Puede un acto administrativo haber sido realizado por el funcionario competente con todas las apariencias de regularidad y, sin embargo, este acto discrecional realizado, que el funcionario cualificado tenía el derecho estricto de realizar, puede estar afectado de ilegalidad si su autor ha usado de sus poderes para un fin distinto de aquel en vista del cual le han sido conferidos, o, para retener la fórmula de la jurisprudencia, para un fin distinto que el interés general o el bien del servicio".  (L)a Comisión estima que si bien en principio el General Gallardo fue aprehendido luego de ser dictada la respectiva orden de detención por un Tribunal competente, es evidente que dicha potestad pública fue utilizada para fines distintos a los establecidos en el ordenamiento jurídico mexicano, configurándose así una desviación de poder, mediante actos sucesivos y encadenados, tendientes a privar de su libertad personal al General José Francisco Gallardo, a través de actos con apariencia legal. Por lo cual, dicha conducta de las autoridades militares mexicanas determine una utilización de las formas jurídicas para conseguir un fin distinto al establecido en el ordenamiento jurídico, cual es la privación indebida de la libertad mediante actos que revisten una formalidad legal.  CIDH, Informe No. 43/96, Caso 11.430, México, 15 de octubre de 1996.</w:t>
      </w:r>
    </w:p>
  </w:footnote>
  <w:footnote w:id="172">
    <w:p w14:paraId="1B0CE6D8" w14:textId="7D60C717" w:rsidR="006B2D8F" w:rsidRPr="00B97F15" w:rsidRDefault="006B2D8F" w:rsidP="00BD4AA9">
      <w:pPr>
        <w:pStyle w:val="NormalWeb"/>
        <w:spacing w:before="0" w:beforeAutospacing="0" w:after="120" w:afterAutospacing="0"/>
        <w:ind w:firstLine="720"/>
        <w:jc w:val="both"/>
        <w:rPr>
          <w:rFonts w:asciiTheme="majorHAnsi" w:eastAsia="Arial Unicode MS"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ES_tradnl"/>
        </w:rPr>
        <w:t xml:space="preserve"> Corte IDH, Caso Baena Ricardo  y otros vs </w:t>
      </w:r>
      <w:r w:rsidR="006E50BE" w:rsidRPr="00B97F15">
        <w:rPr>
          <w:rFonts w:asciiTheme="majorHAnsi" w:hAnsiTheme="majorHAnsi"/>
          <w:sz w:val="16"/>
          <w:szCs w:val="16"/>
          <w:lang w:val="es-ES_tradnl"/>
        </w:rPr>
        <w:t>Panamá</w:t>
      </w:r>
      <w:r w:rsidRPr="00B97F15">
        <w:rPr>
          <w:rFonts w:asciiTheme="majorHAnsi" w:hAnsiTheme="majorHAnsi"/>
          <w:sz w:val="16"/>
          <w:szCs w:val="16"/>
          <w:lang w:val="es-ES_tradnl"/>
        </w:rPr>
        <w:t xml:space="preserve">,  Fondo, Reparaciones y  Costas. Sentencia de 2 de febrero de 2001. Serie C No. 72. Párr. 124; </w:t>
      </w:r>
      <w:r w:rsidRPr="00B97F15">
        <w:rPr>
          <w:rFonts w:asciiTheme="majorHAnsi" w:eastAsia="Arial Unicode MS" w:hAnsiTheme="majorHAnsi"/>
          <w:sz w:val="16"/>
          <w:szCs w:val="16"/>
          <w:lang w:val="es-VE"/>
        </w:rPr>
        <w:t xml:space="preserve">CIDH. </w:t>
      </w:r>
      <w:r w:rsidRPr="00B97F15">
        <w:rPr>
          <w:rFonts w:asciiTheme="majorHAnsi" w:eastAsia="Arial Unicode MS" w:hAnsiTheme="majorHAnsi"/>
          <w:iCs/>
          <w:sz w:val="16"/>
          <w:szCs w:val="16"/>
          <w:lang w:val="es-VE"/>
        </w:rPr>
        <w:t xml:space="preserve">Caso 12.600 Hugo Quintana Coello y otros (Corte Suprema de Justicia) respecto de Ecuador (Fondo), </w:t>
      </w:r>
      <w:r w:rsidRPr="00B97F15">
        <w:rPr>
          <w:rFonts w:asciiTheme="majorHAnsi" w:eastAsia="Arial Unicode MS" w:hAnsiTheme="majorHAnsi"/>
          <w:sz w:val="16"/>
          <w:szCs w:val="16"/>
          <w:lang w:val="es-VE"/>
        </w:rPr>
        <w:t xml:space="preserve">2 de agosto de 2011, </w:t>
      </w:r>
      <w:proofErr w:type="spellStart"/>
      <w:r w:rsidRPr="00B97F15">
        <w:rPr>
          <w:rFonts w:asciiTheme="majorHAnsi" w:eastAsia="Arial Unicode MS" w:hAnsiTheme="majorHAnsi"/>
          <w:sz w:val="16"/>
          <w:szCs w:val="16"/>
          <w:lang w:val="es-VE"/>
        </w:rPr>
        <w:t>párr</w:t>
      </w:r>
      <w:proofErr w:type="spellEnd"/>
      <w:r w:rsidRPr="00B97F15">
        <w:rPr>
          <w:rFonts w:asciiTheme="majorHAnsi" w:eastAsia="Arial Unicode MS" w:hAnsiTheme="majorHAnsi"/>
          <w:sz w:val="16"/>
          <w:szCs w:val="16"/>
          <w:lang w:val="es-VE"/>
        </w:rPr>
        <w:t>. 100.</w:t>
      </w:r>
    </w:p>
  </w:footnote>
  <w:footnote w:id="173">
    <w:p w14:paraId="5900B91F" w14:textId="0126257C" w:rsidR="006B2D8F" w:rsidRPr="00B97F15" w:rsidRDefault="006B2D8F" w:rsidP="00BD4AA9">
      <w:pPr>
        <w:pStyle w:val="FootnoteText"/>
        <w:tabs>
          <w:tab w:val="left" w:pos="1080"/>
        </w:tabs>
        <w:spacing w:after="120"/>
        <w:ind w:firstLine="720"/>
        <w:rPr>
          <w:rFonts w:asciiTheme="majorHAnsi" w:hAnsiTheme="majorHAnsi"/>
          <w:sz w:val="16"/>
          <w:szCs w:val="16"/>
          <w:lang w:val="es-CO"/>
        </w:rPr>
      </w:pPr>
      <w:r w:rsidRPr="00B97F15">
        <w:rPr>
          <w:rStyle w:val="FootnoteReference"/>
          <w:rFonts w:asciiTheme="majorHAnsi" w:hAnsiTheme="majorHAnsi"/>
          <w:sz w:val="16"/>
          <w:szCs w:val="16"/>
        </w:rPr>
        <w:footnoteRef/>
      </w:r>
      <w:r w:rsidR="003C6160">
        <w:rPr>
          <w:rFonts w:asciiTheme="majorHAnsi" w:hAnsiTheme="majorHAnsi"/>
          <w:sz w:val="16"/>
          <w:szCs w:val="16"/>
          <w:lang w:val="es-CO"/>
        </w:rPr>
        <w:t xml:space="preserve"> Corte IDH</w:t>
      </w:r>
      <w:r w:rsidRPr="00B97F15">
        <w:rPr>
          <w:rFonts w:asciiTheme="majorHAnsi" w:hAnsiTheme="majorHAnsi"/>
          <w:sz w:val="16"/>
          <w:szCs w:val="16"/>
          <w:lang w:val="es-CO"/>
        </w:rPr>
        <w:t xml:space="preserve">, </w:t>
      </w:r>
      <w:r w:rsidRPr="00B97F15">
        <w:rPr>
          <w:rFonts w:asciiTheme="majorHAnsi" w:hAnsiTheme="majorHAnsi"/>
          <w:bCs/>
          <w:sz w:val="16"/>
          <w:szCs w:val="16"/>
          <w:lang w:val="es-CO"/>
        </w:rPr>
        <w:t xml:space="preserve">Caso Claude Reyes. </w:t>
      </w:r>
      <w:r w:rsidRPr="00B97F15">
        <w:rPr>
          <w:rFonts w:asciiTheme="majorHAnsi" w:hAnsiTheme="majorHAnsi"/>
          <w:sz w:val="16"/>
          <w:szCs w:val="16"/>
          <w:lang w:val="es-CO"/>
        </w:rPr>
        <w:t xml:space="preserve">Sentencia de 19 de septiembre de 2006. Serie C No. 151. Párr. 129; Corte I.D.H., </w:t>
      </w:r>
      <w:r w:rsidRPr="00B97F15">
        <w:rPr>
          <w:rFonts w:asciiTheme="majorHAnsi" w:hAnsiTheme="majorHAnsi"/>
          <w:bCs/>
          <w:sz w:val="16"/>
          <w:szCs w:val="16"/>
          <w:lang w:val="es-CO"/>
        </w:rPr>
        <w:t xml:space="preserve">Caso García </w:t>
      </w:r>
      <w:proofErr w:type="spellStart"/>
      <w:r w:rsidRPr="00B97F15">
        <w:rPr>
          <w:rFonts w:asciiTheme="majorHAnsi" w:hAnsiTheme="majorHAnsi"/>
          <w:bCs/>
          <w:sz w:val="16"/>
          <w:szCs w:val="16"/>
          <w:lang w:val="es-CO"/>
        </w:rPr>
        <w:t>Asto</w:t>
      </w:r>
      <w:proofErr w:type="spellEnd"/>
      <w:r w:rsidRPr="00B97F15">
        <w:rPr>
          <w:rFonts w:asciiTheme="majorHAnsi" w:hAnsiTheme="majorHAnsi"/>
          <w:bCs/>
          <w:sz w:val="16"/>
          <w:szCs w:val="16"/>
          <w:lang w:val="es-CO"/>
        </w:rPr>
        <w:t xml:space="preserve"> y Ramírez Rojas. </w:t>
      </w:r>
      <w:r w:rsidRPr="00B97F15">
        <w:rPr>
          <w:rFonts w:asciiTheme="majorHAnsi" w:hAnsiTheme="majorHAnsi"/>
          <w:sz w:val="16"/>
          <w:szCs w:val="16"/>
          <w:lang w:val="es-CO"/>
        </w:rPr>
        <w:t xml:space="preserve">Sentencia de 25 de noviembre de 2005. Serie C No. 137. Párr. 113; Corte I.D.H., </w:t>
      </w:r>
      <w:r w:rsidRPr="00B97F15">
        <w:rPr>
          <w:rFonts w:asciiTheme="majorHAnsi" w:hAnsiTheme="majorHAnsi"/>
          <w:bCs/>
          <w:sz w:val="16"/>
          <w:szCs w:val="16"/>
          <w:lang w:val="es-CO"/>
        </w:rPr>
        <w:t xml:space="preserve">Caso </w:t>
      </w:r>
      <w:proofErr w:type="spellStart"/>
      <w:r w:rsidRPr="00B97F15">
        <w:rPr>
          <w:rFonts w:asciiTheme="majorHAnsi" w:hAnsiTheme="majorHAnsi"/>
          <w:bCs/>
          <w:sz w:val="16"/>
          <w:szCs w:val="16"/>
          <w:lang w:val="es-CO"/>
        </w:rPr>
        <w:t>Palamara</w:t>
      </w:r>
      <w:proofErr w:type="spellEnd"/>
      <w:r w:rsidRPr="00B97F15">
        <w:rPr>
          <w:rFonts w:asciiTheme="majorHAnsi" w:hAnsiTheme="majorHAnsi"/>
          <w:bCs/>
          <w:sz w:val="16"/>
          <w:szCs w:val="16"/>
          <w:lang w:val="es-CO"/>
        </w:rPr>
        <w:t xml:space="preserve"> Iribarne. </w:t>
      </w:r>
      <w:r w:rsidRPr="00B97F15">
        <w:rPr>
          <w:rFonts w:asciiTheme="majorHAnsi" w:hAnsiTheme="majorHAnsi"/>
          <w:sz w:val="16"/>
          <w:szCs w:val="16"/>
          <w:lang w:val="es-CO"/>
        </w:rPr>
        <w:t xml:space="preserve">Sentencia de 22 de noviembre de 2005. Serie C No. 135. Párr. </w:t>
      </w:r>
      <w:r w:rsidRPr="00B97F15">
        <w:rPr>
          <w:rFonts w:asciiTheme="majorHAnsi" w:hAnsiTheme="majorHAnsi"/>
          <w:sz w:val="16"/>
          <w:szCs w:val="16"/>
          <w:lang w:val="es-CR"/>
        </w:rPr>
        <w:t>183</w:t>
      </w:r>
      <w:r w:rsidRPr="00B97F15">
        <w:rPr>
          <w:rFonts w:asciiTheme="majorHAnsi" w:hAnsiTheme="majorHAnsi"/>
          <w:iCs/>
          <w:sz w:val="16"/>
          <w:szCs w:val="16"/>
          <w:lang w:val="es-CO"/>
        </w:rPr>
        <w:t>.</w:t>
      </w:r>
    </w:p>
  </w:footnote>
  <w:footnote w:id="174">
    <w:p w14:paraId="0BCAAD23" w14:textId="77777777" w:rsidR="006B2D8F" w:rsidRPr="00B97F15" w:rsidRDefault="006B2D8F" w:rsidP="00BD4AA9">
      <w:pPr>
        <w:pStyle w:val="NoSpacing"/>
        <w:numPr>
          <w:ilvl w:val="0"/>
          <w:numId w:val="0"/>
        </w:numPr>
        <w:spacing w:after="120"/>
        <w:ind w:firstLine="720"/>
        <w:jc w:val="both"/>
        <w:rPr>
          <w:rFonts w:asciiTheme="majorHAnsi" w:hAnsiTheme="majorHAnsi"/>
          <w:sz w:val="16"/>
          <w:szCs w:val="16"/>
        </w:rPr>
      </w:pPr>
      <w:r w:rsidRPr="00B97F15">
        <w:rPr>
          <w:rStyle w:val="FootnoteReference"/>
          <w:rFonts w:asciiTheme="majorHAnsi" w:hAnsiTheme="majorHAnsi"/>
          <w:sz w:val="16"/>
          <w:szCs w:val="16"/>
        </w:rPr>
        <w:footnoteRef/>
      </w:r>
      <w:r w:rsidRPr="00B97F15">
        <w:rPr>
          <w:rFonts w:asciiTheme="majorHAnsi" w:hAnsiTheme="majorHAnsi"/>
          <w:sz w:val="16"/>
          <w:szCs w:val="16"/>
        </w:rPr>
        <w:t xml:space="preserve"> Corte IDH, Caso Velásquez Rodríguez Vs. Honduras. Excepciones Preliminares. Sentencia de 26 de junio de 1987. Serie C No. 1, párr. 91; Caso Pueblo Indígena </w:t>
      </w:r>
      <w:proofErr w:type="spellStart"/>
      <w:r w:rsidRPr="00B97F15">
        <w:rPr>
          <w:rFonts w:asciiTheme="majorHAnsi" w:hAnsiTheme="majorHAnsi"/>
          <w:sz w:val="16"/>
          <w:szCs w:val="16"/>
        </w:rPr>
        <w:t>Kichwa</w:t>
      </w:r>
      <w:proofErr w:type="spellEnd"/>
      <w:r w:rsidRPr="00B97F15">
        <w:rPr>
          <w:rFonts w:asciiTheme="majorHAnsi" w:hAnsiTheme="majorHAnsi"/>
          <w:sz w:val="16"/>
          <w:szCs w:val="16"/>
        </w:rPr>
        <w:t xml:space="preserve"> de </w:t>
      </w:r>
      <w:proofErr w:type="spellStart"/>
      <w:r w:rsidRPr="00B97F15">
        <w:rPr>
          <w:rFonts w:asciiTheme="majorHAnsi" w:hAnsiTheme="majorHAnsi"/>
          <w:sz w:val="16"/>
          <w:szCs w:val="16"/>
        </w:rPr>
        <w:t>Sarayaku</w:t>
      </w:r>
      <w:proofErr w:type="spellEnd"/>
      <w:r w:rsidRPr="00B97F15">
        <w:rPr>
          <w:rFonts w:asciiTheme="majorHAnsi" w:hAnsiTheme="majorHAnsi"/>
          <w:sz w:val="16"/>
          <w:szCs w:val="16"/>
        </w:rPr>
        <w:t xml:space="preserve"> Vs. Ecuador. Fondo y reparaciones. Sentencia de 27 de junio de 2012. Serie C No. 245, párr. 260; y</w:t>
      </w:r>
      <w:r w:rsidRPr="00B97F15">
        <w:rPr>
          <w:rFonts w:asciiTheme="majorHAnsi" w:hAnsiTheme="majorHAnsi"/>
          <w:bCs/>
          <w:sz w:val="16"/>
          <w:szCs w:val="16"/>
          <w:lang w:bidi="en-US"/>
        </w:rPr>
        <w:t xml:space="preserve"> Caso de los Pueblos Indígenas Kuna de </w:t>
      </w:r>
      <w:proofErr w:type="spellStart"/>
      <w:r w:rsidRPr="00B97F15">
        <w:rPr>
          <w:rFonts w:asciiTheme="majorHAnsi" w:hAnsiTheme="majorHAnsi"/>
          <w:bCs/>
          <w:sz w:val="16"/>
          <w:szCs w:val="16"/>
          <w:lang w:bidi="en-US"/>
        </w:rPr>
        <w:t>Madungandí</w:t>
      </w:r>
      <w:proofErr w:type="spellEnd"/>
      <w:r w:rsidRPr="00B97F15">
        <w:rPr>
          <w:rFonts w:asciiTheme="majorHAnsi" w:hAnsiTheme="majorHAnsi"/>
          <w:bCs/>
          <w:sz w:val="16"/>
          <w:szCs w:val="16"/>
          <w:lang w:bidi="en-US"/>
        </w:rPr>
        <w:t xml:space="preserve"> y </w:t>
      </w:r>
      <w:proofErr w:type="spellStart"/>
      <w:r w:rsidRPr="00B97F15">
        <w:rPr>
          <w:rFonts w:asciiTheme="majorHAnsi" w:hAnsiTheme="majorHAnsi"/>
          <w:bCs/>
          <w:sz w:val="16"/>
          <w:szCs w:val="16"/>
          <w:lang w:bidi="en-US"/>
        </w:rPr>
        <w:t>Emberá</w:t>
      </w:r>
      <w:proofErr w:type="spellEnd"/>
      <w:r w:rsidRPr="00B97F15">
        <w:rPr>
          <w:rFonts w:asciiTheme="majorHAnsi" w:hAnsiTheme="majorHAnsi"/>
          <w:bCs/>
          <w:sz w:val="16"/>
          <w:szCs w:val="16"/>
          <w:lang w:bidi="en-US"/>
        </w:rPr>
        <w:t xml:space="preserve"> de Bayano y sus Miembros Vs. Panamá. Excepciones Preliminares, Fondo, Reparaciones y Costas. Sentencia de 14 de octubre de 2014. Serie C No. 284, párr. 165.</w:t>
      </w:r>
    </w:p>
  </w:footnote>
  <w:footnote w:id="175">
    <w:p w14:paraId="7960C724" w14:textId="00778E41" w:rsidR="006B2D8F" w:rsidRPr="00B97F15" w:rsidRDefault="006B2D8F" w:rsidP="00BD4AA9">
      <w:pPr>
        <w:pStyle w:val="FootnoteText"/>
        <w:tabs>
          <w:tab w:val="left" w:pos="360"/>
          <w:tab w:val="left" w:pos="720"/>
          <w:tab w:val="left" w:pos="900"/>
          <w:tab w:val="left" w:pos="1080"/>
        </w:tabs>
        <w:spacing w:after="120"/>
        <w:ind w:firstLine="720"/>
        <w:jc w:val="both"/>
        <w:rPr>
          <w:rFonts w:asciiTheme="majorHAnsi" w:hAnsiTheme="majorHAnsi"/>
          <w:sz w:val="16"/>
          <w:szCs w:val="16"/>
          <w:lang w:val="es-ES_tradnl"/>
        </w:rPr>
      </w:pPr>
      <w:r w:rsidRPr="00B97F15">
        <w:rPr>
          <w:rStyle w:val="FootnoteReference"/>
          <w:rFonts w:asciiTheme="majorHAnsi" w:hAnsiTheme="majorHAnsi"/>
          <w:sz w:val="16"/>
          <w:szCs w:val="16"/>
        </w:rPr>
        <w:footnoteRef/>
      </w:r>
      <w:r>
        <w:rPr>
          <w:rFonts w:asciiTheme="majorHAnsi" w:hAnsiTheme="majorHAnsi"/>
          <w:sz w:val="16"/>
          <w:szCs w:val="16"/>
          <w:lang w:val="es-ES_tradnl"/>
        </w:rPr>
        <w:t xml:space="preserve"> </w:t>
      </w:r>
      <w:r>
        <w:rPr>
          <w:rFonts w:asciiTheme="majorHAnsi" w:hAnsiTheme="majorHAnsi"/>
          <w:sz w:val="16"/>
          <w:szCs w:val="16"/>
          <w:lang w:val="es-ES_tradnl"/>
        </w:rPr>
        <w:tab/>
        <w:t>Corte IDH</w:t>
      </w:r>
      <w:r w:rsidRPr="00B97F15">
        <w:rPr>
          <w:rFonts w:asciiTheme="majorHAnsi" w:hAnsiTheme="majorHAnsi"/>
          <w:sz w:val="16"/>
          <w:szCs w:val="16"/>
          <w:lang w:val="es-ES_tradnl"/>
        </w:rPr>
        <w:t xml:space="preserve">, </w:t>
      </w:r>
      <w:r w:rsidRPr="00B97F15">
        <w:rPr>
          <w:rFonts w:asciiTheme="majorHAnsi" w:hAnsiTheme="majorHAnsi"/>
          <w:bCs/>
          <w:sz w:val="16"/>
          <w:szCs w:val="16"/>
          <w:lang w:val="es-ES_tradnl"/>
        </w:rPr>
        <w:t xml:space="preserve">Caso García Prieto y otros. </w:t>
      </w:r>
      <w:r w:rsidRPr="00B97F15">
        <w:rPr>
          <w:rFonts w:asciiTheme="majorHAnsi" w:hAnsiTheme="majorHAnsi"/>
          <w:sz w:val="16"/>
          <w:szCs w:val="16"/>
          <w:lang w:val="es-ES_tradnl"/>
        </w:rPr>
        <w:t xml:space="preserve">Excepción Preliminar, Fondo, Reparaciones y Costas. Sentencia de 20 de noviembre de 2007. Serie C No. 168. Párr. 103; Corte I.D.H., Caso </w:t>
      </w:r>
      <w:proofErr w:type="spellStart"/>
      <w:r w:rsidRPr="00B97F15">
        <w:rPr>
          <w:rFonts w:asciiTheme="majorHAnsi" w:hAnsiTheme="majorHAnsi"/>
          <w:sz w:val="16"/>
          <w:szCs w:val="16"/>
          <w:lang w:val="es-ES_tradnl"/>
        </w:rPr>
        <w:t>Bulacio</w:t>
      </w:r>
      <w:proofErr w:type="spellEnd"/>
      <w:r w:rsidRPr="00B97F15">
        <w:rPr>
          <w:rFonts w:asciiTheme="majorHAnsi" w:hAnsiTheme="majorHAnsi"/>
          <w:sz w:val="16"/>
          <w:szCs w:val="16"/>
          <w:lang w:val="es-ES_tradnl"/>
        </w:rPr>
        <w:t xml:space="preserve">. Excepciones Preliminares, Fondo, Reparaciones y Costas. Sentencia de 18 de Septiembre de 2003. Serie C No. 100, Párr. 114; y </w:t>
      </w:r>
      <w:r w:rsidR="001D6213">
        <w:rPr>
          <w:rFonts w:asciiTheme="majorHAnsi" w:hAnsiTheme="majorHAnsi"/>
          <w:sz w:val="16"/>
          <w:szCs w:val="16"/>
          <w:lang w:val="es-ES"/>
        </w:rPr>
        <w:t>Corte IDH</w:t>
      </w:r>
      <w:r w:rsidRPr="00B97F15">
        <w:rPr>
          <w:rFonts w:asciiTheme="majorHAnsi" w:hAnsiTheme="majorHAnsi"/>
          <w:sz w:val="16"/>
          <w:szCs w:val="16"/>
          <w:lang w:val="es-ES"/>
        </w:rPr>
        <w:t xml:space="preserve">, </w:t>
      </w:r>
      <w:r w:rsidRPr="00B97F15">
        <w:rPr>
          <w:rFonts w:asciiTheme="majorHAnsi" w:hAnsiTheme="majorHAnsi"/>
          <w:bCs/>
          <w:sz w:val="16"/>
          <w:szCs w:val="16"/>
          <w:lang w:val="es-ES_tradnl"/>
        </w:rPr>
        <w:t xml:space="preserve">Caso del Penal Miguel Castro </w:t>
      </w:r>
      <w:proofErr w:type="spellStart"/>
      <w:r w:rsidRPr="00B97F15">
        <w:rPr>
          <w:rFonts w:asciiTheme="majorHAnsi" w:hAnsiTheme="majorHAnsi"/>
          <w:bCs/>
          <w:sz w:val="16"/>
          <w:szCs w:val="16"/>
          <w:lang w:val="es-ES_tradnl"/>
        </w:rPr>
        <w:t>Castro</w:t>
      </w:r>
      <w:proofErr w:type="spellEnd"/>
      <w:r w:rsidRPr="00B97F15">
        <w:rPr>
          <w:rFonts w:asciiTheme="majorHAnsi" w:hAnsiTheme="majorHAnsi"/>
          <w:bCs/>
          <w:sz w:val="16"/>
          <w:szCs w:val="16"/>
          <w:lang w:val="es-ES_tradnl"/>
        </w:rPr>
        <w:t xml:space="preserve">. </w:t>
      </w:r>
      <w:r w:rsidRPr="00B97F15">
        <w:rPr>
          <w:rFonts w:asciiTheme="majorHAnsi" w:hAnsiTheme="majorHAnsi"/>
          <w:sz w:val="16"/>
          <w:szCs w:val="16"/>
          <w:lang w:val="es-ES_tradnl"/>
        </w:rPr>
        <w:t>Sentencia de 25 de noviembre de 2006. Serie C No. 160. P</w:t>
      </w:r>
      <w:proofErr w:type="spellStart"/>
      <w:r w:rsidRPr="00B97F15">
        <w:rPr>
          <w:rFonts w:asciiTheme="majorHAnsi" w:hAnsiTheme="majorHAnsi"/>
          <w:sz w:val="16"/>
          <w:szCs w:val="16"/>
          <w:lang w:val="es-ES"/>
        </w:rPr>
        <w:t>árr</w:t>
      </w:r>
      <w:proofErr w:type="spellEnd"/>
      <w:r w:rsidRPr="00B97F15">
        <w:rPr>
          <w:rFonts w:asciiTheme="majorHAnsi" w:hAnsiTheme="majorHAnsi"/>
          <w:sz w:val="16"/>
          <w:szCs w:val="16"/>
          <w:lang w:val="es-ES"/>
        </w:rPr>
        <w:t xml:space="preserve">. </w:t>
      </w:r>
      <w:r w:rsidRPr="00B97F15">
        <w:rPr>
          <w:rFonts w:asciiTheme="majorHAnsi" w:hAnsiTheme="majorHAnsi"/>
          <w:sz w:val="16"/>
          <w:szCs w:val="16"/>
          <w:lang w:val="es-ES_tradnl"/>
        </w:rPr>
        <w:t>382.</w:t>
      </w:r>
    </w:p>
  </w:footnote>
  <w:footnote w:id="176">
    <w:p w14:paraId="10C4AF76" w14:textId="65BEB3CB" w:rsidR="006B2D8F" w:rsidRPr="00B97F15" w:rsidRDefault="006B2D8F" w:rsidP="00BD4AA9">
      <w:pPr>
        <w:tabs>
          <w:tab w:val="left" w:pos="180"/>
          <w:tab w:val="left" w:pos="900"/>
          <w:tab w:val="left" w:pos="1080"/>
        </w:tabs>
        <w:spacing w:after="120"/>
        <w:ind w:firstLine="720"/>
        <w:rPr>
          <w:rFonts w:asciiTheme="majorHAnsi" w:hAnsiTheme="majorHAnsi"/>
          <w:sz w:val="16"/>
          <w:szCs w:val="16"/>
          <w:lang w:val="es-CO"/>
        </w:rPr>
      </w:pPr>
      <w:r w:rsidRPr="00B97F15">
        <w:rPr>
          <w:rStyle w:val="FootnoteReference"/>
          <w:rFonts w:asciiTheme="majorHAnsi" w:hAnsiTheme="majorHAnsi"/>
          <w:sz w:val="16"/>
          <w:szCs w:val="16"/>
        </w:rPr>
        <w:footnoteRef/>
      </w:r>
      <w:r w:rsidRPr="00B97F15">
        <w:rPr>
          <w:rFonts w:asciiTheme="majorHAnsi" w:hAnsiTheme="majorHAnsi"/>
          <w:sz w:val="16"/>
          <w:szCs w:val="16"/>
          <w:lang w:val="es-CO"/>
        </w:rPr>
        <w:t xml:space="preserve"> </w:t>
      </w:r>
      <w:r w:rsidRPr="00B97F15">
        <w:rPr>
          <w:rFonts w:asciiTheme="majorHAnsi" w:hAnsiTheme="majorHAnsi"/>
          <w:sz w:val="16"/>
          <w:szCs w:val="16"/>
          <w:lang w:val="es-CO"/>
        </w:rPr>
        <w:tab/>
      </w:r>
      <w:r>
        <w:rPr>
          <w:rFonts w:asciiTheme="majorHAnsi" w:hAnsiTheme="majorHAnsi"/>
          <w:color w:val="000000"/>
          <w:sz w:val="16"/>
          <w:szCs w:val="16"/>
          <w:lang w:val="es-CO"/>
        </w:rPr>
        <w:t>Corte IDH</w:t>
      </w:r>
      <w:r w:rsidRPr="00B97F15">
        <w:rPr>
          <w:rFonts w:asciiTheme="majorHAnsi" w:hAnsiTheme="majorHAnsi"/>
          <w:color w:val="000000"/>
          <w:sz w:val="16"/>
          <w:szCs w:val="16"/>
          <w:lang w:val="es-CO"/>
        </w:rPr>
        <w:t xml:space="preserve">, </w:t>
      </w:r>
      <w:r w:rsidRPr="00B97F15">
        <w:rPr>
          <w:rFonts w:asciiTheme="majorHAnsi" w:hAnsiTheme="majorHAnsi"/>
          <w:bCs/>
          <w:color w:val="000000"/>
          <w:sz w:val="16"/>
          <w:szCs w:val="16"/>
          <w:lang w:val="es-CO"/>
        </w:rPr>
        <w:t xml:space="preserve">Caso Trabajadores Cesados del Congreso (Aguado Alfaro y otros). </w:t>
      </w:r>
      <w:r w:rsidRPr="00B97F15">
        <w:rPr>
          <w:rFonts w:asciiTheme="majorHAnsi" w:hAnsiTheme="majorHAnsi"/>
          <w:color w:val="000000"/>
          <w:sz w:val="16"/>
          <w:szCs w:val="16"/>
          <w:lang w:val="es-CO"/>
        </w:rPr>
        <w:t>Sentencia sobre Excepciones Preliminares, Fondo, Reparaciones y Costas. Sentencia de 24 de Noviembre de 2006. Serie C No. 158. Pár</w:t>
      </w:r>
      <w:r w:rsidR="001D6213">
        <w:rPr>
          <w:rFonts w:asciiTheme="majorHAnsi" w:hAnsiTheme="majorHAnsi"/>
          <w:color w:val="000000"/>
          <w:sz w:val="16"/>
          <w:szCs w:val="16"/>
          <w:lang w:val="es-CO"/>
        </w:rPr>
        <w:t xml:space="preserve">r. </w:t>
      </w:r>
      <w:r w:rsidR="001D6213">
        <w:rPr>
          <w:rFonts w:asciiTheme="majorHAnsi" w:hAnsiTheme="majorHAnsi"/>
          <w:color w:val="000000"/>
          <w:sz w:val="16"/>
          <w:szCs w:val="16"/>
          <w:lang w:val="es-CO"/>
        </w:rPr>
        <w:t xml:space="preserve">125; Corte </w:t>
      </w:r>
      <w:r w:rsidR="001D6213">
        <w:rPr>
          <w:rFonts w:asciiTheme="majorHAnsi" w:hAnsiTheme="majorHAnsi"/>
          <w:color w:val="000000"/>
          <w:sz w:val="16"/>
          <w:szCs w:val="16"/>
          <w:lang w:val="es-CO"/>
        </w:rPr>
        <w:t>IDH</w:t>
      </w:r>
      <w:bookmarkStart w:id="37" w:name="_GoBack"/>
      <w:bookmarkEnd w:id="37"/>
      <w:r w:rsidRPr="00B97F15">
        <w:rPr>
          <w:rFonts w:asciiTheme="majorHAnsi" w:hAnsiTheme="majorHAnsi"/>
          <w:color w:val="000000"/>
          <w:sz w:val="16"/>
          <w:szCs w:val="16"/>
          <w:lang w:val="es-CO"/>
        </w:rPr>
        <w:t xml:space="preserve">, </w:t>
      </w:r>
      <w:r w:rsidRPr="00B97F15">
        <w:rPr>
          <w:rFonts w:asciiTheme="majorHAnsi" w:hAnsiTheme="majorHAnsi"/>
          <w:bCs/>
          <w:color w:val="000000"/>
          <w:sz w:val="16"/>
          <w:szCs w:val="16"/>
          <w:lang w:val="es-CO"/>
        </w:rPr>
        <w:t xml:space="preserve">Caso Comunidad Indígena </w:t>
      </w:r>
      <w:proofErr w:type="spellStart"/>
      <w:r w:rsidRPr="00B97F15">
        <w:rPr>
          <w:rFonts w:asciiTheme="majorHAnsi" w:hAnsiTheme="majorHAnsi"/>
          <w:bCs/>
          <w:color w:val="000000"/>
          <w:sz w:val="16"/>
          <w:szCs w:val="16"/>
          <w:lang w:val="es-CO"/>
        </w:rPr>
        <w:t>Yakye</w:t>
      </w:r>
      <w:proofErr w:type="spellEnd"/>
      <w:r w:rsidRPr="00B97F15">
        <w:rPr>
          <w:rFonts w:asciiTheme="majorHAnsi" w:hAnsiTheme="majorHAnsi"/>
          <w:bCs/>
          <w:color w:val="000000"/>
          <w:sz w:val="16"/>
          <w:szCs w:val="16"/>
          <w:lang w:val="es-CO"/>
        </w:rPr>
        <w:t xml:space="preserve"> Axa. </w:t>
      </w:r>
      <w:r w:rsidRPr="00B97F15">
        <w:rPr>
          <w:rFonts w:asciiTheme="majorHAnsi" w:hAnsiTheme="majorHAnsi"/>
          <w:color w:val="000000"/>
          <w:sz w:val="16"/>
          <w:szCs w:val="16"/>
          <w:lang w:val="es-CO"/>
        </w:rPr>
        <w:t>Sentencia 17 de junio de 2005. Serie C No. 125</w:t>
      </w:r>
      <w:r w:rsidRPr="00B97F15">
        <w:rPr>
          <w:rFonts w:asciiTheme="majorHAnsi" w:hAnsiTheme="majorHAnsi"/>
          <w:sz w:val="16"/>
          <w:szCs w:val="16"/>
          <w:lang w:val="es-CO"/>
        </w:rPr>
        <w:t xml:space="preserve">. Párr.  61; </w:t>
      </w:r>
      <w:r w:rsidR="001D6213">
        <w:rPr>
          <w:rFonts w:asciiTheme="majorHAnsi" w:hAnsiTheme="majorHAnsi"/>
          <w:color w:val="000000"/>
          <w:sz w:val="16"/>
          <w:szCs w:val="16"/>
          <w:lang w:val="es-CO"/>
        </w:rPr>
        <w:t>Corte IDH</w:t>
      </w:r>
      <w:r w:rsidRPr="00B97F15">
        <w:rPr>
          <w:rFonts w:asciiTheme="majorHAnsi" w:hAnsiTheme="majorHAnsi"/>
          <w:color w:val="000000"/>
          <w:sz w:val="16"/>
          <w:szCs w:val="16"/>
          <w:lang w:val="es-CO"/>
        </w:rPr>
        <w:t xml:space="preserve">, </w:t>
      </w:r>
      <w:r w:rsidRPr="00B97F15">
        <w:rPr>
          <w:rFonts w:asciiTheme="majorHAnsi" w:hAnsiTheme="majorHAnsi"/>
          <w:bCs/>
          <w:color w:val="000000"/>
          <w:sz w:val="16"/>
          <w:szCs w:val="16"/>
          <w:lang w:val="es-CO"/>
        </w:rPr>
        <w:t xml:space="preserve">Caso "Cinco Pensionistas". </w:t>
      </w:r>
      <w:r w:rsidRPr="00B97F15">
        <w:rPr>
          <w:rFonts w:asciiTheme="majorHAnsi" w:hAnsiTheme="majorHAnsi"/>
          <w:color w:val="000000"/>
          <w:sz w:val="16"/>
          <w:szCs w:val="16"/>
          <w:lang w:val="es-CO"/>
        </w:rPr>
        <w:t>Sentencia de 28 de febrero de 2003. Serie C No. 98</w:t>
      </w:r>
      <w:r w:rsidRPr="00B97F15">
        <w:rPr>
          <w:rFonts w:asciiTheme="majorHAnsi" w:hAnsiTheme="majorHAnsi"/>
          <w:sz w:val="16"/>
          <w:szCs w:val="16"/>
          <w:lang w:val="es-CO"/>
        </w:rPr>
        <w:t>. Párr. 136.</w:t>
      </w:r>
    </w:p>
  </w:footnote>
  <w:footnote w:id="177">
    <w:p w14:paraId="648BED40" w14:textId="113CDDE7" w:rsidR="006B2D8F" w:rsidRPr="00B97F15" w:rsidRDefault="006B2D8F" w:rsidP="00BD4AA9">
      <w:pPr>
        <w:pStyle w:val="FootnoteText"/>
        <w:tabs>
          <w:tab w:val="left" w:pos="900"/>
          <w:tab w:val="left" w:pos="1080"/>
        </w:tabs>
        <w:spacing w:after="120"/>
        <w:ind w:firstLine="720"/>
        <w:rPr>
          <w:rFonts w:asciiTheme="majorHAnsi" w:hAnsiTheme="majorHAnsi"/>
          <w:sz w:val="16"/>
          <w:szCs w:val="16"/>
          <w:lang w:val="es-CO"/>
        </w:rPr>
      </w:pPr>
      <w:r w:rsidRPr="00B97F15">
        <w:rPr>
          <w:rStyle w:val="FootnoteReference"/>
          <w:rFonts w:asciiTheme="majorHAnsi" w:hAnsiTheme="majorHAnsi"/>
          <w:sz w:val="16"/>
          <w:szCs w:val="16"/>
        </w:rPr>
        <w:footnoteRef/>
      </w:r>
      <w:r>
        <w:rPr>
          <w:rFonts w:asciiTheme="majorHAnsi" w:hAnsiTheme="majorHAnsi"/>
          <w:sz w:val="16"/>
          <w:szCs w:val="16"/>
          <w:lang w:val="es-CO"/>
        </w:rPr>
        <w:t xml:space="preserve"> Corte IDH</w:t>
      </w:r>
      <w:r w:rsidRPr="00B97F15">
        <w:rPr>
          <w:rFonts w:asciiTheme="majorHAnsi" w:hAnsiTheme="majorHAnsi"/>
          <w:sz w:val="16"/>
          <w:szCs w:val="16"/>
          <w:lang w:val="es-CO"/>
        </w:rPr>
        <w:t xml:space="preserve">, </w:t>
      </w:r>
      <w:r w:rsidRPr="00B97F15">
        <w:rPr>
          <w:rFonts w:asciiTheme="majorHAnsi" w:hAnsiTheme="majorHAnsi"/>
          <w:bCs/>
          <w:sz w:val="16"/>
          <w:szCs w:val="16"/>
          <w:lang w:val="es-CO"/>
        </w:rPr>
        <w:t xml:space="preserve">Caso Trabajadores Cesados del Congreso (Aguado Alfaro y otros). </w:t>
      </w:r>
      <w:r w:rsidRPr="00B97F15">
        <w:rPr>
          <w:rFonts w:asciiTheme="majorHAnsi" w:hAnsiTheme="majorHAnsi"/>
          <w:sz w:val="16"/>
          <w:szCs w:val="16"/>
          <w:lang w:val="es-CO"/>
        </w:rPr>
        <w:t>Sentencia sobre Excepciones Preliminares, Fondo, Reparaciones y Costas. Sentencia de 24 de Noviembre de 2006. Serie C No. 158. Párr. 126.</w:t>
      </w:r>
    </w:p>
  </w:footnote>
  <w:footnote w:id="178">
    <w:p w14:paraId="6719909B" w14:textId="5C8D0FCF" w:rsidR="006B2D8F" w:rsidRPr="00B97F15" w:rsidRDefault="006B2D8F" w:rsidP="00BD4AA9">
      <w:pPr>
        <w:tabs>
          <w:tab w:val="left" w:pos="360"/>
          <w:tab w:val="left" w:pos="720"/>
          <w:tab w:val="left" w:pos="900"/>
          <w:tab w:val="left" w:pos="1080"/>
        </w:tabs>
        <w:spacing w:after="120"/>
        <w:ind w:firstLine="720"/>
        <w:jc w:val="both"/>
        <w:rPr>
          <w:rFonts w:asciiTheme="majorHAnsi" w:hAnsiTheme="majorHAnsi"/>
          <w:sz w:val="16"/>
          <w:szCs w:val="16"/>
          <w:lang w:val="es-MX"/>
        </w:rPr>
      </w:pPr>
      <w:r w:rsidRPr="00B97F15">
        <w:rPr>
          <w:rStyle w:val="FootnoteReference"/>
          <w:rFonts w:asciiTheme="majorHAnsi" w:hAnsiTheme="majorHAnsi"/>
          <w:sz w:val="16"/>
          <w:szCs w:val="16"/>
        </w:rPr>
        <w:footnoteRef/>
      </w:r>
      <w:r>
        <w:rPr>
          <w:rFonts w:asciiTheme="majorHAnsi" w:hAnsiTheme="majorHAnsi"/>
          <w:sz w:val="16"/>
          <w:szCs w:val="16"/>
          <w:lang w:val="es-MX"/>
        </w:rPr>
        <w:t xml:space="preserve"> Corte IDH</w:t>
      </w:r>
      <w:r w:rsidRPr="00B97F15">
        <w:rPr>
          <w:rFonts w:asciiTheme="majorHAnsi" w:hAnsiTheme="majorHAnsi"/>
          <w:sz w:val="16"/>
          <w:szCs w:val="16"/>
          <w:lang w:val="es-MX"/>
        </w:rPr>
        <w:t xml:space="preserve">, </w:t>
      </w:r>
      <w:r w:rsidRPr="00B97F15">
        <w:rPr>
          <w:rFonts w:asciiTheme="majorHAnsi" w:hAnsiTheme="majorHAnsi"/>
          <w:bCs/>
          <w:sz w:val="16"/>
          <w:szCs w:val="16"/>
          <w:lang w:val="es-MX"/>
        </w:rPr>
        <w:t xml:space="preserve">Caso García Prieto y otros. </w:t>
      </w:r>
      <w:r w:rsidRPr="00B97F15">
        <w:rPr>
          <w:rFonts w:asciiTheme="majorHAnsi" w:hAnsiTheme="majorHAnsi"/>
          <w:sz w:val="16"/>
          <w:szCs w:val="16"/>
          <w:lang w:val="es-MX"/>
        </w:rPr>
        <w:t xml:space="preserve">Excepción Preliminar, Fondo, Reparaciones y Costas. Sentencia de 20 de noviembre de 2007. Serie C No. 168. Párr. 101.  </w:t>
      </w:r>
    </w:p>
  </w:footnote>
  <w:footnote w:id="179">
    <w:p w14:paraId="5ACD7AC6" w14:textId="6D3063D5" w:rsidR="006B2D8F" w:rsidRPr="00B97F15" w:rsidRDefault="006B2D8F" w:rsidP="00BD4AA9">
      <w:pPr>
        <w:tabs>
          <w:tab w:val="left" w:pos="360"/>
          <w:tab w:val="left" w:pos="900"/>
          <w:tab w:val="left" w:pos="1080"/>
        </w:tabs>
        <w:spacing w:after="120"/>
        <w:ind w:firstLine="720"/>
        <w:jc w:val="both"/>
        <w:rPr>
          <w:rFonts w:asciiTheme="majorHAnsi" w:hAnsiTheme="majorHAnsi"/>
          <w:sz w:val="16"/>
          <w:szCs w:val="16"/>
          <w:lang w:val="es-MX"/>
        </w:rPr>
      </w:pPr>
      <w:r w:rsidRPr="00B97F15">
        <w:rPr>
          <w:rStyle w:val="FootnoteReference"/>
          <w:rFonts w:asciiTheme="majorHAnsi" w:hAnsiTheme="majorHAnsi"/>
          <w:sz w:val="16"/>
          <w:szCs w:val="16"/>
        </w:rPr>
        <w:footnoteRef/>
      </w:r>
      <w:r>
        <w:rPr>
          <w:rFonts w:asciiTheme="majorHAnsi" w:hAnsiTheme="majorHAnsi"/>
          <w:sz w:val="16"/>
          <w:szCs w:val="16"/>
          <w:lang w:val="es-MX"/>
        </w:rPr>
        <w:t xml:space="preserve"> Corte IDH</w:t>
      </w:r>
      <w:r w:rsidRPr="00B97F15">
        <w:rPr>
          <w:rFonts w:asciiTheme="majorHAnsi" w:hAnsiTheme="majorHAnsi"/>
          <w:sz w:val="16"/>
          <w:szCs w:val="16"/>
          <w:lang w:val="es-MX"/>
        </w:rPr>
        <w:t xml:space="preserve">, Caso </w:t>
      </w:r>
      <w:proofErr w:type="spellStart"/>
      <w:r w:rsidRPr="00B97F15">
        <w:rPr>
          <w:rFonts w:asciiTheme="majorHAnsi" w:hAnsiTheme="majorHAnsi"/>
          <w:sz w:val="16"/>
          <w:szCs w:val="16"/>
          <w:lang w:val="es-MX"/>
        </w:rPr>
        <w:t>Bulacio</w:t>
      </w:r>
      <w:proofErr w:type="spellEnd"/>
      <w:r w:rsidRPr="00B97F15">
        <w:rPr>
          <w:rFonts w:asciiTheme="majorHAnsi" w:hAnsiTheme="majorHAnsi"/>
          <w:sz w:val="16"/>
          <w:szCs w:val="16"/>
          <w:lang w:val="es-MX"/>
        </w:rPr>
        <w:t>. Sentencia de 18 de septiembre de 2003. Seri</w:t>
      </w:r>
      <w:r w:rsidR="001D6213">
        <w:rPr>
          <w:rFonts w:asciiTheme="majorHAnsi" w:hAnsiTheme="majorHAnsi"/>
          <w:sz w:val="16"/>
          <w:szCs w:val="16"/>
          <w:lang w:val="es-MX"/>
        </w:rPr>
        <w:t>e C No. 100. Párr. 114; Corte IDH</w:t>
      </w:r>
      <w:r w:rsidRPr="00B97F15">
        <w:rPr>
          <w:rFonts w:asciiTheme="majorHAnsi" w:hAnsiTheme="majorHAnsi"/>
          <w:sz w:val="16"/>
          <w:szCs w:val="16"/>
          <w:lang w:val="es-MX"/>
        </w:rPr>
        <w:t xml:space="preserve">, Caso de la Masacre de la Rochela.  Sentencia de 11 de mayo de 2007. Serie C. No. 163. Párr. 146; </w:t>
      </w:r>
      <w:r w:rsidR="001D6213">
        <w:rPr>
          <w:rFonts w:asciiTheme="majorHAnsi" w:hAnsiTheme="majorHAnsi"/>
          <w:sz w:val="16"/>
          <w:szCs w:val="16"/>
          <w:lang w:val="es-ES"/>
        </w:rPr>
        <w:t>Corte IDH</w:t>
      </w:r>
      <w:r w:rsidRPr="00B97F15">
        <w:rPr>
          <w:rFonts w:asciiTheme="majorHAnsi" w:hAnsiTheme="majorHAnsi"/>
          <w:sz w:val="16"/>
          <w:szCs w:val="16"/>
          <w:lang w:val="es-ES"/>
        </w:rPr>
        <w:t xml:space="preserve">, </w:t>
      </w:r>
      <w:r w:rsidRPr="00B97F15">
        <w:rPr>
          <w:rFonts w:asciiTheme="majorHAnsi" w:hAnsiTheme="majorHAnsi"/>
          <w:bCs/>
          <w:sz w:val="16"/>
          <w:szCs w:val="16"/>
          <w:lang w:val="es-MX"/>
        </w:rPr>
        <w:t xml:space="preserve">Caso del Penal Miguel Castro </w:t>
      </w:r>
      <w:proofErr w:type="spellStart"/>
      <w:r w:rsidRPr="00B97F15">
        <w:rPr>
          <w:rFonts w:asciiTheme="majorHAnsi" w:hAnsiTheme="majorHAnsi"/>
          <w:bCs/>
          <w:sz w:val="16"/>
          <w:szCs w:val="16"/>
          <w:lang w:val="es-MX"/>
        </w:rPr>
        <w:t>Castro</w:t>
      </w:r>
      <w:proofErr w:type="spellEnd"/>
      <w:r w:rsidRPr="00B97F15">
        <w:rPr>
          <w:rFonts w:asciiTheme="majorHAnsi" w:hAnsiTheme="majorHAnsi"/>
          <w:bCs/>
          <w:sz w:val="16"/>
          <w:szCs w:val="16"/>
          <w:lang w:val="es-MX"/>
        </w:rPr>
        <w:t xml:space="preserve">. </w:t>
      </w:r>
      <w:r w:rsidRPr="00B97F15">
        <w:rPr>
          <w:rFonts w:asciiTheme="majorHAnsi" w:hAnsiTheme="majorHAnsi"/>
          <w:sz w:val="16"/>
          <w:szCs w:val="16"/>
          <w:lang w:val="es-MX"/>
        </w:rPr>
        <w:t>Sentencia de 25 de noviembre de 2006. Serie C No. 160. Párr. 382.</w:t>
      </w:r>
    </w:p>
  </w:footnote>
  <w:footnote w:id="180">
    <w:p w14:paraId="17EBF06C" w14:textId="3E21542F" w:rsidR="006B2D8F" w:rsidRPr="00B97F15" w:rsidRDefault="006B2D8F" w:rsidP="00BD4AA9">
      <w:pPr>
        <w:tabs>
          <w:tab w:val="left" w:pos="360"/>
          <w:tab w:val="left" w:pos="900"/>
          <w:tab w:val="left" w:pos="1080"/>
        </w:tabs>
        <w:spacing w:after="120"/>
        <w:ind w:firstLine="720"/>
        <w:jc w:val="both"/>
        <w:rPr>
          <w:rFonts w:asciiTheme="majorHAnsi" w:hAnsiTheme="majorHAnsi"/>
          <w:sz w:val="16"/>
          <w:szCs w:val="16"/>
          <w:lang w:val="it-IT"/>
        </w:rPr>
      </w:pPr>
      <w:r w:rsidRPr="00B97F15">
        <w:rPr>
          <w:rStyle w:val="FootnoteReference"/>
          <w:rFonts w:asciiTheme="majorHAnsi" w:hAnsiTheme="majorHAnsi"/>
          <w:sz w:val="16"/>
          <w:szCs w:val="16"/>
        </w:rPr>
        <w:footnoteRef/>
      </w:r>
      <w:r>
        <w:rPr>
          <w:rFonts w:asciiTheme="majorHAnsi" w:hAnsiTheme="majorHAnsi"/>
          <w:sz w:val="16"/>
          <w:szCs w:val="16"/>
          <w:lang w:val="es-MX"/>
        </w:rPr>
        <w:t xml:space="preserve"> Corte IDH</w:t>
      </w:r>
      <w:r w:rsidRPr="00B97F15">
        <w:rPr>
          <w:rFonts w:asciiTheme="majorHAnsi" w:hAnsiTheme="majorHAnsi"/>
          <w:sz w:val="16"/>
          <w:szCs w:val="16"/>
          <w:lang w:val="es-MX"/>
        </w:rPr>
        <w:t xml:space="preserve">, </w:t>
      </w:r>
      <w:r w:rsidRPr="00B97F15">
        <w:rPr>
          <w:rFonts w:asciiTheme="majorHAnsi" w:hAnsiTheme="majorHAnsi"/>
          <w:bCs/>
          <w:sz w:val="16"/>
          <w:szCs w:val="16"/>
          <w:lang w:val="es-MX"/>
        </w:rPr>
        <w:t xml:space="preserve">Caso Cantoral </w:t>
      </w:r>
      <w:proofErr w:type="spellStart"/>
      <w:r w:rsidRPr="00B97F15">
        <w:rPr>
          <w:rFonts w:asciiTheme="majorHAnsi" w:hAnsiTheme="majorHAnsi"/>
          <w:bCs/>
          <w:sz w:val="16"/>
          <w:szCs w:val="16"/>
          <w:lang w:val="es-MX"/>
        </w:rPr>
        <w:t>Huamaní</w:t>
      </w:r>
      <w:proofErr w:type="spellEnd"/>
      <w:r w:rsidRPr="00B97F15">
        <w:rPr>
          <w:rFonts w:asciiTheme="majorHAnsi" w:hAnsiTheme="majorHAnsi"/>
          <w:bCs/>
          <w:sz w:val="16"/>
          <w:szCs w:val="16"/>
          <w:lang w:val="es-MX"/>
        </w:rPr>
        <w:t xml:space="preserve"> y García Santa Cruz. </w:t>
      </w:r>
      <w:r w:rsidRPr="00B97F15">
        <w:rPr>
          <w:rFonts w:asciiTheme="majorHAnsi" w:hAnsiTheme="majorHAnsi"/>
          <w:sz w:val="16"/>
          <w:szCs w:val="16"/>
          <w:lang w:val="es-MX"/>
        </w:rPr>
        <w:t xml:space="preserve">Excepción Preliminar, Fondo, Reparaciones y Costas. Sentencia de 10 de julio de 2007. Serie C No. 167. </w:t>
      </w:r>
      <w:r w:rsidRPr="00B97F15">
        <w:rPr>
          <w:rFonts w:asciiTheme="majorHAnsi" w:hAnsiTheme="majorHAnsi"/>
          <w:sz w:val="16"/>
          <w:szCs w:val="16"/>
          <w:lang w:val="es-ES"/>
        </w:rPr>
        <w:t>Párr.</w:t>
      </w:r>
      <w:r w:rsidR="001D6213">
        <w:rPr>
          <w:rFonts w:asciiTheme="majorHAnsi" w:hAnsiTheme="majorHAnsi"/>
          <w:sz w:val="16"/>
          <w:szCs w:val="16"/>
          <w:lang w:val="es-MX"/>
        </w:rPr>
        <w:t xml:space="preserve"> 130; Corte IDH</w:t>
      </w:r>
      <w:r w:rsidRPr="00B97F15">
        <w:rPr>
          <w:rFonts w:asciiTheme="majorHAnsi" w:hAnsiTheme="majorHAnsi"/>
          <w:sz w:val="16"/>
          <w:szCs w:val="16"/>
          <w:lang w:val="es-MX"/>
        </w:rPr>
        <w:t xml:space="preserve">, Caso de la Masacre de Pueblo Bello. Sentencia de 31 de enero de 2006. </w:t>
      </w:r>
      <w:r w:rsidRPr="00B97F15">
        <w:rPr>
          <w:rFonts w:asciiTheme="majorHAnsi" w:hAnsiTheme="majorHAnsi"/>
          <w:sz w:val="16"/>
          <w:szCs w:val="16"/>
          <w:lang w:val="it-IT"/>
        </w:rPr>
        <w:t>Serie C No. 140. P</w:t>
      </w:r>
      <w:proofErr w:type="spellStart"/>
      <w:r w:rsidR="001D6213">
        <w:rPr>
          <w:rFonts w:asciiTheme="majorHAnsi" w:hAnsiTheme="majorHAnsi"/>
          <w:sz w:val="16"/>
          <w:szCs w:val="16"/>
          <w:lang w:val="es-MX"/>
        </w:rPr>
        <w:t>árr</w:t>
      </w:r>
      <w:proofErr w:type="spellEnd"/>
      <w:r w:rsidR="001D6213">
        <w:rPr>
          <w:rFonts w:asciiTheme="majorHAnsi" w:hAnsiTheme="majorHAnsi"/>
          <w:sz w:val="16"/>
          <w:szCs w:val="16"/>
          <w:lang w:val="es-MX"/>
        </w:rPr>
        <w:t>. 120; y Corte IDH</w:t>
      </w:r>
      <w:r w:rsidRPr="00B97F15">
        <w:rPr>
          <w:rFonts w:asciiTheme="majorHAnsi" w:hAnsiTheme="majorHAnsi"/>
          <w:sz w:val="16"/>
          <w:szCs w:val="16"/>
          <w:lang w:val="es-MX"/>
        </w:rPr>
        <w:t xml:space="preserve">, Caso </w:t>
      </w:r>
      <w:proofErr w:type="spellStart"/>
      <w:r w:rsidRPr="00B97F15">
        <w:rPr>
          <w:rFonts w:asciiTheme="majorHAnsi" w:hAnsiTheme="majorHAnsi"/>
          <w:sz w:val="16"/>
          <w:szCs w:val="16"/>
          <w:lang w:val="es-MX"/>
        </w:rPr>
        <w:t>Huilca</w:t>
      </w:r>
      <w:proofErr w:type="spellEnd"/>
      <w:r w:rsidRPr="00B97F15">
        <w:rPr>
          <w:rFonts w:asciiTheme="majorHAnsi" w:hAnsiTheme="majorHAnsi"/>
          <w:sz w:val="16"/>
          <w:szCs w:val="16"/>
          <w:lang w:val="es-MX"/>
        </w:rPr>
        <w:t xml:space="preserve"> </w:t>
      </w:r>
      <w:proofErr w:type="spellStart"/>
      <w:r w:rsidRPr="00B97F15">
        <w:rPr>
          <w:rFonts w:asciiTheme="majorHAnsi" w:hAnsiTheme="majorHAnsi"/>
          <w:sz w:val="16"/>
          <w:szCs w:val="16"/>
          <w:lang w:val="es-MX"/>
        </w:rPr>
        <w:t>Tecse</w:t>
      </w:r>
      <w:proofErr w:type="spellEnd"/>
      <w:r w:rsidRPr="00B97F15">
        <w:rPr>
          <w:rFonts w:asciiTheme="majorHAnsi" w:hAnsiTheme="majorHAnsi"/>
          <w:sz w:val="16"/>
          <w:szCs w:val="16"/>
          <w:lang w:val="es-MX"/>
        </w:rPr>
        <w:t>. Sentencia de 3 de marzo de 2005. Serie C No. 121, Párr. 66.</w:t>
      </w:r>
    </w:p>
  </w:footnote>
  <w:footnote w:id="181">
    <w:p w14:paraId="517327B0" w14:textId="2937E1A2" w:rsidR="006B2D8F" w:rsidRPr="00B97F15" w:rsidRDefault="006B2D8F" w:rsidP="00BD4AA9">
      <w:pPr>
        <w:pStyle w:val="FootnoteText"/>
        <w:tabs>
          <w:tab w:val="left" w:pos="360"/>
          <w:tab w:val="left" w:pos="900"/>
          <w:tab w:val="left" w:pos="1080"/>
        </w:tabs>
        <w:spacing w:after="120"/>
        <w:ind w:firstLine="720"/>
        <w:jc w:val="both"/>
        <w:rPr>
          <w:rFonts w:asciiTheme="majorHAnsi" w:hAnsiTheme="majorHAnsi"/>
          <w:sz w:val="16"/>
          <w:szCs w:val="16"/>
          <w:lang w:val="es-ES_tradnl"/>
        </w:rPr>
      </w:pPr>
      <w:r w:rsidRPr="00B97F15">
        <w:rPr>
          <w:rStyle w:val="FootnoteReference"/>
          <w:rFonts w:asciiTheme="majorHAnsi" w:hAnsiTheme="majorHAnsi"/>
          <w:sz w:val="16"/>
          <w:szCs w:val="16"/>
        </w:rPr>
        <w:footnoteRef/>
      </w:r>
      <w:r>
        <w:rPr>
          <w:rFonts w:asciiTheme="majorHAnsi" w:hAnsiTheme="majorHAnsi"/>
          <w:sz w:val="16"/>
          <w:szCs w:val="16"/>
          <w:lang w:val="es-ES_tradnl"/>
        </w:rPr>
        <w:t xml:space="preserve"> Corte IDH</w:t>
      </w:r>
      <w:r w:rsidRPr="00B97F15">
        <w:rPr>
          <w:rFonts w:asciiTheme="majorHAnsi" w:hAnsiTheme="majorHAnsi"/>
          <w:sz w:val="16"/>
          <w:szCs w:val="16"/>
          <w:lang w:val="es-ES_tradnl"/>
        </w:rPr>
        <w:t xml:space="preserve">, </w:t>
      </w:r>
      <w:r w:rsidRPr="00B97F15">
        <w:rPr>
          <w:rFonts w:asciiTheme="majorHAnsi" w:hAnsiTheme="majorHAnsi"/>
          <w:bCs/>
          <w:sz w:val="16"/>
          <w:szCs w:val="16"/>
          <w:lang w:val="es-ES_tradnl"/>
        </w:rPr>
        <w:t xml:space="preserve">Caso Zambrano Vélez y otros. </w:t>
      </w:r>
      <w:r w:rsidRPr="00B97F15">
        <w:rPr>
          <w:rFonts w:asciiTheme="majorHAnsi" w:hAnsiTheme="majorHAnsi"/>
          <w:sz w:val="16"/>
          <w:szCs w:val="16"/>
          <w:lang w:val="es-ES_tradnl"/>
        </w:rPr>
        <w:t>Fondo, Reparaciones y Costas. Sentencia de 4 de julio de 2007. Serie C No. 166. Párr. 122.</w:t>
      </w:r>
    </w:p>
  </w:footnote>
  <w:footnote w:id="182">
    <w:p w14:paraId="49C67D94"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Como ha sido indicado por la Corte Interamericana en casos de graves violaciones de derechos humanos. Ver por ejemplo Corte IDH, Caso de la Masacre de Pueblo Bello vs Colombia, sentencia de 31 de enero de 2006, Serie C 140, párr.143. </w:t>
      </w:r>
    </w:p>
  </w:footnote>
  <w:footnote w:id="183">
    <w:p w14:paraId="5ECC6D28"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Corte IDH, Caso </w:t>
      </w:r>
      <w:proofErr w:type="spellStart"/>
      <w:r w:rsidRPr="00B97F15">
        <w:rPr>
          <w:rFonts w:asciiTheme="majorHAnsi" w:hAnsiTheme="majorHAnsi"/>
          <w:sz w:val="16"/>
          <w:szCs w:val="16"/>
          <w:lang w:val="es-VE"/>
        </w:rPr>
        <w:t>Escué</w:t>
      </w:r>
      <w:proofErr w:type="spellEnd"/>
      <w:r w:rsidRPr="00B97F15">
        <w:rPr>
          <w:rFonts w:asciiTheme="majorHAnsi" w:hAnsiTheme="majorHAnsi"/>
          <w:sz w:val="16"/>
          <w:szCs w:val="16"/>
          <w:lang w:val="es-VE"/>
        </w:rPr>
        <w:t xml:space="preserve"> Zapata vs. Colombia. Fondo, Reparaciones y costas. Sentencia de 4 de julio de 2004, Serie C  No. 165, párr.106.; Corte IDH, Caso Radilla Pacheco vs. Estados Unidos Mexicanos. Excepciones Preliminares, Fondo, Reparaciones y Costas. Sentencia de 23 de noviembre de 2009. Serie C No. 209, párr.333. </w:t>
      </w:r>
    </w:p>
  </w:footnote>
  <w:footnote w:id="184">
    <w:p w14:paraId="638481ED"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Comisión Interamericana de Derechos humanos, Informe especial Acceso a la justicia e inclusión social: el camino hacia el fortalecimiento de la democracia en Bolivia. 28 de junio de 2007, párr. 153. Disponible en: </w:t>
      </w:r>
      <w:hyperlink r:id="rId56" w:history="1">
        <w:r w:rsidRPr="00B97F15">
          <w:rPr>
            <w:rStyle w:val="Hyperlink"/>
            <w:rFonts w:asciiTheme="majorHAnsi" w:hAnsiTheme="majorHAnsi"/>
            <w:sz w:val="16"/>
            <w:szCs w:val="16"/>
            <w:u w:val="none"/>
            <w:lang w:val="es-VE"/>
          </w:rPr>
          <w:t>http://www.cidh.oas.org/countryrep/Bolivia2007sp/Bolivia07cap1.sp.htm</w:t>
        </w:r>
      </w:hyperlink>
      <w:r w:rsidRPr="00B97F15">
        <w:rPr>
          <w:rFonts w:asciiTheme="majorHAnsi" w:hAnsiTheme="majorHAnsi"/>
          <w:sz w:val="16"/>
          <w:szCs w:val="16"/>
          <w:lang w:val="es-VE"/>
        </w:rPr>
        <w:t xml:space="preserve">. </w:t>
      </w:r>
    </w:p>
  </w:footnote>
  <w:footnote w:id="185">
    <w:p w14:paraId="6D795E9A" w14:textId="21E17739"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Anexo </w:t>
      </w:r>
      <w:r>
        <w:rPr>
          <w:rFonts w:asciiTheme="majorHAnsi" w:hAnsiTheme="majorHAnsi"/>
          <w:sz w:val="16"/>
          <w:szCs w:val="16"/>
          <w:lang w:val="es-VE"/>
        </w:rPr>
        <w:t>62</w:t>
      </w:r>
      <w:r w:rsidRPr="00B97F15">
        <w:rPr>
          <w:rFonts w:asciiTheme="majorHAnsi" w:hAnsiTheme="majorHAnsi"/>
          <w:sz w:val="16"/>
          <w:szCs w:val="16"/>
          <w:lang w:val="es-VE"/>
        </w:rPr>
        <w:t>. Decisión de la Sala Séptima de la Corte de Apelaciones del Circuito Judicial Penal del Área Metropolitana de Caracas que declara sin lugar recurso de apelación, 12 de mayo de 2005, Anexo II de la denuncia presentada ante la CIDH el 7 de marzo de 2006.</w:t>
      </w:r>
    </w:p>
  </w:footnote>
  <w:footnote w:id="186">
    <w:p w14:paraId="642F1D4C"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Código Orgánico Procesal Penal, Gaceta oficial de la República Bolivariana de Venezuela No 5558 del 14-11-2001, disponible en: </w:t>
      </w:r>
      <w:hyperlink r:id="rId57" w:history="1">
        <w:r w:rsidRPr="00B97F15">
          <w:rPr>
            <w:rStyle w:val="Hyperlink"/>
            <w:rFonts w:asciiTheme="majorHAnsi" w:hAnsiTheme="majorHAnsi"/>
            <w:sz w:val="16"/>
            <w:szCs w:val="16"/>
            <w:u w:val="none"/>
            <w:lang w:val="es-VE"/>
          </w:rPr>
          <w:t>http://www.oas.org/juridico/spanish/cyb_ven_Cod_Org_Pro_Penal.pdf</w:t>
        </w:r>
      </w:hyperlink>
      <w:r w:rsidRPr="00B97F15">
        <w:rPr>
          <w:rFonts w:asciiTheme="majorHAnsi" w:hAnsiTheme="majorHAnsi"/>
          <w:sz w:val="16"/>
          <w:szCs w:val="16"/>
          <w:lang w:val="es-VE"/>
        </w:rPr>
        <w:t xml:space="preserve">.     </w:t>
      </w:r>
    </w:p>
  </w:footnote>
  <w:footnote w:id="187">
    <w:p w14:paraId="7E83E743" w14:textId="7203FDA1"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Pr>
          <w:rFonts w:asciiTheme="majorHAnsi" w:hAnsiTheme="majorHAnsi"/>
          <w:sz w:val="16"/>
          <w:szCs w:val="16"/>
          <w:lang w:val="pt-BR"/>
        </w:rPr>
        <w:t xml:space="preserve"> </w:t>
      </w:r>
      <w:r>
        <w:rPr>
          <w:rFonts w:asciiTheme="majorHAnsi" w:hAnsiTheme="majorHAnsi"/>
          <w:sz w:val="16"/>
          <w:szCs w:val="16"/>
          <w:lang w:val="pt-BR"/>
        </w:rPr>
        <w:t>Corte IDH,</w:t>
      </w:r>
      <w:r w:rsidRPr="00B97F15">
        <w:rPr>
          <w:rFonts w:asciiTheme="majorHAnsi" w:hAnsiTheme="majorHAnsi"/>
          <w:sz w:val="16"/>
          <w:szCs w:val="16"/>
          <w:lang w:val="pt-BR"/>
        </w:rPr>
        <w:t xml:space="preserve"> Caso Blake vs. Guatemala. </w:t>
      </w:r>
      <w:r w:rsidRPr="00B97F15">
        <w:rPr>
          <w:rFonts w:asciiTheme="majorHAnsi" w:hAnsiTheme="majorHAnsi"/>
          <w:sz w:val="16"/>
          <w:szCs w:val="16"/>
          <w:lang w:val="es-VE"/>
        </w:rPr>
        <w:t xml:space="preserve">Fondo. Sentencia de 24 de enero de 1998, Serie C No. 36, párr. 103.    </w:t>
      </w:r>
    </w:p>
  </w:footnote>
  <w:footnote w:id="188">
    <w:p w14:paraId="254C02CE" w14:textId="5AE98736"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6B2D8F">
        <w:rPr>
          <w:rFonts w:asciiTheme="majorHAnsi" w:hAnsiTheme="majorHAnsi"/>
          <w:sz w:val="16"/>
          <w:szCs w:val="16"/>
          <w:lang w:val="es-VE"/>
        </w:rPr>
        <w:t xml:space="preserve"> Corte IDH, Caso Forneron e hija vs. Argentina. </w:t>
      </w:r>
      <w:r w:rsidRPr="00B97F15">
        <w:rPr>
          <w:rFonts w:asciiTheme="majorHAnsi" w:hAnsiTheme="majorHAnsi"/>
          <w:sz w:val="16"/>
          <w:szCs w:val="16"/>
          <w:lang w:val="es-VE"/>
        </w:rPr>
        <w:t xml:space="preserve">Fondo, Reparaciones y Costas. Sentencia de 27 de abril de 2012, Serie C No. 242, párr. 107.    </w:t>
      </w:r>
    </w:p>
  </w:footnote>
  <w:footnote w:id="189">
    <w:p w14:paraId="70147046"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 xml:space="preserve"> Corte IDH, Caso </w:t>
      </w:r>
      <w:proofErr w:type="spellStart"/>
      <w:r w:rsidRPr="00B97F15">
        <w:rPr>
          <w:rFonts w:asciiTheme="majorHAnsi" w:hAnsiTheme="majorHAnsi"/>
          <w:sz w:val="16"/>
          <w:szCs w:val="16"/>
          <w:lang w:val="es-VE"/>
        </w:rPr>
        <w:t>Kawas</w:t>
      </w:r>
      <w:proofErr w:type="spellEnd"/>
      <w:r w:rsidRPr="00B97F15">
        <w:rPr>
          <w:rFonts w:asciiTheme="majorHAnsi" w:hAnsiTheme="majorHAnsi"/>
          <w:sz w:val="16"/>
          <w:szCs w:val="16"/>
          <w:lang w:val="es-VE"/>
        </w:rPr>
        <w:t xml:space="preserve"> Fernández vs Honduras, Fondo, Reparaciones y Costas. Sentencia de 3 de abril de 2009, Serie C No. 196, párr.112.</w:t>
      </w:r>
    </w:p>
  </w:footnote>
  <w:footnote w:id="190">
    <w:p w14:paraId="5B242CA8" w14:textId="77777777" w:rsidR="006B2D8F" w:rsidRPr="00B97F15" w:rsidRDefault="006B2D8F" w:rsidP="00BD4AA9">
      <w:pPr>
        <w:pStyle w:val="FootnoteText"/>
        <w:spacing w:after="120"/>
        <w:ind w:firstLine="720"/>
        <w:jc w:val="both"/>
        <w:rPr>
          <w:rFonts w:asciiTheme="majorHAnsi" w:hAnsiTheme="majorHAnsi"/>
          <w:sz w:val="16"/>
          <w:szCs w:val="16"/>
          <w:lang w:val="es-VE"/>
        </w:rPr>
      </w:pPr>
      <w:r w:rsidRPr="00B97F15">
        <w:rPr>
          <w:rStyle w:val="FootnoteReference"/>
          <w:rFonts w:asciiTheme="majorHAnsi" w:hAnsiTheme="majorHAnsi"/>
          <w:sz w:val="16"/>
          <w:szCs w:val="16"/>
        </w:rPr>
        <w:footnoteRef/>
      </w:r>
      <w:r w:rsidRPr="00B97F15">
        <w:rPr>
          <w:rFonts w:asciiTheme="majorHAnsi" w:hAnsiTheme="majorHAnsi"/>
          <w:sz w:val="16"/>
          <w:szCs w:val="16"/>
          <w:lang w:val="es-VE"/>
        </w:rPr>
        <w:t>Ver Artículo 26 de la Constitución Política de la República Bolivariana de Venezuela, disponible en: http://www.cne.gob.ve/web/normativa_electoral/constitucion/titulo3.php#cap2sec2</w:t>
      </w:r>
    </w:p>
  </w:footnote>
  <w:footnote w:id="191">
    <w:p w14:paraId="15D21335" w14:textId="7EA9D825" w:rsidR="006B2D8F" w:rsidRPr="00B97F15" w:rsidRDefault="006B2D8F" w:rsidP="00BD4AA9">
      <w:pPr>
        <w:pStyle w:val="FootnoteText"/>
        <w:spacing w:after="120"/>
        <w:ind w:firstLine="720"/>
        <w:jc w:val="both"/>
        <w:rPr>
          <w:rFonts w:asciiTheme="majorHAnsi" w:hAnsiTheme="majorHAnsi"/>
          <w:sz w:val="16"/>
          <w:szCs w:val="16"/>
          <w:lang w:val="es-ES"/>
        </w:rPr>
      </w:pPr>
      <w:r w:rsidRPr="00B97F15">
        <w:rPr>
          <w:rStyle w:val="FootnoteReference"/>
          <w:rFonts w:asciiTheme="majorHAnsi" w:hAnsiTheme="majorHAnsi"/>
          <w:sz w:val="16"/>
          <w:szCs w:val="16"/>
        </w:rPr>
        <w:footnoteRef/>
      </w:r>
      <w:r w:rsidR="003C6160">
        <w:rPr>
          <w:rFonts w:asciiTheme="majorHAnsi" w:hAnsiTheme="majorHAnsi"/>
          <w:sz w:val="16"/>
          <w:szCs w:val="16"/>
          <w:lang w:val="es-ES"/>
        </w:rPr>
        <w:t xml:space="preserve"> Cfr. Corte IDH,</w:t>
      </w:r>
      <w:r w:rsidRPr="00B97F15">
        <w:rPr>
          <w:rFonts w:asciiTheme="majorHAnsi" w:hAnsiTheme="majorHAnsi"/>
          <w:sz w:val="16"/>
          <w:szCs w:val="16"/>
          <w:lang w:val="es-ES"/>
        </w:rPr>
        <w:t xml:space="preserve"> </w:t>
      </w:r>
      <w:r w:rsidRPr="00B97F15">
        <w:rPr>
          <w:rFonts w:asciiTheme="majorHAnsi" w:hAnsiTheme="majorHAnsi"/>
          <w:bCs/>
          <w:sz w:val="16"/>
          <w:szCs w:val="16"/>
          <w:lang w:val="es-ES"/>
        </w:rPr>
        <w:t xml:space="preserve">Caso </w:t>
      </w:r>
      <w:proofErr w:type="spellStart"/>
      <w:r w:rsidRPr="00B97F15">
        <w:rPr>
          <w:rFonts w:asciiTheme="majorHAnsi" w:hAnsiTheme="majorHAnsi"/>
          <w:bCs/>
          <w:sz w:val="16"/>
          <w:szCs w:val="16"/>
          <w:lang w:val="es-ES"/>
        </w:rPr>
        <w:t>Apitz</w:t>
      </w:r>
      <w:proofErr w:type="spellEnd"/>
      <w:r w:rsidRPr="00B97F15">
        <w:rPr>
          <w:rFonts w:asciiTheme="majorHAnsi" w:hAnsiTheme="majorHAnsi"/>
          <w:bCs/>
          <w:sz w:val="16"/>
          <w:szCs w:val="16"/>
          <w:lang w:val="es-ES"/>
        </w:rPr>
        <w:t xml:space="preserve"> Barbera y otros (“Corte Primera de lo Contencioso Administrativo”) Vs. Venezuela. </w:t>
      </w:r>
      <w:r w:rsidRPr="00B97F15">
        <w:rPr>
          <w:rFonts w:asciiTheme="majorHAnsi" w:hAnsiTheme="majorHAnsi"/>
          <w:sz w:val="16"/>
          <w:szCs w:val="16"/>
          <w:lang w:val="es-ES"/>
        </w:rPr>
        <w:t xml:space="preserve">Excepción Preliminar, Fondo, Reparaciones y Costas. Sentencia de 5 de agosto de 2008. Serie C No. 182, </w:t>
      </w:r>
      <w:proofErr w:type="spellStart"/>
      <w:r w:rsidRPr="00B97F15">
        <w:rPr>
          <w:rFonts w:asciiTheme="majorHAnsi" w:hAnsiTheme="majorHAnsi"/>
          <w:sz w:val="16"/>
          <w:szCs w:val="16"/>
          <w:lang w:val="es-ES"/>
        </w:rPr>
        <w:t>párrs</w:t>
      </w:r>
      <w:proofErr w:type="spellEnd"/>
      <w:r w:rsidRPr="00B97F15">
        <w:rPr>
          <w:rFonts w:asciiTheme="majorHAnsi" w:hAnsiTheme="majorHAnsi"/>
          <w:sz w:val="16"/>
          <w:szCs w:val="16"/>
          <w:lang w:val="es-ES"/>
        </w:rPr>
        <w:t xml:space="preserve">. 155 y 156. La Ley Orgánica de Amparo sobre Derechos y Garantías Constitucionales del año 1988, disponible en </w:t>
      </w:r>
      <w:hyperlink r:id="rId58" w:history="1">
        <w:r w:rsidRPr="00B97F15">
          <w:rPr>
            <w:rStyle w:val="Hyperlink"/>
            <w:rFonts w:asciiTheme="majorHAnsi" w:hAnsiTheme="majorHAnsi"/>
            <w:sz w:val="16"/>
            <w:szCs w:val="16"/>
            <w:u w:val="none"/>
            <w:lang w:val="es-ES"/>
          </w:rPr>
          <w:t>http://www.tsj.gov.ve/legislacion/loadgc.html</w:t>
        </w:r>
      </w:hyperlink>
      <w:r w:rsidRPr="00B97F15">
        <w:rPr>
          <w:rFonts w:asciiTheme="majorHAnsi" w:hAnsiTheme="majorHAnsi"/>
          <w:sz w:val="16"/>
          <w:szCs w:val="16"/>
          <w:lang w:val="es-ES"/>
        </w:rPr>
        <w:t>, establece en parte relevante que:</w:t>
      </w:r>
    </w:p>
    <w:p w14:paraId="37379A7E" w14:textId="77777777" w:rsidR="006B2D8F" w:rsidRPr="00B97F15" w:rsidRDefault="006B2D8F" w:rsidP="00BD4AA9">
      <w:pPr>
        <w:pStyle w:val="NormalWeb"/>
        <w:spacing w:before="0" w:beforeAutospacing="0" w:after="120" w:afterAutospacing="0"/>
        <w:ind w:firstLine="720"/>
        <w:jc w:val="both"/>
        <w:rPr>
          <w:rFonts w:asciiTheme="majorHAnsi" w:hAnsiTheme="majorHAnsi"/>
          <w:sz w:val="16"/>
          <w:szCs w:val="16"/>
          <w:lang w:val="es-ES"/>
        </w:rPr>
      </w:pPr>
      <w:r w:rsidRPr="00B97F15">
        <w:rPr>
          <w:rFonts w:asciiTheme="majorHAnsi" w:hAnsiTheme="majorHAnsi"/>
          <w:bCs/>
          <w:sz w:val="16"/>
          <w:szCs w:val="16"/>
          <w:lang w:val="es-ES"/>
        </w:rPr>
        <w:t>Artículo 22.-</w:t>
      </w:r>
      <w:r w:rsidRPr="00B97F15">
        <w:rPr>
          <w:rFonts w:asciiTheme="majorHAnsi" w:hAnsiTheme="majorHAnsi"/>
          <w:sz w:val="16"/>
          <w:szCs w:val="16"/>
          <w:lang w:val="es-ES"/>
        </w:rPr>
        <w:t xml:space="preserve"> El Tribunal que conozca de la solicitud de amparo tendrá potestad para restablecer la situación jurídica infringida, prescindiendo de consideraciones de mera forma y sin ningún tipo de averiguación sumaria que la preceda.</w:t>
      </w:r>
    </w:p>
    <w:p w14:paraId="6B2E9D20" w14:textId="77777777" w:rsidR="006B2D8F" w:rsidRPr="00B97F15" w:rsidRDefault="006B2D8F" w:rsidP="00BD4AA9">
      <w:pPr>
        <w:pStyle w:val="NormalWeb"/>
        <w:spacing w:before="0" w:beforeAutospacing="0" w:after="120" w:afterAutospacing="0"/>
        <w:ind w:firstLine="720"/>
        <w:jc w:val="both"/>
        <w:rPr>
          <w:rFonts w:asciiTheme="majorHAnsi" w:hAnsiTheme="majorHAnsi"/>
          <w:sz w:val="16"/>
          <w:szCs w:val="16"/>
          <w:lang w:val="es-ES"/>
        </w:rPr>
      </w:pPr>
      <w:r w:rsidRPr="00B97F15">
        <w:rPr>
          <w:rFonts w:asciiTheme="majorHAnsi" w:hAnsiTheme="majorHAnsi"/>
          <w:sz w:val="16"/>
          <w:szCs w:val="16"/>
          <w:lang w:val="es-ES"/>
        </w:rPr>
        <w:t>En este caso, el mandamiento de amparo deberá ser motivado y estar fundamentado en un medio de prueba que constituya presunción grave de la violación o de la amenaza de violación.</w:t>
      </w:r>
    </w:p>
    <w:p w14:paraId="764ECE28" w14:textId="77777777" w:rsidR="006B2D8F" w:rsidRPr="00B97F15" w:rsidRDefault="006B2D8F" w:rsidP="00BD4AA9">
      <w:pPr>
        <w:pStyle w:val="NormalWeb"/>
        <w:spacing w:before="0" w:beforeAutospacing="0" w:after="120" w:afterAutospacing="0"/>
        <w:ind w:firstLine="720"/>
        <w:jc w:val="both"/>
        <w:rPr>
          <w:rFonts w:asciiTheme="majorHAnsi" w:hAnsiTheme="majorHAnsi"/>
          <w:sz w:val="16"/>
          <w:szCs w:val="16"/>
          <w:lang w:val="es-ES"/>
        </w:rPr>
      </w:pPr>
      <w:r w:rsidRPr="00B97F15">
        <w:rPr>
          <w:rFonts w:asciiTheme="majorHAnsi" w:hAnsiTheme="majorHAnsi"/>
          <w:bCs/>
          <w:sz w:val="16"/>
          <w:szCs w:val="16"/>
          <w:lang w:val="es-ES"/>
        </w:rPr>
        <w:t>Artículo 23.-</w:t>
      </w:r>
      <w:r w:rsidRPr="00B97F15">
        <w:rPr>
          <w:rFonts w:asciiTheme="majorHAnsi" w:hAnsiTheme="majorHAnsi"/>
          <w:sz w:val="16"/>
          <w:szCs w:val="16"/>
          <w:lang w:val="es-ES"/>
        </w:rPr>
        <w:t xml:space="preserve"> Si el Juez no optare por restablecer inmediatamente la situación jurídica infringida, conforme al artículo anterior, ordenará a la autoridad, entidad, organización social o a los particulares imputados de violar o amenazar el derecho o la garantía constitucionales, que en el término de cuarenta y ocho (48) horas, contadas a partir de la respectiva notificación, informe sobre la pretendida violación o amenaza que hubiere motivado la solicitud de amparo.</w:t>
      </w:r>
    </w:p>
    <w:p w14:paraId="4847C633" w14:textId="77777777" w:rsidR="006B2D8F" w:rsidRPr="00B97F15" w:rsidRDefault="006B2D8F" w:rsidP="00BD4AA9">
      <w:pPr>
        <w:pStyle w:val="NormalWeb"/>
        <w:spacing w:before="0" w:beforeAutospacing="0" w:after="120" w:afterAutospacing="0"/>
        <w:ind w:firstLine="720"/>
        <w:jc w:val="both"/>
        <w:rPr>
          <w:rFonts w:asciiTheme="majorHAnsi" w:hAnsiTheme="majorHAnsi"/>
          <w:sz w:val="16"/>
          <w:szCs w:val="16"/>
          <w:lang w:val="es-ES"/>
        </w:rPr>
      </w:pPr>
      <w:r w:rsidRPr="00B97F15">
        <w:rPr>
          <w:rFonts w:asciiTheme="majorHAnsi" w:hAnsiTheme="majorHAnsi"/>
          <w:sz w:val="16"/>
          <w:szCs w:val="16"/>
          <w:lang w:val="es-ES"/>
        </w:rPr>
        <w:t>La falta de informe correspondiente se entenderá como aceptación de los hechos incriminados.</w:t>
      </w:r>
    </w:p>
    <w:p w14:paraId="048B5B23" w14:textId="77777777" w:rsidR="006B2D8F" w:rsidRPr="00B97F15" w:rsidRDefault="006B2D8F" w:rsidP="00BD4AA9">
      <w:pPr>
        <w:pStyle w:val="NormalWeb"/>
        <w:spacing w:before="0" w:beforeAutospacing="0" w:after="120" w:afterAutospacing="0"/>
        <w:ind w:firstLine="720"/>
        <w:jc w:val="both"/>
        <w:rPr>
          <w:rFonts w:asciiTheme="majorHAnsi" w:hAnsiTheme="majorHAnsi"/>
          <w:sz w:val="16"/>
          <w:szCs w:val="16"/>
          <w:lang w:val="es-ES"/>
        </w:rPr>
      </w:pPr>
      <w:r w:rsidRPr="00B97F15">
        <w:rPr>
          <w:rFonts w:asciiTheme="majorHAnsi" w:hAnsiTheme="majorHAnsi"/>
          <w:bCs/>
          <w:sz w:val="16"/>
          <w:szCs w:val="16"/>
          <w:lang w:val="es-ES"/>
        </w:rPr>
        <w:t>Artículo 26.-</w:t>
      </w:r>
      <w:r w:rsidRPr="00B97F15">
        <w:rPr>
          <w:rFonts w:asciiTheme="majorHAnsi" w:hAnsiTheme="majorHAnsi"/>
          <w:sz w:val="16"/>
          <w:szCs w:val="16"/>
          <w:lang w:val="es-ES"/>
        </w:rPr>
        <w:t xml:space="preserve"> El Juez que conozca del amparo, fijará dentro de las noventa y seis (96) horas siguientes a la presentación del Informe por el presunto agraviante o de la extinción del término correspondiente, la oportunidad para que las partes o sus representantes legales expresen, en forma oral y pública, los argumentos respectivos.</w:t>
      </w:r>
    </w:p>
    <w:p w14:paraId="71340190" w14:textId="77777777" w:rsidR="006B2D8F" w:rsidRPr="00B97F15" w:rsidRDefault="006B2D8F" w:rsidP="00BD4AA9">
      <w:pPr>
        <w:pStyle w:val="NormalWeb"/>
        <w:spacing w:before="0" w:beforeAutospacing="0" w:after="120" w:afterAutospacing="0"/>
        <w:ind w:firstLine="720"/>
        <w:jc w:val="both"/>
        <w:rPr>
          <w:rFonts w:asciiTheme="majorHAnsi" w:hAnsiTheme="majorHAnsi"/>
          <w:sz w:val="16"/>
          <w:szCs w:val="16"/>
          <w:lang w:val="es-ES"/>
        </w:rPr>
      </w:pPr>
      <w:r w:rsidRPr="00B97F15">
        <w:rPr>
          <w:rFonts w:asciiTheme="majorHAnsi" w:hAnsiTheme="majorHAnsi"/>
          <w:sz w:val="16"/>
          <w:szCs w:val="16"/>
          <w:lang w:val="es-ES"/>
        </w:rPr>
        <w:t>Efectuado dicho acto, el Juez dispondrá de un término improrrogable de veinticuatro (24) horas para decidir la solicitud de amparo constitucional.</w:t>
      </w:r>
    </w:p>
  </w:footnote>
  <w:footnote w:id="192">
    <w:p w14:paraId="732CE5D3" w14:textId="77777777" w:rsidR="006B2D8F" w:rsidRPr="00B97F15" w:rsidRDefault="006B2D8F" w:rsidP="00BD4AA9">
      <w:pPr>
        <w:pStyle w:val="FootnoteText"/>
        <w:spacing w:after="120"/>
        <w:ind w:firstLine="720"/>
        <w:jc w:val="both"/>
        <w:rPr>
          <w:rFonts w:asciiTheme="majorHAnsi" w:hAnsiTheme="majorHAnsi"/>
          <w:sz w:val="16"/>
          <w:szCs w:val="16"/>
          <w:lang w:val="es-ES"/>
        </w:rPr>
      </w:pPr>
      <w:r w:rsidRPr="00B97F15">
        <w:rPr>
          <w:rStyle w:val="FootnoteReference"/>
          <w:rFonts w:asciiTheme="majorHAnsi" w:hAnsiTheme="majorHAnsi"/>
          <w:sz w:val="16"/>
          <w:szCs w:val="16"/>
        </w:rPr>
        <w:footnoteRef/>
      </w:r>
      <w:r w:rsidRPr="00B97F15">
        <w:rPr>
          <w:rFonts w:asciiTheme="majorHAnsi" w:hAnsiTheme="majorHAnsi"/>
          <w:sz w:val="16"/>
          <w:szCs w:val="16"/>
          <w:lang w:val="es-ES"/>
        </w:rPr>
        <w:t xml:space="preserve"> Ley Orgánica de Amparo sobre Derechos y Garantías Constitucionales del año 1988, arts. 4, 13, disponible en </w:t>
      </w:r>
      <w:hyperlink r:id="rId59" w:history="1">
        <w:r w:rsidRPr="00B97F15">
          <w:rPr>
            <w:rStyle w:val="Hyperlink"/>
            <w:rFonts w:asciiTheme="majorHAnsi" w:hAnsiTheme="majorHAnsi"/>
            <w:sz w:val="16"/>
            <w:szCs w:val="16"/>
            <w:u w:val="none"/>
            <w:lang w:val="es-ES"/>
          </w:rPr>
          <w:t>http://www.tsj.gov.ve/legislacion/loadgc.html</w:t>
        </w:r>
      </w:hyperlink>
      <w:r w:rsidRPr="00B97F15">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04B12" w14:textId="77777777" w:rsidR="006B2D8F" w:rsidRDefault="006B2D8F"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5ACA709" w14:textId="77777777" w:rsidR="006B2D8F" w:rsidRDefault="006B2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F3C0F" w14:textId="77777777" w:rsidR="006B2D8F" w:rsidRDefault="006B2D8F" w:rsidP="00A50FCF">
    <w:pPr>
      <w:pStyle w:val="Header"/>
      <w:tabs>
        <w:tab w:val="clear" w:pos="4320"/>
        <w:tab w:val="clear" w:pos="8640"/>
      </w:tabs>
      <w:jc w:val="center"/>
      <w:rPr>
        <w:sz w:val="22"/>
        <w:szCs w:val="22"/>
      </w:rPr>
    </w:pPr>
    <w:r>
      <w:rPr>
        <w:noProof/>
        <w:sz w:val="22"/>
        <w:szCs w:val="22"/>
      </w:rPr>
      <w:drawing>
        <wp:inline distT="0" distB="0" distL="0" distR="0" wp14:anchorId="74C9ED49" wp14:editId="01A1101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ED00A27" w14:textId="77777777" w:rsidR="006B2D8F" w:rsidRPr="00EC7D62" w:rsidRDefault="006B2D8F" w:rsidP="00A50FCF">
    <w:pPr>
      <w:pStyle w:val="Header"/>
      <w:tabs>
        <w:tab w:val="clear" w:pos="4320"/>
        <w:tab w:val="clear" w:pos="8640"/>
      </w:tabs>
      <w:jc w:val="center"/>
      <w:rPr>
        <w:sz w:val="22"/>
        <w:szCs w:val="22"/>
      </w:rPr>
    </w:pPr>
    <w:r>
      <w:rPr>
        <w:sz w:val="22"/>
        <w:szCs w:val="22"/>
      </w:rPr>
      <w:pict w14:anchorId="1AF324E4">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60D3726"/>
    <w:multiLevelType w:val="hybridMultilevel"/>
    <w:tmpl w:val="BB02CCDE"/>
    <w:lvl w:ilvl="0" w:tplc="0AA0E02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3EB2"/>
    <w:multiLevelType w:val="hybridMultilevel"/>
    <w:tmpl w:val="0860CF78"/>
    <w:lvl w:ilvl="0" w:tplc="46E66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0AC29FB"/>
    <w:multiLevelType w:val="hybridMultilevel"/>
    <w:tmpl w:val="7EA4E954"/>
    <w:lvl w:ilvl="0" w:tplc="8C565DD2">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157F71"/>
    <w:multiLevelType w:val="hybridMultilevel"/>
    <w:tmpl w:val="C1C8CFC4"/>
    <w:lvl w:ilvl="0" w:tplc="0E9AA436">
      <w:start w:val="1"/>
      <w:numFmt w:val="decimal"/>
      <w:lvlText w:val="%1."/>
      <w:lvlJc w:val="left"/>
      <w:pPr>
        <w:tabs>
          <w:tab w:val="num" w:pos="1800"/>
        </w:tabs>
        <w:ind w:left="1800" w:hanging="360"/>
      </w:pPr>
      <w:rPr>
        <w:rFonts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FFF7F79"/>
    <w:multiLevelType w:val="hybridMultilevel"/>
    <w:tmpl w:val="DB6E93C0"/>
    <w:lvl w:ilvl="0" w:tplc="C0D662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7C65472"/>
    <w:multiLevelType w:val="hybridMultilevel"/>
    <w:tmpl w:val="B4603AC6"/>
    <w:lvl w:ilvl="0" w:tplc="1DF2145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DC61D90"/>
    <w:multiLevelType w:val="hybridMultilevel"/>
    <w:tmpl w:val="18829E14"/>
    <w:lvl w:ilvl="0" w:tplc="8C565DD2">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DC4859"/>
    <w:multiLevelType w:val="hybridMultilevel"/>
    <w:tmpl w:val="28EC4CF0"/>
    <w:lvl w:ilvl="0" w:tplc="16B68AC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A277D34"/>
    <w:multiLevelType w:val="hybridMultilevel"/>
    <w:tmpl w:val="7EA4E954"/>
    <w:lvl w:ilvl="0" w:tplc="8C565DD2">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5C403B6"/>
    <w:multiLevelType w:val="hybridMultilevel"/>
    <w:tmpl w:val="E080299C"/>
    <w:lvl w:ilvl="0" w:tplc="C9E29C94">
      <w:start w:val="6"/>
      <w:numFmt w:val="decimal"/>
      <w:lvlText w:val="%1."/>
      <w:lvlJc w:val="left"/>
      <w:pPr>
        <w:tabs>
          <w:tab w:val="num" w:pos="1350"/>
        </w:tabs>
        <w:ind w:left="1350" w:hanging="360"/>
      </w:pPr>
      <w:rPr>
        <w:rFonts w:ascii="Univers" w:hAnsi="Univer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66A101BB"/>
    <w:multiLevelType w:val="hybridMultilevel"/>
    <w:tmpl w:val="50C04F4C"/>
    <w:lvl w:ilvl="0" w:tplc="CB3E82CC">
      <w:start w:val="1"/>
      <w:numFmt w:val="upperRoman"/>
      <w:lvlText w:val="%1."/>
      <w:lvlJc w:val="left"/>
      <w:pPr>
        <w:tabs>
          <w:tab w:val="num" w:pos="1440"/>
        </w:tabs>
        <w:ind w:left="1440" w:hanging="720"/>
      </w:pPr>
      <w:rPr>
        <w:rFonts w:cs="Times New Roman" w:hint="default"/>
        <w:b/>
      </w:rPr>
    </w:lvl>
    <w:lvl w:ilvl="1" w:tplc="1DF2145E">
      <w:start w:val="1"/>
      <w:numFmt w:val="decimal"/>
      <w:lvlText w:val="%2."/>
      <w:lvlJc w:val="left"/>
      <w:pPr>
        <w:tabs>
          <w:tab w:val="num" w:pos="1800"/>
        </w:tabs>
        <w:ind w:left="1800" w:hanging="360"/>
      </w:pPr>
      <w:rPr>
        <w:rFonts w:cs="Times New Roman" w:hint="default"/>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9D0059"/>
    <w:multiLevelType w:val="hybridMultilevel"/>
    <w:tmpl w:val="7EA4E954"/>
    <w:lvl w:ilvl="0" w:tplc="8C565DD2">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3"/>
  </w:num>
  <w:num w:numId="4">
    <w:abstractNumId w:val="25"/>
  </w:num>
  <w:num w:numId="5">
    <w:abstractNumId w:val="55"/>
  </w:num>
  <w:num w:numId="6">
    <w:abstractNumId w:val="31"/>
  </w:num>
  <w:num w:numId="7">
    <w:abstractNumId w:val="8"/>
  </w:num>
  <w:num w:numId="8">
    <w:abstractNumId w:val="20"/>
  </w:num>
  <w:num w:numId="9">
    <w:abstractNumId w:val="50"/>
  </w:num>
  <w:num w:numId="10">
    <w:abstractNumId w:val="1"/>
  </w:num>
  <w:num w:numId="11">
    <w:abstractNumId w:val="44"/>
  </w:num>
  <w:num w:numId="12">
    <w:abstractNumId w:val="45"/>
  </w:num>
  <w:num w:numId="13">
    <w:abstractNumId w:val="52"/>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6"/>
  </w:num>
  <w:num w:numId="28">
    <w:abstractNumId w:val="27"/>
  </w:num>
  <w:num w:numId="29">
    <w:abstractNumId w:val="28"/>
  </w:num>
  <w:num w:numId="30">
    <w:abstractNumId w:val="30"/>
  </w:num>
  <w:num w:numId="31">
    <w:abstractNumId w:val="32"/>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7"/>
  </w:num>
  <w:num w:numId="40">
    <w:abstractNumId w:val="48"/>
  </w:num>
  <w:num w:numId="41">
    <w:abstractNumId w:val="54"/>
  </w:num>
  <w:num w:numId="42">
    <w:abstractNumId w:val="58"/>
  </w:num>
  <w:num w:numId="43">
    <w:abstractNumId w:val="59"/>
  </w:num>
  <w:num w:numId="44">
    <w:abstractNumId w:val="60"/>
  </w:num>
  <w:num w:numId="45">
    <w:abstractNumId w:val="62"/>
  </w:num>
  <w:num w:numId="46">
    <w:abstractNumId w:val="64"/>
  </w:num>
  <w:num w:numId="47">
    <w:abstractNumId w:val="65"/>
  </w:num>
  <w:num w:numId="48">
    <w:abstractNumId w:val="66"/>
  </w:num>
  <w:num w:numId="49">
    <w:abstractNumId w:val="68"/>
  </w:num>
  <w:num w:numId="50">
    <w:abstractNumId w:val="69"/>
  </w:num>
  <w:num w:numId="51">
    <w:abstractNumId w:val="24"/>
  </w:num>
  <w:num w:numId="52">
    <w:abstractNumId w:val="49"/>
  </w:num>
  <w:num w:numId="53">
    <w:abstractNumId w:val="53"/>
  </w:num>
  <w:num w:numId="54">
    <w:abstractNumId w:val="46"/>
  </w:num>
  <w:num w:numId="55">
    <w:abstractNumId w:val="56"/>
  </w:num>
  <w:num w:numId="56">
    <w:abstractNumId w:val="0"/>
  </w:num>
  <w:num w:numId="57">
    <w:abstractNumId w:val="67"/>
  </w:num>
  <w:num w:numId="58">
    <w:abstractNumId w:val="34"/>
  </w:num>
  <w:num w:numId="59">
    <w:abstractNumId w:val="33"/>
  </w:num>
  <w:num w:numId="60">
    <w:abstractNumId w:val="35"/>
  </w:num>
  <w:num w:numId="61">
    <w:abstractNumId w:val="29"/>
  </w:num>
  <w:num w:numId="62">
    <w:abstractNumId w:val="23"/>
  </w:num>
  <w:num w:numId="63">
    <w:abstractNumId w:val="7"/>
  </w:num>
  <w:num w:numId="64">
    <w:abstractNumId w:val="19"/>
  </w:num>
  <w:num w:numId="65">
    <w:abstractNumId w:val="6"/>
  </w:num>
  <w:num w:numId="66">
    <w:abstractNumId w:val="57"/>
  </w:num>
  <w:num w:numId="67">
    <w:abstractNumId w:val="61"/>
  </w:num>
  <w:num w:numId="68">
    <w:abstractNumId w:val="51"/>
  </w:num>
  <w:num w:numId="69">
    <w:abstractNumId w:val="43"/>
  </w:num>
  <w:num w:numId="70">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3686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472"/>
    <w:rsid w:val="00000CDA"/>
    <w:rsid w:val="0000270F"/>
    <w:rsid w:val="00003017"/>
    <w:rsid w:val="00003756"/>
    <w:rsid w:val="00003947"/>
    <w:rsid w:val="00003C0A"/>
    <w:rsid w:val="00003E8B"/>
    <w:rsid w:val="00004260"/>
    <w:rsid w:val="00004A86"/>
    <w:rsid w:val="00004DE7"/>
    <w:rsid w:val="00005F8B"/>
    <w:rsid w:val="00006210"/>
    <w:rsid w:val="000065BB"/>
    <w:rsid w:val="0000665B"/>
    <w:rsid w:val="00006B28"/>
    <w:rsid w:val="00006E1F"/>
    <w:rsid w:val="000070D7"/>
    <w:rsid w:val="00007135"/>
    <w:rsid w:val="0000713D"/>
    <w:rsid w:val="0000721C"/>
    <w:rsid w:val="00007C3A"/>
    <w:rsid w:val="00007E1F"/>
    <w:rsid w:val="00010E7B"/>
    <w:rsid w:val="00010F73"/>
    <w:rsid w:val="0001139F"/>
    <w:rsid w:val="00011BFA"/>
    <w:rsid w:val="00011D28"/>
    <w:rsid w:val="00012E69"/>
    <w:rsid w:val="00013262"/>
    <w:rsid w:val="00013EF8"/>
    <w:rsid w:val="00015B68"/>
    <w:rsid w:val="00015CF2"/>
    <w:rsid w:val="00016669"/>
    <w:rsid w:val="000167C9"/>
    <w:rsid w:val="00016D84"/>
    <w:rsid w:val="0001714B"/>
    <w:rsid w:val="0001788C"/>
    <w:rsid w:val="00017896"/>
    <w:rsid w:val="00017D12"/>
    <w:rsid w:val="00020576"/>
    <w:rsid w:val="00021607"/>
    <w:rsid w:val="000216C0"/>
    <w:rsid w:val="00021B34"/>
    <w:rsid w:val="00022008"/>
    <w:rsid w:val="0002248F"/>
    <w:rsid w:val="00023070"/>
    <w:rsid w:val="000234A9"/>
    <w:rsid w:val="0002440E"/>
    <w:rsid w:val="00024A8B"/>
    <w:rsid w:val="00024A9E"/>
    <w:rsid w:val="000258DF"/>
    <w:rsid w:val="0002680E"/>
    <w:rsid w:val="00027093"/>
    <w:rsid w:val="00027161"/>
    <w:rsid w:val="00027921"/>
    <w:rsid w:val="000308E4"/>
    <w:rsid w:val="00030CF4"/>
    <w:rsid w:val="00030EEA"/>
    <w:rsid w:val="00030EEC"/>
    <w:rsid w:val="0003140D"/>
    <w:rsid w:val="00032C1D"/>
    <w:rsid w:val="00032DB2"/>
    <w:rsid w:val="00033798"/>
    <w:rsid w:val="00033C0A"/>
    <w:rsid w:val="00033D3F"/>
    <w:rsid w:val="000345D8"/>
    <w:rsid w:val="000348CD"/>
    <w:rsid w:val="00034B08"/>
    <w:rsid w:val="00035898"/>
    <w:rsid w:val="00036090"/>
    <w:rsid w:val="00036409"/>
    <w:rsid w:val="0003681B"/>
    <w:rsid w:val="0003738C"/>
    <w:rsid w:val="00037C0D"/>
    <w:rsid w:val="00040AE9"/>
    <w:rsid w:val="00040C3A"/>
    <w:rsid w:val="0004176A"/>
    <w:rsid w:val="000422ED"/>
    <w:rsid w:val="000423AC"/>
    <w:rsid w:val="00042707"/>
    <w:rsid w:val="000428AA"/>
    <w:rsid w:val="00042AA3"/>
    <w:rsid w:val="0004316F"/>
    <w:rsid w:val="00043A9B"/>
    <w:rsid w:val="000443AB"/>
    <w:rsid w:val="000444CD"/>
    <w:rsid w:val="0004481A"/>
    <w:rsid w:val="00044D50"/>
    <w:rsid w:val="00044DFD"/>
    <w:rsid w:val="000455F8"/>
    <w:rsid w:val="00045932"/>
    <w:rsid w:val="00046100"/>
    <w:rsid w:val="0004618D"/>
    <w:rsid w:val="00046395"/>
    <w:rsid w:val="000465C7"/>
    <w:rsid w:val="0004682F"/>
    <w:rsid w:val="00046C0E"/>
    <w:rsid w:val="00050A98"/>
    <w:rsid w:val="00050BD1"/>
    <w:rsid w:val="00052C79"/>
    <w:rsid w:val="000531B7"/>
    <w:rsid w:val="0005362B"/>
    <w:rsid w:val="00053C8B"/>
    <w:rsid w:val="00053D00"/>
    <w:rsid w:val="00054266"/>
    <w:rsid w:val="00054BCE"/>
    <w:rsid w:val="00054D12"/>
    <w:rsid w:val="00055001"/>
    <w:rsid w:val="0005571E"/>
    <w:rsid w:val="00055963"/>
    <w:rsid w:val="00056E11"/>
    <w:rsid w:val="00062052"/>
    <w:rsid w:val="00062663"/>
    <w:rsid w:val="00062A19"/>
    <w:rsid w:val="00062AD7"/>
    <w:rsid w:val="00062B74"/>
    <w:rsid w:val="000646CE"/>
    <w:rsid w:val="00064A26"/>
    <w:rsid w:val="00064A4D"/>
    <w:rsid w:val="00064D5C"/>
    <w:rsid w:val="00064F88"/>
    <w:rsid w:val="000659A5"/>
    <w:rsid w:val="00065A77"/>
    <w:rsid w:val="000664AA"/>
    <w:rsid w:val="00066DC1"/>
    <w:rsid w:val="00066DC3"/>
    <w:rsid w:val="00066EF9"/>
    <w:rsid w:val="00067387"/>
    <w:rsid w:val="000673D7"/>
    <w:rsid w:val="0007061E"/>
    <w:rsid w:val="0007068E"/>
    <w:rsid w:val="00070D39"/>
    <w:rsid w:val="00070D46"/>
    <w:rsid w:val="000710A8"/>
    <w:rsid w:val="0007147B"/>
    <w:rsid w:val="000716C5"/>
    <w:rsid w:val="00072A6F"/>
    <w:rsid w:val="00073559"/>
    <w:rsid w:val="0007379B"/>
    <w:rsid w:val="000738B8"/>
    <w:rsid w:val="00073936"/>
    <w:rsid w:val="0007430D"/>
    <w:rsid w:val="00074A70"/>
    <w:rsid w:val="00075027"/>
    <w:rsid w:val="000756B3"/>
    <w:rsid w:val="00075E23"/>
    <w:rsid w:val="00075F8F"/>
    <w:rsid w:val="000766DB"/>
    <w:rsid w:val="0007700D"/>
    <w:rsid w:val="000771A8"/>
    <w:rsid w:val="000776FB"/>
    <w:rsid w:val="00077E68"/>
    <w:rsid w:val="0008002E"/>
    <w:rsid w:val="00080090"/>
    <w:rsid w:val="00081241"/>
    <w:rsid w:val="000819B7"/>
    <w:rsid w:val="00082D95"/>
    <w:rsid w:val="000832CE"/>
    <w:rsid w:val="00083661"/>
    <w:rsid w:val="000838F8"/>
    <w:rsid w:val="0008426D"/>
    <w:rsid w:val="00084A48"/>
    <w:rsid w:val="000852BF"/>
    <w:rsid w:val="00085AAE"/>
    <w:rsid w:val="000862C6"/>
    <w:rsid w:val="0008725D"/>
    <w:rsid w:val="000873CC"/>
    <w:rsid w:val="00087C95"/>
    <w:rsid w:val="00087F4C"/>
    <w:rsid w:val="00090355"/>
    <w:rsid w:val="00091369"/>
    <w:rsid w:val="00093196"/>
    <w:rsid w:val="00093275"/>
    <w:rsid w:val="0009344A"/>
    <w:rsid w:val="000936FF"/>
    <w:rsid w:val="00093C1D"/>
    <w:rsid w:val="0009424C"/>
    <w:rsid w:val="000949E4"/>
    <w:rsid w:val="00095BE7"/>
    <w:rsid w:val="000971C4"/>
    <w:rsid w:val="00097326"/>
    <w:rsid w:val="00097447"/>
    <w:rsid w:val="000978D9"/>
    <w:rsid w:val="0009791F"/>
    <w:rsid w:val="00097DA5"/>
    <w:rsid w:val="000A0655"/>
    <w:rsid w:val="000A0743"/>
    <w:rsid w:val="000A0D6F"/>
    <w:rsid w:val="000A17E2"/>
    <w:rsid w:val="000A2C5F"/>
    <w:rsid w:val="000A3352"/>
    <w:rsid w:val="000A392E"/>
    <w:rsid w:val="000A3ADC"/>
    <w:rsid w:val="000A3D54"/>
    <w:rsid w:val="000A495B"/>
    <w:rsid w:val="000A546E"/>
    <w:rsid w:val="000A55A4"/>
    <w:rsid w:val="000A56CB"/>
    <w:rsid w:val="000A575F"/>
    <w:rsid w:val="000A5CD6"/>
    <w:rsid w:val="000A7128"/>
    <w:rsid w:val="000A73B5"/>
    <w:rsid w:val="000A76B6"/>
    <w:rsid w:val="000A7E6B"/>
    <w:rsid w:val="000B08E4"/>
    <w:rsid w:val="000B0AB4"/>
    <w:rsid w:val="000B0AD2"/>
    <w:rsid w:val="000B15F9"/>
    <w:rsid w:val="000B21D2"/>
    <w:rsid w:val="000B2D3E"/>
    <w:rsid w:val="000B2FC1"/>
    <w:rsid w:val="000B33A5"/>
    <w:rsid w:val="000B389F"/>
    <w:rsid w:val="000B421C"/>
    <w:rsid w:val="000B5C0D"/>
    <w:rsid w:val="000B60D1"/>
    <w:rsid w:val="000B68EE"/>
    <w:rsid w:val="000B6F56"/>
    <w:rsid w:val="000B7473"/>
    <w:rsid w:val="000B77D4"/>
    <w:rsid w:val="000C185A"/>
    <w:rsid w:val="000C1AEB"/>
    <w:rsid w:val="000C1C31"/>
    <w:rsid w:val="000C1C40"/>
    <w:rsid w:val="000C21D9"/>
    <w:rsid w:val="000C246A"/>
    <w:rsid w:val="000C2D1E"/>
    <w:rsid w:val="000C3537"/>
    <w:rsid w:val="000C35AA"/>
    <w:rsid w:val="000C38D0"/>
    <w:rsid w:val="000C3FAF"/>
    <w:rsid w:val="000C4608"/>
    <w:rsid w:val="000C46DB"/>
    <w:rsid w:val="000C49E5"/>
    <w:rsid w:val="000C5BC3"/>
    <w:rsid w:val="000C5BC5"/>
    <w:rsid w:val="000C606A"/>
    <w:rsid w:val="000C6197"/>
    <w:rsid w:val="000C6396"/>
    <w:rsid w:val="000C6E2F"/>
    <w:rsid w:val="000C6E30"/>
    <w:rsid w:val="000D0883"/>
    <w:rsid w:val="000D10DB"/>
    <w:rsid w:val="000D2264"/>
    <w:rsid w:val="000D2B31"/>
    <w:rsid w:val="000D2FEA"/>
    <w:rsid w:val="000D3087"/>
    <w:rsid w:val="000D38BF"/>
    <w:rsid w:val="000D4302"/>
    <w:rsid w:val="000D4EDA"/>
    <w:rsid w:val="000D5813"/>
    <w:rsid w:val="000D5F45"/>
    <w:rsid w:val="000D63AB"/>
    <w:rsid w:val="000D6940"/>
    <w:rsid w:val="000D6C2C"/>
    <w:rsid w:val="000D77A5"/>
    <w:rsid w:val="000D7D62"/>
    <w:rsid w:val="000D7E5C"/>
    <w:rsid w:val="000E15E0"/>
    <w:rsid w:val="000E1735"/>
    <w:rsid w:val="000E2C13"/>
    <w:rsid w:val="000E2F92"/>
    <w:rsid w:val="000E36DB"/>
    <w:rsid w:val="000E4430"/>
    <w:rsid w:val="000E4DE0"/>
    <w:rsid w:val="000E4F9D"/>
    <w:rsid w:val="000E5573"/>
    <w:rsid w:val="000E5EB5"/>
    <w:rsid w:val="000E5F2D"/>
    <w:rsid w:val="000E68C0"/>
    <w:rsid w:val="000E696E"/>
    <w:rsid w:val="000E6BB4"/>
    <w:rsid w:val="000E6D56"/>
    <w:rsid w:val="000E6F30"/>
    <w:rsid w:val="000E74A1"/>
    <w:rsid w:val="000E786A"/>
    <w:rsid w:val="000E79C6"/>
    <w:rsid w:val="000E7DB1"/>
    <w:rsid w:val="000E7F36"/>
    <w:rsid w:val="000F02CF"/>
    <w:rsid w:val="000F05CF"/>
    <w:rsid w:val="000F0D25"/>
    <w:rsid w:val="000F144C"/>
    <w:rsid w:val="000F1BFB"/>
    <w:rsid w:val="000F37CF"/>
    <w:rsid w:val="000F4860"/>
    <w:rsid w:val="000F5F5D"/>
    <w:rsid w:val="000F60D7"/>
    <w:rsid w:val="000F6422"/>
    <w:rsid w:val="000F6BAD"/>
    <w:rsid w:val="00100C29"/>
    <w:rsid w:val="00100DF8"/>
    <w:rsid w:val="0010163B"/>
    <w:rsid w:val="00101D95"/>
    <w:rsid w:val="0010210A"/>
    <w:rsid w:val="00103220"/>
    <w:rsid w:val="00103340"/>
    <w:rsid w:val="001048C3"/>
    <w:rsid w:val="00104D50"/>
    <w:rsid w:val="00104EEF"/>
    <w:rsid w:val="00104F8F"/>
    <w:rsid w:val="00105618"/>
    <w:rsid w:val="00105BF1"/>
    <w:rsid w:val="00105C91"/>
    <w:rsid w:val="001063C9"/>
    <w:rsid w:val="00106BB9"/>
    <w:rsid w:val="00106D45"/>
    <w:rsid w:val="00107131"/>
    <w:rsid w:val="001072D6"/>
    <w:rsid w:val="001072DB"/>
    <w:rsid w:val="0010736F"/>
    <w:rsid w:val="00107DE1"/>
    <w:rsid w:val="001108C5"/>
    <w:rsid w:val="00111119"/>
    <w:rsid w:val="0011146D"/>
    <w:rsid w:val="00111D90"/>
    <w:rsid w:val="00112E9A"/>
    <w:rsid w:val="001135F0"/>
    <w:rsid w:val="001137BC"/>
    <w:rsid w:val="00113F73"/>
    <w:rsid w:val="0011455B"/>
    <w:rsid w:val="001148E3"/>
    <w:rsid w:val="00114A3E"/>
    <w:rsid w:val="00114F8B"/>
    <w:rsid w:val="00114FA2"/>
    <w:rsid w:val="0011518A"/>
    <w:rsid w:val="0011559D"/>
    <w:rsid w:val="001159C2"/>
    <w:rsid w:val="00116A99"/>
    <w:rsid w:val="00116DE9"/>
    <w:rsid w:val="0011729F"/>
    <w:rsid w:val="00117804"/>
    <w:rsid w:val="001179C8"/>
    <w:rsid w:val="001207B6"/>
    <w:rsid w:val="00121CC2"/>
    <w:rsid w:val="00121DA5"/>
    <w:rsid w:val="0012243C"/>
    <w:rsid w:val="001244C2"/>
    <w:rsid w:val="0012463E"/>
    <w:rsid w:val="00124FDB"/>
    <w:rsid w:val="001256DB"/>
    <w:rsid w:val="00125A0D"/>
    <w:rsid w:val="00126439"/>
    <w:rsid w:val="001267D6"/>
    <w:rsid w:val="001271B3"/>
    <w:rsid w:val="001272DF"/>
    <w:rsid w:val="0013019B"/>
    <w:rsid w:val="001302EC"/>
    <w:rsid w:val="00131531"/>
    <w:rsid w:val="001317DE"/>
    <w:rsid w:val="00131D92"/>
    <w:rsid w:val="00132556"/>
    <w:rsid w:val="00132991"/>
    <w:rsid w:val="00133265"/>
    <w:rsid w:val="00133EE5"/>
    <w:rsid w:val="00134213"/>
    <w:rsid w:val="001348B4"/>
    <w:rsid w:val="0013490B"/>
    <w:rsid w:val="00134CAE"/>
    <w:rsid w:val="00134EC9"/>
    <w:rsid w:val="00135AFF"/>
    <w:rsid w:val="001362B9"/>
    <w:rsid w:val="00136BF2"/>
    <w:rsid w:val="00136BFD"/>
    <w:rsid w:val="00136C3F"/>
    <w:rsid w:val="00137255"/>
    <w:rsid w:val="001375A9"/>
    <w:rsid w:val="00137B73"/>
    <w:rsid w:val="00137DCE"/>
    <w:rsid w:val="0014020B"/>
    <w:rsid w:val="001414D2"/>
    <w:rsid w:val="00142959"/>
    <w:rsid w:val="00142F23"/>
    <w:rsid w:val="001435E4"/>
    <w:rsid w:val="00144168"/>
    <w:rsid w:val="0014430E"/>
    <w:rsid w:val="00144E97"/>
    <w:rsid w:val="00144F7B"/>
    <w:rsid w:val="00144F9D"/>
    <w:rsid w:val="0014640C"/>
    <w:rsid w:val="001464BE"/>
    <w:rsid w:val="00146DFF"/>
    <w:rsid w:val="00147374"/>
    <w:rsid w:val="0014754E"/>
    <w:rsid w:val="00147CDE"/>
    <w:rsid w:val="00150901"/>
    <w:rsid w:val="001509F1"/>
    <w:rsid w:val="0015155E"/>
    <w:rsid w:val="001518CD"/>
    <w:rsid w:val="001518FF"/>
    <w:rsid w:val="00151A9C"/>
    <w:rsid w:val="00152586"/>
    <w:rsid w:val="00153168"/>
    <w:rsid w:val="00153902"/>
    <w:rsid w:val="0015428A"/>
    <w:rsid w:val="00154311"/>
    <w:rsid w:val="0015476E"/>
    <w:rsid w:val="00155196"/>
    <w:rsid w:val="00155CBD"/>
    <w:rsid w:val="0015623F"/>
    <w:rsid w:val="0015653E"/>
    <w:rsid w:val="001567E9"/>
    <w:rsid w:val="00156F91"/>
    <w:rsid w:val="0016081C"/>
    <w:rsid w:val="0016148D"/>
    <w:rsid w:val="001629BF"/>
    <w:rsid w:val="001642A7"/>
    <w:rsid w:val="001644A9"/>
    <w:rsid w:val="00165554"/>
    <w:rsid w:val="00165B4C"/>
    <w:rsid w:val="0016638B"/>
    <w:rsid w:val="0016731E"/>
    <w:rsid w:val="0016793E"/>
    <w:rsid w:val="00167A34"/>
    <w:rsid w:val="00167A48"/>
    <w:rsid w:val="0017016B"/>
    <w:rsid w:val="00170E57"/>
    <w:rsid w:val="00171223"/>
    <w:rsid w:val="00171A98"/>
    <w:rsid w:val="00172786"/>
    <w:rsid w:val="00172BA6"/>
    <w:rsid w:val="00173BFF"/>
    <w:rsid w:val="00173E25"/>
    <w:rsid w:val="00174320"/>
    <w:rsid w:val="00175231"/>
    <w:rsid w:val="00175520"/>
    <w:rsid w:val="00176353"/>
    <w:rsid w:val="001770BB"/>
    <w:rsid w:val="001777FD"/>
    <w:rsid w:val="001801B2"/>
    <w:rsid w:val="001801CE"/>
    <w:rsid w:val="00180AF9"/>
    <w:rsid w:val="00181839"/>
    <w:rsid w:val="00181F9D"/>
    <w:rsid w:val="001820E3"/>
    <w:rsid w:val="00182194"/>
    <w:rsid w:val="0018242E"/>
    <w:rsid w:val="00182F97"/>
    <w:rsid w:val="0018301D"/>
    <w:rsid w:val="001834F3"/>
    <w:rsid w:val="0018399C"/>
    <w:rsid w:val="00183B96"/>
    <w:rsid w:val="00183D57"/>
    <w:rsid w:val="0018406F"/>
    <w:rsid w:val="00184368"/>
    <w:rsid w:val="00184CD1"/>
    <w:rsid w:val="0018609E"/>
    <w:rsid w:val="001869BA"/>
    <w:rsid w:val="00186D50"/>
    <w:rsid w:val="001875BF"/>
    <w:rsid w:val="00187970"/>
    <w:rsid w:val="00187F36"/>
    <w:rsid w:val="001904BF"/>
    <w:rsid w:val="0019090E"/>
    <w:rsid w:val="0019117A"/>
    <w:rsid w:val="00191B05"/>
    <w:rsid w:val="00191D9E"/>
    <w:rsid w:val="0019315D"/>
    <w:rsid w:val="00193E53"/>
    <w:rsid w:val="00196576"/>
    <w:rsid w:val="00196FAB"/>
    <w:rsid w:val="00197D1C"/>
    <w:rsid w:val="001A0392"/>
    <w:rsid w:val="001A0A80"/>
    <w:rsid w:val="001A0E10"/>
    <w:rsid w:val="001A1C29"/>
    <w:rsid w:val="001A2E9E"/>
    <w:rsid w:val="001A326F"/>
    <w:rsid w:val="001A39C9"/>
    <w:rsid w:val="001A3D33"/>
    <w:rsid w:val="001A4150"/>
    <w:rsid w:val="001A4B19"/>
    <w:rsid w:val="001A56BE"/>
    <w:rsid w:val="001A5D0E"/>
    <w:rsid w:val="001A6142"/>
    <w:rsid w:val="001A6A3C"/>
    <w:rsid w:val="001A732B"/>
    <w:rsid w:val="001A73F3"/>
    <w:rsid w:val="001A7821"/>
    <w:rsid w:val="001A7870"/>
    <w:rsid w:val="001A7911"/>
    <w:rsid w:val="001B05AB"/>
    <w:rsid w:val="001B0833"/>
    <w:rsid w:val="001B0CFF"/>
    <w:rsid w:val="001B0DAD"/>
    <w:rsid w:val="001B24D6"/>
    <w:rsid w:val="001B2DA4"/>
    <w:rsid w:val="001B317F"/>
    <w:rsid w:val="001B397A"/>
    <w:rsid w:val="001B4309"/>
    <w:rsid w:val="001B464B"/>
    <w:rsid w:val="001B4E9A"/>
    <w:rsid w:val="001B512E"/>
    <w:rsid w:val="001B58DF"/>
    <w:rsid w:val="001B64C6"/>
    <w:rsid w:val="001B6514"/>
    <w:rsid w:val="001B668D"/>
    <w:rsid w:val="001B73E2"/>
    <w:rsid w:val="001B7CF7"/>
    <w:rsid w:val="001C02FD"/>
    <w:rsid w:val="001C0846"/>
    <w:rsid w:val="001C08F4"/>
    <w:rsid w:val="001C0C84"/>
    <w:rsid w:val="001C1B41"/>
    <w:rsid w:val="001C1FDD"/>
    <w:rsid w:val="001C3B7C"/>
    <w:rsid w:val="001C4035"/>
    <w:rsid w:val="001C4D40"/>
    <w:rsid w:val="001C5071"/>
    <w:rsid w:val="001C5CF6"/>
    <w:rsid w:val="001C65BC"/>
    <w:rsid w:val="001C65C8"/>
    <w:rsid w:val="001C7030"/>
    <w:rsid w:val="001C741A"/>
    <w:rsid w:val="001C7D08"/>
    <w:rsid w:val="001C7FB9"/>
    <w:rsid w:val="001D0110"/>
    <w:rsid w:val="001D018F"/>
    <w:rsid w:val="001D0A2D"/>
    <w:rsid w:val="001D0C3F"/>
    <w:rsid w:val="001D0FE9"/>
    <w:rsid w:val="001D1AB6"/>
    <w:rsid w:val="001D2A57"/>
    <w:rsid w:val="001D3235"/>
    <w:rsid w:val="001D4838"/>
    <w:rsid w:val="001D4920"/>
    <w:rsid w:val="001D4DCB"/>
    <w:rsid w:val="001D517C"/>
    <w:rsid w:val="001D53DD"/>
    <w:rsid w:val="001D568D"/>
    <w:rsid w:val="001D5CAE"/>
    <w:rsid w:val="001D6213"/>
    <w:rsid w:val="001D6250"/>
    <w:rsid w:val="001D65EF"/>
    <w:rsid w:val="001D679A"/>
    <w:rsid w:val="001D6933"/>
    <w:rsid w:val="001D714A"/>
    <w:rsid w:val="001D72C4"/>
    <w:rsid w:val="001D78C3"/>
    <w:rsid w:val="001D79BD"/>
    <w:rsid w:val="001D7D0B"/>
    <w:rsid w:val="001D7EE5"/>
    <w:rsid w:val="001E0794"/>
    <w:rsid w:val="001E0E8D"/>
    <w:rsid w:val="001E199C"/>
    <w:rsid w:val="001E1A30"/>
    <w:rsid w:val="001E20DA"/>
    <w:rsid w:val="001E3CF8"/>
    <w:rsid w:val="001E3D9F"/>
    <w:rsid w:val="001E44AA"/>
    <w:rsid w:val="001E478E"/>
    <w:rsid w:val="001E5710"/>
    <w:rsid w:val="001E616F"/>
    <w:rsid w:val="001E626D"/>
    <w:rsid w:val="001E730E"/>
    <w:rsid w:val="001E7B01"/>
    <w:rsid w:val="001E7F5B"/>
    <w:rsid w:val="001F0BAC"/>
    <w:rsid w:val="001F1FCA"/>
    <w:rsid w:val="001F2029"/>
    <w:rsid w:val="001F21BE"/>
    <w:rsid w:val="001F2493"/>
    <w:rsid w:val="001F2850"/>
    <w:rsid w:val="001F2A99"/>
    <w:rsid w:val="001F3808"/>
    <w:rsid w:val="001F3C33"/>
    <w:rsid w:val="001F4AD7"/>
    <w:rsid w:val="001F5239"/>
    <w:rsid w:val="001F5F72"/>
    <w:rsid w:val="001F6B91"/>
    <w:rsid w:val="001F7317"/>
    <w:rsid w:val="001F7DEA"/>
    <w:rsid w:val="00200042"/>
    <w:rsid w:val="0020078A"/>
    <w:rsid w:val="002010F0"/>
    <w:rsid w:val="00202938"/>
    <w:rsid w:val="002035AD"/>
    <w:rsid w:val="0020451F"/>
    <w:rsid w:val="00205360"/>
    <w:rsid w:val="00205C87"/>
    <w:rsid w:val="00206580"/>
    <w:rsid w:val="00206FD6"/>
    <w:rsid w:val="00207A7B"/>
    <w:rsid w:val="00207D88"/>
    <w:rsid w:val="00207E60"/>
    <w:rsid w:val="00210CEC"/>
    <w:rsid w:val="00210D4F"/>
    <w:rsid w:val="00211639"/>
    <w:rsid w:val="0021178E"/>
    <w:rsid w:val="002119CF"/>
    <w:rsid w:val="002126B2"/>
    <w:rsid w:val="0021289C"/>
    <w:rsid w:val="00212DC0"/>
    <w:rsid w:val="00212FEF"/>
    <w:rsid w:val="002139B8"/>
    <w:rsid w:val="00213CE7"/>
    <w:rsid w:val="00214F4E"/>
    <w:rsid w:val="002159C3"/>
    <w:rsid w:val="00215C4E"/>
    <w:rsid w:val="002163E3"/>
    <w:rsid w:val="0021687A"/>
    <w:rsid w:val="00216E12"/>
    <w:rsid w:val="002170A0"/>
    <w:rsid w:val="00217BE0"/>
    <w:rsid w:val="00217D58"/>
    <w:rsid w:val="002201AE"/>
    <w:rsid w:val="00220995"/>
    <w:rsid w:val="00220C98"/>
    <w:rsid w:val="00221882"/>
    <w:rsid w:val="00221D3B"/>
    <w:rsid w:val="0022325B"/>
    <w:rsid w:val="0022363F"/>
    <w:rsid w:val="00223E1A"/>
    <w:rsid w:val="00223F08"/>
    <w:rsid w:val="0022476D"/>
    <w:rsid w:val="0022485A"/>
    <w:rsid w:val="002250A3"/>
    <w:rsid w:val="002259E0"/>
    <w:rsid w:val="002275B6"/>
    <w:rsid w:val="00230ED4"/>
    <w:rsid w:val="0023138D"/>
    <w:rsid w:val="00231A7E"/>
    <w:rsid w:val="00231B3A"/>
    <w:rsid w:val="00232699"/>
    <w:rsid w:val="00233556"/>
    <w:rsid w:val="00233754"/>
    <w:rsid w:val="00233A2A"/>
    <w:rsid w:val="00233ADE"/>
    <w:rsid w:val="00234195"/>
    <w:rsid w:val="00234E9B"/>
    <w:rsid w:val="00235217"/>
    <w:rsid w:val="002367BF"/>
    <w:rsid w:val="00236BC1"/>
    <w:rsid w:val="00241871"/>
    <w:rsid w:val="00242435"/>
    <w:rsid w:val="0024399A"/>
    <w:rsid w:val="0024436B"/>
    <w:rsid w:val="00244577"/>
    <w:rsid w:val="0024466B"/>
    <w:rsid w:val="002447E7"/>
    <w:rsid w:val="00244DD4"/>
    <w:rsid w:val="00246249"/>
    <w:rsid w:val="00246D1F"/>
    <w:rsid w:val="002470AA"/>
    <w:rsid w:val="00247102"/>
    <w:rsid w:val="00247403"/>
    <w:rsid w:val="00247542"/>
    <w:rsid w:val="002501DF"/>
    <w:rsid w:val="002502FA"/>
    <w:rsid w:val="0025035A"/>
    <w:rsid w:val="00250F6D"/>
    <w:rsid w:val="00251AD4"/>
    <w:rsid w:val="002528A3"/>
    <w:rsid w:val="00252D46"/>
    <w:rsid w:val="0025353A"/>
    <w:rsid w:val="0025362D"/>
    <w:rsid w:val="00253D89"/>
    <w:rsid w:val="00253ECD"/>
    <w:rsid w:val="00255E75"/>
    <w:rsid w:val="002561F9"/>
    <w:rsid w:val="0025645E"/>
    <w:rsid w:val="002571C0"/>
    <w:rsid w:val="002571E1"/>
    <w:rsid w:val="0025721A"/>
    <w:rsid w:val="0025788C"/>
    <w:rsid w:val="00260014"/>
    <w:rsid w:val="0026030B"/>
    <w:rsid w:val="0026036B"/>
    <w:rsid w:val="00260498"/>
    <w:rsid w:val="00260B9D"/>
    <w:rsid w:val="00261FF3"/>
    <w:rsid w:val="00262FE7"/>
    <w:rsid w:val="002639B4"/>
    <w:rsid w:val="00264C08"/>
    <w:rsid w:val="00265475"/>
    <w:rsid w:val="00265763"/>
    <w:rsid w:val="00265CC8"/>
    <w:rsid w:val="00266B56"/>
    <w:rsid w:val="00266B61"/>
    <w:rsid w:val="0026712A"/>
    <w:rsid w:val="00267FD8"/>
    <w:rsid w:val="0027028C"/>
    <w:rsid w:val="002704DB"/>
    <w:rsid w:val="00270CCF"/>
    <w:rsid w:val="00271490"/>
    <w:rsid w:val="00272278"/>
    <w:rsid w:val="00272A9A"/>
    <w:rsid w:val="00273352"/>
    <w:rsid w:val="00273B48"/>
    <w:rsid w:val="00275A72"/>
    <w:rsid w:val="00276D62"/>
    <w:rsid w:val="002773C2"/>
    <w:rsid w:val="00280936"/>
    <w:rsid w:val="00280D03"/>
    <w:rsid w:val="00281754"/>
    <w:rsid w:val="002822DA"/>
    <w:rsid w:val="002845CB"/>
    <w:rsid w:val="002849E0"/>
    <w:rsid w:val="00284DE8"/>
    <w:rsid w:val="00284DF3"/>
    <w:rsid w:val="00285772"/>
    <w:rsid w:val="00285F07"/>
    <w:rsid w:val="002861AB"/>
    <w:rsid w:val="002868D4"/>
    <w:rsid w:val="00286D5A"/>
    <w:rsid w:val="00287511"/>
    <w:rsid w:val="00287AD5"/>
    <w:rsid w:val="00290140"/>
    <w:rsid w:val="00291197"/>
    <w:rsid w:val="002915A4"/>
    <w:rsid w:val="00291852"/>
    <w:rsid w:val="00291CB2"/>
    <w:rsid w:val="00291E29"/>
    <w:rsid w:val="00293632"/>
    <w:rsid w:val="002939B1"/>
    <w:rsid w:val="00293A69"/>
    <w:rsid w:val="00293BD4"/>
    <w:rsid w:val="00295B56"/>
    <w:rsid w:val="00295E72"/>
    <w:rsid w:val="002978D3"/>
    <w:rsid w:val="00297DAC"/>
    <w:rsid w:val="002A0AAE"/>
    <w:rsid w:val="002A0C80"/>
    <w:rsid w:val="002A0F05"/>
    <w:rsid w:val="002A1897"/>
    <w:rsid w:val="002A2BB8"/>
    <w:rsid w:val="002A3123"/>
    <w:rsid w:val="002A357B"/>
    <w:rsid w:val="002A3A10"/>
    <w:rsid w:val="002A4AF0"/>
    <w:rsid w:val="002A51F5"/>
    <w:rsid w:val="002A55D8"/>
    <w:rsid w:val="002A5820"/>
    <w:rsid w:val="002A58AC"/>
    <w:rsid w:val="002A5980"/>
    <w:rsid w:val="002A59D5"/>
    <w:rsid w:val="002A5E63"/>
    <w:rsid w:val="002A5F69"/>
    <w:rsid w:val="002A62C7"/>
    <w:rsid w:val="002A62F8"/>
    <w:rsid w:val="002A6D47"/>
    <w:rsid w:val="002A6D6E"/>
    <w:rsid w:val="002A797C"/>
    <w:rsid w:val="002B02DF"/>
    <w:rsid w:val="002B049F"/>
    <w:rsid w:val="002B2064"/>
    <w:rsid w:val="002B2684"/>
    <w:rsid w:val="002B26AA"/>
    <w:rsid w:val="002B26C1"/>
    <w:rsid w:val="002B31DE"/>
    <w:rsid w:val="002B38D3"/>
    <w:rsid w:val="002B3A7D"/>
    <w:rsid w:val="002B44BF"/>
    <w:rsid w:val="002B5C25"/>
    <w:rsid w:val="002B5C5B"/>
    <w:rsid w:val="002B5CA7"/>
    <w:rsid w:val="002B6194"/>
    <w:rsid w:val="002B76B0"/>
    <w:rsid w:val="002B7DEB"/>
    <w:rsid w:val="002B7ED9"/>
    <w:rsid w:val="002C006D"/>
    <w:rsid w:val="002C0080"/>
    <w:rsid w:val="002C0102"/>
    <w:rsid w:val="002C0D63"/>
    <w:rsid w:val="002C15C4"/>
    <w:rsid w:val="002C1C64"/>
    <w:rsid w:val="002C2904"/>
    <w:rsid w:val="002C2B7C"/>
    <w:rsid w:val="002C34A2"/>
    <w:rsid w:val="002C4030"/>
    <w:rsid w:val="002C4287"/>
    <w:rsid w:val="002C42C4"/>
    <w:rsid w:val="002C4389"/>
    <w:rsid w:val="002C5523"/>
    <w:rsid w:val="002C591F"/>
    <w:rsid w:val="002C6225"/>
    <w:rsid w:val="002C65E0"/>
    <w:rsid w:val="002C6791"/>
    <w:rsid w:val="002D1830"/>
    <w:rsid w:val="002D18B6"/>
    <w:rsid w:val="002D18D9"/>
    <w:rsid w:val="002D2B26"/>
    <w:rsid w:val="002D31B6"/>
    <w:rsid w:val="002D3204"/>
    <w:rsid w:val="002D38A8"/>
    <w:rsid w:val="002D432A"/>
    <w:rsid w:val="002D49D8"/>
    <w:rsid w:val="002D6432"/>
    <w:rsid w:val="002D660F"/>
    <w:rsid w:val="002D6DFA"/>
    <w:rsid w:val="002D7C75"/>
    <w:rsid w:val="002D7EA2"/>
    <w:rsid w:val="002E07B0"/>
    <w:rsid w:val="002E1155"/>
    <w:rsid w:val="002E118C"/>
    <w:rsid w:val="002E11D8"/>
    <w:rsid w:val="002E187C"/>
    <w:rsid w:val="002E2A8A"/>
    <w:rsid w:val="002E2BFD"/>
    <w:rsid w:val="002E2D5E"/>
    <w:rsid w:val="002E3978"/>
    <w:rsid w:val="002E3E41"/>
    <w:rsid w:val="002E4339"/>
    <w:rsid w:val="002E5579"/>
    <w:rsid w:val="002E583B"/>
    <w:rsid w:val="002E67C3"/>
    <w:rsid w:val="002E68C8"/>
    <w:rsid w:val="002E7000"/>
    <w:rsid w:val="002E78CE"/>
    <w:rsid w:val="002F085C"/>
    <w:rsid w:val="002F0CCD"/>
    <w:rsid w:val="002F0FB2"/>
    <w:rsid w:val="002F1177"/>
    <w:rsid w:val="002F1ED2"/>
    <w:rsid w:val="002F225F"/>
    <w:rsid w:val="002F26D5"/>
    <w:rsid w:val="002F2D34"/>
    <w:rsid w:val="002F3964"/>
    <w:rsid w:val="002F3CDA"/>
    <w:rsid w:val="002F3F97"/>
    <w:rsid w:val="002F3FD1"/>
    <w:rsid w:val="002F464F"/>
    <w:rsid w:val="002F485D"/>
    <w:rsid w:val="002F4876"/>
    <w:rsid w:val="002F596C"/>
    <w:rsid w:val="002F5DAF"/>
    <w:rsid w:val="002F6F78"/>
    <w:rsid w:val="003005A7"/>
    <w:rsid w:val="003005D8"/>
    <w:rsid w:val="00300DE6"/>
    <w:rsid w:val="003018E5"/>
    <w:rsid w:val="00301E20"/>
    <w:rsid w:val="00301F70"/>
    <w:rsid w:val="00302347"/>
    <w:rsid w:val="00302733"/>
    <w:rsid w:val="00302A64"/>
    <w:rsid w:val="003034B3"/>
    <w:rsid w:val="003034CE"/>
    <w:rsid w:val="003037F0"/>
    <w:rsid w:val="00303974"/>
    <w:rsid w:val="003039F4"/>
    <w:rsid w:val="0030433B"/>
    <w:rsid w:val="003045D6"/>
    <w:rsid w:val="00304AD9"/>
    <w:rsid w:val="0030512D"/>
    <w:rsid w:val="00305956"/>
    <w:rsid w:val="0030616D"/>
    <w:rsid w:val="00306486"/>
    <w:rsid w:val="00306880"/>
    <w:rsid w:val="00306C37"/>
    <w:rsid w:val="00307920"/>
    <w:rsid w:val="00307EE5"/>
    <w:rsid w:val="003106C3"/>
    <w:rsid w:val="0031128E"/>
    <w:rsid w:val="003112A9"/>
    <w:rsid w:val="00311901"/>
    <w:rsid w:val="00311EFE"/>
    <w:rsid w:val="003122F4"/>
    <w:rsid w:val="00312593"/>
    <w:rsid w:val="003126ED"/>
    <w:rsid w:val="00312F2F"/>
    <w:rsid w:val="00312F89"/>
    <w:rsid w:val="00312F99"/>
    <w:rsid w:val="00313AD6"/>
    <w:rsid w:val="00314078"/>
    <w:rsid w:val="00314A7F"/>
    <w:rsid w:val="00316517"/>
    <w:rsid w:val="00316E88"/>
    <w:rsid w:val="003170EA"/>
    <w:rsid w:val="00317250"/>
    <w:rsid w:val="00317EC9"/>
    <w:rsid w:val="00321576"/>
    <w:rsid w:val="0032186D"/>
    <w:rsid w:val="003229C1"/>
    <w:rsid w:val="00323190"/>
    <w:rsid w:val="00323253"/>
    <w:rsid w:val="0032363A"/>
    <w:rsid w:val="0032412C"/>
    <w:rsid w:val="003247D2"/>
    <w:rsid w:val="0032515D"/>
    <w:rsid w:val="003252C8"/>
    <w:rsid w:val="00325747"/>
    <w:rsid w:val="00325794"/>
    <w:rsid w:val="00325B5A"/>
    <w:rsid w:val="00326114"/>
    <w:rsid w:val="003273FC"/>
    <w:rsid w:val="003274CA"/>
    <w:rsid w:val="00327BA0"/>
    <w:rsid w:val="00327BFD"/>
    <w:rsid w:val="00330B2C"/>
    <w:rsid w:val="00331015"/>
    <w:rsid w:val="00331547"/>
    <w:rsid w:val="0033169F"/>
    <w:rsid w:val="00331880"/>
    <w:rsid w:val="00331D6B"/>
    <w:rsid w:val="00331DB6"/>
    <w:rsid w:val="00332983"/>
    <w:rsid w:val="003332ED"/>
    <w:rsid w:val="00333392"/>
    <w:rsid w:val="00333429"/>
    <w:rsid w:val="00333B27"/>
    <w:rsid w:val="003340F9"/>
    <w:rsid w:val="00334A3E"/>
    <w:rsid w:val="003351CA"/>
    <w:rsid w:val="00336412"/>
    <w:rsid w:val="003367AD"/>
    <w:rsid w:val="00336DBE"/>
    <w:rsid w:val="00337D8A"/>
    <w:rsid w:val="003401E5"/>
    <w:rsid w:val="003402C6"/>
    <w:rsid w:val="00340E9B"/>
    <w:rsid w:val="00341959"/>
    <w:rsid w:val="00341D78"/>
    <w:rsid w:val="00341D8B"/>
    <w:rsid w:val="00342457"/>
    <w:rsid w:val="00342A5D"/>
    <w:rsid w:val="00343226"/>
    <w:rsid w:val="00343559"/>
    <w:rsid w:val="00343BE6"/>
    <w:rsid w:val="003450CB"/>
    <w:rsid w:val="00345593"/>
    <w:rsid w:val="00345FA9"/>
    <w:rsid w:val="00346183"/>
    <w:rsid w:val="00346643"/>
    <w:rsid w:val="00346C95"/>
    <w:rsid w:val="00346D2B"/>
    <w:rsid w:val="00347342"/>
    <w:rsid w:val="0034738C"/>
    <w:rsid w:val="00347AA1"/>
    <w:rsid w:val="00347B81"/>
    <w:rsid w:val="00350FEF"/>
    <w:rsid w:val="003513C8"/>
    <w:rsid w:val="003513F0"/>
    <w:rsid w:val="003523EE"/>
    <w:rsid w:val="00352C95"/>
    <w:rsid w:val="0035379E"/>
    <w:rsid w:val="00353892"/>
    <w:rsid w:val="0035504C"/>
    <w:rsid w:val="00355188"/>
    <w:rsid w:val="003555B8"/>
    <w:rsid w:val="00355E3E"/>
    <w:rsid w:val="00356185"/>
    <w:rsid w:val="0035729D"/>
    <w:rsid w:val="00357AB2"/>
    <w:rsid w:val="00357E90"/>
    <w:rsid w:val="00360380"/>
    <w:rsid w:val="00360575"/>
    <w:rsid w:val="00360DF5"/>
    <w:rsid w:val="00360E13"/>
    <w:rsid w:val="00360EC9"/>
    <w:rsid w:val="00360F78"/>
    <w:rsid w:val="003612EF"/>
    <w:rsid w:val="0036247E"/>
    <w:rsid w:val="003628E9"/>
    <w:rsid w:val="00363772"/>
    <w:rsid w:val="003639E7"/>
    <w:rsid w:val="00363A3F"/>
    <w:rsid w:val="003645B4"/>
    <w:rsid w:val="00364A91"/>
    <w:rsid w:val="00364E00"/>
    <w:rsid w:val="0036502F"/>
    <w:rsid w:val="0036510E"/>
    <w:rsid w:val="003661B2"/>
    <w:rsid w:val="0036634F"/>
    <w:rsid w:val="00366ADD"/>
    <w:rsid w:val="0036706D"/>
    <w:rsid w:val="003675E5"/>
    <w:rsid w:val="00367A1A"/>
    <w:rsid w:val="00367BDC"/>
    <w:rsid w:val="00367C3F"/>
    <w:rsid w:val="00370353"/>
    <w:rsid w:val="00371913"/>
    <w:rsid w:val="00372131"/>
    <w:rsid w:val="00373626"/>
    <w:rsid w:val="003738D7"/>
    <w:rsid w:val="00373A0C"/>
    <w:rsid w:val="00373B73"/>
    <w:rsid w:val="00373E57"/>
    <w:rsid w:val="003742C8"/>
    <w:rsid w:val="003742D2"/>
    <w:rsid w:val="00374597"/>
    <w:rsid w:val="0037480D"/>
    <w:rsid w:val="00374B7D"/>
    <w:rsid w:val="00375D8A"/>
    <w:rsid w:val="00376D82"/>
    <w:rsid w:val="00377287"/>
    <w:rsid w:val="003803A8"/>
    <w:rsid w:val="00380B64"/>
    <w:rsid w:val="00380BCE"/>
    <w:rsid w:val="00380DD1"/>
    <w:rsid w:val="00381275"/>
    <w:rsid w:val="0038158C"/>
    <w:rsid w:val="003818C1"/>
    <w:rsid w:val="003819B8"/>
    <w:rsid w:val="00382C39"/>
    <w:rsid w:val="0038307F"/>
    <w:rsid w:val="003836AB"/>
    <w:rsid w:val="00383FF6"/>
    <w:rsid w:val="00384754"/>
    <w:rsid w:val="00384E4C"/>
    <w:rsid w:val="00385C70"/>
    <w:rsid w:val="0038683C"/>
    <w:rsid w:val="003868E9"/>
    <w:rsid w:val="00386A9E"/>
    <w:rsid w:val="00386CF0"/>
    <w:rsid w:val="00386F16"/>
    <w:rsid w:val="00387B9A"/>
    <w:rsid w:val="00387E8F"/>
    <w:rsid w:val="00387FC1"/>
    <w:rsid w:val="00390688"/>
    <w:rsid w:val="0039082B"/>
    <w:rsid w:val="00390C07"/>
    <w:rsid w:val="003912A6"/>
    <w:rsid w:val="00392130"/>
    <w:rsid w:val="003921AA"/>
    <w:rsid w:val="003930A2"/>
    <w:rsid w:val="00393445"/>
    <w:rsid w:val="00394AF9"/>
    <w:rsid w:val="00394CD0"/>
    <w:rsid w:val="00395D74"/>
    <w:rsid w:val="0039660E"/>
    <w:rsid w:val="003978EF"/>
    <w:rsid w:val="00397AFA"/>
    <w:rsid w:val="00397C9F"/>
    <w:rsid w:val="003A31E7"/>
    <w:rsid w:val="003A3ACF"/>
    <w:rsid w:val="003A431E"/>
    <w:rsid w:val="003A5852"/>
    <w:rsid w:val="003A5933"/>
    <w:rsid w:val="003A5976"/>
    <w:rsid w:val="003A5CF9"/>
    <w:rsid w:val="003A5F02"/>
    <w:rsid w:val="003A6220"/>
    <w:rsid w:val="003A6E09"/>
    <w:rsid w:val="003A7106"/>
    <w:rsid w:val="003A723B"/>
    <w:rsid w:val="003A724A"/>
    <w:rsid w:val="003A7E29"/>
    <w:rsid w:val="003B0471"/>
    <w:rsid w:val="003B0A7F"/>
    <w:rsid w:val="003B0C66"/>
    <w:rsid w:val="003B1B1C"/>
    <w:rsid w:val="003B3CD9"/>
    <w:rsid w:val="003B451A"/>
    <w:rsid w:val="003B5118"/>
    <w:rsid w:val="003B56B1"/>
    <w:rsid w:val="003B5823"/>
    <w:rsid w:val="003B59D9"/>
    <w:rsid w:val="003B6528"/>
    <w:rsid w:val="003B6C36"/>
    <w:rsid w:val="003B71FF"/>
    <w:rsid w:val="003B771B"/>
    <w:rsid w:val="003B78A3"/>
    <w:rsid w:val="003B7B5D"/>
    <w:rsid w:val="003B7E4E"/>
    <w:rsid w:val="003B7E9C"/>
    <w:rsid w:val="003B7EF5"/>
    <w:rsid w:val="003C0A19"/>
    <w:rsid w:val="003C18BC"/>
    <w:rsid w:val="003C1A9C"/>
    <w:rsid w:val="003C2014"/>
    <w:rsid w:val="003C251B"/>
    <w:rsid w:val="003C2AB7"/>
    <w:rsid w:val="003C2ABC"/>
    <w:rsid w:val="003C3FB0"/>
    <w:rsid w:val="003C5B0F"/>
    <w:rsid w:val="003C5C48"/>
    <w:rsid w:val="003C6160"/>
    <w:rsid w:val="003C676B"/>
    <w:rsid w:val="003C7470"/>
    <w:rsid w:val="003C7713"/>
    <w:rsid w:val="003C7BD0"/>
    <w:rsid w:val="003D113D"/>
    <w:rsid w:val="003D13EF"/>
    <w:rsid w:val="003D19F6"/>
    <w:rsid w:val="003D1FF6"/>
    <w:rsid w:val="003D319A"/>
    <w:rsid w:val="003D3BC2"/>
    <w:rsid w:val="003D3BED"/>
    <w:rsid w:val="003D439F"/>
    <w:rsid w:val="003D4D71"/>
    <w:rsid w:val="003D5097"/>
    <w:rsid w:val="003D59E3"/>
    <w:rsid w:val="003D6240"/>
    <w:rsid w:val="003D64EB"/>
    <w:rsid w:val="003D679D"/>
    <w:rsid w:val="003D722F"/>
    <w:rsid w:val="003E0724"/>
    <w:rsid w:val="003E0EC0"/>
    <w:rsid w:val="003E111D"/>
    <w:rsid w:val="003E151B"/>
    <w:rsid w:val="003E22FD"/>
    <w:rsid w:val="003E2556"/>
    <w:rsid w:val="003E2978"/>
    <w:rsid w:val="003E2B6D"/>
    <w:rsid w:val="003E315B"/>
    <w:rsid w:val="003E36E8"/>
    <w:rsid w:val="003E3DAA"/>
    <w:rsid w:val="003E40BD"/>
    <w:rsid w:val="003E51BF"/>
    <w:rsid w:val="003E52CE"/>
    <w:rsid w:val="003E5767"/>
    <w:rsid w:val="003E6CA1"/>
    <w:rsid w:val="003E6F59"/>
    <w:rsid w:val="003E7128"/>
    <w:rsid w:val="003E73F9"/>
    <w:rsid w:val="003E7ACD"/>
    <w:rsid w:val="003F007D"/>
    <w:rsid w:val="003F1A19"/>
    <w:rsid w:val="003F2AEF"/>
    <w:rsid w:val="003F342F"/>
    <w:rsid w:val="003F38EE"/>
    <w:rsid w:val="003F3CFA"/>
    <w:rsid w:val="003F4220"/>
    <w:rsid w:val="003F46B5"/>
    <w:rsid w:val="003F49E4"/>
    <w:rsid w:val="003F4FFA"/>
    <w:rsid w:val="003F5ABB"/>
    <w:rsid w:val="003F6338"/>
    <w:rsid w:val="003F638A"/>
    <w:rsid w:val="003F6E8F"/>
    <w:rsid w:val="003F7E40"/>
    <w:rsid w:val="004001F4"/>
    <w:rsid w:val="004003F0"/>
    <w:rsid w:val="004007C2"/>
    <w:rsid w:val="004009FC"/>
    <w:rsid w:val="004011E9"/>
    <w:rsid w:val="00401A7F"/>
    <w:rsid w:val="0040313F"/>
    <w:rsid w:val="0040438E"/>
    <w:rsid w:val="00404F46"/>
    <w:rsid w:val="00405361"/>
    <w:rsid w:val="00405A32"/>
    <w:rsid w:val="00405BC8"/>
    <w:rsid w:val="00405C29"/>
    <w:rsid w:val="00406CB5"/>
    <w:rsid w:val="00406F64"/>
    <w:rsid w:val="00407E43"/>
    <w:rsid w:val="004119AE"/>
    <w:rsid w:val="00412250"/>
    <w:rsid w:val="00412267"/>
    <w:rsid w:val="00412C81"/>
    <w:rsid w:val="00412C9A"/>
    <w:rsid w:val="004138E9"/>
    <w:rsid w:val="00414227"/>
    <w:rsid w:val="00415BBD"/>
    <w:rsid w:val="0041616C"/>
    <w:rsid w:val="00416215"/>
    <w:rsid w:val="00416470"/>
    <w:rsid w:val="004165C2"/>
    <w:rsid w:val="00417460"/>
    <w:rsid w:val="0041778C"/>
    <w:rsid w:val="0041782F"/>
    <w:rsid w:val="00417AC6"/>
    <w:rsid w:val="00417C85"/>
    <w:rsid w:val="00417CBD"/>
    <w:rsid w:val="00417E6F"/>
    <w:rsid w:val="00420489"/>
    <w:rsid w:val="004205DD"/>
    <w:rsid w:val="00420BC3"/>
    <w:rsid w:val="00421205"/>
    <w:rsid w:val="00421621"/>
    <w:rsid w:val="004216C5"/>
    <w:rsid w:val="00421995"/>
    <w:rsid w:val="00421A18"/>
    <w:rsid w:val="00421EFD"/>
    <w:rsid w:val="00422594"/>
    <w:rsid w:val="00422E2F"/>
    <w:rsid w:val="0042303C"/>
    <w:rsid w:val="004231F7"/>
    <w:rsid w:val="00423B60"/>
    <w:rsid w:val="00424452"/>
    <w:rsid w:val="00424962"/>
    <w:rsid w:val="00424BDB"/>
    <w:rsid w:val="0042533D"/>
    <w:rsid w:val="004254C0"/>
    <w:rsid w:val="0042566E"/>
    <w:rsid w:val="0042699F"/>
    <w:rsid w:val="00427868"/>
    <w:rsid w:val="00427BBB"/>
    <w:rsid w:val="00430576"/>
    <w:rsid w:val="004308D1"/>
    <w:rsid w:val="004314FA"/>
    <w:rsid w:val="0043231F"/>
    <w:rsid w:val="0043250E"/>
    <w:rsid w:val="00432C81"/>
    <w:rsid w:val="0043310F"/>
    <w:rsid w:val="0043456A"/>
    <w:rsid w:val="004347ED"/>
    <w:rsid w:val="00434849"/>
    <w:rsid w:val="004348D0"/>
    <w:rsid w:val="00435092"/>
    <w:rsid w:val="00435241"/>
    <w:rsid w:val="00435797"/>
    <w:rsid w:val="00435BC8"/>
    <w:rsid w:val="004363AB"/>
    <w:rsid w:val="00436503"/>
    <w:rsid w:val="00436FF4"/>
    <w:rsid w:val="00437367"/>
    <w:rsid w:val="00437845"/>
    <w:rsid w:val="004378F2"/>
    <w:rsid w:val="004378FB"/>
    <w:rsid w:val="00437CB9"/>
    <w:rsid w:val="00437D43"/>
    <w:rsid w:val="00437E1C"/>
    <w:rsid w:val="00437E20"/>
    <w:rsid w:val="0044079F"/>
    <w:rsid w:val="00440B67"/>
    <w:rsid w:val="00440F62"/>
    <w:rsid w:val="004410E8"/>
    <w:rsid w:val="00441200"/>
    <w:rsid w:val="0044121F"/>
    <w:rsid w:val="00441AA4"/>
    <w:rsid w:val="00441ECB"/>
    <w:rsid w:val="004424FF"/>
    <w:rsid w:val="00442850"/>
    <w:rsid w:val="00443644"/>
    <w:rsid w:val="00443D9D"/>
    <w:rsid w:val="00444095"/>
    <w:rsid w:val="0044444F"/>
    <w:rsid w:val="00444C04"/>
    <w:rsid w:val="00446198"/>
    <w:rsid w:val="00446A1B"/>
    <w:rsid w:val="00447155"/>
    <w:rsid w:val="00447215"/>
    <w:rsid w:val="004479D4"/>
    <w:rsid w:val="00447F13"/>
    <w:rsid w:val="00450CA7"/>
    <w:rsid w:val="00450EE8"/>
    <w:rsid w:val="0045185C"/>
    <w:rsid w:val="00452E02"/>
    <w:rsid w:val="004538B2"/>
    <w:rsid w:val="00453C42"/>
    <w:rsid w:val="00453D7D"/>
    <w:rsid w:val="00453E6F"/>
    <w:rsid w:val="004557E0"/>
    <w:rsid w:val="00455C5C"/>
    <w:rsid w:val="0045640E"/>
    <w:rsid w:val="00456CCA"/>
    <w:rsid w:val="0045788B"/>
    <w:rsid w:val="00457A3B"/>
    <w:rsid w:val="004601D7"/>
    <w:rsid w:val="004611CE"/>
    <w:rsid w:val="0046125C"/>
    <w:rsid w:val="0046192F"/>
    <w:rsid w:val="0046247F"/>
    <w:rsid w:val="00462771"/>
    <w:rsid w:val="00462D95"/>
    <w:rsid w:val="00462F00"/>
    <w:rsid w:val="00462F66"/>
    <w:rsid w:val="00463AB9"/>
    <w:rsid w:val="00463C21"/>
    <w:rsid w:val="00463C4C"/>
    <w:rsid w:val="00464741"/>
    <w:rsid w:val="00464949"/>
    <w:rsid w:val="00466977"/>
    <w:rsid w:val="004669A8"/>
    <w:rsid w:val="00466D04"/>
    <w:rsid w:val="00466F31"/>
    <w:rsid w:val="00467534"/>
    <w:rsid w:val="00467B7E"/>
    <w:rsid w:val="00467D54"/>
    <w:rsid w:val="00470046"/>
    <w:rsid w:val="00470053"/>
    <w:rsid w:val="0047017B"/>
    <w:rsid w:val="00470193"/>
    <w:rsid w:val="0047063A"/>
    <w:rsid w:val="004706B2"/>
    <w:rsid w:val="004709B0"/>
    <w:rsid w:val="00470B7D"/>
    <w:rsid w:val="00470E85"/>
    <w:rsid w:val="004711FE"/>
    <w:rsid w:val="0047125D"/>
    <w:rsid w:val="00471484"/>
    <w:rsid w:val="0047196C"/>
    <w:rsid w:val="004719E3"/>
    <w:rsid w:val="00472759"/>
    <w:rsid w:val="0047286F"/>
    <w:rsid w:val="00473B36"/>
    <w:rsid w:val="00473B4A"/>
    <w:rsid w:val="0047462B"/>
    <w:rsid w:val="00474B8A"/>
    <w:rsid w:val="0047509E"/>
    <w:rsid w:val="0047544B"/>
    <w:rsid w:val="004762C7"/>
    <w:rsid w:val="004768CB"/>
    <w:rsid w:val="00477592"/>
    <w:rsid w:val="0047760D"/>
    <w:rsid w:val="004804B2"/>
    <w:rsid w:val="004806EB"/>
    <w:rsid w:val="00480A29"/>
    <w:rsid w:val="00480CDD"/>
    <w:rsid w:val="00480D60"/>
    <w:rsid w:val="00480E41"/>
    <w:rsid w:val="00480FFA"/>
    <w:rsid w:val="004812FD"/>
    <w:rsid w:val="004821E1"/>
    <w:rsid w:val="004826DF"/>
    <w:rsid w:val="004837BD"/>
    <w:rsid w:val="00484DFB"/>
    <w:rsid w:val="004859F8"/>
    <w:rsid w:val="00485F16"/>
    <w:rsid w:val="004862FF"/>
    <w:rsid w:val="00486431"/>
    <w:rsid w:val="004866AE"/>
    <w:rsid w:val="00486F1C"/>
    <w:rsid w:val="00486FF7"/>
    <w:rsid w:val="00487237"/>
    <w:rsid w:val="00490384"/>
    <w:rsid w:val="004904D3"/>
    <w:rsid w:val="00490A3E"/>
    <w:rsid w:val="00490E0C"/>
    <w:rsid w:val="004910CC"/>
    <w:rsid w:val="004921AB"/>
    <w:rsid w:val="0049241D"/>
    <w:rsid w:val="004929C8"/>
    <w:rsid w:val="00492B05"/>
    <w:rsid w:val="00492E0E"/>
    <w:rsid w:val="00492F3F"/>
    <w:rsid w:val="004930F4"/>
    <w:rsid w:val="00493B99"/>
    <w:rsid w:val="0049419D"/>
    <w:rsid w:val="0049438E"/>
    <w:rsid w:val="0049462E"/>
    <w:rsid w:val="00494B65"/>
    <w:rsid w:val="00494F1F"/>
    <w:rsid w:val="004956F6"/>
    <w:rsid w:val="00495B50"/>
    <w:rsid w:val="00495F35"/>
    <w:rsid w:val="00496186"/>
    <w:rsid w:val="00496351"/>
    <w:rsid w:val="004976AC"/>
    <w:rsid w:val="004A05B5"/>
    <w:rsid w:val="004A11F8"/>
    <w:rsid w:val="004A16C6"/>
    <w:rsid w:val="004A173E"/>
    <w:rsid w:val="004A1B09"/>
    <w:rsid w:val="004A1E90"/>
    <w:rsid w:val="004A1FF8"/>
    <w:rsid w:val="004A2094"/>
    <w:rsid w:val="004A258B"/>
    <w:rsid w:val="004A2F2E"/>
    <w:rsid w:val="004A3419"/>
    <w:rsid w:val="004A5667"/>
    <w:rsid w:val="004A5D6F"/>
    <w:rsid w:val="004A617D"/>
    <w:rsid w:val="004A7339"/>
    <w:rsid w:val="004A79F0"/>
    <w:rsid w:val="004A7E5C"/>
    <w:rsid w:val="004B01BA"/>
    <w:rsid w:val="004B0B09"/>
    <w:rsid w:val="004B1BE5"/>
    <w:rsid w:val="004B2543"/>
    <w:rsid w:val="004B2554"/>
    <w:rsid w:val="004B2AD6"/>
    <w:rsid w:val="004B2DCD"/>
    <w:rsid w:val="004B316C"/>
    <w:rsid w:val="004B31A2"/>
    <w:rsid w:val="004B327C"/>
    <w:rsid w:val="004B34C6"/>
    <w:rsid w:val="004B3A73"/>
    <w:rsid w:val="004B3ACD"/>
    <w:rsid w:val="004B3D32"/>
    <w:rsid w:val="004B3DE0"/>
    <w:rsid w:val="004B3E96"/>
    <w:rsid w:val="004B520F"/>
    <w:rsid w:val="004B541C"/>
    <w:rsid w:val="004B5E6C"/>
    <w:rsid w:val="004C0442"/>
    <w:rsid w:val="004C051E"/>
    <w:rsid w:val="004C0C8C"/>
    <w:rsid w:val="004C124F"/>
    <w:rsid w:val="004C1FA2"/>
    <w:rsid w:val="004C20D2"/>
    <w:rsid w:val="004C3017"/>
    <w:rsid w:val="004C4074"/>
    <w:rsid w:val="004C4B62"/>
    <w:rsid w:val="004C4D01"/>
    <w:rsid w:val="004C526B"/>
    <w:rsid w:val="004C54C9"/>
    <w:rsid w:val="004C5730"/>
    <w:rsid w:val="004C5B63"/>
    <w:rsid w:val="004C5D37"/>
    <w:rsid w:val="004C5E9F"/>
    <w:rsid w:val="004C609C"/>
    <w:rsid w:val="004C642E"/>
    <w:rsid w:val="004C67C3"/>
    <w:rsid w:val="004C69F4"/>
    <w:rsid w:val="004C6A80"/>
    <w:rsid w:val="004D0630"/>
    <w:rsid w:val="004D0917"/>
    <w:rsid w:val="004D0F07"/>
    <w:rsid w:val="004D12DD"/>
    <w:rsid w:val="004D19C3"/>
    <w:rsid w:val="004D2149"/>
    <w:rsid w:val="004D30AE"/>
    <w:rsid w:val="004D3DAE"/>
    <w:rsid w:val="004D4178"/>
    <w:rsid w:val="004D4704"/>
    <w:rsid w:val="004D4B43"/>
    <w:rsid w:val="004D4BC8"/>
    <w:rsid w:val="004D4FEE"/>
    <w:rsid w:val="004D5EBF"/>
    <w:rsid w:val="004D5ED4"/>
    <w:rsid w:val="004D6025"/>
    <w:rsid w:val="004D6324"/>
    <w:rsid w:val="004D6460"/>
    <w:rsid w:val="004D64FB"/>
    <w:rsid w:val="004D6AC8"/>
    <w:rsid w:val="004D6DF5"/>
    <w:rsid w:val="004D7133"/>
    <w:rsid w:val="004D741F"/>
    <w:rsid w:val="004D7BB7"/>
    <w:rsid w:val="004E07AE"/>
    <w:rsid w:val="004E0DAA"/>
    <w:rsid w:val="004E17C8"/>
    <w:rsid w:val="004E1D1E"/>
    <w:rsid w:val="004E1DE1"/>
    <w:rsid w:val="004E2649"/>
    <w:rsid w:val="004E274B"/>
    <w:rsid w:val="004E308B"/>
    <w:rsid w:val="004E3657"/>
    <w:rsid w:val="004E36E5"/>
    <w:rsid w:val="004E3B05"/>
    <w:rsid w:val="004E4868"/>
    <w:rsid w:val="004E4F80"/>
    <w:rsid w:val="004E50AF"/>
    <w:rsid w:val="004E54FC"/>
    <w:rsid w:val="004E58ED"/>
    <w:rsid w:val="004E6D2E"/>
    <w:rsid w:val="004E73D4"/>
    <w:rsid w:val="004E7996"/>
    <w:rsid w:val="004E79B7"/>
    <w:rsid w:val="004E7E35"/>
    <w:rsid w:val="004F0655"/>
    <w:rsid w:val="004F11A9"/>
    <w:rsid w:val="004F23A6"/>
    <w:rsid w:val="004F2C05"/>
    <w:rsid w:val="004F2EE9"/>
    <w:rsid w:val="004F3269"/>
    <w:rsid w:val="004F34D2"/>
    <w:rsid w:val="004F36CD"/>
    <w:rsid w:val="004F3C45"/>
    <w:rsid w:val="004F3CB3"/>
    <w:rsid w:val="004F46D8"/>
    <w:rsid w:val="004F4ACF"/>
    <w:rsid w:val="004F4DF3"/>
    <w:rsid w:val="004F4FF8"/>
    <w:rsid w:val="004F5006"/>
    <w:rsid w:val="004F5715"/>
    <w:rsid w:val="004F573D"/>
    <w:rsid w:val="004F57C9"/>
    <w:rsid w:val="004F5B2D"/>
    <w:rsid w:val="004F604D"/>
    <w:rsid w:val="004F6A8C"/>
    <w:rsid w:val="004F6BA3"/>
    <w:rsid w:val="00501399"/>
    <w:rsid w:val="005013C5"/>
    <w:rsid w:val="00501D9A"/>
    <w:rsid w:val="00502BA5"/>
    <w:rsid w:val="00502E53"/>
    <w:rsid w:val="00503A50"/>
    <w:rsid w:val="0050429C"/>
    <w:rsid w:val="00504D4C"/>
    <w:rsid w:val="00504FE2"/>
    <w:rsid w:val="005055D2"/>
    <w:rsid w:val="005059A1"/>
    <w:rsid w:val="00505A3B"/>
    <w:rsid w:val="00505D03"/>
    <w:rsid w:val="0050633D"/>
    <w:rsid w:val="005070E5"/>
    <w:rsid w:val="00507BC4"/>
    <w:rsid w:val="00510234"/>
    <w:rsid w:val="00510255"/>
    <w:rsid w:val="00510325"/>
    <w:rsid w:val="00511514"/>
    <w:rsid w:val="00512302"/>
    <w:rsid w:val="00512714"/>
    <w:rsid w:val="005128E4"/>
    <w:rsid w:val="005133DB"/>
    <w:rsid w:val="005139D5"/>
    <w:rsid w:val="00513CB7"/>
    <w:rsid w:val="00513E30"/>
    <w:rsid w:val="0051487D"/>
    <w:rsid w:val="005155B3"/>
    <w:rsid w:val="00516871"/>
    <w:rsid w:val="005169D0"/>
    <w:rsid w:val="00516C63"/>
    <w:rsid w:val="00520869"/>
    <w:rsid w:val="00520AD9"/>
    <w:rsid w:val="005216DC"/>
    <w:rsid w:val="0052196E"/>
    <w:rsid w:val="00521C8E"/>
    <w:rsid w:val="0052356C"/>
    <w:rsid w:val="00523F23"/>
    <w:rsid w:val="0052405D"/>
    <w:rsid w:val="0052425B"/>
    <w:rsid w:val="005245C0"/>
    <w:rsid w:val="0052469C"/>
    <w:rsid w:val="00524C2F"/>
    <w:rsid w:val="005254C4"/>
    <w:rsid w:val="00525560"/>
    <w:rsid w:val="0052567E"/>
    <w:rsid w:val="005260C9"/>
    <w:rsid w:val="00526252"/>
    <w:rsid w:val="00527688"/>
    <w:rsid w:val="005276EF"/>
    <w:rsid w:val="00527D40"/>
    <w:rsid w:val="00530E8B"/>
    <w:rsid w:val="005319E8"/>
    <w:rsid w:val="00531F93"/>
    <w:rsid w:val="0053252B"/>
    <w:rsid w:val="00532590"/>
    <w:rsid w:val="00532A86"/>
    <w:rsid w:val="005334E2"/>
    <w:rsid w:val="0053366D"/>
    <w:rsid w:val="005342C2"/>
    <w:rsid w:val="00534382"/>
    <w:rsid w:val="00534464"/>
    <w:rsid w:val="0053714C"/>
    <w:rsid w:val="00537E23"/>
    <w:rsid w:val="00537E73"/>
    <w:rsid w:val="00540577"/>
    <w:rsid w:val="005406CB"/>
    <w:rsid w:val="00540C2B"/>
    <w:rsid w:val="00540EA2"/>
    <w:rsid w:val="005410E2"/>
    <w:rsid w:val="00541F66"/>
    <w:rsid w:val="00542583"/>
    <w:rsid w:val="00542A9F"/>
    <w:rsid w:val="005432FB"/>
    <w:rsid w:val="00543FF6"/>
    <w:rsid w:val="00544007"/>
    <w:rsid w:val="00544570"/>
    <w:rsid w:val="00544C49"/>
    <w:rsid w:val="00544F8F"/>
    <w:rsid w:val="00544FDE"/>
    <w:rsid w:val="0054575C"/>
    <w:rsid w:val="00545A37"/>
    <w:rsid w:val="00545E4B"/>
    <w:rsid w:val="0054729D"/>
    <w:rsid w:val="00547331"/>
    <w:rsid w:val="0054741E"/>
    <w:rsid w:val="005477CF"/>
    <w:rsid w:val="00547E2E"/>
    <w:rsid w:val="00550D2B"/>
    <w:rsid w:val="00550FA9"/>
    <w:rsid w:val="00551166"/>
    <w:rsid w:val="005516A1"/>
    <w:rsid w:val="00551825"/>
    <w:rsid w:val="00552344"/>
    <w:rsid w:val="0055250F"/>
    <w:rsid w:val="00553A91"/>
    <w:rsid w:val="00553FAF"/>
    <w:rsid w:val="00555008"/>
    <w:rsid w:val="00556013"/>
    <w:rsid w:val="0055682B"/>
    <w:rsid w:val="00557B7A"/>
    <w:rsid w:val="00557E63"/>
    <w:rsid w:val="00557F06"/>
    <w:rsid w:val="00560543"/>
    <w:rsid w:val="00560687"/>
    <w:rsid w:val="005613EE"/>
    <w:rsid w:val="00561A87"/>
    <w:rsid w:val="00561F53"/>
    <w:rsid w:val="00561FA0"/>
    <w:rsid w:val="00563887"/>
    <w:rsid w:val="00563977"/>
    <w:rsid w:val="00563F9A"/>
    <w:rsid w:val="005644B8"/>
    <w:rsid w:val="0056495C"/>
    <w:rsid w:val="00565026"/>
    <w:rsid w:val="005651F6"/>
    <w:rsid w:val="005652C1"/>
    <w:rsid w:val="00565A04"/>
    <w:rsid w:val="00566347"/>
    <w:rsid w:val="0056639B"/>
    <w:rsid w:val="00566BC9"/>
    <w:rsid w:val="005674CB"/>
    <w:rsid w:val="00570607"/>
    <w:rsid w:val="00571064"/>
    <w:rsid w:val="005715B7"/>
    <w:rsid w:val="00572DDE"/>
    <w:rsid w:val="00573798"/>
    <w:rsid w:val="0057402A"/>
    <w:rsid w:val="0057447D"/>
    <w:rsid w:val="00574E64"/>
    <w:rsid w:val="00575540"/>
    <w:rsid w:val="00575E2A"/>
    <w:rsid w:val="0057643D"/>
    <w:rsid w:val="00576860"/>
    <w:rsid w:val="00576F11"/>
    <w:rsid w:val="005771D0"/>
    <w:rsid w:val="005772F8"/>
    <w:rsid w:val="00577581"/>
    <w:rsid w:val="00580031"/>
    <w:rsid w:val="00580333"/>
    <w:rsid w:val="00580CCA"/>
    <w:rsid w:val="0058101F"/>
    <w:rsid w:val="0058194B"/>
    <w:rsid w:val="005825C4"/>
    <w:rsid w:val="00582F5F"/>
    <w:rsid w:val="00582FE3"/>
    <w:rsid w:val="0058377A"/>
    <w:rsid w:val="005837C1"/>
    <w:rsid w:val="005842E2"/>
    <w:rsid w:val="00584D24"/>
    <w:rsid w:val="00584DD1"/>
    <w:rsid w:val="00585A8F"/>
    <w:rsid w:val="00585E67"/>
    <w:rsid w:val="00585FFF"/>
    <w:rsid w:val="0058619A"/>
    <w:rsid w:val="005862CB"/>
    <w:rsid w:val="00586F50"/>
    <w:rsid w:val="00587276"/>
    <w:rsid w:val="00587C05"/>
    <w:rsid w:val="00587D9C"/>
    <w:rsid w:val="00590A5F"/>
    <w:rsid w:val="00590B1D"/>
    <w:rsid w:val="00591708"/>
    <w:rsid w:val="005918C2"/>
    <w:rsid w:val="0059191A"/>
    <w:rsid w:val="00591D12"/>
    <w:rsid w:val="005921DF"/>
    <w:rsid w:val="005921FF"/>
    <w:rsid w:val="005923CF"/>
    <w:rsid w:val="00592F5D"/>
    <w:rsid w:val="00593896"/>
    <w:rsid w:val="00594FFE"/>
    <w:rsid w:val="00595E71"/>
    <w:rsid w:val="0059641C"/>
    <w:rsid w:val="00596572"/>
    <w:rsid w:val="0059662E"/>
    <w:rsid w:val="005967AB"/>
    <w:rsid w:val="00596865"/>
    <w:rsid w:val="00597060"/>
    <w:rsid w:val="0059717F"/>
    <w:rsid w:val="005976A9"/>
    <w:rsid w:val="00597D4B"/>
    <w:rsid w:val="005A0918"/>
    <w:rsid w:val="005A2996"/>
    <w:rsid w:val="005A3348"/>
    <w:rsid w:val="005A36F2"/>
    <w:rsid w:val="005A3E3F"/>
    <w:rsid w:val="005A46A2"/>
    <w:rsid w:val="005A4777"/>
    <w:rsid w:val="005A5320"/>
    <w:rsid w:val="005A545C"/>
    <w:rsid w:val="005A55AD"/>
    <w:rsid w:val="005A5F2C"/>
    <w:rsid w:val="005A6D0E"/>
    <w:rsid w:val="005A71C6"/>
    <w:rsid w:val="005A763E"/>
    <w:rsid w:val="005A77C4"/>
    <w:rsid w:val="005A7A04"/>
    <w:rsid w:val="005A7D4B"/>
    <w:rsid w:val="005B018D"/>
    <w:rsid w:val="005B048D"/>
    <w:rsid w:val="005B1236"/>
    <w:rsid w:val="005B142C"/>
    <w:rsid w:val="005B155B"/>
    <w:rsid w:val="005B1C5F"/>
    <w:rsid w:val="005B2461"/>
    <w:rsid w:val="005B27A1"/>
    <w:rsid w:val="005B3859"/>
    <w:rsid w:val="005B3A06"/>
    <w:rsid w:val="005B3CF4"/>
    <w:rsid w:val="005B4313"/>
    <w:rsid w:val="005B458F"/>
    <w:rsid w:val="005B4B89"/>
    <w:rsid w:val="005B52B0"/>
    <w:rsid w:val="005B586F"/>
    <w:rsid w:val="005B5E1E"/>
    <w:rsid w:val="005B66E4"/>
    <w:rsid w:val="005B6806"/>
    <w:rsid w:val="005B6890"/>
    <w:rsid w:val="005B6B30"/>
    <w:rsid w:val="005B7153"/>
    <w:rsid w:val="005C0276"/>
    <w:rsid w:val="005C04F7"/>
    <w:rsid w:val="005C0612"/>
    <w:rsid w:val="005C0771"/>
    <w:rsid w:val="005C1183"/>
    <w:rsid w:val="005C13B1"/>
    <w:rsid w:val="005C1795"/>
    <w:rsid w:val="005C29D7"/>
    <w:rsid w:val="005C4225"/>
    <w:rsid w:val="005C439E"/>
    <w:rsid w:val="005C4651"/>
    <w:rsid w:val="005C4767"/>
    <w:rsid w:val="005C4BC0"/>
    <w:rsid w:val="005C57A0"/>
    <w:rsid w:val="005C612F"/>
    <w:rsid w:val="005C6F03"/>
    <w:rsid w:val="005C71A5"/>
    <w:rsid w:val="005C7488"/>
    <w:rsid w:val="005D1F4F"/>
    <w:rsid w:val="005D2B1A"/>
    <w:rsid w:val="005D3109"/>
    <w:rsid w:val="005D35DB"/>
    <w:rsid w:val="005D3C3E"/>
    <w:rsid w:val="005D4463"/>
    <w:rsid w:val="005D4B0E"/>
    <w:rsid w:val="005D4BFB"/>
    <w:rsid w:val="005D4F3D"/>
    <w:rsid w:val="005D52C5"/>
    <w:rsid w:val="005D5539"/>
    <w:rsid w:val="005D5CD2"/>
    <w:rsid w:val="005D68B7"/>
    <w:rsid w:val="005E081B"/>
    <w:rsid w:val="005E09DC"/>
    <w:rsid w:val="005E1599"/>
    <w:rsid w:val="005E1D97"/>
    <w:rsid w:val="005E21D4"/>
    <w:rsid w:val="005E2A54"/>
    <w:rsid w:val="005E3919"/>
    <w:rsid w:val="005E39C7"/>
    <w:rsid w:val="005E4081"/>
    <w:rsid w:val="005E421A"/>
    <w:rsid w:val="005E441F"/>
    <w:rsid w:val="005E45A4"/>
    <w:rsid w:val="005E4F5F"/>
    <w:rsid w:val="005E5437"/>
    <w:rsid w:val="005E5580"/>
    <w:rsid w:val="005E59D9"/>
    <w:rsid w:val="005E63E4"/>
    <w:rsid w:val="005E6507"/>
    <w:rsid w:val="005E65A7"/>
    <w:rsid w:val="005E66E5"/>
    <w:rsid w:val="005E699D"/>
    <w:rsid w:val="005F05EF"/>
    <w:rsid w:val="005F0DAD"/>
    <w:rsid w:val="005F0F33"/>
    <w:rsid w:val="005F10FD"/>
    <w:rsid w:val="005F12AF"/>
    <w:rsid w:val="005F178D"/>
    <w:rsid w:val="005F1F3B"/>
    <w:rsid w:val="005F25C4"/>
    <w:rsid w:val="005F2751"/>
    <w:rsid w:val="005F3A3B"/>
    <w:rsid w:val="005F3BAA"/>
    <w:rsid w:val="005F400F"/>
    <w:rsid w:val="005F41B6"/>
    <w:rsid w:val="005F539F"/>
    <w:rsid w:val="005F6475"/>
    <w:rsid w:val="005F6AA6"/>
    <w:rsid w:val="005F6F1E"/>
    <w:rsid w:val="005F74FD"/>
    <w:rsid w:val="005F7EE4"/>
    <w:rsid w:val="005F7FD1"/>
    <w:rsid w:val="00600363"/>
    <w:rsid w:val="00600DEB"/>
    <w:rsid w:val="0060104B"/>
    <w:rsid w:val="00601D10"/>
    <w:rsid w:val="00602481"/>
    <w:rsid w:val="00602BE9"/>
    <w:rsid w:val="006031D9"/>
    <w:rsid w:val="00603CC3"/>
    <w:rsid w:val="0060419C"/>
    <w:rsid w:val="006049D5"/>
    <w:rsid w:val="00605636"/>
    <w:rsid w:val="00605639"/>
    <w:rsid w:val="00605C21"/>
    <w:rsid w:val="00605DF3"/>
    <w:rsid w:val="00605F21"/>
    <w:rsid w:val="00606418"/>
    <w:rsid w:val="006078DA"/>
    <w:rsid w:val="00610191"/>
    <w:rsid w:val="00610598"/>
    <w:rsid w:val="0061067B"/>
    <w:rsid w:val="00610D16"/>
    <w:rsid w:val="00611411"/>
    <w:rsid w:val="006118C9"/>
    <w:rsid w:val="00612699"/>
    <w:rsid w:val="006137AB"/>
    <w:rsid w:val="00614C69"/>
    <w:rsid w:val="00614F48"/>
    <w:rsid w:val="0061565D"/>
    <w:rsid w:val="00616517"/>
    <w:rsid w:val="00616733"/>
    <w:rsid w:val="00616A06"/>
    <w:rsid w:val="00616C27"/>
    <w:rsid w:val="0061720A"/>
    <w:rsid w:val="00617467"/>
    <w:rsid w:val="00617C65"/>
    <w:rsid w:val="00617F15"/>
    <w:rsid w:val="00620D96"/>
    <w:rsid w:val="0062206A"/>
    <w:rsid w:val="00622121"/>
    <w:rsid w:val="006222F0"/>
    <w:rsid w:val="00622A70"/>
    <w:rsid w:val="00622D9E"/>
    <w:rsid w:val="00623415"/>
    <w:rsid w:val="0062361B"/>
    <w:rsid w:val="00623732"/>
    <w:rsid w:val="00624B07"/>
    <w:rsid w:val="00624C18"/>
    <w:rsid w:val="00625B29"/>
    <w:rsid w:val="0062667C"/>
    <w:rsid w:val="00626A1D"/>
    <w:rsid w:val="00626A68"/>
    <w:rsid w:val="00627295"/>
    <w:rsid w:val="00627303"/>
    <w:rsid w:val="0062761B"/>
    <w:rsid w:val="00627893"/>
    <w:rsid w:val="00627A84"/>
    <w:rsid w:val="00627C9F"/>
    <w:rsid w:val="00630099"/>
    <w:rsid w:val="006303C3"/>
    <w:rsid w:val="00630421"/>
    <w:rsid w:val="006308B0"/>
    <w:rsid w:val="00630F0A"/>
    <w:rsid w:val="006311E9"/>
    <w:rsid w:val="00632039"/>
    <w:rsid w:val="00632354"/>
    <w:rsid w:val="00632CED"/>
    <w:rsid w:val="00633006"/>
    <w:rsid w:val="0063380B"/>
    <w:rsid w:val="0063388A"/>
    <w:rsid w:val="00634935"/>
    <w:rsid w:val="00634F0C"/>
    <w:rsid w:val="00635014"/>
    <w:rsid w:val="00636164"/>
    <w:rsid w:val="006367BE"/>
    <w:rsid w:val="006368A4"/>
    <w:rsid w:val="00637390"/>
    <w:rsid w:val="00637A7D"/>
    <w:rsid w:val="00637E9F"/>
    <w:rsid w:val="00640598"/>
    <w:rsid w:val="00641554"/>
    <w:rsid w:val="00641FFA"/>
    <w:rsid w:val="00642011"/>
    <w:rsid w:val="00642053"/>
    <w:rsid w:val="00642299"/>
    <w:rsid w:val="006427A2"/>
    <w:rsid w:val="00642810"/>
    <w:rsid w:val="006432DF"/>
    <w:rsid w:val="006443A2"/>
    <w:rsid w:val="00644D05"/>
    <w:rsid w:val="00645394"/>
    <w:rsid w:val="0064625E"/>
    <w:rsid w:val="00646318"/>
    <w:rsid w:val="006463F5"/>
    <w:rsid w:val="00646412"/>
    <w:rsid w:val="00646AAA"/>
    <w:rsid w:val="00647CBF"/>
    <w:rsid w:val="00647F10"/>
    <w:rsid w:val="006501D8"/>
    <w:rsid w:val="006504B1"/>
    <w:rsid w:val="00650B75"/>
    <w:rsid w:val="00650FD4"/>
    <w:rsid w:val="00651686"/>
    <w:rsid w:val="006517C3"/>
    <w:rsid w:val="006519E9"/>
    <w:rsid w:val="00651A84"/>
    <w:rsid w:val="00652129"/>
    <w:rsid w:val="00652333"/>
    <w:rsid w:val="00653813"/>
    <w:rsid w:val="00653C47"/>
    <w:rsid w:val="00654330"/>
    <w:rsid w:val="00654AA0"/>
    <w:rsid w:val="00654CA8"/>
    <w:rsid w:val="006559B7"/>
    <w:rsid w:val="00655DC3"/>
    <w:rsid w:val="00655F48"/>
    <w:rsid w:val="006565CC"/>
    <w:rsid w:val="00656A10"/>
    <w:rsid w:val="00657E2F"/>
    <w:rsid w:val="0066006C"/>
    <w:rsid w:val="006602D9"/>
    <w:rsid w:val="00661526"/>
    <w:rsid w:val="00661A1B"/>
    <w:rsid w:val="00662116"/>
    <w:rsid w:val="0066234E"/>
    <w:rsid w:val="00663AAF"/>
    <w:rsid w:val="00663EF4"/>
    <w:rsid w:val="006650A7"/>
    <w:rsid w:val="00665324"/>
    <w:rsid w:val="00665BA0"/>
    <w:rsid w:val="00665EB9"/>
    <w:rsid w:val="00665F90"/>
    <w:rsid w:val="0066736C"/>
    <w:rsid w:val="0066745B"/>
    <w:rsid w:val="00667AB0"/>
    <w:rsid w:val="006700BC"/>
    <w:rsid w:val="0067030C"/>
    <w:rsid w:val="00671CD9"/>
    <w:rsid w:val="0067213E"/>
    <w:rsid w:val="00673038"/>
    <w:rsid w:val="0067328F"/>
    <w:rsid w:val="00674D66"/>
    <w:rsid w:val="006758F4"/>
    <w:rsid w:val="00675D16"/>
    <w:rsid w:val="00676930"/>
    <w:rsid w:val="00676BEC"/>
    <w:rsid w:val="006774F4"/>
    <w:rsid w:val="00677817"/>
    <w:rsid w:val="00677AD8"/>
    <w:rsid w:val="0068001B"/>
    <w:rsid w:val="0068009E"/>
    <w:rsid w:val="00680B66"/>
    <w:rsid w:val="0068105A"/>
    <w:rsid w:val="00681B7D"/>
    <w:rsid w:val="00682960"/>
    <w:rsid w:val="00682A00"/>
    <w:rsid w:val="006833DA"/>
    <w:rsid w:val="00683B3E"/>
    <w:rsid w:val="0068424C"/>
    <w:rsid w:val="006844D5"/>
    <w:rsid w:val="00684A8E"/>
    <w:rsid w:val="00684ADA"/>
    <w:rsid w:val="00684C05"/>
    <w:rsid w:val="00685083"/>
    <w:rsid w:val="006857A6"/>
    <w:rsid w:val="00685917"/>
    <w:rsid w:val="006868CE"/>
    <w:rsid w:val="00686C4E"/>
    <w:rsid w:val="00687233"/>
    <w:rsid w:val="0068775D"/>
    <w:rsid w:val="00687C60"/>
    <w:rsid w:val="00691211"/>
    <w:rsid w:val="00691A60"/>
    <w:rsid w:val="006928EA"/>
    <w:rsid w:val="00693FF3"/>
    <w:rsid w:val="006945B0"/>
    <w:rsid w:val="00694B5E"/>
    <w:rsid w:val="006954B6"/>
    <w:rsid w:val="006959DA"/>
    <w:rsid w:val="00695E32"/>
    <w:rsid w:val="00696F5C"/>
    <w:rsid w:val="00697206"/>
    <w:rsid w:val="006974EF"/>
    <w:rsid w:val="006A12EA"/>
    <w:rsid w:val="006A17D2"/>
    <w:rsid w:val="006A26BC"/>
    <w:rsid w:val="006A2D14"/>
    <w:rsid w:val="006A2FCE"/>
    <w:rsid w:val="006A4388"/>
    <w:rsid w:val="006A5279"/>
    <w:rsid w:val="006A5378"/>
    <w:rsid w:val="006A5619"/>
    <w:rsid w:val="006A5D09"/>
    <w:rsid w:val="006A6116"/>
    <w:rsid w:val="006A6396"/>
    <w:rsid w:val="006A6530"/>
    <w:rsid w:val="006A686E"/>
    <w:rsid w:val="006A6C28"/>
    <w:rsid w:val="006A6E4C"/>
    <w:rsid w:val="006A6F86"/>
    <w:rsid w:val="006A73E6"/>
    <w:rsid w:val="006A75AD"/>
    <w:rsid w:val="006A789A"/>
    <w:rsid w:val="006B0320"/>
    <w:rsid w:val="006B09F4"/>
    <w:rsid w:val="006B0A06"/>
    <w:rsid w:val="006B140A"/>
    <w:rsid w:val="006B15CE"/>
    <w:rsid w:val="006B17C3"/>
    <w:rsid w:val="006B1A48"/>
    <w:rsid w:val="006B2CC7"/>
    <w:rsid w:val="006B2D5C"/>
    <w:rsid w:val="006B2D8F"/>
    <w:rsid w:val="006B2FBF"/>
    <w:rsid w:val="006B33C4"/>
    <w:rsid w:val="006B351F"/>
    <w:rsid w:val="006B3714"/>
    <w:rsid w:val="006B3AF1"/>
    <w:rsid w:val="006B4D46"/>
    <w:rsid w:val="006B51B9"/>
    <w:rsid w:val="006B57E1"/>
    <w:rsid w:val="006B5B8E"/>
    <w:rsid w:val="006B69B5"/>
    <w:rsid w:val="006B6F29"/>
    <w:rsid w:val="006B71F6"/>
    <w:rsid w:val="006B7FA2"/>
    <w:rsid w:val="006C0FB6"/>
    <w:rsid w:val="006C11B7"/>
    <w:rsid w:val="006C128E"/>
    <w:rsid w:val="006C16D2"/>
    <w:rsid w:val="006C1767"/>
    <w:rsid w:val="006C17B3"/>
    <w:rsid w:val="006C1D5B"/>
    <w:rsid w:val="006C1E07"/>
    <w:rsid w:val="006C3B01"/>
    <w:rsid w:val="006C4468"/>
    <w:rsid w:val="006C4EB1"/>
    <w:rsid w:val="006C58EB"/>
    <w:rsid w:val="006C7244"/>
    <w:rsid w:val="006C7306"/>
    <w:rsid w:val="006D0196"/>
    <w:rsid w:val="006D0592"/>
    <w:rsid w:val="006D0772"/>
    <w:rsid w:val="006D0B3C"/>
    <w:rsid w:val="006D0E40"/>
    <w:rsid w:val="006D0F9A"/>
    <w:rsid w:val="006D132D"/>
    <w:rsid w:val="006D2C15"/>
    <w:rsid w:val="006D2EC4"/>
    <w:rsid w:val="006D362F"/>
    <w:rsid w:val="006D39C6"/>
    <w:rsid w:val="006D5C81"/>
    <w:rsid w:val="006D5ED9"/>
    <w:rsid w:val="006D640D"/>
    <w:rsid w:val="006D6D14"/>
    <w:rsid w:val="006D7534"/>
    <w:rsid w:val="006E0021"/>
    <w:rsid w:val="006E00A3"/>
    <w:rsid w:val="006E0166"/>
    <w:rsid w:val="006E1697"/>
    <w:rsid w:val="006E1A3B"/>
    <w:rsid w:val="006E1FC6"/>
    <w:rsid w:val="006E26D2"/>
    <w:rsid w:val="006E2743"/>
    <w:rsid w:val="006E3AF6"/>
    <w:rsid w:val="006E3D90"/>
    <w:rsid w:val="006E3E8D"/>
    <w:rsid w:val="006E3EFB"/>
    <w:rsid w:val="006E434B"/>
    <w:rsid w:val="006E5002"/>
    <w:rsid w:val="006E50BE"/>
    <w:rsid w:val="006E54B0"/>
    <w:rsid w:val="006E56C1"/>
    <w:rsid w:val="006E58D1"/>
    <w:rsid w:val="006E5B92"/>
    <w:rsid w:val="006E5E19"/>
    <w:rsid w:val="006E6C59"/>
    <w:rsid w:val="006E72D0"/>
    <w:rsid w:val="006E7B34"/>
    <w:rsid w:val="006E7DF9"/>
    <w:rsid w:val="006F0078"/>
    <w:rsid w:val="006F09EB"/>
    <w:rsid w:val="006F0BBD"/>
    <w:rsid w:val="006F1121"/>
    <w:rsid w:val="006F241B"/>
    <w:rsid w:val="006F2B4A"/>
    <w:rsid w:val="006F34E3"/>
    <w:rsid w:val="006F3DC4"/>
    <w:rsid w:val="006F491C"/>
    <w:rsid w:val="006F4CE6"/>
    <w:rsid w:val="006F5AAE"/>
    <w:rsid w:val="006F5C1B"/>
    <w:rsid w:val="006F7EE3"/>
    <w:rsid w:val="00701983"/>
    <w:rsid w:val="00701F15"/>
    <w:rsid w:val="00701F4D"/>
    <w:rsid w:val="0070217A"/>
    <w:rsid w:val="00702755"/>
    <w:rsid w:val="00702DBC"/>
    <w:rsid w:val="00702F28"/>
    <w:rsid w:val="007032B2"/>
    <w:rsid w:val="00703A3A"/>
    <w:rsid w:val="00703E40"/>
    <w:rsid w:val="00704084"/>
    <w:rsid w:val="00704237"/>
    <w:rsid w:val="007042C0"/>
    <w:rsid w:val="0070448F"/>
    <w:rsid w:val="0070498B"/>
    <w:rsid w:val="00704E13"/>
    <w:rsid w:val="00705668"/>
    <w:rsid w:val="00705C69"/>
    <w:rsid w:val="00705E34"/>
    <w:rsid w:val="0070697F"/>
    <w:rsid w:val="0070740F"/>
    <w:rsid w:val="007079BD"/>
    <w:rsid w:val="00707B7D"/>
    <w:rsid w:val="00710113"/>
    <w:rsid w:val="00710772"/>
    <w:rsid w:val="00710D41"/>
    <w:rsid w:val="007114BB"/>
    <w:rsid w:val="0071162D"/>
    <w:rsid w:val="00711B80"/>
    <w:rsid w:val="00711E01"/>
    <w:rsid w:val="00711F99"/>
    <w:rsid w:val="007124F8"/>
    <w:rsid w:val="007127FA"/>
    <w:rsid w:val="00713551"/>
    <w:rsid w:val="00713632"/>
    <w:rsid w:val="00713B81"/>
    <w:rsid w:val="00713E33"/>
    <w:rsid w:val="007146D8"/>
    <w:rsid w:val="007155B6"/>
    <w:rsid w:val="00717B02"/>
    <w:rsid w:val="007200CC"/>
    <w:rsid w:val="00720893"/>
    <w:rsid w:val="00720928"/>
    <w:rsid w:val="007209F2"/>
    <w:rsid w:val="00720F8E"/>
    <w:rsid w:val="007215FD"/>
    <w:rsid w:val="0072199C"/>
    <w:rsid w:val="00721B11"/>
    <w:rsid w:val="00721F44"/>
    <w:rsid w:val="007222C5"/>
    <w:rsid w:val="00722D18"/>
    <w:rsid w:val="00723A38"/>
    <w:rsid w:val="00724E06"/>
    <w:rsid w:val="007253B8"/>
    <w:rsid w:val="007255DB"/>
    <w:rsid w:val="00725E74"/>
    <w:rsid w:val="007264EF"/>
    <w:rsid w:val="00726EB2"/>
    <w:rsid w:val="007274DE"/>
    <w:rsid w:val="00727C60"/>
    <w:rsid w:val="007301C7"/>
    <w:rsid w:val="007303F5"/>
    <w:rsid w:val="00731B6C"/>
    <w:rsid w:val="0073271A"/>
    <w:rsid w:val="00732A0F"/>
    <w:rsid w:val="00732AA5"/>
    <w:rsid w:val="00733029"/>
    <w:rsid w:val="00733344"/>
    <w:rsid w:val="00733A89"/>
    <w:rsid w:val="00733BC5"/>
    <w:rsid w:val="00733FB1"/>
    <w:rsid w:val="00734F47"/>
    <w:rsid w:val="00735244"/>
    <w:rsid w:val="007353CB"/>
    <w:rsid w:val="00735C10"/>
    <w:rsid w:val="00735E15"/>
    <w:rsid w:val="00736621"/>
    <w:rsid w:val="0073741F"/>
    <w:rsid w:val="00740999"/>
    <w:rsid w:val="00740D0C"/>
    <w:rsid w:val="00741CA3"/>
    <w:rsid w:val="0074209F"/>
    <w:rsid w:val="007421AC"/>
    <w:rsid w:val="007425C7"/>
    <w:rsid w:val="007438F1"/>
    <w:rsid w:val="00744187"/>
    <w:rsid w:val="00744387"/>
    <w:rsid w:val="007444E9"/>
    <w:rsid w:val="007446AB"/>
    <w:rsid w:val="0074488D"/>
    <w:rsid w:val="0074509F"/>
    <w:rsid w:val="00745A9C"/>
    <w:rsid w:val="0074602F"/>
    <w:rsid w:val="0074626D"/>
    <w:rsid w:val="0074649B"/>
    <w:rsid w:val="0074670B"/>
    <w:rsid w:val="00746D77"/>
    <w:rsid w:val="007470B2"/>
    <w:rsid w:val="00747573"/>
    <w:rsid w:val="0075008E"/>
    <w:rsid w:val="0075120E"/>
    <w:rsid w:val="007518E6"/>
    <w:rsid w:val="0075265F"/>
    <w:rsid w:val="007527F2"/>
    <w:rsid w:val="007528B9"/>
    <w:rsid w:val="00752DDB"/>
    <w:rsid w:val="007536A9"/>
    <w:rsid w:val="00754389"/>
    <w:rsid w:val="007543A5"/>
    <w:rsid w:val="00754E62"/>
    <w:rsid w:val="007554FC"/>
    <w:rsid w:val="007555A2"/>
    <w:rsid w:val="007555B4"/>
    <w:rsid w:val="00755FDC"/>
    <w:rsid w:val="00756151"/>
    <w:rsid w:val="007573DE"/>
    <w:rsid w:val="007576D1"/>
    <w:rsid w:val="00757EE9"/>
    <w:rsid w:val="00762321"/>
    <w:rsid w:val="0076258E"/>
    <w:rsid w:val="00762BBB"/>
    <w:rsid w:val="00764578"/>
    <w:rsid w:val="007650EA"/>
    <w:rsid w:val="00765397"/>
    <w:rsid w:val="00765557"/>
    <w:rsid w:val="007658BB"/>
    <w:rsid w:val="00766170"/>
    <w:rsid w:val="0076643F"/>
    <w:rsid w:val="00766855"/>
    <w:rsid w:val="00766DE1"/>
    <w:rsid w:val="00766EA0"/>
    <w:rsid w:val="00766FD3"/>
    <w:rsid w:val="007673D9"/>
    <w:rsid w:val="007716DA"/>
    <w:rsid w:val="00771C9A"/>
    <w:rsid w:val="00772433"/>
    <w:rsid w:val="00772A89"/>
    <w:rsid w:val="00772C4C"/>
    <w:rsid w:val="00772EFA"/>
    <w:rsid w:val="00774B7A"/>
    <w:rsid w:val="00774C6F"/>
    <w:rsid w:val="00774DF0"/>
    <w:rsid w:val="007753D7"/>
    <w:rsid w:val="007755C7"/>
    <w:rsid w:val="00776913"/>
    <w:rsid w:val="00776DC6"/>
    <w:rsid w:val="00780581"/>
    <w:rsid w:val="00780661"/>
    <w:rsid w:val="007809F9"/>
    <w:rsid w:val="00780F38"/>
    <w:rsid w:val="0078174E"/>
    <w:rsid w:val="00781B69"/>
    <w:rsid w:val="00782585"/>
    <w:rsid w:val="00782A6F"/>
    <w:rsid w:val="00782C20"/>
    <w:rsid w:val="00782CFB"/>
    <w:rsid w:val="0078460C"/>
    <w:rsid w:val="00784766"/>
    <w:rsid w:val="007848A4"/>
    <w:rsid w:val="00784E03"/>
    <w:rsid w:val="00785213"/>
    <w:rsid w:val="00785691"/>
    <w:rsid w:val="00785B6E"/>
    <w:rsid w:val="00785BBF"/>
    <w:rsid w:val="00785F90"/>
    <w:rsid w:val="007863BC"/>
    <w:rsid w:val="0078689C"/>
    <w:rsid w:val="00790178"/>
    <w:rsid w:val="00790243"/>
    <w:rsid w:val="00790F8B"/>
    <w:rsid w:val="00790FAB"/>
    <w:rsid w:val="007913CC"/>
    <w:rsid w:val="00791A91"/>
    <w:rsid w:val="00792525"/>
    <w:rsid w:val="00792A15"/>
    <w:rsid w:val="007938CA"/>
    <w:rsid w:val="00793AED"/>
    <w:rsid w:val="00793CB7"/>
    <w:rsid w:val="0079417D"/>
    <w:rsid w:val="00794475"/>
    <w:rsid w:val="00794641"/>
    <w:rsid w:val="007950AC"/>
    <w:rsid w:val="00796236"/>
    <w:rsid w:val="00796A26"/>
    <w:rsid w:val="007970C4"/>
    <w:rsid w:val="00797DD9"/>
    <w:rsid w:val="007A0688"/>
    <w:rsid w:val="007A101F"/>
    <w:rsid w:val="007A10D1"/>
    <w:rsid w:val="007A17E4"/>
    <w:rsid w:val="007A1CE0"/>
    <w:rsid w:val="007A26BF"/>
    <w:rsid w:val="007A29CE"/>
    <w:rsid w:val="007A29E9"/>
    <w:rsid w:val="007A33CA"/>
    <w:rsid w:val="007A3EC1"/>
    <w:rsid w:val="007A4039"/>
    <w:rsid w:val="007A46C7"/>
    <w:rsid w:val="007A4794"/>
    <w:rsid w:val="007A4A25"/>
    <w:rsid w:val="007A539D"/>
    <w:rsid w:val="007A5817"/>
    <w:rsid w:val="007A6B39"/>
    <w:rsid w:val="007A6E5C"/>
    <w:rsid w:val="007A737F"/>
    <w:rsid w:val="007A7FED"/>
    <w:rsid w:val="007B01BB"/>
    <w:rsid w:val="007B03A8"/>
    <w:rsid w:val="007B043F"/>
    <w:rsid w:val="007B05F9"/>
    <w:rsid w:val="007B0A16"/>
    <w:rsid w:val="007B0CE3"/>
    <w:rsid w:val="007B0EC9"/>
    <w:rsid w:val="007B1F4F"/>
    <w:rsid w:val="007B2B9C"/>
    <w:rsid w:val="007B3C7F"/>
    <w:rsid w:val="007B3D30"/>
    <w:rsid w:val="007B4920"/>
    <w:rsid w:val="007B515B"/>
    <w:rsid w:val="007B52BC"/>
    <w:rsid w:val="007B5D67"/>
    <w:rsid w:val="007B60E9"/>
    <w:rsid w:val="007B6779"/>
    <w:rsid w:val="007B6CC3"/>
    <w:rsid w:val="007B7113"/>
    <w:rsid w:val="007B752C"/>
    <w:rsid w:val="007B7C16"/>
    <w:rsid w:val="007C01B1"/>
    <w:rsid w:val="007C0801"/>
    <w:rsid w:val="007C0C13"/>
    <w:rsid w:val="007C0DA5"/>
    <w:rsid w:val="007C1B4C"/>
    <w:rsid w:val="007C2330"/>
    <w:rsid w:val="007C27C3"/>
    <w:rsid w:val="007C2FF6"/>
    <w:rsid w:val="007C3334"/>
    <w:rsid w:val="007C351D"/>
    <w:rsid w:val="007C68C5"/>
    <w:rsid w:val="007C6F41"/>
    <w:rsid w:val="007C6F65"/>
    <w:rsid w:val="007C7891"/>
    <w:rsid w:val="007C7E5C"/>
    <w:rsid w:val="007D0B97"/>
    <w:rsid w:val="007D0C8C"/>
    <w:rsid w:val="007D10B3"/>
    <w:rsid w:val="007D1432"/>
    <w:rsid w:val="007D16DC"/>
    <w:rsid w:val="007D2484"/>
    <w:rsid w:val="007D2494"/>
    <w:rsid w:val="007D2B98"/>
    <w:rsid w:val="007D33BB"/>
    <w:rsid w:val="007D4D0A"/>
    <w:rsid w:val="007D4F01"/>
    <w:rsid w:val="007D5AD1"/>
    <w:rsid w:val="007D5F5F"/>
    <w:rsid w:val="007D733F"/>
    <w:rsid w:val="007D7C4D"/>
    <w:rsid w:val="007D7F07"/>
    <w:rsid w:val="007E0337"/>
    <w:rsid w:val="007E03CE"/>
    <w:rsid w:val="007E07FA"/>
    <w:rsid w:val="007E0A89"/>
    <w:rsid w:val="007E0D10"/>
    <w:rsid w:val="007E0D92"/>
    <w:rsid w:val="007E1554"/>
    <w:rsid w:val="007E1751"/>
    <w:rsid w:val="007E1768"/>
    <w:rsid w:val="007E21BC"/>
    <w:rsid w:val="007E2B3E"/>
    <w:rsid w:val="007E38E5"/>
    <w:rsid w:val="007E41D2"/>
    <w:rsid w:val="007E441B"/>
    <w:rsid w:val="007E4D79"/>
    <w:rsid w:val="007E5009"/>
    <w:rsid w:val="007E585F"/>
    <w:rsid w:val="007E5A40"/>
    <w:rsid w:val="007E5D40"/>
    <w:rsid w:val="007E61C5"/>
    <w:rsid w:val="007E6417"/>
    <w:rsid w:val="007E799A"/>
    <w:rsid w:val="007F0264"/>
    <w:rsid w:val="007F0496"/>
    <w:rsid w:val="007F0713"/>
    <w:rsid w:val="007F0A18"/>
    <w:rsid w:val="007F0C72"/>
    <w:rsid w:val="007F0D3D"/>
    <w:rsid w:val="007F171B"/>
    <w:rsid w:val="007F1CD8"/>
    <w:rsid w:val="007F22E5"/>
    <w:rsid w:val="007F2DC3"/>
    <w:rsid w:val="007F3406"/>
    <w:rsid w:val="007F400D"/>
    <w:rsid w:val="007F48EE"/>
    <w:rsid w:val="007F4C17"/>
    <w:rsid w:val="007F5266"/>
    <w:rsid w:val="007F5537"/>
    <w:rsid w:val="007F5D54"/>
    <w:rsid w:val="007F6080"/>
    <w:rsid w:val="007F62F3"/>
    <w:rsid w:val="007F6F48"/>
    <w:rsid w:val="007F6F94"/>
    <w:rsid w:val="007F7D9D"/>
    <w:rsid w:val="0080085C"/>
    <w:rsid w:val="0080094F"/>
    <w:rsid w:val="00800B51"/>
    <w:rsid w:val="0080142B"/>
    <w:rsid w:val="00802182"/>
    <w:rsid w:val="0080235C"/>
    <w:rsid w:val="00802E76"/>
    <w:rsid w:val="0080398A"/>
    <w:rsid w:val="00803F1C"/>
    <w:rsid w:val="0080408D"/>
    <w:rsid w:val="0080600E"/>
    <w:rsid w:val="0080612C"/>
    <w:rsid w:val="0080639F"/>
    <w:rsid w:val="008069D1"/>
    <w:rsid w:val="00806CE0"/>
    <w:rsid w:val="00806DF0"/>
    <w:rsid w:val="00807593"/>
    <w:rsid w:val="00810AC5"/>
    <w:rsid w:val="008124AE"/>
    <w:rsid w:val="00812ACD"/>
    <w:rsid w:val="008140C5"/>
    <w:rsid w:val="0081449E"/>
    <w:rsid w:val="008146EC"/>
    <w:rsid w:val="0081496B"/>
    <w:rsid w:val="00815207"/>
    <w:rsid w:val="00815497"/>
    <w:rsid w:val="00815A24"/>
    <w:rsid w:val="00815E08"/>
    <w:rsid w:val="00816112"/>
    <w:rsid w:val="00816A42"/>
    <w:rsid w:val="00816AE5"/>
    <w:rsid w:val="00816ED6"/>
    <w:rsid w:val="00817276"/>
    <w:rsid w:val="00817612"/>
    <w:rsid w:val="00817AA5"/>
    <w:rsid w:val="00817B08"/>
    <w:rsid w:val="00817E57"/>
    <w:rsid w:val="00821FF7"/>
    <w:rsid w:val="0082287D"/>
    <w:rsid w:val="00822FF5"/>
    <w:rsid w:val="0082333F"/>
    <w:rsid w:val="00824A3F"/>
    <w:rsid w:val="00825623"/>
    <w:rsid w:val="008258DE"/>
    <w:rsid w:val="00825F67"/>
    <w:rsid w:val="00825FF9"/>
    <w:rsid w:val="00826860"/>
    <w:rsid w:val="008271E7"/>
    <w:rsid w:val="00827229"/>
    <w:rsid w:val="00827365"/>
    <w:rsid w:val="00827622"/>
    <w:rsid w:val="0082785F"/>
    <w:rsid w:val="008309CD"/>
    <w:rsid w:val="00830F17"/>
    <w:rsid w:val="0083146E"/>
    <w:rsid w:val="00832873"/>
    <w:rsid w:val="00832E7E"/>
    <w:rsid w:val="00833633"/>
    <w:rsid w:val="00833661"/>
    <w:rsid w:val="008338A4"/>
    <w:rsid w:val="00834158"/>
    <w:rsid w:val="00835216"/>
    <w:rsid w:val="00835819"/>
    <w:rsid w:val="0083588E"/>
    <w:rsid w:val="00836060"/>
    <w:rsid w:val="0083613A"/>
    <w:rsid w:val="00836907"/>
    <w:rsid w:val="008375A0"/>
    <w:rsid w:val="00837C45"/>
    <w:rsid w:val="008417D9"/>
    <w:rsid w:val="008418D2"/>
    <w:rsid w:val="00841B6E"/>
    <w:rsid w:val="00841E8D"/>
    <w:rsid w:val="00842033"/>
    <w:rsid w:val="00842510"/>
    <w:rsid w:val="008436B8"/>
    <w:rsid w:val="0084424C"/>
    <w:rsid w:val="00844730"/>
    <w:rsid w:val="00844798"/>
    <w:rsid w:val="00845447"/>
    <w:rsid w:val="008457C2"/>
    <w:rsid w:val="00845DC2"/>
    <w:rsid w:val="00846555"/>
    <w:rsid w:val="00847D04"/>
    <w:rsid w:val="00847D66"/>
    <w:rsid w:val="008505C6"/>
    <w:rsid w:val="008508B9"/>
    <w:rsid w:val="00850E4D"/>
    <w:rsid w:val="00851BEA"/>
    <w:rsid w:val="00851C79"/>
    <w:rsid w:val="00853B54"/>
    <w:rsid w:val="00853F9D"/>
    <w:rsid w:val="008540B6"/>
    <w:rsid w:val="0085423E"/>
    <w:rsid w:val="008548E4"/>
    <w:rsid w:val="0085567C"/>
    <w:rsid w:val="008556CA"/>
    <w:rsid w:val="008563A3"/>
    <w:rsid w:val="00857A82"/>
    <w:rsid w:val="00857D41"/>
    <w:rsid w:val="0086031A"/>
    <w:rsid w:val="00860B5F"/>
    <w:rsid w:val="008611BC"/>
    <w:rsid w:val="00861880"/>
    <w:rsid w:val="008619A1"/>
    <w:rsid w:val="00862253"/>
    <w:rsid w:val="008627EF"/>
    <w:rsid w:val="008629F3"/>
    <w:rsid w:val="00862EC5"/>
    <w:rsid w:val="008657F3"/>
    <w:rsid w:val="00865CB9"/>
    <w:rsid w:val="00865D33"/>
    <w:rsid w:val="00865D59"/>
    <w:rsid w:val="00866186"/>
    <w:rsid w:val="008664EC"/>
    <w:rsid w:val="008668F6"/>
    <w:rsid w:val="00867A6D"/>
    <w:rsid w:val="0087074B"/>
    <w:rsid w:val="00871537"/>
    <w:rsid w:val="00871D0C"/>
    <w:rsid w:val="0087259A"/>
    <w:rsid w:val="00872A3D"/>
    <w:rsid w:val="00873836"/>
    <w:rsid w:val="00873F92"/>
    <w:rsid w:val="0087479F"/>
    <w:rsid w:val="008762FF"/>
    <w:rsid w:val="00876822"/>
    <w:rsid w:val="00876A9F"/>
    <w:rsid w:val="008771AD"/>
    <w:rsid w:val="0087747E"/>
    <w:rsid w:val="00877CD0"/>
    <w:rsid w:val="00880BC8"/>
    <w:rsid w:val="00880BF7"/>
    <w:rsid w:val="00881157"/>
    <w:rsid w:val="00881B88"/>
    <w:rsid w:val="0088252D"/>
    <w:rsid w:val="00882A03"/>
    <w:rsid w:val="008833C1"/>
    <w:rsid w:val="00885450"/>
    <w:rsid w:val="00885553"/>
    <w:rsid w:val="00885737"/>
    <w:rsid w:val="00885974"/>
    <w:rsid w:val="00885CA7"/>
    <w:rsid w:val="00885E54"/>
    <w:rsid w:val="00887BD0"/>
    <w:rsid w:val="00887C19"/>
    <w:rsid w:val="008902F5"/>
    <w:rsid w:val="00890650"/>
    <w:rsid w:val="008909B7"/>
    <w:rsid w:val="00890C56"/>
    <w:rsid w:val="008914B5"/>
    <w:rsid w:val="00891879"/>
    <w:rsid w:val="00891F36"/>
    <w:rsid w:val="0089369B"/>
    <w:rsid w:val="00893713"/>
    <w:rsid w:val="00893DFD"/>
    <w:rsid w:val="00893EF9"/>
    <w:rsid w:val="00894134"/>
    <w:rsid w:val="00894D26"/>
    <w:rsid w:val="00895389"/>
    <w:rsid w:val="00895D38"/>
    <w:rsid w:val="00896099"/>
    <w:rsid w:val="00896807"/>
    <w:rsid w:val="00896F65"/>
    <w:rsid w:val="0089759E"/>
    <w:rsid w:val="00897C86"/>
    <w:rsid w:val="00897E12"/>
    <w:rsid w:val="008A0437"/>
    <w:rsid w:val="008A0EC3"/>
    <w:rsid w:val="008A21D5"/>
    <w:rsid w:val="008A2501"/>
    <w:rsid w:val="008A2B89"/>
    <w:rsid w:val="008A2F89"/>
    <w:rsid w:val="008A4748"/>
    <w:rsid w:val="008A4985"/>
    <w:rsid w:val="008A4B90"/>
    <w:rsid w:val="008A5C86"/>
    <w:rsid w:val="008A5EA2"/>
    <w:rsid w:val="008A63C6"/>
    <w:rsid w:val="008A6B26"/>
    <w:rsid w:val="008A6C80"/>
    <w:rsid w:val="008A72C5"/>
    <w:rsid w:val="008A75D0"/>
    <w:rsid w:val="008A7874"/>
    <w:rsid w:val="008A7E0F"/>
    <w:rsid w:val="008B08E2"/>
    <w:rsid w:val="008B0C96"/>
    <w:rsid w:val="008B10ED"/>
    <w:rsid w:val="008B12F5"/>
    <w:rsid w:val="008B192D"/>
    <w:rsid w:val="008B1B1F"/>
    <w:rsid w:val="008B1BBB"/>
    <w:rsid w:val="008B1E57"/>
    <w:rsid w:val="008B20E5"/>
    <w:rsid w:val="008B21E9"/>
    <w:rsid w:val="008B2D49"/>
    <w:rsid w:val="008B31CA"/>
    <w:rsid w:val="008B41A1"/>
    <w:rsid w:val="008B4CCC"/>
    <w:rsid w:val="008B5196"/>
    <w:rsid w:val="008B5210"/>
    <w:rsid w:val="008B59E8"/>
    <w:rsid w:val="008B6888"/>
    <w:rsid w:val="008B6EC0"/>
    <w:rsid w:val="008B744E"/>
    <w:rsid w:val="008B751D"/>
    <w:rsid w:val="008B793B"/>
    <w:rsid w:val="008B7C48"/>
    <w:rsid w:val="008C056E"/>
    <w:rsid w:val="008C0A49"/>
    <w:rsid w:val="008C0C3D"/>
    <w:rsid w:val="008C1BB7"/>
    <w:rsid w:val="008C294B"/>
    <w:rsid w:val="008C3E8E"/>
    <w:rsid w:val="008C4927"/>
    <w:rsid w:val="008C5146"/>
    <w:rsid w:val="008C5543"/>
    <w:rsid w:val="008C5D8E"/>
    <w:rsid w:val="008C6103"/>
    <w:rsid w:val="008C6927"/>
    <w:rsid w:val="008C6949"/>
    <w:rsid w:val="008C6EAF"/>
    <w:rsid w:val="008C710F"/>
    <w:rsid w:val="008C74AB"/>
    <w:rsid w:val="008C7DB1"/>
    <w:rsid w:val="008D02EA"/>
    <w:rsid w:val="008D0EC6"/>
    <w:rsid w:val="008D1A69"/>
    <w:rsid w:val="008D1FC9"/>
    <w:rsid w:val="008D21E0"/>
    <w:rsid w:val="008D2A0D"/>
    <w:rsid w:val="008D2E8E"/>
    <w:rsid w:val="008D3224"/>
    <w:rsid w:val="008D33B3"/>
    <w:rsid w:val="008D3FA1"/>
    <w:rsid w:val="008D4727"/>
    <w:rsid w:val="008D4768"/>
    <w:rsid w:val="008D4C94"/>
    <w:rsid w:val="008D65CF"/>
    <w:rsid w:val="008E0137"/>
    <w:rsid w:val="008E075C"/>
    <w:rsid w:val="008E07BC"/>
    <w:rsid w:val="008E0960"/>
    <w:rsid w:val="008E0B0A"/>
    <w:rsid w:val="008E11CA"/>
    <w:rsid w:val="008E1471"/>
    <w:rsid w:val="008E1940"/>
    <w:rsid w:val="008E20A5"/>
    <w:rsid w:val="008E2248"/>
    <w:rsid w:val="008E25ED"/>
    <w:rsid w:val="008E2A39"/>
    <w:rsid w:val="008E2FC3"/>
    <w:rsid w:val="008E3511"/>
    <w:rsid w:val="008E3759"/>
    <w:rsid w:val="008E50F6"/>
    <w:rsid w:val="008E5A1F"/>
    <w:rsid w:val="008E6E7A"/>
    <w:rsid w:val="008E7255"/>
    <w:rsid w:val="008F0CBE"/>
    <w:rsid w:val="008F12CF"/>
    <w:rsid w:val="008F1912"/>
    <w:rsid w:val="008F1E69"/>
    <w:rsid w:val="008F1F8A"/>
    <w:rsid w:val="008F2478"/>
    <w:rsid w:val="008F25BE"/>
    <w:rsid w:val="008F3479"/>
    <w:rsid w:val="008F3E0A"/>
    <w:rsid w:val="008F425A"/>
    <w:rsid w:val="008F45C9"/>
    <w:rsid w:val="008F4711"/>
    <w:rsid w:val="008F4EFD"/>
    <w:rsid w:val="008F5B40"/>
    <w:rsid w:val="008F5E8B"/>
    <w:rsid w:val="008F5FB3"/>
    <w:rsid w:val="008F66DC"/>
    <w:rsid w:val="008F7553"/>
    <w:rsid w:val="009000B2"/>
    <w:rsid w:val="00901A4C"/>
    <w:rsid w:val="00902609"/>
    <w:rsid w:val="0090270B"/>
    <w:rsid w:val="00902F13"/>
    <w:rsid w:val="009032C1"/>
    <w:rsid w:val="0090382B"/>
    <w:rsid w:val="009041DC"/>
    <w:rsid w:val="009042DB"/>
    <w:rsid w:val="00904BD6"/>
    <w:rsid w:val="00905478"/>
    <w:rsid w:val="0090550F"/>
    <w:rsid w:val="00905C12"/>
    <w:rsid w:val="00906E40"/>
    <w:rsid w:val="00907063"/>
    <w:rsid w:val="009072E5"/>
    <w:rsid w:val="00907F68"/>
    <w:rsid w:val="00910381"/>
    <w:rsid w:val="009105A9"/>
    <w:rsid w:val="0091063B"/>
    <w:rsid w:val="00910D7B"/>
    <w:rsid w:val="009115E7"/>
    <w:rsid w:val="00911823"/>
    <w:rsid w:val="00911DA9"/>
    <w:rsid w:val="009121A0"/>
    <w:rsid w:val="00912B46"/>
    <w:rsid w:val="0091348F"/>
    <w:rsid w:val="009137EA"/>
    <w:rsid w:val="00913D8D"/>
    <w:rsid w:val="009148CF"/>
    <w:rsid w:val="00914ADF"/>
    <w:rsid w:val="009154A4"/>
    <w:rsid w:val="009155FB"/>
    <w:rsid w:val="0091583A"/>
    <w:rsid w:val="009158F7"/>
    <w:rsid w:val="00916621"/>
    <w:rsid w:val="009169CB"/>
    <w:rsid w:val="00916E0F"/>
    <w:rsid w:val="009177D4"/>
    <w:rsid w:val="009201DC"/>
    <w:rsid w:val="00920889"/>
    <w:rsid w:val="00920930"/>
    <w:rsid w:val="009209D4"/>
    <w:rsid w:val="00920A58"/>
    <w:rsid w:val="00920A8C"/>
    <w:rsid w:val="00920AB3"/>
    <w:rsid w:val="00921832"/>
    <w:rsid w:val="009219E0"/>
    <w:rsid w:val="00921AB4"/>
    <w:rsid w:val="00921F39"/>
    <w:rsid w:val="00921F55"/>
    <w:rsid w:val="00922964"/>
    <w:rsid w:val="00922D48"/>
    <w:rsid w:val="009238E7"/>
    <w:rsid w:val="00924C64"/>
    <w:rsid w:val="00925367"/>
    <w:rsid w:val="00925429"/>
    <w:rsid w:val="00926755"/>
    <w:rsid w:val="00926AA0"/>
    <w:rsid w:val="00926D4F"/>
    <w:rsid w:val="009271A8"/>
    <w:rsid w:val="009275F3"/>
    <w:rsid w:val="00927ED8"/>
    <w:rsid w:val="00930F4D"/>
    <w:rsid w:val="0093120D"/>
    <w:rsid w:val="0093313B"/>
    <w:rsid w:val="00933700"/>
    <w:rsid w:val="00933EE9"/>
    <w:rsid w:val="00934653"/>
    <w:rsid w:val="00934959"/>
    <w:rsid w:val="009349BE"/>
    <w:rsid w:val="00934A2C"/>
    <w:rsid w:val="00934B4C"/>
    <w:rsid w:val="00934DFB"/>
    <w:rsid w:val="00935013"/>
    <w:rsid w:val="0093501B"/>
    <w:rsid w:val="00935346"/>
    <w:rsid w:val="009366E0"/>
    <w:rsid w:val="0093685A"/>
    <w:rsid w:val="00937BCD"/>
    <w:rsid w:val="00940DF6"/>
    <w:rsid w:val="009411A4"/>
    <w:rsid w:val="0094120E"/>
    <w:rsid w:val="00941EBA"/>
    <w:rsid w:val="009424DA"/>
    <w:rsid w:val="0094275B"/>
    <w:rsid w:val="00942EC2"/>
    <w:rsid w:val="00943552"/>
    <w:rsid w:val="0094444C"/>
    <w:rsid w:val="00944C59"/>
    <w:rsid w:val="00944F05"/>
    <w:rsid w:val="00945A76"/>
    <w:rsid w:val="00945C77"/>
    <w:rsid w:val="0094696E"/>
    <w:rsid w:val="009470BC"/>
    <w:rsid w:val="00947E15"/>
    <w:rsid w:val="009500D7"/>
    <w:rsid w:val="009503D9"/>
    <w:rsid w:val="009508AA"/>
    <w:rsid w:val="00950B7F"/>
    <w:rsid w:val="00950E0E"/>
    <w:rsid w:val="00951E65"/>
    <w:rsid w:val="0095229E"/>
    <w:rsid w:val="0095245A"/>
    <w:rsid w:val="0095257D"/>
    <w:rsid w:val="009529DA"/>
    <w:rsid w:val="00952EDD"/>
    <w:rsid w:val="00952FD1"/>
    <w:rsid w:val="00954991"/>
    <w:rsid w:val="009552C9"/>
    <w:rsid w:val="009556DC"/>
    <w:rsid w:val="00955960"/>
    <w:rsid w:val="00955AA1"/>
    <w:rsid w:val="009567A7"/>
    <w:rsid w:val="0095700E"/>
    <w:rsid w:val="00957E2C"/>
    <w:rsid w:val="00960AF4"/>
    <w:rsid w:val="00961148"/>
    <w:rsid w:val="00961AAB"/>
    <w:rsid w:val="0096395A"/>
    <w:rsid w:val="00964E61"/>
    <w:rsid w:val="00964FF0"/>
    <w:rsid w:val="00965364"/>
    <w:rsid w:val="00965692"/>
    <w:rsid w:val="00965FF1"/>
    <w:rsid w:val="009661AF"/>
    <w:rsid w:val="00966665"/>
    <w:rsid w:val="009666D9"/>
    <w:rsid w:val="00967024"/>
    <w:rsid w:val="00967045"/>
    <w:rsid w:val="0096706E"/>
    <w:rsid w:val="009673BF"/>
    <w:rsid w:val="009719FA"/>
    <w:rsid w:val="00971ADF"/>
    <w:rsid w:val="00972061"/>
    <w:rsid w:val="00972540"/>
    <w:rsid w:val="00972CBA"/>
    <w:rsid w:val="00972E9F"/>
    <w:rsid w:val="00973E7C"/>
    <w:rsid w:val="00974C38"/>
    <w:rsid w:val="0097544B"/>
    <w:rsid w:val="00975C4E"/>
    <w:rsid w:val="00975E4C"/>
    <w:rsid w:val="00975F13"/>
    <w:rsid w:val="00976577"/>
    <w:rsid w:val="00976633"/>
    <w:rsid w:val="0097742E"/>
    <w:rsid w:val="00977AE2"/>
    <w:rsid w:val="00977B1C"/>
    <w:rsid w:val="00977F70"/>
    <w:rsid w:val="00980B7F"/>
    <w:rsid w:val="00980E04"/>
    <w:rsid w:val="00980EDD"/>
    <w:rsid w:val="00981174"/>
    <w:rsid w:val="00981756"/>
    <w:rsid w:val="00981FBA"/>
    <w:rsid w:val="00982BBB"/>
    <w:rsid w:val="00984198"/>
    <w:rsid w:val="00984E1B"/>
    <w:rsid w:val="00985B24"/>
    <w:rsid w:val="00985C1C"/>
    <w:rsid w:val="00986095"/>
    <w:rsid w:val="00986489"/>
    <w:rsid w:val="009867A2"/>
    <w:rsid w:val="00986E88"/>
    <w:rsid w:val="00987846"/>
    <w:rsid w:val="009901A9"/>
    <w:rsid w:val="0099057A"/>
    <w:rsid w:val="00990CE5"/>
    <w:rsid w:val="0099106A"/>
    <w:rsid w:val="009910E7"/>
    <w:rsid w:val="00991613"/>
    <w:rsid w:val="00991BFF"/>
    <w:rsid w:val="00991EC9"/>
    <w:rsid w:val="00992087"/>
    <w:rsid w:val="009922A2"/>
    <w:rsid w:val="009923C4"/>
    <w:rsid w:val="009937D9"/>
    <w:rsid w:val="00993864"/>
    <w:rsid w:val="00995985"/>
    <w:rsid w:val="009959C9"/>
    <w:rsid w:val="0099633B"/>
    <w:rsid w:val="00996486"/>
    <w:rsid w:val="00997BC5"/>
    <w:rsid w:val="00997FDB"/>
    <w:rsid w:val="009A0323"/>
    <w:rsid w:val="009A03A9"/>
    <w:rsid w:val="009A092B"/>
    <w:rsid w:val="009A1B4C"/>
    <w:rsid w:val="009A1C21"/>
    <w:rsid w:val="009A25F6"/>
    <w:rsid w:val="009A30F6"/>
    <w:rsid w:val="009A3DB8"/>
    <w:rsid w:val="009A4AD3"/>
    <w:rsid w:val="009A4AE5"/>
    <w:rsid w:val="009A4B37"/>
    <w:rsid w:val="009A4EC8"/>
    <w:rsid w:val="009A4F41"/>
    <w:rsid w:val="009A5295"/>
    <w:rsid w:val="009A56F1"/>
    <w:rsid w:val="009A585B"/>
    <w:rsid w:val="009A607F"/>
    <w:rsid w:val="009A69A0"/>
    <w:rsid w:val="009A7A66"/>
    <w:rsid w:val="009A7DF4"/>
    <w:rsid w:val="009B13D5"/>
    <w:rsid w:val="009B1688"/>
    <w:rsid w:val="009B2623"/>
    <w:rsid w:val="009B2830"/>
    <w:rsid w:val="009B3386"/>
    <w:rsid w:val="009B342D"/>
    <w:rsid w:val="009B3595"/>
    <w:rsid w:val="009B381B"/>
    <w:rsid w:val="009B4027"/>
    <w:rsid w:val="009B4685"/>
    <w:rsid w:val="009B4994"/>
    <w:rsid w:val="009B50A1"/>
    <w:rsid w:val="009B52CE"/>
    <w:rsid w:val="009B53F0"/>
    <w:rsid w:val="009B5EF1"/>
    <w:rsid w:val="009B6281"/>
    <w:rsid w:val="009B62CA"/>
    <w:rsid w:val="009B6461"/>
    <w:rsid w:val="009B6585"/>
    <w:rsid w:val="009B6919"/>
    <w:rsid w:val="009B7119"/>
    <w:rsid w:val="009B7333"/>
    <w:rsid w:val="009B7D05"/>
    <w:rsid w:val="009C008F"/>
    <w:rsid w:val="009C04E8"/>
    <w:rsid w:val="009C0C08"/>
    <w:rsid w:val="009C121B"/>
    <w:rsid w:val="009C1C1B"/>
    <w:rsid w:val="009C23B6"/>
    <w:rsid w:val="009C244A"/>
    <w:rsid w:val="009C3BA8"/>
    <w:rsid w:val="009C3C4B"/>
    <w:rsid w:val="009C3D85"/>
    <w:rsid w:val="009C44EC"/>
    <w:rsid w:val="009C475A"/>
    <w:rsid w:val="009C4C5F"/>
    <w:rsid w:val="009C54CA"/>
    <w:rsid w:val="009C6760"/>
    <w:rsid w:val="009C6A0D"/>
    <w:rsid w:val="009C777D"/>
    <w:rsid w:val="009C7BAA"/>
    <w:rsid w:val="009C7D64"/>
    <w:rsid w:val="009C7EA2"/>
    <w:rsid w:val="009D1822"/>
    <w:rsid w:val="009D1A08"/>
    <w:rsid w:val="009D230B"/>
    <w:rsid w:val="009D2C88"/>
    <w:rsid w:val="009D2ECA"/>
    <w:rsid w:val="009D33B2"/>
    <w:rsid w:val="009D3A41"/>
    <w:rsid w:val="009D3EF3"/>
    <w:rsid w:val="009D5F93"/>
    <w:rsid w:val="009D74D7"/>
    <w:rsid w:val="009D7611"/>
    <w:rsid w:val="009E0B61"/>
    <w:rsid w:val="009E12CB"/>
    <w:rsid w:val="009E13FC"/>
    <w:rsid w:val="009E1BAF"/>
    <w:rsid w:val="009E21ED"/>
    <w:rsid w:val="009E3012"/>
    <w:rsid w:val="009E45CB"/>
    <w:rsid w:val="009E4975"/>
    <w:rsid w:val="009E4E45"/>
    <w:rsid w:val="009E4E91"/>
    <w:rsid w:val="009E53DE"/>
    <w:rsid w:val="009E5577"/>
    <w:rsid w:val="009E55C9"/>
    <w:rsid w:val="009E5DD1"/>
    <w:rsid w:val="009E5FE1"/>
    <w:rsid w:val="009E6937"/>
    <w:rsid w:val="009E695C"/>
    <w:rsid w:val="009E6C3E"/>
    <w:rsid w:val="009E6CC1"/>
    <w:rsid w:val="009E79F2"/>
    <w:rsid w:val="009E7C0B"/>
    <w:rsid w:val="009E7E3B"/>
    <w:rsid w:val="009F19B5"/>
    <w:rsid w:val="009F1D4D"/>
    <w:rsid w:val="009F2EF7"/>
    <w:rsid w:val="009F33BF"/>
    <w:rsid w:val="009F3CAF"/>
    <w:rsid w:val="009F40AE"/>
    <w:rsid w:val="009F4735"/>
    <w:rsid w:val="009F4EFC"/>
    <w:rsid w:val="009F50F4"/>
    <w:rsid w:val="009F5402"/>
    <w:rsid w:val="009F6313"/>
    <w:rsid w:val="009F6409"/>
    <w:rsid w:val="009F6745"/>
    <w:rsid w:val="009F6C1A"/>
    <w:rsid w:val="009F7549"/>
    <w:rsid w:val="00A00BFD"/>
    <w:rsid w:val="00A0131C"/>
    <w:rsid w:val="00A01C60"/>
    <w:rsid w:val="00A01E78"/>
    <w:rsid w:val="00A025AC"/>
    <w:rsid w:val="00A027FA"/>
    <w:rsid w:val="00A03143"/>
    <w:rsid w:val="00A0334E"/>
    <w:rsid w:val="00A04AF7"/>
    <w:rsid w:val="00A052AC"/>
    <w:rsid w:val="00A05477"/>
    <w:rsid w:val="00A06E28"/>
    <w:rsid w:val="00A072D4"/>
    <w:rsid w:val="00A07C4A"/>
    <w:rsid w:val="00A07E5F"/>
    <w:rsid w:val="00A104DF"/>
    <w:rsid w:val="00A10A00"/>
    <w:rsid w:val="00A1170C"/>
    <w:rsid w:val="00A12867"/>
    <w:rsid w:val="00A129F4"/>
    <w:rsid w:val="00A1346B"/>
    <w:rsid w:val="00A13654"/>
    <w:rsid w:val="00A139B1"/>
    <w:rsid w:val="00A13D36"/>
    <w:rsid w:val="00A15BCA"/>
    <w:rsid w:val="00A160DA"/>
    <w:rsid w:val="00A16B1B"/>
    <w:rsid w:val="00A17003"/>
    <w:rsid w:val="00A17685"/>
    <w:rsid w:val="00A178DD"/>
    <w:rsid w:val="00A20407"/>
    <w:rsid w:val="00A20460"/>
    <w:rsid w:val="00A219A8"/>
    <w:rsid w:val="00A21B9A"/>
    <w:rsid w:val="00A23138"/>
    <w:rsid w:val="00A231BB"/>
    <w:rsid w:val="00A23D7A"/>
    <w:rsid w:val="00A24801"/>
    <w:rsid w:val="00A2556A"/>
    <w:rsid w:val="00A25621"/>
    <w:rsid w:val="00A25E38"/>
    <w:rsid w:val="00A26681"/>
    <w:rsid w:val="00A2673A"/>
    <w:rsid w:val="00A2742D"/>
    <w:rsid w:val="00A27D5F"/>
    <w:rsid w:val="00A30A66"/>
    <w:rsid w:val="00A31632"/>
    <w:rsid w:val="00A3207B"/>
    <w:rsid w:val="00A322CA"/>
    <w:rsid w:val="00A328B3"/>
    <w:rsid w:val="00A32F4A"/>
    <w:rsid w:val="00A33F2C"/>
    <w:rsid w:val="00A344B3"/>
    <w:rsid w:val="00A34625"/>
    <w:rsid w:val="00A355EC"/>
    <w:rsid w:val="00A357AB"/>
    <w:rsid w:val="00A357FF"/>
    <w:rsid w:val="00A35CBB"/>
    <w:rsid w:val="00A3607C"/>
    <w:rsid w:val="00A36165"/>
    <w:rsid w:val="00A36B39"/>
    <w:rsid w:val="00A379F0"/>
    <w:rsid w:val="00A379F5"/>
    <w:rsid w:val="00A405E8"/>
    <w:rsid w:val="00A40EE9"/>
    <w:rsid w:val="00A411BD"/>
    <w:rsid w:val="00A41959"/>
    <w:rsid w:val="00A427A2"/>
    <w:rsid w:val="00A42CF6"/>
    <w:rsid w:val="00A430F9"/>
    <w:rsid w:val="00A43282"/>
    <w:rsid w:val="00A43286"/>
    <w:rsid w:val="00A43D5D"/>
    <w:rsid w:val="00A44165"/>
    <w:rsid w:val="00A4449E"/>
    <w:rsid w:val="00A4583D"/>
    <w:rsid w:val="00A458BB"/>
    <w:rsid w:val="00A46904"/>
    <w:rsid w:val="00A46BA2"/>
    <w:rsid w:val="00A4737C"/>
    <w:rsid w:val="00A477D3"/>
    <w:rsid w:val="00A503DE"/>
    <w:rsid w:val="00A508E5"/>
    <w:rsid w:val="00A509E2"/>
    <w:rsid w:val="00A50B61"/>
    <w:rsid w:val="00A50B7B"/>
    <w:rsid w:val="00A50D2D"/>
    <w:rsid w:val="00A50F2F"/>
    <w:rsid w:val="00A50FCF"/>
    <w:rsid w:val="00A512A5"/>
    <w:rsid w:val="00A51744"/>
    <w:rsid w:val="00A528D1"/>
    <w:rsid w:val="00A52D34"/>
    <w:rsid w:val="00A5335B"/>
    <w:rsid w:val="00A5337B"/>
    <w:rsid w:val="00A53982"/>
    <w:rsid w:val="00A54597"/>
    <w:rsid w:val="00A54AB9"/>
    <w:rsid w:val="00A550B7"/>
    <w:rsid w:val="00A55B8D"/>
    <w:rsid w:val="00A55C7B"/>
    <w:rsid w:val="00A55EEF"/>
    <w:rsid w:val="00A57053"/>
    <w:rsid w:val="00A57F82"/>
    <w:rsid w:val="00A60715"/>
    <w:rsid w:val="00A60DF4"/>
    <w:rsid w:val="00A610CD"/>
    <w:rsid w:val="00A62487"/>
    <w:rsid w:val="00A62B85"/>
    <w:rsid w:val="00A62CF1"/>
    <w:rsid w:val="00A635E2"/>
    <w:rsid w:val="00A637C7"/>
    <w:rsid w:val="00A63DC1"/>
    <w:rsid w:val="00A640EF"/>
    <w:rsid w:val="00A65066"/>
    <w:rsid w:val="00A65638"/>
    <w:rsid w:val="00A658E1"/>
    <w:rsid w:val="00A65AC3"/>
    <w:rsid w:val="00A66363"/>
    <w:rsid w:val="00A666C4"/>
    <w:rsid w:val="00A67020"/>
    <w:rsid w:val="00A678CE"/>
    <w:rsid w:val="00A67FD8"/>
    <w:rsid w:val="00A7105A"/>
    <w:rsid w:val="00A7190E"/>
    <w:rsid w:val="00A71B59"/>
    <w:rsid w:val="00A72174"/>
    <w:rsid w:val="00A7230A"/>
    <w:rsid w:val="00A72957"/>
    <w:rsid w:val="00A72EDD"/>
    <w:rsid w:val="00A731BF"/>
    <w:rsid w:val="00A73892"/>
    <w:rsid w:val="00A73B2E"/>
    <w:rsid w:val="00A73B7E"/>
    <w:rsid w:val="00A7401D"/>
    <w:rsid w:val="00A7407B"/>
    <w:rsid w:val="00A7408E"/>
    <w:rsid w:val="00A740B9"/>
    <w:rsid w:val="00A74A27"/>
    <w:rsid w:val="00A757F2"/>
    <w:rsid w:val="00A75A9C"/>
    <w:rsid w:val="00A76DB5"/>
    <w:rsid w:val="00A77001"/>
    <w:rsid w:val="00A80A6B"/>
    <w:rsid w:val="00A817B6"/>
    <w:rsid w:val="00A81D4D"/>
    <w:rsid w:val="00A81E6D"/>
    <w:rsid w:val="00A82364"/>
    <w:rsid w:val="00A82517"/>
    <w:rsid w:val="00A82EA7"/>
    <w:rsid w:val="00A837F7"/>
    <w:rsid w:val="00A83D29"/>
    <w:rsid w:val="00A84096"/>
    <w:rsid w:val="00A842A0"/>
    <w:rsid w:val="00A84403"/>
    <w:rsid w:val="00A849C5"/>
    <w:rsid w:val="00A84A29"/>
    <w:rsid w:val="00A84EEE"/>
    <w:rsid w:val="00A859F8"/>
    <w:rsid w:val="00A862F8"/>
    <w:rsid w:val="00A866D0"/>
    <w:rsid w:val="00A86937"/>
    <w:rsid w:val="00A87156"/>
    <w:rsid w:val="00A90A31"/>
    <w:rsid w:val="00A90E8D"/>
    <w:rsid w:val="00A91484"/>
    <w:rsid w:val="00A918C1"/>
    <w:rsid w:val="00A9258C"/>
    <w:rsid w:val="00A92B2D"/>
    <w:rsid w:val="00A92D19"/>
    <w:rsid w:val="00A93138"/>
    <w:rsid w:val="00A9366F"/>
    <w:rsid w:val="00A94080"/>
    <w:rsid w:val="00A95457"/>
    <w:rsid w:val="00A95535"/>
    <w:rsid w:val="00A95C36"/>
    <w:rsid w:val="00A95C6E"/>
    <w:rsid w:val="00A95CBB"/>
    <w:rsid w:val="00A96001"/>
    <w:rsid w:val="00A978BF"/>
    <w:rsid w:val="00A97BA9"/>
    <w:rsid w:val="00A97FB6"/>
    <w:rsid w:val="00AA0644"/>
    <w:rsid w:val="00AA0751"/>
    <w:rsid w:val="00AA09A2"/>
    <w:rsid w:val="00AA09B7"/>
    <w:rsid w:val="00AA1294"/>
    <w:rsid w:val="00AA299D"/>
    <w:rsid w:val="00AA3666"/>
    <w:rsid w:val="00AA380B"/>
    <w:rsid w:val="00AA3DE2"/>
    <w:rsid w:val="00AA3DF8"/>
    <w:rsid w:val="00AA42C4"/>
    <w:rsid w:val="00AA4463"/>
    <w:rsid w:val="00AA5754"/>
    <w:rsid w:val="00AA61E8"/>
    <w:rsid w:val="00AA64DD"/>
    <w:rsid w:val="00AA652D"/>
    <w:rsid w:val="00AA78EE"/>
    <w:rsid w:val="00AA7937"/>
    <w:rsid w:val="00AB0351"/>
    <w:rsid w:val="00AB0512"/>
    <w:rsid w:val="00AB0C45"/>
    <w:rsid w:val="00AB1501"/>
    <w:rsid w:val="00AB15C9"/>
    <w:rsid w:val="00AB184F"/>
    <w:rsid w:val="00AB1C07"/>
    <w:rsid w:val="00AB21D6"/>
    <w:rsid w:val="00AB2F76"/>
    <w:rsid w:val="00AB314E"/>
    <w:rsid w:val="00AB36A9"/>
    <w:rsid w:val="00AB3B18"/>
    <w:rsid w:val="00AB43F6"/>
    <w:rsid w:val="00AB446E"/>
    <w:rsid w:val="00AB48B7"/>
    <w:rsid w:val="00AB60D9"/>
    <w:rsid w:val="00AB62FD"/>
    <w:rsid w:val="00AB6544"/>
    <w:rsid w:val="00AB66AE"/>
    <w:rsid w:val="00AB66BF"/>
    <w:rsid w:val="00AB710E"/>
    <w:rsid w:val="00AB7183"/>
    <w:rsid w:val="00AB76A6"/>
    <w:rsid w:val="00AB7D09"/>
    <w:rsid w:val="00AC00C7"/>
    <w:rsid w:val="00AC0121"/>
    <w:rsid w:val="00AC02FB"/>
    <w:rsid w:val="00AC1248"/>
    <w:rsid w:val="00AC19CB"/>
    <w:rsid w:val="00AC2AC5"/>
    <w:rsid w:val="00AC3102"/>
    <w:rsid w:val="00AC3617"/>
    <w:rsid w:val="00AC4BEC"/>
    <w:rsid w:val="00AC5686"/>
    <w:rsid w:val="00AC5AD5"/>
    <w:rsid w:val="00AC5B89"/>
    <w:rsid w:val="00AC5F68"/>
    <w:rsid w:val="00AC6C7A"/>
    <w:rsid w:val="00AC6D17"/>
    <w:rsid w:val="00AC7163"/>
    <w:rsid w:val="00AC74B7"/>
    <w:rsid w:val="00AC750B"/>
    <w:rsid w:val="00AC766D"/>
    <w:rsid w:val="00AD0B73"/>
    <w:rsid w:val="00AD1157"/>
    <w:rsid w:val="00AD198B"/>
    <w:rsid w:val="00AD1D81"/>
    <w:rsid w:val="00AD2972"/>
    <w:rsid w:val="00AD2DA0"/>
    <w:rsid w:val="00AD31E9"/>
    <w:rsid w:val="00AD452F"/>
    <w:rsid w:val="00AD4990"/>
    <w:rsid w:val="00AD6A7C"/>
    <w:rsid w:val="00AD6F41"/>
    <w:rsid w:val="00AD7F25"/>
    <w:rsid w:val="00AD7F4B"/>
    <w:rsid w:val="00AD7FD7"/>
    <w:rsid w:val="00AE02FB"/>
    <w:rsid w:val="00AE05ED"/>
    <w:rsid w:val="00AE063F"/>
    <w:rsid w:val="00AE0CEB"/>
    <w:rsid w:val="00AE103A"/>
    <w:rsid w:val="00AE16DB"/>
    <w:rsid w:val="00AE1770"/>
    <w:rsid w:val="00AE3479"/>
    <w:rsid w:val="00AE3A24"/>
    <w:rsid w:val="00AE46DB"/>
    <w:rsid w:val="00AE48BB"/>
    <w:rsid w:val="00AE4924"/>
    <w:rsid w:val="00AE5488"/>
    <w:rsid w:val="00AE6AC2"/>
    <w:rsid w:val="00AE6DE4"/>
    <w:rsid w:val="00AE6F91"/>
    <w:rsid w:val="00AE73B1"/>
    <w:rsid w:val="00AF03CA"/>
    <w:rsid w:val="00AF076C"/>
    <w:rsid w:val="00AF0DA1"/>
    <w:rsid w:val="00AF127A"/>
    <w:rsid w:val="00AF1EC1"/>
    <w:rsid w:val="00AF240F"/>
    <w:rsid w:val="00AF3064"/>
    <w:rsid w:val="00AF3E3C"/>
    <w:rsid w:val="00AF423D"/>
    <w:rsid w:val="00AF44C3"/>
    <w:rsid w:val="00AF4C2C"/>
    <w:rsid w:val="00AF4D3A"/>
    <w:rsid w:val="00AF52A5"/>
    <w:rsid w:val="00AF5571"/>
    <w:rsid w:val="00AF596C"/>
    <w:rsid w:val="00AF5E7A"/>
    <w:rsid w:val="00AF6A32"/>
    <w:rsid w:val="00AF6AFF"/>
    <w:rsid w:val="00AF6B45"/>
    <w:rsid w:val="00AF7667"/>
    <w:rsid w:val="00AF77AE"/>
    <w:rsid w:val="00AF7B8C"/>
    <w:rsid w:val="00B00247"/>
    <w:rsid w:val="00B00FAB"/>
    <w:rsid w:val="00B0192B"/>
    <w:rsid w:val="00B01CCE"/>
    <w:rsid w:val="00B02FBE"/>
    <w:rsid w:val="00B0318B"/>
    <w:rsid w:val="00B0341D"/>
    <w:rsid w:val="00B05B37"/>
    <w:rsid w:val="00B06C1C"/>
    <w:rsid w:val="00B07000"/>
    <w:rsid w:val="00B077CE"/>
    <w:rsid w:val="00B07EBA"/>
    <w:rsid w:val="00B102E9"/>
    <w:rsid w:val="00B10F4E"/>
    <w:rsid w:val="00B12686"/>
    <w:rsid w:val="00B13110"/>
    <w:rsid w:val="00B1311E"/>
    <w:rsid w:val="00B131AB"/>
    <w:rsid w:val="00B13D6E"/>
    <w:rsid w:val="00B14767"/>
    <w:rsid w:val="00B14F30"/>
    <w:rsid w:val="00B1664E"/>
    <w:rsid w:val="00B16EB9"/>
    <w:rsid w:val="00B1736D"/>
    <w:rsid w:val="00B17715"/>
    <w:rsid w:val="00B1773A"/>
    <w:rsid w:val="00B20723"/>
    <w:rsid w:val="00B21524"/>
    <w:rsid w:val="00B21948"/>
    <w:rsid w:val="00B21E22"/>
    <w:rsid w:val="00B2426C"/>
    <w:rsid w:val="00B24991"/>
    <w:rsid w:val="00B25283"/>
    <w:rsid w:val="00B2572A"/>
    <w:rsid w:val="00B25CDF"/>
    <w:rsid w:val="00B25D62"/>
    <w:rsid w:val="00B262A4"/>
    <w:rsid w:val="00B264BC"/>
    <w:rsid w:val="00B26584"/>
    <w:rsid w:val="00B266DC"/>
    <w:rsid w:val="00B2694A"/>
    <w:rsid w:val="00B26AAC"/>
    <w:rsid w:val="00B26FB4"/>
    <w:rsid w:val="00B2753D"/>
    <w:rsid w:val="00B27BCD"/>
    <w:rsid w:val="00B302C7"/>
    <w:rsid w:val="00B30539"/>
    <w:rsid w:val="00B30977"/>
    <w:rsid w:val="00B314DB"/>
    <w:rsid w:val="00B316B6"/>
    <w:rsid w:val="00B349D1"/>
    <w:rsid w:val="00B34ACE"/>
    <w:rsid w:val="00B356B0"/>
    <w:rsid w:val="00B36240"/>
    <w:rsid w:val="00B36D53"/>
    <w:rsid w:val="00B3701B"/>
    <w:rsid w:val="00B3718B"/>
    <w:rsid w:val="00B37446"/>
    <w:rsid w:val="00B40069"/>
    <w:rsid w:val="00B4041B"/>
    <w:rsid w:val="00B4060E"/>
    <w:rsid w:val="00B40FB2"/>
    <w:rsid w:val="00B41C05"/>
    <w:rsid w:val="00B434AA"/>
    <w:rsid w:val="00B43AE5"/>
    <w:rsid w:val="00B43CAB"/>
    <w:rsid w:val="00B442C7"/>
    <w:rsid w:val="00B44C7C"/>
    <w:rsid w:val="00B456B1"/>
    <w:rsid w:val="00B45759"/>
    <w:rsid w:val="00B4632A"/>
    <w:rsid w:val="00B46A0F"/>
    <w:rsid w:val="00B46F78"/>
    <w:rsid w:val="00B473D0"/>
    <w:rsid w:val="00B476CE"/>
    <w:rsid w:val="00B50D3F"/>
    <w:rsid w:val="00B50E37"/>
    <w:rsid w:val="00B51482"/>
    <w:rsid w:val="00B530F1"/>
    <w:rsid w:val="00B5326D"/>
    <w:rsid w:val="00B53AD5"/>
    <w:rsid w:val="00B56419"/>
    <w:rsid w:val="00B56AC1"/>
    <w:rsid w:val="00B56B37"/>
    <w:rsid w:val="00B570E7"/>
    <w:rsid w:val="00B57F96"/>
    <w:rsid w:val="00B600F0"/>
    <w:rsid w:val="00B60964"/>
    <w:rsid w:val="00B6113A"/>
    <w:rsid w:val="00B61680"/>
    <w:rsid w:val="00B61F6A"/>
    <w:rsid w:val="00B63484"/>
    <w:rsid w:val="00B636B5"/>
    <w:rsid w:val="00B64AE2"/>
    <w:rsid w:val="00B65B7D"/>
    <w:rsid w:val="00B65FAC"/>
    <w:rsid w:val="00B6650F"/>
    <w:rsid w:val="00B66DDF"/>
    <w:rsid w:val="00B66F20"/>
    <w:rsid w:val="00B6720D"/>
    <w:rsid w:val="00B67DA3"/>
    <w:rsid w:val="00B71885"/>
    <w:rsid w:val="00B72332"/>
    <w:rsid w:val="00B727DB"/>
    <w:rsid w:val="00B72B38"/>
    <w:rsid w:val="00B73061"/>
    <w:rsid w:val="00B732CC"/>
    <w:rsid w:val="00B737FD"/>
    <w:rsid w:val="00B74B77"/>
    <w:rsid w:val="00B74CF0"/>
    <w:rsid w:val="00B75A71"/>
    <w:rsid w:val="00B772CB"/>
    <w:rsid w:val="00B8064A"/>
    <w:rsid w:val="00B8166D"/>
    <w:rsid w:val="00B819AD"/>
    <w:rsid w:val="00B81C16"/>
    <w:rsid w:val="00B83ED3"/>
    <w:rsid w:val="00B84D32"/>
    <w:rsid w:val="00B84D3D"/>
    <w:rsid w:val="00B84FF0"/>
    <w:rsid w:val="00B85D0F"/>
    <w:rsid w:val="00B862BA"/>
    <w:rsid w:val="00B87ADF"/>
    <w:rsid w:val="00B87DB6"/>
    <w:rsid w:val="00B90768"/>
    <w:rsid w:val="00B90CB4"/>
    <w:rsid w:val="00B90D86"/>
    <w:rsid w:val="00B90E79"/>
    <w:rsid w:val="00B90EC1"/>
    <w:rsid w:val="00B90F54"/>
    <w:rsid w:val="00B91154"/>
    <w:rsid w:val="00B917C7"/>
    <w:rsid w:val="00B91CAC"/>
    <w:rsid w:val="00B92B20"/>
    <w:rsid w:val="00B92C9B"/>
    <w:rsid w:val="00B92D5A"/>
    <w:rsid w:val="00B93439"/>
    <w:rsid w:val="00B93FE4"/>
    <w:rsid w:val="00B9432B"/>
    <w:rsid w:val="00B944FB"/>
    <w:rsid w:val="00B94589"/>
    <w:rsid w:val="00B948CD"/>
    <w:rsid w:val="00B94B27"/>
    <w:rsid w:val="00B955AE"/>
    <w:rsid w:val="00B95C9D"/>
    <w:rsid w:val="00B95CD3"/>
    <w:rsid w:val="00B95DE5"/>
    <w:rsid w:val="00B97310"/>
    <w:rsid w:val="00B97F15"/>
    <w:rsid w:val="00BA0A5E"/>
    <w:rsid w:val="00BA1393"/>
    <w:rsid w:val="00BA1C9C"/>
    <w:rsid w:val="00BA1D94"/>
    <w:rsid w:val="00BA2600"/>
    <w:rsid w:val="00BA276C"/>
    <w:rsid w:val="00BA2F04"/>
    <w:rsid w:val="00BA4746"/>
    <w:rsid w:val="00BA483C"/>
    <w:rsid w:val="00BA528B"/>
    <w:rsid w:val="00BA53BB"/>
    <w:rsid w:val="00BA573E"/>
    <w:rsid w:val="00BA5D29"/>
    <w:rsid w:val="00BA619C"/>
    <w:rsid w:val="00BA683E"/>
    <w:rsid w:val="00BA7312"/>
    <w:rsid w:val="00BA792D"/>
    <w:rsid w:val="00BA7F1C"/>
    <w:rsid w:val="00BB01F4"/>
    <w:rsid w:val="00BB0213"/>
    <w:rsid w:val="00BB1F5B"/>
    <w:rsid w:val="00BB256D"/>
    <w:rsid w:val="00BB2B86"/>
    <w:rsid w:val="00BB2D95"/>
    <w:rsid w:val="00BB306F"/>
    <w:rsid w:val="00BB35E4"/>
    <w:rsid w:val="00BB369E"/>
    <w:rsid w:val="00BB4116"/>
    <w:rsid w:val="00BB4253"/>
    <w:rsid w:val="00BB49EB"/>
    <w:rsid w:val="00BB52E6"/>
    <w:rsid w:val="00BB5322"/>
    <w:rsid w:val="00BB5FC7"/>
    <w:rsid w:val="00BB658B"/>
    <w:rsid w:val="00BB664F"/>
    <w:rsid w:val="00BB7C91"/>
    <w:rsid w:val="00BB7E95"/>
    <w:rsid w:val="00BC0622"/>
    <w:rsid w:val="00BC18C9"/>
    <w:rsid w:val="00BC2AFC"/>
    <w:rsid w:val="00BC2D8D"/>
    <w:rsid w:val="00BC4041"/>
    <w:rsid w:val="00BC433F"/>
    <w:rsid w:val="00BC4DAA"/>
    <w:rsid w:val="00BC4E19"/>
    <w:rsid w:val="00BC4F90"/>
    <w:rsid w:val="00BC55EA"/>
    <w:rsid w:val="00BC57DB"/>
    <w:rsid w:val="00BC5941"/>
    <w:rsid w:val="00BC6005"/>
    <w:rsid w:val="00BC65A4"/>
    <w:rsid w:val="00BC668B"/>
    <w:rsid w:val="00BC668F"/>
    <w:rsid w:val="00BC6855"/>
    <w:rsid w:val="00BC6C67"/>
    <w:rsid w:val="00BC70E9"/>
    <w:rsid w:val="00BD0CF9"/>
    <w:rsid w:val="00BD0EB4"/>
    <w:rsid w:val="00BD2028"/>
    <w:rsid w:val="00BD2703"/>
    <w:rsid w:val="00BD33F7"/>
    <w:rsid w:val="00BD3A3F"/>
    <w:rsid w:val="00BD3D92"/>
    <w:rsid w:val="00BD41BB"/>
    <w:rsid w:val="00BD4730"/>
    <w:rsid w:val="00BD495B"/>
    <w:rsid w:val="00BD4AA9"/>
    <w:rsid w:val="00BD4B89"/>
    <w:rsid w:val="00BD5F33"/>
    <w:rsid w:val="00BD726E"/>
    <w:rsid w:val="00BE025B"/>
    <w:rsid w:val="00BE047B"/>
    <w:rsid w:val="00BE0D78"/>
    <w:rsid w:val="00BE120D"/>
    <w:rsid w:val="00BE167E"/>
    <w:rsid w:val="00BE1964"/>
    <w:rsid w:val="00BE2AE0"/>
    <w:rsid w:val="00BE3101"/>
    <w:rsid w:val="00BE31DC"/>
    <w:rsid w:val="00BE3526"/>
    <w:rsid w:val="00BE358A"/>
    <w:rsid w:val="00BE376B"/>
    <w:rsid w:val="00BE3D72"/>
    <w:rsid w:val="00BE3FD6"/>
    <w:rsid w:val="00BE4112"/>
    <w:rsid w:val="00BE4A27"/>
    <w:rsid w:val="00BE4C47"/>
    <w:rsid w:val="00BE65AE"/>
    <w:rsid w:val="00BE6BF1"/>
    <w:rsid w:val="00BE72B5"/>
    <w:rsid w:val="00BE73F9"/>
    <w:rsid w:val="00BF03D8"/>
    <w:rsid w:val="00BF0ACA"/>
    <w:rsid w:val="00BF180B"/>
    <w:rsid w:val="00BF1823"/>
    <w:rsid w:val="00BF1A40"/>
    <w:rsid w:val="00BF2146"/>
    <w:rsid w:val="00BF339D"/>
    <w:rsid w:val="00BF3461"/>
    <w:rsid w:val="00BF34CC"/>
    <w:rsid w:val="00BF3DF6"/>
    <w:rsid w:val="00BF4CCB"/>
    <w:rsid w:val="00BF4D34"/>
    <w:rsid w:val="00BF5612"/>
    <w:rsid w:val="00BF5AF5"/>
    <w:rsid w:val="00BF6533"/>
    <w:rsid w:val="00BF6B82"/>
    <w:rsid w:val="00BF6FD8"/>
    <w:rsid w:val="00BF7D6D"/>
    <w:rsid w:val="00BF7F7C"/>
    <w:rsid w:val="00C0075D"/>
    <w:rsid w:val="00C01D45"/>
    <w:rsid w:val="00C01E60"/>
    <w:rsid w:val="00C0258D"/>
    <w:rsid w:val="00C0275D"/>
    <w:rsid w:val="00C02D36"/>
    <w:rsid w:val="00C02EA6"/>
    <w:rsid w:val="00C03680"/>
    <w:rsid w:val="00C03F9C"/>
    <w:rsid w:val="00C04314"/>
    <w:rsid w:val="00C045F5"/>
    <w:rsid w:val="00C047D5"/>
    <w:rsid w:val="00C047D9"/>
    <w:rsid w:val="00C04F37"/>
    <w:rsid w:val="00C052ED"/>
    <w:rsid w:val="00C054DF"/>
    <w:rsid w:val="00C0580F"/>
    <w:rsid w:val="00C05AAD"/>
    <w:rsid w:val="00C05C0C"/>
    <w:rsid w:val="00C05EC5"/>
    <w:rsid w:val="00C06120"/>
    <w:rsid w:val="00C062C0"/>
    <w:rsid w:val="00C067C3"/>
    <w:rsid w:val="00C071D4"/>
    <w:rsid w:val="00C1072B"/>
    <w:rsid w:val="00C10C6B"/>
    <w:rsid w:val="00C11042"/>
    <w:rsid w:val="00C116E8"/>
    <w:rsid w:val="00C11A27"/>
    <w:rsid w:val="00C12378"/>
    <w:rsid w:val="00C13281"/>
    <w:rsid w:val="00C135D0"/>
    <w:rsid w:val="00C13D44"/>
    <w:rsid w:val="00C143A1"/>
    <w:rsid w:val="00C14978"/>
    <w:rsid w:val="00C152A5"/>
    <w:rsid w:val="00C15A24"/>
    <w:rsid w:val="00C15A62"/>
    <w:rsid w:val="00C15E41"/>
    <w:rsid w:val="00C16451"/>
    <w:rsid w:val="00C169C4"/>
    <w:rsid w:val="00C174CA"/>
    <w:rsid w:val="00C17C8F"/>
    <w:rsid w:val="00C20D59"/>
    <w:rsid w:val="00C20E98"/>
    <w:rsid w:val="00C21762"/>
    <w:rsid w:val="00C21E02"/>
    <w:rsid w:val="00C2240A"/>
    <w:rsid w:val="00C22BEF"/>
    <w:rsid w:val="00C233AC"/>
    <w:rsid w:val="00C2355D"/>
    <w:rsid w:val="00C236C1"/>
    <w:rsid w:val="00C24543"/>
    <w:rsid w:val="00C247B9"/>
    <w:rsid w:val="00C2517B"/>
    <w:rsid w:val="00C25480"/>
    <w:rsid w:val="00C25607"/>
    <w:rsid w:val="00C256A2"/>
    <w:rsid w:val="00C26A02"/>
    <w:rsid w:val="00C2728C"/>
    <w:rsid w:val="00C300ED"/>
    <w:rsid w:val="00C30AC4"/>
    <w:rsid w:val="00C32539"/>
    <w:rsid w:val="00C32962"/>
    <w:rsid w:val="00C329B6"/>
    <w:rsid w:val="00C33726"/>
    <w:rsid w:val="00C33F62"/>
    <w:rsid w:val="00C34113"/>
    <w:rsid w:val="00C3457E"/>
    <w:rsid w:val="00C34CEF"/>
    <w:rsid w:val="00C34E9B"/>
    <w:rsid w:val="00C35013"/>
    <w:rsid w:val="00C3530F"/>
    <w:rsid w:val="00C3534A"/>
    <w:rsid w:val="00C3552C"/>
    <w:rsid w:val="00C3601A"/>
    <w:rsid w:val="00C3617B"/>
    <w:rsid w:val="00C3623E"/>
    <w:rsid w:val="00C37FDB"/>
    <w:rsid w:val="00C401C4"/>
    <w:rsid w:val="00C40219"/>
    <w:rsid w:val="00C40641"/>
    <w:rsid w:val="00C415F7"/>
    <w:rsid w:val="00C4160B"/>
    <w:rsid w:val="00C41985"/>
    <w:rsid w:val="00C41D1E"/>
    <w:rsid w:val="00C41D81"/>
    <w:rsid w:val="00C42BE7"/>
    <w:rsid w:val="00C433C4"/>
    <w:rsid w:val="00C437CD"/>
    <w:rsid w:val="00C441D8"/>
    <w:rsid w:val="00C44748"/>
    <w:rsid w:val="00C4519A"/>
    <w:rsid w:val="00C45415"/>
    <w:rsid w:val="00C45D0C"/>
    <w:rsid w:val="00C46810"/>
    <w:rsid w:val="00C50392"/>
    <w:rsid w:val="00C50E0A"/>
    <w:rsid w:val="00C512B7"/>
    <w:rsid w:val="00C51515"/>
    <w:rsid w:val="00C51B54"/>
    <w:rsid w:val="00C52032"/>
    <w:rsid w:val="00C5332A"/>
    <w:rsid w:val="00C533FC"/>
    <w:rsid w:val="00C54035"/>
    <w:rsid w:val="00C554CF"/>
    <w:rsid w:val="00C55590"/>
    <w:rsid w:val="00C5660B"/>
    <w:rsid w:val="00C573E1"/>
    <w:rsid w:val="00C578A4"/>
    <w:rsid w:val="00C604DB"/>
    <w:rsid w:val="00C60EAA"/>
    <w:rsid w:val="00C61082"/>
    <w:rsid w:val="00C616B6"/>
    <w:rsid w:val="00C61CB9"/>
    <w:rsid w:val="00C62087"/>
    <w:rsid w:val="00C62141"/>
    <w:rsid w:val="00C62241"/>
    <w:rsid w:val="00C62CFF"/>
    <w:rsid w:val="00C6366B"/>
    <w:rsid w:val="00C639C6"/>
    <w:rsid w:val="00C639FB"/>
    <w:rsid w:val="00C6438A"/>
    <w:rsid w:val="00C65722"/>
    <w:rsid w:val="00C66807"/>
    <w:rsid w:val="00C66B72"/>
    <w:rsid w:val="00C66E3D"/>
    <w:rsid w:val="00C67740"/>
    <w:rsid w:val="00C7030F"/>
    <w:rsid w:val="00C709FD"/>
    <w:rsid w:val="00C713CE"/>
    <w:rsid w:val="00C713D2"/>
    <w:rsid w:val="00C72736"/>
    <w:rsid w:val="00C73345"/>
    <w:rsid w:val="00C73D8E"/>
    <w:rsid w:val="00C746F6"/>
    <w:rsid w:val="00C74A29"/>
    <w:rsid w:val="00C751A0"/>
    <w:rsid w:val="00C7582E"/>
    <w:rsid w:val="00C7625C"/>
    <w:rsid w:val="00C762F5"/>
    <w:rsid w:val="00C768DE"/>
    <w:rsid w:val="00C769B0"/>
    <w:rsid w:val="00C76DF0"/>
    <w:rsid w:val="00C777AC"/>
    <w:rsid w:val="00C77C84"/>
    <w:rsid w:val="00C80D43"/>
    <w:rsid w:val="00C817A5"/>
    <w:rsid w:val="00C825C1"/>
    <w:rsid w:val="00C8384D"/>
    <w:rsid w:val="00C842DF"/>
    <w:rsid w:val="00C84A25"/>
    <w:rsid w:val="00C851E6"/>
    <w:rsid w:val="00C85A89"/>
    <w:rsid w:val="00C85B93"/>
    <w:rsid w:val="00C85E9A"/>
    <w:rsid w:val="00C86F17"/>
    <w:rsid w:val="00C872FB"/>
    <w:rsid w:val="00C9157C"/>
    <w:rsid w:val="00C9176B"/>
    <w:rsid w:val="00C9192C"/>
    <w:rsid w:val="00C91F1F"/>
    <w:rsid w:val="00C91FAE"/>
    <w:rsid w:val="00C92371"/>
    <w:rsid w:val="00C925E5"/>
    <w:rsid w:val="00C9263A"/>
    <w:rsid w:val="00C92BBF"/>
    <w:rsid w:val="00C92DFD"/>
    <w:rsid w:val="00C9346A"/>
    <w:rsid w:val="00C93901"/>
    <w:rsid w:val="00C939C5"/>
    <w:rsid w:val="00C9443A"/>
    <w:rsid w:val="00C94E03"/>
    <w:rsid w:val="00C95188"/>
    <w:rsid w:val="00C9567A"/>
    <w:rsid w:val="00C96C27"/>
    <w:rsid w:val="00C97B5F"/>
    <w:rsid w:val="00CA115B"/>
    <w:rsid w:val="00CA18FF"/>
    <w:rsid w:val="00CA19CA"/>
    <w:rsid w:val="00CA1CFC"/>
    <w:rsid w:val="00CA2443"/>
    <w:rsid w:val="00CA438E"/>
    <w:rsid w:val="00CA4570"/>
    <w:rsid w:val="00CA594D"/>
    <w:rsid w:val="00CA6001"/>
    <w:rsid w:val="00CA6347"/>
    <w:rsid w:val="00CA646A"/>
    <w:rsid w:val="00CA77C5"/>
    <w:rsid w:val="00CA7EA3"/>
    <w:rsid w:val="00CB0568"/>
    <w:rsid w:val="00CB1367"/>
    <w:rsid w:val="00CB15BF"/>
    <w:rsid w:val="00CB1774"/>
    <w:rsid w:val="00CB1B22"/>
    <w:rsid w:val="00CB212D"/>
    <w:rsid w:val="00CB2365"/>
    <w:rsid w:val="00CB25B4"/>
    <w:rsid w:val="00CB2660"/>
    <w:rsid w:val="00CB268E"/>
    <w:rsid w:val="00CB33DA"/>
    <w:rsid w:val="00CB3D2A"/>
    <w:rsid w:val="00CB51F9"/>
    <w:rsid w:val="00CB5B57"/>
    <w:rsid w:val="00CB6563"/>
    <w:rsid w:val="00CB6A15"/>
    <w:rsid w:val="00CB6BBC"/>
    <w:rsid w:val="00CB6CDB"/>
    <w:rsid w:val="00CB7019"/>
    <w:rsid w:val="00CB75DC"/>
    <w:rsid w:val="00CB768E"/>
    <w:rsid w:val="00CC0526"/>
    <w:rsid w:val="00CC0C3B"/>
    <w:rsid w:val="00CC2355"/>
    <w:rsid w:val="00CC2479"/>
    <w:rsid w:val="00CC25EE"/>
    <w:rsid w:val="00CC2734"/>
    <w:rsid w:val="00CC2CE0"/>
    <w:rsid w:val="00CC2FB9"/>
    <w:rsid w:val="00CC3194"/>
    <w:rsid w:val="00CC33E4"/>
    <w:rsid w:val="00CC437D"/>
    <w:rsid w:val="00CC44AC"/>
    <w:rsid w:val="00CC4FB6"/>
    <w:rsid w:val="00CC4FCD"/>
    <w:rsid w:val="00CC54BA"/>
    <w:rsid w:val="00CC5A69"/>
    <w:rsid w:val="00CC5E90"/>
    <w:rsid w:val="00CC5E9E"/>
    <w:rsid w:val="00CC6286"/>
    <w:rsid w:val="00CC62A2"/>
    <w:rsid w:val="00CC636E"/>
    <w:rsid w:val="00CC6EEB"/>
    <w:rsid w:val="00CC7018"/>
    <w:rsid w:val="00CC759E"/>
    <w:rsid w:val="00CC7B6E"/>
    <w:rsid w:val="00CC7BE0"/>
    <w:rsid w:val="00CC7D0D"/>
    <w:rsid w:val="00CD046C"/>
    <w:rsid w:val="00CD0EB6"/>
    <w:rsid w:val="00CD1103"/>
    <w:rsid w:val="00CD1947"/>
    <w:rsid w:val="00CD1B0D"/>
    <w:rsid w:val="00CD21DC"/>
    <w:rsid w:val="00CD241B"/>
    <w:rsid w:val="00CD2990"/>
    <w:rsid w:val="00CD2A95"/>
    <w:rsid w:val="00CD39A2"/>
    <w:rsid w:val="00CD3E9E"/>
    <w:rsid w:val="00CD49CE"/>
    <w:rsid w:val="00CD4BA5"/>
    <w:rsid w:val="00CD63C8"/>
    <w:rsid w:val="00CD66CD"/>
    <w:rsid w:val="00CD72F1"/>
    <w:rsid w:val="00CE076C"/>
    <w:rsid w:val="00CE0F5A"/>
    <w:rsid w:val="00CE17C9"/>
    <w:rsid w:val="00CE1801"/>
    <w:rsid w:val="00CE2A89"/>
    <w:rsid w:val="00CE2FB5"/>
    <w:rsid w:val="00CE311B"/>
    <w:rsid w:val="00CE3D55"/>
    <w:rsid w:val="00CE434E"/>
    <w:rsid w:val="00CE44CE"/>
    <w:rsid w:val="00CE4A64"/>
    <w:rsid w:val="00CE5199"/>
    <w:rsid w:val="00CE547B"/>
    <w:rsid w:val="00CE59DE"/>
    <w:rsid w:val="00CE5A44"/>
    <w:rsid w:val="00CE5D46"/>
    <w:rsid w:val="00CE66D5"/>
    <w:rsid w:val="00CE672C"/>
    <w:rsid w:val="00CE7C68"/>
    <w:rsid w:val="00CE7F4A"/>
    <w:rsid w:val="00CF012B"/>
    <w:rsid w:val="00CF02D8"/>
    <w:rsid w:val="00CF102F"/>
    <w:rsid w:val="00CF1FAC"/>
    <w:rsid w:val="00CF29AF"/>
    <w:rsid w:val="00CF2B4C"/>
    <w:rsid w:val="00CF351C"/>
    <w:rsid w:val="00CF4F4B"/>
    <w:rsid w:val="00CF5907"/>
    <w:rsid w:val="00CF5C49"/>
    <w:rsid w:val="00CF637A"/>
    <w:rsid w:val="00CF6787"/>
    <w:rsid w:val="00CF7E17"/>
    <w:rsid w:val="00D0014F"/>
    <w:rsid w:val="00D00383"/>
    <w:rsid w:val="00D00928"/>
    <w:rsid w:val="00D00C12"/>
    <w:rsid w:val="00D01FD1"/>
    <w:rsid w:val="00D02DB7"/>
    <w:rsid w:val="00D03E7E"/>
    <w:rsid w:val="00D044BD"/>
    <w:rsid w:val="00D046C4"/>
    <w:rsid w:val="00D04F27"/>
    <w:rsid w:val="00D05894"/>
    <w:rsid w:val="00D059DE"/>
    <w:rsid w:val="00D062FF"/>
    <w:rsid w:val="00D063AD"/>
    <w:rsid w:val="00D066BF"/>
    <w:rsid w:val="00D068DE"/>
    <w:rsid w:val="00D078F2"/>
    <w:rsid w:val="00D07CD3"/>
    <w:rsid w:val="00D108E9"/>
    <w:rsid w:val="00D10E07"/>
    <w:rsid w:val="00D10F5B"/>
    <w:rsid w:val="00D1165D"/>
    <w:rsid w:val="00D11A5E"/>
    <w:rsid w:val="00D1255D"/>
    <w:rsid w:val="00D12665"/>
    <w:rsid w:val="00D12EFE"/>
    <w:rsid w:val="00D13D09"/>
    <w:rsid w:val="00D13FCE"/>
    <w:rsid w:val="00D149F1"/>
    <w:rsid w:val="00D14F16"/>
    <w:rsid w:val="00D15325"/>
    <w:rsid w:val="00D15EC3"/>
    <w:rsid w:val="00D162A1"/>
    <w:rsid w:val="00D163F2"/>
    <w:rsid w:val="00D167FE"/>
    <w:rsid w:val="00D173C6"/>
    <w:rsid w:val="00D17482"/>
    <w:rsid w:val="00D17BB1"/>
    <w:rsid w:val="00D17CC0"/>
    <w:rsid w:val="00D200F6"/>
    <w:rsid w:val="00D20226"/>
    <w:rsid w:val="00D202AC"/>
    <w:rsid w:val="00D20AB9"/>
    <w:rsid w:val="00D20BD7"/>
    <w:rsid w:val="00D20FB9"/>
    <w:rsid w:val="00D2116F"/>
    <w:rsid w:val="00D211CE"/>
    <w:rsid w:val="00D21320"/>
    <w:rsid w:val="00D21891"/>
    <w:rsid w:val="00D21966"/>
    <w:rsid w:val="00D21A95"/>
    <w:rsid w:val="00D21F40"/>
    <w:rsid w:val="00D22010"/>
    <w:rsid w:val="00D2281E"/>
    <w:rsid w:val="00D22BC9"/>
    <w:rsid w:val="00D22E8A"/>
    <w:rsid w:val="00D2333E"/>
    <w:rsid w:val="00D2360B"/>
    <w:rsid w:val="00D236A7"/>
    <w:rsid w:val="00D239E9"/>
    <w:rsid w:val="00D248F7"/>
    <w:rsid w:val="00D24A7F"/>
    <w:rsid w:val="00D25974"/>
    <w:rsid w:val="00D25DA5"/>
    <w:rsid w:val="00D26301"/>
    <w:rsid w:val="00D26A84"/>
    <w:rsid w:val="00D27700"/>
    <w:rsid w:val="00D27B53"/>
    <w:rsid w:val="00D306D1"/>
    <w:rsid w:val="00D306F3"/>
    <w:rsid w:val="00D308F8"/>
    <w:rsid w:val="00D31642"/>
    <w:rsid w:val="00D31674"/>
    <w:rsid w:val="00D32002"/>
    <w:rsid w:val="00D32082"/>
    <w:rsid w:val="00D324B3"/>
    <w:rsid w:val="00D329C8"/>
    <w:rsid w:val="00D33614"/>
    <w:rsid w:val="00D33852"/>
    <w:rsid w:val="00D33903"/>
    <w:rsid w:val="00D33AF6"/>
    <w:rsid w:val="00D33E17"/>
    <w:rsid w:val="00D34291"/>
    <w:rsid w:val="00D343B8"/>
    <w:rsid w:val="00D34786"/>
    <w:rsid w:val="00D34E8F"/>
    <w:rsid w:val="00D34EC4"/>
    <w:rsid w:val="00D35F98"/>
    <w:rsid w:val="00D363CB"/>
    <w:rsid w:val="00D367BC"/>
    <w:rsid w:val="00D3681A"/>
    <w:rsid w:val="00D36DC7"/>
    <w:rsid w:val="00D373F6"/>
    <w:rsid w:val="00D37B53"/>
    <w:rsid w:val="00D409A3"/>
    <w:rsid w:val="00D41BBF"/>
    <w:rsid w:val="00D41DC9"/>
    <w:rsid w:val="00D43262"/>
    <w:rsid w:val="00D43835"/>
    <w:rsid w:val="00D43A4E"/>
    <w:rsid w:val="00D44154"/>
    <w:rsid w:val="00D44D1C"/>
    <w:rsid w:val="00D455DD"/>
    <w:rsid w:val="00D45802"/>
    <w:rsid w:val="00D4628A"/>
    <w:rsid w:val="00D46A1F"/>
    <w:rsid w:val="00D47537"/>
    <w:rsid w:val="00D47A8E"/>
    <w:rsid w:val="00D5022E"/>
    <w:rsid w:val="00D506C4"/>
    <w:rsid w:val="00D50CF0"/>
    <w:rsid w:val="00D50D9E"/>
    <w:rsid w:val="00D50E69"/>
    <w:rsid w:val="00D51633"/>
    <w:rsid w:val="00D524E7"/>
    <w:rsid w:val="00D52D14"/>
    <w:rsid w:val="00D531E3"/>
    <w:rsid w:val="00D5390E"/>
    <w:rsid w:val="00D543A9"/>
    <w:rsid w:val="00D55A37"/>
    <w:rsid w:val="00D5671A"/>
    <w:rsid w:val="00D57276"/>
    <w:rsid w:val="00D57732"/>
    <w:rsid w:val="00D57E70"/>
    <w:rsid w:val="00D6022F"/>
    <w:rsid w:val="00D60299"/>
    <w:rsid w:val="00D603D4"/>
    <w:rsid w:val="00D60F3A"/>
    <w:rsid w:val="00D612F9"/>
    <w:rsid w:val="00D61CF7"/>
    <w:rsid w:val="00D62D3D"/>
    <w:rsid w:val="00D62EE3"/>
    <w:rsid w:val="00D64185"/>
    <w:rsid w:val="00D652B5"/>
    <w:rsid w:val="00D65495"/>
    <w:rsid w:val="00D65F09"/>
    <w:rsid w:val="00D664FC"/>
    <w:rsid w:val="00D66A14"/>
    <w:rsid w:val="00D67CC4"/>
    <w:rsid w:val="00D712D3"/>
    <w:rsid w:val="00D71422"/>
    <w:rsid w:val="00D7151E"/>
    <w:rsid w:val="00D7186D"/>
    <w:rsid w:val="00D7257D"/>
    <w:rsid w:val="00D72582"/>
    <w:rsid w:val="00D72DC6"/>
    <w:rsid w:val="00D73A2C"/>
    <w:rsid w:val="00D74BA2"/>
    <w:rsid w:val="00D74D79"/>
    <w:rsid w:val="00D7519B"/>
    <w:rsid w:val="00D752E8"/>
    <w:rsid w:val="00D7558D"/>
    <w:rsid w:val="00D75E0D"/>
    <w:rsid w:val="00D75E30"/>
    <w:rsid w:val="00D7603D"/>
    <w:rsid w:val="00D7609D"/>
    <w:rsid w:val="00D76222"/>
    <w:rsid w:val="00D7682C"/>
    <w:rsid w:val="00D7684D"/>
    <w:rsid w:val="00D76B90"/>
    <w:rsid w:val="00D77087"/>
    <w:rsid w:val="00D80B10"/>
    <w:rsid w:val="00D80BAC"/>
    <w:rsid w:val="00D810A9"/>
    <w:rsid w:val="00D810EB"/>
    <w:rsid w:val="00D81D92"/>
    <w:rsid w:val="00D81DB1"/>
    <w:rsid w:val="00D8270C"/>
    <w:rsid w:val="00D82F90"/>
    <w:rsid w:val="00D832DD"/>
    <w:rsid w:val="00D83493"/>
    <w:rsid w:val="00D84F1F"/>
    <w:rsid w:val="00D85115"/>
    <w:rsid w:val="00D85BCD"/>
    <w:rsid w:val="00D85EAB"/>
    <w:rsid w:val="00D85EF7"/>
    <w:rsid w:val="00D86479"/>
    <w:rsid w:val="00D86926"/>
    <w:rsid w:val="00D86B6A"/>
    <w:rsid w:val="00D86C32"/>
    <w:rsid w:val="00D871DD"/>
    <w:rsid w:val="00D87369"/>
    <w:rsid w:val="00D8739D"/>
    <w:rsid w:val="00D878B9"/>
    <w:rsid w:val="00D900B7"/>
    <w:rsid w:val="00D90284"/>
    <w:rsid w:val="00D91266"/>
    <w:rsid w:val="00D91882"/>
    <w:rsid w:val="00D91F0B"/>
    <w:rsid w:val="00D92701"/>
    <w:rsid w:val="00D927A3"/>
    <w:rsid w:val="00D928B6"/>
    <w:rsid w:val="00D9291F"/>
    <w:rsid w:val="00D92C49"/>
    <w:rsid w:val="00D92CC8"/>
    <w:rsid w:val="00D9324C"/>
    <w:rsid w:val="00D938BF"/>
    <w:rsid w:val="00D9413C"/>
    <w:rsid w:val="00D9424B"/>
    <w:rsid w:val="00D9479F"/>
    <w:rsid w:val="00D94A3B"/>
    <w:rsid w:val="00D95A66"/>
    <w:rsid w:val="00D961AB"/>
    <w:rsid w:val="00D97446"/>
    <w:rsid w:val="00D974F6"/>
    <w:rsid w:val="00D9757F"/>
    <w:rsid w:val="00D97B6E"/>
    <w:rsid w:val="00DA05DA"/>
    <w:rsid w:val="00DA0ACA"/>
    <w:rsid w:val="00DA0B90"/>
    <w:rsid w:val="00DA0CF1"/>
    <w:rsid w:val="00DA14C8"/>
    <w:rsid w:val="00DA2039"/>
    <w:rsid w:val="00DA2351"/>
    <w:rsid w:val="00DA2675"/>
    <w:rsid w:val="00DA380D"/>
    <w:rsid w:val="00DA4592"/>
    <w:rsid w:val="00DA59AB"/>
    <w:rsid w:val="00DA5FD7"/>
    <w:rsid w:val="00DA6D54"/>
    <w:rsid w:val="00DA7111"/>
    <w:rsid w:val="00DA7B5F"/>
    <w:rsid w:val="00DA7BF2"/>
    <w:rsid w:val="00DB00A0"/>
    <w:rsid w:val="00DB0A25"/>
    <w:rsid w:val="00DB11C3"/>
    <w:rsid w:val="00DB1255"/>
    <w:rsid w:val="00DB1335"/>
    <w:rsid w:val="00DB1657"/>
    <w:rsid w:val="00DB1843"/>
    <w:rsid w:val="00DB2856"/>
    <w:rsid w:val="00DB32E8"/>
    <w:rsid w:val="00DB330D"/>
    <w:rsid w:val="00DB397C"/>
    <w:rsid w:val="00DB4292"/>
    <w:rsid w:val="00DB50A5"/>
    <w:rsid w:val="00DB567E"/>
    <w:rsid w:val="00DB5C1D"/>
    <w:rsid w:val="00DB69E7"/>
    <w:rsid w:val="00DB6BC5"/>
    <w:rsid w:val="00DB6CA2"/>
    <w:rsid w:val="00DB7135"/>
    <w:rsid w:val="00DB7AEB"/>
    <w:rsid w:val="00DC0183"/>
    <w:rsid w:val="00DC01D2"/>
    <w:rsid w:val="00DC0482"/>
    <w:rsid w:val="00DC0551"/>
    <w:rsid w:val="00DC0767"/>
    <w:rsid w:val="00DC0D80"/>
    <w:rsid w:val="00DC11E7"/>
    <w:rsid w:val="00DC1A2E"/>
    <w:rsid w:val="00DC1E9C"/>
    <w:rsid w:val="00DC2B87"/>
    <w:rsid w:val="00DC337C"/>
    <w:rsid w:val="00DC3E0D"/>
    <w:rsid w:val="00DC4351"/>
    <w:rsid w:val="00DC499C"/>
    <w:rsid w:val="00DC51DD"/>
    <w:rsid w:val="00DC5C29"/>
    <w:rsid w:val="00DC6095"/>
    <w:rsid w:val="00DC61EE"/>
    <w:rsid w:val="00DC651A"/>
    <w:rsid w:val="00DC67B2"/>
    <w:rsid w:val="00DC6B69"/>
    <w:rsid w:val="00DC6F0A"/>
    <w:rsid w:val="00DC6F6C"/>
    <w:rsid w:val="00DC6F7C"/>
    <w:rsid w:val="00DC7023"/>
    <w:rsid w:val="00DC769A"/>
    <w:rsid w:val="00DC7E66"/>
    <w:rsid w:val="00DD0888"/>
    <w:rsid w:val="00DD0BBA"/>
    <w:rsid w:val="00DD1443"/>
    <w:rsid w:val="00DD2142"/>
    <w:rsid w:val="00DD24ED"/>
    <w:rsid w:val="00DD2C9C"/>
    <w:rsid w:val="00DD311A"/>
    <w:rsid w:val="00DD3D86"/>
    <w:rsid w:val="00DD3E65"/>
    <w:rsid w:val="00DD410F"/>
    <w:rsid w:val="00DD4C4D"/>
    <w:rsid w:val="00DD5B44"/>
    <w:rsid w:val="00DD65CF"/>
    <w:rsid w:val="00DD684B"/>
    <w:rsid w:val="00DD6D14"/>
    <w:rsid w:val="00DD6F74"/>
    <w:rsid w:val="00DD70D2"/>
    <w:rsid w:val="00DE02F3"/>
    <w:rsid w:val="00DE07D2"/>
    <w:rsid w:val="00DE09A1"/>
    <w:rsid w:val="00DE09A5"/>
    <w:rsid w:val="00DE0A59"/>
    <w:rsid w:val="00DE1353"/>
    <w:rsid w:val="00DE1F91"/>
    <w:rsid w:val="00DE21FB"/>
    <w:rsid w:val="00DE2229"/>
    <w:rsid w:val="00DE2805"/>
    <w:rsid w:val="00DE2DCE"/>
    <w:rsid w:val="00DE30FA"/>
    <w:rsid w:val="00DE4C67"/>
    <w:rsid w:val="00DE610F"/>
    <w:rsid w:val="00DE6CA6"/>
    <w:rsid w:val="00DE710B"/>
    <w:rsid w:val="00DE7267"/>
    <w:rsid w:val="00DE792A"/>
    <w:rsid w:val="00DF01D3"/>
    <w:rsid w:val="00DF087C"/>
    <w:rsid w:val="00DF0C1C"/>
    <w:rsid w:val="00DF0F2C"/>
    <w:rsid w:val="00DF0FC5"/>
    <w:rsid w:val="00DF1B4B"/>
    <w:rsid w:val="00DF1BCE"/>
    <w:rsid w:val="00DF26AA"/>
    <w:rsid w:val="00DF36A5"/>
    <w:rsid w:val="00DF41C7"/>
    <w:rsid w:val="00DF4976"/>
    <w:rsid w:val="00DF4BDC"/>
    <w:rsid w:val="00DF4DC3"/>
    <w:rsid w:val="00DF6137"/>
    <w:rsid w:val="00DF640C"/>
    <w:rsid w:val="00DF6D65"/>
    <w:rsid w:val="00DF6EE0"/>
    <w:rsid w:val="00DF7740"/>
    <w:rsid w:val="00E0018F"/>
    <w:rsid w:val="00E00575"/>
    <w:rsid w:val="00E007B6"/>
    <w:rsid w:val="00E00943"/>
    <w:rsid w:val="00E00BED"/>
    <w:rsid w:val="00E00E8B"/>
    <w:rsid w:val="00E01699"/>
    <w:rsid w:val="00E01F68"/>
    <w:rsid w:val="00E0225F"/>
    <w:rsid w:val="00E0238B"/>
    <w:rsid w:val="00E025B6"/>
    <w:rsid w:val="00E025CD"/>
    <w:rsid w:val="00E02F88"/>
    <w:rsid w:val="00E0340B"/>
    <w:rsid w:val="00E03579"/>
    <w:rsid w:val="00E03D10"/>
    <w:rsid w:val="00E04626"/>
    <w:rsid w:val="00E05117"/>
    <w:rsid w:val="00E05283"/>
    <w:rsid w:val="00E0542D"/>
    <w:rsid w:val="00E054BE"/>
    <w:rsid w:val="00E05590"/>
    <w:rsid w:val="00E05963"/>
    <w:rsid w:val="00E05DD4"/>
    <w:rsid w:val="00E06907"/>
    <w:rsid w:val="00E07283"/>
    <w:rsid w:val="00E073AA"/>
    <w:rsid w:val="00E07432"/>
    <w:rsid w:val="00E07651"/>
    <w:rsid w:val="00E07A00"/>
    <w:rsid w:val="00E07F44"/>
    <w:rsid w:val="00E100AC"/>
    <w:rsid w:val="00E10211"/>
    <w:rsid w:val="00E10A7B"/>
    <w:rsid w:val="00E10B87"/>
    <w:rsid w:val="00E11EFC"/>
    <w:rsid w:val="00E12008"/>
    <w:rsid w:val="00E129DA"/>
    <w:rsid w:val="00E12D6E"/>
    <w:rsid w:val="00E12FA4"/>
    <w:rsid w:val="00E132E4"/>
    <w:rsid w:val="00E1365D"/>
    <w:rsid w:val="00E138C0"/>
    <w:rsid w:val="00E140CF"/>
    <w:rsid w:val="00E14A07"/>
    <w:rsid w:val="00E1541F"/>
    <w:rsid w:val="00E15E74"/>
    <w:rsid w:val="00E161B6"/>
    <w:rsid w:val="00E166A0"/>
    <w:rsid w:val="00E168F4"/>
    <w:rsid w:val="00E16A50"/>
    <w:rsid w:val="00E16D17"/>
    <w:rsid w:val="00E206A7"/>
    <w:rsid w:val="00E209A8"/>
    <w:rsid w:val="00E20EBA"/>
    <w:rsid w:val="00E21558"/>
    <w:rsid w:val="00E2197C"/>
    <w:rsid w:val="00E219C7"/>
    <w:rsid w:val="00E21F0D"/>
    <w:rsid w:val="00E2257A"/>
    <w:rsid w:val="00E2265D"/>
    <w:rsid w:val="00E226AD"/>
    <w:rsid w:val="00E2332B"/>
    <w:rsid w:val="00E236F6"/>
    <w:rsid w:val="00E239AD"/>
    <w:rsid w:val="00E23E3D"/>
    <w:rsid w:val="00E23EAA"/>
    <w:rsid w:val="00E23FC1"/>
    <w:rsid w:val="00E24E60"/>
    <w:rsid w:val="00E25B14"/>
    <w:rsid w:val="00E2717A"/>
    <w:rsid w:val="00E27E1F"/>
    <w:rsid w:val="00E30427"/>
    <w:rsid w:val="00E31199"/>
    <w:rsid w:val="00E3130F"/>
    <w:rsid w:val="00E3162A"/>
    <w:rsid w:val="00E3229C"/>
    <w:rsid w:val="00E3282D"/>
    <w:rsid w:val="00E32E6B"/>
    <w:rsid w:val="00E334EE"/>
    <w:rsid w:val="00E34B4D"/>
    <w:rsid w:val="00E34B77"/>
    <w:rsid w:val="00E34E0F"/>
    <w:rsid w:val="00E34F67"/>
    <w:rsid w:val="00E34F86"/>
    <w:rsid w:val="00E35456"/>
    <w:rsid w:val="00E36321"/>
    <w:rsid w:val="00E3643F"/>
    <w:rsid w:val="00E36709"/>
    <w:rsid w:val="00E375F7"/>
    <w:rsid w:val="00E379FB"/>
    <w:rsid w:val="00E40449"/>
    <w:rsid w:val="00E404DA"/>
    <w:rsid w:val="00E40EAA"/>
    <w:rsid w:val="00E42BC5"/>
    <w:rsid w:val="00E42DC6"/>
    <w:rsid w:val="00E43157"/>
    <w:rsid w:val="00E43391"/>
    <w:rsid w:val="00E443D8"/>
    <w:rsid w:val="00E44FB5"/>
    <w:rsid w:val="00E4564E"/>
    <w:rsid w:val="00E45D84"/>
    <w:rsid w:val="00E461CE"/>
    <w:rsid w:val="00E4688F"/>
    <w:rsid w:val="00E47085"/>
    <w:rsid w:val="00E47274"/>
    <w:rsid w:val="00E475CB"/>
    <w:rsid w:val="00E50985"/>
    <w:rsid w:val="00E5125E"/>
    <w:rsid w:val="00E5183E"/>
    <w:rsid w:val="00E52120"/>
    <w:rsid w:val="00E52778"/>
    <w:rsid w:val="00E53522"/>
    <w:rsid w:val="00E555A6"/>
    <w:rsid w:val="00E55C9B"/>
    <w:rsid w:val="00E571A2"/>
    <w:rsid w:val="00E57951"/>
    <w:rsid w:val="00E6041E"/>
    <w:rsid w:val="00E60984"/>
    <w:rsid w:val="00E611C5"/>
    <w:rsid w:val="00E6134B"/>
    <w:rsid w:val="00E620D3"/>
    <w:rsid w:val="00E625E8"/>
    <w:rsid w:val="00E6318B"/>
    <w:rsid w:val="00E632A1"/>
    <w:rsid w:val="00E638E9"/>
    <w:rsid w:val="00E63F00"/>
    <w:rsid w:val="00E64439"/>
    <w:rsid w:val="00E64C50"/>
    <w:rsid w:val="00E64F6D"/>
    <w:rsid w:val="00E65121"/>
    <w:rsid w:val="00E65231"/>
    <w:rsid w:val="00E65686"/>
    <w:rsid w:val="00E6583F"/>
    <w:rsid w:val="00E65D77"/>
    <w:rsid w:val="00E65EEA"/>
    <w:rsid w:val="00E660B2"/>
    <w:rsid w:val="00E671D9"/>
    <w:rsid w:val="00E6751B"/>
    <w:rsid w:val="00E67D4F"/>
    <w:rsid w:val="00E67FE0"/>
    <w:rsid w:val="00E7107C"/>
    <w:rsid w:val="00E7199C"/>
    <w:rsid w:val="00E71AC7"/>
    <w:rsid w:val="00E720CA"/>
    <w:rsid w:val="00E73DA2"/>
    <w:rsid w:val="00E73F34"/>
    <w:rsid w:val="00E73F45"/>
    <w:rsid w:val="00E752DD"/>
    <w:rsid w:val="00E75431"/>
    <w:rsid w:val="00E75A4B"/>
    <w:rsid w:val="00E763FB"/>
    <w:rsid w:val="00E77E37"/>
    <w:rsid w:val="00E802E4"/>
    <w:rsid w:val="00E80D57"/>
    <w:rsid w:val="00E80FE4"/>
    <w:rsid w:val="00E81BF2"/>
    <w:rsid w:val="00E82893"/>
    <w:rsid w:val="00E82DD9"/>
    <w:rsid w:val="00E830D2"/>
    <w:rsid w:val="00E83682"/>
    <w:rsid w:val="00E83C3F"/>
    <w:rsid w:val="00E83F5C"/>
    <w:rsid w:val="00E840EE"/>
    <w:rsid w:val="00E841AF"/>
    <w:rsid w:val="00E84727"/>
    <w:rsid w:val="00E84E07"/>
    <w:rsid w:val="00E84EB5"/>
    <w:rsid w:val="00E85662"/>
    <w:rsid w:val="00E85940"/>
    <w:rsid w:val="00E8629D"/>
    <w:rsid w:val="00E86A9C"/>
    <w:rsid w:val="00E86B98"/>
    <w:rsid w:val="00E8734C"/>
    <w:rsid w:val="00E8744A"/>
    <w:rsid w:val="00E8789F"/>
    <w:rsid w:val="00E90B04"/>
    <w:rsid w:val="00E91BB5"/>
    <w:rsid w:val="00E92441"/>
    <w:rsid w:val="00E925A2"/>
    <w:rsid w:val="00E9272C"/>
    <w:rsid w:val="00E92C44"/>
    <w:rsid w:val="00E93945"/>
    <w:rsid w:val="00E93978"/>
    <w:rsid w:val="00E93ACE"/>
    <w:rsid w:val="00E93FD8"/>
    <w:rsid w:val="00E943D5"/>
    <w:rsid w:val="00E94A36"/>
    <w:rsid w:val="00E9542C"/>
    <w:rsid w:val="00E956AB"/>
    <w:rsid w:val="00E95C05"/>
    <w:rsid w:val="00E960F8"/>
    <w:rsid w:val="00E96E07"/>
    <w:rsid w:val="00E96E1A"/>
    <w:rsid w:val="00E97B71"/>
    <w:rsid w:val="00EA00A7"/>
    <w:rsid w:val="00EA030C"/>
    <w:rsid w:val="00EA058D"/>
    <w:rsid w:val="00EA0A0E"/>
    <w:rsid w:val="00EA0ACD"/>
    <w:rsid w:val="00EA1360"/>
    <w:rsid w:val="00EA16FC"/>
    <w:rsid w:val="00EA33E8"/>
    <w:rsid w:val="00EA3D34"/>
    <w:rsid w:val="00EA4459"/>
    <w:rsid w:val="00EA4585"/>
    <w:rsid w:val="00EA4702"/>
    <w:rsid w:val="00EA4837"/>
    <w:rsid w:val="00EA59B1"/>
    <w:rsid w:val="00EA59BB"/>
    <w:rsid w:val="00EA5C48"/>
    <w:rsid w:val="00EA5D1F"/>
    <w:rsid w:val="00EA68AD"/>
    <w:rsid w:val="00EA6E86"/>
    <w:rsid w:val="00EA7DAD"/>
    <w:rsid w:val="00EB0237"/>
    <w:rsid w:val="00EB0584"/>
    <w:rsid w:val="00EB0CC8"/>
    <w:rsid w:val="00EB0EBD"/>
    <w:rsid w:val="00EB1228"/>
    <w:rsid w:val="00EB1348"/>
    <w:rsid w:val="00EB1949"/>
    <w:rsid w:val="00EB1FA6"/>
    <w:rsid w:val="00EB26D3"/>
    <w:rsid w:val="00EB2AC2"/>
    <w:rsid w:val="00EB2D76"/>
    <w:rsid w:val="00EB38D2"/>
    <w:rsid w:val="00EB3952"/>
    <w:rsid w:val="00EB3F5A"/>
    <w:rsid w:val="00EB413B"/>
    <w:rsid w:val="00EB454D"/>
    <w:rsid w:val="00EB492B"/>
    <w:rsid w:val="00EB576A"/>
    <w:rsid w:val="00EB60D2"/>
    <w:rsid w:val="00EB65F1"/>
    <w:rsid w:val="00EB7776"/>
    <w:rsid w:val="00EB7D08"/>
    <w:rsid w:val="00EC271E"/>
    <w:rsid w:val="00EC3420"/>
    <w:rsid w:val="00EC3F5A"/>
    <w:rsid w:val="00EC57CD"/>
    <w:rsid w:val="00EC5871"/>
    <w:rsid w:val="00EC5AE5"/>
    <w:rsid w:val="00EC5EC4"/>
    <w:rsid w:val="00EC5F21"/>
    <w:rsid w:val="00EC5FC9"/>
    <w:rsid w:val="00EC6162"/>
    <w:rsid w:val="00EC6C07"/>
    <w:rsid w:val="00EC6FCD"/>
    <w:rsid w:val="00EC75CD"/>
    <w:rsid w:val="00EC7729"/>
    <w:rsid w:val="00ED13EE"/>
    <w:rsid w:val="00ED1421"/>
    <w:rsid w:val="00ED14D5"/>
    <w:rsid w:val="00ED1A3E"/>
    <w:rsid w:val="00ED1B04"/>
    <w:rsid w:val="00ED248C"/>
    <w:rsid w:val="00ED2824"/>
    <w:rsid w:val="00ED2B97"/>
    <w:rsid w:val="00ED3D04"/>
    <w:rsid w:val="00ED4148"/>
    <w:rsid w:val="00ED52D6"/>
    <w:rsid w:val="00ED67F1"/>
    <w:rsid w:val="00ED75BD"/>
    <w:rsid w:val="00ED76BE"/>
    <w:rsid w:val="00ED7C53"/>
    <w:rsid w:val="00EE0032"/>
    <w:rsid w:val="00EE0747"/>
    <w:rsid w:val="00EE07CF"/>
    <w:rsid w:val="00EE0E65"/>
    <w:rsid w:val="00EE0EF2"/>
    <w:rsid w:val="00EE0F3C"/>
    <w:rsid w:val="00EE0F71"/>
    <w:rsid w:val="00EE1655"/>
    <w:rsid w:val="00EE1908"/>
    <w:rsid w:val="00EE1F51"/>
    <w:rsid w:val="00EE2B93"/>
    <w:rsid w:val="00EE3EEA"/>
    <w:rsid w:val="00EE42B2"/>
    <w:rsid w:val="00EE51CE"/>
    <w:rsid w:val="00EE52BC"/>
    <w:rsid w:val="00EE5AB2"/>
    <w:rsid w:val="00EE6E06"/>
    <w:rsid w:val="00EE7DB5"/>
    <w:rsid w:val="00EF019F"/>
    <w:rsid w:val="00EF0CFD"/>
    <w:rsid w:val="00EF10AE"/>
    <w:rsid w:val="00EF1FDC"/>
    <w:rsid w:val="00EF20EA"/>
    <w:rsid w:val="00EF25E4"/>
    <w:rsid w:val="00EF2CC9"/>
    <w:rsid w:val="00EF3628"/>
    <w:rsid w:val="00EF3997"/>
    <w:rsid w:val="00EF3AAC"/>
    <w:rsid w:val="00EF3ACE"/>
    <w:rsid w:val="00EF3F5D"/>
    <w:rsid w:val="00EF4A52"/>
    <w:rsid w:val="00EF4D4A"/>
    <w:rsid w:val="00EF55FC"/>
    <w:rsid w:val="00EF5F2C"/>
    <w:rsid w:val="00EF619B"/>
    <w:rsid w:val="00EF6DE9"/>
    <w:rsid w:val="00EF7060"/>
    <w:rsid w:val="00EF73D7"/>
    <w:rsid w:val="00EF769D"/>
    <w:rsid w:val="00EF7710"/>
    <w:rsid w:val="00EF7AD6"/>
    <w:rsid w:val="00EF7B0E"/>
    <w:rsid w:val="00F00055"/>
    <w:rsid w:val="00F00735"/>
    <w:rsid w:val="00F00B55"/>
    <w:rsid w:val="00F01E62"/>
    <w:rsid w:val="00F02506"/>
    <w:rsid w:val="00F027CA"/>
    <w:rsid w:val="00F02987"/>
    <w:rsid w:val="00F02AD1"/>
    <w:rsid w:val="00F031DF"/>
    <w:rsid w:val="00F03977"/>
    <w:rsid w:val="00F03B99"/>
    <w:rsid w:val="00F0417F"/>
    <w:rsid w:val="00F04F35"/>
    <w:rsid w:val="00F0509B"/>
    <w:rsid w:val="00F065B7"/>
    <w:rsid w:val="00F06BB9"/>
    <w:rsid w:val="00F071A7"/>
    <w:rsid w:val="00F07BE5"/>
    <w:rsid w:val="00F107B2"/>
    <w:rsid w:val="00F10D7E"/>
    <w:rsid w:val="00F10EF7"/>
    <w:rsid w:val="00F10F5F"/>
    <w:rsid w:val="00F11B32"/>
    <w:rsid w:val="00F11CDE"/>
    <w:rsid w:val="00F11CF8"/>
    <w:rsid w:val="00F121B8"/>
    <w:rsid w:val="00F12E5C"/>
    <w:rsid w:val="00F141E4"/>
    <w:rsid w:val="00F14D01"/>
    <w:rsid w:val="00F14E7D"/>
    <w:rsid w:val="00F1510C"/>
    <w:rsid w:val="00F16E58"/>
    <w:rsid w:val="00F17535"/>
    <w:rsid w:val="00F1755B"/>
    <w:rsid w:val="00F2057E"/>
    <w:rsid w:val="00F219EA"/>
    <w:rsid w:val="00F22F20"/>
    <w:rsid w:val="00F23C77"/>
    <w:rsid w:val="00F23DB8"/>
    <w:rsid w:val="00F247A0"/>
    <w:rsid w:val="00F250C7"/>
    <w:rsid w:val="00F253CC"/>
    <w:rsid w:val="00F2551C"/>
    <w:rsid w:val="00F2579B"/>
    <w:rsid w:val="00F25A36"/>
    <w:rsid w:val="00F25CD8"/>
    <w:rsid w:val="00F2600C"/>
    <w:rsid w:val="00F269E4"/>
    <w:rsid w:val="00F26A2B"/>
    <w:rsid w:val="00F26BD7"/>
    <w:rsid w:val="00F2702A"/>
    <w:rsid w:val="00F2796D"/>
    <w:rsid w:val="00F27A79"/>
    <w:rsid w:val="00F3016F"/>
    <w:rsid w:val="00F301F1"/>
    <w:rsid w:val="00F3062D"/>
    <w:rsid w:val="00F30798"/>
    <w:rsid w:val="00F318EF"/>
    <w:rsid w:val="00F3246D"/>
    <w:rsid w:val="00F32627"/>
    <w:rsid w:val="00F328BD"/>
    <w:rsid w:val="00F33748"/>
    <w:rsid w:val="00F33955"/>
    <w:rsid w:val="00F3585A"/>
    <w:rsid w:val="00F36303"/>
    <w:rsid w:val="00F36342"/>
    <w:rsid w:val="00F3684D"/>
    <w:rsid w:val="00F3692A"/>
    <w:rsid w:val="00F36BBC"/>
    <w:rsid w:val="00F36DD3"/>
    <w:rsid w:val="00F37106"/>
    <w:rsid w:val="00F3776F"/>
    <w:rsid w:val="00F4059E"/>
    <w:rsid w:val="00F42707"/>
    <w:rsid w:val="00F42AAE"/>
    <w:rsid w:val="00F4360C"/>
    <w:rsid w:val="00F4406D"/>
    <w:rsid w:val="00F4462C"/>
    <w:rsid w:val="00F44C09"/>
    <w:rsid w:val="00F44FED"/>
    <w:rsid w:val="00F458B4"/>
    <w:rsid w:val="00F45942"/>
    <w:rsid w:val="00F45B86"/>
    <w:rsid w:val="00F460BD"/>
    <w:rsid w:val="00F46421"/>
    <w:rsid w:val="00F46DCE"/>
    <w:rsid w:val="00F50208"/>
    <w:rsid w:val="00F503E5"/>
    <w:rsid w:val="00F506DB"/>
    <w:rsid w:val="00F50950"/>
    <w:rsid w:val="00F50C83"/>
    <w:rsid w:val="00F50E2F"/>
    <w:rsid w:val="00F5120C"/>
    <w:rsid w:val="00F519CF"/>
    <w:rsid w:val="00F52036"/>
    <w:rsid w:val="00F5266C"/>
    <w:rsid w:val="00F537C8"/>
    <w:rsid w:val="00F53D74"/>
    <w:rsid w:val="00F54ECA"/>
    <w:rsid w:val="00F5569F"/>
    <w:rsid w:val="00F557DF"/>
    <w:rsid w:val="00F56791"/>
    <w:rsid w:val="00F56BA5"/>
    <w:rsid w:val="00F56C88"/>
    <w:rsid w:val="00F57702"/>
    <w:rsid w:val="00F57724"/>
    <w:rsid w:val="00F57978"/>
    <w:rsid w:val="00F57B9F"/>
    <w:rsid w:val="00F607B9"/>
    <w:rsid w:val="00F60E22"/>
    <w:rsid w:val="00F60E5B"/>
    <w:rsid w:val="00F6165A"/>
    <w:rsid w:val="00F61A1A"/>
    <w:rsid w:val="00F61FE4"/>
    <w:rsid w:val="00F62600"/>
    <w:rsid w:val="00F62748"/>
    <w:rsid w:val="00F62D1E"/>
    <w:rsid w:val="00F63CCB"/>
    <w:rsid w:val="00F640C5"/>
    <w:rsid w:val="00F64B8B"/>
    <w:rsid w:val="00F64DB1"/>
    <w:rsid w:val="00F651AF"/>
    <w:rsid w:val="00F653D2"/>
    <w:rsid w:val="00F65545"/>
    <w:rsid w:val="00F659EC"/>
    <w:rsid w:val="00F6703B"/>
    <w:rsid w:val="00F67A50"/>
    <w:rsid w:val="00F67B09"/>
    <w:rsid w:val="00F67C38"/>
    <w:rsid w:val="00F70327"/>
    <w:rsid w:val="00F711C6"/>
    <w:rsid w:val="00F7124D"/>
    <w:rsid w:val="00F71A9D"/>
    <w:rsid w:val="00F7244A"/>
    <w:rsid w:val="00F72BD4"/>
    <w:rsid w:val="00F73687"/>
    <w:rsid w:val="00F746C3"/>
    <w:rsid w:val="00F74E0A"/>
    <w:rsid w:val="00F75A47"/>
    <w:rsid w:val="00F75F3C"/>
    <w:rsid w:val="00F764FE"/>
    <w:rsid w:val="00F77DF8"/>
    <w:rsid w:val="00F804AE"/>
    <w:rsid w:val="00F8067B"/>
    <w:rsid w:val="00F82DD5"/>
    <w:rsid w:val="00F82E43"/>
    <w:rsid w:val="00F843AA"/>
    <w:rsid w:val="00F84D44"/>
    <w:rsid w:val="00F852F7"/>
    <w:rsid w:val="00F85A52"/>
    <w:rsid w:val="00F860B1"/>
    <w:rsid w:val="00F866A6"/>
    <w:rsid w:val="00F869AF"/>
    <w:rsid w:val="00F869E0"/>
    <w:rsid w:val="00F877C0"/>
    <w:rsid w:val="00F9043B"/>
    <w:rsid w:val="00F90590"/>
    <w:rsid w:val="00F90767"/>
    <w:rsid w:val="00F90CAC"/>
    <w:rsid w:val="00F90CC2"/>
    <w:rsid w:val="00F90CE4"/>
    <w:rsid w:val="00F91160"/>
    <w:rsid w:val="00F91542"/>
    <w:rsid w:val="00F917D1"/>
    <w:rsid w:val="00F92433"/>
    <w:rsid w:val="00F93F64"/>
    <w:rsid w:val="00F94216"/>
    <w:rsid w:val="00F9491D"/>
    <w:rsid w:val="00F954CA"/>
    <w:rsid w:val="00F9568E"/>
    <w:rsid w:val="00F957AE"/>
    <w:rsid w:val="00F95A27"/>
    <w:rsid w:val="00F95DB0"/>
    <w:rsid w:val="00F96160"/>
    <w:rsid w:val="00F9653B"/>
    <w:rsid w:val="00F9666C"/>
    <w:rsid w:val="00F96778"/>
    <w:rsid w:val="00F97A52"/>
    <w:rsid w:val="00F97E2D"/>
    <w:rsid w:val="00F97E62"/>
    <w:rsid w:val="00FA02EB"/>
    <w:rsid w:val="00FA0338"/>
    <w:rsid w:val="00FA08DD"/>
    <w:rsid w:val="00FA093F"/>
    <w:rsid w:val="00FA0D48"/>
    <w:rsid w:val="00FA174E"/>
    <w:rsid w:val="00FA1A78"/>
    <w:rsid w:val="00FA1FAA"/>
    <w:rsid w:val="00FA2595"/>
    <w:rsid w:val="00FA2E9D"/>
    <w:rsid w:val="00FA3858"/>
    <w:rsid w:val="00FA4035"/>
    <w:rsid w:val="00FA410D"/>
    <w:rsid w:val="00FA4293"/>
    <w:rsid w:val="00FA46DA"/>
    <w:rsid w:val="00FA4AD3"/>
    <w:rsid w:val="00FA57A0"/>
    <w:rsid w:val="00FA5957"/>
    <w:rsid w:val="00FA5C21"/>
    <w:rsid w:val="00FA5EAE"/>
    <w:rsid w:val="00FA60B9"/>
    <w:rsid w:val="00FA65A6"/>
    <w:rsid w:val="00FA66D9"/>
    <w:rsid w:val="00FA6A30"/>
    <w:rsid w:val="00FA6C23"/>
    <w:rsid w:val="00FA7494"/>
    <w:rsid w:val="00FA7605"/>
    <w:rsid w:val="00FA77B7"/>
    <w:rsid w:val="00FB069F"/>
    <w:rsid w:val="00FB098E"/>
    <w:rsid w:val="00FB1084"/>
    <w:rsid w:val="00FB14D9"/>
    <w:rsid w:val="00FB1666"/>
    <w:rsid w:val="00FB176F"/>
    <w:rsid w:val="00FB2096"/>
    <w:rsid w:val="00FB3D94"/>
    <w:rsid w:val="00FB3F5D"/>
    <w:rsid w:val="00FB4364"/>
    <w:rsid w:val="00FB43DD"/>
    <w:rsid w:val="00FB4BD3"/>
    <w:rsid w:val="00FB4EB8"/>
    <w:rsid w:val="00FB52E5"/>
    <w:rsid w:val="00FB57E4"/>
    <w:rsid w:val="00FB62CF"/>
    <w:rsid w:val="00FB6330"/>
    <w:rsid w:val="00FB64DE"/>
    <w:rsid w:val="00FB68F0"/>
    <w:rsid w:val="00FC0B30"/>
    <w:rsid w:val="00FC149A"/>
    <w:rsid w:val="00FC1660"/>
    <w:rsid w:val="00FC2B5B"/>
    <w:rsid w:val="00FC33C2"/>
    <w:rsid w:val="00FC3B9C"/>
    <w:rsid w:val="00FC3E44"/>
    <w:rsid w:val="00FC4122"/>
    <w:rsid w:val="00FC415B"/>
    <w:rsid w:val="00FC488C"/>
    <w:rsid w:val="00FC551C"/>
    <w:rsid w:val="00FC563C"/>
    <w:rsid w:val="00FC5691"/>
    <w:rsid w:val="00FC6038"/>
    <w:rsid w:val="00FC634A"/>
    <w:rsid w:val="00FC7319"/>
    <w:rsid w:val="00FC7D96"/>
    <w:rsid w:val="00FD05AE"/>
    <w:rsid w:val="00FD0EFE"/>
    <w:rsid w:val="00FD13DD"/>
    <w:rsid w:val="00FD1971"/>
    <w:rsid w:val="00FD1CEF"/>
    <w:rsid w:val="00FD21EF"/>
    <w:rsid w:val="00FD26A1"/>
    <w:rsid w:val="00FD27E6"/>
    <w:rsid w:val="00FD2E3F"/>
    <w:rsid w:val="00FD3C3B"/>
    <w:rsid w:val="00FD3D23"/>
    <w:rsid w:val="00FD44C4"/>
    <w:rsid w:val="00FD4EC1"/>
    <w:rsid w:val="00FD4F75"/>
    <w:rsid w:val="00FD54DA"/>
    <w:rsid w:val="00FD5921"/>
    <w:rsid w:val="00FD60E3"/>
    <w:rsid w:val="00FD66F9"/>
    <w:rsid w:val="00FD70E8"/>
    <w:rsid w:val="00FD729D"/>
    <w:rsid w:val="00FD76F2"/>
    <w:rsid w:val="00FD79FF"/>
    <w:rsid w:val="00FE0851"/>
    <w:rsid w:val="00FE0BC9"/>
    <w:rsid w:val="00FE0EE6"/>
    <w:rsid w:val="00FE15F2"/>
    <w:rsid w:val="00FE18F9"/>
    <w:rsid w:val="00FE1F1B"/>
    <w:rsid w:val="00FE1F8C"/>
    <w:rsid w:val="00FE29EC"/>
    <w:rsid w:val="00FE350D"/>
    <w:rsid w:val="00FE45EF"/>
    <w:rsid w:val="00FE487F"/>
    <w:rsid w:val="00FE4928"/>
    <w:rsid w:val="00FE52B3"/>
    <w:rsid w:val="00FE5E14"/>
    <w:rsid w:val="00FE66A3"/>
    <w:rsid w:val="00FE6783"/>
    <w:rsid w:val="00FE6B45"/>
    <w:rsid w:val="00FE6BB0"/>
    <w:rsid w:val="00FE7413"/>
    <w:rsid w:val="00FF11B9"/>
    <w:rsid w:val="00FF1BD8"/>
    <w:rsid w:val="00FF222C"/>
    <w:rsid w:val="00FF22DB"/>
    <w:rsid w:val="00FF2A34"/>
    <w:rsid w:val="00FF342C"/>
    <w:rsid w:val="00FF3556"/>
    <w:rsid w:val="00FF4706"/>
    <w:rsid w:val="00FF4D55"/>
    <w:rsid w:val="00FF4E38"/>
    <w:rsid w:val="00FF5851"/>
    <w:rsid w:val="00FF5EE6"/>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shapelayout v:ext="edit">
      <o:idmap v:ext="edit" data="1"/>
    </o:shapelayout>
  </w:shapeDefaults>
  <w:decimalSymbol w:val="."/>
  <w:listSeparator w:val=","/>
  <w14:docId w14:val="229E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0">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0">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
    <w:name w:val="List 2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0">
    <w:name w:val="List 3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0">
    <w:name w:val="List 4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
    <w:name w:val="List 5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0">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0">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
    <w:name w:val="List 2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0">
    <w:name w:val="List 3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0">
    <w:name w:val="List 4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
    <w:name w:val="List 5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2070808939">
                  <w:marLeft w:val="0"/>
                  <w:marRight w:val="0"/>
                  <w:marTop w:val="0"/>
                  <w:marBottom w:val="0"/>
                  <w:divBdr>
                    <w:top w:val="none" w:sz="0" w:space="0" w:color="auto"/>
                    <w:left w:val="none" w:sz="0" w:space="0" w:color="auto"/>
                    <w:bottom w:val="none" w:sz="0" w:space="0" w:color="auto"/>
                    <w:right w:val="none" w:sz="0" w:space="0" w:color="auto"/>
                  </w:divBdr>
                </w:div>
                <w:div w:id="13000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luistascon.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infovenezuela.org/democracy/attachments-spanish/T3%20ST03%20N8%20Avance%20Sumate%20RRP1-1.pdf" TargetMode="External"/><Relationship Id="rId18" Type="http://schemas.openxmlformats.org/officeDocument/2006/relationships/hyperlink" Target="http://www.cne.gob.ve/web/sala_prensa/noticia_detallada.php?id=1629" TargetMode="External"/><Relationship Id="rId26" Type="http://schemas.openxmlformats.org/officeDocument/2006/relationships/hyperlink" Target="http://www.eluniversal.com/2006/11/11/imp_pol_art_65474" TargetMode="External"/><Relationship Id="rId39" Type="http://schemas.openxmlformats.org/officeDocument/2006/relationships/hyperlink" Target="http://www.eluniversal.com/2008/02/23/eco_art_despidos-ilegales-im_726634" TargetMode="External"/><Relationship Id="rId21" Type="http://schemas.openxmlformats.org/officeDocument/2006/relationships/hyperlink" Target="http://www.eluniversal.com/opinion/120225/la-lista-infame-imp" TargetMode="External"/><Relationship Id="rId34" Type="http://schemas.openxmlformats.org/officeDocument/2006/relationships/hyperlink" Target="https://www.hrw.org/sites/default/files/reports/venezuela0908spweb_0.pdf" TargetMode="External"/><Relationship Id="rId42" Type="http://schemas.openxmlformats.org/officeDocument/2006/relationships/hyperlink" Target="http://infovenezuela.org/democracy/attachments-spanish/T5%20ST02%20N2%20Y%20T5ST02N3.pdf" TargetMode="External"/><Relationship Id="rId47" Type="http://schemas.openxmlformats.org/officeDocument/2006/relationships/hyperlink" Target="http://www.oas.org/es/centro_noticias/comunicado_prensa.asp?sCodigo=C-003/04" TargetMode="External"/><Relationship Id="rId50" Type="http://schemas.openxmlformats.org/officeDocument/2006/relationships/hyperlink" Target="http://www.cidh.oas.org/annualrep/93span/cap.III.mexico10.956.htm" TargetMode="External"/><Relationship Id="rId55" Type="http://schemas.openxmlformats.org/officeDocument/2006/relationships/hyperlink" Target="http://www.cidh.oas.org/demandas/12.502SP.pdf" TargetMode="External"/><Relationship Id="rId7" Type="http://schemas.openxmlformats.org/officeDocument/2006/relationships/hyperlink" Target="http://www.cne.gob.ve/web/gaceta_electoral/gaceta_electoral_detallado.php?tg=1&amp;num_gac=168" TargetMode="External"/><Relationship Id="rId12" Type="http://schemas.openxmlformats.org/officeDocument/2006/relationships/hyperlink" Target="http://infovenezuela.org/democracy/attachments-spanish/T3%20ST03%20N8%20Avance%20Sumate%20RRP1-1.pdf" TargetMode="External"/><Relationship Id="rId17" Type="http://schemas.openxmlformats.org/officeDocument/2006/relationships/hyperlink" Target="http://www.cne.gob.ve/web/sala_prensa/noticia_detallada.php?id=1629" TargetMode="External"/><Relationship Id="rId25" Type="http://schemas.openxmlformats.org/officeDocument/2006/relationships/hyperlink" Target="http://www.abc.es/20120410/internacional/abci-chavez-coloca-lista-negra-201204092159.html" TargetMode="External"/><Relationship Id="rId33" Type="http://schemas.openxmlformats.org/officeDocument/2006/relationships/hyperlink" Target="https://www.hrw.org/sites/default/files/reports/venezuela0908spweb_0.pdf" TargetMode="External"/><Relationship Id="rId38" Type="http://schemas.openxmlformats.org/officeDocument/2006/relationships/hyperlink" Target="https://www.hrw.org/sites/default/files/reports/venezuela0908spweb_0.pdf" TargetMode="External"/><Relationship Id="rId46" Type="http://schemas.openxmlformats.org/officeDocument/2006/relationships/hyperlink" Target="http://www.cne.gob.ve/web/gaceta_electoral/gaceta_electoral_detallado.php?tg=1&amp;num_gac=210" TargetMode="External"/><Relationship Id="rId59" Type="http://schemas.openxmlformats.org/officeDocument/2006/relationships/hyperlink" Target="http://www.tsj.gov.ve/legislacion/loadgc.html" TargetMode="External"/><Relationship Id="rId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6" Type="http://schemas.openxmlformats.org/officeDocument/2006/relationships/hyperlink" Target="http://infovenezuela.org/democracy/attachments-spanish/T3%20ST03%20N8%20Avance%20Sumate%20RRP1-1.pdf" TargetMode="External"/><Relationship Id="rId20" Type="http://schemas.openxmlformats.org/officeDocument/2006/relationships/hyperlink" Target="https://www.youtube.com/watch?v=2LuOQjhg8BU" TargetMode="External"/><Relationship Id="rId29" Type="http://schemas.openxmlformats.org/officeDocument/2006/relationships/hyperlink" Target="https://ciudadaniaactivavzla.wordpress.com/2015/03/26/documental-la-lista-tascon/" TargetMode="External"/><Relationship Id="rId41" Type="http://schemas.openxmlformats.org/officeDocument/2006/relationships/hyperlink" Target="http://www.eluniversal.com/2004/03/18/imp_eco_art_18166A" TargetMode="External"/><Relationship Id="rId54" Type="http://schemas.openxmlformats.org/officeDocument/2006/relationships/hyperlink" Target="http://www.cidh.oas.org/demandas/12.502SP.pdf" TargetMode="External"/><Relationship Id="rId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6" Type="http://schemas.openxmlformats.org/officeDocument/2006/relationships/hyperlink" Target="http://eldia.es/venezuela/2002-11-29/2-Tribunal-Supremo-Justicia-anula-referendum-febrero.htm" TargetMode="External"/><Relationship Id="rId11" Type="http://schemas.openxmlformats.org/officeDocument/2006/relationships/hyperlink" Target="http://historico.tsj.gob.ve/decisiones/selec/enero/3-220103-X-0002.HTM" TargetMode="External"/><Relationship Id="rId24" Type="http://schemas.openxmlformats.org/officeDocument/2006/relationships/hyperlink" Target="https://www.cartercenter.org/documents/2021.pdf" TargetMode="External"/><Relationship Id="rId32" Type="http://schemas.openxmlformats.org/officeDocument/2006/relationships/hyperlink" Target="https://www.hrw.org/sites/default/files/reports/venezuela0908spweb_0.pdf" TargetMode="External"/><Relationship Id="rId37" Type="http://schemas.openxmlformats.org/officeDocument/2006/relationships/hyperlink" Target="https://www.hrw.org/sites/default/files/reports/venezuela0908spweb_0.pdf" TargetMode="External"/><Relationship Id="rId40" Type="http://schemas.openxmlformats.org/officeDocument/2006/relationships/hyperlink" Target="http://www.sumate.org/documentos/ApartheidSigloXXI/Apartheid%20del%20Siglo%20XXI%20Capitulo7.pdf" TargetMode="External"/><Relationship Id="rId45" Type="http://schemas.openxmlformats.org/officeDocument/2006/relationships/hyperlink" Target="http://sumate.org/Elecciones/2004Revocatorio/200409_informe_avance_anexos_referendo_revocatorio_presidencial.pdf" TargetMode="External"/><Relationship Id="rId53" Type="http://schemas.openxmlformats.org/officeDocument/2006/relationships/hyperlink" Target="http://www.oas.org/es/cidh/docs/anual/2013/informes/LE2013-esp.pdf" TargetMode="External"/><Relationship Id="rId58" Type="http://schemas.openxmlformats.org/officeDocument/2006/relationships/hyperlink" Target="http://www.tsj.gov.ve/legislacion/loadgc.html" TargetMode="External"/><Relationship Id="rId5" Type="http://schemas.openxmlformats.org/officeDocument/2006/relationships/hyperlink" Target="http://analitica.com/actualidad/actualidad-nacional/chavez-no-renunciare-aunque-logren-90-de-votos-en-el-referendum/" TargetMode="External"/><Relationship Id="rId15" Type="http://schemas.openxmlformats.org/officeDocument/2006/relationships/hyperlink" Target="http://www.eluniversal.com/2003/08/14/pol_art_14104AA" TargetMode="External"/><Relationship Id="rId23" Type="http://schemas.openxmlformats.org/officeDocument/2006/relationships/hyperlink" Target="https://ciudadaniaactivavzla.wordpress.com/2015/03/26/documental-la-lista-tascon/" TargetMode="External"/><Relationship Id="rId28" Type="http://schemas.openxmlformats.org/officeDocument/2006/relationships/hyperlink" Target="https://ciudadaniaactivavzla.wordpress.com/2015/03/26/documental-la-lista-tascon/" TargetMode="External"/><Relationship Id="rId36" Type="http://schemas.openxmlformats.org/officeDocument/2006/relationships/hyperlink" Target="https://www.hrw.org/sites/default/files/reports/venezuela0908spweb_0.pdf" TargetMode="External"/><Relationship Id="rId49" Type="http://schemas.openxmlformats.org/officeDocument/2006/relationships/hyperlink" Target="http://www1.umn.edu/humanrts/hrcommittee/Sgencom25.html" TargetMode="External"/><Relationship Id="rId57" Type="http://schemas.openxmlformats.org/officeDocument/2006/relationships/hyperlink" Target="http://www.oas.org/juridico/spanish/cyb_ven_Cod_Org_Pro_Penal.pdf" TargetMode="External"/><Relationship Id="rId10" Type="http://schemas.openxmlformats.org/officeDocument/2006/relationships/hyperlink" Target="http://historico.tsj.gob.ve/decisiones/selec/enero/3-220103-X-0002.HTM" TargetMode="External"/><Relationship Id="rId19" Type="http://schemas.openxmlformats.org/officeDocument/2006/relationships/hyperlink" Target="http://www.cidh.oas.org/annualrep/2004sp/cap.5d.htm" TargetMode="External"/><Relationship Id="rId31" Type="http://schemas.openxmlformats.org/officeDocument/2006/relationships/hyperlink" Target="http://www.eluniversal.com/2004/03/21/pol_art_21108A" TargetMode="External"/><Relationship Id="rId44" Type="http://schemas.openxmlformats.org/officeDocument/2006/relationships/hyperlink" Target="http://www.cne.gob.ve/web/gaceta_electoral/gaceta_electoral_detallado.php?tg=1&amp;num_gac=202" TargetMode="External"/><Relationship Id="rId52" Type="http://schemas.openxmlformats.org/officeDocument/2006/relationships/hyperlink" Target="http://www.oas.org/es/cidh/expresion/docs/publicaciones/MARCO%20JURIDICO%20INTERAMERICANO%20DEL%20DERECHO%20A%20LA%20LIBERTAD%20DE%20EXPRESION%20ESP%20FINAL%20portada.doc.pdf" TargetMode="External"/><Relationship Id="rId4" Type="http://schemas.openxmlformats.org/officeDocument/2006/relationships/hyperlink" Target="http://www.sumate.org/proyectos.html" TargetMode="External"/><Relationship Id="rId9" Type="http://schemas.openxmlformats.org/officeDocument/2006/relationships/hyperlink" Target="http://infovenezuela.org/democracy/attachments-spanish/T3%20ST03%20N8%20Avance%20Sumate%20RRP1-1.pdf" TargetMode="External"/><Relationship Id="rId14" Type="http://schemas.openxmlformats.org/officeDocument/2006/relationships/hyperlink" Target="http://elpais.com/diario/2003/12/03/internacional/1070406013_850215.html" TargetMode="External"/><Relationship Id="rId22" Type="http://schemas.openxmlformats.org/officeDocument/2006/relationships/hyperlink" Target="https://ciudadaniaactivavzla.wordpress.com/2015/03/26/documental-la-lista-tascon/" TargetMode="External"/><Relationship Id="rId27" Type="http://schemas.openxmlformats.org/officeDocument/2006/relationships/hyperlink" Target="https://ciudadaniaactivavzla.wordpress.com/2015/03/26/documental-la-lista-tascon/" TargetMode="External"/><Relationship Id="rId30" Type="http://schemas.openxmlformats.org/officeDocument/2006/relationships/hyperlink" Target="http://www.eluniversal.com/2004/03/21/pol_art_21108A" TargetMode="External"/><Relationship Id="rId35" Type="http://schemas.openxmlformats.org/officeDocument/2006/relationships/hyperlink" Target="http://sumate.org/documentos/ApartheidSigloXXI/Apartheid%20del%20Siglo%20XXI%20Capitulo3.pdf" TargetMode="External"/><Relationship Id="rId43" Type="http://schemas.openxmlformats.org/officeDocument/2006/relationships/hyperlink" Target="http://www.rnv.gob.ve/descartada-posibilidad-de-incluir-firmas-invlidas-para-reparos/" TargetMode="External"/><Relationship Id="rId48" Type="http://schemas.openxmlformats.org/officeDocument/2006/relationships/hyperlink" Target="http://www.oas.org/es/centro_noticias/comunicado_prensa.asp?sCodigo=C-138/04" TargetMode="External"/><Relationship Id="rId56" Type="http://schemas.openxmlformats.org/officeDocument/2006/relationships/hyperlink" Target="http://www.cidh.oas.org/countryrep/Bolivia2007sp/Bolivia07cap1.sp.htm" TargetMode="External"/><Relationship Id="rId8" Type="http://schemas.openxmlformats.org/officeDocument/2006/relationships/hyperlink" Target="http://historico.tsj.gob.ve/decisiones/selec/enero/3-220103-X-0002.HTM" TargetMode="External"/><Relationship Id="rId51" Type="http://schemas.openxmlformats.org/officeDocument/2006/relationships/hyperlink" Target="http://www.oas.org/es/cidh/expresion/informes/tematicos.asp" TargetMode="External"/><Relationship Id="rId3" Type="http://schemas.openxmlformats.org/officeDocument/2006/relationships/hyperlink" Target="http://www.cne.gob.ve/web/normativa_electoral/constitucion/titulo3.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39F3-3CF1-47D2-B2E0-9F518ADF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46</Pages>
  <Words>20902</Words>
  <Characters>119145</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CIDH</dc:creator>
  <cp:lastModifiedBy>%username%</cp:lastModifiedBy>
  <cp:revision>218</cp:revision>
  <cp:lastPrinted>2015-10-20T19:17:00Z</cp:lastPrinted>
  <dcterms:created xsi:type="dcterms:W3CDTF">2015-10-14T02:31:00Z</dcterms:created>
  <dcterms:modified xsi:type="dcterms:W3CDTF">2015-12-08T16:03:00Z</dcterms:modified>
</cp:coreProperties>
</file>