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1F8" w:rsidRPr="00E57D5F" w:rsidRDefault="007A61F8" w:rsidP="007A61F8">
      <w:pPr>
        <w:ind w:firstLine="567"/>
        <w:jc w:val="both"/>
        <w:rPr>
          <w:rFonts w:ascii="Cambria" w:hAnsi="Cambria" w:cs="Univers"/>
          <w:b/>
          <w:bCs/>
          <w:sz w:val="22"/>
          <w:szCs w:val="22"/>
          <w:lang w:val="es-ES_tradnl"/>
        </w:rPr>
      </w:pPr>
      <w:r w:rsidRPr="00E57D5F">
        <w:rPr>
          <w:noProof/>
          <w:lang w:val="es-ES" w:eastAsia="es-ES"/>
        </w:rPr>
        <mc:AlternateContent>
          <mc:Choice Requires="wps">
            <w:drawing>
              <wp:anchor distT="0" distB="0" distL="114300" distR="114300" simplePos="0" relativeHeight="251659264" behindDoc="0" locked="0" layoutInCell="1" allowOverlap="1" wp14:anchorId="68234618" wp14:editId="2C450247">
                <wp:simplePos x="0" y="0"/>
                <wp:positionH relativeFrom="column">
                  <wp:posOffset>-415925</wp:posOffset>
                </wp:positionH>
                <wp:positionV relativeFrom="paragraph">
                  <wp:posOffset>-439420</wp:posOffset>
                </wp:positionV>
                <wp:extent cx="1543050" cy="9096375"/>
                <wp:effectExtent l="0" t="0" r="635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" fillcolor="#4a7194" stroked="f" strokeweight="2pt">
                <v:path arrowok="t"/>
              </v:rect>
            </w:pict>
          </mc:Fallback>
        </mc:AlternateContent>
      </w:r>
      <w:r w:rsidRPr="00E57D5F">
        <w:rPr>
          <w:noProof/>
          <w:lang w:val="es-ES" w:eastAsia="es-ES"/>
        </w:rPr>
        <mc:AlternateContent>
          <mc:Choice Requires="wps">
            <w:drawing>
              <wp:anchor distT="0" distB="0" distL="114300" distR="114300" simplePos="0" relativeHeight="251663360" behindDoc="0" locked="0" layoutInCell="1" allowOverlap="1" wp14:anchorId="6E75256C" wp14:editId="1F2992F4">
                <wp:simplePos x="0" y="0"/>
                <wp:positionH relativeFrom="column">
                  <wp:posOffset>1282065</wp:posOffset>
                </wp:positionH>
                <wp:positionV relativeFrom="paragraph">
                  <wp:posOffset>-424180</wp:posOffset>
                </wp:positionV>
                <wp:extent cx="5248275" cy="902335"/>
                <wp:effectExtent l="0" t="0" r="0" b="120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txbx>
                        <w:txbxContent>
                          <w:p w:rsidR="005E3CCE" w:rsidRDefault="005E3CCE" w:rsidP="007A61F8">
                            <w:r w:rsidRPr="00DB43BD">
                              <w:rPr>
                                <w:noProof/>
                                <w:lang w:val="es-ES" w:eastAsia="es-ES"/>
                              </w:rPr>
                              <w:drawing>
                                <wp:inline distT="0" distB="0" distL="0" distR="0" wp14:anchorId="739B36D0" wp14:editId="2492CE1D">
                                  <wp:extent cx="2650490" cy="509270"/>
                                  <wp:effectExtent l="0" t="0" r="0" b="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0490" cy="509270"/>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" filled="f" stroked="f" strokeweight=".5pt">
                <v:path arrowok="t"/>
                <v:textbox>
                  <w:txbxContent>
                    <w:p w:rsidR="005E3CCE" w:rsidRDefault="005E3CCE" w:rsidP="007A61F8">
                      <w:r w:rsidRPr="00DB43BD">
                        <w:rPr>
                          <w:noProof/>
                          <w:lang w:val="es-ES" w:eastAsia="es-ES"/>
                        </w:rPr>
                        <w:drawing>
                          <wp:inline distT="0" distB="0" distL="0" distR="0" wp14:anchorId="739B36D0" wp14:editId="2492CE1D">
                            <wp:extent cx="2650490" cy="509270"/>
                            <wp:effectExtent l="0" t="0" r="0" b="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0490" cy="509270"/>
                                    </a:xfrm>
                                    <a:prstGeom prst="rect">
                                      <a:avLst/>
                                    </a:prstGeom>
                                    <a:noFill/>
                                    <a:ln>
                                      <a:noFill/>
                                    </a:ln>
                                  </pic:spPr>
                                </pic:pic>
                              </a:graphicData>
                            </a:graphic>
                          </wp:inline>
                        </w:drawing>
                      </w:r>
                      <w:r>
                        <w:tab/>
                        <w:t xml:space="preserve">                              </w:t>
                      </w:r>
                    </w:p>
                  </w:txbxContent>
                </v:textbox>
              </v:shape>
            </w:pict>
          </mc:Fallback>
        </mc:AlternateContent>
      </w:r>
    </w:p>
    <w:p w:rsidR="007A61F8" w:rsidRPr="00E57D5F" w:rsidRDefault="007A61F8" w:rsidP="007A61F8">
      <w:pPr>
        <w:tabs>
          <w:tab w:val="center" w:pos="5400"/>
        </w:tabs>
        <w:suppressAutoHyphens/>
        <w:ind w:firstLine="567"/>
        <w:jc w:val="both"/>
        <w:rPr>
          <w:rFonts w:ascii="Cambria" w:hAnsi="Cambria"/>
          <w:sz w:val="22"/>
          <w:szCs w:val="22"/>
          <w:lang w:val="es-ES"/>
        </w:rPr>
      </w:pPr>
    </w:p>
    <w:p w:rsidR="007A61F8" w:rsidRPr="00E57D5F" w:rsidRDefault="007A61F8" w:rsidP="007A61F8">
      <w:pPr>
        <w:tabs>
          <w:tab w:val="center" w:pos="5400"/>
        </w:tabs>
        <w:suppressAutoHyphens/>
        <w:ind w:firstLine="567"/>
        <w:jc w:val="both"/>
        <w:rPr>
          <w:rFonts w:ascii="Cambria" w:hAnsi="Cambria"/>
          <w:sz w:val="22"/>
          <w:szCs w:val="22"/>
          <w:lang w:val="es-ES"/>
        </w:rPr>
      </w:pPr>
    </w:p>
    <w:p w:rsidR="007A61F8" w:rsidRPr="00E57D5F" w:rsidRDefault="007A61F8" w:rsidP="007A61F8">
      <w:pPr>
        <w:tabs>
          <w:tab w:val="center" w:pos="5400"/>
        </w:tabs>
        <w:suppressAutoHyphens/>
        <w:ind w:firstLine="567"/>
        <w:rPr>
          <w:rFonts w:ascii="Cambria" w:hAnsi="Cambria"/>
          <w:sz w:val="22"/>
          <w:szCs w:val="22"/>
          <w:lang w:val="es-ES_tradnl"/>
        </w:rPr>
      </w:pPr>
    </w:p>
    <w:p w:rsidR="007A61F8" w:rsidRPr="00E57D5F" w:rsidRDefault="007A61F8" w:rsidP="007A61F8">
      <w:pPr>
        <w:tabs>
          <w:tab w:val="center" w:pos="5400"/>
        </w:tabs>
        <w:suppressAutoHyphens/>
        <w:ind w:firstLine="567"/>
        <w:rPr>
          <w:rFonts w:ascii="Cambria" w:hAnsi="Cambria"/>
          <w:sz w:val="22"/>
          <w:szCs w:val="22"/>
          <w:lang w:val="es-ES_tradnl"/>
        </w:rPr>
      </w:pPr>
    </w:p>
    <w:p w:rsidR="007A61F8" w:rsidRPr="00E57D5F" w:rsidRDefault="007A61F8" w:rsidP="007A61F8">
      <w:pPr>
        <w:tabs>
          <w:tab w:val="center" w:pos="5400"/>
        </w:tabs>
        <w:suppressAutoHyphens/>
        <w:ind w:firstLine="567"/>
        <w:rPr>
          <w:rFonts w:ascii="Cambria" w:hAnsi="Cambria"/>
          <w:sz w:val="22"/>
          <w:szCs w:val="22"/>
          <w:lang w:val="es-ES_tradnl"/>
        </w:rPr>
      </w:pPr>
    </w:p>
    <w:p w:rsidR="007A61F8" w:rsidRPr="00E57D5F" w:rsidRDefault="007A61F8" w:rsidP="007A61F8">
      <w:pPr>
        <w:tabs>
          <w:tab w:val="center" w:pos="5400"/>
        </w:tabs>
        <w:suppressAutoHyphens/>
        <w:ind w:firstLine="567"/>
        <w:jc w:val="center"/>
        <w:rPr>
          <w:rFonts w:ascii="Cambria" w:hAnsi="Cambria"/>
          <w:sz w:val="22"/>
          <w:szCs w:val="22"/>
          <w:lang w:val="es-ES_tradnl"/>
        </w:rPr>
      </w:pPr>
    </w:p>
    <w:p w:rsidR="007A61F8" w:rsidRPr="00E57D5F" w:rsidRDefault="007A61F8" w:rsidP="007A61F8">
      <w:pPr>
        <w:tabs>
          <w:tab w:val="center" w:pos="5400"/>
        </w:tabs>
        <w:suppressAutoHyphens/>
        <w:ind w:firstLine="567"/>
        <w:jc w:val="center"/>
        <w:rPr>
          <w:rFonts w:ascii="Cambria" w:hAnsi="Cambria"/>
          <w:sz w:val="22"/>
          <w:szCs w:val="22"/>
          <w:lang w:val="es-ES_tradnl"/>
        </w:rPr>
      </w:pPr>
    </w:p>
    <w:p w:rsidR="007A61F8" w:rsidRPr="00E57D5F" w:rsidRDefault="007A61F8" w:rsidP="007A61F8">
      <w:pPr>
        <w:tabs>
          <w:tab w:val="center" w:pos="5400"/>
        </w:tabs>
        <w:suppressAutoHyphens/>
        <w:ind w:firstLine="567"/>
        <w:jc w:val="center"/>
        <w:rPr>
          <w:rFonts w:ascii="Cambria" w:hAnsi="Cambria"/>
          <w:sz w:val="22"/>
          <w:szCs w:val="22"/>
          <w:lang w:val="es-ES_tradnl"/>
        </w:rPr>
      </w:pPr>
    </w:p>
    <w:p w:rsidR="007A61F8" w:rsidRPr="00E57D5F" w:rsidRDefault="007A61F8" w:rsidP="007A61F8">
      <w:pPr>
        <w:tabs>
          <w:tab w:val="center" w:pos="5400"/>
        </w:tabs>
        <w:suppressAutoHyphens/>
        <w:ind w:firstLine="567"/>
        <w:jc w:val="center"/>
        <w:rPr>
          <w:rFonts w:ascii="Cambria" w:hAnsi="Cambria"/>
          <w:sz w:val="22"/>
          <w:szCs w:val="22"/>
          <w:lang w:val="es-ES_tradnl"/>
        </w:rPr>
      </w:pPr>
    </w:p>
    <w:p w:rsidR="007A61F8" w:rsidRPr="00E57D5F" w:rsidRDefault="007A61F8" w:rsidP="007A61F8">
      <w:pPr>
        <w:tabs>
          <w:tab w:val="center" w:pos="5400"/>
        </w:tabs>
        <w:suppressAutoHyphens/>
        <w:ind w:firstLine="567"/>
        <w:jc w:val="center"/>
        <w:rPr>
          <w:rFonts w:ascii="Cambria" w:hAnsi="Cambria"/>
          <w:sz w:val="22"/>
          <w:szCs w:val="22"/>
          <w:lang w:val="es-ES_tradnl"/>
        </w:rPr>
      </w:pPr>
    </w:p>
    <w:p w:rsidR="007A61F8" w:rsidRPr="00E57D5F" w:rsidRDefault="007A61F8" w:rsidP="007A61F8">
      <w:pPr>
        <w:tabs>
          <w:tab w:val="center" w:pos="5400"/>
        </w:tabs>
        <w:suppressAutoHyphens/>
        <w:ind w:firstLine="567"/>
        <w:jc w:val="center"/>
        <w:rPr>
          <w:rFonts w:ascii="Cambria" w:hAnsi="Cambria"/>
          <w:sz w:val="22"/>
          <w:szCs w:val="22"/>
          <w:lang w:val="es-ES_tradnl"/>
        </w:rPr>
      </w:pPr>
    </w:p>
    <w:p w:rsidR="007A61F8" w:rsidRPr="00E57D5F" w:rsidRDefault="007A61F8" w:rsidP="007A61F8">
      <w:pPr>
        <w:tabs>
          <w:tab w:val="center" w:pos="5400"/>
        </w:tabs>
        <w:suppressAutoHyphens/>
        <w:ind w:firstLine="567"/>
        <w:jc w:val="center"/>
        <w:rPr>
          <w:rFonts w:ascii="Cambria" w:hAnsi="Cambria"/>
          <w:sz w:val="22"/>
          <w:szCs w:val="22"/>
          <w:lang w:val="es-ES_tradnl"/>
        </w:rPr>
      </w:pPr>
    </w:p>
    <w:p w:rsidR="007A61F8" w:rsidRPr="00E57D5F" w:rsidRDefault="007A61F8" w:rsidP="007A61F8">
      <w:pPr>
        <w:tabs>
          <w:tab w:val="center" w:pos="5400"/>
        </w:tabs>
        <w:suppressAutoHyphens/>
        <w:ind w:firstLine="567"/>
        <w:jc w:val="center"/>
        <w:rPr>
          <w:rFonts w:ascii="Cambria" w:hAnsi="Cambria"/>
          <w:sz w:val="22"/>
          <w:szCs w:val="22"/>
          <w:lang w:val="es-ES_tradnl"/>
        </w:rPr>
      </w:pPr>
      <w:r w:rsidRPr="00E57D5F">
        <w:rPr>
          <w:noProof/>
          <w:lang w:val="es-ES" w:eastAsia="es-ES"/>
        </w:rPr>
        <mc:AlternateContent>
          <mc:Choice Requires="wps">
            <w:drawing>
              <wp:anchor distT="0" distB="0" distL="114300" distR="114300" simplePos="0" relativeHeight="251660288" behindDoc="0" locked="0" layoutInCell="1" allowOverlap="1" wp14:anchorId="18F751B7" wp14:editId="6306A05C">
                <wp:simplePos x="0" y="0"/>
                <wp:positionH relativeFrom="column">
                  <wp:posOffset>1352550</wp:posOffset>
                </wp:positionH>
                <wp:positionV relativeFrom="paragraph">
                  <wp:posOffset>107315</wp:posOffset>
                </wp:positionV>
                <wp:extent cx="4441190" cy="2181225"/>
                <wp:effectExtent l="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txbx>
                        <w:txbxContent>
                          <w:p w:rsidR="005E3CCE" w:rsidRPr="00EE3118" w:rsidRDefault="005E3CCE" w:rsidP="007A61F8">
                            <w:pPr>
                              <w:spacing w:line="276" w:lineRule="auto"/>
                              <w:rPr>
                                <w:rFonts w:ascii="Cambria" w:hAnsi="Cambria" w:cs="Arial"/>
                                <w:b/>
                                <w:bCs/>
                                <w:color w:val="0D0D0D"/>
                                <w:sz w:val="36"/>
                                <w:szCs w:val="22"/>
                                <w:lang w:val="es-ES"/>
                              </w:rPr>
                            </w:pPr>
                            <w:r w:rsidRPr="00EE3118">
                              <w:rPr>
                                <w:rFonts w:ascii="Cambria" w:hAnsi="Cambria" w:cs="Arial"/>
                                <w:b/>
                                <w:bCs/>
                                <w:color w:val="0D0D0D"/>
                                <w:sz w:val="36"/>
                                <w:szCs w:val="22"/>
                                <w:lang w:val="es-ES"/>
                              </w:rPr>
                              <w:t xml:space="preserve">INFORME </w:t>
                            </w:r>
                            <w:r w:rsidRPr="00EE3118">
                              <w:rPr>
                                <w:rFonts w:ascii="Cambria" w:hAnsi="Cambria" w:cs="Arial"/>
                                <w:b/>
                                <w:bCs/>
                                <w:color w:val="0D0D0D"/>
                                <w:sz w:val="36"/>
                                <w:szCs w:val="40"/>
                                <w:lang w:val="es-ES"/>
                              </w:rPr>
                              <w:t>No.</w:t>
                            </w:r>
                            <w:r w:rsidRPr="00EE3118">
                              <w:rPr>
                                <w:rFonts w:ascii="Cambria" w:hAnsi="Cambria" w:cs="Arial"/>
                                <w:b/>
                                <w:bCs/>
                                <w:color w:val="0D0D0D"/>
                                <w:sz w:val="36"/>
                                <w:szCs w:val="22"/>
                                <w:lang w:val="es-ES"/>
                              </w:rPr>
                              <w:t xml:space="preserve"> </w:t>
                            </w:r>
                            <w:r>
                              <w:rPr>
                                <w:rFonts w:ascii="Cambria" w:hAnsi="Cambria" w:cs="Arial"/>
                                <w:b/>
                                <w:bCs/>
                                <w:color w:val="0D0D0D"/>
                                <w:sz w:val="36"/>
                                <w:szCs w:val="22"/>
                                <w:lang w:val="es-ES"/>
                              </w:rPr>
                              <w:t>21/17</w:t>
                            </w:r>
                          </w:p>
                          <w:p w:rsidR="005E3CCE" w:rsidRPr="00D21B8F" w:rsidRDefault="005E3CCE" w:rsidP="007A61F8">
                            <w:pPr>
                              <w:spacing w:line="276" w:lineRule="auto"/>
                              <w:rPr>
                                <w:rFonts w:ascii="Cambria" w:hAnsi="Cambria" w:cs="Arial"/>
                                <w:b/>
                                <w:color w:val="0D0D0D"/>
                                <w:sz w:val="36"/>
                                <w:szCs w:val="22"/>
                                <w:lang w:val="es-ES"/>
                              </w:rPr>
                            </w:pPr>
                            <w:r w:rsidRPr="00D21B8F">
                              <w:rPr>
                                <w:rFonts w:ascii="Cambria" w:hAnsi="Cambria" w:cs="Arial"/>
                                <w:b/>
                                <w:color w:val="0D0D0D"/>
                                <w:sz w:val="36"/>
                                <w:szCs w:val="22"/>
                                <w:lang w:val="es-ES"/>
                              </w:rPr>
                              <w:t xml:space="preserve">CASO </w:t>
                            </w:r>
                            <w:r>
                              <w:rPr>
                                <w:rFonts w:ascii="Cambria" w:hAnsi="Cambria" w:cs="Arial"/>
                                <w:b/>
                                <w:color w:val="0D0D0D"/>
                                <w:sz w:val="36"/>
                                <w:szCs w:val="22"/>
                                <w:lang w:val="es-ES"/>
                              </w:rPr>
                              <w:t>11.738</w:t>
                            </w:r>
                          </w:p>
                          <w:p w:rsidR="005E3CCE" w:rsidRPr="00DB43BD" w:rsidRDefault="005E3CCE" w:rsidP="007A61F8">
                            <w:pPr>
                              <w:spacing w:line="276" w:lineRule="auto"/>
                              <w:rPr>
                                <w:rFonts w:ascii="Cambria" w:hAnsi="Cambria" w:cs="Arial"/>
                                <w:color w:val="0D0D0D"/>
                                <w:szCs w:val="22"/>
                                <w:lang w:val="es-ES_tradnl"/>
                              </w:rPr>
                            </w:pPr>
                            <w:r w:rsidRPr="00DB43BD">
                              <w:rPr>
                                <w:rFonts w:ascii="Cambria" w:hAnsi="Cambria" w:cs="Arial"/>
                                <w:color w:val="0D0D0D"/>
                                <w:szCs w:val="22"/>
                                <w:lang w:val="es-ES_tradnl"/>
                              </w:rPr>
                              <w:t xml:space="preserve">INFORME DE </w:t>
                            </w:r>
                            <w:r>
                              <w:rPr>
                                <w:rFonts w:ascii="Cambria" w:hAnsi="Cambria" w:cs="Arial"/>
                                <w:color w:val="0D0D0D"/>
                                <w:szCs w:val="22"/>
                                <w:lang w:val="es-ES_tradnl"/>
                              </w:rPr>
                              <w:t>FONDO</w:t>
                            </w:r>
                          </w:p>
                          <w:p w:rsidR="005E3CCE" w:rsidRPr="00DB43BD" w:rsidRDefault="005E3CCE" w:rsidP="007A61F8">
                            <w:pPr>
                              <w:spacing w:line="276" w:lineRule="auto"/>
                              <w:rPr>
                                <w:rFonts w:ascii="Cambria" w:hAnsi="Cambria" w:cs="Arial"/>
                                <w:color w:val="0D0D0D"/>
                                <w:szCs w:val="22"/>
                                <w:lang w:val="es-ES_tradnl"/>
                              </w:rPr>
                            </w:pPr>
                          </w:p>
                          <w:p w:rsidR="005E3CCE" w:rsidRPr="00DB43BD" w:rsidRDefault="005E3CCE" w:rsidP="007A61F8">
                            <w:pPr>
                              <w:spacing w:line="276" w:lineRule="auto"/>
                              <w:rPr>
                                <w:rFonts w:ascii="Cambria" w:hAnsi="Cambria" w:cs="Arial"/>
                                <w:color w:val="0D0D0D"/>
                                <w:szCs w:val="22"/>
                                <w:lang w:val="es-ES_tradnl"/>
                              </w:rPr>
                            </w:pPr>
                            <w:bookmarkStart w:id="0" w:name="_ftnref1"/>
                          </w:p>
                          <w:p w:rsidR="005E3CCE" w:rsidRPr="00DB43BD" w:rsidRDefault="005E3CCE" w:rsidP="007A61F8">
                            <w:pPr>
                              <w:spacing w:line="276" w:lineRule="auto"/>
                              <w:rPr>
                                <w:rFonts w:ascii="Cambria" w:hAnsi="Cambria" w:cs="Arial"/>
                                <w:color w:val="0D0D0D"/>
                                <w:szCs w:val="22"/>
                                <w:lang w:val="es-ES_tradnl"/>
                              </w:rPr>
                            </w:pPr>
                            <w:r>
                              <w:rPr>
                                <w:rFonts w:ascii="Cambria" w:hAnsi="Cambria" w:cs="Arial"/>
                                <w:color w:val="0D0D0D"/>
                                <w:szCs w:val="22"/>
                                <w:lang w:val="es-ES_tradnl"/>
                              </w:rPr>
                              <w:t>ELBA CLOTILDE PERRONE Y JUAN JOSE PRECKEL</w:t>
                            </w:r>
                          </w:p>
                          <w:bookmarkEnd w:id="0"/>
                          <w:p w:rsidR="005E3CCE" w:rsidRPr="00DB43BD" w:rsidRDefault="005E3CCE" w:rsidP="007A61F8">
                            <w:pPr>
                              <w:spacing w:line="276" w:lineRule="auto"/>
                              <w:rPr>
                                <w:rFonts w:ascii="Cambria" w:hAnsi="Cambria" w:cs="Arial"/>
                                <w:color w:val="0D0D0D"/>
                                <w:szCs w:val="22"/>
                                <w:lang w:val="es-ES"/>
                              </w:rPr>
                            </w:pPr>
                            <w:r>
                              <w:rPr>
                                <w:rFonts w:ascii="Cambria" w:hAnsi="Cambria" w:cs="Arial"/>
                                <w:color w:val="0D0D0D"/>
                                <w:szCs w:val="22"/>
                                <w:lang w:val="es-ES_tradnl"/>
                              </w:rPr>
                              <w:t>ARGENTINA</w:t>
                            </w:r>
                          </w:p>
                          <w:p w:rsidR="005E3CCE" w:rsidRPr="00DB43BD" w:rsidRDefault="005E3CCE" w:rsidP="007A61F8">
                            <w:pP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" filled="f" stroked="f" strokeweight=".5pt">
                <v:path arrowok="t"/>
                <v:textbox>
                  <w:txbxContent>
                    <w:p w:rsidR="005E3CCE" w:rsidRPr="00EE3118" w:rsidRDefault="005E3CCE" w:rsidP="007A61F8">
                      <w:pPr>
                        <w:spacing w:line="276" w:lineRule="auto"/>
                        <w:rPr>
                          <w:rFonts w:ascii="Cambria" w:hAnsi="Cambria" w:cs="Arial"/>
                          <w:b/>
                          <w:bCs/>
                          <w:color w:val="0D0D0D"/>
                          <w:sz w:val="36"/>
                          <w:szCs w:val="22"/>
                          <w:lang w:val="es-ES"/>
                        </w:rPr>
                      </w:pPr>
                      <w:r w:rsidRPr="00EE3118">
                        <w:rPr>
                          <w:rFonts w:ascii="Cambria" w:hAnsi="Cambria" w:cs="Arial"/>
                          <w:b/>
                          <w:bCs/>
                          <w:color w:val="0D0D0D"/>
                          <w:sz w:val="36"/>
                          <w:szCs w:val="22"/>
                          <w:lang w:val="es-ES"/>
                        </w:rPr>
                        <w:t xml:space="preserve">INFORME </w:t>
                      </w:r>
                      <w:r w:rsidRPr="00EE3118">
                        <w:rPr>
                          <w:rFonts w:ascii="Cambria" w:hAnsi="Cambria" w:cs="Arial"/>
                          <w:b/>
                          <w:bCs/>
                          <w:color w:val="0D0D0D"/>
                          <w:sz w:val="36"/>
                          <w:szCs w:val="40"/>
                          <w:lang w:val="es-ES"/>
                        </w:rPr>
                        <w:t>No.</w:t>
                      </w:r>
                      <w:r w:rsidRPr="00EE3118">
                        <w:rPr>
                          <w:rFonts w:ascii="Cambria" w:hAnsi="Cambria" w:cs="Arial"/>
                          <w:b/>
                          <w:bCs/>
                          <w:color w:val="0D0D0D"/>
                          <w:sz w:val="36"/>
                          <w:szCs w:val="22"/>
                          <w:lang w:val="es-ES"/>
                        </w:rPr>
                        <w:t xml:space="preserve"> </w:t>
                      </w:r>
                      <w:r>
                        <w:rPr>
                          <w:rFonts w:ascii="Cambria" w:hAnsi="Cambria" w:cs="Arial"/>
                          <w:b/>
                          <w:bCs/>
                          <w:color w:val="0D0D0D"/>
                          <w:sz w:val="36"/>
                          <w:szCs w:val="22"/>
                          <w:lang w:val="es-ES"/>
                        </w:rPr>
                        <w:t>21/17</w:t>
                      </w:r>
                    </w:p>
                    <w:p w:rsidR="005E3CCE" w:rsidRPr="00D21B8F" w:rsidRDefault="005E3CCE" w:rsidP="007A61F8">
                      <w:pPr>
                        <w:spacing w:line="276" w:lineRule="auto"/>
                        <w:rPr>
                          <w:rFonts w:ascii="Cambria" w:hAnsi="Cambria" w:cs="Arial"/>
                          <w:b/>
                          <w:color w:val="0D0D0D"/>
                          <w:sz w:val="36"/>
                          <w:szCs w:val="22"/>
                          <w:lang w:val="es-ES"/>
                        </w:rPr>
                      </w:pPr>
                      <w:r w:rsidRPr="00D21B8F">
                        <w:rPr>
                          <w:rFonts w:ascii="Cambria" w:hAnsi="Cambria" w:cs="Arial"/>
                          <w:b/>
                          <w:color w:val="0D0D0D"/>
                          <w:sz w:val="36"/>
                          <w:szCs w:val="22"/>
                          <w:lang w:val="es-ES"/>
                        </w:rPr>
                        <w:t xml:space="preserve">CASO </w:t>
                      </w:r>
                      <w:r>
                        <w:rPr>
                          <w:rFonts w:ascii="Cambria" w:hAnsi="Cambria" w:cs="Arial"/>
                          <w:b/>
                          <w:color w:val="0D0D0D"/>
                          <w:sz w:val="36"/>
                          <w:szCs w:val="22"/>
                          <w:lang w:val="es-ES"/>
                        </w:rPr>
                        <w:t>11.738</w:t>
                      </w:r>
                    </w:p>
                    <w:p w:rsidR="005E3CCE" w:rsidRPr="00DB43BD" w:rsidRDefault="005E3CCE" w:rsidP="007A61F8">
                      <w:pPr>
                        <w:spacing w:line="276" w:lineRule="auto"/>
                        <w:rPr>
                          <w:rFonts w:ascii="Cambria" w:hAnsi="Cambria" w:cs="Arial"/>
                          <w:color w:val="0D0D0D"/>
                          <w:szCs w:val="22"/>
                          <w:lang w:val="es-ES_tradnl"/>
                        </w:rPr>
                      </w:pPr>
                      <w:r w:rsidRPr="00DB43BD">
                        <w:rPr>
                          <w:rFonts w:ascii="Cambria" w:hAnsi="Cambria" w:cs="Arial"/>
                          <w:color w:val="0D0D0D"/>
                          <w:szCs w:val="22"/>
                          <w:lang w:val="es-ES_tradnl"/>
                        </w:rPr>
                        <w:t xml:space="preserve">INFORME DE </w:t>
                      </w:r>
                      <w:r>
                        <w:rPr>
                          <w:rFonts w:ascii="Cambria" w:hAnsi="Cambria" w:cs="Arial"/>
                          <w:color w:val="0D0D0D"/>
                          <w:szCs w:val="22"/>
                          <w:lang w:val="es-ES_tradnl"/>
                        </w:rPr>
                        <w:t>FONDO</w:t>
                      </w:r>
                    </w:p>
                    <w:p w:rsidR="005E3CCE" w:rsidRPr="00DB43BD" w:rsidRDefault="005E3CCE" w:rsidP="007A61F8">
                      <w:pPr>
                        <w:spacing w:line="276" w:lineRule="auto"/>
                        <w:rPr>
                          <w:rFonts w:ascii="Cambria" w:hAnsi="Cambria" w:cs="Arial"/>
                          <w:color w:val="0D0D0D"/>
                          <w:szCs w:val="22"/>
                          <w:lang w:val="es-ES_tradnl"/>
                        </w:rPr>
                      </w:pPr>
                    </w:p>
                    <w:p w:rsidR="005E3CCE" w:rsidRPr="00DB43BD" w:rsidRDefault="005E3CCE" w:rsidP="007A61F8">
                      <w:pPr>
                        <w:spacing w:line="276" w:lineRule="auto"/>
                        <w:rPr>
                          <w:rFonts w:ascii="Cambria" w:hAnsi="Cambria" w:cs="Arial"/>
                          <w:color w:val="0D0D0D"/>
                          <w:szCs w:val="22"/>
                          <w:lang w:val="es-ES_tradnl"/>
                        </w:rPr>
                      </w:pPr>
                      <w:bookmarkStart w:id="1" w:name="_ftnref1"/>
                    </w:p>
                    <w:p w:rsidR="005E3CCE" w:rsidRPr="00DB43BD" w:rsidRDefault="005E3CCE" w:rsidP="007A61F8">
                      <w:pPr>
                        <w:spacing w:line="276" w:lineRule="auto"/>
                        <w:rPr>
                          <w:rFonts w:ascii="Cambria" w:hAnsi="Cambria" w:cs="Arial"/>
                          <w:color w:val="0D0D0D"/>
                          <w:szCs w:val="22"/>
                          <w:lang w:val="es-ES_tradnl"/>
                        </w:rPr>
                      </w:pPr>
                      <w:r>
                        <w:rPr>
                          <w:rFonts w:ascii="Cambria" w:hAnsi="Cambria" w:cs="Arial"/>
                          <w:color w:val="0D0D0D"/>
                          <w:szCs w:val="22"/>
                          <w:lang w:val="es-ES_tradnl"/>
                        </w:rPr>
                        <w:t>ELBA CLOTILDE PERRONE Y JUAN JOSE PRECKEL</w:t>
                      </w:r>
                    </w:p>
                    <w:bookmarkEnd w:id="1"/>
                    <w:p w:rsidR="005E3CCE" w:rsidRPr="00DB43BD" w:rsidRDefault="005E3CCE" w:rsidP="007A61F8">
                      <w:pPr>
                        <w:spacing w:line="276" w:lineRule="auto"/>
                        <w:rPr>
                          <w:rFonts w:ascii="Cambria" w:hAnsi="Cambria" w:cs="Arial"/>
                          <w:color w:val="0D0D0D"/>
                          <w:szCs w:val="22"/>
                          <w:lang w:val="es-ES"/>
                        </w:rPr>
                      </w:pPr>
                      <w:r>
                        <w:rPr>
                          <w:rFonts w:ascii="Cambria" w:hAnsi="Cambria" w:cs="Arial"/>
                          <w:color w:val="0D0D0D"/>
                          <w:szCs w:val="22"/>
                          <w:lang w:val="es-ES_tradnl"/>
                        </w:rPr>
                        <w:t>ARGENTINA</w:t>
                      </w:r>
                    </w:p>
                    <w:p w:rsidR="005E3CCE" w:rsidRPr="00DB43BD" w:rsidRDefault="005E3CCE" w:rsidP="007A61F8">
                      <w:pPr>
                        <w:rPr>
                          <w:color w:val="0D0D0D"/>
                          <w:lang w:val="es-ES_tradnl"/>
                        </w:rPr>
                      </w:pPr>
                    </w:p>
                  </w:txbxContent>
                </v:textbox>
              </v:shape>
            </w:pict>
          </mc:Fallback>
        </mc:AlternateContent>
      </w:r>
      <w:r w:rsidRPr="00E57D5F">
        <w:rPr>
          <w:noProof/>
          <w:lang w:val="es-ES" w:eastAsia="es-ES"/>
        </w:rPr>
        <mc:AlternateContent>
          <mc:Choice Requires="wps">
            <w:drawing>
              <wp:anchor distT="0" distB="0" distL="114300" distR="114300" simplePos="0" relativeHeight="251662336" behindDoc="0" locked="0" layoutInCell="1" allowOverlap="1" wp14:anchorId="1042E32F" wp14:editId="71123BEB">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txbx>
                        <w:txbxContent>
                          <w:p w:rsidR="005E3CCE" w:rsidRPr="00EE3118" w:rsidRDefault="005E3CCE" w:rsidP="007A61F8">
                            <w:pPr>
                              <w:spacing w:line="276" w:lineRule="auto"/>
                              <w:jc w:val="right"/>
                              <w:rPr>
                                <w:rFonts w:ascii="Calibri" w:hAnsi="Calibri"/>
                                <w:color w:val="FFFFFF"/>
                                <w:sz w:val="22"/>
                                <w:lang w:val="pt-BR"/>
                              </w:rPr>
                            </w:pPr>
                            <w:r w:rsidRPr="00EE3118">
                              <w:rPr>
                                <w:rFonts w:ascii="Calibri" w:hAnsi="Calibri"/>
                                <w:color w:val="FFFFFF"/>
                                <w:sz w:val="22"/>
                                <w:lang w:val="pt-BR"/>
                              </w:rPr>
                              <w:t>OEA/Ser.L/V/II.</w:t>
                            </w:r>
                            <w:r>
                              <w:rPr>
                                <w:rFonts w:ascii="Calibri" w:hAnsi="Calibri"/>
                                <w:color w:val="FFFFFF"/>
                                <w:sz w:val="22"/>
                                <w:lang w:val="pt-BR"/>
                              </w:rPr>
                              <w:t>161</w:t>
                            </w:r>
                          </w:p>
                          <w:p w:rsidR="005E3CCE" w:rsidRPr="005E3CCE" w:rsidRDefault="005E3CCE" w:rsidP="007A61F8">
                            <w:pPr>
                              <w:spacing w:line="276" w:lineRule="auto"/>
                              <w:jc w:val="right"/>
                              <w:rPr>
                                <w:rFonts w:ascii="Calibri" w:hAnsi="Calibri"/>
                                <w:color w:val="FFFFFF"/>
                                <w:sz w:val="22"/>
                                <w:lang w:val="es-ES"/>
                              </w:rPr>
                            </w:pPr>
                            <w:r w:rsidRPr="005E3CCE">
                              <w:rPr>
                                <w:rFonts w:ascii="Calibri" w:hAnsi="Calibri"/>
                                <w:color w:val="FFFFFF"/>
                                <w:sz w:val="22"/>
                                <w:lang w:val="es-ES"/>
                              </w:rPr>
                              <w:t>Doc. 28</w:t>
                            </w:r>
                          </w:p>
                          <w:p w:rsidR="005E3CCE" w:rsidRPr="00C85041" w:rsidRDefault="005E3CCE" w:rsidP="007A61F8">
                            <w:pPr>
                              <w:spacing w:line="276" w:lineRule="auto"/>
                              <w:jc w:val="right"/>
                              <w:rPr>
                                <w:rFonts w:ascii="Calibri" w:hAnsi="Calibri"/>
                                <w:color w:val="FFFFFF"/>
                                <w:sz w:val="22"/>
                                <w:lang w:val="es-ES"/>
                              </w:rPr>
                            </w:pPr>
                            <w:r>
                              <w:rPr>
                                <w:rFonts w:ascii="Calibri" w:hAnsi="Calibri"/>
                                <w:color w:val="FFFFFF"/>
                                <w:sz w:val="22"/>
                                <w:lang w:val="es-ES"/>
                              </w:rPr>
                              <w:t>18 de marzo de</w:t>
                            </w:r>
                            <w:r w:rsidRPr="00C85041">
                              <w:rPr>
                                <w:rFonts w:ascii="Calibri" w:hAnsi="Calibri"/>
                                <w:color w:val="FFFFFF"/>
                                <w:sz w:val="22"/>
                                <w:lang w:val="es-ES"/>
                              </w:rPr>
                              <w:t xml:space="preserve"> 201</w:t>
                            </w:r>
                            <w:r>
                              <w:rPr>
                                <w:rFonts w:ascii="Calibri" w:hAnsi="Calibri"/>
                                <w:color w:val="FFFFFF"/>
                                <w:sz w:val="22"/>
                                <w:lang w:val="es-ES"/>
                              </w:rPr>
                              <w:t>7</w:t>
                            </w:r>
                          </w:p>
                          <w:p w:rsidR="005E3CCE" w:rsidRPr="00C85041" w:rsidRDefault="005E3CCE" w:rsidP="007A61F8">
                            <w:pPr>
                              <w:spacing w:line="276" w:lineRule="auto"/>
                              <w:jc w:val="right"/>
                              <w:rPr>
                                <w:rFonts w:ascii="Calibri" w:hAnsi="Calibri"/>
                                <w:color w:val="FFFFFF"/>
                                <w:sz w:val="22"/>
                                <w:lang w:val="es-ES"/>
                              </w:rPr>
                            </w:pPr>
                            <w:r w:rsidRPr="00C85041">
                              <w:rPr>
                                <w:rFonts w:ascii="Calibri" w:hAnsi="Calibri"/>
                                <w:color w:val="FFFFFF"/>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" filled="f" stroked="f" strokeweight=".5pt">
                <v:path arrowok="t"/>
                <v:textbox>
                  <w:txbxContent>
                    <w:p w:rsidR="005E3CCE" w:rsidRPr="00EE3118" w:rsidRDefault="005E3CCE" w:rsidP="007A61F8">
                      <w:pPr>
                        <w:spacing w:line="276" w:lineRule="auto"/>
                        <w:jc w:val="right"/>
                        <w:rPr>
                          <w:rFonts w:ascii="Calibri" w:hAnsi="Calibri"/>
                          <w:color w:val="FFFFFF"/>
                          <w:sz w:val="22"/>
                          <w:lang w:val="pt-BR"/>
                        </w:rPr>
                      </w:pPr>
                      <w:r w:rsidRPr="00EE3118">
                        <w:rPr>
                          <w:rFonts w:ascii="Calibri" w:hAnsi="Calibri"/>
                          <w:color w:val="FFFFFF"/>
                          <w:sz w:val="22"/>
                          <w:lang w:val="pt-BR"/>
                        </w:rPr>
                        <w:t>OEA/Ser.L/V/II.</w:t>
                      </w:r>
                      <w:r>
                        <w:rPr>
                          <w:rFonts w:ascii="Calibri" w:hAnsi="Calibri"/>
                          <w:color w:val="FFFFFF"/>
                          <w:sz w:val="22"/>
                          <w:lang w:val="pt-BR"/>
                        </w:rPr>
                        <w:t>161</w:t>
                      </w:r>
                    </w:p>
                    <w:p w:rsidR="005E3CCE" w:rsidRPr="005E3CCE" w:rsidRDefault="005E3CCE" w:rsidP="007A61F8">
                      <w:pPr>
                        <w:spacing w:line="276" w:lineRule="auto"/>
                        <w:jc w:val="right"/>
                        <w:rPr>
                          <w:rFonts w:ascii="Calibri" w:hAnsi="Calibri"/>
                          <w:color w:val="FFFFFF"/>
                          <w:sz w:val="22"/>
                          <w:lang w:val="es-ES"/>
                        </w:rPr>
                      </w:pPr>
                      <w:r w:rsidRPr="005E3CCE">
                        <w:rPr>
                          <w:rFonts w:ascii="Calibri" w:hAnsi="Calibri"/>
                          <w:color w:val="FFFFFF"/>
                          <w:sz w:val="22"/>
                          <w:lang w:val="es-ES"/>
                        </w:rPr>
                        <w:t>Doc. 28</w:t>
                      </w:r>
                    </w:p>
                    <w:p w:rsidR="005E3CCE" w:rsidRPr="00C85041" w:rsidRDefault="005E3CCE" w:rsidP="007A61F8">
                      <w:pPr>
                        <w:spacing w:line="276" w:lineRule="auto"/>
                        <w:jc w:val="right"/>
                        <w:rPr>
                          <w:rFonts w:ascii="Calibri" w:hAnsi="Calibri"/>
                          <w:color w:val="FFFFFF"/>
                          <w:sz w:val="22"/>
                          <w:lang w:val="es-ES"/>
                        </w:rPr>
                      </w:pPr>
                      <w:r>
                        <w:rPr>
                          <w:rFonts w:ascii="Calibri" w:hAnsi="Calibri"/>
                          <w:color w:val="FFFFFF"/>
                          <w:sz w:val="22"/>
                          <w:lang w:val="es-ES"/>
                        </w:rPr>
                        <w:t>18 de marzo de</w:t>
                      </w:r>
                      <w:r w:rsidRPr="00C85041">
                        <w:rPr>
                          <w:rFonts w:ascii="Calibri" w:hAnsi="Calibri"/>
                          <w:color w:val="FFFFFF"/>
                          <w:sz w:val="22"/>
                          <w:lang w:val="es-ES"/>
                        </w:rPr>
                        <w:t xml:space="preserve"> 201</w:t>
                      </w:r>
                      <w:r>
                        <w:rPr>
                          <w:rFonts w:ascii="Calibri" w:hAnsi="Calibri"/>
                          <w:color w:val="FFFFFF"/>
                          <w:sz w:val="22"/>
                          <w:lang w:val="es-ES"/>
                        </w:rPr>
                        <w:t>7</w:t>
                      </w:r>
                    </w:p>
                    <w:p w:rsidR="005E3CCE" w:rsidRPr="00C85041" w:rsidRDefault="005E3CCE" w:rsidP="007A61F8">
                      <w:pPr>
                        <w:spacing w:line="276" w:lineRule="auto"/>
                        <w:jc w:val="right"/>
                        <w:rPr>
                          <w:rFonts w:ascii="Calibri" w:hAnsi="Calibri"/>
                          <w:color w:val="FFFFFF"/>
                          <w:sz w:val="22"/>
                          <w:lang w:val="es-ES"/>
                        </w:rPr>
                      </w:pPr>
                      <w:r w:rsidRPr="00C85041">
                        <w:rPr>
                          <w:rFonts w:ascii="Calibri" w:hAnsi="Calibri"/>
                          <w:color w:val="FFFFFF"/>
                          <w:sz w:val="22"/>
                          <w:lang w:val="es-ES"/>
                        </w:rPr>
                        <w:t>Original: español</w:t>
                      </w:r>
                    </w:p>
                  </w:txbxContent>
                </v:textbox>
              </v:shape>
            </w:pict>
          </mc:Fallback>
        </mc:AlternateContent>
      </w:r>
    </w:p>
    <w:p w:rsidR="007A61F8" w:rsidRPr="00E57D5F" w:rsidRDefault="007A61F8" w:rsidP="007A61F8">
      <w:pPr>
        <w:tabs>
          <w:tab w:val="center" w:pos="5400"/>
        </w:tabs>
        <w:suppressAutoHyphens/>
        <w:ind w:firstLine="567"/>
        <w:jc w:val="center"/>
        <w:rPr>
          <w:rFonts w:ascii="Cambria" w:hAnsi="Cambria"/>
          <w:sz w:val="22"/>
          <w:szCs w:val="22"/>
          <w:lang w:val="es-ES_tradnl"/>
        </w:rPr>
      </w:pPr>
    </w:p>
    <w:p w:rsidR="007A61F8" w:rsidRPr="00E57D5F" w:rsidRDefault="007A61F8" w:rsidP="007A61F8">
      <w:pPr>
        <w:tabs>
          <w:tab w:val="center" w:pos="5400"/>
        </w:tabs>
        <w:suppressAutoHyphens/>
        <w:ind w:firstLine="567"/>
        <w:jc w:val="center"/>
        <w:rPr>
          <w:rFonts w:ascii="Cambria" w:hAnsi="Cambria"/>
          <w:sz w:val="22"/>
          <w:szCs w:val="22"/>
          <w:lang w:val="es-ES_tradnl"/>
        </w:rPr>
      </w:pPr>
    </w:p>
    <w:p w:rsidR="007A61F8" w:rsidRPr="00E57D5F" w:rsidRDefault="007A61F8" w:rsidP="007A61F8">
      <w:pPr>
        <w:tabs>
          <w:tab w:val="center" w:pos="5400"/>
        </w:tabs>
        <w:suppressAutoHyphens/>
        <w:ind w:firstLine="567"/>
        <w:jc w:val="center"/>
        <w:rPr>
          <w:rFonts w:ascii="Cambria" w:hAnsi="Cambria" w:cs="Arial"/>
          <w:sz w:val="22"/>
          <w:szCs w:val="22"/>
          <w:lang w:val="es-ES_tradnl"/>
        </w:rPr>
      </w:pPr>
    </w:p>
    <w:p w:rsidR="007A61F8" w:rsidRPr="00E57D5F" w:rsidRDefault="007A61F8" w:rsidP="007A61F8">
      <w:pPr>
        <w:tabs>
          <w:tab w:val="center" w:pos="5400"/>
        </w:tabs>
        <w:suppressAutoHyphens/>
        <w:ind w:firstLine="567"/>
        <w:jc w:val="center"/>
        <w:rPr>
          <w:rFonts w:ascii="Cambria" w:hAnsi="Cambria"/>
          <w:sz w:val="22"/>
          <w:szCs w:val="22"/>
          <w:lang w:val="es-ES_tradnl"/>
        </w:rPr>
      </w:pPr>
    </w:p>
    <w:p w:rsidR="007A61F8" w:rsidRPr="00E57D5F" w:rsidRDefault="007A61F8" w:rsidP="007A61F8">
      <w:pPr>
        <w:tabs>
          <w:tab w:val="center" w:pos="5400"/>
        </w:tabs>
        <w:suppressAutoHyphens/>
        <w:ind w:firstLine="567"/>
        <w:jc w:val="center"/>
        <w:rPr>
          <w:rFonts w:ascii="Cambria" w:hAnsi="Cambria"/>
          <w:sz w:val="22"/>
          <w:szCs w:val="22"/>
          <w:lang w:val="es-ES_tradnl"/>
        </w:rPr>
      </w:pPr>
    </w:p>
    <w:p w:rsidR="007A61F8" w:rsidRPr="00E57D5F" w:rsidRDefault="007A61F8" w:rsidP="007A61F8">
      <w:pPr>
        <w:tabs>
          <w:tab w:val="center" w:pos="5400"/>
        </w:tabs>
        <w:suppressAutoHyphens/>
        <w:ind w:firstLine="567"/>
        <w:jc w:val="center"/>
        <w:rPr>
          <w:rFonts w:ascii="Cambria" w:hAnsi="Cambria"/>
          <w:sz w:val="22"/>
          <w:szCs w:val="22"/>
          <w:lang w:val="es-ES_tradnl"/>
        </w:rPr>
      </w:pPr>
    </w:p>
    <w:p w:rsidR="007A61F8" w:rsidRPr="00E57D5F" w:rsidRDefault="007A61F8" w:rsidP="007A61F8">
      <w:pPr>
        <w:tabs>
          <w:tab w:val="center" w:pos="5400"/>
        </w:tabs>
        <w:suppressAutoHyphens/>
        <w:ind w:firstLine="567"/>
        <w:jc w:val="center"/>
        <w:rPr>
          <w:rFonts w:ascii="Cambria" w:hAnsi="Cambria"/>
          <w:sz w:val="22"/>
          <w:szCs w:val="22"/>
          <w:lang w:val="es-ES_tradnl"/>
        </w:rPr>
      </w:pPr>
    </w:p>
    <w:p w:rsidR="007A61F8" w:rsidRPr="00E57D5F" w:rsidRDefault="007A61F8" w:rsidP="007A61F8">
      <w:pPr>
        <w:tabs>
          <w:tab w:val="center" w:pos="5400"/>
        </w:tabs>
        <w:suppressAutoHyphens/>
        <w:ind w:firstLine="567"/>
        <w:jc w:val="center"/>
        <w:rPr>
          <w:rFonts w:ascii="Cambria" w:hAnsi="Cambria"/>
          <w:sz w:val="22"/>
          <w:szCs w:val="22"/>
          <w:lang w:val="es-ES_tradnl"/>
        </w:rPr>
      </w:pPr>
    </w:p>
    <w:p w:rsidR="007A61F8" w:rsidRPr="00E57D5F" w:rsidRDefault="007A61F8" w:rsidP="007A61F8">
      <w:pPr>
        <w:tabs>
          <w:tab w:val="center" w:pos="5400"/>
        </w:tabs>
        <w:suppressAutoHyphens/>
        <w:ind w:firstLine="567"/>
        <w:jc w:val="center"/>
        <w:rPr>
          <w:rFonts w:ascii="Cambria" w:hAnsi="Cambria"/>
          <w:sz w:val="22"/>
          <w:szCs w:val="22"/>
          <w:lang w:val="es-ES_tradnl"/>
        </w:rPr>
      </w:pPr>
    </w:p>
    <w:p w:rsidR="007A61F8" w:rsidRPr="00E57D5F" w:rsidRDefault="007A61F8" w:rsidP="007A61F8">
      <w:pPr>
        <w:tabs>
          <w:tab w:val="center" w:pos="5400"/>
        </w:tabs>
        <w:suppressAutoHyphens/>
        <w:ind w:firstLine="567"/>
        <w:jc w:val="center"/>
        <w:rPr>
          <w:rFonts w:ascii="Cambria" w:hAnsi="Cambria"/>
          <w:sz w:val="22"/>
          <w:szCs w:val="22"/>
          <w:lang w:val="es-ES_tradnl"/>
        </w:rPr>
      </w:pPr>
    </w:p>
    <w:p w:rsidR="007A61F8" w:rsidRPr="00E57D5F" w:rsidRDefault="007A61F8" w:rsidP="007A61F8">
      <w:pPr>
        <w:tabs>
          <w:tab w:val="center" w:pos="5400"/>
        </w:tabs>
        <w:suppressAutoHyphens/>
        <w:ind w:firstLine="567"/>
        <w:jc w:val="center"/>
        <w:rPr>
          <w:rFonts w:ascii="Cambria" w:hAnsi="Cambria"/>
          <w:sz w:val="22"/>
          <w:szCs w:val="22"/>
          <w:lang w:val="es-ES_tradnl"/>
        </w:rPr>
      </w:pPr>
    </w:p>
    <w:p w:rsidR="007A61F8" w:rsidRPr="00E57D5F" w:rsidRDefault="007A61F8" w:rsidP="007A61F8">
      <w:pPr>
        <w:tabs>
          <w:tab w:val="center" w:pos="5400"/>
        </w:tabs>
        <w:suppressAutoHyphens/>
        <w:ind w:firstLine="567"/>
        <w:jc w:val="center"/>
        <w:rPr>
          <w:rFonts w:ascii="Cambria" w:hAnsi="Cambria"/>
          <w:sz w:val="22"/>
          <w:szCs w:val="22"/>
          <w:lang w:val="es-ES_tradnl"/>
        </w:rPr>
      </w:pPr>
    </w:p>
    <w:p w:rsidR="007A61F8" w:rsidRPr="00E57D5F" w:rsidRDefault="007A61F8" w:rsidP="007A61F8">
      <w:pPr>
        <w:tabs>
          <w:tab w:val="center" w:pos="5400"/>
        </w:tabs>
        <w:suppressAutoHyphens/>
        <w:ind w:firstLine="567"/>
        <w:jc w:val="center"/>
        <w:rPr>
          <w:rFonts w:ascii="Cambria" w:hAnsi="Cambria"/>
          <w:sz w:val="22"/>
          <w:szCs w:val="22"/>
          <w:lang w:val="es-ES_tradnl"/>
        </w:rPr>
      </w:pPr>
    </w:p>
    <w:p w:rsidR="007A61F8" w:rsidRPr="00E57D5F" w:rsidRDefault="007A61F8" w:rsidP="007A61F8">
      <w:pPr>
        <w:tabs>
          <w:tab w:val="center" w:pos="5400"/>
        </w:tabs>
        <w:suppressAutoHyphens/>
        <w:ind w:firstLine="567"/>
        <w:jc w:val="center"/>
        <w:rPr>
          <w:rFonts w:ascii="Cambria" w:hAnsi="Cambria"/>
          <w:sz w:val="22"/>
          <w:szCs w:val="22"/>
          <w:lang w:val="es-ES_tradnl"/>
        </w:rPr>
      </w:pPr>
    </w:p>
    <w:p w:rsidR="007A61F8" w:rsidRPr="00E57D5F" w:rsidRDefault="007A61F8" w:rsidP="007A61F8">
      <w:pPr>
        <w:tabs>
          <w:tab w:val="center" w:pos="5400"/>
        </w:tabs>
        <w:suppressAutoHyphens/>
        <w:ind w:firstLine="567"/>
        <w:jc w:val="center"/>
        <w:rPr>
          <w:rFonts w:ascii="Cambria" w:hAnsi="Cambria"/>
          <w:sz w:val="18"/>
          <w:szCs w:val="22"/>
          <w:lang w:val="es-ES_tradnl"/>
        </w:rPr>
      </w:pPr>
    </w:p>
    <w:p w:rsidR="007A61F8" w:rsidRPr="00E57D5F" w:rsidRDefault="007A61F8" w:rsidP="007A61F8">
      <w:pPr>
        <w:tabs>
          <w:tab w:val="center" w:pos="5400"/>
        </w:tabs>
        <w:suppressAutoHyphens/>
        <w:ind w:firstLine="567"/>
        <w:jc w:val="center"/>
        <w:rPr>
          <w:rFonts w:ascii="Cambria" w:hAnsi="Cambria"/>
          <w:sz w:val="18"/>
          <w:szCs w:val="22"/>
          <w:lang w:val="es-ES_tradnl"/>
        </w:rPr>
      </w:pPr>
    </w:p>
    <w:p w:rsidR="007A61F8" w:rsidRPr="00E57D5F" w:rsidRDefault="007A61F8" w:rsidP="007A61F8">
      <w:pPr>
        <w:tabs>
          <w:tab w:val="center" w:pos="5400"/>
        </w:tabs>
        <w:suppressAutoHyphens/>
        <w:ind w:firstLine="567"/>
        <w:jc w:val="center"/>
        <w:rPr>
          <w:rFonts w:ascii="Cambria" w:hAnsi="Cambria"/>
          <w:sz w:val="18"/>
          <w:szCs w:val="22"/>
          <w:lang w:val="es-ES_tradnl"/>
        </w:rPr>
      </w:pPr>
    </w:p>
    <w:p w:rsidR="007A61F8" w:rsidRPr="00E57D5F" w:rsidRDefault="007A61F8" w:rsidP="007A61F8">
      <w:pPr>
        <w:tabs>
          <w:tab w:val="center" w:pos="5400"/>
        </w:tabs>
        <w:suppressAutoHyphens/>
        <w:ind w:firstLine="567"/>
        <w:jc w:val="center"/>
        <w:rPr>
          <w:rFonts w:ascii="Cambria" w:hAnsi="Cambria"/>
          <w:sz w:val="18"/>
          <w:szCs w:val="22"/>
          <w:lang w:val="es-ES_tradnl"/>
        </w:rPr>
      </w:pPr>
    </w:p>
    <w:p w:rsidR="007A61F8" w:rsidRPr="00E57D5F" w:rsidRDefault="007A61F8" w:rsidP="007A61F8">
      <w:pPr>
        <w:tabs>
          <w:tab w:val="center" w:pos="5400"/>
        </w:tabs>
        <w:suppressAutoHyphens/>
        <w:ind w:firstLine="567"/>
        <w:jc w:val="center"/>
        <w:rPr>
          <w:rFonts w:ascii="Cambria" w:hAnsi="Cambria"/>
          <w:sz w:val="18"/>
          <w:szCs w:val="22"/>
          <w:lang w:val="es-ES_tradnl"/>
        </w:rPr>
      </w:pPr>
    </w:p>
    <w:p w:rsidR="007A61F8" w:rsidRPr="00E57D5F" w:rsidRDefault="007A61F8" w:rsidP="007A61F8">
      <w:pPr>
        <w:tabs>
          <w:tab w:val="center" w:pos="5400"/>
        </w:tabs>
        <w:suppressAutoHyphens/>
        <w:ind w:firstLine="567"/>
        <w:jc w:val="center"/>
        <w:rPr>
          <w:rFonts w:ascii="Cambria" w:hAnsi="Cambria"/>
          <w:sz w:val="18"/>
          <w:szCs w:val="22"/>
          <w:lang w:val="es-ES_tradnl"/>
        </w:rPr>
      </w:pPr>
    </w:p>
    <w:p w:rsidR="007A61F8" w:rsidRPr="00E57D5F" w:rsidRDefault="007A61F8" w:rsidP="007A61F8">
      <w:pPr>
        <w:tabs>
          <w:tab w:val="center" w:pos="5400"/>
        </w:tabs>
        <w:suppressAutoHyphens/>
        <w:ind w:firstLine="567"/>
        <w:jc w:val="center"/>
        <w:rPr>
          <w:rFonts w:ascii="Cambria" w:hAnsi="Cambria"/>
          <w:sz w:val="18"/>
          <w:szCs w:val="22"/>
          <w:lang w:val="es-ES_tradnl"/>
        </w:rPr>
      </w:pPr>
    </w:p>
    <w:p w:rsidR="007A61F8" w:rsidRPr="00E57D5F" w:rsidRDefault="007A61F8" w:rsidP="007A61F8">
      <w:pPr>
        <w:tabs>
          <w:tab w:val="center" w:pos="5400"/>
        </w:tabs>
        <w:suppressAutoHyphens/>
        <w:ind w:firstLine="567"/>
        <w:jc w:val="center"/>
        <w:rPr>
          <w:rFonts w:ascii="Cambria" w:hAnsi="Cambria"/>
          <w:sz w:val="18"/>
          <w:szCs w:val="22"/>
          <w:lang w:val="es-ES_tradnl"/>
        </w:rPr>
      </w:pPr>
    </w:p>
    <w:p w:rsidR="007A61F8" w:rsidRPr="00E57D5F" w:rsidRDefault="007A61F8" w:rsidP="007A61F8">
      <w:pPr>
        <w:tabs>
          <w:tab w:val="center" w:pos="5400"/>
        </w:tabs>
        <w:suppressAutoHyphens/>
        <w:ind w:firstLine="567"/>
        <w:jc w:val="center"/>
        <w:rPr>
          <w:rFonts w:ascii="Cambria" w:hAnsi="Cambria"/>
          <w:sz w:val="18"/>
          <w:szCs w:val="22"/>
          <w:lang w:val="es-ES_tradnl"/>
        </w:rPr>
      </w:pPr>
    </w:p>
    <w:p w:rsidR="007A61F8" w:rsidRPr="00E57D5F" w:rsidRDefault="007A61F8" w:rsidP="007A61F8">
      <w:pPr>
        <w:tabs>
          <w:tab w:val="center" w:pos="5400"/>
        </w:tabs>
        <w:suppressAutoHyphens/>
        <w:ind w:firstLine="567"/>
        <w:jc w:val="center"/>
        <w:rPr>
          <w:rFonts w:ascii="Cambria" w:hAnsi="Cambria"/>
          <w:sz w:val="18"/>
          <w:szCs w:val="22"/>
          <w:lang w:val="es-ES_tradnl"/>
        </w:rPr>
      </w:pPr>
    </w:p>
    <w:p w:rsidR="007A61F8" w:rsidRPr="00E57D5F" w:rsidRDefault="007A61F8" w:rsidP="007A61F8">
      <w:pPr>
        <w:tabs>
          <w:tab w:val="center" w:pos="5400"/>
        </w:tabs>
        <w:suppressAutoHyphens/>
        <w:ind w:firstLine="567"/>
        <w:jc w:val="center"/>
        <w:rPr>
          <w:rFonts w:ascii="Cambria" w:hAnsi="Cambria"/>
          <w:sz w:val="18"/>
          <w:szCs w:val="22"/>
          <w:lang w:val="es-ES_tradnl"/>
        </w:rPr>
      </w:pPr>
    </w:p>
    <w:p w:rsidR="007A61F8" w:rsidRPr="00E57D5F" w:rsidRDefault="007A61F8" w:rsidP="007A61F8">
      <w:pPr>
        <w:tabs>
          <w:tab w:val="center" w:pos="5400"/>
        </w:tabs>
        <w:suppressAutoHyphens/>
        <w:ind w:firstLine="567"/>
        <w:jc w:val="center"/>
        <w:rPr>
          <w:rFonts w:ascii="Cambria" w:hAnsi="Cambria"/>
          <w:sz w:val="18"/>
          <w:szCs w:val="22"/>
          <w:lang w:val="es-ES_tradnl"/>
        </w:rPr>
      </w:pPr>
    </w:p>
    <w:p w:rsidR="007A61F8" w:rsidRPr="00E57D5F" w:rsidRDefault="007A61F8" w:rsidP="007A61F8">
      <w:pPr>
        <w:tabs>
          <w:tab w:val="center" w:pos="5400"/>
        </w:tabs>
        <w:suppressAutoHyphens/>
        <w:ind w:firstLine="567"/>
        <w:jc w:val="center"/>
        <w:rPr>
          <w:rFonts w:ascii="Cambria" w:hAnsi="Cambria"/>
          <w:sz w:val="18"/>
          <w:szCs w:val="22"/>
          <w:lang w:val="es-ES_tradnl"/>
        </w:rPr>
      </w:pPr>
    </w:p>
    <w:p w:rsidR="007A61F8" w:rsidRPr="00E57D5F" w:rsidRDefault="007A61F8" w:rsidP="007A61F8">
      <w:pPr>
        <w:tabs>
          <w:tab w:val="center" w:pos="5400"/>
        </w:tabs>
        <w:suppressAutoHyphens/>
        <w:ind w:firstLine="567"/>
        <w:jc w:val="center"/>
        <w:rPr>
          <w:rFonts w:ascii="Cambria" w:hAnsi="Cambria"/>
          <w:sz w:val="18"/>
          <w:szCs w:val="22"/>
          <w:lang w:val="es-ES_tradnl"/>
        </w:rPr>
      </w:pPr>
    </w:p>
    <w:p w:rsidR="007A61F8" w:rsidRPr="00E57D5F" w:rsidRDefault="007A61F8" w:rsidP="007A61F8">
      <w:pPr>
        <w:tabs>
          <w:tab w:val="center" w:pos="5400"/>
        </w:tabs>
        <w:suppressAutoHyphens/>
        <w:ind w:firstLine="567"/>
        <w:jc w:val="center"/>
        <w:rPr>
          <w:rFonts w:ascii="Cambria" w:hAnsi="Cambria"/>
          <w:sz w:val="18"/>
          <w:szCs w:val="22"/>
          <w:lang w:val="es-ES_tradnl"/>
        </w:rPr>
      </w:pPr>
      <w:r w:rsidRPr="00E57D5F">
        <w:rPr>
          <w:noProof/>
          <w:lang w:val="es-ES" w:eastAsia="es-ES"/>
        </w:rPr>
        <mc:AlternateContent>
          <mc:Choice Requires="wps">
            <w:drawing>
              <wp:anchor distT="0" distB="0" distL="114300" distR="114300" simplePos="0" relativeHeight="251661312" behindDoc="0" locked="0" layoutInCell="1" allowOverlap="1" wp14:anchorId="639188E6" wp14:editId="613DDA5C">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txbx>
                        <w:txbxContent>
                          <w:p w:rsidR="005E3CCE" w:rsidRPr="00DB43BD" w:rsidRDefault="005E3CCE" w:rsidP="007A61F8">
                            <w:pPr>
                              <w:tabs>
                                <w:tab w:val="center" w:pos="5400"/>
                              </w:tabs>
                              <w:suppressAutoHyphens/>
                              <w:spacing w:before="60"/>
                              <w:jc w:val="both"/>
                              <w:rPr>
                                <w:rFonts w:ascii="Cambria" w:hAnsi="Cambria" w:cs="Univers"/>
                                <w:color w:val="0D0D0D"/>
                                <w:sz w:val="18"/>
                                <w:szCs w:val="20"/>
                                <w:lang w:val="es-ES_tradnl"/>
                              </w:rPr>
                            </w:pPr>
                            <w:r w:rsidRPr="00DB43BD">
                              <w:rPr>
                                <w:rFonts w:ascii="Cambria" w:hAnsi="Cambria"/>
                                <w:color w:val="0D0D0D"/>
                                <w:sz w:val="18"/>
                                <w:szCs w:val="20"/>
                                <w:lang w:val="es-ES"/>
                              </w:rPr>
                              <w:t xml:space="preserve">Aprobado por la Comisión en su sesión No. </w:t>
                            </w:r>
                            <w:r>
                              <w:rPr>
                                <w:rFonts w:ascii="Cambria" w:hAnsi="Cambria"/>
                                <w:color w:val="0D0D0D"/>
                                <w:sz w:val="18"/>
                                <w:szCs w:val="20"/>
                                <w:lang w:val="es-ES"/>
                              </w:rPr>
                              <w:t>2077</w:t>
                            </w:r>
                            <w:r w:rsidRPr="00DB43BD">
                              <w:rPr>
                                <w:rFonts w:ascii="Cambria" w:hAnsi="Cambria"/>
                                <w:color w:val="0D0D0D"/>
                                <w:sz w:val="18"/>
                                <w:szCs w:val="20"/>
                                <w:lang w:val="es-ES"/>
                              </w:rPr>
                              <w:t xml:space="preserve"> celebrada el </w:t>
                            </w:r>
                            <w:r>
                              <w:rPr>
                                <w:rFonts w:ascii="Cambria" w:hAnsi="Cambria"/>
                                <w:color w:val="0D0D0D"/>
                                <w:sz w:val="18"/>
                                <w:szCs w:val="20"/>
                                <w:lang w:val="es-ES"/>
                              </w:rPr>
                              <w:t>18 de marzo de 2017</w:t>
                            </w:r>
                            <w:r w:rsidRPr="00DB43BD">
                              <w:rPr>
                                <w:rFonts w:ascii="Cambria" w:hAnsi="Cambria"/>
                                <w:color w:val="0D0D0D"/>
                                <w:sz w:val="18"/>
                                <w:szCs w:val="20"/>
                                <w:lang w:val="es-ES"/>
                              </w:rPr>
                              <w:br/>
                            </w:r>
                            <w:r>
                              <w:rPr>
                                <w:rFonts w:ascii="Cambria" w:hAnsi="Cambria" w:cs="Univers"/>
                                <w:color w:val="0D0D0D"/>
                                <w:sz w:val="18"/>
                                <w:szCs w:val="20"/>
                                <w:lang w:val="es-ES_tradnl"/>
                              </w:rPr>
                              <w:t>161º</w:t>
                            </w:r>
                            <w:r w:rsidRPr="00DB43BD">
                              <w:rPr>
                                <w:rFonts w:ascii="Cambria" w:hAnsi="Cambria" w:cs="Univers"/>
                                <w:color w:val="0D0D0D"/>
                                <w:sz w:val="18"/>
                                <w:szCs w:val="20"/>
                                <w:lang w:val="es-ES_tradnl"/>
                              </w:rPr>
                              <w:t xml:space="preserve"> período ordinario de sesiones</w:t>
                            </w:r>
                          </w:p>
                          <w:p w:rsidR="005E3CCE" w:rsidRPr="00DB43BD" w:rsidRDefault="005E3CCE" w:rsidP="007A61F8">
                            <w:pPr>
                              <w:tabs>
                                <w:tab w:val="center" w:pos="5400"/>
                              </w:tabs>
                              <w:suppressAutoHyphens/>
                              <w:spacing w:before="60"/>
                              <w:rPr>
                                <w:rFonts w:ascii="Calibri" w:hAnsi="Calibri" w:cs="Univers"/>
                                <w:color w:val="0D0D0D"/>
                                <w:sz w:val="20"/>
                                <w:szCs w:val="20"/>
                                <w:lang w:val="es-ES"/>
                              </w:rPr>
                            </w:pPr>
                          </w:p>
                          <w:p w:rsidR="005E3CCE" w:rsidRPr="00DB43BD" w:rsidRDefault="005E3CCE" w:rsidP="007A61F8">
                            <w:pP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" filled="f" stroked="f" strokeweight=".5pt">
                <v:path arrowok="t"/>
                <v:textbox>
                  <w:txbxContent>
                    <w:p w:rsidR="005E3CCE" w:rsidRPr="00DB43BD" w:rsidRDefault="005E3CCE" w:rsidP="007A61F8">
                      <w:pPr>
                        <w:tabs>
                          <w:tab w:val="center" w:pos="5400"/>
                        </w:tabs>
                        <w:suppressAutoHyphens/>
                        <w:spacing w:before="60"/>
                        <w:jc w:val="both"/>
                        <w:rPr>
                          <w:rFonts w:ascii="Cambria" w:hAnsi="Cambria" w:cs="Univers"/>
                          <w:color w:val="0D0D0D"/>
                          <w:sz w:val="18"/>
                          <w:szCs w:val="20"/>
                          <w:lang w:val="es-ES_tradnl"/>
                        </w:rPr>
                      </w:pPr>
                      <w:r w:rsidRPr="00DB43BD">
                        <w:rPr>
                          <w:rFonts w:ascii="Cambria" w:hAnsi="Cambria"/>
                          <w:color w:val="0D0D0D"/>
                          <w:sz w:val="18"/>
                          <w:szCs w:val="20"/>
                          <w:lang w:val="es-ES"/>
                        </w:rPr>
                        <w:t xml:space="preserve">Aprobado por la Comisión en su sesión No. </w:t>
                      </w:r>
                      <w:r>
                        <w:rPr>
                          <w:rFonts w:ascii="Cambria" w:hAnsi="Cambria"/>
                          <w:color w:val="0D0D0D"/>
                          <w:sz w:val="18"/>
                          <w:szCs w:val="20"/>
                          <w:lang w:val="es-ES"/>
                        </w:rPr>
                        <w:t>2077</w:t>
                      </w:r>
                      <w:r w:rsidRPr="00DB43BD">
                        <w:rPr>
                          <w:rFonts w:ascii="Cambria" w:hAnsi="Cambria"/>
                          <w:color w:val="0D0D0D"/>
                          <w:sz w:val="18"/>
                          <w:szCs w:val="20"/>
                          <w:lang w:val="es-ES"/>
                        </w:rPr>
                        <w:t xml:space="preserve"> celebrada el </w:t>
                      </w:r>
                      <w:r>
                        <w:rPr>
                          <w:rFonts w:ascii="Cambria" w:hAnsi="Cambria"/>
                          <w:color w:val="0D0D0D"/>
                          <w:sz w:val="18"/>
                          <w:szCs w:val="20"/>
                          <w:lang w:val="es-ES"/>
                        </w:rPr>
                        <w:t>18 de marzo de 2017</w:t>
                      </w:r>
                      <w:r w:rsidRPr="00DB43BD">
                        <w:rPr>
                          <w:rFonts w:ascii="Cambria" w:hAnsi="Cambria"/>
                          <w:color w:val="0D0D0D"/>
                          <w:sz w:val="18"/>
                          <w:szCs w:val="20"/>
                          <w:lang w:val="es-ES"/>
                        </w:rPr>
                        <w:br/>
                      </w:r>
                      <w:r>
                        <w:rPr>
                          <w:rFonts w:ascii="Cambria" w:hAnsi="Cambria" w:cs="Univers"/>
                          <w:color w:val="0D0D0D"/>
                          <w:sz w:val="18"/>
                          <w:szCs w:val="20"/>
                          <w:lang w:val="es-ES_tradnl"/>
                        </w:rPr>
                        <w:t>161º</w:t>
                      </w:r>
                      <w:r w:rsidRPr="00DB43BD">
                        <w:rPr>
                          <w:rFonts w:ascii="Cambria" w:hAnsi="Cambria" w:cs="Univers"/>
                          <w:color w:val="0D0D0D"/>
                          <w:sz w:val="18"/>
                          <w:szCs w:val="20"/>
                          <w:lang w:val="es-ES_tradnl"/>
                        </w:rPr>
                        <w:t xml:space="preserve"> período ordinario de sesiones</w:t>
                      </w:r>
                    </w:p>
                    <w:p w:rsidR="005E3CCE" w:rsidRPr="00DB43BD" w:rsidRDefault="005E3CCE" w:rsidP="007A61F8">
                      <w:pPr>
                        <w:tabs>
                          <w:tab w:val="center" w:pos="5400"/>
                        </w:tabs>
                        <w:suppressAutoHyphens/>
                        <w:spacing w:before="60"/>
                        <w:rPr>
                          <w:rFonts w:ascii="Calibri" w:hAnsi="Calibri" w:cs="Univers"/>
                          <w:color w:val="0D0D0D"/>
                          <w:sz w:val="20"/>
                          <w:szCs w:val="20"/>
                          <w:lang w:val="es-ES"/>
                        </w:rPr>
                      </w:pPr>
                    </w:p>
                    <w:p w:rsidR="005E3CCE" w:rsidRPr="00DB43BD" w:rsidRDefault="005E3CCE" w:rsidP="007A61F8">
                      <w:pPr>
                        <w:tabs>
                          <w:tab w:val="center" w:pos="5400"/>
                        </w:tabs>
                        <w:suppressAutoHyphens/>
                        <w:spacing w:before="60"/>
                        <w:rPr>
                          <w:rFonts w:ascii="Calibri" w:hAnsi="Calibri"/>
                          <w:color w:val="FFFFFF"/>
                          <w:spacing w:val="-2"/>
                          <w:sz w:val="16"/>
                          <w:lang w:val="es-ES"/>
                        </w:rPr>
                      </w:pPr>
                    </w:p>
                  </w:txbxContent>
                </v:textbox>
              </v:shape>
            </w:pict>
          </mc:Fallback>
        </mc:AlternateContent>
      </w:r>
    </w:p>
    <w:p w:rsidR="007A61F8" w:rsidRPr="00E57D5F" w:rsidRDefault="007A61F8" w:rsidP="007A61F8">
      <w:pPr>
        <w:tabs>
          <w:tab w:val="center" w:pos="5400"/>
        </w:tabs>
        <w:suppressAutoHyphens/>
        <w:ind w:firstLine="567"/>
        <w:jc w:val="center"/>
        <w:rPr>
          <w:rFonts w:ascii="Cambria" w:hAnsi="Cambria"/>
          <w:sz w:val="18"/>
          <w:szCs w:val="22"/>
          <w:lang w:val="es-ES_tradnl"/>
        </w:rPr>
      </w:pPr>
    </w:p>
    <w:p w:rsidR="007A61F8" w:rsidRPr="00E57D5F" w:rsidRDefault="007A61F8" w:rsidP="007A61F8">
      <w:pPr>
        <w:tabs>
          <w:tab w:val="center" w:pos="5400"/>
        </w:tabs>
        <w:suppressAutoHyphens/>
        <w:ind w:firstLine="567"/>
        <w:jc w:val="center"/>
        <w:rPr>
          <w:rFonts w:ascii="Cambria" w:hAnsi="Cambria"/>
          <w:sz w:val="18"/>
          <w:szCs w:val="22"/>
          <w:lang w:val="es-ES_tradnl"/>
        </w:rPr>
      </w:pPr>
    </w:p>
    <w:p w:rsidR="007A61F8" w:rsidRPr="00E57D5F" w:rsidRDefault="007A61F8" w:rsidP="007A61F8">
      <w:pPr>
        <w:tabs>
          <w:tab w:val="center" w:pos="5400"/>
        </w:tabs>
        <w:suppressAutoHyphens/>
        <w:ind w:firstLine="567"/>
        <w:jc w:val="center"/>
        <w:rPr>
          <w:rFonts w:ascii="Cambria" w:hAnsi="Cambria"/>
          <w:sz w:val="18"/>
          <w:szCs w:val="22"/>
          <w:lang w:val="es-ES_tradnl"/>
        </w:rPr>
      </w:pPr>
    </w:p>
    <w:p w:rsidR="007A61F8" w:rsidRPr="00E57D5F" w:rsidRDefault="007A61F8" w:rsidP="007A61F8">
      <w:pPr>
        <w:tabs>
          <w:tab w:val="center" w:pos="5400"/>
        </w:tabs>
        <w:suppressAutoHyphens/>
        <w:ind w:firstLine="567"/>
        <w:jc w:val="center"/>
        <w:rPr>
          <w:rFonts w:ascii="Cambria" w:hAnsi="Cambria"/>
          <w:sz w:val="18"/>
          <w:szCs w:val="22"/>
          <w:lang w:val="es-ES_tradnl"/>
        </w:rPr>
      </w:pPr>
    </w:p>
    <w:p w:rsidR="007A61F8" w:rsidRPr="00E57D5F" w:rsidRDefault="007A61F8" w:rsidP="007A61F8">
      <w:pPr>
        <w:tabs>
          <w:tab w:val="center" w:pos="5400"/>
        </w:tabs>
        <w:suppressAutoHyphens/>
        <w:ind w:firstLine="567"/>
        <w:jc w:val="center"/>
        <w:rPr>
          <w:rFonts w:ascii="Cambria" w:hAnsi="Cambria"/>
          <w:sz w:val="18"/>
          <w:szCs w:val="22"/>
          <w:lang w:val="es-ES_tradnl"/>
        </w:rPr>
      </w:pPr>
      <w:r w:rsidRPr="00E57D5F">
        <w:rPr>
          <w:noProof/>
          <w:lang w:val="es-ES" w:eastAsia="es-ES"/>
        </w:rPr>
        <mc:AlternateContent>
          <mc:Choice Requires="wps">
            <w:drawing>
              <wp:anchor distT="0" distB="0" distL="114300" distR="114300" simplePos="0" relativeHeight="251664384" behindDoc="0" locked="0" layoutInCell="1" allowOverlap="1" wp14:anchorId="1CEEF076" wp14:editId="158BAE12">
                <wp:simplePos x="0" y="0"/>
                <wp:positionH relativeFrom="column">
                  <wp:posOffset>1333500</wp:posOffset>
                </wp:positionH>
                <wp:positionV relativeFrom="paragraph">
                  <wp:posOffset>5715</wp:posOffset>
                </wp:positionV>
                <wp:extent cx="4943475" cy="657225"/>
                <wp:effectExtent l="0" t="0" r="0"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txbx>
                        <w:txbxContent>
                          <w:p w:rsidR="005E3CCE" w:rsidRPr="00D21B8F" w:rsidRDefault="005E3CCE" w:rsidP="007A61F8">
                            <w:pPr>
                              <w:spacing w:line="276" w:lineRule="auto"/>
                              <w:jc w:val="both"/>
                              <w:rPr>
                                <w:rFonts w:ascii="Cambria" w:hAnsi="Cambria"/>
                                <w:color w:val="595959"/>
                                <w:sz w:val="18"/>
                                <w:szCs w:val="18"/>
                                <w:lang w:val="es-ES"/>
                              </w:rPr>
                            </w:pPr>
                            <w:r w:rsidRPr="00AB1D64">
                              <w:rPr>
                                <w:rFonts w:ascii="Cambria" w:hAnsi="Cambria"/>
                                <w:b/>
                                <w:color w:val="595959"/>
                                <w:sz w:val="18"/>
                                <w:szCs w:val="18"/>
                                <w:lang w:val="es-ES"/>
                              </w:rPr>
                              <w:t>Citar como:</w:t>
                            </w:r>
                            <w:r w:rsidRPr="00AB1D64">
                              <w:rPr>
                                <w:rFonts w:ascii="Cambria" w:hAnsi="Cambria"/>
                                <w:color w:val="595959"/>
                                <w:sz w:val="18"/>
                                <w:szCs w:val="18"/>
                                <w:lang w:val="es-ES"/>
                              </w:rPr>
                              <w:t xml:space="preserve"> CIDH, Informe No. </w:t>
                            </w:r>
                            <w:r>
                              <w:rPr>
                                <w:rFonts w:ascii="Cambria" w:hAnsi="Cambria"/>
                                <w:color w:val="595959"/>
                                <w:sz w:val="18"/>
                                <w:szCs w:val="18"/>
                                <w:lang w:val="es-ES"/>
                              </w:rPr>
                              <w:t>21</w:t>
                            </w:r>
                            <w:r w:rsidRPr="00AB1D64">
                              <w:rPr>
                                <w:rFonts w:ascii="Cambria" w:hAnsi="Cambria"/>
                                <w:color w:val="595959"/>
                                <w:sz w:val="18"/>
                                <w:szCs w:val="18"/>
                                <w:lang w:val="es-ES"/>
                              </w:rPr>
                              <w:t>/</w:t>
                            </w:r>
                            <w:r>
                              <w:rPr>
                                <w:rFonts w:ascii="Cambria" w:hAnsi="Cambria"/>
                                <w:color w:val="595959"/>
                                <w:sz w:val="18"/>
                                <w:szCs w:val="18"/>
                                <w:lang w:val="es-ES"/>
                              </w:rPr>
                              <w:t>17</w:t>
                            </w:r>
                            <w:r w:rsidRPr="00AB1D64">
                              <w:rPr>
                                <w:rFonts w:ascii="Cambria" w:hAnsi="Cambria"/>
                                <w:color w:val="595959"/>
                                <w:sz w:val="18"/>
                                <w:szCs w:val="18"/>
                                <w:lang w:val="es-ES"/>
                              </w:rPr>
                              <w:t xml:space="preserve">, Caso </w:t>
                            </w:r>
                            <w:r>
                              <w:rPr>
                                <w:rFonts w:ascii="Cambria" w:hAnsi="Cambria"/>
                                <w:color w:val="595959"/>
                                <w:sz w:val="18"/>
                                <w:szCs w:val="18"/>
                                <w:lang w:val="es-ES"/>
                              </w:rPr>
                              <w:t>11.738</w:t>
                            </w:r>
                            <w:r w:rsidRPr="00AB1D64">
                              <w:rPr>
                                <w:rFonts w:ascii="Cambria" w:hAnsi="Cambria"/>
                                <w:color w:val="595959"/>
                                <w:sz w:val="18"/>
                                <w:szCs w:val="18"/>
                                <w:lang w:val="es-ES"/>
                              </w:rPr>
                              <w:t>, Fondo,</w:t>
                            </w:r>
                            <w:r>
                              <w:rPr>
                                <w:rFonts w:ascii="Cambria" w:hAnsi="Cambria"/>
                                <w:color w:val="595959"/>
                                <w:sz w:val="18"/>
                                <w:szCs w:val="18"/>
                                <w:lang w:val="es-ES"/>
                              </w:rPr>
                              <w:t xml:space="preserve"> Elba Clotilde </w:t>
                            </w:r>
                            <w:proofErr w:type="spellStart"/>
                            <w:r>
                              <w:rPr>
                                <w:rFonts w:ascii="Cambria" w:hAnsi="Cambria"/>
                                <w:color w:val="595959"/>
                                <w:sz w:val="18"/>
                                <w:szCs w:val="18"/>
                                <w:lang w:val="es-ES"/>
                              </w:rPr>
                              <w:t>Perrone</w:t>
                            </w:r>
                            <w:proofErr w:type="spellEnd"/>
                            <w:r>
                              <w:rPr>
                                <w:rFonts w:ascii="Cambria" w:hAnsi="Cambria"/>
                                <w:color w:val="595959"/>
                                <w:sz w:val="18"/>
                                <w:szCs w:val="18"/>
                                <w:lang w:val="es-ES"/>
                              </w:rPr>
                              <w:t xml:space="preserve"> y Juan José </w:t>
                            </w:r>
                            <w:proofErr w:type="spellStart"/>
                            <w:r>
                              <w:rPr>
                                <w:rFonts w:ascii="Cambria" w:hAnsi="Cambria"/>
                                <w:color w:val="595959"/>
                                <w:sz w:val="18"/>
                                <w:szCs w:val="18"/>
                                <w:lang w:val="es-ES"/>
                              </w:rPr>
                              <w:t>Preckel</w:t>
                            </w:r>
                            <w:proofErr w:type="spellEnd"/>
                            <w:r>
                              <w:rPr>
                                <w:rFonts w:ascii="Cambria" w:hAnsi="Cambria"/>
                                <w:color w:val="595959"/>
                                <w:sz w:val="18"/>
                                <w:szCs w:val="18"/>
                                <w:lang w:val="es-ES"/>
                              </w:rPr>
                              <w:t xml:space="preserve">, Argentina, 18 de marzo </w:t>
                            </w:r>
                            <w:proofErr w:type="spellStart"/>
                            <w:r>
                              <w:rPr>
                                <w:rFonts w:ascii="Cambria" w:hAnsi="Cambria"/>
                                <w:color w:val="595959"/>
                                <w:sz w:val="18"/>
                                <w:szCs w:val="18"/>
                                <w:lang w:val="es-ES"/>
                              </w:rPr>
                              <w:t>de</w:t>
                            </w:r>
                            <w:proofErr w:type="spellEnd"/>
                            <w:r>
                              <w:rPr>
                                <w:rFonts w:ascii="Cambria" w:hAnsi="Cambria"/>
                                <w:color w:val="595959"/>
                                <w:sz w:val="18"/>
                                <w:szCs w:val="18"/>
                                <w:lang w:val="es-ES"/>
                              </w:rPr>
                              <w:t xml:space="preserv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" filled="f" stroked="f" strokeweight=".5pt">
                <v:path arrowok="t"/>
                <v:textbox>
                  <w:txbxContent>
                    <w:p w:rsidR="005E3CCE" w:rsidRPr="00D21B8F" w:rsidRDefault="005E3CCE" w:rsidP="007A61F8">
                      <w:pPr>
                        <w:spacing w:line="276" w:lineRule="auto"/>
                        <w:jc w:val="both"/>
                        <w:rPr>
                          <w:rFonts w:ascii="Cambria" w:hAnsi="Cambria"/>
                          <w:color w:val="595959"/>
                          <w:sz w:val="18"/>
                          <w:szCs w:val="18"/>
                          <w:lang w:val="es-ES"/>
                        </w:rPr>
                      </w:pPr>
                      <w:r w:rsidRPr="00AB1D64">
                        <w:rPr>
                          <w:rFonts w:ascii="Cambria" w:hAnsi="Cambria"/>
                          <w:b/>
                          <w:color w:val="595959"/>
                          <w:sz w:val="18"/>
                          <w:szCs w:val="18"/>
                          <w:lang w:val="es-ES"/>
                        </w:rPr>
                        <w:t>Citar como:</w:t>
                      </w:r>
                      <w:r w:rsidRPr="00AB1D64">
                        <w:rPr>
                          <w:rFonts w:ascii="Cambria" w:hAnsi="Cambria"/>
                          <w:color w:val="595959"/>
                          <w:sz w:val="18"/>
                          <w:szCs w:val="18"/>
                          <w:lang w:val="es-ES"/>
                        </w:rPr>
                        <w:t xml:space="preserve"> CIDH, Informe No. </w:t>
                      </w:r>
                      <w:r>
                        <w:rPr>
                          <w:rFonts w:ascii="Cambria" w:hAnsi="Cambria"/>
                          <w:color w:val="595959"/>
                          <w:sz w:val="18"/>
                          <w:szCs w:val="18"/>
                          <w:lang w:val="es-ES"/>
                        </w:rPr>
                        <w:t>21</w:t>
                      </w:r>
                      <w:r w:rsidRPr="00AB1D64">
                        <w:rPr>
                          <w:rFonts w:ascii="Cambria" w:hAnsi="Cambria"/>
                          <w:color w:val="595959"/>
                          <w:sz w:val="18"/>
                          <w:szCs w:val="18"/>
                          <w:lang w:val="es-ES"/>
                        </w:rPr>
                        <w:t>/</w:t>
                      </w:r>
                      <w:r>
                        <w:rPr>
                          <w:rFonts w:ascii="Cambria" w:hAnsi="Cambria"/>
                          <w:color w:val="595959"/>
                          <w:sz w:val="18"/>
                          <w:szCs w:val="18"/>
                          <w:lang w:val="es-ES"/>
                        </w:rPr>
                        <w:t>17</w:t>
                      </w:r>
                      <w:r w:rsidRPr="00AB1D64">
                        <w:rPr>
                          <w:rFonts w:ascii="Cambria" w:hAnsi="Cambria"/>
                          <w:color w:val="595959"/>
                          <w:sz w:val="18"/>
                          <w:szCs w:val="18"/>
                          <w:lang w:val="es-ES"/>
                        </w:rPr>
                        <w:t xml:space="preserve">, Caso </w:t>
                      </w:r>
                      <w:r>
                        <w:rPr>
                          <w:rFonts w:ascii="Cambria" w:hAnsi="Cambria"/>
                          <w:color w:val="595959"/>
                          <w:sz w:val="18"/>
                          <w:szCs w:val="18"/>
                          <w:lang w:val="es-ES"/>
                        </w:rPr>
                        <w:t>11.738</w:t>
                      </w:r>
                      <w:r w:rsidRPr="00AB1D64">
                        <w:rPr>
                          <w:rFonts w:ascii="Cambria" w:hAnsi="Cambria"/>
                          <w:color w:val="595959"/>
                          <w:sz w:val="18"/>
                          <w:szCs w:val="18"/>
                          <w:lang w:val="es-ES"/>
                        </w:rPr>
                        <w:t>, Fondo,</w:t>
                      </w:r>
                      <w:r>
                        <w:rPr>
                          <w:rFonts w:ascii="Cambria" w:hAnsi="Cambria"/>
                          <w:color w:val="595959"/>
                          <w:sz w:val="18"/>
                          <w:szCs w:val="18"/>
                          <w:lang w:val="es-ES"/>
                        </w:rPr>
                        <w:t xml:space="preserve"> Elba Clotilde </w:t>
                      </w:r>
                      <w:proofErr w:type="spellStart"/>
                      <w:r>
                        <w:rPr>
                          <w:rFonts w:ascii="Cambria" w:hAnsi="Cambria"/>
                          <w:color w:val="595959"/>
                          <w:sz w:val="18"/>
                          <w:szCs w:val="18"/>
                          <w:lang w:val="es-ES"/>
                        </w:rPr>
                        <w:t>Perrone</w:t>
                      </w:r>
                      <w:proofErr w:type="spellEnd"/>
                      <w:r>
                        <w:rPr>
                          <w:rFonts w:ascii="Cambria" w:hAnsi="Cambria"/>
                          <w:color w:val="595959"/>
                          <w:sz w:val="18"/>
                          <w:szCs w:val="18"/>
                          <w:lang w:val="es-ES"/>
                        </w:rPr>
                        <w:t xml:space="preserve"> y Juan José </w:t>
                      </w:r>
                      <w:proofErr w:type="spellStart"/>
                      <w:r>
                        <w:rPr>
                          <w:rFonts w:ascii="Cambria" w:hAnsi="Cambria"/>
                          <w:color w:val="595959"/>
                          <w:sz w:val="18"/>
                          <w:szCs w:val="18"/>
                          <w:lang w:val="es-ES"/>
                        </w:rPr>
                        <w:t>Preckel</w:t>
                      </w:r>
                      <w:proofErr w:type="spellEnd"/>
                      <w:r>
                        <w:rPr>
                          <w:rFonts w:ascii="Cambria" w:hAnsi="Cambria"/>
                          <w:color w:val="595959"/>
                          <w:sz w:val="18"/>
                          <w:szCs w:val="18"/>
                          <w:lang w:val="es-ES"/>
                        </w:rPr>
                        <w:t xml:space="preserve">, Argentina, 18 de marzo </w:t>
                      </w:r>
                      <w:proofErr w:type="spellStart"/>
                      <w:r>
                        <w:rPr>
                          <w:rFonts w:ascii="Cambria" w:hAnsi="Cambria"/>
                          <w:color w:val="595959"/>
                          <w:sz w:val="18"/>
                          <w:szCs w:val="18"/>
                          <w:lang w:val="es-ES"/>
                        </w:rPr>
                        <w:t>de</w:t>
                      </w:r>
                      <w:proofErr w:type="spellEnd"/>
                      <w:r>
                        <w:rPr>
                          <w:rFonts w:ascii="Cambria" w:hAnsi="Cambria"/>
                          <w:color w:val="595959"/>
                          <w:sz w:val="18"/>
                          <w:szCs w:val="18"/>
                          <w:lang w:val="es-ES"/>
                        </w:rPr>
                        <w:t xml:space="preserve"> 2017.</w:t>
                      </w:r>
                    </w:p>
                  </w:txbxContent>
                </v:textbox>
              </v:shape>
            </w:pict>
          </mc:Fallback>
        </mc:AlternateContent>
      </w:r>
    </w:p>
    <w:p w:rsidR="007A61F8" w:rsidRPr="00E57D5F" w:rsidRDefault="007A61F8" w:rsidP="007A61F8">
      <w:pPr>
        <w:tabs>
          <w:tab w:val="center" w:pos="5400"/>
        </w:tabs>
        <w:suppressAutoHyphens/>
        <w:ind w:firstLine="567"/>
        <w:jc w:val="center"/>
        <w:rPr>
          <w:rFonts w:ascii="Cambria" w:hAnsi="Cambria"/>
          <w:sz w:val="18"/>
          <w:szCs w:val="22"/>
          <w:lang w:val="es-ES_tradnl"/>
        </w:rPr>
      </w:pPr>
    </w:p>
    <w:p w:rsidR="007A61F8" w:rsidRPr="00E57D5F" w:rsidRDefault="007A61F8" w:rsidP="007A61F8">
      <w:pPr>
        <w:tabs>
          <w:tab w:val="center" w:pos="5400"/>
        </w:tabs>
        <w:suppressAutoHyphens/>
        <w:ind w:firstLine="567"/>
        <w:jc w:val="center"/>
        <w:rPr>
          <w:rFonts w:ascii="Cambria" w:hAnsi="Cambria"/>
          <w:b/>
          <w:sz w:val="20"/>
          <w:lang w:val="es-ES_tradnl"/>
        </w:rPr>
      </w:pPr>
      <w:r w:rsidRPr="00E57D5F">
        <w:rPr>
          <w:noProof/>
          <w:lang w:val="es-ES" w:eastAsia="es-ES"/>
        </w:rPr>
        <mc:AlternateContent>
          <mc:Choice Requires="wps">
            <w:drawing>
              <wp:anchor distT="0" distB="0" distL="114300" distR="114300" simplePos="0" relativeHeight="251665408" behindDoc="0" locked="0" layoutInCell="1" allowOverlap="1" wp14:anchorId="2AA19BCB" wp14:editId="14E27784">
                <wp:simplePos x="0" y="0"/>
                <wp:positionH relativeFrom="column">
                  <wp:posOffset>1329690</wp:posOffset>
                </wp:positionH>
                <wp:positionV relativeFrom="paragraph">
                  <wp:posOffset>638810</wp:posOffset>
                </wp:positionV>
                <wp:extent cx="4096385" cy="56705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ysClr val="window" lastClr="FFFFFF"/>
                        </a:solidFill>
                        <a:ln w="6350">
                          <a:noFill/>
                        </a:ln>
                        <a:effectLst/>
                      </wps:spPr>
                      <wps:txbx>
                        <w:txbxContent>
                          <w:p w:rsidR="005E3CCE" w:rsidRPr="00DB43BD" w:rsidRDefault="005E3CCE" w:rsidP="007A61F8">
                            <w:pPr>
                              <w:rPr>
                                <w:color w:val="FFFFFF"/>
                              </w:rPr>
                            </w:pPr>
                            <w:r w:rsidRPr="00DB43BD">
                              <w:rPr>
                                <w:noProof/>
                                <w:color w:val="FFFFFF"/>
                                <w:lang w:val="es-ES" w:eastAsia="es-ES"/>
                              </w:rPr>
                              <w:drawing>
                                <wp:inline distT="0" distB="0" distL="0" distR="0" wp14:anchorId="2EF9EE73" wp14:editId="453D894B">
                                  <wp:extent cx="1342390" cy="387985"/>
                                  <wp:effectExtent l="0" t="0" r="3810" b="0"/>
                                  <wp:docPr id="1" name="Picture 1"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2390" cy="3879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" fillcolor="window" stroked="f" strokeweight=".5pt">
                <v:path arrowok="t"/>
                <v:textbox>
                  <w:txbxContent>
                    <w:p w:rsidR="005E3CCE" w:rsidRPr="00DB43BD" w:rsidRDefault="005E3CCE" w:rsidP="007A61F8">
                      <w:pPr>
                        <w:rPr>
                          <w:color w:val="FFFFFF"/>
                        </w:rPr>
                      </w:pPr>
                      <w:r w:rsidRPr="00DB43BD">
                        <w:rPr>
                          <w:noProof/>
                          <w:color w:val="FFFFFF"/>
                          <w:lang w:val="es-ES" w:eastAsia="es-ES"/>
                        </w:rPr>
                        <w:drawing>
                          <wp:inline distT="0" distB="0" distL="0" distR="0" wp14:anchorId="2EF9EE73" wp14:editId="453D894B">
                            <wp:extent cx="1342390" cy="387985"/>
                            <wp:effectExtent l="0" t="0" r="3810" b="0"/>
                            <wp:docPr id="1" name="Picture 1"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2390" cy="387985"/>
                                    </a:xfrm>
                                    <a:prstGeom prst="rect">
                                      <a:avLst/>
                                    </a:prstGeom>
                                    <a:noFill/>
                                    <a:ln>
                                      <a:noFill/>
                                    </a:ln>
                                  </pic:spPr>
                                </pic:pic>
                              </a:graphicData>
                            </a:graphic>
                          </wp:inline>
                        </w:drawing>
                      </w:r>
                    </w:p>
                  </w:txbxContent>
                </v:textbox>
              </v:shape>
            </w:pict>
          </mc:Fallback>
        </mc:AlternateContent>
      </w:r>
      <w:r w:rsidRPr="00E57D5F">
        <w:rPr>
          <w:noProof/>
          <w:lang w:val="es-ES" w:eastAsia="es-ES"/>
        </w:rPr>
        <mc:AlternateContent>
          <mc:Choice Requires="wps">
            <w:drawing>
              <wp:anchor distT="0" distB="0" distL="114300" distR="114300" simplePos="0" relativeHeight="251666432" behindDoc="0" locked="0" layoutInCell="1" allowOverlap="1" wp14:anchorId="4F0FC258" wp14:editId="2A9F7712">
                <wp:simplePos x="0" y="0"/>
                <wp:positionH relativeFrom="column">
                  <wp:posOffset>-272415</wp:posOffset>
                </wp:positionH>
                <wp:positionV relativeFrom="paragraph">
                  <wp:posOffset>915035</wp:posOffset>
                </wp:positionV>
                <wp:extent cx="1181100" cy="3327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rsidR="005E3CCE" w:rsidRPr="00DB43BD" w:rsidRDefault="005E3CCE" w:rsidP="007A61F8">
                            <w:pPr>
                              <w:jc w:val="center"/>
                              <w:rPr>
                                <w:rFonts w:ascii="Calibri" w:hAnsi="Calibri"/>
                                <w:b/>
                                <w:color w:val="FFFFFF"/>
                              </w:rPr>
                            </w:pPr>
                            <w:r w:rsidRPr="00DB43BD">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" filled="f" stroked="f" strokeweight=".5pt">
                <v:path arrowok="t"/>
                <v:textbox>
                  <w:txbxContent>
                    <w:p w:rsidR="005E3CCE" w:rsidRPr="00DB43BD" w:rsidRDefault="005E3CCE" w:rsidP="007A61F8">
                      <w:pPr>
                        <w:jc w:val="center"/>
                        <w:rPr>
                          <w:rFonts w:ascii="Calibri" w:hAnsi="Calibri"/>
                          <w:b/>
                          <w:color w:val="FFFFFF"/>
                        </w:rPr>
                      </w:pPr>
                      <w:r w:rsidRPr="00DB43BD">
                        <w:rPr>
                          <w:rFonts w:ascii="Calibri" w:hAnsi="Calibri"/>
                          <w:b/>
                          <w:color w:val="FFFFFF"/>
                          <w:lang w:val="pt-BR"/>
                        </w:rPr>
                        <w:t>www.cidh.org</w:t>
                      </w:r>
                    </w:p>
                  </w:txbxContent>
                </v:textbox>
              </v:shape>
            </w:pict>
          </mc:Fallback>
        </mc:AlternateContent>
      </w:r>
    </w:p>
    <w:p w:rsidR="007A61F8" w:rsidRPr="00E57D5F" w:rsidRDefault="007A61F8" w:rsidP="007A61F8">
      <w:pPr>
        <w:tabs>
          <w:tab w:val="center" w:pos="5400"/>
        </w:tabs>
        <w:suppressAutoHyphens/>
        <w:ind w:firstLine="567"/>
        <w:jc w:val="center"/>
        <w:rPr>
          <w:rFonts w:ascii="Cambria" w:hAnsi="Cambria"/>
          <w:b/>
          <w:sz w:val="20"/>
          <w:lang w:val="es-ES_tradnl"/>
        </w:rPr>
        <w:sectPr w:rsidR="007A61F8" w:rsidRPr="00E57D5F" w:rsidSect="007A61F8">
          <w:headerReference w:type="even" r:id="rId11"/>
          <w:headerReference w:type="default" r:id="rId12"/>
          <w:footerReference w:type="default" r:id="rId13"/>
          <w:footerReference w:type="first" r:id="rId14"/>
          <w:pgSz w:w="12240" w:h="15840"/>
          <w:pgMar w:top="1440" w:right="1440" w:bottom="1440" w:left="1440" w:header="720" w:footer="720" w:gutter="0"/>
          <w:pgNumType w:start="0"/>
          <w:cols w:space="720"/>
          <w:titlePg/>
          <w:docGrid w:linePitch="326"/>
        </w:sectPr>
      </w:pPr>
    </w:p>
    <w:p w:rsidR="007A61F8" w:rsidRPr="005E3CCE" w:rsidRDefault="007A61F8" w:rsidP="007A61F8">
      <w:pPr>
        <w:pStyle w:val="Title"/>
        <w:ind w:firstLine="567"/>
        <w:rPr>
          <w:rFonts w:ascii="Cambria" w:hAnsi="Cambria"/>
          <w:sz w:val="18"/>
          <w:szCs w:val="18"/>
        </w:rPr>
      </w:pPr>
      <w:r w:rsidRPr="005E3CCE">
        <w:rPr>
          <w:rFonts w:ascii="Cambria" w:hAnsi="Cambria"/>
          <w:sz w:val="18"/>
          <w:szCs w:val="18"/>
        </w:rPr>
        <w:lastRenderedPageBreak/>
        <w:t xml:space="preserve">INFORME No. </w:t>
      </w:r>
      <w:r w:rsidR="005E3CCE" w:rsidRPr="005E3CCE">
        <w:rPr>
          <w:rFonts w:ascii="Cambria" w:hAnsi="Cambria"/>
          <w:sz w:val="18"/>
          <w:szCs w:val="18"/>
        </w:rPr>
        <w:t>21</w:t>
      </w:r>
      <w:r w:rsidR="0091158C" w:rsidRPr="005E3CCE">
        <w:rPr>
          <w:rFonts w:ascii="Cambria" w:hAnsi="Cambria"/>
          <w:sz w:val="18"/>
          <w:szCs w:val="18"/>
        </w:rPr>
        <w:t>/17</w:t>
      </w:r>
    </w:p>
    <w:p w:rsidR="007A61F8" w:rsidRPr="005E3CCE" w:rsidRDefault="007A61F8" w:rsidP="007A61F8">
      <w:pPr>
        <w:ind w:firstLine="567"/>
        <w:jc w:val="center"/>
        <w:rPr>
          <w:rFonts w:ascii="Cambria" w:hAnsi="Cambria"/>
          <w:b/>
          <w:bCs/>
          <w:sz w:val="18"/>
          <w:szCs w:val="18"/>
          <w:lang w:val="es-AR"/>
        </w:rPr>
      </w:pPr>
      <w:r w:rsidRPr="005E3CCE">
        <w:rPr>
          <w:rFonts w:ascii="Cambria" w:hAnsi="Cambria"/>
          <w:b/>
          <w:bCs/>
          <w:sz w:val="18"/>
          <w:szCs w:val="18"/>
          <w:lang w:val="es-AR"/>
        </w:rPr>
        <w:t>CASO 11.738</w:t>
      </w:r>
    </w:p>
    <w:p w:rsidR="007A61F8" w:rsidRPr="005E3CCE" w:rsidRDefault="007A61F8" w:rsidP="007A61F8">
      <w:pPr>
        <w:ind w:firstLine="567"/>
        <w:jc w:val="center"/>
        <w:rPr>
          <w:rFonts w:ascii="Cambria" w:hAnsi="Cambria" w:cs="Arial"/>
          <w:bCs/>
          <w:sz w:val="18"/>
          <w:szCs w:val="18"/>
          <w:lang w:val="es-AR"/>
        </w:rPr>
      </w:pPr>
      <w:r w:rsidRPr="005E3CCE">
        <w:rPr>
          <w:rFonts w:ascii="Cambria" w:hAnsi="Cambria" w:cs="Arial"/>
          <w:bCs/>
          <w:sz w:val="18"/>
          <w:szCs w:val="18"/>
          <w:lang w:val="es-AR"/>
        </w:rPr>
        <w:t>FONDO</w:t>
      </w:r>
    </w:p>
    <w:p w:rsidR="007A61F8" w:rsidRPr="005E3CCE" w:rsidRDefault="007A61F8" w:rsidP="007A61F8">
      <w:pPr>
        <w:ind w:firstLine="567"/>
        <w:jc w:val="center"/>
        <w:rPr>
          <w:rFonts w:ascii="Cambria" w:hAnsi="Cambria" w:cs="Arial"/>
          <w:bCs/>
          <w:sz w:val="18"/>
          <w:szCs w:val="18"/>
          <w:lang w:val="es-AR"/>
        </w:rPr>
      </w:pPr>
      <w:r w:rsidRPr="005E3CCE">
        <w:rPr>
          <w:rFonts w:ascii="Cambria" w:hAnsi="Cambria" w:cs="Arial"/>
          <w:bCs/>
          <w:sz w:val="18"/>
          <w:szCs w:val="18"/>
          <w:lang w:val="es-AR"/>
        </w:rPr>
        <w:t>ELBA CLOTILDE PERRONE Y JUAN JOSE PRECKEL</w:t>
      </w:r>
    </w:p>
    <w:p w:rsidR="007A61F8" w:rsidRPr="005E3CCE" w:rsidRDefault="007A61F8" w:rsidP="007A61F8">
      <w:pPr>
        <w:ind w:firstLine="567"/>
        <w:jc w:val="center"/>
        <w:rPr>
          <w:rFonts w:ascii="Cambria" w:hAnsi="Cambria" w:cs="Arial"/>
          <w:bCs/>
          <w:sz w:val="18"/>
          <w:szCs w:val="18"/>
          <w:lang w:val="es-AR"/>
        </w:rPr>
      </w:pPr>
      <w:r w:rsidRPr="005E3CCE">
        <w:rPr>
          <w:rFonts w:ascii="Cambria" w:hAnsi="Cambria" w:cs="Arial"/>
          <w:bCs/>
          <w:sz w:val="18"/>
          <w:szCs w:val="18"/>
          <w:lang w:val="es-AR"/>
        </w:rPr>
        <w:t>ARGENTINA</w:t>
      </w:r>
    </w:p>
    <w:p w:rsidR="007A61F8" w:rsidRPr="005E3CCE" w:rsidRDefault="005E3CCE" w:rsidP="007A61F8">
      <w:pPr>
        <w:ind w:firstLine="567"/>
        <w:jc w:val="center"/>
        <w:rPr>
          <w:rFonts w:ascii="Cambria" w:hAnsi="Cambria" w:cs="Arial"/>
          <w:bCs/>
          <w:sz w:val="18"/>
          <w:szCs w:val="18"/>
          <w:lang w:val="es-AR"/>
        </w:rPr>
      </w:pPr>
      <w:r w:rsidRPr="005E3CCE">
        <w:rPr>
          <w:rFonts w:ascii="Cambria" w:hAnsi="Cambria" w:cs="Arial"/>
          <w:bCs/>
          <w:sz w:val="18"/>
          <w:szCs w:val="18"/>
          <w:lang w:val="es-AR"/>
        </w:rPr>
        <w:t>18 DE MARZO DE 2017</w:t>
      </w:r>
    </w:p>
    <w:p w:rsidR="007A61F8" w:rsidRPr="00E57D5F" w:rsidRDefault="007A61F8" w:rsidP="007A61F8">
      <w:pPr>
        <w:tabs>
          <w:tab w:val="center" w:pos="5400"/>
        </w:tabs>
        <w:suppressAutoHyphens/>
        <w:spacing w:line="276" w:lineRule="auto"/>
        <w:ind w:firstLine="567"/>
        <w:jc w:val="center"/>
        <w:rPr>
          <w:rFonts w:ascii="Cambria" w:hAnsi="Cambria"/>
          <w:sz w:val="18"/>
          <w:szCs w:val="20"/>
          <w:lang w:val="es-AR"/>
        </w:rPr>
      </w:pPr>
    </w:p>
    <w:p w:rsidR="007A61F8" w:rsidRPr="00E57D5F" w:rsidRDefault="007A61F8" w:rsidP="007A61F8">
      <w:pPr>
        <w:tabs>
          <w:tab w:val="center" w:pos="5400"/>
        </w:tabs>
        <w:suppressAutoHyphens/>
        <w:spacing w:line="276" w:lineRule="auto"/>
        <w:ind w:firstLine="567"/>
        <w:jc w:val="center"/>
        <w:rPr>
          <w:rFonts w:ascii="Cambria" w:hAnsi="Cambria"/>
          <w:b/>
          <w:sz w:val="20"/>
          <w:szCs w:val="20"/>
          <w:lang w:val="es-ES_tradnl"/>
        </w:rPr>
      </w:pPr>
      <w:r w:rsidRPr="00E57D5F">
        <w:rPr>
          <w:rFonts w:ascii="Cambria" w:hAnsi="Cambria"/>
          <w:b/>
          <w:sz w:val="20"/>
          <w:szCs w:val="20"/>
          <w:lang w:val="es-ES_tradnl"/>
        </w:rPr>
        <w:t>ÍNDICE</w:t>
      </w:r>
    </w:p>
    <w:p w:rsidR="007A61F8" w:rsidRDefault="007A61F8" w:rsidP="007A61F8">
      <w:pPr>
        <w:tabs>
          <w:tab w:val="center" w:pos="5400"/>
        </w:tabs>
        <w:suppressAutoHyphens/>
        <w:spacing w:line="276" w:lineRule="auto"/>
        <w:ind w:firstLine="567"/>
        <w:rPr>
          <w:rFonts w:ascii="Cambria" w:hAnsi="Cambria"/>
          <w:sz w:val="20"/>
          <w:szCs w:val="20"/>
          <w:lang w:val="es-ES_tradnl"/>
        </w:rPr>
      </w:pPr>
    </w:p>
    <w:p w:rsidR="00991A78" w:rsidRPr="005E3CCE" w:rsidRDefault="00991A78">
      <w:pPr>
        <w:pStyle w:val="TOC1"/>
        <w:rPr>
          <w:rFonts w:ascii="Cambria" w:eastAsiaTheme="minorEastAsia" w:hAnsi="Cambria" w:cstheme="minorBidi"/>
          <w:noProof/>
          <w:sz w:val="20"/>
          <w:szCs w:val="20"/>
          <w:bdr w:val="none" w:sz="0" w:space="0" w:color="auto"/>
        </w:rPr>
      </w:pPr>
      <w:r w:rsidRPr="005E3CCE">
        <w:rPr>
          <w:rFonts w:ascii="Cambria" w:hAnsi="Cambria"/>
          <w:sz w:val="20"/>
          <w:szCs w:val="20"/>
          <w:lang w:val="es-ES_tradnl"/>
        </w:rPr>
        <w:fldChar w:fldCharType="begin"/>
      </w:r>
      <w:r w:rsidRPr="005E3CCE">
        <w:rPr>
          <w:rFonts w:ascii="Cambria" w:hAnsi="Cambria"/>
          <w:sz w:val="20"/>
          <w:szCs w:val="20"/>
          <w:lang w:val="es-ES_tradnl"/>
        </w:rPr>
        <w:instrText xml:space="preserve"> TOC \o "1-3" \h \z \u </w:instrText>
      </w:r>
      <w:r w:rsidRPr="005E3CCE">
        <w:rPr>
          <w:rFonts w:ascii="Cambria" w:hAnsi="Cambria"/>
          <w:sz w:val="20"/>
          <w:szCs w:val="20"/>
          <w:lang w:val="es-ES_tradnl"/>
        </w:rPr>
        <w:fldChar w:fldCharType="separate"/>
      </w:r>
      <w:hyperlink w:anchor="_Toc476667871" w:history="1">
        <w:r w:rsidRPr="005E3CCE">
          <w:rPr>
            <w:rStyle w:val="Hyperlink"/>
            <w:rFonts w:ascii="Cambria" w:hAnsi="Cambria"/>
            <w:noProof/>
            <w:sz w:val="20"/>
            <w:szCs w:val="20"/>
          </w:rPr>
          <w:t>I.</w:t>
        </w:r>
        <w:r w:rsidRPr="005E3CCE">
          <w:rPr>
            <w:rFonts w:ascii="Cambria" w:eastAsiaTheme="minorEastAsia" w:hAnsi="Cambria" w:cstheme="minorBidi"/>
            <w:noProof/>
            <w:sz w:val="20"/>
            <w:szCs w:val="20"/>
            <w:bdr w:val="none" w:sz="0" w:space="0" w:color="auto"/>
          </w:rPr>
          <w:tab/>
        </w:r>
        <w:r w:rsidRPr="005E3CCE">
          <w:rPr>
            <w:rStyle w:val="Hyperlink"/>
            <w:rFonts w:ascii="Cambria" w:hAnsi="Cambria"/>
            <w:noProof/>
            <w:sz w:val="20"/>
            <w:szCs w:val="20"/>
          </w:rPr>
          <w:t>RESU</w:t>
        </w:r>
        <w:r w:rsidRPr="005E3CCE">
          <w:rPr>
            <w:rStyle w:val="Hyperlink"/>
            <w:rFonts w:ascii="Cambria" w:hAnsi="Cambria"/>
            <w:noProof/>
            <w:sz w:val="20"/>
            <w:szCs w:val="20"/>
          </w:rPr>
          <w:t>M</w:t>
        </w:r>
        <w:r w:rsidRPr="005E3CCE">
          <w:rPr>
            <w:rStyle w:val="Hyperlink"/>
            <w:rFonts w:ascii="Cambria" w:hAnsi="Cambria"/>
            <w:noProof/>
            <w:sz w:val="20"/>
            <w:szCs w:val="20"/>
          </w:rPr>
          <w:t>EN</w:t>
        </w:r>
        <w:r w:rsidRPr="005E3CCE">
          <w:rPr>
            <w:rFonts w:ascii="Cambria" w:hAnsi="Cambria"/>
            <w:noProof/>
            <w:webHidden/>
            <w:sz w:val="20"/>
            <w:szCs w:val="20"/>
          </w:rPr>
          <w:tab/>
        </w:r>
        <w:r w:rsidRPr="005E3CCE">
          <w:rPr>
            <w:rFonts w:ascii="Cambria" w:hAnsi="Cambria"/>
            <w:noProof/>
            <w:webHidden/>
            <w:sz w:val="20"/>
            <w:szCs w:val="20"/>
          </w:rPr>
          <w:fldChar w:fldCharType="begin"/>
        </w:r>
        <w:r w:rsidRPr="005E3CCE">
          <w:rPr>
            <w:rFonts w:ascii="Cambria" w:hAnsi="Cambria"/>
            <w:noProof/>
            <w:webHidden/>
            <w:sz w:val="20"/>
            <w:szCs w:val="20"/>
          </w:rPr>
          <w:instrText xml:space="preserve"> PAGEREF _Toc476667871 \h </w:instrText>
        </w:r>
        <w:r w:rsidRPr="005E3CCE">
          <w:rPr>
            <w:rFonts w:ascii="Cambria" w:hAnsi="Cambria"/>
            <w:noProof/>
            <w:webHidden/>
            <w:sz w:val="20"/>
            <w:szCs w:val="20"/>
          </w:rPr>
        </w:r>
        <w:r w:rsidRPr="005E3CCE">
          <w:rPr>
            <w:rFonts w:ascii="Cambria" w:hAnsi="Cambria"/>
            <w:noProof/>
            <w:webHidden/>
            <w:sz w:val="20"/>
            <w:szCs w:val="20"/>
          </w:rPr>
          <w:fldChar w:fldCharType="separate"/>
        </w:r>
        <w:r w:rsidRPr="005E3CCE">
          <w:rPr>
            <w:rFonts w:ascii="Cambria" w:hAnsi="Cambria"/>
            <w:noProof/>
            <w:webHidden/>
            <w:sz w:val="20"/>
            <w:szCs w:val="20"/>
          </w:rPr>
          <w:t>2</w:t>
        </w:r>
        <w:r w:rsidRPr="005E3CCE">
          <w:rPr>
            <w:rFonts w:ascii="Cambria" w:hAnsi="Cambria"/>
            <w:noProof/>
            <w:webHidden/>
            <w:sz w:val="20"/>
            <w:szCs w:val="20"/>
          </w:rPr>
          <w:fldChar w:fldCharType="end"/>
        </w:r>
      </w:hyperlink>
    </w:p>
    <w:p w:rsidR="005E3CCE" w:rsidRDefault="005E3CCE">
      <w:pPr>
        <w:pStyle w:val="TOC1"/>
        <w:rPr>
          <w:rFonts w:ascii="Cambria" w:hAnsi="Cambria"/>
          <w:sz w:val="20"/>
          <w:szCs w:val="20"/>
        </w:rPr>
      </w:pPr>
    </w:p>
    <w:p w:rsidR="00991A78" w:rsidRPr="005E3CCE" w:rsidRDefault="005E3CCE">
      <w:pPr>
        <w:pStyle w:val="TOC1"/>
        <w:rPr>
          <w:rFonts w:ascii="Cambria" w:eastAsiaTheme="minorEastAsia" w:hAnsi="Cambria" w:cstheme="minorBidi"/>
          <w:noProof/>
          <w:sz w:val="20"/>
          <w:szCs w:val="20"/>
          <w:bdr w:val="none" w:sz="0" w:space="0" w:color="auto"/>
        </w:rPr>
      </w:pPr>
      <w:hyperlink w:anchor="_Toc476667872" w:history="1">
        <w:r w:rsidR="00991A78" w:rsidRPr="005E3CCE">
          <w:rPr>
            <w:rStyle w:val="Hyperlink"/>
            <w:rFonts w:ascii="Cambria" w:hAnsi="Cambria"/>
            <w:noProof/>
            <w:sz w:val="20"/>
            <w:szCs w:val="20"/>
          </w:rPr>
          <w:t>II.</w:t>
        </w:r>
        <w:r w:rsidR="00991A78" w:rsidRPr="005E3CCE">
          <w:rPr>
            <w:rFonts w:ascii="Cambria" w:eastAsiaTheme="minorEastAsia" w:hAnsi="Cambria" w:cstheme="minorBidi"/>
            <w:noProof/>
            <w:sz w:val="20"/>
            <w:szCs w:val="20"/>
            <w:bdr w:val="none" w:sz="0" w:space="0" w:color="auto"/>
          </w:rPr>
          <w:tab/>
        </w:r>
        <w:r w:rsidR="00991A78" w:rsidRPr="005E3CCE">
          <w:rPr>
            <w:rStyle w:val="Hyperlink"/>
            <w:rFonts w:ascii="Cambria" w:hAnsi="Cambria"/>
            <w:noProof/>
            <w:sz w:val="20"/>
            <w:szCs w:val="20"/>
          </w:rPr>
          <w:t>TRÁMITE ANTE LA COMISIÓN</w:t>
        </w:r>
        <w:r w:rsidR="00991A78" w:rsidRPr="005E3CCE">
          <w:rPr>
            <w:rFonts w:ascii="Cambria" w:hAnsi="Cambria"/>
            <w:noProof/>
            <w:webHidden/>
            <w:sz w:val="20"/>
            <w:szCs w:val="20"/>
          </w:rPr>
          <w:tab/>
        </w:r>
        <w:r w:rsidR="00991A78" w:rsidRPr="005E3CCE">
          <w:rPr>
            <w:rFonts w:ascii="Cambria" w:hAnsi="Cambria"/>
            <w:noProof/>
            <w:webHidden/>
            <w:sz w:val="20"/>
            <w:szCs w:val="20"/>
          </w:rPr>
          <w:fldChar w:fldCharType="begin"/>
        </w:r>
        <w:r w:rsidR="00991A78" w:rsidRPr="005E3CCE">
          <w:rPr>
            <w:rFonts w:ascii="Cambria" w:hAnsi="Cambria"/>
            <w:noProof/>
            <w:webHidden/>
            <w:sz w:val="20"/>
            <w:szCs w:val="20"/>
          </w:rPr>
          <w:instrText xml:space="preserve"> PAGEREF _Toc476667872 \h </w:instrText>
        </w:r>
        <w:r w:rsidR="00991A78" w:rsidRPr="005E3CCE">
          <w:rPr>
            <w:rFonts w:ascii="Cambria" w:hAnsi="Cambria"/>
            <w:noProof/>
            <w:webHidden/>
            <w:sz w:val="20"/>
            <w:szCs w:val="20"/>
          </w:rPr>
        </w:r>
        <w:r w:rsidR="00991A78" w:rsidRPr="005E3CCE">
          <w:rPr>
            <w:rFonts w:ascii="Cambria" w:hAnsi="Cambria"/>
            <w:noProof/>
            <w:webHidden/>
            <w:sz w:val="20"/>
            <w:szCs w:val="20"/>
          </w:rPr>
          <w:fldChar w:fldCharType="separate"/>
        </w:r>
        <w:r w:rsidR="00991A78" w:rsidRPr="005E3CCE">
          <w:rPr>
            <w:rFonts w:ascii="Cambria" w:hAnsi="Cambria"/>
            <w:noProof/>
            <w:webHidden/>
            <w:sz w:val="20"/>
            <w:szCs w:val="20"/>
          </w:rPr>
          <w:t>2</w:t>
        </w:r>
        <w:r w:rsidR="00991A78" w:rsidRPr="005E3CCE">
          <w:rPr>
            <w:rFonts w:ascii="Cambria" w:hAnsi="Cambria"/>
            <w:noProof/>
            <w:webHidden/>
            <w:sz w:val="20"/>
            <w:szCs w:val="20"/>
          </w:rPr>
          <w:fldChar w:fldCharType="end"/>
        </w:r>
      </w:hyperlink>
    </w:p>
    <w:p w:rsidR="005E3CCE" w:rsidRDefault="005E3CCE">
      <w:pPr>
        <w:pStyle w:val="TOC1"/>
        <w:rPr>
          <w:rFonts w:ascii="Cambria" w:hAnsi="Cambria"/>
          <w:sz w:val="20"/>
          <w:szCs w:val="20"/>
        </w:rPr>
      </w:pPr>
    </w:p>
    <w:p w:rsidR="00991A78" w:rsidRPr="005E3CCE" w:rsidRDefault="005E3CCE">
      <w:pPr>
        <w:pStyle w:val="TOC1"/>
        <w:rPr>
          <w:rFonts w:ascii="Cambria" w:eastAsiaTheme="minorEastAsia" w:hAnsi="Cambria" w:cstheme="minorBidi"/>
          <w:noProof/>
          <w:sz w:val="20"/>
          <w:szCs w:val="20"/>
          <w:bdr w:val="none" w:sz="0" w:space="0" w:color="auto"/>
        </w:rPr>
      </w:pPr>
      <w:hyperlink w:anchor="_Toc476667873" w:history="1">
        <w:r w:rsidR="00991A78" w:rsidRPr="005E3CCE">
          <w:rPr>
            <w:rStyle w:val="Hyperlink"/>
            <w:rFonts w:ascii="Cambria" w:hAnsi="Cambria"/>
            <w:noProof/>
            <w:sz w:val="20"/>
            <w:szCs w:val="20"/>
          </w:rPr>
          <w:t>III.</w:t>
        </w:r>
        <w:r w:rsidR="00991A78" w:rsidRPr="005E3CCE">
          <w:rPr>
            <w:rFonts w:ascii="Cambria" w:eastAsiaTheme="minorEastAsia" w:hAnsi="Cambria" w:cstheme="minorBidi"/>
            <w:noProof/>
            <w:sz w:val="20"/>
            <w:szCs w:val="20"/>
            <w:bdr w:val="none" w:sz="0" w:space="0" w:color="auto"/>
          </w:rPr>
          <w:tab/>
        </w:r>
        <w:r w:rsidR="00991A78" w:rsidRPr="005E3CCE">
          <w:rPr>
            <w:rStyle w:val="Hyperlink"/>
            <w:rFonts w:ascii="Cambria" w:hAnsi="Cambria"/>
            <w:noProof/>
            <w:sz w:val="20"/>
            <w:szCs w:val="20"/>
          </w:rPr>
          <w:t>POSICIÓN DE LAS PARTES</w:t>
        </w:r>
        <w:r w:rsidR="00991A78" w:rsidRPr="005E3CCE">
          <w:rPr>
            <w:rFonts w:ascii="Cambria" w:hAnsi="Cambria"/>
            <w:noProof/>
            <w:webHidden/>
            <w:sz w:val="20"/>
            <w:szCs w:val="20"/>
          </w:rPr>
          <w:tab/>
        </w:r>
        <w:r w:rsidR="00991A78" w:rsidRPr="005E3CCE">
          <w:rPr>
            <w:rFonts w:ascii="Cambria" w:hAnsi="Cambria"/>
            <w:noProof/>
            <w:webHidden/>
            <w:sz w:val="20"/>
            <w:szCs w:val="20"/>
          </w:rPr>
          <w:fldChar w:fldCharType="begin"/>
        </w:r>
        <w:r w:rsidR="00991A78" w:rsidRPr="005E3CCE">
          <w:rPr>
            <w:rFonts w:ascii="Cambria" w:hAnsi="Cambria"/>
            <w:noProof/>
            <w:webHidden/>
            <w:sz w:val="20"/>
            <w:szCs w:val="20"/>
          </w:rPr>
          <w:instrText xml:space="preserve"> PAGEREF _Toc476667873 \h </w:instrText>
        </w:r>
        <w:r w:rsidR="00991A78" w:rsidRPr="005E3CCE">
          <w:rPr>
            <w:rFonts w:ascii="Cambria" w:hAnsi="Cambria"/>
            <w:noProof/>
            <w:webHidden/>
            <w:sz w:val="20"/>
            <w:szCs w:val="20"/>
          </w:rPr>
        </w:r>
        <w:r w:rsidR="00991A78" w:rsidRPr="005E3CCE">
          <w:rPr>
            <w:rFonts w:ascii="Cambria" w:hAnsi="Cambria"/>
            <w:noProof/>
            <w:webHidden/>
            <w:sz w:val="20"/>
            <w:szCs w:val="20"/>
          </w:rPr>
          <w:fldChar w:fldCharType="separate"/>
        </w:r>
        <w:r w:rsidR="00991A78" w:rsidRPr="005E3CCE">
          <w:rPr>
            <w:rFonts w:ascii="Cambria" w:hAnsi="Cambria"/>
            <w:noProof/>
            <w:webHidden/>
            <w:sz w:val="20"/>
            <w:szCs w:val="20"/>
          </w:rPr>
          <w:t>3</w:t>
        </w:r>
        <w:r w:rsidR="00991A78" w:rsidRPr="005E3CCE">
          <w:rPr>
            <w:rFonts w:ascii="Cambria" w:hAnsi="Cambria"/>
            <w:noProof/>
            <w:webHidden/>
            <w:sz w:val="20"/>
            <w:szCs w:val="20"/>
          </w:rPr>
          <w:fldChar w:fldCharType="end"/>
        </w:r>
      </w:hyperlink>
    </w:p>
    <w:p w:rsidR="00991A78" w:rsidRPr="005E3CCE" w:rsidRDefault="005E3CCE">
      <w:pPr>
        <w:pStyle w:val="TOC2"/>
        <w:rPr>
          <w:rFonts w:ascii="Cambria" w:eastAsiaTheme="minorEastAsia" w:hAnsi="Cambria" w:cstheme="minorBidi"/>
          <w:noProof/>
          <w:sz w:val="20"/>
          <w:szCs w:val="20"/>
          <w:bdr w:val="none" w:sz="0" w:space="0" w:color="auto"/>
        </w:rPr>
      </w:pPr>
      <w:hyperlink w:anchor="_Toc476667874" w:history="1">
        <w:r w:rsidR="00991A78" w:rsidRPr="005E3CCE">
          <w:rPr>
            <w:rStyle w:val="Hyperlink"/>
            <w:rFonts w:ascii="Cambria" w:hAnsi="Cambria"/>
            <w:noProof/>
            <w:sz w:val="20"/>
            <w:szCs w:val="20"/>
          </w:rPr>
          <w:t>A.</w:t>
        </w:r>
        <w:r w:rsidR="00991A78" w:rsidRPr="005E3CCE">
          <w:rPr>
            <w:rFonts w:ascii="Cambria" w:eastAsiaTheme="minorEastAsia" w:hAnsi="Cambria" w:cstheme="minorBidi"/>
            <w:noProof/>
            <w:sz w:val="20"/>
            <w:szCs w:val="20"/>
            <w:bdr w:val="none" w:sz="0" w:space="0" w:color="auto"/>
          </w:rPr>
          <w:tab/>
        </w:r>
        <w:r w:rsidR="00991A78" w:rsidRPr="005E3CCE">
          <w:rPr>
            <w:rStyle w:val="Hyperlink"/>
            <w:rFonts w:ascii="Cambria" w:hAnsi="Cambria"/>
            <w:noProof/>
            <w:sz w:val="20"/>
            <w:szCs w:val="20"/>
          </w:rPr>
          <w:t>Posición de los peticionarios</w:t>
        </w:r>
        <w:r w:rsidR="00991A78" w:rsidRPr="005E3CCE">
          <w:rPr>
            <w:rFonts w:ascii="Cambria" w:hAnsi="Cambria"/>
            <w:noProof/>
            <w:webHidden/>
            <w:sz w:val="20"/>
            <w:szCs w:val="20"/>
          </w:rPr>
          <w:tab/>
        </w:r>
        <w:r w:rsidR="00991A78" w:rsidRPr="005E3CCE">
          <w:rPr>
            <w:rFonts w:ascii="Cambria" w:hAnsi="Cambria"/>
            <w:noProof/>
            <w:webHidden/>
            <w:sz w:val="20"/>
            <w:szCs w:val="20"/>
          </w:rPr>
          <w:fldChar w:fldCharType="begin"/>
        </w:r>
        <w:r w:rsidR="00991A78" w:rsidRPr="005E3CCE">
          <w:rPr>
            <w:rFonts w:ascii="Cambria" w:hAnsi="Cambria"/>
            <w:noProof/>
            <w:webHidden/>
            <w:sz w:val="20"/>
            <w:szCs w:val="20"/>
          </w:rPr>
          <w:instrText xml:space="preserve"> PAGEREF _Toc476667874 \h </w:instrText>
        </w:r>
        <w:r w:rsidR="00991A78" w:rsidRPr="005E3CCE">
          <w:rPr>
            <w:rFonts w:ascii="Cambria" w:hAnsi="Cambria"/>
            <w:noProof/>
            <w:webHidden/>
            <w:sz w:val="20"/>
            <w:szCs w:val="20"/>
          </w:rPr>
        </w:r>
        <w:r w:rsidR="00991A78" w:rsidRPr="005E3CCE">
          <w:rPr>
            <w:rFonts w:ascii="Cambria" w:hAnsi="Cambria"/>
            <w:noProof/>
            <w:webHidden/>
            <w:sz w:val="20"/>
            <w:szCs w:val="20"/>
          </w:rPr>
          <w:fldChar w:fldCharType="separate"/>
        </w:r>
        <w:r w:rsidR="00991A78" w:rsidRPr="005E3CCE">
          <w:rPr>
            <w:rFonts w:ascii="Cambria" w:hAnsi="Cambria"/>
            <w:noProof/>
            <w:webHidden/>
            <w:sz w:val="20"/>
            <w:szCs w:val="20"/>
          </w:rPr>
          <w:t>3</w:t>
        </w:r>
        <w:r w:rsidR="00991A78" w:rsidRPr="005E3CCE">
          <w:rPr>
            <w:rFonts w:ascii="Cambria" w:hAnsi="Cambria"/>
            <w:noProof/>
            <w:webHidden/>
            <w:sz w:val="20"/>
            <w:szCs w:val="20"/>
          </w:rPr>
          <w:fldChar w:fldCharType="end"/>
        </w:r>
      </w:hyperlink>
    </w:p>
    <w:p w:rsidR="00991A78" w:rsidRPr="005E3CCE" w:rsidRDefault="005E3CCE">
      <w:pPr>
        <w:pStyle w:val="TOC2"/>
        <w:rPr>
          <w:rFonts w:ascii="Cambria" w:eastAsiaTheme="minorEastAsia" w:hAnsi="Cambria" w:cstheme="minorBidi"/>
          <w:noProof/>
          <w:sz w:val="20"/>
          <w:szCs w:val="20"/>
          <w:bdr w:val="none" w:sz="0" w:space="0" w:color="auto"/>
        </w:rPr>
      </w:pPr>
      <w:hyperlink w:anchor="_Toc476667875" w:history="1">
        <w:r w:rsidR="00991A78" w:rsidRPr="005E3CCE">
          <w:rPr>
            <w:rStyle w:val="Hyperlink"/>
            <w:rFonts w:ascii="Cambria" w:hAnsi="Cambria"/>
            <w:noProof/>
            <w:sz w:val="20"/>
            <w:szCs w:val="20"/>
          </w:rPr>
          <w:t>B.</w:t>
        </w:r>
        <w:r w:rsidR="00991A78" w:rsidRPr="005E3CCE">
          <w:rPr>
            <w:rFonts w:ascii="Cambria" w:eastAsiaTheme="minorEastAsia" w:hAnsi="Cambria" w:cstheme="minorBidi"/>
            <w:noProof/>
            <w:sz w:val="20"/>
            <w:szCs w:val="20"/>
            <w:bdr w:val="none" w:sz="0" w:space="0" w:color="auto"/>
          </w:rPr>
          <w:tab/>
        </w:r>
        <w:r w:rsidR="00991A78" w:rsidRPr="005E3CCE">
          <w:rPr>
            <w:rStyle w:val="Hyperlink"/>
            <w:rFonts w:ascii="Cambria" w:hAnsi="Cambria"/>
            <w:noProof/>
            <w:sz w:val="20"/>
            <w:szCs w:val="20"/>
          </w:rPr>
          <w:t>Posición del Estado</w:t>
        </w:r>
        <w:r w:rsidR="00991A78" w:rsidRPr="005E3CCE">
          <w:rPr>
            <w:rFonts w:ascii="Cambria" w:hAnsi="Cambria"/>
            <w:noProof/>
            <w:webHidden/>
            <w:sz w:val="20"/>
            <w:szCs w:val="20"/>
          </w:rPr>
          <w:tab/>
        </w:r>
        <w:r w:rsidR="00991A78" w:rsidRPr="005E3CCE">
          <w:rPr>
            <w:rFonts w:ascii="Cambria" w:hAnsi="Cambria"/>
            <w:noProof/>
            <w:webHidden/>
            <w:sz w:val="20"/>
            <w:szCs w:val="20"/>
          </w:rPr>
          <w:fldChar w:fldCharType="begin"/>
        </w:r>
        <w:r w:rsidR="00991A78" w:rsidRPr="005E3CCE">
          <w:rPr>
            <w:rFonts w:ascii="Cambria" w:hAnsi="Cambria"/>
            <w:noProof/>
            <w:webHidden/>
            <w:sz w:val="20"/>
            <w:szCs w:val="20"/>
          </w:rPr>
          <w:instrText xml:space="preserve"> PAGEREF _Toc476667875 \h </w:instrText>
        </w:r>
        <w:r w:rsidR="00991A78" w:rsidRPr="005E3CCE">
          <w:rPr>
            <w:rFonts w:ascii="Cambria" w:hAnsi="Cambria"/>
            <w:noProof/>
            <w:webHidden/>
            <w:sz w:val="20"/>
            <w:szCs w:val="20"/>
          </w:rPr>
        </w:r>
        <w:r w:rsidR="00991A78" w:rsidRPr="005E3CCE">
          <w:rPr>
            <w:rFonts w:ascii="Cambria" w:hAnsi="Cambria"/>
            <w:noProof/>
            <w:webHidden/>
            <w:sz w:val="20"/>
            <w:szCs w:val="20"/>
          </w:rPr>
          <w:fldChar w:fldCharType="separate"/>
        </w:r>
        <w:r w:rsidR="00991A78" w:rsidRPr="005E3CCE">
          <w:rPr>
            <w:rFonts w:ascii="Cambria" w:hAnsi="Cambria"/>
            <w:noProof/>
            <w:webHidden/>
            <w:sz w:val="20"/>
            <w:szCs w:val="20"/>
          </w:rPr>
          <w:t>3</w:t>
        </w:r>
        <w:r w:rsidR="00991A78" w:rsidRPr="005E3CCE">
          <w:rPr>
            <w:rFonts w:ascii="Cambria" w:hAnsi="Cambria"/>
            <w:noProof/>
            <w:webHidden/>
            <w:sz w:val="20"/>
            <w:szCs w:val="20"/>
          </w:rPr>
          <w:fldChar w:fldCharType="end"/>
        </w:r>
      </w:hyperlink>
    </w:p>
    <w:p w:rsidR="005E3CCE" w:rsidRDefault="005E3CCE">
      <w:pPr>
        <w:pStyle w:val="TOC1"/>
        <w:rPr>
          <w:rFonts w:ascii="Cambria" w:hAnsi="Cambria"/>
          <w:sz w:val="20"/>
          <w:szCs w:val="20"/>
        </w:rPr>
      </w:pPr>
    </w:p>
    <w:p w:rsidR="00991A78" w:rsidRPr="005E3CCE" w:rsidRDefault="005E3CCE">
      <w:pPr>
        <w:pStyle w:val="TOC1"/>
        <w:rPr>
          <w:rFonts w:ascii="Cambria" w:eastAsiaTheme="minorEastAsia" w:hAnsi="Cambria" w:cstheme="minorBidi"/>
          <w:noProof/>
          <w:sz w:val="20"/>
          <w:szCs w:val="20"/>
          <w:bdr w:val="none" w:sz="0" w:space="0" w:color="auto"/>
        </w:rPr>
      </w:pPr>
      <w:hyperlink w:anchor="_Toc476667876" w:history="1">
        <w:r w:rsidR="00991A78" w:rsidRPr="005E3CCE">
          <w:rPr>
            <w:rStyle w:val="Hyperlink"/>
            <w:rFonts w:ascii="Cambria" w:hAnsi="Cambria"/>
            <w:noProof/>
            <w:sz w:val="20"/>
            <w:szCs w:val="20"/>
            <w:lang w:val="es-ES_tradnl"/>
          </w:rPr>
          <w:t>IV.</w:t>
        </w:r>
        <w:r w:rsidR="00991A78" w:rsidRPr="005E3CCE">
          <w:rPr>
            <w:rFonts w:ascii="Cambria" w:eastAsiaTheme="minorEastAsia" w:hAnsi="Cambria" w:cstheme="minorBidi"/>
            <w:noProof/>
            <w:sz w:val="20"/>
            <w:szCs w:val="20"/>
            <w:bdr w:val="none" w:sz="0" w:space="0" w:color="auto"/>
          </w:rPr>
          <w:tab/>
        </w:r>
        <w:r w:rsidR="00991A78" w:rsidRPr="005E3CCE">
          <w:rPr>
            <w:rStyle w:val="Hyperlink"/>
            <w:rFonts w:ascii="Cambria" w:hAnsi="Cambria"/>
            <w:noProof/>
            <w:sz w:val="20"/>
            <w:szCs w:val="20"/>
          </w:rPr>
          <w:t>HECHOS PROBADOS</w:t>
        </w:r>
        <w:r w:rsidR="00991A78" w:rsidRPr="005E3CCE">
          <w:rPr>
            <w:rFonts w:ascii="Cambria" w:hAnsi="Cambria"/>
            <w:noProof/>
            <w:webHidden/>
            <w:sz w:val="20"/>
            <w:szCs w:val="20"/>
          </w:rPr>
          <w:tab/>
        </w:r>
        <w:r w:rsidR="00991A78" w:rsidRPr="005E3CCE">
          <w:rPr>
            <w:rFonts w:ascii="Cambria" w:hAnsi="Cambria"/>
            <w:noProof/>
            <w:webHidden/>
            <w:sz w:val="20"/>
            <w:szCs w:val="20"/>
          </w:rPr>
          <w:fldChar w:fldCharType="begin"/>
        </w:r>
        <w:r w:rsidR="00991A78" w:rsidRPr="005E3CCE">
          <w:rPr>
            <w:rFonts w:ascii="Cambria" w:hAnsi="Cambria"/>
            <w:noProof/>
            <w:webHidden/>
            <w:sz w:val="20"/>
            <w:szCs w:val="20"/>
          </w:rPr>
          <w:instrText xml:space="preserve"> PAGEREF _Toc476667876 \h </w:instrText>
        </w:r>
        <w:r w:rsidR="00991A78" w:rsidRPr="005E3CCE">
          <w:rPr>
            <w:rFonts w:ascii="Cambria" w:hAnsi="Cambria"/>
            <w:noProof/>
            <w:webHidden/>
            <w:sz w:val="20"/>
            <w:szCs w:val="20"/>
          </w:rPr>
        </w:r>
        <w:r w:rsidR="00991A78" w:rsidRPr="005E3CCE">
          <w:rPr>
            <w:rFonts w:ascii="Cambria" w:hAnsi="Cambria"/>
            <w:noProof/>
            <w:webHidden/>
            <w:sz w:val="20"/>
            <w:szCs w:val="20"/>
          </w:rPr>
          <w:fldChar w:fldCharType="separate"/>
        </w:r>
        <w:r w:rsidR="00991A78" w:rsidRPr="005E3CCE">
          <w:rPr>
            <w:rFonts w:ascii="Cambria" w:hAnsi="Cambria"/>
            <w:noProof/>
            <w:webHidden/>
            <w:sz w:val="20"/>
            <w:szCs w:val="20"/>
          </w:rPr>
          <w:t>4</w:t>
        </w:r>
        <w:r w:rsidR="00991A78" w:rsidRPr="005E3CCE">
          <w:rPr>
            <w:rFonts w:ascii="Cambria" w:hAnsi="Cambria"/>
            <w:noProof/>
            <w:webHidden/>
            <w:sz w:val="20"/>
            <w:szCs w:val="20"/>
          </w:rPr>
          <w:fldChar w:fldCharType="end"/>
        </w:r>
      </w:hyperlink>
    </w:p>
    <w:p w:rsidR="00991A78" w:rsidRPr="005E3CCE" w:rsidRDefault="005E3CCE">
      <w:pPr>
        <w:pStyle w:val="TOC2"/>
        <w:rPr>
          <w:rFonts w:ascii="Cambria" w:eastAsiaTheme="minorEastAsia" w:hAnsi="Cambria" w:cstheme="minorBidi"/>
          <w:noProof/>
          <w:sz w:val="20"/>
          <w:szCs w:val="20"/>
          <w:bdr w:val="none" w:sz="0" w:space="0" w:color="auto"/>
        </w:rPr>
      </w:pPr>
      <w:hyperlink w:anchor="_Toc476667877" w:history="1">
        <w:r w:rsidR="00991A78" w:rsidRPr="005E3CCE">
          <w:rPr>
            <w:rStyle w:val="Hyperlink"/>
            <w:rFonts w:ascii="Cambria" w:hAnsi="Cambria"/>
            <w:noProof/>
            <w:sz w:val="20"/>
            <w:szCs w:val="20"/>
          </w:rPr>
          <w:t>A.</w:t>
        </w:r>
        <w:r w:rsidR="00991A78" w:rsidRPr="005E3CCE">
          <w:rPr>
            <w:rFonts w:ascii="Cambria" w:eastAsiaTheme="minorEastAsia" w:hAnsi="Cambria" w:cstheme="minorBidi"/>
            <w:noProof/>
            <w:sz w:val="20"/>
            <w:szCs w:val="20"/>
            <w:bdr w:val="none" w:sz="0" w:space="0" w:color="auto"/>
          </w:rPr>
          <w:tab/>
        </w:r>
        <w:r w:rsidR="00991A78" w:rsidRPr="005E3CCE">
          <w:rPr>
            <w:rStyle w:val="Hyperlink"/>
            <w:rFonts w:ascii="Cambria" w:hAnsi="Cambria"/>
            <w:noProof/>
            <w:sz w:val="20"/>
            <w:szCs w:val="20"/>
          </w:rPr>
          <w:t>Sobre la detención de Elba Clotilde Perrone y Juan José Preckel en 1976</w:t>
        </w:r>
        <w:r w:rsidR="00991A78" w:rsidRPr="005E3CCE">
          <w:rPr>
            <w:rFonts w:ascii="Cambria" w:hAnsi="Cambria"/>
            <w:noProof/>
            <w:webHidden/>
            <w:sz w:val="20"/>
            <w:szCs w:val="20"/>
          </w:rPr>
          <w:tab/>
        </w:r>
        <w:r w:rsidR="00991A78" w:rsidRPr="005E3CCE">
          <w:rPr>
            <w:rFonts w:ascii="Cambria" w:hAnsi="Cambria"/>
            <w:noProof/>
            <w:webHidden/>
            <w:sz w:val="20"/>
            <w:szCs w:val="20"/>
          </w:rPr>
          <w:fldChar w:fldCharType="begin"/>
        </w:r>
        <w:r w:rsidR="00991A78" w:rsidRPr="005E3CCE">
          <w:rPr>
            <w:rFonts w:ascii="Cambria" w:hAnsi="Cambria"/>
            <w:noProof/>
            <w:webHidden/>
            <w:sz w:val="20"/>
            <w:szCs w:val="20"/>
          </w:rPr>
          <w:instrText xml:space="preserve"> PAGEREF _Toc476667877 \h </w:instrText>
        </w:r>
        <w:r w:rsidR="00991A78" w:rsidRPr="005E3CCE">
          <w:rPr>
            <w:rFonts w:ascii="Cambria" w:hAnsi="Cambria"/>
            <w:noProof/>
            <w:webHidden/>
            <w:sz w:val="20"/>
            <w:szCs w:val="20"/>
          </w:rPr>
        </w:r>
        <w:r w:rsidR="00991A78" w:rsidRPr="005E3CCE">
          <w:rPr>
            <w:rFonts w:ascii="Cambria" w:hAnsi="Cambria"/>
            <w:noProof/>
            <w:webHidden/>
            <w:sz w:val="20"/>
            <w:szCs w:val="20"/>
          </w:rPr>
          <w:fldChar w:fldCharType="separate"/>
        </w:r>
        <w:r w:rsidR="00991A78" w:rsidRPr="005E3CCE">
          <w:rPr>
            <w:rFonts w:ascii="Cambria" w:hAnsi="Cambria"/>
            <w:noProof/>
            <w:webHidden/>
            <w:sz w:val="20"/>
            <w:szCs w:val="20"/>
          </w:rPr>
          <w:t>4</w:t>
        </w:r>
        <w:r w:rsidR="00991A78" w:rsidRPr="005E3CCE">
          <w:rPr>
            <w:rFonts w:ascii="Cambria" w:hAnsi="Cambria"/>
            <w:noProof/>
            <w:webHidden/>
            <w:sz w:val="20"/>
            <w:szCs w:val="20"/>
          </w:rPr>
          <w:fldChar w:fldCharType="end"/>
        </w:r>
      </w:hyperlink>
    </w:p>
    <w:p w:rsidR="00991A78" w:rsidRPr="005E3CCE" w:rsidRDefault="005E3CCE">
      <w:pPr>
        <w:pStyle w:val="TOC2"/>
        <w:rPr>
          <w:rFonts w:ascii="Cambria" w:eastAsiaTheme="minorEastAsia" w:hAnsi="Cambria" w:cstheme="minorBidi"/>
          <w:noProof/>
          <w:sz w:val="20"/>
          <w:szCs w:val="20"/>
          <w:bdr w:val="none" w:sz="0" w:space="0" w:color="auto"/>
        </w:rPr>
      </w:pPr>
      <w:hyperlink w:anchor="_Toc476667878" w:history="1">
        <w:r w:rsidR="00991A78" w:rsidRPr="005E3CCE">
          <w:rPr>
            <w:rStyle w:val="Hyperlink"/>
            <w:rFonts w:ascii="Cambria" w:hAnsi="Cambria"/>
            <w:noProof/>
            <w:sz w:val="20"/>
            <w:szCs w:val="20"/>
          </w:rPr>
          <w:t>B.</w:t>
        </w:r>
        <w:r w:rsidR="00991A78" w:rsidRPr="005E3CCE">
          <w:rPr>
            <w:rFonts w:ascii="Cambria" w:eastAsiaTheme="minorEastAsia" w:hAnsi="Cambria" w:cstheme="minorBidi"/>
            <w:noProof/>
            <w:sz w:val="20"/>
            <w:szCs w:val="20"/>
            <w:bdr w:val="none" w:sz="0" w:space="0" w:color="auto"/>
          </w:rPr>
          <w:tab/>
        </w:r>
        <w:r w:rsidR="00991A78" w:rsidRPr="005E3CCE">
          <w:rPr>
            <w:rStyle w:val="Hyperlink"/>
            <w:rFonts w:ascii="Cambria" w:hAnsi="Cambria"/>
            <w:noProof/>
            <w:sz w:val="20"/>
            <w:szCs w:val="20"/>
          </w:rPr>
          <w:t>Sobre la situación laboral de la señora Perrone y el señor Preckel</w:t>
        </w:r>
        <w:r w:rsidR="00991A78" w:rsidRPr="005E3CCE">
          <w:rPr>
            <w:rFonts w:ascii="Cambria" w:hAnsi="Cambria"/>
            <w:noProof/>
            <w:webHidden/>
            <w:sz w:val="20"/>
            <w:szCs w:val="20"/>
          </w:rPr>
          <w:tab/>
        </w:r>
        <w:r w:rsidR="00991A78" w:rsidRPr="005E3CCE">
          <w:rPr>
            <w:rFonts w:ascii="Cambria" w:hAnsi="Cambria"/>
            <w:noProof/>
            <w:webHidden/>
            <w:sz w:val="20"/>
            <w:szCs w:val="20"/>
          </w:rPr>
          <w:fldChar w:fldCharType="begin"/>
        </w:r>
        <w:r w:rsidR="00991A78" w:rsidRPr="005E3CCE">
          <w:rPr>
            <w:rFonts w:ascii="Cambria" w:hAnsi="Cambria"/>
            <w:noProof/>
            <w:webHidden/>
            <w:sz w:val="20"/>
            <w:szCs w:val="20"/>
          </w:rPr>
          <w:instrText xml:space="preserve"> PAGEREF _Toc476667878 \h </w:instrText>
        </w:r>
        <w:r w:rsidR="00991A78" w:rsidRPr="005E3CCE">
          <w:rPr>
            <w:rFonts w:ascii="Cambria" w:hAnsi="Cambria"/>
            <w:noProof/>
            <w:webHidden/>
            <w:sz w:val="20"/>
            <w:szCs w:val="20"/>
          </w:rPr>
        </w:r>
        <w:r w:rsidR="00991A78" w:rsidRPr="005E3CCE">
          <w:rPr>
            <w:rFonts w:ascii="Cambria" w:hAnsi="Cambria"/>
            <w:noProof/>
            <w:webHidden/>
            <w:sz w:val="20"/>
            <w:szCs w:val="20"/>
          </w:rPr>
          <w:fldChar w:fldCharType="separate"/>
        </w:r>
        <w:r w:rsidR="00991A78" w:rsidRPr="005E3CCE">
          <w:rPr>
            <w:rFonts w:ascii="Cambria" w:hAnsi="Cambria"/>
            <w:noProof/>
            <w:webHidden/>
            <w:sz w:val="20"/>
            <w:szCs w:val="20"/>
          </w:rPr>
          <w:t>6</w:t>
        </w:r>
        <w:r w:rsidR="00991A78" w:rsidRPr="005E3CCE">
          <w:rPr>
            <w:rFonts w:ascii="Cambria" w:hAnsi="Cambria"/>
            <w:noProof/>
            <w:webHidden/>
            <w:sz w:val="20"/>
            <w:szCs w:val="20"/>
          </w:rPr>
          <w:fldChar w:fldCharType="end"/>
        </w:r>
      </w:hyperlink>
    </w:p>
    <w:p w:rsidR="00991A78" w:rsidRPr="005E3CCE" w:rsidRDefault="005E3CCE">
      <w:pPr>
        <w:pStyle w:val="TOC2"/>
        <w:rPr>
          <w:rFonts w:ascii="Cambria" w:eastAsiaTheme="minorEastAsia" w:hAnsi="Cambria" w:cstheme="minorBidi"/>
          <w:noProof/>
          <w:sz w:val="20"/>
          <w:szCs w:val="20"/>
          <w:bdr w:val="none" w:sz="0" w:space="0" w:color="auto"/>
        </w:rPr>
      </w:pPr>
      <w:hyperlink w:anchor="_Toc476667879" w:history="1">
        <w:r w:rsidR="00991A78" w:rsidRPr="005E3CCE">
          <w:rPr>
            <w:rStyle w:val="Hyperlink"/>
            <w:rFonts w:ascii="Cambria" w:hAnsi="Cambria"/>
            <w:noProof/>
            <w:sz w:val="20"/>
            <w:szCs w:val="20"/>
          </w:rPr>
          <w:t>C.</w:t>
        </w:r>
        <w:r w:rsidR="00991A78" w:rsidRPr="005E3CCE">
          <w:rPr>
            <w:rFonts w:ascii="Cambria" w:eastAsiaTheme="minorEastAsia" w:hAnsi="Cambria" w:cstheme="minorBidi"/>
            <w:noProof/>
            <w:sz w:val="20"/>
            <w:szCs w:val="20"/>
            <w:bdr w:val="none" w:sz="0" w:space="0" w:color="auto"/>
          </w:rPr>
          <w:tab/>
        </w:r>
        <w:r w:rsidR="00991A78" w:rsidRPr="005E3CCE">
          <w:rPr>
            <w:rStyle w:val="Hyperlink"/>
            <w:rFonts w:ascii="Cambria" w:hAnsi="Cambria"/>
            <w:noProof/>
            <w:sz w:val="20"/>
            <w:szCs w:val="20"/>
          </w:rPr>
          <w:t>Recursos presentados</w:t>
        </w:r>
        <w:r w:rsidR="00991A78" w:rsidRPr="005E3CCE">
          <w:rPr>
            <w:rFonts w:ascii="Cambria" w:hAnsi="Cambria"/>
            <w:noProof/>
            <w:webHidden/>
            <w:sz w:val="20"/>
            <w:szCs w:val="20"/>
          </w:rPr>
          <w:tab/>
        </w:r>
        <w:r w:rsidR="00991A78" w:rsidRPr="005E3CCE">
          <w:rPr>
            <w:rFonts w:ascii="Cambria" w:hAnsi="Cambria"/>
            <w:noProof/>
            <w:webHidden/>
            <w:sz w:val="20"/>
            <w:szCs w:val="20"/>
          </w:rPr>
          <w:fldChar w:fldCharType="begin"/>
        </w:r>
        <w:r w:rsidR="00991A78" w:rsidRPr="005E3CCE">
          <w:rPr>
            <w:rFonts w:ascii="Cambria" w:hAnsi="Cambria"/>
            <w:noProof/>
            <w:webHidden/>
            <w:sz w:val="20"/>
            <w:szCs w:val="20"/>
          </w:rPr>
          <w:instrText xml:space="preserve"> PAGEREF _Toc476667879 \h </w:instrText>
        </w:r>
        <w:r w:rsidR="00991A78" w:rsidRPr="005E3CCE">
          <w:rPr>
            <w:rFonts w:ascii="Cambria" w:hAnsi="Cambria"/>
            <w:noProof/>
            <w:webHidden/>
            <w:sz w:val="20"/>
            <w:szCs w:val="20"/>
          </w:rPr>
        </w:r>
        <w:r w:rsidR="00991A78" w:rsidRPr="005E3CCE">
          <w:rPr>
            <w:rFonts w:ascii="Cambria" w:hAnsi="Cambria"/>
            <w:noProof/>
            <w:webHidden/>
            <w:sz w:val="20"/>
            <w:szCs w:val="20"/>
          </w:rPr>
          <w:fldChar w:fldCharType="separate"/>
        </w:r>
        <w:r w:rsidR="00991A78" w:rsidRPr="005E3CCE">
          <w:rPr>
            <w:rFonts w:ascii="Cambria" w:hAnsi="Cambria"/>
            <w:noProof/>
            <w:webHidden/>
            <w:sz w:val="20"/>
            <w:szCs w:val="20"/>
          </w:rPr>
          <w:t>8</w:t>
        </w:r>
        <w:r w:rsidR="00991A78" w:rsidRPr="005E3CCE">
          <w:rPr>
            <w:rFonts w:ascii="Cambria" w:hAnsi="Cambria"/>
            <w:noProof/>
            <w:webHidden/>
            <w:sz w:val="20"/>
            <w:szCs w:val="20"/>
          </w:rPr>
          <w:fldChar w:fldCharType="end"/>
        </w:r>
      </w:hyperlink>
    </w:p>
    <w:p w:rsidR="00991A78" w:rsidRPr="005E3CCE" w:rsidRDefault="005E3CCE">
      <w:pPr>
        <w:pStyle w:val="TOC3"/>
        <w:tabs>
          <w:tab w:val="left" w:pos="2160"/>
        </w:tabs>
        <w:rPr>
          <w:rFonts w:ascii="Cambria" w:eastAsiaTheme="minorEastAsia" w:hAnsi="Cambria" w:cstheme="minorBidi"/>
          <w:noProof/>
          <w:sz w:val="20"/>
          <w:szCs w:val="20"/>
          <w:bdr w:val="none" w:sz="0" w:space="0" w:color="auto"/>
        </w:rPr>
      </w:pPr>
      <w:hyperlink w:anchor="_Toc476667880" w:history="1">
        <w:r w:rsidR="00991A78" w:rsidRPr="005E3CCE">
          <w:rPr>
            <w:rStyle w:val="Hyperlink"/>
            <w:rFonts w:ascii="Cambria" w:hAnsi="Cambria"/>
            <w:noProof/>
            <w:sz w:val="20"/>
            <w:szCs w:val="20"/>
          </w:rPr>
          <w:t>1.</w:t>
        </w:r>
        <w:r w:rsidR="00991A78" w:rsidRPr="005E3CCE">
          <w:rPr>
            <w:rFonts w:ascii="Cambria" w:eastAsiaTheme="minorEastAsia" w:hAnsi="Cambria" w:cstheme="minorBidi"/>
            <w:noProof/>
            <w:sz w:val="20"/>
            <w:szCs w:val="20"/>
            <w:bdr w:val="none" w:sz="0" w:space="0" w:color="auto"/>
          </w:rPr>
          <w:tab/>
        </w:r>
        <w:r w:rsidR="00991A78" w:rsidRPr="005E3CCE">
          <w:rPr>
            <w:rStyle w:val="Hyperlink"/>
            <w:rFonts w:ascii="Cambria" w:hAnsi="Cambria"/>
            <w:noProof/>
            <w:sz w:val="20"/>
            <w:szCs w:val="20"/>
          </w:rPr>
          <w:t>Procedimiento administrativo</w:t>
        </w:r>
        <w:r w:rsidR="00991A78" w:rsidRPr="005E3CCE">
          <w:rPr>
            <w:rFonts w:ascii="Cambria" w:hAnsi="Cambria"/>
            <w:noProof/>
            <w:webHidden/>
            <w:sz w:val="20"/>
            <w:szCs w:val="20"/>
          </w:rPr>
          <w:tab/>
        </w:r>
        <w:r w:rsidR="00991A78" w:rsidRPr="005E3CCE">
          <w:rPr>
            <w:rFonts w:ascii="Cambria" w:hAnsi="Cambria"/>
            <w:noProof/>
            <w:webHidden/>
            <w:sz w:val="20"/>
            <w:szCs w:val="20"/>
          </w:rPr>
          <w:fldChar w:fldCharType="begin"/>
        </w:r>
        <w:r w:rsidR="00991A78" w:rsidRPr="005E3CCE">
          <w:rPr>
            <w:rFonts w:ascii="Cambria" w:hAnsi="Cambria"/>
            <w:noProof/>
            <w:webHidden/>
            <w:sz w:val="20"/>
            <w:szCs w:val="20"/>
          </w:rPr>
          <w:instrText xml:space="preserve"> PAGEREF _Toc476667880 \h </w:instrText>
        </w:r>
        <w:r w:rsidR="00991A78" w:rsidRPr="005E3CCE">
          <w:rPr>
            <w:rFonts w:ascii="Cambria" w:hAnsi="Cambria"/>
            <w:noProof/>
            <w:webHidden/>
            <w:sz w:val="20"/>
            <w:szCs w:val="20"/>
          </w:rPr>
        </w:r>
        <w:r w:rsidR="00991A78" w:rsidRPr="005E3CCE">
          <w:rPr>
            <w:rFonts w:ascii="Cambria" w:hAnsi="Cambria"/>
            <w:noProof/>
            <w:webHidden/>
            <w:sz w:val="20"/>
            <w:szCs w:val="20"/>
          </w:rPr>
          <w:fldChar w:fldCharType="separate"/>
        </w:r>
        <w:r w:rsidR="00991A78" w:rsidRPr="005E3CCE">
          <w:rPr>
            <w:rFonts w:ascii="Cambria" w:hAnsi="Cambria"/>
            <w:noProof/>
            <w:webHidden/>
            <w:sz w:val="20"/>
            <w:szCs w:val="20"/>
          </w:rPr>
          <w:t>8</w:t>
        </w:r>
        <w:r w:rsidR="00991A78" w:rsidRPr="005E3CCE">
          <w:rPr>
            <w:rFonts w:ascii="Cambria" w:hAnsi="Cambria"/>
            <w:noProof/>
            <w:webHidden/>
            <w:sz w:val="20"/>
            <w:szCs w:val="20"/>
          </w:rPr>
          <w:fldChar w:fldCharType="end"/>
        </w:r>
      </w:hyperlink>
    </w:p>
    <w:p w:rsidR="00991A78" w:rsidRPr="005E3CCE" w:rsidRDefault="005E3CCE">
      <w:pPr>
        <w:pStyle w:val="TOC3"/>
        <w:tabs>
          <w:tab w:val="left" w:pos="2160"/>
        </w:tabs>
        <w:rPr>
          <w:rFonts w:ascii="Cambria" w:eastAsiaTheme="minorEastAsia" w:hAnsi="Cambria" w:cstheme="minorBidi"/>
          <w:noProof/>
          <w:sz w:val="20"/>
          <w:szCs w:val="20"/>
          <w:bdr w:val="none" w:sz="0" w:space="0" w:color="auto"/>
        </w:rPr>
      </w:pPr>
      <w:hyperlink w:anchor="_Toc476667881" w:history="1">
        <w:r w:rsidR="00991A78" w:rsidRPr="005E3CCE">
          <w:rPr>
            <w:rStyle w:val="Hyperlink"/>
            <w:rFonts w:ascii="Cambria" w:hAnsi="Cambria"/>
            <w:iCs/>
            <w:noProof/>
            <w:sz w:val="20"/>
            <w:szCs w:val="20"/>
          </w:rPr>
          <w:t>2.</w:t>
        </w:r>
        <w:r w:rsidR="00991A78" w:rsidRPr="005E3CCE">
          <w:rPr>
            <w:rFonts w:ascii="Cambria" w:eastAsiaTheme="minorEastAsia" w:hAnsi="Cambria" w:cstheme="minorBidi"/>
            <w:noProof/>
            <w:sz w:val="20"/>
            <w:szCs w:val="20"/>
            <w:bdr w:val="none" w:sz="0" w:space="0" w:color="auto"/>
          </w:rPr>
          <w:tab/>
        </w:r>
        <w:r w:rsidR="00991A78" w:rsidRPr="005E3CCE">
          <w:rPr>
            <w:rStyle w:val="Hyperlink"/>
            <w:rFonts w:ascii="Cambria" w:hAnsi="Cambria"/>
            <w:iCs/>
            <w:noProof/>
            <w:sz w:val="20"/>
            <w:szCs w:val="20"/>
          </w:rPr>
          <w:t>Procedimiento judicial</w:t>
        </w:r>
        <w:r w:rsidR="00991A78" w:rsidRPr="005E3CCE">
          <w:rPr>
            <w:rFonts w:ascii="Cambria" w:hAnsi="Cambria"/>
            <w:noProof/>
            <w:webHidden/>
            <w:sz w:val="20"/>
            <w:szCs w:val="20"/>
          </w:rPr>
          <w:tab/>
        </w:r>
        <w:r w:rsidR="00991A78" w:rsidRPr="005E3CCE">
          <w:rPr>
            <w:rFonts w:ascii="Cambria" w:hAnsi="Cambria"/>
            <w:noProof/>
            <w:webHidden/>
            <w:sz w:val="20"/>
            <w:szCs w:val="20"/>
          </w:rPr>
          <w:fldChar w:fldCharType="begin"/>
        </w:r>
        <w:r w:rsidR="00991A78" w:rsidRPr="005E3CCE">
          <w:rPr>
            <w:rFonts w:ascii="Cambria" w:hAnsi="Cambria"/>
            <w:noProof/>
            <w:webHidden/>
            <w:sz w:val="20"/>
            <w:szCs w:val="20"/>
          </w:rPr>
          <w:instrText xml:space="preserve"> PAGEREF _Toc476667881 \h </w:instrText>
        </w:r>
        <w:r w:rsidR="00991A78" w:rsidRPr="005E3CCE">
          <w:rPr>
            <w:rFonts w:ascii="Cambria" w:hAnsi="Cambria"/>
            <w:noProof/>
            <w:webHidden/>
            <w:sz w:val="20"/>
            <w:szCs w:val="20"/>
          </w:rPr>
        </w:r>
        <w:r w:rsidR="00991A78" w:rsidRPr="005E3CCE">
          <w:rPr>
            <w:rFonts w:ascii="Cambria" w:hAnsi="Cambria"/>
            <w:noProof/>
            <w:webHidden/>
            <w:sz w:val="20"/>
            <w:szCs w:val="20"/>
          </w:rPr>
          <w:fldChar w:fldCharType="separate"/>
        </w:r>
        <w:r w:rsidR="00991A78" w:rsidRPr="005E3CCE">
          <w:rPr>
            <w:rFonts w:ascii="Cambria" w:hAnsi="Cambria"/>
            <w:noProof/>
            <w:webHidden/>
            <w:sz w:val="20"/>
            <w:szCs w:val="20"/>
          </w:rPr>
          <w:t>10</w:t>
        </w:r>
        <w:r w:rsidR="00991A78" w:rsidRPr="005E3CCE">
          <w:rPr>
            <w:rFonts w:ascii="Cambria" w:hAnsi="Cambria"/>
            <w:noProof/>
            <w:webHidden/>
            <w:sz w:val="20"/>
            <w:szCs w:val="20"/>
          </w:rPr>
          <w:fldChar w:fldCharType="end"/>
        </w:r>
      </w:hyperlink>
    </w:p>
    <w:p w:rsidR="005E3CCE" w:rsidRDefault="005E3CCE">
      <w:pPr>
        <w:pStyle w:val="TOC1"/>
        <w:rPr>
          <w:rFonts w:ascii="Cambria" w:hAnsi="Cambria"/>
          <w:sz w:val="20"/>
          <w:szCs w:val="20"/>
        </w:rPr>
      </w:pPr>
    </w:p>
    <w:p w:rsidR="00991A78" w:rsidRPr="005E3CCE" w:rsidRDefault="005E3CCE">
      <w:pPr>
        <w:pStyle w:val="TOC1"/>
        <w:rPr>
          <w:rFonts w:ascii="Cambria" w:eastAsiaTheme="minorEastAsia" w:hAnsi="Cambria" w:cstheme="minorBidi"/>
          <w:noProof/>
          <w:sz w:val="20"/>
          <w:szCs w:val="20"/>
          <w:bdr w:val="none" w:sz="0" w:space="0" w:color="auto"/>
        </w:rPr>
      </w:pPr>
      <w:hyperlink w:anchor="_Toc476667882" w:history="1">
        <w:r w:rsidR="00991A78" w:rsidRPr="005E3CCE">
          <w:rPr>
            <w:rStyle w:val="Hyperlink"/>
            <w:rFonts w:ascii="Cambria" w:hAnsi="Cambria"/>
            <w:noProof/>
            <w:sz w:val="20"/>
            <w:szCs w:val="20"/>
            <w:lang w:val="es-ES_tradnl"/>
          </w:rPr>
          <w:t>V.</w:t>
        </w:r>
        <w:r w:rsidR="00991A78" w:rsidRPr="005E3CCE">
          <w:rPr>
            <w:rFonts w:ascii="Cambria" w:eastAsiaTheme="minorEastAsia" w:hAnsi="Cambria" w:cstheme="minorBidi"/>
            <w:noProof/>
            <w:sz w:val="20"/>
            <w:szCs w:val="20"/>
            <w:bdr w:val="none" w:sz="0" w:space="0" w:color="auto"/>
          </w:rPr>
          <w:tab/>
        </w:r>
        <w:r w:rsidR="00991A78" w:rsidRPr="005E3CCE">
          <w:rPr>
            <w:rStyle w:val="Hyperlink"/>
            <w:rFonts w:ascii="Cambria" w:hAnsi="Cambria"/>
            <w:noProof/>
            <w:sz w:val="20"/>
            <w:szCs w:val="20"/>
          </w:rPr>
          <w:t>ANÁLISIS DE FONDO</w:t>
        </w:r>
        <w:r w:rsidR="00991A78" w:rsidRPr="005E3CCE">
          <w:rPr>
            <w:rFonts w:ascii="Cambria" w:hAnsi="Cambria"/>
            <w:noProof/>
            <w:webHidden/>
            <w:sz w:val="20"/>
            <w:szCs w:val="20"/>
          </w:rPr>
          <w:tab/>
        </w:r>
        <w:r w:rsidR="00991A78" w:rsidRPr="005E3CCE">
          <w:rPr>
            <w:rFonts w:ascii="Cambria" w:hAnsi="Cambria"/>
            <w:noProof/>
            <w:webHidden/>
            <w:sz w:val="20"/>
            <w:szCs w:val="20"/>
          </w:rPr>
          <w:fldChar w:fldCharType="begin"/>
        </w:r>
        <w:r w:rsidR="00991A78" w:rsidRPr="005E3CCE">
          <w:rPr>
            <w:rFonts w:ascii="Cambria" w:hAnsi="Cambria"/>
            <w:noProof/>
            <w:webHidden/>
            <w:sz w:val="20"/>
            <w:szCs w:val="20"/>
          </w:rPr>
          <w:instrText xml:space="preserve"> PAGEREF _Toc476667882 \h </w:instrText>
        </w:r>
        <w:r w:rsidR="00991A78" w:rsidRPr="005E3CCE">
          <w:rPr>
            <w:rFonts w:ascii="Cambria" w:hAnsi="Cambria"/>
            <w:noProof/>
            <w:webHidden/>
            <w:sz w:val="20"/>
            <w:szCs w:val="20"/>
          </w:rPr>
        </w:r>
        <w:r w:rsidR="00991A78" w:rsidRPr="005E3CCE">
          <w:rPr>
            <w:rFonts w:ascii="Cambria" w:hAnsi="Cambria"/>
            <w:noProof/>
            <w:webHidden/>
            <w:sz w:val="20"/>
            <w:szCs w:val="20"/>
          </w:rPr>
          <w:fldChar w:fldCharType="separate"/>
        </w:r>
        <w:r w:rsidR="00991A78" w:rsidRPr="005E3CCE">
          <w:rPr>
            <w:rFonts w:ascii="Cambria" w:hAnsi="Cambria"/>
            <w:noProof/>
            <w:webHidden/>
            <w:sz w:val="20"/>
            <w:szCs w:val="20"/>
          </w:rPr>
          <w:t>15</w:t>
        </w:r>
        <w:r w:rsidR="00991A78" w:rsidRPr="005E3CCE">
          <w:rPr>
            <w:rFonts w:ascii="Cambria" w:hAnsi="Cambria"/>
            <w:noProof/>
            <w:webHidden/>
            <w:sz w:val="20"/>
            <w:szCs w:val="20"/>
          </w:rPr>
          <w:fldChar w:fldCharType="end"/>
        </w:r>
      </w:hyperlink>
    </w:p>
    <w:p w:rsidR="00991A78" w:rsidRPr="005E3CCE" w:rsidRDefault="005E3CCE">
      <w:pPr>
        <w:pStyle w:val="TOC2"/>
        <w:rPr>
          <w:rFonts w:ascii="Cambria" w:eastAsiaTheme="minorEastAsia" w:hAnsi="Cambria" w:cstheme="minorBidi"/>
          <w:noProof/>
          <w:sz w:val="20"/>
          <w:szCs w:val="20"/>
          <w:bdr w:val="none" w:sz="0" w:space="0" w:color="auto"/>
        </w:rPr>
      </w:pPr>
      <w:hyperlink w:anchor="_Toc476667883" w:history="1">
        <w:r w:rsidR="00991A78" w:rsidRPr="005E3CCE">
          <w:rPr>
            <w:rStyle w:val="Hyperlink"/>
            <w:rFonts w:ascii="Cambria" w:hAnsi="Cambria"/>
            <w:noProof/>
            <w:sz w:val="20"/>
            <w:szCs w:val="20"/>
            <w:lang w:val="es-ES"/>
          </w:rPr>
          <w:t>A.</w:t>
        </w:r>
        <w:r w:rsidR="00991A78" w:rsidRPr="005E3CCE">
          <w:rPr>
            <w:rFonts w:ascii="Cambria" w:eastAsiaTheme="minorEastAsia" w:hAnsi="Cambria" w:cstheme="minorBidi"/>
            <w:noProof/>
            <w:sz w:val="20"/>
            <w:szCs w:val="20"/>
            <w:bdr w:val="none" w:sz="0" w:space="0" w:color="auto"/>
          </w:rPr>
          <w:tab/>
        </w:r>
        <w:r w:rsidR="00991A78" w:rsidRPr="005E3CCE">
          <w:rPr>
            <w:rStyle w:val="Hyperlink"/>
            <w:rFonts w:ascii="Cambria" w:hAnsi="Cambria"/>
            <w:noProof/>
            <w:sz w:val="20"/>
            <w:szCs w:val="20"/>
            <w:lang w:val="es-ES"/>
          </w:rPr>
          <w:t>Cuestiones previas</w:t>
        </w:r>
        <w:r w:rsidR="00991A78" w:rsidRPr="005E3CCE">
          <w:rPr>
            <w:rFonts w:ascii="Cambria" w:hAnsi="Cambria"/>
            <w:noProof/>
            <w:webHidden/>
            <w:sz w:val="20"/>
            <w:szCs w:val="20"/>
          </w:rPr>
          <w:tab/>
        </w:r>
        <w:r w:rsidR="00991A78" w:rsidRPr="005E3CCE">
          <w:rPr>
            <w:rFonts w:ascii="Cambria" w:hAnsi="Cambria"/>
            <w:noProof/>
            <w:webHidden/>
            <w:sz w:val="20"/>
            <w:szCs w:val="20"/>
          </w:rPr>
          <w:fldChar w:fldCharType="begin"/>
        </w:r>
        <w:r w:rsidR="00991A78" w:rsidRPr="005E3CCE">
          <w:rPr>
            <w:rFonts w:ascii="Cambria" w:hAnsi="Cambria"/>
            <w:noProof/>
            <w:webHidden/>
            <w:sz w:val="20"/>
            <w:szCs w:val="20"/>
          </w:rPr>
          <w:instrText xml:space="preserve"> PAGEREF _Toc476667883 \h </w:instrText>
        </w:r>
        <w:r w:rsidR="00991A78" w:rsidRPr="005E3CCE">
          <w:rPr>
            <w:rFonts w:ascii="Cambria" w:hAnsi="Cambria"/>
            <w:noProof/>
            <w:webHidden/>
            <w:sz w:val="20"/>
            <w:szCs w:val="20"/>
          </w:rPr>
        </w:r>
        <w:r w:rsidR="00991A78" w:rsidRPr="005E3CCE">
          <w:rPr>
            <w:rFonts w:ascii="Cambria" w:hAnsi="Cambria"/>
            <w:noProof/>
            <w:webHidden/>
            <w:sz w:val="20"/>
            <w:szCs w:val="20"/>
          </w:rPr>
          <w:fldChar w:fldCharType="separate"/>
        </w:r>
        <w:r w:rsidR="00991A78" w:rsidRPr="005E3CCE">
          <w:rPr>
            <w:rFonts w:ascii="Cambria" w:hAnsi="Cambria"/>
            <w:noProof/>
            <w:webHidden/>
            <w:sz w:val="20"/>
            <w:szCs w:val="20"/>
          </w:rPr>
          <w:t>15</w:t>
        </w:r>
        <w:r w:rsidR="00991A78" w:rsidRPr="005E3CCE">
          <w:rPr>
            <w:rFonts w:ascii="Cambria" w:hAnsi="Cambria"/>
            <w:noProof/>
            <w:webHidden/>
            <w:sz w:val="20"/>
            <w:szCs w:val="20"/>
          </w:rPr>
          <w:fldChar w:fldCharType="end"/>
        </w:r>
      </w:hyperlink>
    </w:p>
    <w:p w:rsidR="00991A78" w:rsidRPr="005E3CCE" w:rsidRDefault="005E3CCE">
      <w:pPr>
        <w:pStyle w:val="TOC2"/>
        <w:rPr>
          <w:rFonts w:ascii="Cambria" w:eastAsiaTheme="minorEastAsia" w:hAnsi="Cambria" w:cstheme="minorBidi"/>
          <w:noProof/>
          <w:sz w:val="20"/>
          <w:szCs w:val="20"/>
          <w:bdr w:val="none" w:sz="0" w:space="0" w:color="auto"/>
        </w:rPr>
      </w:pPr>
      <w:hyperlink w:anchor="_Toc476667884" w:history="1">
        <w:r w:rsidR="00991A78" w:rsidRPr="005E3CCE">
          <w:rPr>
            <w:rStyle w:val="Hyperlink"/>
            <w:rFonts w:ascii="Cambria" w:hAnsi="Cambria"/>
            <w:noProof/>
            <w:sz w:val="20"/>
            <w:szCs w:val="20"/>
            <w:lang w:val="es-ES"/>
          </w:rPr>
          <w:t>B.</w:t>
        </w:r>
        <w:r w:rsidR="00991A78" w:rsidRPr="005E3CCE">
          <w:rPr>
            <w:rFonts w:ascii="Cambria" w:eastAsiaTheme="minorEastAsia" w:hAnsi="Cambria" w:cstheme="minorBidi"/>
            <w:noProof/>
            <w:sz w:val="20"/>
            <w:szCs w:val="20"/>
            <w:bdr w:val="none" w:sz="0" w:space="0" w:color="auto"/>
          </w:rPr>
          <w:tab/>
        </w:r>
        <w:r w:rsidR="00991A78" w:rsidRPr="005E3CCE">
          <w:rPr>
            <w:rStyle w:val="Hyperlink"/>
            <w:rFonts w:ascii="Cambria" w:hAnsi="Cambria"/>
            <w:noProof/>
            <w:sz w:val="20"/>
            <w:szCs w:val="20"/>
            <w:lang w:val="es-ES"/>
          </w:rPr>
          <w:t>Derecho a las garantías judiciales y protección judicial (artículos 8.1 y 25.1 de la Convención Americana) en relación con el artículo 1.1 del mismo instrumento</w:t>
        </w:r>
        <w:r w:rsidR="00991A78" w:rsidRPr="005E3CCE">
          <w:rPr>
            <w:rFonts w:ascii="Cambria" w:hAnsi="Cambria"/>
            <w:noProof/>
            <w:webHidden/>
            <w:sz w:val="20"/>
            <w:szCs w:val="20"/>
          </w:rPr>
          <w:tab/>
        </w:r>
        <w:r w:rsidR="00991A78" w:rsidRPr="005E3CCE">
          <w:rPr>
            <w:rFonts w:ascii="Cambria" w:hAnsi="Cambria"/>
            <w:noProof/>
            <w:webHidden/>
            <w:sz w:val="20"/>
            <w:szCs w:val="20"/>
          </w:rPr>
          <w:fldChar w:fldCharType="begin"/>
        </w:r>
        <w:r w:rsidR="00991A78" w:rsidRPr="005E3CCE">
          <w:rPr>
            <w:rFonts w:ascii="Cambria" w:hAnsi="Cambria"/>
            <w:noProof/>
            <w:webHidden/>
            <w:sz w:val="20"/>
            <w:szCs w:val="20"/>
          </w:rPr>
          <w:instrText xml:space="preserve"> PAGEREF _Toc476667884 \h </w:instrText>
        </w:r>
        <w:r w:rsidR="00991A78" w:rsidRPr="005E3CCE">
          <w:rPr>
            <w:rFonts w:ascii="Cambria" w:hAnsi="Cambria"/>
            <w:noProof/>
            <w:webHidden/>
            <w:sz w:val="20"/>
            <w:szCs w:val="20"/>
          </w:rPr>
        </w:r>
        <w:r w:rsidR="00991A78" w:rsidRPr="005E3CCE">
          <w:rPr>
            <w:rFonts w:ascii="Cambria" w:hAnsi="Cambria"/>
            <w:noProof/>
            <w:webHidden/>
            <w:sz w:val="20"/>
            <w:szCs w:val="20"/>
          </w:rPr>
          <w:fldChar w:fldCharType="separate"/>
        </w:r>
        <w:r w:rsidR="00991A78" w:rsidRPr="005E3CCE">
          <w:rPr>
            <w:rFonts w:ascii="Cambria" w:hAnsi="Cambria"/>
            <w:noProof/>
            <w:webHidden/>
            <w:sz w:val="20"/>
            <w:szCs w:val="20"/>
          </w:rPr>
          <w:t>16</w:t>
        </w:r>
        <w:r w:rsidR="00991A78" w:rsidRPr="005E3CCE">
          <w:rPr>
            <w:rFonts w:ascii="Cambria" w:hAnsi="Cambria"/>
            <w:noProof/>
            <w:webHidden/>
            <w:sz w:val="20"/>
            <w:szCs w:val="20"/>
          </w:rPr>
          <w:fldChar w:fldCharType="end"/>
        </w:r>
      </w:hyperlink>
    </w:p>
    <w:p w:rsidR="00991A78" w:rsidRPr="005E3CCE" w:rsidRDefault="005E3CCE">
      <w:pPr>
        <w:pStyle w:val="TOC3"/>
        <w:tabs>
          <w:tab w:val="left" w:pos="2160"/>
        </w:tabs>
        <w:rPr>
          <w:rFonts w:ascii="Cambria" w:eastAsiaTheme="minorEastAsia" w:hAnsi="Cambria" w:cstheme="minorBidi"/>
          <w:noProof/>
          <w:sz w:val="20"/>
          <w:szCs w:val="20"/>
          <w:bdr w:val="none" w:sz="0" w:space="0" w:color="auto"/>
        </w:rPr>
      </w:pPr>
      <w:hyperlink w:anchor="_Toc476667885" w:history="1">
        <w:r w:rsidR="00991A78" w:rsidRPr="005E3CCE">
          <w:rPr>
            <w:rStyle w:val="Hyperlink"/>
            <w:rFonts w:ascii="Cambria" w:hAnsi="Cambria"/>
            <w:noProof/>
            <w:sz w:val="20"/>
            <w:szCs w:val="20"/>
          </w:rPr>
          <w:t>1.</w:t>
        </w:r>
        <w:r w:rsidR="00991A78" w:rsidRPr="005E3CCE">
          <w:rPr>
            <w:rFonts w:ascii="Cambria" w:eastAsiaTheme="minorEastAsia" w:hAnsi="Cambria" w:cstheme="minorBidi"/>
            <w:noProof/>
            <w:sz w:val="20"/>
            <w:szCs w:val="20"/>
            <w:bdr w:val="none" w:sz="0" w:space="0" w:color="auto"/>
          </w:rPr>
          <w:tab/>
        </w:r>
        <w:r w:rsidR="00991A78" w:rsidRPr="005E3CCE">
          <w:rPr>
            <w:rStyle w:val="Hyperlink"/>
            <w:rFonts w:ascii="Cambria" w:hAnsi="Cambria"/>
            <w:noProof/>
            <w:sz w:val="20"/>
            <w:szCs w:val="20"/>
          </w:rPr>
          <w:t>Sobre la garantía del plazo razonable</w:t>
        </w:r>
        <w:r w:rsidR="00991A78" w:rsidRPr="005E3CCE">
          <w:rPr>
            <w:rFonts w:ascii="Cambria" w:hAnsi="Cambria"/>
            <w:noProof/>
            <w:webHidden/>
            <w:sz w:val="20"/>
            <w:szCs w:val="20"/>
          </w:rPr>
          <w:tab/>
        </w:r>
        <w:r w:rsidR="00991A78" w:rsidRPr="005E3CCE">
          <w:rPr>
            <w:rFonts w:ascii="Cambria" w:hAnsi="Cambria"/>
            <w:noProof/>
            <w:webHidden/>
            <w:sz w:val="20"/>
            <w:szCs w:val="20"/>
          </w:rPr>
          <w:fldChar w:fldCharType="begin"/>
        </w:r>
        <w:r w:rsidR="00991A78" w:rsidRPr="005E3CCE">
          <w:rPr>
            <w:rFonts w:ascii="Cambria" w:hAnsi="Cambria"/>
            <w:noProof/>
            <w:webHidden/>
            <w:sz w:val="20"/>
            <w:szCs w:val="20"/>
          </w:rPr>
          <w:instrText xml:space="preserve"> PAGEREF _Toc476667885 \h </w:instrText>
        </w:r>
        <w:r w:rsidR="00991A78" w:rsidRPr="005E3CCE">
          <w:rPr>
            <w:rFonts w:ascii="Cambria" w:hAnsi="Cambria"/>
            <w:noProof/>
            <w:webHidden/>
            <w:sz w:val="20"/>
            <w:szCs w:val="20"/>
          </w:rPr>
        </w:r>
        <w:r w:rsidR="00991A78" w:rsidRPr="005E3CCE">
          <w:rPr>
            <w:rFonts w:ascii="Cambria" w:hAnsi="Cambria"/>
            <w:noProof/>
            <w:webHidden/>
            <w:sz w:val="20"/>
            <w:szCs w:val="20"/>
          </w:rPr>
          <w:fldChar w:fldCharType="separate"/>
        </w:r>
        <w:r w:rsidR="00991A78" w:rsidRPr="005E3CCE">
          <w:rPr>
            <w:rFonts w:ascii="Cambria" w:hAnsi="Cambria"/>
            <w:noProof/>
            <w:webHidden/>
            <w:sz w:val="20"/>
            <w:szCs w:val="20"/>
          </w:rPr>
          <w:t>17</w:t>
        </w:r>
        <w:r w:rsidR="00991A78" w:rsidRPr="005E3CCE">
          <w:rPr>
            <w:rFonts w:ascii="Cambria" w:hAnsi="Cambria"/>
            <w:noProof/>
            <w:webHidden/>
            <w:sz w:val="20"/>
            <w:szCs w:val="20"/>
          </w:rPr>
          <w:fldChar w:fldCharType="end"/>
        </w:r>
      </w:hyperlink>
    </w:p>
    <w:p w:rsidR="00991A78" w:rsidRPr="005E3CCE" w:rsidRDefault="005E3CCE">
      <w:pPr>
        <w:pStyle w:val="TOC3"/>
        <w:tabs>
          <w:tab w:val="left" w:pos="2160"/>
        </w:tabs>
        <w:rPr>
          <w:rFonts w:ascii="Cambria" w:eastAsiaTheme="minorEastAsia" w:hAnsi="Cambria" w:cstheme="minorBidi"/>
          <w:noProof/>
          <w:sz w:val="20"/>
          <w:szCs w:val="20"/>
          <w:bdr w:val="none" w:sz="0" w:space="0" w:color="auto"/>
        </w:rPr>
      </w:pPr>
      <w:hyperlink w:anchor="_Toc476667886" w:history="1">
        <w:r w:rsidR="00991A78" w:rsidRPr="005E3CCE">
          <w:rPr>
            <w:rStyle w:val="Hyperlink"/>
            <w:rFonts w:ascii="Cambria" w:hAnsi="Cambria"/>
            <w:noProof/>
            <w:sz w:val="20"/>
            <w:szCs w:val="20"/>
          </w:rPr>
          <w:t xml:space="preserve">2. </w:t>
        </w:r>
        <w:r w:rsidR="00991A78" w:rsidRPr="005E3CCE">
          <w:rPr>
            <w:rFonts w:ascii="Cambria" w:eastAsiaTheme="minorEastAsia" w:hAnsi="Cambria" w:cstheme="minorBidi"/>
            <w:noProof/>
            <w:sz w:val="20"/>
            <w:szCs w:val="20"/>
            <w:bdr w:val="none" w:sz="0" w:space="0" w:color="auto"/>
          </w:rPr>
          <w:tab/>
        </w:r>
        <w:r w:rsidR="00991A78" w:rsidRPr="005E3CCE">
          <w:rPr>
            <w:rStyle w:val="Hyperlink"/>
            <w:rFonts w:ascii="Cambria" w:hAnsi="Cambria"/>
            <w:noProof/>
            <w:sz w:val="20"/>
            <w:szCs w:val="20"/>
          </w:rPr>
          <w:t>Sobre el deber de motivación como garantía del debido proceso</w:t>
        </w:r>
        <w:r w:rsidR="00991A78" w:rsidRPr="005E3CCE">
          <w:rPr>
            <w:rFonts w:ascii="Cambria" w:hAnsi="Cambria"/>
            <w:noProof/>
            <w:webHidden/>
            <w:sz w:val="20"/>
            <w:szCs w:val="20"/>
          </w:rPr>
          <w:tab/>
        </w:r>
        <w:r w:rsidR="00991A78" w:rsidRPr="005E3CCE">
          <w:rPr>
            <w:rFonts w:ascii="Cambria" w:hAnsi="Cambria"/>
            <w:noProof/>
            <w:webHidden/>
            <w:sz w:val="20"/>
            <w:szCs w:val="20"/>
          </w:rPr>
          <w:fldChar w:fldCharType="begin"/>
        </w:r>
        <w:r w:rsidR="00991A78" w:rsidRPr="005E3CCE">
          <w:rPr>
            <w:rFonts w:ascii="Cambria" w:hAnsi="Cambria"/>
            <w:noProof/>
            <w:webHidden/>
            <w:sz w:val="20"/>
            <w:szCs w:val="20"/>
          </w:rPr>
          <w:instrText xml:space="preserve"> PAGEREF _Toc476667886 \h </w:instrText>
        </w:r>
        <w:r w:rsidR="00991A78" w:rsidRPr="005E3CCE">
          <w:rPr>
            <w:rFonts w:ascii="Cambria" w:hAnsi="Cambria"/>
            <w:noProof/>
            <w:webHidden/>
            <w:sz w:val="20"/>
            <w:szCs w:val="20"/>
          </w:rPr>
        </w:r>
        <w:r w:rsidR="00991A78" w:rsidRPr="005E3CCE">
          <w:rPr>
            <w:rFonts w:ascii="Cambria" w:hAnsi="Cambria"/>
            <w:noProof/>
            <w:webHidden/>
            <w:sz w:val="20"/>
            <w:szCs w:val="20"/>
          </w:rPr>
          <w:fldChar w:fldCharType="separate"/>
        </w:r>
        <w:r w:rsidR="00991A78" w:rsidRPr="005E3CCE">
          <w:rPr>
            <w:rFonts w:ascii="Cambria" w:hAnsi="Cambria"/>
            <w:noProof/>
            <w:webHidden/>
            <w:sz w:val="20"/>
            <w:szCs w:val="20"/>
          </w:rPr>
          <w:t>18</w:t>
        </w:r>
        <w:r w:rsidR="00991A78" w:rsidRPr="005E3CCE">
          <w:rPr>
            <w:rFonts w:ascii="Cambria" w:hAnsi="Cambria"/>
            <w:noProof/>
            <w:webHidden/>
            <w:sz w:val="20"/>
            <w:szCs w:val="20"/>
          </w:rPr>
          <w:fldChar w:fldCharType="end"/>
        </w:r>
      </w:hyperlink>
    </w:p>
    <w:p w:rsidR="005E3CCE" w:rsidRDefault="005E3CCE">
      <w:pPr>
        <w:pStyle w:val="TOC1"/>
        <w:rPr>
          <w:rFonts w:ascii="Cambria" w:hAnsi="Cambria"/>
          <w:sz w:val="20"/>
          <w:szCs w:val="20"/>
        </w:rPr>
      </w:pPr>
    </w:p>
    <w:p w:rsidR="00991A78" w:rsidRPr="005E3CCE" w:rsidRDefault="005E3CCE">
      <w:pPr>
        <w:pStyle w:val="TOC1"/>
        <w:rPr>
          <w:rFonts w:ascii="Cambria" w:eastAsiaTheme="minorEastAsia" w:hAnsi="Cambria" w:cstheme="minorBidi"/>
          <w:noProof/>
          <w:sz w:val="20"/>
          <w:szCs w:val="20"/>
          <w:bdr w:val="none" w:sz="0" w:space="0" w:color="auto"/>
        </w:rPr>
      </w:pPr>
      <w:hyperlink w:anchor="_Toc476667887" w:history="1">
        <w:r w:rsidR="00991A78" w:rsidRPr="005E3CCE">
          <w:rPr>
            <w:rStyle w:val="Hyperlink"/>
            <w:rFonts w:ascii="Cambria" w:hAnsi="Cambria"/>
            <w:noProof/>
            <w:sz w:val="20"/>
            <w:szCs w:val="20"/>
          </w:rPr>
          <w:t>VI.</w:t>
        </w:r>
        <w:r w:rsidR="00991A78" w:rsidRPr="005E3CCE">
          <w:rPr>
            <w:rFonts w:ascii="Cambria" w:eastAsiaTheme="minorEastAsia" w:hAnsi="Cambria" w:cstheme="minorBidi"/>
            <w:noProof/>
            <w:sz w:val="20"/>
            <w:szCs w:val="20"/>
            <w:bdr w:val="none" w:sz="0" w:space="0" w:color="auto"/>
          </w:rPr>
          <w:tab/>
        </w:r>
        <w:r w:rsidR="00991A78" w:rsidRPr="005E3CCE">
          <w:rPr>
            <w:rStyle w:val="Hyperlink"/>
            <w:rFonts w:ascii="Cambria" w:hAnsi="Cambria"/>
            <w:noProof/>
            <w:sz w:val="20"/>
            <w:szCs w:val="20"/>
          </w:rPr>
          <w:t>CONCLUSIONES</w:t>
        </w:r>
        <w:r w:rsidR="00991A78" w:rsidRPr="005E3CCE">
          <w:rPr>
            <w:rFonts w:ascii="Cambria" w:hAnsi="Cambria"/>
            <w:noProof/>
            <w:webHidden/>
            <w:sz w:val="20"/>
            <w:szCs w:val="20"/>
          </w:rPr>
          <w:tab/>
        </w:r>
        <w:r w:rsidR="00991A78" w:rsidRPr="005E3CCE">
          <w:rPr>
            <w:rFonts w:ascii="Cambria" w:hAnsi="Cambria"/>
            <w:noProof/>
            <w:webHidden/>
            <w:sz w:val="20"/>
            <w:szCs w:val="20"/>
          </w:rPr>
          <w:fldChar w:fldCharType="begin"/>
        </w:r>
        <w:r w:rsidR="00991A78" w:rsidRPr="005E3CCE">
          <w:rPr>
            <w:rFonts w:ascii="Cambria" w:hAnsi="Cambria"/>
            <w:noProof/>
            <w:webHidden/>
            <w:sz w:val="20"/>
            <w:szCs w:val="20"/>
          </w:rPr>
          <w:instrText xml:space="preserve"> PAGEREF _Toc476667887 \h </w:instrText>
        </w:r>
        <w:r w:rsidR="00991A78" w:rsidRPr="005E3CCE">
          <w:rPr>
            <w:rFonts w:ascii="Cambria" w:hAnsi="Cambria"/>
            <w:noProof/>
            <w:webHidden/>
            <w:sz w:val="20"/>
            <w:szCs w:val="20"/>
          </w:rPr>
        </w:r>
        <w:r w:rsidR="00991A78" w:rsidRPr="005E3CCE">
          <w:rPr>
            <w:rFonts w:ascii="Cambria" w:hAnsi="Cambria"/>
            <w:noProof/>
            <w:webHidden/>
            <w:sz w:val="20"/>
            <w:szCs w:val="20"/>
          </w:rPr>
          <w:fldChar w:fldCharType="separate"/>
        </w:r>
        <w:r w:rsidR="00991A78" w:rsidRPr="005E3CCE">
          <w:rPr>
            <w:rFonts w:ascii="Cambria" w:hAnsi="Cambria"/>
            <w:noProof/>
            <w:webHidden/>
            <w:sz w:val="20"/>
            <w:szCs w:val="20"/>
          </w:rPr>
          <w:t>20</w:t>
        </w:r>
        <w:r w:rsidR="00991A78" w:rsidRPr="005E3CCE">
          <w:rPr>
            <w:rFonts w:ascii="Cambria" w:hAnsi="Cambria"/>
            <w:noProof/>
            <w:webHidden/>
            <w:sz w:val="20"/>
            <w:szCs w:val="20"/>
          </w:rPr>
          <w:fldChar w:fldCharType="end"/>
        </w:r>
      </w:hyperlink>
    </w:p>
    <w:p w:rsidR="005E3CCE" w:rsidRDefault="005E3CCE">
      <w:pPr>
        <w:pStyle w:val="TOC1"/>
        <w:rPr>
          <w:rFonts w:ascii="Cambria" w:hAnsi="Cambria"/>
          <w:sz w:val="20"/>
          <w:szCs w:val="20"/>
        </w:rPr>
      </w:pPr>
    </w:p>
    <w:p w:rsidR="00991A78" w:rsidRPr="005E3CCE" w:rsidRDefault="005E3CCE">
      <w:pPr>
        <w:pStyle w:val="TOC1"/>
        <w:rPr>
          <w:rFonts w:ascii="Cambria" w:eastAsiaTheme="minorEastAsia" w:hAnsi="Cambria" w:cstheme="minorBidi"/>
          <w:noProof/>
          <w:sz w:val="20"/>
          <w:szCs w:val="20"/>
          <w:bdr w:val="none" w:sz="0" w:space="0" w:color="auto"/>
        </w:rPr>
      </w:pPr>
      <w:hyperlink w:anchor="_Toc476667888" w:history="1">
        <w:r w:rsidR="00991A78" w:rsidRPr="005E3CCE">
          <w:rPr>
            <w:rStyle w:val="Hyperlink"/>
            <w:rFonts w:ascii="Cambria" w:hAnsi="Cambria"/>
            <w:noProof/>
            <w:sz w:val="20"/>
            <w:szCs w:val="20"/>
          </w:rPr>
          <w:t>VII.</w:t>
        </w:r>
        <w:r w:rsidR="00991A78" w:rsidRPr="005E3CCE">
          <w:rPr>
            <w:rFonts w:ascii="Cambria" w:eastAsiaTheme="minorEastAsia" w:hAnsi="Cambria" w:cstheme="minorBidi"/>
            <w:noProof/>
            <w:sz w:val="20"/>
            <w:szCs w:val="20"/>
            <w:bdr w:val="none" w:sz="0" w:space="0" w:color="auto"/>
          </w:rPr>
          <w:tab/>
        </w:r>
        <w:r w:rsidR="00991A78" w:rsidRPr="005E3CCE">
          <w:rPr>
            <w:rStyle w:val="Hyperlink"/>
            <w:rFonts w:ascii="Cambria" w:hAnsi="Cambria"/>
            <w:noProof/>
            <w:sz w:val="20"/>
            <w:szCs w:val="20"/>
          </w:rPr>
          <w:t>RECO</w:t>
        </w:r>
        <w:r w:rsidR="00991A78" w:rsidRPr="005E3CCE">
          <w:rPr>
            <w:rStyle w:val="Hyperlink"/>
            <w:rFonts w:ascii="Cambria" w:hAnsi="Cambria"/>
            <w:noProof/>
            <w:sz w:val="20"/>
            <w:szCs w:val="20"/>
          </w:rPr>
          <w:t>M</w:t>
        </w:r>
        <w:r w:rsidR="00991A78" w:rsidRPr="005E3CCE">
          <w:rPr>
            <w:rStyle w:val="Hyperlink"/>
            <w:rFonts w:ascii="Cambria" w:hAnsi="Cambria"/>
            <w:noProof/>
            <w:sz w:val="20"/>
            <w:szCs w:val="20"/>
          </w:rPr>
          <w:t>ENDACIONES</w:t>
        </w:r>
        <w:r w:rsidR="00991A78" w:rsidRPr="005E3CCE">
          <w:rPr>
            <w:rFonts w:ascii="Cambria" w:hAnsi="Cambria"/>
            <w:noProof/>
            <w:webHidden/>
            <w:sz w:val="20"/>
            <w:szCs w:val="20"/>
          </w:rPr>
          <w:tab/>
        </w:r>
        <w:r w:rsidR="00991A78" w:rsidRPr="005E3CCE">
          <w:rPr>
            <w:rFonts w:ascii="Cambria" w:hAnsi="Cambria"/>
            <w:noProof/>
            <w:webHidden/>
            <w:sz w:val="20"/>
            <w:szCs w:val="20"/>
          </w:rPr>
          <w:fldChar w:fldCharType="begin"/>
        </w:r>
        <w:r w:rsidR="00991A78" w:rsidRPr="005E3CCE">
          <w:rPr>
            <w:rFonts w:ascii="Cambria" w:hAnsi="Cambria"/>
            <w:noProof/>
            <w:webHidden/>
            <w:sz w:val="20"/>
            <w:szCs w:val="20"/>
          </w:rPr>
          <w:instrText xml:space="preserve"> PAGEREF _Toc476667888 \h </w:instrText>
        </w:r>
        <w:r w:rsidR="00991A78" w:rsidRPr="005E3CCE">
          <w:rPr>
            <w:rFonts w:ascii="Cambria" w:hAnsi="Cambria"/>
            <w:noProof/>
            <w:webHidden/>
            <w:sz w:val="20"/>
            <w:szCs w:val="20"/>
          </w:rPr>
        </w:r>
        <w:r w:rsidR="00991A78" w:rsidRPr="005E3CCE">
          <w:rPr>
            <w:rFonts w:ascii="Cambria" w:hAnsi="Cambria"/>
            <w:noProof/>
            <w:webHidden/>
            <w:sz w:val="20"/>
            <w:szCs w:val="20"/>
          </w:rPr>
          <w:fldChar w:fldCharType="separate"/>
        </w:r>
        <w:r w:rsidR="00991A78" w:rsidRPr="005E3CCE">
          <w:rPr>
            <w:rFonts w:ascii="Cambria" w:hAnsi="Cambria"/>
            <w:noProof/>
            <w:webHidden/>
            <w:sz w:val="20"/>
            <w:szCs w:val="20"/>
          </w:rPr>
          <w:t>21</w:t>
        </w:r>
        <w:r w:rsidR="00991A78" w:rsidRPr="005E3CCE">
          <w:rPr>
            <w:rFonts w:ascii="Cambria" w:hAnsi="Cambria"/>
            <w:noProof/>
            <w:webHidden/>
            <w:sz w:val="20"/>
            <w:szCs w:val="20"/>
          </w:rPr>
          <w:fldChar w:fldCharType="end"/>
        </w:r>
      </w:hyperlink>
    </w:p>
    <w:p w:rsidR="00991A78" w:rsidRDefault="00991A78" w:rsidP="005E3CCE">
      <w:pPr>
        <w:tabs>
          <w:tab w:val="center" w:pos="5400"/>
        </w:tabs>
        <w:suppressAutoHyphens/>
        <w:spacing w:line="276" w:lineRule="auto"/>
        <w:ind w:firstLine="567"/>
        <w:rPr>
          <w:rFonts w:ascii="Cambria" w:hAnsi="Cambria"/>
          <w:sz w:val="20"/>
          <w:szCs w:val="20"/>
          <w:lang w:val="es-ES_tradnl"/>
        </w:rPr>
      </w:pPr>
      <w:r w:rsidRPr="005E3CCE">
        <w:rPr>
          <w:rFonts w:ascii="Cambria" w:hAnsi="Cambria"/>
          <w:sz w:val="20"/>
          <w:szCs w:val="20"/>
          <w:lang w:val="es-ES_tradnl"/>
        </w:rPr>
        <w:fldChar w:fldCharType="end"/>
      </w:r>
    </w:p>
    <w:p w:rsidR="00991A78" w:rsidRDefault="00991A78" w:rsidP="007A61F8">
      <w:pPr>
        <w:tabs>
          <w:tab w:val="center" w:pos="5400"/>
        </w:tabs>
        <w:suppressAutoHyphens/>
        <w:spacing w:line="276" w:lineRule="auto"/>
        <w:ind w:firstLine="567"/>
        <w:rPr>
          <w:rFonts w:ascii="Cambria" w:hAnsi="Cambria"/>
          <w:sz w:val="20"/>
          <w:szCs w:val="20"/>
          <w:lang w:val="es-ES_tradnl"/>
        </w:rPr>
      </w:pPr>
    </w:p>
    <w:p w:rsidR="00991A78" w:rsidRPr="00E57D5F" w:rsidRDefault="00991A78" w:rsidP="007A61F8">
      <w:pPr>
        <w:tabs>
          <w:tab w:val="center" w:pos="5400"/>
        </w:tabs>
        <w:suppressAutoHyphens/>
        <w:spacing w:line="276" w:lineRule="auto"/>
        <w:ind w:firstLine="567"/>
        <w:rPr>
          <w:rFonts w:ascii="Cambria" w:hAnsi="Cambria"/>
          <w:sz w:val="20"/>
          <w:szCs w:val="20"/>
          <w:lang w:val="es-ES_tradnl"/>
        </w:rPr>
      </w:pPr>
    </w:p>
    <w:p w:rsidR="007A61F8" w:rsidRPr="00E57D5F" w:rsidRDefault="007A61F8" w:rsidP="007A61F8">
      <w:pPr>
        <w:ind w:firstLine="567"/>
        <w:rPr>
          <w:rFonts w:ascii="Cambria" w:hAnsi="Cambria" w:cs="Calibri"/>
          <w:sz w:val="20"/>
          <w:szCs w:val="20"/>
          <w:lang w:val="es-ES"/>
        </w:rPr>
      </w:pPr>
      <w:r w:rsidRPr="00E57D5F">
        <w:rPr>
          <w:rFonts w:ascii="Cambria" w:hAnsi="Cambria" w:cs="Calibri"/>
          <w:sz w:val="20"/>
          <w:szCs w:val="20"/>
          <w:lang w:val="es-ES"/>
        </w:rPr>
        <w:br w:type="page"/>
      </w:r>
    </w:p>
    <w:p w:rsidR="005E3CCE" w:rsidRPr="005E3CCE" w:rsidRDefault="005E3CCE" w:rsidP="005E3CCE">
      <w:pPr>
        <w:pStyle w:val="Title"/>
        <w:rPr>
          <w:rFonts w:ascii="Cambria" w:hAnsi="Cambria"/>
          <w:sz w:val="18"/>
          <w:szCs w:val="18"/>
        </w:rPr>
      </w:pPr>
      <w:r w:rsidRPr="005E3CCE">
        <w:rPr>
          <w:rFonts w:ascii="Cambria" w:hAnsi="Cambria"/>
          <w:sz w:val="18"/>
          <w:szCs w:val="18"/>
        </w:rPr>
        <w:lastRenderedPageBreak/>
        <w:t>INFORME No. 21/17</w:t>
      </w:r>
    </w:p>
    <w:p w:rsidR="005E3CCE" w:rsidRPr="005E3CCE" w:rsidRDefault="005E3CCE" w:rsidP="005E3CCE">
      <w:pPr>
        <w:jc w:val="center"/>
        <w:rPr>
          <w:rFonts w:ascii="Cambria" w:hAnsi="Cambria"/>
          <w:b/>
          <w:bCs/>
          <w:sz w:val="18"/>
          <w:szCs w:val="18"/>
          <w:lang w:val="es-AR"/>
        </w:rPr>
      </w:pPr>
      <w:r w:rsidRPr="005E3CCE">
        <w:rPr>
          <w:rFonts w:ascii="Cambria" w:hAnsi="Cambria"/>
          <w:b/>
          <w:bCs/>
          <w:sz w:val="18"/>
          <w:szCs w:val="18"/>
          <w:lang w:val="es-AR"/>
        </w:rPr>
        <w:t>CASO 11.738</w:t>
      </w:r>
    </w:p>
    <w:p w:rsidR="005E3CCE" w:rsidRPr="005E3CCE" w:rsidRDefault="005E3CCE" w:rsidP="005E3CCE">
      <w:pPr>
        <w:jc w:val="center"/>
        <w:rPr>
          <w:rFonts w:ascii="Cambria" w:hAnsi="Cambria" w:cs="Arial"/>
          <w:bCs/>
          <w:sz w:val="18"/>
          <w:szCs w:val="18"/>
          <w:lang w:val="es-AR"/>
        </w:rPr>
      </w:pPr>
      <w:r w:rsidRPr="005E3CCE">
        <w:rPr>
          <w:rFonts w:ascii="Cambria" w:hAnsi="Cambria" w:cs="Arial"/>
          <w:bCs/>
          <w:sz w:val="18"/>
          <w:szCs w:val="18"/>
          <w:lang w:val="es-AR"/>
        </w:rPr>
        <w:t>FONDO</w:t>
      </w:r>
    </w:p>
    <w:p w:rsidR="005E3CCE" w:rsidRPr="005E3CCE" w:rsidRDefault="005E3CCE" w:rsidP="005E3CCE">
      <w:pPr>
        <w:jc w:val="center"/>
        <w:rPr>
          <w:rFonts w:ascii="Cambria" w:hAnsi="Cambria" w:cs="Arial"/>
          <w:bCs/>
          <w:sz w:val="18"/>
          <w:szCs w:val="18"/>
          <w:lang w:val="es-AR"/>
        </w:rPr>
      </w:pPr>
      <w:r w:rsidRPr="005E3CCE">
        <w:rPr>
          <w:rFonts w:ascii="Cambria" w:hAnsi="Cambria" w:cs="Arial"/>
          <w:bCs/>
          <w:sz w:val="18"/>
          <w:szCs w:val="18"/>
          <w:lang w:val="es-AR"/>
        </w:rPr>
        <w:t>ELBA CLOTILDE PERRONE Y JUAN JOSE PRECKEL</w:t>
      </w:r>
    </w:p>
    <w:p w:rsidR="005E3CCE" w:rsidRPr="005E3CCE" w:rsidRDefault="005E3CCE" w:rsidP="005E3CCE">
      <w:pPr>
        <w:jc w:val="center"/>
        <w:rPr>
          <w:rFonts w:ascii="Cambria" w:hAnsi="Cambria" w:cs="Arial"/>
          <w:bCs/>
          <w:sz w:val="18"/>
          <w:szCs w:val="18"/>
          <w:lang w:val="es-AR"/>
        </w:rPr>
      </w:pPr>
      <w:r w:rsidRPr="005E3CCE">
        <w:rPr>
          <w:rFonts w:ascii="Cambria" w:hAnsi="Cambria" w:cs="Arial"/>
          <w:bCs/>
          <w:sz w:val="18"/>
          <w:szCs w:val="18"/>
          <w:lang w:val="es-AR"/>
        </w:rPr>
        <w:t>ARGENTINA</w:t>
      </w:r>
    </w:p>
    <w:p w:rsidR="005E3CCE" w:rsidRPr="005E3CCE" w:rsidRDefault="005E3CCE" w:rsidP="005E3CCE">
      <w:pPr>
        <w:jc w:val="center"/>
        <w:rPr>
          <w:rFonts w:ascii="Cambria" w:hAnsi="Cambria" w:cs="Arial"/>
          <w:bCs/>
          <w:sz w:val="18"/>
          <w:szCs w:val="18"/>
          <w:lang w:val="es-AR"/>
        </w:rPr>
      </w:pPr>
      <w:r w:rsidRPr="005E3CCE">
        <w:rPr>
          <w:rFonts w:ascii="Cambria" w:hAnsi="Cambria" w:cs="Arial"/>
          <w:bCs/>
          <w:sz w:val="18"/>
          <w:szCs w:val="18"/>
          <w:lang w:val="es-AR"/>
        </w:rPr>
        <w:t>18 DE MARZO DE 2017</w:t>
      </w:r>
    </w:p>
    <w:p w:rsidR="007A61F8" w:rsidRPr="00E57D5F" w:rsidRDefault="007A61F8" w:rsidP="007A61F8">
      <w:pPr>
        <w:ind w:firstLine="567"/>
        <w:jc w:val="both"/>
        <w:rPr>
          <w:rFonts w:ascii="Cambria" w:hAnsi="Cambria" w:cs="Arial"/>
          <w:sz w:val="20"/>
          <w:szCs w:val="20"/>
          <w:lang w:val="es-AR"/>
        </w:rPr>
      </w:pPr>
    </w:p>
    <w:p w:rsidR="007A61F8" w:rsidRPr="00E57D5F" w:rsidRDefault="007A61F8" w:rsidP="007A61F8">
      <w:pPr>
        <w:ind w:firstLine="567"/>
        <w:jc w:val="both"/>
        <w:rPr>
          <w:rFonts w:ascii="Cambria" w:hAnsi="Cambria" w:cs="Arial"/>
          <w:sz w:val="20"/>
          <w:szCs w:val="20"/>
          <w:lang w:val="es-AR"/>
        </w:rPr>
      </w:pPr>
    </w:p>
    <w:p w:rsidR="007A61F8" w:rsidRPr="008F1889" w:rsidRDefault="007A61F8" w:rsidP="00ED46A1">
      <w:pPr>
        <w:pStyle w:val="Heading1"/>
      </w:pPr>
      <w:bookmarkStart w:id="2" w:name="_Toc370830569"/>
      <w:bookmarkStart w:id="3" w:name="_Toc370831280"/>
      <w:bookmarkStart w:id="4" w:name="_Toc412635569"/>
      <w:bookmarkStart w:id="5" w:name="_Toc416685625"/>
      <w:bookmarkStart w:id="6" w:name="_Toc476667871"/>
      <w:r w:rsidRPr="008F1889">
        <w:t>RESUMEN</w:t>
      </w:r>
      <w:bookmarkEnd w:id="2"/>
      <w:bookmarkEnd w:id="3"/>
      <w:bookmarkEnd w:id="4"/>
      <w:bookmarkEnd w:id="5"/>
      <w:bookmarkEnd w:id="6"/>
    </w:p>
    <w:p w:rsidR="007A61F8" w:rsidRPr="00E57D5F" w:rsidRDefault="007A61F8" w:rsidP="007A61F8">
      <w:pPr>
        <w:ind w:firstLine="567"/>
        <w:jc w:val="both"/>
        <w:rPr>
          <w:rFonts w:ascii="Cambria" w:hAnsi="Cambria" w:cs="Arial"/>
          <w:sz w:val="20"/>
          <w:szCs w:val="20"/>
          <w:lang w:val="es-AR"/>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E57D5F">
        <w:rPr>
          <w:rFonts w:ascii="Cambria" w:hAnsi="Cambria"/>
          <w:sz w:val="20"/>
          <w:szCs w:val="20"/>
        </w:rPr>
        <w:t>El 23 de diciembre de 1996 y el 13 de enero de 1997 la Comisión Interamericana de Derechos Humanos (en adelante “la Comisión”, “la Comisión Interamericana” o “la CIDH”) recibió dos peticiones presentadas por la Asamblea Permanente por los Derechos Humanos</w:t>
      </w:r>
      <w:r w:rsidRPr="00E57D5F">
        <w:rPr>
          <w:rStyle w:val="FootnoteReference"/>
          <w:rFonts w:ascii="Cambria" w:hAnsi="Cambria"/>
          <w:sz w:val="20"/>
          <w:szCs w:val="20"/>
        </w:rPr>
        <w:footnoteReference w:id="1"/>
      </w:r>
      <w:r w:rsidRPr="00E57D5F">
        <w:rPr>
          <w:rFonts w:ascii="Cambria" w:hAnsi="Cambria"/>
          <w:sz w:val="20"/>
          <w:szCs w:val="20"/>
        </w:rPr>
        <w:t xml:space="preserve"> (en adelante “los peticionarios”), en la cual se alegó la responsabilidad internacional de la República de Argentina (en adelante “el Estado”, “el Estado argentino” o “Argentina”) por no haber otorgado a Elba Clotilde </w:t>
      </w:r>
      <w:proofErr w:type="spellStart"/>
      <w:r w:rsidRPr="00E57D5F">
        <w:rPr>
          <w:rFonts w:ascii="Cambria" w:hAnsi="Cambria"/>
          <w:sz w:val="20"/>
          <w:szCs w:val="20"/>
        </w:rPr>
        <w:t>Perrone</w:t>
      </w:r>
      <w:proofErr w:type="spellEnd"/>
      <w:r w:rsidRPr="00E57D5F">
        <w:rPr>
          <w:rFonts w:ascii="Cambria" w:hAnsi="Cambria"/>
          <w:sz w:val="20"/>
          <w:szCs w:val="20"/>
        </w:rPr>
        <w:t xml:space="preserve"> y Juan José </w:t>
      </w:r>
      <w:proofErr w:type="spellStart"/>
      <w:r w:rsidRPr="00E57D5F">
        <w:rPr>
          <w:rFonts w:ascii="Cambria" w:hAnsi="Cambria"/>
          <w:sz w:val="20"/>
          <w:szCs w:val="20"/>
        </w:rPr>
        <w:t>Preckel</w:t>
      </w:r>
      <w:proofErr w:type="spellEnd"/>
      <w:r w:rsidRPr="00E57D5F">
        <w:rPr>
          <w:rFonts w:ascii="Cambria" w:hAnsi="Cambria"/>
          <w:sz w:val="20"/>
          <w:szCs w:val="20"/>
        </w:rPr>
        <w:t xml:space="preserve"> el pago de sus haberes laborales durante el tiempo que estuvieron detenidos y en el exilio.</w:t>
      </w:r>
    </w:p>
    <w:p w:rsidR="007A61F8" w:rsidRPr="00E57D5F" w:rsidRDefault="007A61F8" w:rsidP="007A61F8">
      <w:pPr>
        <w:pStyle w:val="BodyTextIndent"/>
        <w:ind w:left="0" w:firstLine="567"/>
        <w:rPr>
          <w:rFonts w:ascii="Cambria" w:hAnsi="Cambria"/>
          <w:sz w:val="20"/>
          <w:szCs w:val="20"/>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E57D5F">
        <w:rPr>
          <w:rFonts w:ascii="Cambria" w:hAnsi="Cambria"/>
          <w:sz w:val="20"/>
          <w:szCs w:val="20"/>
        </w:rPr>
        <w:t xml:space="preserve">Según los peticionarios, durante la época de la dictadura militar argentina, la señora </w:t>
      </w:r>
      <w:proofErr w:type="spellStart"/>
      <w:r w:rsidRPr="00E57D5F">
        <w:rPr>
          <w:rFonts w:ascii="Cambria" w:hAnsi="Cambria"/>
          <w:sz w:val="20"/>
          <w:szCs w:val="20"/>
        </w:rPr>
        <w:t>Perrone</w:t>
      </w:r>
      <w:proofErr w:type="spellEnd"/>
      <w:r w:rsidRPr="00E57D5F">
        <w:rPr>
          <w:rFonts w:ascii="Cambria" w:hAnsi="Cambria"/>
          <w:sz w:val="20"/>
          <w:szCs w:val="20"/>
        </w:rPr>
        <w:t xml:space="preserve"> y el señor </w:t>
      </w:r>
      <w:proofErr w:type="spellStart"/>
      <w:r w:rsidRPr="00E57D5F">
        <w:rPr>
          <w:rFonts w:ascii="Cambria" w:hAnsi="Cambria"/>
          <w:sz w:val="20"/>
          <w:szCs w:val="20"/>
        </w:rPr>
        <w:t>Preckel</w:t>
      </w:r>
      <w:proofErr w:type="spellEnd"/>
      <w:r w:rsidRPr="00E57D5F">
        <w:rPr>
          <w:rFonts w:ascii="Cambria" w:hAnsi="Cambria"/>
          <w:sz w:val="20"/>
          <w:szCs w:val="20"/>
        </w:rPr>
        <w:t xml:space="preserve"> trabajaban en el sector público en la Dirección General Impositiva. Señalaron que fueron detenidos, torturados y, tras su liberación, exiliados. Los peticionarios alegaron que la señora </w:t>
      </w:r>
      <w:proofErr w:type="spellStart"/>
      <w:r w:rsidRPr="00E57D5F">
        <w:rPr>
          <w:rFonts w:ascii="Cambria" w:hAnsi="Cambria"/>
          <w:sz w:val="20"/>
          <w:szCs w:val="20"/>
        </w:rPr>
        <w:t>Perrone</w:t>
      </w:r>
      <w:proofErr w:type="spellEnd"/>
      <w:r w:rsidRPr="00E57D5F">
        <w:rPr>
          <w:rFonts w:ascii="Cambria" w:hAnsi="Cambria"/>
          <w:sz w:val="20"/>
          <w:szCs w:val="20"/>
        </w:rPr>
        <w:t xml:space="preserve"> y el señor </w:t>
      </w:r>
      <w:proofErr w:type="spellStart"/>
      <w:r w:rsidRPr="00E57D5F">
        <w:rPr>
          <w:rFonts w:ascii="Cambria" w:hAnsi="Cambria"/>
          <w:sz w:val="20"/>
          <w:szCs w:val="20"/>
        </w:rPr>
        <w:t>Preckel</w:t>
      </w:r>
      <w:proofErr w:type="spellEnd"/>
      <w:r w:rsidRPr="00E57D5F">
        <w:rPr>
          <w:rFonts w:ascii="Cambria" w:hAnsi="Cambria"/>
          <w:sz w:val="20"/>
          <w:szCs w:val="20"/>
        </w:rPr>
        <w:t xml:space="preserve"> interpusieron distintos recursos a nivel interno a fin de recibir las remuneraciones y demás beneficios laborales que dejaron de percibir durante dicho tiempo. Indicaron que las </w:t>
      </w:r>
      <w:r w:rsidR="00D869B9" w:rsidRPr="00E57D5F">
        <w:rPr>
          <w:rFonts w:ascii="Cambria" w:hAnsi="Cambria"/>
          <w:sz w:val="20"/>
          <w:szCs w:val="20"/>
        </w:rPr>
        <w:t xml:space="preserve">instancias </w:t>
      </w:r>
      <w:r w:rsidRPr="00E57D5F">
        <w:rPr>
          <w:rFonts w:ascii="Cambria" w:hAnsi="Cambria"/>
          <w:sz w:val="20"/>
          <w:szCs w:val="20"/>
        </w:rPr>
        <w:t>administrativas y judiciales no aceptaron sus reclamos, lo que generó una situación de denegación de justicia. Explicaron que dichas decisiones no tuvieron una adecuada motivación y no siguieron las reglas del debido proceso.</w:t>
      </w:r>
    </w:p>
    <w:p w:rsidR="007A61F8" w:rsidRPr="00E57D5F" w:rsidRDefault="007A61F8" w:rsidP="007A61F8">
      <w:pPr>
        <w:pStyle w:val="BodyTextIndent"/>
        <w:ind w:left="0" w:firstLine="567"/>
        <w:rPr>
          <w:rFonts w:ascii="Cambria" w:hAnsi="Cambria"/>
          <w:sz w:val="20"/>
          <w:szCs w:val="20"/>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E57D5F">
        <w:rPr>
          <w:rFonts w:ascii="Cambria" w:hAnsi="Cambria"/>
          <w:sz w:val="20"/>
          <w:szCs w:val="20"/>
        </w:rPr>
        <w:t xml:space="preserve">El Estado alegó que conforme a la Ley No. 24.043 se pagó una indemnización a ambas presuntas víctimas por las distintas afectaciones que sufrieron durante su privación de libertad, incluyendo las lesiones que les fueron causadas. Señaló que dicho pago satisfizo la reclamación de ambas personas en materia de reparación por la violación de sus derechos humanos. Indicó que las decisiones administrativas y judiciales relativas a su reclamo de los haberes dejados de percibir, fueron emitidas respetando el debido proceso y el contenido de las mismas se basó en la normativa interna. </w:t>
      </w:r>
    </w:p>
    <w:p w:rsidR="007A61F8" w:rsidRPr="00E57D5F" w:rsidRDefault="007A61F8" w:rsidP="007A61F8">
      <w:pPr>
        <w:pStyle w:val="BodyTextIndent"/>
        <w:ind w:left="0" w:firstLine="567"/>
        <w:rPr>
          <w:rFonts w:ascii="Cambria" w:hAnsi="Cambria"/>
          <w:sz w:val="20"/>
          <w:szCs w:val="20"/>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E57D5F">
        <w:rPr>
          <w:rFonts w:ascii="Cambria" w:hAnsi="Cambria"/>
          <w:sz w:val="20"/>
          <w:szCs w:val="20"/>
        </w:rPr>
        <w:t xml:space="preserve">Tras analizar la información disponible, la Comisión concluyó que el Estado de Argentina es responsable por la violación de los derechos a las garantías judiciales y protección judicial, establecidos en los artículos 8.1 y 25.1 de la Convención Americana sobre Derechos Humanos (en adelante “la Convención Americana” o “la Convención”) en relación con las obligaciones establecidas en el artículo 1.1 del mismo instrumento, en perjuicio de Elba Clotilde </w:t>
      </w:r>
      <w:proofErr w:type="spellStart"/>
      <w:r w:rsidRPr="00E57D5F">
        <w:rPr>
          <w:rFonts w:ascii="Cambria" w:hAnsi="Cambria"/>
          <w:sz w:val="20"/>
          <w:szCs w:val="20"/>
        </w:rPr>
        <w:t>Perrone</w:t>
      </w:r>
      <w:proofErr w:type="spellEnd"/>
      <w:r w:rsidRPr="00E57D5F">
        <w:rPr>
          <w:rFonts w:ascii="Cambria" w:hAnsi="Cambria"/>
          <w:sz w:val="20"/>
          <w:szCs w:val="20"/>
        </w:rPr>
        <w:t xml:space="preserve"> y Juan José </w:t>
      </w:r>
      <w:proofErr w:type="spellStart"/>
      <w:r w:rsidRPr="00E57D5F">
        <w:rPr>
          <w:rFonts w:ascii="Cambria" w:hAnsi="Cambria"/>
          <w:sz w:val="20"/>
          <w:szCs w:val="20"/>
        </w:rPr>
        <w:t>Preckel</w:t>
      </w:r>
      <w:proofErr w:type="spellEnd"/>
      <w:r w:rsidRPr="00E57D5F">
        <w:rPr>
          <w:rFonts w:ascii="Cambria" w:hAnsi="Cambria"/>
          <w:sz w:val="20"/>
          <w:szCs w:val="20"/>
        </w:rPr>
        <w:t xml:space="preserve">.  </w:t>
      </w:r>
    </w:p>
    <w:p w:rsidR="007A61F8" w:rsidRPr="00E57D5F" w:rsidRDefault="007A61F8" w:rsidP="007A61F8">
      <w:pPr>
        <w:pStyle w:val="NormalWeb"/>
        <w:spacing w:before="0" w:beforeAutospacing="0" w:after="0" w:afterAutospacing="0"/>
        <w:ind w:firstLine="567"/>
        <w:jc w:val="both"/>
        <w:rPr>
          <w:rFonts w:ascii="Cambria" w:hAnsi="Cambria" w:cs="Arial"/>
          <w:sz w:val="20"/>
          <w:szCs w:val="20"/>
          <w:lang w:val="es-AR"/>
        </w:rPr>
      </w:pPr>
    </w:p>
    <w:p w:rsidR="007A61F8" w:rsidRPr="008F1889" w:rsidRDefault="007A61F8" w:rsidP="00ED46A1">
      <w:pPr>
        <w:pStyle w:val="Heading1"/>
      </w:pPr>
      <w:bookmarkStart w:id="7" w:name="_Toc370830570"/>
      <w:bookmarkStart w:id="8" w:name="_Toc370831281"/>
      <w:bookmarkStart w:id="9" w:name="_Toc412635570"/>
      <w:bookmarkStart w:id="10" w:name="_Toc416685626"/>
      <w:bookmarkStart w:id="11" w:name="_Toc476667872"/>
      <w:r w:rsidRPr="008F1889">
        <w:t>TRÁMITE ANTE LA COMISIÓN</w:t>
      </w:r>
      <w:bookmarkEnd w:id="7"/>
      <w:bookmarkEnd w:id="8"/>
      <w:bookmarkEnd w:id="9"/>
      <w:bookmarkEnd w:id="10"/>
      <w:bookmarkEnd w:id="11"/>
      <w:r w:rsidRPr="008F1889">
        <w:t xml:space="preserve"> </w:t>
      </w:r>
    </w:p>
    <w:p w:rsidR="007A61F8" w:rsidRPr="00E57D5F" w:rsidRDefault="007A61F8" w:rsidP="007A61F8">
      <w:pPr>
        <w:ind w:firstLine="567"/>
        <w:jc w:val="both"/>
        <w:rPr>
          <w:rFonts w:ascii="Cambria" w:hAnsi="Cambria" w:cs="Arial"/>
          <w:sz w:val="20"/>
          <w:szCs w:val="20"/>
          <w:lang w:val="es-AR"/>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Arial"/>
          <w:sz w:val="20"/>
          <w:szCs w:val="20"/>
          <w:lang w:val="es-AR"/>
        </w:rPr>
      </w:pPr>
      <w:r w:rsidRPr="00E57D5F">
        <w:rPr>
          <w:rFonts w:ascii="Cambria" w:hAnsi="Cambria"/>
          <w:sz w:val="20"/>
          <w:szCs w:val="20"/>
        </w:rPr>
        <w:t>Mediante comunicaciones recibidas el 23 de diciembre de 1996 y el 13 de enero de 1997, la Asamblea Permanente por los Derechos Humanos denunció los hechos del presente caso. El trámite del caso durante la etapa de admisibilidad se encuentra descrito en el informe No. 67/99 de 4 de mayo de 1999</w:t>
      </w:r>
      <w:r w:rsidRPr="00E57D5F">
        <w:rPr>
          <w:rStyle w:val="FootnoteReference"/>
          <w:rFonts w:ascii="Cambria" w:hAnsi="Cambria"/>
          <w:sz w:val="20"/>
          <w:szCs w:val="20"/>
        </w:rPr>
        <w:footnoteReference w:id="2"/>
      </w:r>
      <w:r w:rsidRPr="00E57D5F">
        <w:rPr>
          <w:rFonts w:ascii="Cambria" w:hAnsi="Cambria"/>
          <w:sz w:val="20"/>
          <w:szCs w:val="20"/>
        </w:rPr>
        <w:t>. La CIDH declaró la petición admisible respecto de los derechos establecidos en los artículos 3, 8, 21, 24 y 25 de la Convención Americana, y en el artículo XIV de la Declaración Americana sobre Derechos y Deberes del Hombre.</w:t>
      </w: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Arial"/>
          <w:sz w:val="20"/>
          <w:szCs w:val="20"/>
          <w:lang w:val="es-AR"/>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Arial"/>
          <w:sz w:val="20"/>
          <w:szCs w:val="20"/>
          <w:lang w:val="es-AR"/>
        </w:rPr>
      </w:pPr>
      <w:r w:rsidRPr="00E57D5F">
        <w:rPr>
          <w:rFonts w:ascii="Cambria" w:hAnsi="Cambria"/>
          <w:sz w:val="20"/>
          <w:szCs w:val="20"/>
        </w:rPr>
        <w:t xml:space="preserve">El 13 de mayo de 1999 la Comisión notificó a las partes el informe de admisibilidad. Asimismo, la CIDH se puso a disposición de las partes para una eventual solución amistosa. El 14 de abril de </w:t>
      </w:r>
      <w:r w:rsidRPr="00E57D5F">
        <w:rPr>
          <w:rFonts w:ascii="Cambria" w:hAnsi="Cambria"/>
          <w:sz w:val="20"/>
          <w:szCs w:val="20"/>
        </w:rPr>
        <w:lastRenderedPageBreak/>
        <w:t>2000 los peticionarios enviaron una comunicación a la CIDH indicando su disposición para alcanzar un acuerdo de solución amistosa. El 31 de mayo de 2000 la Comisión envió la comunicación de los peticionarios al Estado y le solicitó que en el plazo de 60 días presentara las observaciones correspondientes. El 8 de febrero de 2001 el Estado presentó una comunicación indicando que no aceptaba entrar a un proceso de solución amistosa. En la misma comunicación el Estado presentó sus observaciones sobre el fondo. El 15 de junio de 2001 los peticionarios presentaron sus observaciones de fondo y solicitaron a la CIDH que continúe con la etapa de fondo. Posteriormente, la Comisión recibió comunicaciones de fondo de las dos partes, las cuales fueron debidamente trasladadas.</w:t>
      </w:r>
    </w:p>
    <w:p w:rsidR="007A61F8" w:rsidRPr="00E57D5F" w:rsidRDefault="007A61F8" w:rsidP="007A61F8">
      <w:pPr>
        <w:ind w:firstLine="567"/>
        <w:rPr>
          <w:rFonts w:ascii="Cambria" w:hAnsi="Cambria"/>
          <w:sz w:val="20"/>
          <w:szCs w:val="20"/>
          <w:lang w:val="es-ES"/>
        </w:rPr>
      </w:pPr>
      <w:bookmarkStart w:id="12" w:name="_Toc370830571"/>
      <w:bookmarkStart w:id="13" w:name="_Toc370831282"/>
    </w:p>
    <w:p w:rsidR="007A61F8" w:rsidRPr="008F1889" w:rsidRDefault="007A61F8" w:rsidP="00ED46A1">
      <w:pPr>
        <w:pStyle w:val="Heading1"/>
      </w:pPr>
      <w:bookmarkStart w:id="14" w:name="_Toc412635571"/>
      <w:bookmarkStart w:id="15" w:name="_Toc416685627"/>
      <w:bookmarkStart w:id="16" w:name="_Toc476667873"/>
      <w:r w:rsidRPr="008F1889">
        <w:t>POSICIÓN DE LAS PARTES</w:t>
      </w:r>
      <w:bookmarkEnd w:id="12"/>
      <w:bookmarkEnd w:id="13"/>
      <w:bookmarkEnd w:id="14"/>
      <w:bookmarkEnd w:id="15"/>
      <w:bookmarkEnd w:id="16"/>
    </w:p>
    <w:p w:rsidR="007A61F8" w:rsidRPr="00E57D5F" w:rsidRDefault="007A61F8" w:rsidP="007A61F8">
      <w:pPr>
        <w:ind w:firstLine="567"/>
        <w:rPr>
          <w:rFonts w:ascii="Cambria" w:hAnsi="Cambria"/>
          <w:sz w:val="20"/>
          <w:szCs w:val="20"/>
          <w:lang w:val="es-AR"/>
        </w:rPr>
      </w:pPr>
    </w:p>
    <w:p w:rsidR="007A61F8" w:rsidRPr="00E57D5F" w:rsidRDefault="007A61F8" w:rsidP="007A61F8">
      <w:pPr>
        <w:pStyle w:val="Heading2"/>
      </w:pPr>
      <w:bookmarkStart w:id="17" w:name="_Toc370831283"/>
      <w:bookmarkStart w:id="18" w:name="_Toc412635572"/>
      <w:bookmarkStart w:id="19" w:name="_Toc416685628"/>
      <w:bookmarkStart w:id="20" w:name="_Toc476667874"/>
      <w:r w:rsidRPr="00E57D5F">
        <w:t>Posición de los peticionarios</w:t>
      </w:r>
      <w:bookmarkEnd w:id="17"/>
      <w:bookmarkEnd w:id="18"/>
      <w:bookmarkEnd w:id="19"/>
      <w:bookmarkEnd w:id="20"/>
    </w:p>
    <w:p w:rsidR="007A61F8" w:rsidRPr="00E57D5F" w:rsidRDefault="007A61F8" w:rsidP="007A61F8">
      <w:pPr>
        <w:ind w:firstLine="567"/>
        <w:rPr>
          <w:rFonts w:ascii="Cambria" w:hAnsi="Cambria"/>
          <w:sz w:val="20"/>
          <w:szCs w:val="20"/>
          <w:lang w:val="es-AR"/>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E57D5F">
        <w:rPr>
          <w:rFonts w:ascii="Cambria" w:hAnsi="Cambria"/>
          <w:sz w:val="20"/>
          <w:szCs w:val="20"/>
          <w:lang w:val="es-CO"/>
        </w:rPr>
        <w:t xml:space="preserve">Los peticionarios precisaron que el objeto de su petición no es que la CIDH determine la responsabilidad de Estado por la detención, torturas y exilio, sino por no </w:t>
      </w:r>
      <w:r w:rsidRPr="00E57D5F">
        <w:rPr>
          <w:rFonts w:ascii="Cambria" w:hAnsi="Cambria"/>
          <w:sz w:val="20"/>
          <w:szCs w:val="20"/>
        </w:rPr>
        <w:t xml:space="preserve">haber permitido que Elba Clotilde </w:t>
      </w:r>
      <w:proofErr w:type="spellStart"/>
      <w:r w:rsidRPr="00E57D5F">
        <w:rPr>
          <w:rFonts w:ascii="Cambria" w:hAnsi="Cambria"/>
          <w:sz w:val="20"/>
          <w:szCs w:val="20"/>
        </w:rPr>
        <w:t>Perrone</w:t>
      </w:r>
      <w:proofErr w:type="spellEnd"/>
      <w:r w:rsidRPr="00E57D5F">
        <w:rPr>
          <w:rFonts w:ascii="Cambria" w:hAnsi="Cambria"/>
          <w:sz w:val="20"/>
          <w:szCs w:val="20"/>
        </w:rPr>
        <w:t xml:space="preserve"> y Juan José </w:t>
      </w:r>
      <w:proofErr w:type="spellStart"/>
      <w:r w:rsidRPr="00E57D5F">
        <w:rPr>
          <w:rFonts w:ascii="Cambria" w:hAnsi="Cambria"/>
          <w:sz w:val="20"/>
          <w:szCs w:val="20"/>
        </w:rPr>
        <w:t>Preckel</w:t>
      </w:r>
      <w:proofErr w:type="spellEnd"/>
      <w:r w:rsidRPr="00E57D5F">
        <w:rPr>
          <w:rFonts w:ascii="Cambria" w:hAnsi="Cambria"/>
          <w:sz w:val="20"/>
          <w:szCs w:val="20"/>
        </w:rPr>
        <w:t xml:space="preserve"> percibieran sus haberes laborales durante el tiempo que estuvieron detenidos y en exilio. De esta forma quedó delimitado el objeto del presente caso en el informe de admisibilidad.</w:t>
      </w: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E57D5F">
        <w:rPr>
          <w:rFonts w:ascii="Cambria" w:hAnsi="Cambria"/>
          <w:sz w:val="20"/>
          <w:szCs w:val="20"/>
        </w:rPr>
        <w:t xml:space="preserve">Los peticionarios señalaron, a manera de antecedentes, que la señora </w:t>
      </w:r>
      <w:proofErr w:type="spellStart"/>
      <w:r w:rsidRPr="00E57D5F">
        <w:rPr>
          <w:rFonts w:ascii="Cambria" w:hAnsi="Cambria"/>
          <w:sz w:val="20"/>
          <w:szCs w:val="20"/>
        </w:rPr>
        <w:t>Perrone</w:t>
      </w:r>
      <w:proofErr w:type="spellEnd"/>
      <w:r w:rsidRPr="00E57D5F">
        <w:rPr>
          <w:rFonts w:ascii="Cambria" w:hAnsi="Cambria"/>
          <w:sz w:val="20"/>
          <w:szCs w:val="20"/>
        </w:rPr>
        <w:t xml:space="preserve"> y el señor </w:t>
      </w:r>
      <w:proofErr w:type="spellStart"/>
      <w:r w:rsidRPr="00E57D5F">
        <w:rPr>
          <w:rFonts w:ascii="Cambria" w:hAnsi="Cambria"/>
          <w:sz w:val="20"/>
          <w:szCs w:val="20"/>
        </w:rPr>
        <w:t>Preckel</w:t>
      </w:r>
      <w:proofErr w:type="spellEnd"/>
      <w:r w:rsidRPr="00E57D5F">
        <w:rPr>
          <w:rFonts w:ascii="Cambria" w:hAnsi="Cambria"/>
          <w:sz w:val="20"/>
          <w:szCs w:val="20"/>
        </w:rPr>
        <w:t xml:space="preserve"> trabajaban en 1976 en la Dirección General Impositiva, entonces dependiente de la Secretaría de Hacienda. Indicaron que en julio de dicho año, en el marco del régimen militar, ambas personas fueron detenidas arbitrariamente y sometidas a actos de tortura en su contra. Informaron que la señora </w:t>
      </w:r>
      <w:proofErr w:type="spellStart"/>
      <w:r w:rsidRPr="00E57D5F">
        <w:rPr>
          <w:rFonts w:ascii="Cambria" w:hAnsi="Cambria"/>
          <w:sz w:val="20"/>
          <w:szCs w:val="20"/>
        </w:rPr>
        <w:t>Perrone</w:t>
      </w:r>
      <w:proofErr w:type="spellEnd"/>
      <w:r w:rsidRPr="00E57D5F">
        <w:rPr>
          <w:rFonts w:ascii="Cambria" w:hAnsi="Cambria"/>
          <w:sz w:val="20"/>
          <w:szCs w:val="20"/>
        </w:rPr>
        <w:t xml:space="preserve"> fue liberada en octubre de 1982. Señalaron que el señor </w:t>
      </w:r>
      <w:proofErr w:type="spellStart"/>
      <w:r w:rsidRPr="00E57D5F">
        <w:rPr>
          <w:rFonts w:ascii="Cambria" w:hAnsi="Cambria"/>
          <w:sz w:val="20"/>
          <w:szCs w:val="20"/>
        </w:rPr>
        <w:t>Preckel</w:t>
      </w:r>
      <w:proofErr w:type="spellEnd"/>
      <w:r w:rsidRPr="00E57D5F">
        <w:rPr>
          <w:rFonts w:ascii="Cambria" w:hAnsi="Cambria"/>
          <w:sz w:val="20"/>
          <w:szCs w:val="20"/>
        </w:rPr>
        <w:t xml:space="preserve"> </w:t>
      </w:r>
      <w:r w:rsidR="00D869B9" w:rsidRPr="00E57D5F">
        <w:rPr>
          <w:rFonts w:ascii="Cambria" w:hAnsi="Cambria"/>
          <w:sz w:val="20"/>
          <w:szCs w:val="20"/>
        </w:rPr>
        <w:t xml:space="preserve">fue liberado a mediados de 1979 y </w:t>
      </w:r>
      <w:r w:rsidRPr="00E57D5F">
        <w:rPr>
          <w:rFonts w:ascii="Cambria" w:hAnsi="Cambria"/>
          <w:sz w:val="20"/>
          <w:szCs w:val="20"/>
        </w:rPr>
        <w:t>estuvo exiliado en Alemania entre septiembre de 1979 y diciembre de 1984. Los peticionarios señalaron que ambas personas fueron indemnizadas por tales hechos a través de la Ley No. 24.043 – Indemnización para ex Detenidos. Indicaron que dicha norma otorgó beneficios a las personas que fueron detenidas arbitrariamente durante la época de la dictadura militar.</w:t>
      </w: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p>
    <w:p w:rsidR="007A61F8" w:rsidRPr="00ED46A1" w:rsidRDefault="007A61F8" w:rsidP="00D869B9">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Arial"/>
          <w:sz w:val="20"/>
          <w:szCs w:val="20"/>
          <w:lang w:val="es-AR"/>
        </w:rPr>
      </w:pPr>
      <w:r w:rsidRPr="00ED46A1">
        <w:rPr>
          <w:rFonts w:ascii="Cambria" w:hAnsi="Cambria"/>
          <w:sz w:val="20"/>
          <w:szCs w:val="20"/>
          <w:lang w:val="es-AR"/>
        </w:rPr>
        <w:t xml:space="preserve">Los peticionarios alegaron que el Estado vulneró los derechos a las garantías judiciales y protección judicial de </w:t>
      </w:r>
      <w:r w:rsidRPr="00ED46A1">
        <w:rPr>
          <w:rFonts w:ascii="Cambria" w:hAnsi="Cambria"/>
          <w:sz w:val="20"/>
          <w:szCs w:val="20"/>
        </w:rPr>
        <w:t xml:space="preserve">la señora </w:t>
      </w:r>
      <w:proofErr w:type="spellStart"/>
      <w:r w:rsidRPr="00ED46A1">
        <w:rPr>
          <w:rFonts w:ascii="Cambria" w:hAnsi="Cambria"/>
          <w:sz w:val="20"/>
          <w:szCs w:val="20"/>
        </w:rPr>
        <w:t>Perrone</w:t>
      </w:r>
      <w:proofErr w:type="spellEnd"/>
      <w:r w:rsidRPr="00ED46A1">
        <w:rPr>
          <w:rFonts w:ascii="Cambria" w:hAnsi="Cambria"/>
          <w:sz w:val="20"/>
          <w:szCs w:val="20"/>
        </w:rPr>
        <w:t xml:space="preserve"> y el señor </w:t>
      </w:r>
      <w:proofErr w:type="spellStart"/>
      <w:r w:rsidRPr="00ED46A1">
        <w:rPr>
          <w:rFonts w:ascii="Cambria" w:hAnsi="Cambria"/>
          <w:sz w:val="20"/>
          <w:szCs w:val="20"/>
        </w:rPr>
        <w:t>Preckel</w:t>
      </w:r>
      <w:proofErr w:type="spellEnd"/>
      <w:r w:rsidRPr="00ED46A1">
        <w:rPr>
          <w:rFonts w:ascii="Cambria" w:hAnsi="Cambria"/>
          <w:sz w:val="20"/>
          <w:szCs w:val="20"/>
          <w:lang w:val="es-AR"/>
        </w:rPr>
        <w:t xml:space="preserve">. Señalaron que ambas personas iniciaron en junio de 1988 un procedimiento administrativo solicitando el pago de los haberes laborales y que, tras distintas instancias, la Corte Suprema de Justicia de la </w:t>
      </w:r>
      <w:r w:rsidR="00D869B9" w:rsidRPr="00ED46A1">
        <w:rPr>
          <w:rFonts w:ascii="Cambria" w:hAnsi="Cambria"/>
          <w:sz w:val="20"/>
          <w:szCs w:val="20"/>
          <w:lang w:val="es-AR"/>
        </w:rPr>
        <w:t xml:space="preserve">Nación denegó sus pretensiones. </w:t>
      </w:r>
      <w:r w:rsidRPr="00ED46A1">
        <w:rPr>
          <w:rFonts w:ascii="Cambria" w:hAnsi="Cambria" w:cs="Arial"/>
          <w:sz w:val="20"/>
          <w:szCs w:val="20"/>
          <w:lang w:val="es-AR"/>
        </w:rPr>
        <w:t xml:space="preserve">Indicaron que </w:t>
      </w:r>
      <w:r w:rsidRPr="00ED46A1">
        <w:rPr>
          <w:rFonts w:ascii="Cambria" w:hAnsi="Cambria"/>
          <w:sz w:val="20"/>
        </w:rPr>
        <w:t xml:space="preserve">el juez no resolvió sobre los fundamentos de hecho y de derecho expuestos en la demanda presentada y que el juez incorporó una defensa no esgrimida por la entidad demandada en el momento procesal oportuno, lo que constituyó una acción arbitraria por parte de la autoridad judicial. En consideración de los peticionarios, esto afectó su derecho de defensa. </w:t>
      </w:r>
    </w:p>
    <w:p w:rsidR="00D869B9" w:rsidRPr="00ED46A1" w:rsidRDefault="00D869B9" w:rsidP="00D869B9">
      <w:pPr>
        <w:pStyle w:val="ListParagraph"/>
        <w:rPr>
          <w:rFonts w:ascii="Cambria" w:hAnsi="Cambria" w:cs="Arial"/>
          <w:sz w:val="20"/>
          <w:szCs w:val="20"/>
          <w:lang w:val="es-AR"/>
        </w:rPr>
      </w:pPr>
    </w:p>
    <w:p w:rsidR="007A61F8" w:rsidRPr="00ED46A1"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Arial"/>
          <w:sz w:val="20"/>
          <w:szCs w:val="20"/>
          <w:lang w:val="es-AR"/>
        </w:rPr>
      </w:pPr>
      <w:r w:rsidRPr="00ED46A1">
        <w:rPr>
          <w:rFonts w:ascii="Cambria" w:hAnsi="Cambria" w:cs="Arial"/>
          <w:sz w:val="20"/>
          <w:szCs w:val="20"/>
          <w:lang w:val="es-AR"/>
        </w:rPr>
        <w:t xml:space="preserve">Los peticionarios alegaron que también se vulneró el derecho a la propiedad y a la justa redistribución por el trabajo de la </w:t>
      </w:r>
      <w:r w:rsidRPr="00ED46A1">
        <w:rPr>
          <w:rFonts w:ascii="Cambria" w:hAnsi="Cambria"/>
          <w:sz w:val="20"/>
          <w:szCs w:val="20"/>
        </w:rPr>
        <w:t xml:space="preserve">señora </w:t>
      </w:r>
      <w:proofErr w:type="spellStart"/>
      <w:r w:rsidRPr="00ED46A1">
        <w:rPr>
          <w:rFonts w:ascii="Cambria" w:hAnsi="Cambria"/>
          <w:sz w:val="20"/>
          <w:szCs w:val="20"/>
        </w:rPr>
        <w:t>Perrone</w:t>
      </w:r>
      <w:proofErr w:type="spellEnd"/>
      <w:r w:rsidRPr="00ED46A1">
        <w:rPr>
          <w:rFonts w:ascii="Cambria" w:hAnsi="Cambria"/>
          <w:sz w:val="20"/>
          <w:szCs w:val="20"/>
        </w:rPr>
        <w:t xml:space="preserve"> y el señor </w:t>
      </w:r>
      <w:proofErr w:type="spellStart"/>
      <w:r w:rsidRPr="00ED46A1">
        <w:rPr>
          <w:rFonts w:ascii="Cambria" w:hAnsi="Cambria"/>
          <w:sz w:val="20"/>
          <w:szCs w:val="20"/>
        </w:rPr>
        <w:t>Preckel</w:t>
      </w:r>
      <w:proofErr w:type="spellEnd"/>
      <w:r w:rsidRPr="00ED46A1">
        <w:rPr>
          <w:rFonts w:ascii="Cambria" w:hAnsi="Cambria"/>
          <w:sz w:val="20"/>
          <w:szCs w:val="20"/>
          <w:lang w:val="es-AR"/>
        </w:rPr>
        <w:t xml:space="preserve"> debido a las remuneraciones que dejaron de percibir, así como de otros beneficios laborales que no recibieron mientras estuvieron detenidos y posteriormente en exilio. </w:t>
      </w:r>
      <w:r w:rsidRPr="00ED46A1">
        <w:rPr>
          <w:rFonts w:ascii="Cambria" w:hAnsi="Cambria"/>
          <w:sz w:val="20"/>
          <w:lang w:val="es-ES"/>
        </w:rPr>
        <w:t>Señalaron que la indemnización recibida en el marco de la Ley 24.043 no incluyó el pago por concepto de la relación laboral sostenida con la Dirección General Impositiva.</w:t>
      </w:r>
    </w:p>
    <w:p w:rsidR="007A61F8" w:rsidRPr="00ED46A1"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Arial"/>
          <w:sz w:val="20"/>
          <w:szCs w:val="20"/>
          <w:lang w:val="es-AR"/>
        </w:rPr>
      </w:pPr>
    </w:p>
    <w:p w:rsidR="007A61F8" w:rsidRPr="00ED46A1"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rPr>
      </w:pPr>
      <w:r w:rsidRPr="00ED46A1">
        <w:rPr>
          <w:rFonts w:ascii="Cambria" w:hAnsi="Cambria"/>
          <w:sz w:val="20"/>
        </w:rPr>
        <w:t xml:space="preserve">También señalaron que se violó el derecho a la igualdad ante la ley pues los agentes de la administración pública que continuaron prestando servicios y aquellos que no los prestaron por causas de fuerza mayor, sí percibieron su salario. Los peticionarios alegaron que la condición de "detenidos" </w:t>
      </w:r>
      <w:r w:rsidRPr="00ED46A1">
        <w:rPr>
          <w:rFonts w:ascii="Cambria" w:hAnsi="Cambria" w:cs="Arial"/>
          <w:sz w:val="20"/>
          <w:szCs w:val="20"/>
          <w:lang w:val="es-AR"/>
        </w:rPr>
        <w:t xml:space="preserve">de la </w:t>
      </w:r>
      <w:r w:rsidRPr="00ED46A1">
        <w:rPr>
          <w:rFonts w:ascii="Cambria" w:hAnsi="Cambria"/>
          <w:sz w:val="20"/>
          <w:szCs w:val="20"/>
        </w:rPr>
        <w:t xml:space="preserve">señora </w:t>
      </w:r>
      <w:proofErr w:type="spellStart"/>
      <w:r w:rsidRPr="00ED46A1">
        <w:rPr>
          <w:rFonts w:ascii="Cambria" w:hAnsi="Cambria"/>
          <w:sz w:val="20"/>
          <w:szCs w:val="20"/>
        </w:rPr>
        <w:t>Perrone</w:t>
      </w:r>
      <w:proofErr w:type="spellEnd"/>
      <w:r w:rsidRPr="00ED46A1">
        <w:rPr>
          <w:rFonts w:ascii="Cambria" w:hAnsi="Cambria"/>
          <w:sz w:val="20"/>
          <w:szCs w:val="20"/>
        </w:rPr>
        <w:t xml:space="preserve"> y el señor </w:t>
      </w:r>
      <w:proofErr w:type="spellStart"/>
      <w:r w:rsidRPr="00ED46A1">
        <w:rPr>
          <w:rFonts w:ascii="Cambria" w:hAnsi="Cambria"/>
          <w:sz w:val="20"/>
          <w:szCs w:val="20"/>
        </w:rPr>
        <w:t>Preckel</w:t>
      </w:r>
      <w:proofErr w:type="spellEnd"/>
      <w:r w:rsidRPr="00ED46A1">
        <w:rPr>
          <w:rFonts w:ascii="Cambria" w:hAnsi="Cambria"/>
          <w:sz w:val="20"/>
        </w:rPr>
        <w:t xml:space="preserve"> debió considerarse un caso de fuerza mayor y por lo tanto, encuadrar dentro del supuesto del artículo 14.c del Régimen de Licencias, Justificaciones y Franquicias de la Administración Pública Nacional - Decreto No. 3413 de 1979. Indicaron que dicha norma se refiere al régimen de licencias y justificaciones del personal de administración pública. </w:t>
      </w:r>
    </w:p>
    <w:p w:rsidR="007A61F8" w:rsidRPr="00E57D5F" w:rsidRDefault="007A61F8" w:rsidP="007A61F8">
      <w:pPr>
        <w:rPr>
          <w:rFonts w:ascii="Cambria" w:hAnsi="Cambria"/>
          <w:sz w:val="20"/>
          <w:szCs w:val="20"/>
          <w:lang w:val="es-ES_tradnl"/>
        </w:rPr>
      </w:pPr>
    </w:p>
    <w:p w:rsidR="007A61F8" w:rsidRPr="00E57D5F" w:rsidRDefault="007A61F8" w:rsidP="007A61F8">
      <w:pPr>
        <w:pStyle w:val="Heading2"/>
      </w:pPr>
      <w:bookmarkStart w:id="21" w:name="_Toc370831284"/>
      <w:bookmarkStart w:id="22" w:name="_Toc412635573"/>
      <w:bookmarkStart w:id="23" w:name="_Toc416685629"/>
      <w:bookmarkStart w:id="24" w:name="_Toc476667875"/>
      <w:r w:rsidRPr="00E57D5F">
        <w:t>Posición del Estado</w:t>
      </w:r>
      <w:bookmarkEnd w:id="21"/>
      <w:bookmarkEnd w:id="22"/>
      <w:bookmarkEnd w:id="23"/>
      <w:bookmarkEnd w:id="24"/>
    </w:p>
    <w:p w:rsidR="007A61F8" w:rsidRPr="00E57D5F" w:rsidRDefault="007A61F8" w:rsidP="007A61F8">
      <w:pPr>
        <w:ind w:firstLine="567"/>
        <w:rPr>
          <w:rFonts w:ascii="Cambria" w:hAnsi="Cambria"/>
          <w:sz w:val="20"/>
          <w:szCs w:val="20"/>
          <w:lang w:val="es-AR"/>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E57D5F">
        <w:rPr>
          <w:rFonts w:ascii="Cambria" w:hAnsi="Cambria"/>
          <w:sz w:val="20"/>
          <w:szCs w:val="20"/>
        </w:rPr>
        <w:t xml:space="preserve">El Estado reconoció la ocurrencia de los hechos </w:t>
      </w:r>
      <w:r w:rsidR="00D869B9" w:rsidRPr="00E57D5F">
        <w:rPr>
          <w:rFonts w:ascii="Cambria" w:hAnsi="Cambria"/>
          <w:sz w:val="20"/>
          <w:szCs w:val="20"/>
        </w:rPr>
        <w:t>alegados</w:t>
      </w:r>
      <w:r w:rsidRPr="00E57D5F">
        <w:rPr>
          <w:rFonts w:ascii="Cambria" w:hAnsi="Cambria"/>
          <w:sz w:val="20"/>
          <w:szCs w:val="20"/>
        </w:rPr>
        <w:t xml:space="preserve"> por los </w:t>
      </w:r>
      <w:r w:rsidR="00974718" w:rsidRPr="00E57D5F">
        <w:rPr>
          <w:rFonts w:ascii="Cambria" w:hAnsi="Cambria"/>
          <w:sz w:val="20"/>
          <w:szCs w:val="20"/>
        </w:rPr>
        <w:t>peticionarios</w:t>
      </w:r>
      <w:r w:rsidRPr="00E57D5F">
        <w:rPr>
          <w:rFonts w:ascii="Cambria" w:hAnsi="Cambria"/>
          <w:sz w:val="20"/>
          <w:szCs w:val="20"/>
        </w:rPr>
        <w:t xml:space="preserve"> </w:t>
      </w:r>
      <w:r w:rsidR="00D869B9" w:rsidRPr="00E57D5F">
        <w:rPr>
          <w:rFonts w:ascii="Cambria" w:hAnsi="Cambria"/>
          <w:sz w:val="20"/>
          <w:szCs w:val="20"/>
        </w:rPr>
        <w:t>relacionados con</w:t>
      </w:r>
      <w:r w:rsidRPr="00E57D5F">
        <w:rPr>
          <w:rFonts w:ascii="Cambria" w:hAnsi="Cambria"/>
          <w:sz w:val="20"/>
          <w:szCs w:val="20"/>
        </w:rPr>
        <w:t xml:space="preserve"> la detención y las lesiones generadas en perjuicio de </w:t>
      </w:r>
      <w:r w:rsidRPr="00E57D5F">
        <w:rPr>
          <w:rFonts w:ascii="Cambria" w:hAnsi="Cambria" w:cs="Arial"/>
          <w:sz w:val="20"/>
          <w:szCs w:val="20"/>
          <w:lang w:val="es-AR"/>
        </w:rPr>
        <w:t xml:space="preserve">la </w:t>
      </w:r>
      <w:r w:rsidRPr="00E57D5F">
        <w:rPr>
          <w:rFonts w:ascii="Cambria" w:hAnsi="Cambria"/>
          <w:sz w:val="20"/>
          <w:szCs w:val="20"/>
        </w:rPr>
        <w:t xml:space="preserve">señora </w:t>
      </w:r>
      <w:proofErr w:type="spellStart"/>
      <w:r w:rsidRPr="00E57D5F">
        <w:rPr>
          <w:rFonts w:ascii="Cambria" w:hAnsi="Cambria"/>
          <w:sz w:val="20"/>
          <w:szCs w:val="20"/>
        </w:rPr>
        <w:t>Perrone</w:t>
      </w:r>
      <w:proofErr w:type="spellEnd"/>
      <w:r w:rsidRPr="00E57D5F">
        <w:rPr>
          <w:rFonts w:ascii="Cambria" w:hAnsi="Cambria"/>
          <w:sz w:val="20"/>
          <w:szCs w:val="20"/>
        </w:rPr>
        <w:t xml:space="preserve"> y el señor </w:t>
      </w:r>
      <w:proofErr w:type="spellStart"/>
      <w:r w:rsidRPr="00E57D5F">
        <w:rPr>
          <w:rFonts w:ascii="Cambria" w:hAnsi="Cambria"/>
          <w:sz w:val="20"/>
          <w:szCs w:val="20"/>
        </w:rPr>
        <w:t>Preckel</w:t>
      </w:r>
      <w:proofErr w:type="spellEnd"/>
      <w:r w:rsidRPr="00E57D5F">
        <w:rPr>
          <w:rFonts w:ascii="Cambria" w:hAnsi="Cambria"/>
          <w:sz w:val="20"/>
          <w:szCs w:val="20"/>
        </w:rPr>
        <w:t xml:space="preserve">. Alegó que </w:t>
      </w:r>
      <w:r w:rsidRPr="00E57D5F">
        <w:rPr>
          <w:rFonts w:ascii="Cambria" w:hAnsi="Cambria"/>
          <w:sz w:val="20"/>
          <w:szCs w:val="20"/>
        </w:rPr>
        <w:lastRenderedPageBreak/>
        <w:t xml:space="preserve">conforme a la Ley No. 24.043 - </w:t>
      </w:r>
      <w:r w:rsidRPr="00E57D5F">
        <w:rPr>
          <w:rFonts w:ascii="Cambria" w:hAnsi="Cambria"/>
          <w:sz w:val="20"/>
          <w:szCs w:val="20"/>
          <w:lang w:val="es-ES"/>
        </w:rPr>
        <w:t>Indemnización para ex Detenidos,</w:t>
      </w:r>
      <w:r w:rsidRPr="00E57D5F">
        <w:rPr>
          <w:rFonts w:ascii="Cambria" w:hAnsi="Cambria"/>
          <w:sz w:val="20"/>
          <w:szCs w:val="20"/>
        </w:rPr>
        <w:t xml:space="preserve"> se pagó una indemnización a ambas presuntas víctimas por las afectaciones ya reconocidas, pago que debe entenderse en el sentido de que satisfizo sus reclamos. </w:t>
      </w: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rsidR="007A61F8" w:rsidRPr="00E57D5F" w:rsidRDefault="007A61F8" w:rsidP="007A61F8">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
        </w:rPr>
      </w:pPr>
      <w:r w:rsidRPr="00E57D5F">
        <w:rPr>
          <w:rFonts w:ascii="Cambria" w:eastAsia="Times New Roman" w:hAnsi="Cambria"/>
          <w:color w:val="000000"/>
          <w:sz w:val="20"/>
          <w:szCs w:val="20"/>
          <w:bdr w:val="none" w:sz="0" w:space="0" w:color="auto"/>
          <w:lang w:val="es-ES"/>
        </w:rPr>
        <w:t xml:space="preserve">El Estado sostuvo que </w:t>
      </w:r>
      <w:r w:rsidR="00D869B9" w:rsidRPr="00E57D5F">
        <w:rPr>
          <w:rFonts w:ascii="Cambria" w:eastAsia="Times New Roman" w:hAnsi="Cambria"/>
          <w:color w:val="000000"/>
          <w:sz w:val="20"/>
          <w:szCs w:val="20"/>
          <w:bdr w:val="none" w:sz="0" w:space="0" w:color="auto"/>
          <w:lang w:val="es-ES"/>
        </w:rPr>
        <w:t xml:space="preserve">el </w:t>
      </w:r>
      <w:r w:rsidRPr="00E57D5F">
        <w:rPr>
          <w:rFonts w:ascii="Cambria" w:eastAsia="Times New Roman" w:hAnsi="Cambria"/>
          <w:color w:val="000000"/>
          <w:sz w:val="20"/>
          <w:szCs w:val="20"/>
          <w:bdr w:val="none" w:sz="0" w:space="0" w:color="auto"/>
          <w:lang w:val="es-ES"/>
        </w:rPr>
        <w:t>artículo 9 de la ley 24.043 establece que "el pago del beneficio importa la renuncia a todo derecho por indemnización de daños y perjuicios en razón de la privación de libertad, arresto, puesta a disposición del Poder Ejecutivo, muerte o lesiones y será excluyente de todo otro beneficio o indemnización por el mismo concepto". Indicó que los peticionarios no pueden reclamar pagos adicionales pues todas las personas a quienes se ha indemnizado bajo la norma citada se han visto imposibilitadas de trabajar, ejercer comercio, industria, profesión y, como consecuencia, de percibir una retribución por la misma causa.</w:t>
      </w: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E57D5F">
        <w:rPr>
          <w:rFonts w:ascii="Cambria" w:hAnsi="Cambria"/>
          <w:sz w:val="20"/>
          <w:szCs w:val="20"/>
        </w:rPr>
        <w:t xml:space="preserve">En relación con la falta de pago de los haberes laborales de </w:t>
      </w:r>
      <w:r w:rsidRPr="00E57D5F">
        <w:rPr>
          <w:rFonts w:ascii="Cambria" w:hAnsi="Cambria" w:cs="Arial"/>
          <w:sz w:val="20"/>
          <w:szCs w:val="20"/>
          <w:lang w:val="es-AR"/>
        </w:rPr>
        <w:t xml:space="preserve">la </w:t>
      </w:r>
      <w:r w:rsidRPr="00E57D5F">
        <w:rPr>
          <w:rFonts w:ascii="Cambria" w:hAnsi="Cambria"/>
          <w:sz w:val="20"/>
          <w:szCs w:val="20"/>
        </w:rPr>
        <w:t xml:space="preserve">señora </w:t>
      </w:r>
      <w:proofErr w:type="spellStart"/>
      <w:r w:rsidRPr="00E57D5F">
        <w:rPr>
          <w:rFonts w:ascii="Cambria" w:hAnsi="Cambria"/>
          <w:sz w:val="20"/>
          <w:szCs w:val="20"/>
        </w:rPr>
        <w:t>Perrone</w:t>
      </w:r>
      <w:proofErr w:type="spellEnd"/>
      <w:r w:rsidRPr="00E57D5F">
        <w:rPr>
          <w:rFonts w:ascii="Cambria" w:hAnsi="Cambria"/>
          <w:sz w:val="20"/>
          <w:szCs w:val="20"/>
        </w:rPr>
        <w:t xml:space="preserve"> y el señor </w:t>
      </w:r>
      <w:proofErr w:type="spellStart"/>
      <w:r w:rsidRPr="00E57D5F">
        <w:rPr>
          <w:rFonts w:ascii="Cambria" w:hAnsi="Cambria"/>
          <w:sz w:val="20"/>
          <w:szCs w:val="20"/>
        </w:rPr>
        <w:t>Preckel</w:t>
      </w:r>
      <w:proofErr w:type="spellEnd"/>
      <w:r w:rsidRPr="00E57D5F">
        <w:rPr>
          <w:rFonts w:ascii="Cambria" w:hAnsi="Cambria"/>
          <w:sz w:val="20"/>
          <w:szCs w:val="20"/>
        </w:rPr>
        <w:t xml:space="preserve">, el Estado señaló que las decisiones administrativas y judiciales emitidas respetaron el debido proceso y se basaron en la aplicación de la normativa interna. Explicó que </w:t>
      </w:r>
      <w:r w:rsidRPr="00E57D5F">
        <w:rPr>
          <w:rFonts w:ascii="Cambria" w:hAnsi="Cambria"/>
          <w:sz w:val="20"/>
          <w:szCs w:val="20"/>
          <w:bdr w:val="none" w:sz="0" w:space="0" w:color="auto"/>
        </w:rPr>
        <w:t>el procedimiento iniciado se basó en el Reglamento de Investigaciones de la Función Pública - Decreto No. 1798/80. Señaló que el artículo 39 de dicho Reglamento dispone que no cabe el pago de haberes cuando la suspensión se originare en actos ajenos al servicio. Señaló que, en consecuencia, las decisiones emitidas siguieron el derecho entonces vigente y la jurisprudencia de los tribunales argentinos que afirma que "no cabe retribución cuando no existe contraprestación". </w:t>
      </w: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E57D5F">
        <w:rPr>
          <w:rFonts w:ascii="Cambria" w:hAnsi="Cambria"/>
          <w:sz w:val="20"/>
          <w:szCs w:val="20"/>
          <w:bdr w:val="none" w:sz="0" w:space="0" w:color="auto"/>
        </w:rPr>
        <w:t xml:space="preserve">El Estado añadió, al igual que en la etapa de admisibilidad, que la señora </w:t>
      </w:r>
      <w:proofErr w:type="spellStart"/>
      <w:r w:rsidRPr="00E57D5F">
        <w:rPr>
          <w:rFonts w:ascii="Cambria" w:hAnsi="Cambria"/>
          <w:sz w:val="20"/>
          <w:szCs w:val="20"/>
          <w:bdr w:val="none" w:sz="0" w:space="0" w:color="auto"/>
        </w:rPr>
        <w:t>Perrone</w:t>
      </w:r>
      <w:proofErr w:type="spellEnd"/>
      <w:r w:rsidRPr="00E57D5F">
        <w:rPr>
          <w:rFonts w:ascii="Cambria" w:hAnsi="Cambria"/>
          <w:sz w:val="20"/>
          <w:szCs w:val="20"/>
          <w:bdr w:val="none" w:sz="0" w:space="0" w:color="auto"/>
        </w:rPr>
        <w:t xml:space="preserve"> y el señor </w:t>
      </w:r>
      <w:proofErr w:type="spellStart"/>
      <w:r w:rsidRPr="00E57D5F">
        <w:rPr>
          <w:rFonts w:ascii="Cambria" w:hAnsi="Cambria"/>
          <w:sz w:val="20"/>
          <w:szCs w:val="20"/>
          <w:bdr w:val="none" w:sz="0" w:space="0" w:color="auto"/>
        </w:rPr>
        <w:t>Preckel</w:t>
      </w:r>
      <w:proofErr w:type="spellEnd"/>
      <w:r w:rsidRPr="00E57D5F">
        <w:rPr>
          <w:rFonts w:ascii="Cambria" w:hAnsi="Cambria"/>
          <w:sz w:val="20"/>
          <w:szCs w:val="20"/>
          <w:bdr w:val="none" w:sz="0" w:space="0" w:color="auto"/>
        </w:rPr>
        <w:t xml:space="preserve"> debieron haber presentado una demanda por daños y perjuicios resultantes de la detención y la subsecuente separación de sus cargos de trabajo. Señaló que a través de dicho recurso se podrían haber  incluido los rubros que se recla</w:t>
      </w:r>
      <w:bookmarkStart w:id="25" w:name="_GoBack"/>
      <w:bookmarkEnd w:id="25"/>
      <w:r w:rsidRPr="00E57D5F">
        <w:rPr>
          <w:rFonts w:ascii="Cambria" w:hAnsi="Cambria"/>
          <w:sz w:val="20"/>
          <w:szCs w:val="20"/>
          <w:bdr w:val="none" w:sz="0" w:space="0" w:color="auto"/>
        </w:rPr>
        <w:t>man en este caso.</w:t>
      </w:r>
    </w:p>
    <w:p w:rsidR="007A61F8" w:rsidRPr="00E57D5F" w:rsidRDefault="007A61F8" w:rsidP="007A61F8">
      <w:pPr>
        <w:ind w:firstLine="567"/>
        <w:jc w:val="both"/>
        <w:rPr>
          <w:rFonts w:ascii="Cambria" w:hAnsi="Cambria"/>
          <w:sz w:val="20"/>
          <w:szCs w:val="20"/>
          <w:lang w:val="es-AR"/>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E57D5F">
        <w:rPr>
          <w:rFonts w:ascii="Cambria" w:hAnsi="Cambria"/>
          <w:sz w:val="20"/>
          <w:szCs w:val="20"/>
          <w:bdr w:val="none" w:sz="0" w:space="0" w:color="auto"/>
        </w:rPr>
        <w:t xml:space="preserve">Adicionalmente, el Estado alegó que la señora </w:t>
      </w:r>
      <w:proofErr w:type="spellStart"/>
      <w:r w:rsidRPr="00E57D5F">
        <w:rPr>
          <w:rFonts w:ascii="Cambria" w:hAnsi="Cambria"/>
          <w:sz w:val="20"/>
          <w:szCs w:val="20"/>
          <w:bdr w:val="none" w:sz="0" w:space="0" w:color="auto"/>
        </w:rPr>
        <w:t>Perrone</w:t>
      </w:r>
      <w:proofErr w:type="spellEnd"/>
      <w:r w:rsidRPr="00E57D5F">
        <w:rPr>
          <w:rFonts w:ascii="Cambria" w:hAnsi="Cambria"/>
          <w:sz w:val="20"/>
          <w:szCs w:val="20"/>
          <w:bdr w:val="none" w:sz="0" w:space="0" w:color="auto"/>
        </w:rPr>
        <w:t xml:space="preserve"> y el señor </w:t>
      </w:r>
      <w:proofErr w:type="spellStart"/>
      <w:r w:rsidRPr="00E57D5F">
        <w:rPr>
          <w:rFonts w:ascii="Cambria" w:hAnsi="Cambria"/>
          <w:sz w:val="20"/>
          <w:szCs w:val="20"/>
          <w:bdr w:val="none" w:sz="0" w:space="0" w:color="auto"/>
        </w:rPr>
        <w:t>Preckel</w:t>
      </w:r>
      <w:proofErr w:type="spellEnd"/>
      <w:r w:rsidRPr="00E57D5F">
        <w:rPr>
          <w:rFonts w:ascii="Cambria" w:hAnsi="Cambria"/>
          <w:sz w:val="20"/>
          <w:szCs w:val="20"/>
          <w:bdr w:val="none" w:sz="0" w:space="0" w:color="auto"/>
        </w:rPr>
        <w:t xml:space="preserve"> tienen derecho a solicitar, sin plazo de prescripción, el reconocimiento del periodo de inactividad a efectos de pensión por jubilación. Sostuvo que ello no abarca el pago de salarios debido a la ausencia de contraprestación.</w:t>
      </w:r>
    </w:p>
    <w:p w:rsidR="007A61F8" w:rsidRPr="00E57D5F" w:rsidRDefault="007A61F8" w:rsidP="007A61F8">
      <w:pPr>
        <w:jc w:val="both"/>
        <w:rPr>
          <w:rFonts w:ascii="Cambria" w:hAnsi="Cambria"/>
          <w:sz w:val="20"/>
          <w:szCs w:val="20"/>
          <w:lang w:val="es-AR"/>
        </w:rPr>
      </w:pPr>
    </w:p>
    <w:p w:rsidR="007A61F8" w:rsidRPr="00ED46A1" w:rsidRDefault="007A61F8" w:rsidP="00ED46A1">
      <w:pPr>
        <w:pStyle w:val="Heading1"/>
      </w:pPr>
      <w:bookmarkStart w:id="26" w:name="_Toc476667876"/>
      <w:r w:rsidRPr="00ED46A1">
        <w:t>HECHOS PROBADOS</w:t>
      </w:r>
      <w:bookmarkEnd w:id="26"/>
    </w:p>
    <w:p w:rsidR="007A61F8" w:rsidRPr="00E57D5F" w:rsidRDefault="007A61F8" w:rsidP="007A61F8">
      <w:pPr>
        <w:ind w:firstLine="567"/>
        <w:rPr>
          <w:rFonts w:ascii="Cambria" w:hAnsi="Cambria"/>
          <w:sz w:val="20"/>
          <w:szCs w:val="20"/>
          <w:lang w:val="es-ES_tradnl"/>
        </w:rPr>
      </w:pPr>
      <w:r w:rsidRPr="00E57D5F">
        <w:rPr>
          <w:rFonts w:ascii="Cambria" w:hAnsi="Cambria"/>
          <w:sz w:val="20"/>
          <w:szCs w:val="20"/>
          <w:lang w:val="es-ES_tradnl"/>
        </w:rPr>
        <w:t xml:space="preserve"> </w:t>
      </w:r>
    </w:p>
    <w:p w:rsidR="007A61F8" w:rsidRPr="00E57D5F" w:rsidRDefault="007A61F8" w:rsidP="00C13E9E">
      <w:pPr>
        <w:pStyle w:val="Heading2"/>
        <w:numPr>
          <w:ilvl w:val="0"/>
          <w:numId w:val="0"/>
        </w:numPr>
        <w:ind w:left="1440" w:hanging="720"/>
        <w:jc w:val="both"/>
      </w:pPr>
      <w:bookmarkStart w:id="27" w:name="_Toc370830573"/>
      <w:bookmarkStart w:id="28" w:name="_Toc370831286"/>
      <w:bookmarkStart w:id="29" w:name="_Toc412635575"/>
      <w:bookmarkStart w:id="30" w:name="_Toc416685631"/>
      <w:bookmarkStart w:id="31" w:name="_Toc476667877"/>
      <w:r w:rsidRPr="00E57D5F">
        <w:t>A.</w:t>
      </w:r>
      <w:r w:rsidRPr="00E57D5F">
        <w:tab/>
      </w:r>
      <w:bookmarkEnd w:id="27"/>
      <w:bookmarkEnd w:id="28"/>
      <w:bookmarkEnd w:id="29"/>
      <w:bookmarkEnd w:id="30"/>
      <w:r w:rsidRPr="00E57D5F">
        <w:t xml:space="preserve">Sobre la detención de </w:t>
      </w:r>
      <w:r w:rsidRPr="00E57D5F">
        <w:rPr>
          <w:szCs w:val="20"/>
        </w:rPr>
        <w:t xml:space="preserve">Elba Clotilde </w:t>
      </w:r>
      <w:proofErr w:type="spellStart"/>
      <w:r w:rsidRPr="00E57D5F">
        <w:rPr>
          <w:szCs w:val="20"/>
        </w:rPr>
        <w:t>Perrone</w:t>
      </w:r>
      <w:proofErr w:type="spellEnd"/>
      <w:r w:rsidRPr="00E57D5F">
        <w:rPr>
          <w:szCs w:val="20"/>
        </w:rPr>
        <w:t xml:space="preserve"> y Juan José </w:t>
      </w:r>
      <w:proofErr w:type="spellStart"/>
      <w:r w:rsidRPr="00E57D5F">
        <w:rPr>
          <w:szCs w:val="20"/>
        </w:rPr>
        <w:t>Preckel</w:t>
      </w:r>
      <w:proofErr w:type="spellEnd"/>
      <w:r w:rsidRPr="00E57D5F">
        <w:rPr>
          <w:szCs w:val="20"/>
        </w:rPr>
        <w:t xml:space="preserve"> en 1976</w:t>
      </w:r>
      <w:bookmarkEnd w:id="31"/>
    </w:p>
    <w:p w:rsidR="007A61F8" w:rsidRPr="00E57D5F" w:rsidRDefault="007A61F8" w:rsidP="007A61F8">
      <w:pPr>
        <w:ind w:firstLine="567"/>
        <w:rPr>
          <w:rFonts w:ascii="Cambria" w:hAnsi="Cambria" w:cs="Arial"/>
          <w:iCs/>
          <w:sz w:val="20"/>
          <w:szCs w:val="20"/>
          <w:lang w:val="es-ES_tradnl"/>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bookmarkStart w:id="32" w:name="_Toc370830574"/>
      <w:bookmarkStart w:id="33" w:name="_Toc370831287"/>
      <w:r w:rsidRPr="00E57D5F">
        <w:rPr>
          <w:rFonts w:ascii="Cambria" w:hAnsi="Cambria"/>
          <w:sz w:val="20"/>
          <w:szCs w:val="20"/>
        </w:rPr>
        <w:t xml:space="preserve">Los hechos que se describen en esta sección fueron reconocidos por el Estado de Argentina. A inicios de julio de 1976, Elba Clotilde </w:t>
      </w:r>
      <w:proofErr w:type="spellStart"/>
      <w:r w:rsidRPr="00E57D5F">
        <w:rPr>
          <w:rFonts w:ascii="Cambria" w:hAnsi="Cambria"/>
          <w:sz w:val="20"/>
          <w:szCs w:val="20"/>
        </w:rPr>
        <w:t>Perrone</w:t>
      </w:r>
      <w:proofErr w:type="spellEnd"/>
      <w:r w:rsidRPr="00E57D5F">
        <w:rPr>
          <w:rFonts w:ascii="Cambria" w:hAnsi="Cambria"/>
          <w:sz w:val="20"/>
          <w:szCs w:val="20"/>
        </w:rPr>
        <w:t xml:space="preserve"> y Juan José </w:t>
      </w:r>
      <w:proofErr w:type="spellStart"/>
      <w:r w:rsidRPr="00E57D5F">
        <w:rPr>
          <w:rFonts w:ascii="Cambria" w:hAnsi="Cambria"/>
          <w:sz w:val="20"/>
          <w:szCs w:val="20"/>
        </w:rPr>
        <w:t>Preckel</w:t>
      </w:r>
      <w:proofErr w:type="spellEnd"/>
      <w:r w:rsidRPr="00E57D5F">
        <w:rPr>
          <w:rFonts w:ascii="Cambria" w:hAnsi="Cambria"/>
          <w:sz w:val="20"/>
          <w:szCs w:val="20"/>
        </w:rPr>
        <w:t xml:space="preserve"> trabajaban en la Dirección General Impositiva (DGI), entonces dependiente de la Secretaria de Hacienda</w:t>
      </w:r>
      <w:r w:rsidRPr="00E57D5F">
        <w:rPr>
          <w:rStyle w:val="FootnoteReference"/>
          <w:rFonts w:ascii="Cambria" w:hAnsi="Cambria"/>
          <w:sz w:val="20"/>
          <w:szCs w:val="20"/>
        </w:rPr>
        <w:footnoteReference w:id="3"/>
      </w:r>
      <w:r w:rsidRPr="00E57D5F">
        <w:rPr>
          <w:rFonts w:ascii="Cambria" w:hAnsi="Cambria"/>
          <w:sz w:val="20"/>
          <w:szCs w:val="20"/>
        </w:rPr>
        <w:t xml:space="preserve">. La Dirección General Impositiva es el ente a cargo de la </w:t>
      </w:r>
      <w:r w:rsidRPr="00E57D5F">
        <w:rPr>
          <w:rFonts w:ascii="Cambria" w:hAnsi="Cambria" w:cs="Arial"/>
          <w:sz w:val="20"/>
          <w:szCs w:val="20"/>
          <w:shd w:val="clear" w:color="auto" w:fill="FFFFFF"/>
        </w:rPr>
        <w:t>aplicación, percepción, recaudación y fiscalización de</w:t>
      </w:r>
      <w:r w:rsidRPr="00E57D5F">
        <w:rPr>
          <w:rFonts w:ascii="Cambria" w:hAnsi="Cambria"/>
          <w:sz w:val="20"/>
          <w:szCs w:val="20"/>
        </w:rPr>
        <w:t xml:space="preserve"> impuestos del Estado argentino</w:t>
      </w:r>
      <w:r w:rsidRPr="00E57D5F">
        <w:rPr>
          <w:rStyle w:val="FootnoteReference"/>
          <w:rFonts w:ascii="Cambria" w:hAnsi="Cambria"/>
          <w:sz w:val="20"/>
          <w:szCs w:val="20"/>
        </w:rPr>
        <w:footnoteReference w:id="4"/>
      </w:r>
      <w:r w:rsidRPr="00E57D5F">
        <w:rPr>
          <w:rFonts w:ascii="Cambria" w:hAnsi="Cambria"/>
          <w:sz w:val="20"/>
          <w:szCs w:val="20"/>
        </w:rPr>
        <w:t>.</w:t>
      </w: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E57D5F">
        <w:rPr>
          <w:rFonts w:ascii="Cambria" w:hAnsi="Cambria"/>
          <w:sz w:val="20"/>
          <w:szCs w:val="20"/>
        </w:rPr>
        <w:t xml:space="preserve">El 6 de julio de 1976 un grupo de personas vestidas de civil ingresaron a los domicilios de la señora </w:t>
      </w:r>
      <w:proofErr w:type="spellStart"/>
      <w:r w:rsidRPr="00E57D5F">
        <w:rPr>
          <w:rFonts w:ascii="Cambria" w:hAnsi="Cambria"/>
          <w:sz w:val="20"/>
          <w:szCs w:val="20"/>
        </w:rPr>
        <w:t>Perrone</w:t>
      </w:r>
      <w:proofErr w:type="spellEnd"/>
      <w:r w:rsidRPr="00E57D5F">
        <w:rPr>
          <w:rFonts w:ascii="Cambria" w:hAnsi="Cambria"/>
          <w:sz w:val="20"/>
          <w:szCs w:val="20"/>
        </w:rPr>
        <w:t xml:space="preserve"> y el señor </w:t>
      </w:r>
      <w:proofErr w:type="spellStart"/>
      <w:r w:rsidRPr="00E57D5F">
        <w:rPr>
          <w:rFonts w:ascii="Cambria" w:hAnsi="Cambria"/>
          <w:sz w:val="20"/>
          <w:szCs w:val="20"/>
        </w:rPr>
        <w:t>Preckel</w:t>
      </w:r>
      <w:proofErr w:type="spellEnd"/>
      <w:r w:rsidRPr="00E57D5F">
        <w:rPr>
          <w:rFonts w:ascii="Cambria" w:hAnsi="Cambria"/>
          <w:sz w:val="20"/>
          <w:szCs w:val="20"/>
        </w:rPr>
        <w:t>, en la ciudad de Mar del Plata, Provincia de Buenos Aires</w:t>
      </w:r>
      <w:r w:rsidRPr="00E57D5F">
        <w:rPr>
          <w:rStyle w:val="FootnoteReference"/>
          <w:rFonts w:ascii="Cambria" w:hAnsi="Cambria"/>
          <w:sz w:val="20"/>
          <w:szCs w:val="20"/>
        </w:rPr>
        <w:footnoteReference w:id="5"/>
      </w:r>
      <w:r w:rsidRPr="00E57D5F">
        <w:rPr>
          <w:rFonts w:ascii="Cambria" w:hAnsi="Cambria"/>
          <w:sz w:val="20"/>
          <w:szCs w:val="20"/>
        </w:rPr>
        <w:t xml:space="preserve">. De acuerdo a las declaraciones de la señora </w:t>
      </w:r>
      <w:proofErr w:type="spellStart"/>
      <w:r w:rsidRPr="00E57D5F">
        <w:rPr>
          <w:rFonts w:ascii="Cambria" w:hAnsi="Cambria"/>
          <w:sz w:val="20"/>
          <w:szCs w:val="20"/>
        </w:rPr>
        <w:t>Perrone</w:t>
      </w:r>
      <w:proofErr w:type="spellEnd"/>
      <w:r w:rsidRPr="00E57D5F">
        <w:rPr>
          <w:rFonts w:ascii="Cambria" w:hAnsi="Cambria"/>
          <w:sz w:val="20"/>
          <w:szCs w:val="20"/>
        </w:rPr>
        <w:t xml:space="preserve"> y el señor </w:t>
      </w:r>
      <w:proofErr w:type="spellStart"/>
      <w:r w:rsidRPr="00E57D5F">
        <w:rPr>
          <w:rFonts w:ascii="Cambria" w:hAnsi="Cambria"/>
          <w:sz w:val="20"/>
          <w:szCs w:val="20"/>
        </w:rPr>
        <w:t>Preckel</w:t>
      </w:r>
      <w:proofErr w:type="spellEnd"/>
      <w:r w:rsidRPr="00E57D5F">
        <w:rPr>
          <w:rFonts w:ascii="Cambria" w:hAnsi="Cambria"/>
          <w:sz w:val="20"/>
          <w:szCs w:val="20"/>
        </w:rPr>
        <w:t>, fueron golpeados por dichas personas y acusados de ser “subversivos” y de “atentar contra la seguridad nacional”</w:t>
      </w:r>
      <w:r w:rsidRPr="00E57D5F">
        <w:rPr>
          <w:rStyle w:val="FootnoteReference"/>
          <w:rFonts w:ascii="Cambria" w:hAnsi="Cambria"/>
          <w:sz w:val="20"/>
          <w:szCs w:val="20"/>
        </w:rPr>
        <w:footnoteReference w:id="6"/>
      </w:r>
      <w:r w:rsidRPr="00E57D5F">
        <w:rPr>
          <w:rFonts w:ascii="Cambria" w:hAnsi="Cambria"/>
          <w:sz w:val="20"/>
          <w:szCs w:val="20"/>
        </w:rPr>
        <w:t>.</w:t>
      </w:r>
    </w:p>
    <w:p w:rsidR="007A61F8" w:rsidRPr="00E57D5F" w:rsidRDefault="007A61F8" w:rsidP="007A61F8">
      <w:pPr>
        <w:pStyle w:val="ListParagraph"/>
        <w:ind w:left="0"/>
        <w:rPr>
          <w:rFonts w:ascii="Cambria" w:hAnsi="Cambria"/>
          <w:sz w:val="20"/>
          <w:szCs w:val="20"/>
          <w:lang w:val="es-ES"/>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E57D5F">
        <w:rPr>
          <w:rFonts w:ascii="Cambria" w:hAnsi="Cambria"/>
          <w:sz w:val="20"/>
          <w:szCs w:val="20"/>
        </w:rPr>
        <w:t>Ambas personas permanecieron detenidas en distintas dependencias policiales y militares hasta el 18 de marzo de 1977</w:t>
      </w:r>
      <w:r w:rsidRPr="00E57D5F">
        <w:rPr>
          <w:rStyle w:val="FootnoteReference"/>
          <w:rFonts w:ascii="Cambria" w:hAnsi="Cambria"/>
          <w:sz w:val="20"/>
          <w:szCs w:val="20"/>
        </w:rPr>
        <w:footnoteReference w:id="7"/>
      </w:r>
      <w:r w:rsidRPr="00E57D5F">
        <w:rPr>
          <w:rFonts w:ascii="Cambria" w:hAnsi="Cambria"/>
          <w:sz w:val="20"/>
          <w:szCs w:val="20"/>
        </w:rPr>
        <w:t xml:space="preserve">. Conforme a sus declaraciones, fueron sometidos a diversas formas de tortura </w:t>
      </w:r>
      <w:r w:rsidRPr="00E57D5F">
        <w:rPr>
          <w:rFonts w:ascii="Cambria" w:hAnsi="Cambria"/>
          <w:sz w:val="20"/>
          <w:szCs w:val="20"/>
        </w:rPr>
        <w:lastRenderedPageBreak/>
        <w:t>como el traspaso de electricidad en los genitales, boca y pecho; golpizas; amenazas de muerte por simulacro de fusilamiento; así como falta de alimentación y atención médica</w:t>
      </w:r>
      <w:r w:rsidRPr="00E57D5F">
        <w:rPr>
          <w:rStyle w:val="FootnoteReference"/>
          <w:rFonts w:ascii="Cambria" w:hAnsi="Cambria"/>
          <w:sz w:val="20"/>
          <w:szCs w:val="20"/>
        </w:rPr>
        <w:footnoteReference w:id="8"/>
      </w:r>
      <w:r w:rsidRPr="00E57D5F">
        <w:rPr>
          <w:rFonts w:ascii="Cambria" w:hAnsi="Cambria"/>
          <w:sz w:val="20"/>
          <w:szCs w:val="20"/>
        </w:rPr>
        <w:t>.</w:t>
      </w: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E57D5F">
        <w:rPr>
          <w:rFonts w:ascii="Cambria" w:hAnsi="Cambria"/>
          <w:sz w:val="20"/>
          <w:szCs w:val="20"/>
        </w:rPr>
        <w:t>E</w:t>
      </w:r>
      <w:r w:rsidRPr="00E57D5F">
        <w:rPr>
          <w:rFonts w:ascii="Cambria" w:hAnsi="Cambria"/>
          <w:sz w:val="20"/>
        </w:rPr>
        <w:t xml:space="preserve">l 18 de marzo de 1977 ambas personas fueron informadas de que estaban detenidas con base en el </w:t>
      </w:r>
      <w:r w:rsidRPr="00E57D5F">
        <w:rPr>
          <w:rFonts w:ascii="Cambria" w:hAnsi="Cambria"/>
          <w:sz w:val="20"/>
          <w:szCs w:val="20"/>
        </w:rPr>
        <w:t>Decreto No. 484, emitido el 23 de febrero del mismo año</w:t>
      </w:r>
      <w:r w:rsidRPr="00E57D5F">
        <w:rPr>
          <w:rStyle w:val="FootnoteReference"/>
          <w:rFonts w:ascii="Cambria" w:hAnsi="Cambria"/>
          <w:sz w:val="20"/>
          <w:szCs w:val="20"/>
        </w:rPr>
        <w:footnoteReference w:id="9"/>
      </w:r>
      <w:r w:rsidRPr="00E57D5F">
        <w:rPr>
          <w:rFonts w:ascii="Cambria" w:hAnsi="Cambria"/>
          <w:sz w:val="20"/>
          <w:szCs w:val="20"/>
        </w:rPr>
        <w:t xml:space="preserve">. La señora </w:t>
      </w:r>
      <w:proofErr w:type="spellStart"/>
      <w:r w:rsidRPr="00E57D5F">
        <w:rPr>
          <w:rFonts w:ascii="Cambria" w:hAnsi="Cambria"/>
          <w:sz w:val="20"/>
          <w:szCs w:val="20"/>
        </w:rPr>
        <w:t>Perrone</w:t>
      </w:r>
      <w:proofErr w:type="spellEnd"/>
      <w:r w:rsidRPr="00E57D5F">
        <w:rPr>
          <w:rFonts w:ascii="Cambria" w:hAnsi="Cambria"/>
          <w:sz w:val="20"/>
          <w:szCs w:val="20"/>
        </w:rPr>
        <w:t xml:space="preserve"> declaró que continuó arrestada y que fue puesta a la orden del Poder Ejecutivo Nacional</w:t>
      </w:r>
      <w:r w:rsidRPr="00E57D5F">
        <w:rPr>
          <w:rStyle w:val="FootnoteReference"/>
          <w:rFonts w:ascii="Cambria" w:hAnsi="Cambria"/>
          <w:sz w:val="20"/>
          <w:szCs w:val="20"/>
        </w:rPr>
        <w:footnoteReference w:id="10"/>
      </w:r>
      <w:r w:rsidRPr="00E57D5F">
        <w:rPr>
          <w:rFonts w:ascii="Cambria" w:hAnsi="Cambria"/>
          <w:sz w:val="20"/>
          <w:szCs w:val="20"/>
        </w:rPr>
        <w:t xml:space="preserve">. </w:t>
      </w:r>
    </w:p>
    <w:p w:rsidR="007A61F8" w:rsidRPr="00E57D5F" w:rsidRDefault="007A61F8" w:rsidP="007A61F8">
      <w:pPr>
        <w:pStyle w:val="ListParagraph"/>
        <w:rPr>
          <w:rFonts w:ascii="Cambria" w:hAnsi="Cambria"/>
          <w:sz w:val="20"/>
          <w:szCs w:val="20"/>
          <w:lang w:val="es-ES"/>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E57D5F">
        <w:rPr>
          <w:rFonts w:ascii="Cambria" w:hAnsi="Cambria"/>
          <w:sz w:val="20"/>
          <w:szCs w:val="20"/>
        </w:rPr>
        <w:t xml:space="preserve">La señora </w:t>
      </w:r>
      <w:proofErr w:type="spellStart"/>
      <w:r w:rsidRPr="00E57D5F">
        <w:rPr>
          <w:rFonts w:ascii="Cambria" w:hAnsi="Cambria"/>
          <w:sz w:val="20"/>
          <w:szCs w:val="20"/>
        </w:rPr>
        <w:t>Perrone</w:t>
      </w:r>
      <w:proofErr w:type="spellEnd"/>
      <w:r w:rsidRPr="00E57D5F">
        <w:rPr>
          <w:rFonts w:ascii="Cambria" w:hAnsi="Cambria"/>
          <w:sz w:val="20"/>
          <w:szCs w:val="20"/>
        </w:rPr>
        <w:t xml:space="preserve"> manifestó que </w:t>
      </w:r>
      <w:r w:rsidRPr="00E57D5F">
        <w:rPr>
          <w:rFonts w:ascii="Cambria" w:hAnsi="Cambria"/>
          <w:sz w:val="20"/>
          <w:lang w:val="es-ES"/>
        </w:rPr>
        <w:t>e</w:t>
      </w:r>
      <w:r w:rsidRPr="00E57D5F">
        <w:rPr>
          <w:rFonts w:ascii="Cambria" w:hAnsi="Cambria"/>
          <w:sz w:val="20"/>
        </w:rPr>
        <w:t>l 16 de octubre de 1982 fue puesta en libertad</w:t>
      </w:r>
      <w:r w:rsidRPr="00E57D5F">
        <w:rPr>
          <w:rStyle w:val="FootnoteReference"/>
          <w:rFonts w:ascii="Cambria" w:hAnsi="Cambria"/>
          <w:sz w:val="20"/>
          <w:szCs w:val="20"/>
        </w:rPr>
        <w:footnoteReference w:id="11"/>
      </w:r>
      <w:r w:rsidRPr="00E57D5F">
        <w:rPr>
          <w:rFonts w:ascii="Cambria" w:hAnsi="Cambria"/>
          <w:sz w:val="20"/>
        </w:rPr>
        <w:t>. De acuerdo a un acta judicial, se dispuso la modificación del arresto por el régimen de libertad vigilada</w:t>
      </w:r>
      <w:r w:rsidRPr="00E57D5F">
        <w:rPr>
          <w:rStyle w:val="FootnoteReference"/>
          <w:rFonts w:ascii="Cambria" w:hAnsi="Cambria"/>
          <w:sz w:val="20"/>
          <w:szCs w:val="20"/>
        </w:rPr>
        <w:footnoteReference w:id="12"/>
      </w:r>
      <w:r w:rsidRPr="00E57D5F">
        <w:rPr>
          <w:rFonts w:ascii="Cambria" w:hAnsi="Cambria"/>
          <w:sz w:val="20"/>
        </w:rPr>
        <w:t>. Agregó que intentó hacer uso de su derecho de opción de salida del país pero que su solicitud fue denegada en diversas ocasiones</w:t>
      </w:r>
      <w:r w:rsidRPr="00E57D5F">
        <w:rPr>
          <w:rStyle w:val="FootnoteReference"/>
          <w:rFonts w:ascii="Cambria" w:hAnsi="Cambria"/>
          <w:sz w:val="20"/>
          <w:szCs w:val="20"/>
        </w:rPr>
        <w:footnoteReference w:id="13"/>
      </w:r>
      <w:r w:rsidRPr="00E57D5F">
        <w:rPr>
          <w:rFonts w:ascii="Cambria" w:hAnsi="Cambria"/>
          <w:sz w:val="20"/>
        </w:rPr>
        <w:t xml:space="preserve">. </w:t>
      </w:r>
    </w:p>
    <w:p w:rsidR="007A61F8" w:rsidRPr="00E57D5F" w:rsidRDefault="007A61F8" w:rsidP="007A61F8">
      <w:pPr>
        <w:rPr>
          <w:sz w:val="20"/>
          <w:lang w:val="es-ES"/>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rPr>
      </w:pPr>
      <w:r w:rsidRPr="00E57D5F">
        <w:rPr>
          <w:rFonts w:ascii="Cambria" w:hAnsi="Cambria"/>
          <w:sz w:val="20"/>
        </w:rPr>
        <w:t xml:space="preserve">Por su parte, el 7 de agosto de 1979 el señor </w:t>
      </w:r>
      <w:proofErr w:type="spellStart"/>
      <w:r w:rsidRPr="00E57D5F">
        <w:rPr>
          <w:rFonts w:ascii="Cambria" w:hAnsi="Cambria"/>
          <w:sz w:val="20"/>
        </w:rPr>
        <w:t>Preckel</w:t>
      </w:r>
      <w:proofErr w:type="spellEnd"/>
      <w:r w:rsidRPr="00E57D5F">
        <w:rPr>
          <w:rFonts w:ascii="Cambria" w:hAnsi="Cambria"/>
          <w:sz w:val="20"/>
        </w:rPr>
        <w:t xml:space="preserve"> fue trasladado al Departamento de Asuntos Extranjeros de la Policía Federal a efectos de gestionar su salida del país conforme al Decreto No. 2664</w:t>
      </w:r>
      <w:r w:rsidRPr="00E57D5F">
        <w:rPr>
          <w:rStyle w:val="FootnoteReference"/>
          <w:rFonts w:ascii="Cambria" w:hAnsi="Cambria"/>
          <w:sz w:val="20"/>
        </w:rPr>
        <w:footnoteReference w:id="14"/>
      </w:r>
      <w:r w:rsidRPr="00E57D5F">
        <w:rPr>
          <w:rFonts w:ascii="Cambria" w:hAnsi="Cambria"/>
          <w:sz w:val="20"/>
        </w:rPr>
        <w:t xml:space="preserve">. El señor </w:t>
      </w:r>
      <w:proofErr w:type="spellStart"/>
      <w:r w:rsidRPr="00E57D5F">
        <w:rPr>
          <w:rFonts w:ascii="Cambria" w:hAnsi="Cambria"/>
          <w:sz w:val="20"/>
        </w:rPr>
        <w:t>Preckel</w:t>
      </w:r>
      <w:proofErr w:type="spellEnd"/>
      <w:r w:rsidRPr="00E57D5F">
        <w:rPr>
          <w:rFonts w:ascii="Cambria" w:hAnsi="Cambria"/>
          <w:sz w:val="20"/>
        </w:rPr>
        <w:t xml:space="preserve"> sostuvo que, a través de gestiones realizadas por la Embajada de Alemania y por Amnistía Internacional, logró una visa que le permitió hacer uso de la opción de salir del país</w:t>
      </w:r>
      <w:r w:rsidRPr="00E57D5F">
        <w:rPr>
          <w:rStyle w:val="FootnoteReference"/>
          <w:rFonts w:ascii="Cambria" w:hAnsi="Cambria"/>
          <w:sz w:val="20"/>
          <w:szCs w:val="20"/>
        </w:rPr>
        <w:footnoteReference w:id="15"/>
      </w:r>
      <w:r w:rsidRPr="00E57D5F">
        <w:rPr>
          <w:rFonts w:ascii="Cambria" w:hAnsi="Cambria"/>
          <w:sz w:val="20"/>
        </w:rPr>
        <w:t>. El 7 de septiembre de 1979 viajó a Alemania donde tramitó su asilo político y en diciembre de 1984 regresó a Argentina</w:t>
      </w:r>
      <w:r w:rsidRPr="00E57D5F">
        <w:rPr>
          <w:rStyle w:val="FootnoteReference"/>
          <w:rFonts w:ascii="Cambria" w:hAnsi="Cambria"/>
          <w:sz w:val="20"/>
          <w:szCs w:val="20"/>
        </w:rPr>
        <w:footnoteReference w:id="16"/>
      </w:r>
      <w:r w:rsidRPr="00E57D5F">
        <w:rPr>
          <w:rFonts w:ascii="Cambria" w:hAnsi="Cambria"/>
          <w:sz w:val="20"/>
        </w:rPr>
        <w:t>.</w:t>
      </w:r>
    </w:p>
    <w:p w:rsidR="007A61F8" w:rsidRPr="00E57D5F" w:rsidRDefault="007A61F8" w:rsidP="007A61F8">
      <w:pPr>
        <w:rPr>
          <w:sz w:val="20"/>
          <w:lang w:val="es-ES"/>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E57D5F">
        <w:rPr>
          <w:rFonts w:ascii="Cambria" w:hAnsi="Cambria"/>
          <w:sz w:val="20"/>
        </w:rPr>
        <w:t xml:space="preserve">La señora </w:t>
      </w:r>
      <w:proofErr w:type="spellStart"/>
      <w:r w:rsidRPr="00E57D5F">
        <w:rPr>
          <w:rFonts w:ascii="Cambria" w:hAnsi="Cambria"/>
          <w:sz w:val="20"/>
        </w:rPr>
        <w:t>Perrone</w:t>
      </w:r>
      <w:proofErr w:type="spellEnd"/>
      <w:r w:rsidRPr="00E57D5F">
        <w:rPr>
          <w:rFonts w:ascii="Cambria" w:hAnsi="Cambria"/>
          <w:sz w:val="20"/>
        </w:rPr>
        <w:t xml:space="preserve"> y el señor </w:t>
      </w:r>
      <w:proofErr w:type="spellStart"/>
      <w:r w:rsidRPr="00E57D5F">
        <w:rPr>
          <w:rFonts w:ascii="Cambria" w:hAnsi="Cambria"/>
          <w:sz w:val="20"/>
        </w:rPr>
        <w:t>Preckel</w:t>
      </w:r>
      <w:proofErr w:type="spellEnd"/>
      <w:r w:rsidRPr="00E57D5F">
        <w:rPr>
          <w:rFonts w:ascii="Cambria" w:hAnsi="Cambria"/>
          <w:sz w:val="20"/>
        </w:rPr>
        <w:t xml:space="preserve"> recibieron una indemnización de conformidad con la L</w:t>
      </w:r>
      <w:r w:rsidR="005E3CCE">
        <w:rPr>
          <w:rFonts w:ascii="Cambria" w:hAnsi="Cambria"/>
          <w:sz w:val="20"/>
        </w:rPr>
        <w:t xml:space="preserve">ey No. 24.043 - </w:t>
      </w:r>
      <w:r w:rsidRPr="00E57D5F">
        <w:rPr>
          <w:rFonts w:ascii="Cambria" w:hAnsi="Cambria"/>
          <w:sz w:val="20"/>
        </w:rPr>
        <w:t>Indemnización para ex Detenidos</w:t>
      </w:r>
      <w:r w:rsidRPr="00E57D5F">
        <w:rPr>
          <w:rStyle w:val="FootnoteReference"/>
          <w:rFonts w:ascii="Cambria" w:hAnsi="Cambria"/>
          <w:sz w:val="20"/>
          <w:szCs w:val="20"/>
        </w:rPr>
        <w:footnoteReference w:id="17"/>
      </w:r>
      <w:r w:rsidRPr="00E57D5F">
        <w:rPr>
          <w:rFonts w:ascii="Cambria" w:hAnsi="Cambria"/>
          <w:sz w:val="20"/>
        </w:rPr>
        <w:t>.</w:t>
      </w:r>
      <w:r w:rsidRPr="00E57D5F">
        <w:rPr>
          <w:rFonts w:ascii="Cambria" w:hAnsi="Cambria"/>
          <w:sz w:val="20"/>
          <w:szCs w:val="20"/>
        </w:rPr>
        <w:t xml:space="preserve"> Dicha norma establece lo siguiente:</w:t>
      </w:r>
    </w:p>
    <w:p w:rsidR="007A61F8" w:rsidRPr="00E57D5F" w:rsidRDefault="007A61F8" w:rsidP="007A61F8">
      <w:pPr>
        <w:pStyle w:val="ListParagraph"/>
        <w:ind w:left="1440" w:right="720"/>
        <w:jc w:val="both"/>
        <w:rPr>
          <w:rFonts w:ascii="Cambria" w:hAnsi="Cambria"/>
          <w:sz w:val="20"/>
          <w:szCs w:val="20"/>
          <w:lang w:val="es-ES"/>
        </w:rPr>
      </w:pPr>
    </w:p>
    <w:p w:rsidR="007A61F8" w:rsidRPr="00E57D5F" w:rsidRDefault="007A61F8" w:rsidP="007A61F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ight="720"/>
        <w:jc w:val="both"/>
        <w:rPr>
          <w:rFonts w:ascii="Cambria" w:eastAsia="Times New Roman" w:hAnsi="Cambria" w:cs="Arial"/>
          <w:color w:val="222222"/>
          <w:sz w:val="20"/>
          <w:szCs w:val="20"/>
          <w:bdr w:val="none" w:sz="0" w:space="0" w:color="auto"/>
          <w:lang w:val="es-ES"/>
        </w:rPr>
      </w:pPr>
      <w:r w:rsidRPr="00E57D5F">
        <w:rPr>
          <w:rFonts w:ascii="Cambria" w:eastAsia="Times New Roman" w:hAnsi="Cambria" w:cs="Arial"/>
          <w:color w:val="222222"/>
          <w:sz w:val="20"/>
          <w:szCs w:val="20"/>
          <w:bdr w:val="none" w:sz="0" w:space="0" w:color="auto"/>
          <w:lang w:val="es-ES"/>
        </w:rPr>
        <w:t>ARTICULO 1 - Las personas que durante la vigencia del estado de sitio hubieran sido puestas a disposición del Poder Ejecutivo Nacional, por decisión de éste, o que siendo civiles hubiesen sufrido detención en virtud de actos emanados de tribunales militares, hayan o no iniciado juicio por daños y perjuicios, podrán acogerse a los beneficios de esta ley, siempre que no hubiesen percibido indemnización alguna en virtud de sentencia judicial, con motivo de los hechos contemplados en la presente.</w:t>
      </w:r>
    </w:p>
    <w:p w:rsidR="002051A2" w:rsidRDefault="002051A2" w:rsidP="007A61F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ight="720"/>
        <w:jc w:val="both"/>
        <w:rPr>
          <w:rFonts w:ascii="Cambria" w:eastAsia="Times New Roman" w:hAnsi="Cambria" w:cs="Arial"/>
          <w:color w:val="222222"/>
          <w:sz w:val="20"/>
          <w:szCs w:val="20"/>
          <w:bdr w:val="none" w:sz="0" w:space="0" w:color="auto"/>
          <w:lang w:val="es-ES"/>
        </w:rPr>
      </w:pPr>
    </w:p>
    <w:p w:rsidR="007A61F8" w:rsidRPr="00E57D5F" w:rsidRDefault="007A61F8" w:rsidP="007A61F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ight="720"/>
        <w:jc w:val="both"/>
        <w:rPr>
          <w:rFonts w:ascii="Cambria" w:eastAsia="Times New Roman" w:hAnsi="Cambria" w:cs="Arial"/>
          <w:color w:val="222222"/>
          <w:sz w:val="20"/>
          <w:szCs w:val="20"/>
          <w:bdr w:val="none" w:sz="0" w:space="0" w:color="auto"/>
          <w:lang w:val="es-ES"/>
        </w:rPr>
      </w:pPr>
      <w:r w:rsidRPr="00E57D5F">
        <w:rPr>
          <w:rFonts w:ascii="Cambria" w:eastAsia="Times New Roman" w:hAnsi="Cambria" w:cs="Arial"/>
          <w:color w:val="222222"/>
          <w:sz w:val="20"/>
          <w:szCs w:val="20"/>
          <w:bdr w:val="none" w:sz="0" w:space="0" w:color="auto"/>
          <w:lang w:val="es-ES"/>
        </w:rPr>
        <w:t>ARTICULO 2 - Para acogerse a los beneficios de esta ley, las personas mencionadas en el artículo anterior deberán reunir alguno de los siguientes requisitos:</w:t>
      </w:r>
    </w:p>
    <w:p w:rsidR="002051A2" w:rsidRDefault="002051A2" w:rsidP="007A61F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ight="720"/>
        <w:jc w:val="both"/>
        <w:rPr>
          <w:rFonts w:ascii="Cambria" w:eastAsia="Times New Roman" w:hAnsi="Cambria" w:cs="Arial"/>
          <w:color w:val="222222"/>
          <w:sz w:val="20"/>
          <w:szCs w:val="20"/>
          <w:bdr w:val="none" w:sz="0" w:space="0" w:color="auto"/>
          <w:lang w:val="es-ES"/>
        </w:rPr>
      </w:pPr>
    </w:p>
    <w:p w:rsidR="007A61F8" w:rsidRPr="00E57D5F" w:rsidRDefault="007A61F8" w:rsidP="007A61F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ight="720"/>
        <w:jc w:val="both"/>
        <w:rPr>
          <w:rFonts w:ascii="Cambria" w:eastAsia="Times New Roman" w:hAnsi="Cambria" w:cs="Arial"/>
          <w:color w:val="222222"/>
          <w:sz w:val="20"/>
          <w:szCs w:val="20"/>
          <w:bdr w:val="none" w:sz="0" w:space="0" w:color="auto"/>
          <w:lang w:val="es-ES"/>
        </w:rPr>
      </w:pPr>
      <w:r w:rsidRPr="00E57D5F">
        <w:rPr>
          <w:rFonts w:ascii="Cambria" w:eastAsia="Times New Roman" w:hAnsi="Cambria" w:cs="Arial"/>
          <w:color w:val="222222"/>
          <w:sz w:val="20"/>
          <w:szCs w:val="20"/>
          <w:bdr w:val="none" w:sz="0" w:space="0" w:color="auto"/>
          <w:lang w:val="es-ES"/>
        </w:rPr>
        <w:t>a) Haber sido puestas a disposición del Poder Ejecutivo Nacional antes del 10 de diciembre de 1983.</w:t>
      </w:r>
    </w:p>
    <w:p w:rsidR="002051A2" w:rsidRDefault="002051A2" w:rsidP="007A61F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ight="720"/>
        <w:jc w:val="both"/>
        <w:rPr>
          <w:rFonts w:ascii="Cambria" w:eastAsia="Times New Roman" w:hAnsi="Cambria" w:cs="Arial"/>
          <w:color w:val="222222"/>
          <w:sz w:val="20"/>
          <w:szCs w:val="20"/>
          <w:bdr w:val="none" w:sz="0" w:space="0" w:color="auto"/>
          <w:lang w:val="es-ES"/>
        </w:rPr>
      </w:pPr>
    </w:p>
    <w:p w:rsidR="007A61F8" w:rsidRPr="00E57D5F" w:rsidRDefault="007A61F8" w:rsidP="007A61F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ight="720"/>
        <w:jc w:val="both"/>
        <w:rPr>
          <w:rFonts w:ascii="Cambria" w:eastAsia="Times New Roman" w:hAnsi="Cambria" w:cs="Arial"/>
          <w:color w:val="222222"/>
          <w:sz w:val="20"/>
          <w:szCs w:val="20"/>
          <w:bdr w:val="none" w:sz="0" w:space="0" w:color="auto"/>
          <w:lang w:val="es-ES"/>
        </w:rPr>
      </w:pPr>
      <w:r w:rsidRPr="00E57D5F">
        <w:rPr>
          <w:rFonts w:ascii="Cambria" w:eastAsia="Times New Roman" w:hAnsi="Cambria" w:cs="Arial"/>
          <w:color w:val="222222"/>
          <w:sz w:val="20"/>
          <w:szCs w:val="20"/>
          <w:bdr w:val="none" w:sz="0" w:space="0" w:color="auto"/>
          <w:lang w:val="es-ES"/>
        </w:rPr>
        <w:t>b) En condición de civiles, haber sido privadas de su libertad por actos emanados de tribunales militares, haya habido o no sentencia condenatoria en este fuero</w:t>
      </w:r>
      <w:r w:rsidRPr="00E57D5F">
        <w:rPr>
          <w:rStyle w:val="FootnoteReference"/>
          <w:rFonts w:ascii="Cambria" w:eastAsia="Times New Roman" w:hAnsi="Cambria" w:cs="Arial"/>
          <w:color w:val="222222"/>
          <w:sz w:val="20"/>
          <w:szCs w:val="20"/>
          <w:bdr w:val="none" w:sz="0" w:space="0" w:color="auto"/>
          <w:lang w:val="es-ES"/>
        </w:rPr>
        <w:footnoteReference w:id="18"/>
      </w:r>
      <w:r w:rsidRPr="00E57D5F">
        <w:rPr>
          <w:rFonts w:ascii="Cambria" w:eastAsia="Times New Roman" w:hAnsi="Cambria" w:cs="Arial"/>
          <w:color w:val="222222"/>
          <w:sz w:val="20"/>
          <w:szCs w:val="20"/>
          <w:bdr w:val="none" w:sz="0" w:space="0" w:color="auto"/>
          <w:lang w:val="es-ES"/>
        </w:rPr>
        <w:t>.</w:t>
      </w:r>
    </w:p>
    <w:p w:rsidR="007A61F8" w:rsidRPr="00E57D5F" w:rsidRDefault="007A61F8" w:rsidP="007A61F8">
      <w:pPr>
        <w:pStyle w:val="ListParagraph"/>
        <w:ind w:left="0"/>
        <w:rPr>
          <w:rFonts w:ascii="Cambria" w:hAnsi="Cambria"/>
          <w:sz w:val="20"/>
          <w:lang w:val="es-ES"/>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E57D5F">
        <w:rPr>
          <w:rFonts w:ascii="Cambria" w:hAnsi="Cambria"/>
          <w:sz w:val="20"/>
        </w:rPr>
        <w:lastRenderedPageBreak/>
        <w:t xml:space="preserve">De acuerdo con lo señalado por el Estado, el 25 de julio de 1995 se emitió la Resolución no. 203 en donde se otorgó a la señora </w:t>
      </w:r>
      <w:proofErr w:type="spellStart"/>
      <w:r w:rsidRPr="00E57D5F">
        <w:rPr>
          <w:rFonts w:ascii="Cambria" w:hAnsi="Cambria"/>
          <w:sz w:val="20"/>
        </w:rPr>
        <w:t>Perrone</w:t>
      </w:r>
      <w:proofErr w:type="spellEnd"/>
      <w:r w:rsidRPr="00E57D5F">
        <w:rPr>
          <w:rFonts w:ascii="Cambria" w:hAnsi="Cambria"/>
          <w:sz w:val="20"/>
        </w:rPr>
        <w:t xml:space="preserve"> un beneficio correspondiente al valor de 2534 días referido al lapso comprendido entre el 17 de agosto de 1976 y el 25 de julio de 1983</w:t>
      </w:r>
      <w:r w:rsidRPr="00E57D5F">
        <w:rPr>
          <w:rStyle w:val="FootnoteReference"/>
          <w:rFonts w:ascii="Cambria" w:hAnsi="Cambria"/>
          <w:sz w:val="20"/>
          <w:szCs w:val="20"/>
        </w:rPr>
        <w:footnoteReference w:id="19"/>
      </w:r>
      <w:r w:rsidRPr="00E57D5F">
        <w:rPr>
          <w:rFonts w:ascii="Cambria" w:hAnsi="Cambria"/>
          <w:sz w:val="20"/>
        </w:rPr>
        <w:t>. El monto fue de $144,875</w:t>
      </w:r>
      <w:r w:rsidR="00D869B9" w:rsidRPr="00E57D5F">
        <w:rPr>
          <w:rFonts w:ascii="Cambria" w:hAnsi="Cambria"/>
          <w:sz w:val="20"/>
        </w:rPr>
        <w:t xml:space="preserve"> (pesos argentinos)</w:t>
      </w:r>
      <w:r w:rsidRPr="00E57D5F">
        <w:rPr>
          <w:rStyle w:val="FootnoteReference"/>
          <w:rFonts w:ascii="Cambria" w:hAnsi="Cambria"/>
          <w:sz w:val="20"/>
          <w:szCs w:val="20"/>
        </w:rPr>
        <w:footnoteReference w:id="20"/>
      </w:r>
      <w:r w:rsidRPr="00E57D5F">
        <w:rPr>
          <w:rFonts w:ascii="Cambria" w:hAnsi="Cambria"/>
          <w:sz w:val="20"/>
        </w:rPr>
        <w:t>.</w:t>
      </w:r>
    </w:p>
    <w:p w:rsidR="007A61F8" w:rsidRPr="00E57D5F" w:rsidRDefault="007A61F8" w:rsidP="007A61F8">
      <w:pPr>
        <w:pStyle w:val="ListParagraph"/>
        <w:rPr>
          <w:rFonts w:ascii="Cambria" w:hAnsi="Cambria"/>
          <w:sz w:val="20"/>
          <w:szCs w:val="20"/>
          <w:lang w:val="es-ES"/>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E57D5F">
        <w:rPr>
          <w:rFonts w:ascii="Cambria" w:hAnsi="Cambria"/>
          <w:sz w:val="20"/>
          <w:szCs w:val="20"/>
        </w:rPr>
        <w:t xml:space="preserve">El Estado agregó que el 15 de julio de 1994 se emitió la Resolución no. 2294 en donde se otorgó al señor </w:t>
      </w:r>
      <w:proofErr w:type="spellStart"/>
      <w:r w:rsidRPr="00E57D5F">
        <w:rPr>
          <w:rFonts w:ascii="Cambria" w:hAnsi="Cambria"/>
          <w:sz w:val="20"/>
          <w:szCs w:val="20"/>
        </w:rPr>
        <w:t>Preckel</w:t>
      </w:r>
      <w:proofErr w:type="spellEnd"/>
      <w:r w:rsidRPr="00E57D5F">
        <w:rPr>
          <w:rFonts w:ascii="Cambria" w:hAnsi="Cambria"/>
          <w:sz w:val="20"/>
          <w:szCs w:val="20"/>
        </w:rPr>
        <w:t xml:space="preserve"> un beneficio correspondiente al valor de 2647 días referidos al lapso comprendido entre el 30 de julio de 1976 y 28 de octubre de 1983</w:t>
      </w:r>
      <w:r w:rsidRPr="00E57D5F">
        <w:rPr>
          <w:rStyle w:val="FootnoteReference"/>
          <w:rFonts w:ascii="Cambria" w:hAnsi="Cambria"/>
          <w:sz w:val="20"/>
          <w:szCs w:val="20"/>
        </w:rPr>
        <w:footnoteReference w:id="21"/>
      </w:r>
      <w:r w:rsidRPr="00E57D5F">
        <w:rPr>
          <w:rFonts w:ascii="Cambria" w:hAnsi="Cambria"/>
          <w:sz w:val="20"/>
          <w:szCs w:val="20"/>
        </w:rPr>
        <w:t>. El monto fue de $172,952</w:t>
      </w:r>
      <w:r w:rsidR="00D869B9" w:rsidRPr="00E57D5F">
        <w:rPr>
          <w:rFonts w:ascii="Cambria" w:hAnsi="Cambria"/>
          <w:sz w:val="20"/>
          <w:szCs w:val="20"/>
        </w:rPr>
        <w:t xml:space="preserve"> (pesos argentinos)</w:t>
      </w:r>
      <w:r w:rsidRPr="00E57D5F">
        <w:rPr>
          <w:rStyle w:val="FootnoteReference"/>
          <w:rFonts w:ascii="Cambria" w:hAnsi="Cambria"/>
          <w:sz w:val="20"/>
          <w:szCs w:val="20"/>
        </w:rPr>
        <w:footnoteReference w:id="22"/>
      </w:r>
      <w:r w:rsidRPr="00E57D5F">
        <w:rPr>
          <w:rFonts w:ascii="Cambria" w:hAnsi="Cambria"/>
          <w:sz w:val="20"/>
          <w:szCs w:val="20"/>
        </w:rPr>
        <w:t>.</w:t>
      </w: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rPr>
      </w:pPr>
    </w:p>
    <w:p w:rsidR="007A61F8" w:rsidRPr="00E57D5F" w:rsidRDefault="007A61F8" w:rsidP="00773021">
      <w:pPr>
        <w:pStyle w:val="Heading2"/>
        <w:numPr>
          <w:ilvl w:val="0"/>
          <w:numId w:val="0"/>
        </w:numPr>
        <w:ind w:left="1440" w:hanging="720"/>
      </w:pPr>
      <w:bookmarkStart w:id="34" w:name="_Toc412635576"/>
      <w:bookmarkStart w:id="35" w:name="_Toc416685632"/>
      <w:bookmarkStart w:id="36" w:name="_Toc476667878"/>
      <w:r w:rsidRPr="00E57D5F">
        <w:t>B.</w:t>
      </w:r>
      <w:r w:rsidRPr="00E57D5F">
        <w:tab/>
      </w:r>
      <w:bookmarkEnd w:id="32"/>
      <w:bookmarkEnd w:id="33"/>
      <w:bookmarkEnd w:id="34"/>
      <w:bookmarkEnd w:id="35"/>
      <w:r w:rsidRPr="00E57D5F">
        <w:t xml:space="preserve">Sobre la situación laboral de la señora </w:t>
      </w:r>
      <w:proofErr w:type="spellStart"/>
      <w:r w:rsidRPr="00E57D5F">
        <w:t>Perrone</w:t>
      </w:r>
      <w:proofErr w:type="spellEnd"/>
      <w:r w:rsidRPr="00E57D5F">
        <w:t xml:space="preserve"> y el señor </w:t>
      </w:r>
      <w:proofErr w:type="spellStart"/>
      <w:r w:rsidRPr="00E57D5F">
        <w:t>Preckel</w:t>
      </w:r>
      <w:bookmarkEnd w:id="36"/>
      <w:proofErr w:type="spellEnd"/>
    </w:p>
    <w:p w:rsidR="007A61F8" w:rsidRPr="00E57D5F" w:rsidRDefault="007A61F8" w:rsidP="007A61F8">
      <w:pPr>
        <w:ind w:firstLine="567"/>
        <w:rPr>
          <w:rFonts w:ascii="Cambria" w:hAnsi="Cambria" w:cs="Arial"/>
          <w:iCs/>
          <w:sz w:val="20"/>
          <w:szCs w:val="20"/>
          <w:lang w:val="es-ES_tradnl"/>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E57D5F">
        <w:rPr>
          <w:rFonts w:ascii="Cambria" w:hAnsi="Cambria"/>
          <w:sz w:val="20"/>
        </w:rPr>
        <w:t xml:space="preserve">Dos días después de la detención de la señora </w:t>
      </w:r>
      <w:proofErr w:type="spellStart"/>
      <w:r w:rsidRPr="00E57D5F">
        <w:rPr>
          <w:rFonts w:ascii="Cambria" w:hAnsi="Cambria"/>
          <w:sz w:val="20"/>
        </w:rPr>
        <w:t>Perrone</w:t>
      </w:r>
      <w:proofErr w:type="spellEnd"/>
      <w:r w:rsidRPr="00E57D5F">
        <w:rPr>
          <w:rFonts w:ascii="Cambria" w:hAnsi="Cambria"/>
          <w:sz w:val="20"/>
        </w:rPr>
        <w:t xml:space="preserve"> y el señor </w:t>
      </w:r>
      <w:proofErr w:type="spellStart"/>
      <w:r w:rsidRPr="00E57D5F">
        <w:rPr>
          <w:rFonts w:ascii="Cambria" w:hAnsi="Cambria"/>
          <w:sz w:val="20"/>
        </w:rPr>
        <w:t>Preckel</w:t>
      </w:r>
      <w:proofErr w:type="spellEnd"/>
      <w:r w:rsidRPr="00E57D5F">
        <w:rPr>
          <w:rFonts w:ascii="Cambria" w:hAnsi="Cambria"/>
          <w:sz w:val="20"/>
        </w:rPr>
        <w:t xml:space="preserve">, </w:t>
      </w:r>
      <w:r w:rsidRPr="00E57D5F">
        <w:rPr>
          <w:rFonts w:ascii="Cambria" w:hAnsi="Cambria"/>
          <w:sz w:val="20"/>
          <w:szCs w:val="20"/>
        </w:rPr>
        <w:t>la Dirección General Impositiva</w:t>
      </w:r>
      <w:r w:rsidRPr="00E57D5F">
        <w:rPr>
          <w:rFonts w:ascii="Cambria" w:hAnsi="Cambria"/>
          <w:sz w:val="20"/>
        </w:rPr>
        <w:t xml:space="preserve"> inició un procedimiento administrativo estipulado en el artículo 36 del Reglamento de Investigaciones de la Función Pública - </w:t>
      </w:r>
      <w:r w:rsidRPr="00E57D5F">
        <w:rPr>
          <w:rFonts w:ascii="Cambria" w:hAnsi="Cambria"/>
          <w:sz w:val="20"/>
          <w:szCs w:val="20"/>
          <w:bdr w:val="none" w:sz="0" w:space="0" w:color="auto"/>
          <w:lang w:val="es-ES"/>
        </w:rPr>
        <w:t xml:space="preserve">Decreto No. 1798/80 </w:t>
      </w:r>
      <w:r w:rsidRPr="00E57D5F">
        <w:rPr>
          <w:rFonts w:ascii="Cambria" w:hAnsi="Cambria"/>
          <w:sz w:val="20"/>
        </w:rPr>
        <w:t>con motivo de sus faltas a su centro de labores</w:t>
      </w:r>
      <w:r w:rsidRPr="00E57D5F">
        <w:rPr>
          <w:rStyle w:val="FootnoteReference"/>
          <w:rFonts w:ascii="Cambria" w:hAnsi="Cambria"/>
          <w:sz w:val="20"/>
          <w:szCs w:val="20"/>
        </w:rPr>
        <w:footnoteReference w:id="23"/>
      </w:r>
      <w:r w:rsidRPr="00E57D5F">
        <w:rPr>
          <w:rFonts w:ascii="Cambria" w:hAnsi="Cambria"/>
          <w:sz w:val="20"/>
        </w:rPr>
        <w:t>. Dicho decreto indica que se aplica al personal comprendido en el régimen jurídico básico de la función pública y establece, en lo pertinente, las siguientes disposiciones</w:t>
      </w:r>
      <w:r w:rsidRPr="00E57D5F">
        <w:rPr>
          <w:rStyle w:val="FootnoteReference"/>
          <w:rFonts w:ascii="Cambria" w:hAnsi="Cambria"/>
          <w:sz w:val="20"/>
        </w:rPr>
        <w:footnoteReference w:id="24"/>
      </w:r>
      <w:r w:rsidRPr="00E57D5F">
        <w:rPr>
          <w:rFonts w:ascii="Cambria" w:hAnsi="Cambria"/>
          <w:sz w:val="20"/>
        </w:rPr>
        <w:t xml:space="preserve">: </w:t>
      </w: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rPr>
      </w:pP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rPr>
      </w:pPr>
      <w:r w:rsidRPr="00E57D5F">
        <w:rPr>
          <w:rFonts w:ascii="Cambria" w:hAnsi="Cambria"/>
          <w:sz w:val="20"/>
        </w:rPr>
        <w:t>Art. 36. Cuando el agente se encontrare privado de libertad, será suspendido preventivamente, instruyéndose el sumario pertinente, debiendo reintegrarse al servicio dentro de los dos (2) días de recobrada la libertad.</w:t>
      </w: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rPr>
      </w:pP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rPr>
      </w:pPr>
      <w:r w:rsidRPr="00E57D5F">
        <w:rPr>
          <w:rFonts w:ascii="Cambria" w:hAnsi="Cambria"/>
          <w:sz w:val="20"/>
        </w:rPr>
        <w:t>Art. 37. Cuando el agente esté sometido a proceso por hecho ajeno al servicio y la naturaleza del delito que se le imputa fuera incompatible con su desempeño en la función, en el caso que no fuera posible asignarle otra, podrá disponerse la suspensión preventiva del mismo hasta tanto recaiga pronunciamiento en la causa penal a su respecto.</w:t>
      </w: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rPr>
      </w:pP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rPr>
      </w:pPr>
      <w:r w:rsidRPr="00E57D5F">
        <w:rPr>
          <w:rFonts w:ascii="Cambria" w:hAnsi="Cambria"/>
          <w:sz w:val="20"/>
        </w:rPr>
        <w:t>(…)</w:t>
      </w: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rPr>
      </w:pP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rPr>
      </w:pPr>
      <w:r w:rsidRPr="00E57D5F">
        <w:rPr>
          <w:rFonts w:ascii="Cambria" w:hAnsi="Cambria"/>
          <w:sz w:val="20"/>
        </w:rPr>
        <w:t>Art. 39. El pago de haberes por el lapso de la suspensión se ajustará a los siguientes recaudos:</w:t>
      </w: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rPr>
      </w:pP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rPr>
      </w:pPr>
      <w:r w:rsidRPr="00E57D5F">
        <w:rPr>
          <w:rFonts w:ascii="Cambria" w:hAnsi="Cambria"/>
          <w:sz w:val="20"/>
        </w:rPr>
        <w:t>a) Cuando se originare en hechos ajenos al servicio, el agente no tendrá derecho a pago alguno de haberes, excepto en el caso del art. 37, cuando fuere absuelto o sobreseído definitivamente en sede penal y sólo por el tiempo que hubiere permanecido en libertad y no se hubiere autorizado su reintegro.</w:t>
      </w:r>
    </w:p>
    <w:p w:rsidR="002051A2" w:rsidRDefault="002051A2"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rPr>
      </w:pP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rPr>
      </w:pPr>
      <w:r w:rsidRPr="00E57D5F">
        <w:rPr>
          <w:rFonts w:ascii="Cambria" w:hAnsi="Cambria"/>
          <w:sz w:val="20"/>
        </w:rPr>
        <w:t xml:space="preserve">b) Cuando se originare en hechos del servicio o vinculados a él, el agente tendrá derecho a la percepción de los haberes devengados durante el lapso de la suspensión, sólo si en la respectiva causa administrativa no resultara sancionado. </w:t>
      </w:r>
    </w:p>
    <w:p w:rsidR="002051A2" w:rsidRDefault="002051A2"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rPr>
      </w:pP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rPr>
      </w:pPr>
      <w:r w:rsidRPr="00E57D5F">
        <w:rPr>
          <w:rFonts w:ascii="Cambria" w:hAnsi="Cambria"/>
          <w:sz w:val="20"/>
        </w:rPr>
        <w:t>Si en esta última se aplicará una sanción menor, no expulsiva, los haberes le serán abonados en la proporción correspondiente y si la sanción fuera expulsiva (cesantía, exoneración) no le serán abonados</w:t>
      </w:r>
      <w:r w:rsidRPr="00E57D5F">
        <w:rPr>
          <w:rStyle w:val="FootnoteReference"/>
          <w:rFonts w:ascii="Cambria" w:hAnsi="Cambria"/>
          <w:sz w:val="20"/>
        </w:rPr>
        <w:footnoteReference w:id="25"/>
      </w:r>
      <w:r w:rsidRPr="00E57D5F">
        <w:rPr>
          <w:rFonts w:ascii="Cambria" w:hAnsi="Cambria"/>
          <w:sz w:val="20"/>
        </w:rPr>
        <w:t>.</w:t>
      </w: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E57D5F">
        <w:rPr>
          <w:rFonts w:ascii="Cambria" w:hAnsi="Cambria"/>
          <w:sz w:val="20"/>
        </w:rPr>
        <w:lastRenderedPageBreak/>
        <w:t xml:space="preserve">El 27 de julio de 1976 la DGI envió una comunicación a la Agrupación de Artillería de Defensa Aérea indicando que la señora </w:t>
      </w:r>
      <w:proofErr w:type="spellStart"/>
      <w:r w:rsidRPr="00E57D5F">
        <w:rPr>
          <w:rFonts w:ascii="Cambria" w:hAnsi="Cambria"/>
          <w:sz w:val="20"/>
        </w:rPr>
        <w:t>Perrone</w:t>
      </w:r>
      <w:proofErr w:type="spellEnd"/>
      <w:r w:rsidRPr="00E57D5F">
        <w:rPr>
          <w:rFonts w:ascii="Cambria" w:hAnsi="Cambria"/>
          <w:sz w:val="20"/>
        </w:rPr>
        <w:t xml:space="preserve"> y el señor </w:t>
      </w:r>
      <w:proofErr w:type="spellStart"/>
      <w:r w:rsidRPr="00E57D5F">
        <w:rPr>
          <w:rFonts w:ascii="Cambria" w:hAnsi="Cambria"/>
          <w:sz w:val="20"/>
        </w:rPr>
        <w:t>Preckel</w:t>
      </w:r>
      <w:proofErr w:type="spellEnd"/>
      <w:r w:rsidRPr="00E57D5F">
        <w:rPr>
          <w:rFonts w:ascii="Cambria" w:hAnsi="Cambria"/>
          <w:sz w:val="20"/>
        </w:rPr>
        <w:t xml:space="preserve"> “faltan a sus tareas desde hace un tiempo y sus familiares han manifestado que fueron detenidos”</w:t>
      </w:r>
      <w:r w:rsidRPr="00E57D5F">
        <w:rPr>
          <w:rStyle w:val="FootnoteReference"/>
          <w:rFonts w:ascii="Cambria" w:hAnsi="Cambria"/>
          <w:sz w:val="20"/>
        </w:rPr>
        <w:footnoteReference w:id="26"/>
      </w:r>
      <w:r w:rsidRPr="00E57D5F">
        <w:rPr>
          <w:rFonts w:ascii="Cambria" w:hAnsi="Cambria"/>
          <w:sz w:val="20"/>
        </w:rPr>
        <w:t>. La DGI sostuvo que “al no existir constancia de tal detención (…) debe darle a dichas ausencias el carácter de injustificadas provocándoles la pérdida de su fuente de trabajo”</w:t>
      </w:r>
      <w:r w:rsidRPr="00E57D5F">
        <w:rPr>
          <w:rStyle w:val="FootnoteReference"/>
          <w:rFonts w:ascii="Cambria" w:hAnsi="Cambria"/>
          <w:sz w:val="20"/>
        </w:rPr>
        <w:footnoteReference w:id="27"/>
      </w:r>
      <w:r w:rsidRPr="00E57D5F">
        <w:rPr>
          <w:rFonts w:ascii="Cambria" w:hAnsi="Cambria"/>
          <w:sz w:val="20"/>
        </w:rPr>
        <w:t xml:space="preserve">. </w:t>
      </w:r>
      <w:r w:rsidRPr="00E57D5F">
        <w:rPr>
          <w:rFonts w:ascii="Cambria" w:hAnsi="Cambria"/>
          <w:sz w:val="20"/>
          <w:szCs w:val="20"/>
        </w:rPr>
        <w:t xml:space="preserve">El mismo día el Coronel de la </w:t>
      </w:r>
      <w:r w:rsidRPr="00E57D5F">
        <w:rPr>
          <w:rFonts w:ascii="Cambria" w:hAnsi="Cambria"/>
          <w:sz w:val="20"/>
        </w:rPr>
        <w:t xml:space="preserve">Agrupación de Artillería de Defensa Aérea indicó que la señora </w:t>
      </w:r>
      <w:proofErr w:type="spellStart"/>
      <w:r w:rsidRPr="00E57D5F">
        <w:rPr>
          <w:rFonts w:ascii="Cambria" w:hAnsi="Cambria"/>
          <w:sz w:val="20"/>
        </w:rPr>
        <w:t>Perrone</w:t>
      </w:r>
      <w:proofErr w:type="spellEnd"/>
      <w:r w:rsidRPr="00E57D5F">
        <w:rPr>
          <w:rFonts w:ascii="Cambria" w:hAnsi="Cambria"/>
          <w:sz w:val="20"/>
        </w:rPr>
        <w:t xml:space="preserve"> y el señor </w:t>
      </w:r>
      <w:proofErr w:type="spellStart"/>
      <w:r w:rsidRPr="00E57D5F">
        <w:rPr>
          <w:rFonts w:ascii="Cambria" w:hAnsi="Cambria"/>
          <w:sz w:val="20"/>
        </w:rPr>
        <w:t>Preckel</w:t>
      </w:r>
      <w:proofErr w:type="spellEnd"/>
      <w:r w:rsidRPr="00E57D5F">
        <w:rPr>
          <w:rFonts w:ascii="Cambria" w:hAnsi="Cambria"/>
          <w:sz w:val="20"/>
        </w:rPr>
        <w:t xml:space="preserve"> estaban a disposición de las autoridades militares</w:t>
      </w:r>
      <w:r w:rsidRPr="00E57D5F">
        <w:rPr>
          <w:rStyle w:val="FootnoteReference"/>
          <w:rFonts w:ascii="Cambria" w:hAnsi="Cambria"/>
          <w:sz w:val="20"/>
        </w:rPr>
        <w:footnoteReference w:id="28"/>
      </w:r>
      <w:r w:rsidRPr="00E57D5F">
        <w:rPr>
          <w:rFonts w:ascii="Cambria" w:hAnsi="Cambria"/>
          <w:sz w:val="20"/>
        </w:rPr>
        <w:t>.</w:t>
      </w: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E57D5F">
        <w:rPr>
          <w:rFonts w:ascii="Cambria" w:hAnsi="Cambria"/>
          <w:sz w:val="20"/>
          <w:szCs w:val="20"/>
        </w:rPr>
        <w:t xml:space="preserve">El 10 de agosto de 1976 la DGI decidió suspender preventivamente a </w:t>
      </w:r>
      <w:r w:rsidRPr="00E57D5F">
        <w:rPr>
          <w:rFonts w:ascii="Cambria" w:hAnsi="Cambria"/>
          <w:sz w:val="20"/>
        </w:rPr>
        <w:t xml:space="preserve">la señora </w:t>
      </w:r>
      <w:proofErr w:type="spellStart"/>
      <w:r w:rsidRPr="00E57D5F">
        <w:rPr>
          <w:rFonts w:ascii="Cambria" w:hAnsi="Cambria"/>
          <w:sz w:val="20"/>
        </w:rPr>
        <w:t>Perrone</w:t>
      </w:r>
      <w:proofErr w:type="spellEnd"/>
      <w:r w:rsidRPr="00E57D5F">
        <w:rPr>
          <w:rFonts w:ascii="Cambria" w:hAnsi="Cambria"/>
          <w:sz w:val="20"/>
        </w:rPr>
        <w:t xml:space="preserve"> y al señor </w:t>
      </w:r>
      <w:proofErr w:type="spellStart"/>
      <w:r w:rsidRPr="00E57D5F">
        <w:rPr>
          <w:rFonts w:ascii="Cambria" w:hAnsi="Cambria"/>
          <w:sz w:val="20"/>
        </w:rPr>
        <w:t>Preckel</w:t>
      </w:r>
      <w:proofErr w:type="spellEnd"/>
      <w:r w:rsidRPr="00E57D5F">
        <w:rPr>
          <w:rStyle w:val="FootnoteReference"/>
          <w:rFonts w:ascii="Cambria" w:hAnsi="Cambria"/>
          <w:sz w:val="20"/>
        </w:rPr>
        <w:footnoteReference w:id="29"/>
      </w:r>
      <w:r w:rsidRPr="00E57D5F">
        <w:rPr>
          <w:rFonts w:ascii="Cambria" w:hAnsi="Cambria"/>
          <w:sz w:val="20"/>
        </w:rPr>
        <w:t>. La DGI tomó nota de que ambas personas se encontraban detenidas e indicó que la suspensión procede “sin perjuicio de la instrucción del pertinente sumario administrativo”</w:t>
      </w:r>
      <w:r w:rsidRPr="00E57D5F">
        <w:rPr>
          <w:rStyle w:val="FootnoteReference"/>
          <w:rFonts w:ascii="Cambria" w:hAnsi="Cambria"/>
          <w:sz w:val="20"/>
        </w:rPr>
        <w:footnoteReference w:id="30"/>
      </w:r>
      <w:r w:rsidRPr="00E57D5F">
        <w:rPr>
          <w:rFonts w:ascii="Cambria" w:hAnsi="Cambria"/>
          <w:sz w:val="20"/>
        </w:rPr>
        <w:t>.</w:t>
      </w:r>
    </w:p>
    <w:p w:rsidR="007A61F8" w:rsidRPr="00E57D5F" w:rsidRDefault="007A61F8" w:rsidP="007A61F8">
      <w:pPr>
        <w:pStyle w:val="ListParagraph"/>
        <w:rPr>
          <w:rFonts w:ascii="Cambria" w:hAnsi="Cambria"/>
          <w:sz w:val="20"/>
          <w:szCs w:val="20"/>
          <w:lang w:val="es-ES"/>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E57D5F">
        <w:rPr>
          <w:rFonts w:ascii="Cambria" w:hAnsi="Cambria"/>
          <w:sz w:val="20"/>
          <w:szCs w:val="20"/>
        </w:rPr>
        <w:t xml:space="preserve">El 26 de agosto de 1976 la DGI decidió instruir un sumario administrativo a efectos de determinar la situación de </w:t>
      </w:r>
      <w:r w:rsidRPr="00E57D5F">
        <w:rPr>
          <w:rFonts w:ascii="Cambria" w:hAnsi="Cambria"/>
          <w:sz w:val="20"/>
        </w:rPr>
        <w:t xml:space="preserve">la señora </w:t>
      </w:r>
      <w:proofErr w:type="spellStart"/>
      <w:r w:rsidRPr="00E57D5F">
        <w:rPr>
          <w:rFonts w:ascii="Cambria" w:hAnsi="Cambria"/>
          <w:sz w:val="20"/>
        </w:rPr>
        <w:t>Perrone</w:t>
      </w:r>
      <w:proofErr w:type="spellEnd"/>
      <w:r w:rsidRPr="00E57D5F">
        <w:rPr>
          <w:rFonts w:ascii="Cambria" w:hAnsi="Cambria"/>
          <w:sz w:val="20"/>
        </w:rPr>
        <w:t xml:space="preserve"> y el señor </w:t>
      </w:r>
      <w:proofErr w:type="spellStart"/>
      <w:r w:rsidRPr="00E57D5F">
        <w:rPr>
          <w:rFonts w:ascii="Cambria" w:hAnsi="Cambria"/>
          <w:sz w:val="20"/>
        </w:rPr>
        <w:t>Preckel</w:t>
      </w:r>
      <w:proofErr w:type="spellEnd"/>
      <w:r w:rsidRPr="00E57D5F">
        <w:rPr>
          <w:rStyle w:val="FootnoteReference"/>
          <w:rFonts w:ascii="Cambria" w:hAnsi="Cambria"/>
          <w:sz w:val="20"/>
        </w:rPr>
        <w:footnoteReference w:id="31"/>
      </w:r>
      <w:r w:rsidRPr="00E57D5F">
        <w:rPr>
          <w:rFonts w:ascii="Cambria" w:hAnsi="Cambria"/>
          <w:sz w:val="20"/>
        </w:rPr>
        <w:t xml:space="preserve">. El 21 de octubre del mismo año el </w:t>
      </w:r>
      <w:r w:rsidRPr="00E57D5F">
        <w:rPr>
          <w:rFonts w:ascii="Cambria" w:hAnsi="Cambria"/>
          <w:sz w:val="20"/>
          <w:szCs w:val="20"/>
        </w:rPr>
        <w:t xml:space="preserve">Coronel de la </w:t>
      </w:r>
      <w:r w:rsidRPr="00E57D5F">
        <w:rPr>
          <w:rFonts w:ascii="Cambria" w:hAnsi="Cambria"/>
          <w:sz w:val="20"/>
        </w:rPr>
        <w:t xml:space="preserve">Agrupación de Artillería de Defensa Aérea envió una comunicación a la DGI indicando que ambas personas fueron detenidas </w:t>
      </w:r>
      <w:r w:rsidR="00D869B9" w:rsidRPr="00E57D5F">
        <w:rPr>
          <w:rFonts w:ascii="Cambria" w:hAnsi="Cambria"/>
          <w:sz w:val="20"/>
        </w:rPr>
        <w:t>bajo sospecha de</w:t>
      </w:r>
      <w:r w:rsidRPr="00E57D5F">
        <w:rPr>
          <w:rFonts w:ascii="Cambria" w:hAnsi="Cambria"/>
          <w:sz w:val="20"/>
        </w:rPr>
        <w:t xml:space="preserve"> “pertenecer a una organización paramilitar”</w:t>
      </w:r>
      <w:r w:rsidRPr="00E57D5F">
        <w:rPr>
          <w:rStyle w:val="FootnoteReference"/>
          <w:rFonts w:ascii="Cambria" w:hAnsi="Cambria"/>
          <w:sz w:val="20"/>
        </w:rPr>
        <w:footnoteReference w:id="32"/>
      </w:r>
      <w:r w:rsidRPr="00E57D5F">
        <w:rPr>
          <w:rFonts w:ascii="Cambria" w:hAnsi="Cambria"/>
          <w:sz w:val="20"/>
        </w:rPr>
        <w:t>.</w:t>
      </w:r>
    </w:p>
    <w:p w:rsidR="007A61F8" w:rsidRPr="00E57D5F" w:rsidRDefault="007A61F8" w:rsidP="007A61F8">
      <w:pPr>
        <w:pStyle w:val="ListParagraph"/>
        <w:rPr>
          <w:rFonts w:ascii="Cambria" w:hAnsi="Cambria"/>
          <w:sz w:val="20"/>
          <w:szCs w:val="20"/>
          <w:lang w:val="es-ES_tradnl"/>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E57D5F">
        <w:rPr>
          <w:rFonts w:ascii="Cambria" w:hAnsi="Cambria"/>
          <w:sz w:val="20"/>
          <w:szCs w:val="20"/>
        </w:rPr>
        <w:t>El 10 de abril de 1979 la Junta de Disciplina de la DGI emitió un dictamen en el que aconsejó el cierre del sumario</w:t>
      </w:r>
      <w:r w:rsidRPr="00E57D5F">
        <w:rPr>
          <w:rStyle w:val="FootnoteReference"/>
          <w:rFonts w:ascii="Cambria" w:hAnsi="Cambria"/>
          <w:sz w:val="20"/>
          <w:szCs w:val="20"/>
        </w:rPr>
        <w:footnoteReference w:id="33"/>
      </w:r>
      <w:r w:rsidRPr="00E57D5F">
        <w:rPr>
          <w:rFonts w:ascii="Cambria" w:hAnsi="Cambria"/>
          <w:sz w:val="20"/>
          <w:szCs w:val="20"/>
        </w:rPr>
        <w:t xml:space="preserve">. Indicó que se evidenció que no se siguió un proceso judicial militar o judicial en contra de </w:t>
      </w:r>
      <w:r w:rsidRPr="00E57D5F">
        <w:rPr>
          <w:rFonts w:ascii="Cambria" w:hAnsi="Cambria"/>
          <w:sz w:val="20"/>
        </w:rPr>
        <w:t xml:space="preserve">la señora </w:t>
      </w:r>
      <w:proofErr w:type="spellStart"/>
      <w:r w:rsidRPr="00E57D5F">
        <w:rPr>
          <w:rFonts w:ascii="Cambria" w:hAnsi="Cambria"/>
          <w:sz w:val="20"/>
        </w:rPr>
        <w:t>Perrone</w:t>
      </w:r>
      <w:proofErr w:type="spellEnd"/>
      <w:r w:rsidRPr="00E57D5F">
        <w:rPr>
          <w:rFonts w:ascii="Cambria" w:hAnsi="Cambria"/>
          <w:sz w:val="20"/>
        </w:rPr>
        <w:t xml:space="preserve"> y el señor </w:t>
      </w:r>
      <w:proofErr w:type="spellStart"/>
      <w:r w:rsidRPr="00E57D5F">
        <w:rPr>
          <w:rFonts w:ascii="Cambria" w:hAnsi="Cambria"/>
          <w:sz w:val="20"/>
        </w:rPr>
        <w:t>Preckel</w:t>
      </w:r>
      <w:proofErr w:type="spellEnd"/>
      <w:r w:rsidRPr="00E57D5F">
        <w:rPr>
          <w:rStyle w:val="FootnoteReference"/>
          <w:rFonts w:ascii="Cambria" w:hAnsi="Cambria"/>
          <w:sz w:val="20"/>
          <w:szCs w:val="20"/>
        </w:rPr>
        <w:footnoteReference w:id="34"/>
      </w:r>
      <w:r w:rsidRPr="00E57D5F">
        <w:rPr>
          <w:rFonts w:ascii="Cambria" w:hAnsi="Cambria"/>
          <w:sz w:val="20"/>
        </w:rPr>
        <w:t xml:space="preserve">. </w:t>
      </w: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E57D5F">
        <w:rPr>
          <w:rFonts w:ascii="Cambria" w:hAnsi="Cambria"/>
          <w:sz w:val="20"/>
        </w:rPr>
        <w:t>La Dirección de Asuntos Técnicos y Jurídicos decidió que el procedimiento seguido a ambas personas se mantenga suspendido hasta que pudieran prestar su declaración</w:t>
      </w:r>
      <w:r w:rsidRPr="00E57D5F">
        <w:rPr>
          <w:rStyle w:val="FootnoteReference"/>
          <w:rFonts w:ascii="Cambria" w:hAnsi="Cambria"/>
          <w:sz w:val="20"/>
        </w:rPr>
        <w:footnoteReference w:id="35"/>
      </w:r>
      <w:r w:rsidRPr="00E57D5F">
        <w:rPr>
          <w:rFonts w:ascii="Cambria" w:hAnsi="Cambria"/>
          <w:sz w:val="20"/>
        </w:rPr>
        <w:t xml:space="preserve">. </w:t>
      </w:r>
    </w:p>
    <w:p w:rsidR="007A61F8" w:rsidRPr="00E57D5F" w:rsidRDefault="007A61F8" w:rsidP="007A61F8">
      <w:pPr>
        <w:pStyle w:val="ListParagraph"/>
        <w:rPr>
          <w:rFonts w:ascii="Cambria" w:hAnsi="Cambria"/>
          <w:sz w:val="20"/>
          <w:lang w:val="es-ES"/>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E57D5F">
        <w:rPr>
          <w:rFonts w:ascii="Cambria" w:hAnsi="Cambria"/>
          <w:sz w:val="20"/>
        </w:rPr>
        <w:t xml:space="preserve">En relación con </w:t>
      </w:r>
      <w:r w:rsidRPr="00E57D5F">
        <w:rPr>
          <w:rFonts w:ascii="Cambria" w:hAnsi="Cambria"/>
          <w:sz w:val="20"/>
          <w:szCs w:val="20"/>
          <w:lang w:val="es-ES"/>
        </w:rPr>
        <w:t>l</w:t>
      </w:r>
      <w:r w:rsidRPr="00E57D5F">
        <w:rPr>
          <w:rFonts w:ascii="Cambria" w:hAnsi="Cambria"/>
          <w:sz w:val="20"/>
          <w:szCs w:val="20"/>
        </w:rPr>
        <w:t xml:space="preserve">a señora </w:t>
      </w:r>
      <w:proofErr w:type="spellStart"/>
      <w:r w:rsidRPr="00E57D5F">
        <w:rPr>
          <w:rFonts w:ascii="Cambria" w:hAnsi="Cambria"/>
          <w:sz w:val="20"/>
          <w:szCs w:val="20"/>
        </w:rPr>
        <w:t>Perrone</w:t>
      </w:r>
      <w:proofErr w:type="spellEnd"/>
      <w:r w:rsidR="00D869B9" w:rsidRPr="00E57D5F">
        <w:rPr>
          <w:rFonts w:ascii="Cambria" w:hAnsi="Cambria"/>
          <w:sz w:val="20"/>
          <w:szCs w:val="20"/>
        </w:rPr>
        <w:t>, ella regresó a sus labores en</w:t>
      </w:r>
      <w:r w:rsidRPr="00E57D5F">
        <w:rPr>
          <w:rFonts w:ascii="Cambria" w:hAnsi="Cambria"/>
          <w:sz w:val="20"/>
          <w:szCs w:val="20"/>
        </w:rPr>
        <w:t xml:space="preserve"> la DGI el 20 de octubre de 1982</w:t>
      </w:r>
      <w:r w:rsidRPr="00E57D5F">
        <w:rPr>
          <w:rStyle w:val="FootnoteReference"/>
          <w:rFonts w:ascii="Cambria" w:hAnsi="Cambria"/>
          <w:sz w:val="20"/>
        </w:rPr>
        <w:footnoteReference w:id="36"/>
      </w:r>
      <w:r w:rsidRPr="00E57D5F">
        <w:rPr>
          <w:rFonts w:ascii="Cambria" w:hAnsi="Cambria"/>
          <w:sz w:val="20"/>
          <w:szCs w:val="20"/>
        </w:rPr>
        <w:t xml:space="preserve">. El 27 de abril de 1983 </w:t>
      </w:r>
      <w:r w:rsidRPr="00E57D5F">
        <w:rPr>
          <w:rFonts w:ascii="Cambria" w:hAnsi="Cambria"/>
          <w:sz w:val="20"/>
        </w:rPr>
        <w:t xml:space="preserve">la señora </w:t>
      </w:r>
      <w:proofErr w:type="spellStart"/>
      <w:r w:rsidRPr="00E57D5F">
        <w:rPr>
          <w:rFonts w:ascii="Cambria" w:hAnsi="Cambria"/>
          <w:sz w:val="20"/>
        </w:rPr>
        <w:t>Perrone</w:t>
      </w:r>
      <w:proofErr w:type="spellEnd"/>
      <w:r w:rsidRPr="00E57D5F">
        <w:rPr>
          <w:rFonts w:ascii="Cambria" w:hAnsi="Cambria"/>
          <w:sz w:val="20"/>
        </w:rPr>
        <w:t xml:space="preserve"> presentó un escrito a la DGI donde señaló que no fue notificada del sumario administrativo que se le seguía</w:t>
      </w:r>
      <w:r w:rsidRPr="00E57D5F">
        <w:rPr>
          <w:rStyle w:val="FootnoteReference"/>
          <w:rFonts w:ascii="Cambria" w:hAnsi="Cambria"/>
          <w:sz w:val="20"/>
        </w:rPr>
        <w:footnoteReference w:id="37"/>
      </w:r>
      <w:r w:rsidRPr="00E57D5F">
        <w:rPr>
          <w:rFonts w:ascii="Cambria" w:hAnsi="Cambria"/>
          <w:sz w:val="20"/>
        </w:rPr>
        <w:t xml:space="preserve">. Por orden del Instructor </w:t>
      </w:r>
      <w:proofErr w:type="spellStart"/>
      <w:r w:rsidRPr="00E57D5F">
        <w:rPr>
          <w:rFonts w:ascii="Cambria" w:hAnsi="Cambria"/>
          <w:sz w:val="20"/>
        </w:rPr>
        <w:t>Sumariente</w:t>
      </w:r>
      <w:proofErr w:type="spellEnd"/>
      <w:r w:rsidRPr="00E57D5F">
        <w:rPr>
          <w:rFonts w:ascii="Cambria" w:hAnsi="Cambria"/>
          <w:sz w:val="20"/>
        </w:rPr>
        <w:t xml:space="preserve">, la DGI tomó la declaración de la señora </w:t>
      </w:r>
      <w:proofErr w:type="spellStart"/>
      <w:r w:rsidRPr="00E57D5F">
        <w:rPr>
          <w:rFonts w:ascii="Cambria" w:hAnsi="Cambria"/>
          <w:sz w:val="20"/>
        </w:rPr>
        <w:t>Perrone</w:t>
      </w:r>
      <w:proofErr w:type="spellEnd"/>
      <w:r w:rsidRPr="00E57D5F">
        <w:rPr>
          <w:rFonts w:ascii="Cambria" w:hAnsi="Cambria"/>
          <w:sz w:val="20"/>
        </w:rPr>
        <w:t xml:space="preserve"> el 23 de agosto de 1983</w:t>
      </w:r>
      <w:r w:rsidRPr="00E57D5F">
        <w:rPr>
          <w:rStyle w:val="FootnoteReference"/>
          <w:rFonts w:ascii="Cambria" w:hAnsi="Cambria"/>
          <w:sz w:val="20"/>
        </w:rPr>
        <w:footnoteReference w:id="38"/>
      </w:r>
      <w:r w:rsidRPr="00E57D5F">
        <w:rPr>
          <w:rFonts w:ascii="Cambria" w:hAnsi="Cambria"/>
          <w:sz w:val="20"/>
        </w:rPr>
        <w:t xml:space="preserve">. </w:t>
      </w:r>
    </w:p>
    <w:p w:rsidR="007A61F8" w:rsidRPr="00E57D5F" w:rsidRDefault="007A61F8" w:rsidP="007A61F8">
      <w:pPr>
        <w:pStyle w:val="ListParagraph"/>
        <w:rPr>
          <w:rFonts w:ascii="Cambria" w:hAnsi="Cambria"/>
          <w:sz w:val="20"/>
          <w:szCs w:val="20"/>
          <w:lang w:val="es-ES"/>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E57D5F">
        <w:rPr>
          <w:rFonts w:ascii="Cambria" w:hAnsi="Cambria"/>
          <w:sz w:val="20"/>
          <w:szCs w:val="20"/>
        </w:rPr>
        <w:lastRenderedPageBreak/>
        <w:t xml:space="preserve">Respecto del señor </w:t>
      </w:r>
      <w:proofErr w:type="spellStart"/>
      <w:r w:rsidRPr="00E57D5F">
        <w:rPr>
          <w:rFonts w:ascii="Cambria" w:hAnsi="Cambria"/>
          <w:sz w:val="20"/>
          <w:szCs w:val="20"/>
        </w:rPr>
        <w:t>Preckel</w:t>
      </w:r>
      <w:proofErr w:type="spellEnd"/>
      <w:r w:rsidRPr="00E57D5F">
        <w:rPr>
          <w:rFonts w:ascii="Cambria" w:hAnsi="Cambria"/>
          <w:sz w:val="20"/>
          <w:szCs w:val="20"/>
        </w:rPr>
        <w:t>, el 20 de febrero de 1984 envió una comunicación a la DGI solicitando la reincorporación a su centro de trabajo</w:t>
      </w:r>
      <w:r w:rsidRPr="00E57D5F">
        <w:rPr>
          <w:rStyle w:val="FootnoteReference"/>
          <w:rFonts w:ascii="Cambria" w:hAnsi="Cambria"/>
          <w:sz w:val="20"/>
          <w:szCs w:val="20"/>
        </w:rPr>
        <w:footnoteReference w:id="39"/>
      </w:r>
      <w:r w:rsidRPr="00E57D5F">
        <w:rPr>
          <w:rFonts w:ascii="Cambria" w:hAnsi="Cambria"/>
          <w:sz w:val="20"/>
          <w:szCs w:val="20"/>
        </w:rPr>
        <w:t xml:space="preserve">. El 7 de septiembre del mismo año el Jefe de Departamento de Recursos Humanos de la DGI sostuvo que procedía que el señor </w:t>
      </w:r>
      <w:proofErr w:type="spellStart"/>
      <w:r w:rsidRPr="00E57D5F">
        <w:rPr>
          <w:rFonts w:ascii="Cambria" w:hAnsi="Cambria"/>
          <w:sz w:val="20"/>
          <w:szCs w:val="20"/>
        </w:rPr>
        <w:t>Preckel</w:t>
      </w:r>
      <w:proofErr w:type="spellEnd"/>
      <w:r w:rsidRPr="00E57D5F">
        <w:rPr>
          <w:rFonts w:ascii="Cambria" w:hAnsi="Cambria"/>
          <w:sz w:val="20"/>
          <w:szCs w:val="20"/>
        </w:rPr>
        <w:t xml:space="preserve"> pueda volver a prestar sus servicios debido a que “no surgen de las actuaciones sumariales incoadas cargos que formular </w:t>
      </w:r>
      <w:r w:rsidRPr="00E57D5F">
        <w:rPr>
          <w:rFonts w:ascii="Cambria" w:hAnsi="Cambria" w:cs="Arial"/>
          <w:sz w:val="20"/>
          <w:szCs w:val="20"/>
        </w:rPr>
        <w:t>[en su contra]</w:t>
      </w:r>
      <w:r w:rsidRPr="00E57D5F">
        <w:rPr>
          <w:rFonts w:ascii="Cambria" w:hAnsi="Cambria"/>
          <w:sz w:val="20"/>
          <w:szCs w:val="20"/>
        </w:rPr>
        <w:t>”</w:t>
      </w:r>
      <w:r w:rsidRPr="00E57D5F">
        <w:rPr>
          <w:rStyle w:val="FootnoteReference"/>
          <w:rFonts w:ascii="Cambria" w:hAnsi="Cambria"/>
          <w:sz w:val="20"/>
          <w:szCs w:val="20"/>
        </w:rPr>
        <w:footnoteReference w:id="40"/>
      </w:r>
      <w:r w:rsidRPr="00E57D5F">
        <w:rPr>
          <w:rFonts w:ascii="Cambria" w:hAnsi="Cambria"/>
          <w:sz w:val="20"/>
          <w:szCs w:val="20"/>
        </w:rPr>
        <w:t>.</w:t>
      </w: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E57D5F">
        <w:rPr>
          <w:rFonts w:ascii="Cambria" w:hAnsi="Cambria"/>
          <w:sz w:val="20"/>
        </w:rPr>
        <w:t xml:space="preserve">El 16 de octubre de 1984 el Director General de la DGI emitió una resolución en la que declaró la exención de responsabilidad de la señora </w:t>
      </w:r>
      <w:proofErr w:type="spellStart"/>
      <w:r w:rsidRPr="00E57D5F">
        <w:rPr>
          <w:rFonts w:ascii="Cambria" w:hAnsi="Cambria"/>
          <w:sz w:val="20"/>
        </w:rPr>
        <w:t>Perrone</w:t>
      </w:r>
      <w:proofErr w:type="spellEnd"/>
      <w:r w:rsidRPr="00E57D5F">
        <w:rPr>
          <w:rFonts w:ascii="Cambria" w:hAnsi="Cambria"/>
          <w:sz w:val="20"/>
        </w:rPr>
        <w:t xml:space="preserve"> y el señor </w:t>
      </w:r>
      <w:proofErr w:type="spellStart"/>
      <w:r w:rsidRPr="00E57D5F">
        <w:rPr>
          <w:rFonts w:ascii="Cambria" w:hAnsi="Cambria"/>
          <w:sz w:val="20"/>
        </w:rPr>
        <w:t>Preckel</w:t>
      </w:r>
      <w:proofErr w:type="spellEnd"/>
      <w:r w:rsidRPr="00E57D5F">
        <w:rPr>
          <w:rStyle w:val="FootnoteReference"/>
          <w:rFonts w:ascii="Cambria" w:hAnsi="Cambria"/>
          <w:sz w:val="20"/>
        </w:rPr>
        <w:footnoteReference w:id="41"/>
      </w:r>
      <w:r w:rsidRPr="00E57D5F">
        <w:rPr>
          <w:rFonts w:ascii="Cambria" w:hAnsi="Cambria"/>
          <w:sz w:val="20"/>
        </w:rPr>
        <w:t>.  En consecuencia, se determinó el archivo del procedimiento seguido a ambas personas</w:t>
      </w:r>
      <w:r w:rsidRPr="00E57D5F">
        <w:rPr>
          <w:rStyle w:val="FootnoteReference"/>
          <w:rFonts w:ascii="Cambria" w:hAnsi="Cambria"/>
          <w:sz w:val="20"/>
        </w:rPr>
        <w:footnoteReference w:id="42"/>
      </w:r>
      <w:r w:rsidRPr="00E57D5F">
        <w:rPr>
          <w:rFonts w:ascii="Cambria" w:hAnsi="Cambria"/>
          <w:sz w:val="20"/>
        </w:rPr>
        <w:t>.</w:t>
      </w: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E57D5F">
        <w:rPr>
          <w:rFonts w:ascii="Cambria" w:hAnsi="Cambria"/>
          <w:sz w:val="20"/>
          <w:szCs w:val="20"/>
        </w:rPr>
        <w:t xml:space="preserve">El 4 de febrero de 1985 el señor </w:t>
      </w:r>
      <w:proofErr w:type="spellStart"/>
      <w:r w:rsidRPr="00E57D5F">
        <w:rPr>
          <w:rFonts w:ascii="Cambria" w:hAnsi="Cambria"/>
          <w:sz w:val="20"/>
          <w:szCs w:val="20"/>
        </w:rPr>
        <w:t>Preckel</w:t>
      </w:r>
      <w:proofErr w:type="spellEnd"/>
      <w:r w:rsidRPr="00E57D5F">
        <w:rPr>
          <w:rFonts w:ascii="Cambria" w:hAnsi="Cambria"/>
          <w:sz w:val="20"/>
          <w:szCs w:val="20"/>
        </w:rPr>
        <w:t xml:space="preserve"> reinició su relación laboral con la DGI, luego de su regreso a Argentina</w:t>
      </w:r>
      <w:r w:rsidRPr="00E57D5F">
        <w:rPr>
          <w:rStyle w:val="FootnoteReference"/>
          <w:rFonts w:ascii="Cambria" w:hAnsi="Cambria"/>
          <w:sz w:val="20"/>
          <w:szCs w:val="20"/>
        </w:rPr>
        <w:footnoteReference w:id="43"/>
      </w:r>
      <w:r w:rsidRPr="00E57D5F">
        <w:rPr>
          <w:rFonts w:ascii="Cambria" w:hAnsi="Cambria"/>
          <w:sz w:val="20"/>
          <w:szCs w:val="20"/>
        </w:rPr>
        <w:t>.</w:t>
      </w:r>
    </w:p>
    <w:p w:rsidR="007A61F8" w:rsidRPr="00E57D5F" w:rsidRDefault="007A61F8" w:rsidP="007A61F8">
      <w:pPr>
        <w:rPr>
          <w:rFonts w:ascii="Cambria" w:hAnsi="Cambria" w:cs="Arial"/>
          <w:iCs/>
          <w:sz w:val="20"/>
          <w:szCs w:val="20"/>
          <w:lang w:val="es-ES_tradnl"/>
        </w:rPr>
      </w:pPr>
    </w:p>
    <w:p w:rsidR="007A61F8" w:rsidRPr="00E57D5F" w:rsidRDefault="007A61F8" w:rsidP="00773021">
      <w:pPr>
        <w:pStyle w:val="Heading2"/>
        <w:numPr>
          <w:ilvl w:val="0"/>
          <w:numId w:val="0"/>
        </w:numPr>
        <w:ind w:left="1440" w:hanging="720"/>
      </w:pPr>
      <w:bookmarkStart w:id="37" w:name="_Toc476667879"/>
      <w:r w:rsidRPr="00E57D5F">
        <w:t>C.</w:t>
      </w:r>
      <w:r w:rsidRPr="00E57D5F">
        <w:tab/>
        <w:t>Recursos presentados</w:t>
      </w:r>
      <w:bookmarkEnd w:id="37"/>
    </w:p>
    <w:p w:rsidR="007A61F8" w:rsidRPr="00E57D5F" w:rsidRDefault="007A61F8" w:rsidP="007A61F8">
      <w:pPr>
        <w:rPr>
          <w:rFonts w:ascii="Cambria" w:hAnsi="Cambria" w:cs="Arial"/>
          <w:iCs/>
          <w:sz w:val="20"/>
          <w:szCs w:val="20"/>
          <w:lang w:val="es-ES_tradnl"/>
        </w:rPr>
      </w:pPr>
    </w:p>
    <w:p w:rsidR="007A61F8" w:rsidRPr="00E57D5F" w:rsidRDefault="007A61F8" w:rsidP="007A61F8">
      <w:pPr>
        <w:pStyle w:val="Heading3"/>
        <w:numPr>
          <w:ilvl w:val="3"/>
          <w:numId w:val="51"/>
        </w:numPr>
        <w:tabs>
          <w:tab w:val="clear" w:pos="2880"/>
          <w:tab w:val="num" w:pos="1440"/>
        </w:tabs>
        <w:ind w:hanging="2160"/>
      </w:pPr>
      <w:bookmarkStart w:id="38" w:name="_Toc476667880"/>
      <w:r w:rsidRPr="00E57D5F">
        <w:t>Procedimiento administrativo</w:t>
      </w:r>
      <w:bookmarkEnd w:id="38"/>
    </w:p>
    <w:p w:rsidR="007A61F8" w:rsidRPr="00E57D5F" w:rsidRDefault="007A61F8" w:rsidP="007A61F8">
      <w:pPr>
        <w:rPr>
          <w:rFonts w:ascii="Cambria" w:hAnsi="Cambria" w:cs="Arial"/>
          <w:iCs/>
          <w:sz w:val="20"/>
          <w:szCs w:val="20"/>
          <w:lang w:val="es-ES_tradnl"/>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E57D5F">
        <w:rPr>
          <w:rFonts w:ascii="Cambria" w:hAnsi="Cambria"/>
          <w:sz w:val="20"/>
          <w:szCs w:val="20"/>
        </w:rPr>
        <w:t xml:space="preserve">El 27 de abril de 1983 </w:t>
      </w:r>
      <w:r w:rsidRPr="00E57D5F">
        <w:rPr>
          <w:rFonts w:ascii="Cambria" w:hAnsi="Cambria"/>
          <w:sz w:val="20"/>
        </w:rPr>
        <w:t xml:space="preserve">la señora </w:t>
      </w:r>
      <w:proofErr w:type="spellStart"/>
      <w:r w:rsidRPr="00E57D5F">
        <w:rPr>
          <w:rFonts w:ascii="Cambria" w:hAnsi="Cambria"/>
          <w:sz w:val="20"/>
        </w:rPr>
        <w:t>Perrone</w:t>
      </w:r>
      <w:proofErr w:type="spellEnd"/>
      <w:r w:rsidRPr="00E57D5F">
        <w:rPr>
          <w:rFonts w:ascii="Cambria" w:hAnsi="Cambria"/>
          <w:sz w:val="20"/>
        </w:rPr>
        <w:t xml:space="preserve"> presentó un escrito a la DGI solicitando el trámite de los haberes dejados de percibir durante su detención y hasta que se reintegró al centro de labores</w:t>
      </w:r>
      <w:r w:rsidRPr="00E57D5F">
        <w:rPr>
          <w:rStyle w:val="FootnoteReference"/>
          <w:rFonts w:ascii="Cambria" w:hAnsi="Cambria"/>
          <w:sz w:val="20"/>
        </w:rPr>
        <w:footnoteReference w:id="44"/>
      </w:r>
      <w:r w:rsidRPr="00E57D5F">
        <w:rPr>
          <w:rFonts w:ascii="Cambria" w:hAnsi="Cambria"/>
          <w:sz w:val="20"/>
        </w:rPr>
        <w:t xml:space="preserve">. Agregó que la razón de sus inasistencias “no se debió a </w:t>
      </w:r>
      <w:r w:rsidRPr="00E57D5F">
        <w:rPr>
          <w:rFonts w:ascii="Cambria" w:hAnsi="Cambria" w:cs="Arial"/>
          <w:sz w:val="20"/>
        </w:rPr>
        <w:t>[su] voluntad sino que fu[e] impedida de trabajar [al haber sido detenida]</w:t>
      </w:r>
      <w:r w:rsidRPr="00E57D5F">
        <w:rPr>
          <w:rFonts w:ascii="Cambria" w:hAnsi="Cambria"/>
          <w:sz w:val="20"/>
        </w:rPr>
        <w:t>”</w:t>
      </w:r>
      <w:r w:rsidRPr="00E57D5F">
        <w:rPr>
          <w:rStyle w:val="FootnoteReference"/>
          <w:rFonts w:ascii="Cambria" w:hAnsi="Cambria"/>
          <w:sz w:val="20"/>
        </w:rPr>
        <w:footnoteReference w:id="45"/>
      </w:r>
      <w:r w:rsidRPr="00E57D5F">
        <w:rPr>
          <w:rFonts w:ascii="Cambria" w:hAnsi="Cambria"/>
          <w:sz w:val="20"/>
        </w:rPr>
        <w:t xml:space="preserve">. </w:t>
      </w: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E57D5F">
        <w:rPr>
          <w:rFonts w:ascii="Cambria" w:hAnsi="Cambria"/>
          <w:sz w:val="20"/>
          <w:szCs w:val="20"/>
        </w:rPr>
        <w:t>En mayo de 1984 el Departamento de Asesoría Legal</w:t>
      </w:r>
      <w:r w:rsidRPr="00E57D5F">
        <w:rPr>
          <w:rFonts w:ascii="Cambria" w:hAnsi="Cambria"/>
          <w:sz w:val="20"/>
        </w:rPr>
        <w:t xml:space="preserve"> de la DGI emitió un dictamen en el cual consider</w:t>
      </w:r>
      <w:r w:rsidRPr="00E57D5F">
        <w:rPr>
          <w:rFonts w:ascii="Cambria" w:hAnsi="Cambria"/>
          <w:sz w:val="20"/>
          <w:szCs w:val="20"/>
        </w:rPr>
        <w:t xml:space="preserve">ó viable el reintegro de los haberes dejados de percibir durante la detención de la señora </w:t>
      </w:r>
      <w:proofErr w:type="spellStart"/>
      <w:r w:rsidRPr="00E57D5F">
        <w:rPr>
          <w:rFonts w:ascii="Cambria" w:hAnsi="Cambria"/>
          <w:sz w:val="20"/>
          <w:szCs w:val="20"/>
        </w:rPr>
        <w:t>Perrone</w:t>
      </w:r>
      <w:proofErr w:type="spellEnd"/>
      <w:r w:rsidRPr="00E57D5F">
        <w:rPr>
          <w:rStyle w:val="FootnoteReference"/>
          <w:rFonts w:ascii="Cambria" w:hAnsi="Cambria"/>
          <w:sz w:val="20"/>
          <w:szCs w:val="20"/>
        </w:rPr>
        <w:footnoteReference w:id="46"/>
      </w:r>
      <w:r w:rsidRPr="00E57D5F">
        <w:rPr>
          <w:rFonts w:ascii="Cambria" w:hAnsi="Cambria"/>
          <w:sz w:val="20"/>
          <w:szCs w:val="20"/>
        </w:rPr>
        <w:t>. El Departamento sostuvo lo siguiente:</w:t>
      </w:r>
    </w:p>
    <w:p w:rsidR="007A61F8" w:rsidRPr="00E57D5F" w:rsidRDefault="007A61F8" w:rsidP="007A61F8">
      <w:pPr>
        <w:pStyle w:val="ListParagraph"/>
        <w:rPr>
          <w:rFonts w:ascii="Cambria" w:hAnsi="Cambria"/>
          <w:sz w:val="20"/>
          <w:szCs w:val="20"/>
          <w:lang w:val="es-ES"/>
        </w:rPr>
      </w:pP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rPr>
      </w:pPr>
      <w:r w:rsidRPr="00E57D5F">
        <w:rPr>
          <w:rFonts w:ascii="Cambria" w:hAnsi="Cambria"/>
          <w:sz w:val="20"/>
          <w:szCs w:val="20"/>
        </w:rPr>
        <w:t>Resulta una solución justa (…) que si en definitiva la Justicia establece que el agente ha sido ajeno al delito, la Administración le abone los salarios caídos durante el tiempo de</w:t>
      </w:r>
      <w:r w:rsidR="00D869B9" w:rsidRPr="00E57D5F">
        <w:rPr>
          <w:rFonts w:ascii="Cambria" w:hAnsi="Cambria"/>
          <w:sz w:val="20"/>
          <w:szCs w:val="20"/>
        </w:rPr>
        <w:t xml:space="preserve"> la suspensión preventiva. (…)[E]</w:t>
      </w:r>
      <w:r w:rsidRPr="00E57D5F">
        <w:rPr>
          <w:rFonts w:ascii="Cambria" w:hAnsi="Cambria"/>
          <w:sz w:val="20"/>
          <w:szCs w:val="20"/>
        </w:rPr>
        <w:t xml:space="preserve">l arresto sufrido por </w:t>
      </w:r>
      <w:proofErr w:type="spellStart"/>
      <w:r w:rsidRPr="00E57D5F">
        <w:rPr>
          <w:rFonts w:ascii="Cambria" w:hAnsi="Cambria"/>
          <w:sz w:val="20"/>
          <w:szCs w:val="20"/>
        </w:rPr>
        <w:t>Perrone</w:t>
      </w:r>
      <w:proofErr w:type="spellEnd"/>
      <w:r w:rsidRPr="00E57D5F">
        <w:rPr>
          <w:rFonts w:ascii="Cambria" w:hAnsi="Cambria"/>
          <w:sz w:val="20"/>
          <w:szCs w:val="20"/>
        </w:rPr>
        <w:t xml:space="preserve"> puede fácilmente vincularse siguiendo el razonamiento adoptado a una detención en causa criminal, no tanto por sus orígenes como por sus efectos</w:t>
      </w:r>
      <w:r w:rsidRPr="00E57D5F">
        <w:rPr>
          <w:rStyle w:val="FootnoteReference"/>
          <w:rFonts w:ascii="Cambria" w:hAnsi="Cambria"/>
          <w:sz w:val="20"/>
          <w:szCs w:val="20"/>
        </w:rPr>
        <w:footnoteReference w:id="47"/>
      </w:r>
      <w:r w:rsidRPr="00E57D5F">
        <w:rPr>
          <w:rFonts w:ascii="Cambria" w:hAnsi="Cambria"/>
          <w:sz w:val="20"/>
          <w:szCs w:val="20"/>
        </w:rPr>
        <w:t>.</w:t>
      </w: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E57D5F">
        <w:rPr>
          <w:rFonts w:ascii="Cambria" w:hAnsi="Cambria"/>
          <w:sz w:val="20"/>
          <w:szCs w:val="20"/>
        </w:rPr>
        <w:lastRenderedPageBreak/>
        <w:t>Asimismo, el Departamento consideró que la resolución de este caso implica “la fijación de un precedente de interés general para toda la Administración”</w:t>
      </w:r>
      <w:r w:rsidRPr="00E57D5F">
        <w:rPr>
          <w:rStyle w:val="FootnoteReference"/>
          <w:rFonts w:ascii="Cambria" w:hAnsi="Cambria"/>
          <w:sz w:val="20"/>
          <w:szCs w:val="20"/>
        </w:rPr>
        <w:footnoteReference w:id="48"/>
      </w:r>
      <w:r w:rsidRPr="00E57D5F">
        <w:rPr>
          <w:rFonts w:ascii="Cambria" w:hAnsi="Cambria"/>
          <w:sz w:val="20"/>
          <w:szCs w:val="20"/>
        </w:rPr>
        <w:t>. En consecuencia, consideró que la causa debía ser conocida por la Procuración del Tesoro de la Nación</w:t>
      </w:r>
      <w:r w:rsidRPr="00E57D5F">
        <w:rPr>
          <w:rStyle w:val="FootnoteReference"/>
          <w:rFonts w:ascii="Cambria" w:hAnsi="Cambria"/>
          <w:sz w:val="20"/>
          <w:szCs w:val="20"/>
        </w:rPr>
        <w:footnoteReference w:id="49"/>
      </w:r>
      <w:r w:rsidRPr="00E57D5F">
        <w:rPr>
          <w:rFonts w:ascii="Cambria" w:hAnsi="Cambria"/>
          <w:sz w:val="20"/>
          <w:szCs w:val="20"/>
        </w:rPr>
        <w:t>.</w:t>
      </w: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E57D5F">
        <w:rPr>
          <w:rFonts w:ascii="Cambria" w:hAnsi="Cambria"/>
          <w:sz w:val="20"/>
          <w:szCs w:val="20"/>
        </w:rPr>
        <w:t xml:space="preserve">El 28 de mayo de 1985 la </w:t>
      </w:r>
      <w:r w:rsidRPr="00E57D5F">
        <w:rPr>
          <w:rFonts w:ascii="Cambria" w:hAnsi="Cambria"/>
          <w:sz w:val="20"/>
        </w:rPr>
        <w:t>Dirección de Asuntos Técnicos y Jurídicos de la DGI emitió un dictamen en donde también consider</w:t>
      </w:r>
      <w:r w:rsidRPr="00E57D5F">
        <w:rPr>
          <w:rFonts w:ascii="Cambria" w:hAnsi="Cambria"/>
          <w:sz w:val="20"/>
          <w:szCs w:val="20"/>
        </w:rPr>
        <w:t xml:space="preserve">ó viable el reintegro de los haberes dejados de percibir durante la detención de la señora </w:t>
      </w:r>
      <w:proofErr w:type="spellStart"/>
      <w:r w:rsidRPr="00E57D5F">
        <w:rPr>
          <w:rFonts w:ascii="Cambria" w:hAnsi="Cambria"/>
          <w:sz w:val="20"/>
          <w:szCs w:val="20"/>
        </w:rPr>
        <w:t>Perrone</w:t>
      </w:r>
      <w:proofErr w:type="spellEnd"/>
      <w:r w:rsidRPr="00E57D5F">
        <w:rPr>
          <w:rStyle w:val="FootnoteReference"/>
          <w:rFonts w:ascii="Cambria" w:hAnsi="Cambria"/>
          <w:sz w:val="20"/>
          <w:szCs w:val="20"/>
        </w:rPr>
        <w:footnoteReference w:id="50"/>
      </w:r>
      <w:r w:rsidRPr="00E57D5F">
        <w:rPr>
          <w:rFonts w:ascii="Cambria" w:hAnsi="Cambria"/>
          <w:sz w:val="20"/>
          <w:szCs w:val="20"/>
        </w:rPr>
        <w:t>. La Dirección sostuvo lo siguiente:</w:t>
      </w:r>
    </w:p>
    <w:p w:rsidR="007A61F8" w:rsidRPr="00E57D5F" w:rsidRDefault="007A61F8" w:rsidP="007A61F8">
      <w:pPr>
        <w:pStyle w:val="ListParagraph"/>
        <w:rPr>
          <w:rFonts w:ascii="Cambria" w:hAnsi="Cambria"/>
          <w:sz w:val="20"/>
          <w:szCs w:val="20"/>
        </w:rPr>
      </w:pP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rPr>
      </w:pPr>
      <w:r w:rsidRPr="00E57D5F">
        <w:rPr>
          <w:rFonts w:ascii="Cambria" w:hAnsi="Cambria"/>
          <w:sz w:val="20"/>
          <w:szCs w:val="20"/>
        </w:rPr>
        <w:t xml:space="preserve">Partiendo de la base de que la agente </w:t>
      </w:r>
      <w:proofErr w:type="spellStart"/>
      <w:r w:rsidRPr="00E57D5F">
        <w:rPr>
          <w:rFonts w:ascii="Cambria" w:hAnsi="Cambria"/>
          <w:sz w:val="20"/>
          <w:szCs w:val="20"/>
        </w:rPr>
        <w:t>Perrone</w:t>
      </w:r>
      <w:proofErr w:type="spellEnd"/>
      <w:r w:rsidRPr="00E57D5F">
        <w:rPr>
          <w:rFonts w:ascii="Cambria" w:hAnsi="Cambria"/>
          <w:sz w:val="20"/>
          <w:szCs w:val="20"/>
        </w:rPr>
        <w:t xml:space="preserve"> sufrió una pena en el sentido atribuido por nuestro más alto tribunal, que deviene injusta al no haber estado sometida a proceso alguno (…) no se encuentra inconveniente en reconocer a la presentante los salarios correspondientes al tiempo de su detención</w:t>
      </w:r>
      <w:r w:rsidRPr="00E57D5F">
        <w:rPr>
          <w:rStyle w:val="FootnoteReference"/>
          <w:rFonts w:ascii="Cambria" w:hAnsi="Cambria"/>
          <w:sz w:val="20"/>
          <w:szCs w:val="20"/>
        </w:rPr>
        <w:footnoteReference w:id="51"/>
      </w:r>
      <w:r w:rsidRPr="00E57D5F">
        <w:rPr>
          <w:rFonts w:ascii="Cambria" w:hAnsi="Cambria"/>
          <w:sz w:val="20"/>
          <w:szCs w:val="20"/>
        </w:rPr>
        <w:t>.</w:t>
      </w: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E57D5F">
        <w:rPr>
          <w:rFonts w:ascii="Cambria" w:hAnsi="Cambria"/>
          <w:sz w:val="20"/>
          <w:szCs w:val="20"/>
        </w:rPr>
        <w:t>La Dirección consideró que debido a la singularidad del caso planteado, su trascendencia y la carencia de precedentes específicos sobre la cuestión, correspondería que la causa fuera conocida por la Procuración del Tesoro de la Nación</w:t>
      </w:r>
      <w:r w:rsidRPr="00E57D5F">
        <w:rPr>
          <w:rStyle w:val="FootnoteReference"/>
          <w:rFonts w:ascii="Cambria" w:hAnsi="Cambria"/>
          <w:sz w:val="20"/>
          <w:szCs w:val="20"/>
        </w:rPr>
        <w:footnoteReference w:id="52"/>
      </w:r>
      <w:r w:rsidRPr="00E57D5F">
        <w:rPr>
          <w:rFonts w:ascii="Cambria" w:hAnsi="Cambria"/>
          <w:sz w:val="20"/>
          <w:szCs w:val="20"/>
        </w:rPr>
        <w:t>.</w:t>
      </w: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E57D5F">
        <w:rPr>
          <w:rFonts w:ascii="Cambria" w:hAnsi="Cambria"/>
          <w:sz w:val="20"/>
          <w:szCs w:val="20"/>
        </w:rPr>
        <w:t>El 24 de julio de 1985 la Dirección</w:t>
      </w:r>
      <w:r w:rsidRPr="00E57D5F">
        <w:rPr>
          <w:rFonts w:ascii="Cambria" w:hAnsi="Cambria"/>
          <w:sz w:val="20"/>
        </w:rPr>
        <w:t xml:space="preserve"> General de Asuntos Jurídicos del Ministerio de Economía emitió un dictamen mediante el cual también consider</w:t>
      </w:r>
      <w:r w:rsidRPr="00E57D5F">
        <w:rPr>
          <w:rFonts w:ascii="Cambria" w:hAnsi="Cambria"/>
          <w:sz w:val="20"/>
          <w:szCs w:val="20"/>
        </w:rPr>
        <w:t xml:space="preserve">ó viable el reintegro de los haberes dejados de percibir durante la detención de la señora </w:t>
      </w:r>
      <w:proofErr w:type="spellStart"/>
      <w:r w:rsidRPr="00E57D5F">
        <w:rPr>
          <w:rFonts w:ascii="Cambria" w:hAnsi="Cambria"/>
          <w:sz w:val="20"/>
          <w:szCs w:val="20"/>
        </w:rPr>
        <w:t>Perrone</w:t>
      </w:r>
      <w:proofErr w:type="spellEnd"/>
      <w:r w:rsidRPr="00E57D5F">
        <w:rPr>
          <w:rStyle w:val="FootnoteReference"/>
          <w:rFonts w:ascii="Cambria" w:hAnsi="Cambria"/>
          <w:sz w:val="20"/>
          <w:szCs w:val="20"/>
        </w:rPr>
        <w:footnoteReference w:id="53"/>
      </w:r>
      <w:r w:rsidRPr="00E57D5F">
        <w:rPr>
          <w:rFonts w:ascii="Cambria" w:hAnsi="Cambria"/>
          <w:sz w:val="20"/>
          <w:szCs w:val="20"/>
        </w:rPr>
        <w:t>. La Dirección sostuvo lo siguiente:</w:t>
      </w:r>
    </w:p>
    <w:p w:rsidR="007A61F8" w:rsidRPr="00E57D5F" w:rsidRDefault="007A61F8" w:rsidP="007A61F8">
      <w:pPr>
        <w:pStyle w:val="ListParagraph"/>
        <w:rPr>
          <w:rFonts w:ascii="Cambria" w:hAnsi="Cambria"/>
          <w:sz w:val="20"/>
          <w:szCs w:val="20"/>
        </w:rPr>
      </w:pP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rPr>
      </w:pPr>
      <w:r w:rsidRPr="00E57D5F">
        <w:rPr>
          <w:rFonts w:ascii="Cambria" w:hAnsi="Cambria"/>
          <w:sz w:val="20"/>
          <w:szCs w:val="20"/>
        </w:rPr>
        <w:t xml:space="preserve">(…) si bien la Circular No. 5/77 </w:t>
      </w:r>
      <w:r w:rsidRPr="00E57D5F">
        <w:rPr>
          <w:rFonts w:ascii="Cambria" w:hAnsi="Cambria"/>
          <w:sz w:val="20"/>
        </w:rPr>
        <w:t>de la Secretaría General de la Presidencia de la Nación establece que no corresponde el pago de salarios por servicios no prestados (…) es evidente que en la especie la recurrente se vio imposibilitada de asistir en virtud de actos de autoridad</w:t>
      </w:r>
      <w:r w:rsidRPr="00E57D5F">
        <w:rPr>
          <w:rStyle w:val="FootnoteReference"/>
          <w:rFonts w:ascii="Cambria" w:hAnsi="Cambria"/>
          <w:sz w:val="20"/>
          <w:szCs w:val="20"/>
        </w:rPr>
        <w:footnoteReference w:id="54"/>
      </w:r>
      <w:r w:rsidRPr="00E57D5F">
        <w:rPr>
          <w:rFonts w:ascii="Cambria" w:hAnsi="Cambria"/>
          <w:sz w:val="20"/>
        </w:rPr>
        <w:t>.</w:t>
      </w: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rPr>
      </w:pPr>
      <w:r w:rsidRPr="00E57D5F">
        <w:rPr>
          <w:rFonts w:ascii="Cambria" w:hAnsi="Cambria"/>
          <w:color w:val="auto"/>
          <w:sz w:val="20"/>
          <w:szCs w:val="20"/>
        </w:rPr>
        <w:t xml:space="preserve">La Comisión observa que no cuenta con una copia de la Circular No. 5/77. Sin perjuicio de ello, la CIDH nota que ambas partes han reconocido que dicho documento señala que </w:t>
      </w:r>
      <w:r w:rsidRPr="00E57D5F">
        <w:rPr>
          <w:rFonts w:ascii="Cambria" w:hAnsi="Cambria" w:cs="Arial"/>
          <w:color w:val="auto"/>
          <w:sz w:val="20"/>
          <w:szCs w:val="20"/>
          <w:shd w:val="clear" w:color="auto" w:fill="FFFFFF"/>
        </w:rPr>
        <w:t>no corresponde reconocer el pago de haberes por períodos en que el agente público no ha prestado efectivamente servicios, salvo que una norma expresa lo autorice</w:t>
      </w:r>
      <w:r w:rsidRPr="00E57D5F">
        <w:rPr>
          <w:rStyle w:val="FootnoteReference"/>
          <w:rFonts w:ascii="Cambria" w:hAnsi="Cambria" w:cs="Arial"/>
          <w:color w:val="auto"/>
          <w:sz w:val="20"/>
          <w:szCs w:val="20"/>
          <w:shd w:val="clear" w:color="auto" w:fill="FFFFFF"/>
        </w:rPr>
        <w:footnoteReference w:id="55"/>
      </w:r>
      <w:r w:rsidRPr="00E57D5F">
        <w:rPr>
          <w:rFonts w:ascii="Cambria" w:hAnsi="Cambria" w:cs="Arial"/>
          <w:color w:val="auto"/>
          <w:sz w:val="20"/>
          <w:szCs w:val="20"/>
          <w:shd w:val="clear" w:color="auto" w:fill="FFFFFF"/>
        </w:rPr>
        <w:t>.</w:t>
      </w: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E57D5F">
        <w:rPr>
          <w:rFonts w:ascii="Cambria" w:hAnsi="Cambria"/>
          <w:sz w:val="20"/>
          <w:szCs w:val="20"/>
        </w:rPr>
        <w:t>La Dirección sostuvo que tomando en cuenta el interés económico comprometido y a fin de establecer jurisprudencia administrativa al respecto, corresponde requerir la intervención de la Procuración del Tesoro de la Nación</w:t>
      </w:r>
      <w:r w:rsidRPr="00E57D5F">
        <w:rPr>
          <w:rStyle w:val="FootnoteReference"/>
          <w:rFonts w:ascii="Cambria" w:hAnsi="Cambria"/>
          <w:sz w:val="20"/>
          <w:szCs w:val="20"/>
        </w:rPr>
        <w:footnoteReference w:id="56"/>
      </w:r>
      <w:r w:rsidRPr="00E57D5F">
        <w:rPr>
          <w:rFonts w:ascii="Cambria" w:hAnsi="Cambria"/>
          <w:sz w:val="20"/>
          <w:szCs w:val="20"/>
        </w:rPr>
        <w:t>.</w:t>
      </w:r>
    </w:p>
    <w:p w:rsidR="007A61F8" w:rsidRPr="00E57D5F" w:rsidRDefault="007A61F8" w:rsidP="007A61F8">
      <w:pPr>
        <w:pStyle w:val="ListParagraph"/>
        <w:rPr>
          <w:rFonts w:ascii="Cambria" w:hAnsi="Cambria"/>
          <w:sz w:val="20"/>
          <w:lang w:val="es-ES"/>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E57D5F">
        <w:rPr>
          <w:rFonts w:ascii="Cambria" w:hAnsi="Cambria"/>
          <w:sz w:val="20"/>
        </w:rPr>
        <w:lastRenderedPageBreak/>
        <w:t xml:space="preserve">El 2 julio de 1985 el señor </w:t>
      </w:r>
      <w:proofErr w:type="spellStart"/>
      <w:r w:rsidRPr="00E57D5F">
        <w:rPr>
          <w:rFonts w:ascii="Cambria" w:hAnsi="Cambria"/>
          <w:sz w:val="20"/>
        </w:rPr>
        <w:t>Preckel</w:t>
      </w:r>
      <w:proofErr w:type="spellEnd"/>
      <w:r w:rsidRPr="00E57D5F">
        <w:rPr>
          <w:rFonts w:ascii="Cambria" w:hAnsi="Cambria"/>
          <w:sz w:val="20"/>
        </w:rPr>
        <w:t xml:space="preserve"> presentó un reclamo administrativo ante la DGI solicitando el reconocimiento de sus derechos laborales y provisionales durante el lapso comprendido entre el 6 de julio de 1976 y el día que empezó nuevamente a laborar en dicho centro</w:t>
      </w:r>
      <w:r w:rsidRPr="00E57D5F">
        <w:rPr>
          <w:rStyle w:val="FootnoteReference"/>
          <w:rFonts w:ascii="Cambria" w:hAnsi="Cambria"/>
          <w:sz w:val="20"/>
        </w:rPr>
        <w:footnoteReference w:id="57"/>
      </w:r>
      <w:r w:rsidRPr="00E57D5F">
        <w:rPr>
          <w:rFonts w:ascii="Cambria" w:hAnsi="Cambria"/>
          <w:sz w:val="20"/>
        </w:rPr>
        <w:t>.</w:t>
      </w: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E57D5F">
        <w:rPr>
          <w:rFonts w:ascii="Cambria" w:hAnsi="Cambria"/>
          <w:sz w:val="20"/>
        </w:rPr>
        <w:t>El 19 de septiembre de 1986 la Procuración del Tesoro de la Nación emitió un dictamen en el cual consideró que las reclamaciones debían rechazarse</w:t>
      </w:r>
      <w:r w:rsidRPr="00E57D5F">
        <w:rPr>
          <w:rStyle w:val="FootnoteReference"/>
          <w:rFonts w:ascii="Cambria" w:hAnsi="Cambria"/>
          <w:sz w:val="20"/>
        </w:rPr>
        <w:footnoteReference w:id="58"/>
      </w:r>
      <w:r w:rsidRPr="00E57D5F">
        <w:rPr>
          <w:rFonts w:ascii="Cambria" w:hAnsi="Cambria"/>
          <w:sz w:val="20"/>
        </w:rPr>
        <w:t>. La Procuración alegó lo siguiente:</w:t>
      </w:r>
    </w:p>
    <w:p w:rsidR="007A61F8" w:rsidRPr="00E57D5F" w:rsidRDefault="007A61F8" w:rsidP="007A61F8">
      <w:pPr>
        <w:pStyle w:val="ListParagraph"/>
        <w:rPr>
          <w:rFonts w:ascii="Cambria" w:hAnsi="Cambria"/>
          <w:sz w:val="20"/>
          <w:szCs w:val="20"/>
        </w:rPr>
      </w:pP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rPr>
      </w:pPr>
      <w:r w:rsidRPr="00E57D5F">
        <w:rPr>
          <w:rFonts w:ascii="Cambria" w:hAnsi="Cambria"/>
          <w:sz w:val="20"/>
          <w:szCs w:val="20"/>
        </w:rPr>
        <w:t>(…) la circunstancia de que la Circular 5/77 de la Secretaría General (…) haya determinado un criterio restrictivo en materia de reconocimiento de haberes sin prestación de servicios, impone limitar éste, a los supuestos en que exista norma expresa</w:t>
      </w:r>
      <w:r w:rsidRPr="00E57D5F">
        <w:rPr>
          <w:rStyle w:val="FootnoteReference"/>
          <w:rFonts w:ascii="Cambria" w:hAnsi="Cambria"/>
          <w:sz w:val="20"/>
        </w:rPr>
        <w:footnoteReference w:id="59"/>
      </w:r>
      <w:r w:rsidRPr="00E57D5F">
        <w:rPr>
          <w:rFonts w:ascii="Cambria" w:hAnsi="Cambria"/>
          <w:sz w:val="20"/>
          <w:szCs w:val="20"/>
        </w:rPr>
        <w:t xml:space="preserve">. </w:t>
      </w:r>
    </w:p>
    <w:p w:rsidR="007A61F8" w:rsidRPr="00E57D5F" w:rsidRDefault="007A61F8" w:rsidP="007A61F8">
      <w:pPr>
        <w:pStyle w:val="ListParagraph"/>
        <w:rPr>
          <w:rFonts w:ascii="Cambria" w:hAnsi="Cambria"/>
          <w:sz w:val="20"/>
          <w:lang w:val="es-ES"/>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E57D5F">
        <w:rPr>
          <w:rFonts w:ascii="Cambria" w:hAnsi="Cambria"/>
          <w:sz w:val="20"/>
          <w:szCs w:val="20"/>
        </w:rPr>
        <w:t xml:space="preserve">El 19 de marzo de 1987 el Director General de la DGI emitió la resolución No. 75/87 en la que desestimó la solicitud de la </w:t>
      </w:r>
      <w:r w:rsidRPr="00E57D5F">
        <w:rPr>
          <w:rFonts w:ascii="Cambria" w:hAnsi="Cambria"/>
          <w:sz w:val="20"/>
        </w:rPr>
        <w:t xml:space="preserve">señora </w:t>
      </w:r>
      <w:proofErr w:type="spellStart"/>
      <w:r w:rsidRPr="00E57D5F">
        <w:rPr>
          <w:rFonts w:ascii="Cambria" w:hAnsi="Cambria"/>
          <w:sz w:val="20"/>
        </w:rPr>
        <w:t>Perrone</w:t>
      </w:r>
      <w:proofErr w:type="spellEnd"/>
      <w:r w:rsidRPr="00E57D5F">
        <w:rPr>
          <w:rFonts w:ascii="Cambria" w:hAnsi="Cambria"/>
          <w:sz w:val="20"/>
        </w:rPr>
        <w:t xml:space="preserve"> presentada en abril de 1983</w:t>
      </w:r>
      <w:r w:rsidRPr="00E57D5F">
        <w:rPr>
          <w:rStyle w:val="FootnoteReference"/>
          <w:rFonts w:ascii="Cambria" w:hAnsi="Cambria"/>
          <w:sz w:val="20"/>
        </w:rPr>
        <w:footnoteReference w:id="60"/>
      </w:r>
      <w:r w:rsidRPr="00E57D5F">
        <w:rPr>
          <w:rFonts w:ascii="Cambria" w:hAnsi="Cambria"/>
          <w:sz w:val="20"/>
        </w:rPr>
        <w:t>. En dicha resolución se indicó que únicamente podían reconocerse sus derechos previsionales, para lo cual debía realizar una solución ante la Caja de Previsión</w:t>
      </w:r>
      <w:r w:rsidRPr="00E57D5F">
        <w:rPr>
          <w:rStyle w:val="FootnoteReference"/>
          <w:rFonts w:ascii="Cambria" w:hAnsi="Cambria"/>
          <w:sz w:val="20"/>
        </w:rPr>
        <w:footnoteReference w:id="61"/>
      </w:r>
      <w:r w:rsidRPr="00E57D5F">
        <w:rPr>
          <w:rFonts w:ascii="Cambria" w:hAnsi="Cambria"/>
          <w:sz w:val="20"/>
        </w:rPr>
        <w:t>.</w:t>
      </w:r>
    </w:p>
    <w:p w:rsidR="007A61F8" w:rsidRPr="00E57D5F" w:rsidRDefault="007A61F8" w:rsidP="007A61F8">
      <w:pPr>
        <w:rPr>
          <w:sz w:val="20"/>
          <w:szCs w:val="20"/>
          <w:lang w:val="es-ES"/>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E57D5F">
        <w:rPr>
          <w:rFonts w:ascii="Cambria" w:hAnsi="Cambria"/>
          <w:sz w:val="20"/>
          <w:szCs w:val="20"/>
          <w:lang w:val="es-ES"/>
        </w:rPr>
        <w:t xml:space="preserve">Por su parte, el 17 de diciembre de 1987 </w:t>
      </w:r>
      <w:r w:rsidRPr="00E57D5F">
        <w:rPr>
          <w:rFonts w:ascii="Cambria" w:hAnsi="Cambria"/>
          <w:sz w:val="20"/>
          <w:szCs w:val="20"/>
        </w:rPr>
        <w:t xml:space="preserve">el Ministerio Economía emitió la resolución No. 1217 en la que rechazó la solicitud del </w:t>
      </w:r>
      <w:r w:rsidRPr="00E57D5F">
        <w:rPr>
          <w:rFonts w:ascii="Cambria" w:hAnsi="Cambria"/>
          <w:sz w:val="20"/>
        </w:rPr>
        <w:t xml:space="preserve">señor </w:t>
      </w:r>
      <w:proofErr w:type="spellStart"/>
      <w:r w:rsidRPr="00E57D5F">
        <w:rPr>
          <w:rFonts w:ascii="Cambria" w:hAnsi="Cambria"/>
          <w:sz w:val="20"/>
        </w:rPr>
        <w:t>Preckel</w:t>
      </w:r>
      <w:proofErr w:type="spellEnd"/>
      <w:r w:rsidRPr="00E57D5F">
        <w:rPr>
          <w:rStyle w:val="FootnoteReference"/>
          <w:rFonts w:ascii="Cambria" w:hAnsi="Cambria"/>
          <w:sz w:val="20"/>
        </w:rPr>
        <w:footnoteReference w:id="62"/>
      </w:r>
      <w:r w:rsidRPr="00E57D5F">
        <w:rPr>
          <w:rFonts w:ascii="Cambria" w:hAnsi="Cambria"/>
          <w:sz w:val="20"/>
        </w:rPr>
        <w:t>. El Ministerio notó que la Dirección General de Asuntos Jurídicos del Ministerio consideró que el reclamo era procedente</w:t>
      </w:r>
      <w:r w:rsidRPr="00E57D5F">
        <w:rPr>
          <w:rStyle w:val="FootnoteReference"/>
          <w:rFonts w:ascii="Cambria" w:hAnsi="Cambria"/>
          <w:sz w:val="20"/>
        </w:rPr>
        <w:footnoteReference w:id="63"/>
      </w:r>
      <w:r w:rsidRPr="00E57D5F">
        <w:rPr>
          <w:rFonts w:ascii="Cambria" w:hAnsi="Cambria"/>
          <w:sz w:val="20"/>
        </w:rPr>
        <w:t xml:space="preserve">. Señaló que, no obstante, la Procuración del Tesoro de la Nación emitió un dictamen en un caso análogo al presente – en referencia al caso de la señora </w:t>
      </w:r>
      <w:proofErr w:type="spellStart"/>
      <w:r w:rsidRPr="00E57D5F">
        <w:rPr>
          <w:rFonts w:ascii="Cambria" w:hAnsi="Cambria"/>
          <w:sz w:val="20"/>
        </w:rPr>
        <w:t>Perrone</w:t>
      </w:r>
      <w:proofErr w:type="spellEnd"/>
      <w:r w:rsidRPr="00E57D5F">
        <w:rPr>
          <w:rFonts w:ascii="Cambria" w:hAnsi="Cambria"/>
          <w:sz w:val="20"/>
        </w:rPr>
        <w:t xml:space="preserve"> – en el cual consideró que no era viable pagar los haberes laborales dejados de percibir durante el tiempo que no asistieron a su centro de labores</w:t>
      </w:r>
      <w:r w:rsidRPr="00E57D5F">
        <w:rPr>
          <w:rStyle w:val="FootnoteReference"/>
          <w:rFonts w:ascii="Cambria" w:hAnsi="Cambria"/>
          <w:sz w:val="20"/>
        </w:rPr>
        <w:footnoteReference w:id="64"/>
      </w:r>
      <w:r w:rsidRPr="00E57D5F">
        <w:rPr>
          <w:rFonts w:ascii="Cambria" w:hAnsi="Cambria"/>
          <w:sz w:val="20"/>
        </w:rPr>
        <w:t xml:space="preserve">. </w:t>
      </w:r>
    </w:p>
    <w:p w:rsidR="007A61F8" w:rsidRPr="00E57D5F" w:rsidRDefault="007A61F8" w:rsidP="007A61F8">
      <w:pPr>
        <w:pStyle w:val="Heading3"/>
        <w:rPr>
          <w:b w:val="0"/>
          <w:iCs/>
        </w:rPr>
      </w:pPr>
    </w:p>
    <w:p w:rsidR="007A61F8" w:rsidRPr="00E57D5F" w:rsidRDefault="007A61F8" w:rsidP="00D869B9">
      <w:pPr>
        <w:pStyle w:val="Heading3"/>
        <w:numPr>
          <w:ilvl w:val="0"/>
          <w:numId w:val="56"/>
        </w:numPr>
        <w:ind w:left="1440" w:hanging="720"/>
        <w:rPr>
          <w:iCs/>
        </w:rPr>
      </w:pPr>
      <w:bookmarkStart w:id="39" w:name="_Toc476667881"/>
      <w:r w:rsidRPr="00E57D5F">
        <w:rPr>
          <w:iCs/>
        </w:rPr>
        <w:t>Procedimiento judicial</w:t>
      </w:r>
      <w:bookmarkEnd w:id="39"/>
    </w:p>
    <w:p w:rsidR="007A61F8" w:rsidRPr="00E57D5F" w:rsidRDefault="007A61F8" w:rsidP="007A61F8">
      <w:pPr>
        <w:rPr>
          <w:sz w:val="20"/>
          <w:szCs w:val="20"/>
          <w:lang w:val="es-ES"/>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E57D5F">
        <w:rPr>
          <w:rFonts w:ascii="Cambria" w:hAnsi="Cambria"/>
          <w:sz w:val="20"/>
          <w:szCs w:val="20"/>
        </w:rPr>
        <w:t xml:space="preserve">El 24 de junio de 1988 la </w:t>
      </w:r>
      <w:r w:rsidRPr="00E57D5F">
        <w:rPr>
          <w:rFonts w:ascii="Cambria" w:hAnsi="Cambria"/>
          <w:sz w:val="20"/>
        </w:rPr>
        <w:t xml:space="preserve">señora </w:t>
      </w:r>
      <w:proofErr w:type="spellStart"/>
      <w:r w:rsidRPr="00E57D5F">
        <w:rPr>
          <w:rFonts w:ascii="Cambria" w:hAnsi="Cambria"/>
          <w:sz w:val="20"/>
        </w:rPr>
        <w:t>Perrone</w:t>
      </w:r>
      <w:proofErr w:type="spellEnd"/>
      <w:r w:rsidRPr="00E57D5F">
        <w:rPr>
          <w:rFonts w:ascii="Cambria" w:hAnsi="Cambria"/>
          <w:sz w:val="20"/>
        </w:rPr>
        <w:t xml:space="preserve"> y el señor </w:t>
      </w:r>
      <w:proofErr w:type="spellStart"/>
      <w:r w:rsidRPr="00E57D5F">
        <w:rPr>
          <w:rFonts w:ascii="Cambria" w:hAnsi="Cambria"/>
          <w:sz w:val="20"/>
        </w:rPr>
        <w:t>Preckel</w:t>
      </w:r>
      <w:proofErr w:type="spellEnd"/>
      <w:r w:rsidRPr="00E57D5F">
        <w:rPr>
          <w:rFonts w:ascii="Cambria" w:hAnsi="Cambria"/>
          <w:sz w:val="20"/>
        </w:rPr>
        <w:t xml:space="preserve"> presentaron demanda</w:t>
      </w:r>
      <w:r w:rsidR="00BB5F8D" w:rsidRPr="00E57D5F">
        <w:rPr>
          <w:rFonts w:ascii="Cambria" w:hAnsi="Cambria"/>
          <w:sz w:val="20"/>
        </w:rPr>
        <w:t>s</w:t>
      </w:r>
      <w:r w:rsidRPr="00E57D5F">
        <w:rPr>
          <w:rFonts w:ascii="Cambria" w:hAnsi="Cambria"/>
          <w:sz w:val="20"/>
        </w:rPr>
        <w:t>, respectivamente, ante el juez federal en contra del Estado Nacional – Dirección General Impositiva</w:t>
      </w:r>
      <w:r w:rsidRPr="00E57D5F">
        <w:rPr>
          <w:rStyle w:val="FootnoteReference"/>
          <w:rFonts w:ascii="Cambria" w:hAnsi="Cambria"/>
          <w:sz w:val="20"/>
        </w:rPr>
        <w:footnoteReference w:id="65"/>
      </w:r>
      <w:r w:rsidRPr="00E57D5F">
        <w:rPr>
          <w:rFonts w:ascii="Cambria" w:hAnsi="Cambria"/>
          <w:sz w:val="20"/>
        </w:rPr>
        <w:t xml:space="preserve">. </w:t>
      </w: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E57D5F">
        <w:rPr>
          <w:rFonts w:ascii="Cambria" w:hAnsi="Cambria"/>
          <w:sz w:val="20"/>
        </w:rPr>
        <w:t xml:space="preserve">Las demandas se fundamentaron en el artículo 14.c del </w:t>
      </w:r>
      <w:r w:rsidRPr="00E57D5F">
        <w:rPr>
          <w:rFonts w:ascii="Cambria" w:hAnsi="Cambria"/>
          <w:sz w:val="20"/>
          <w:lang w:val="es-ES"/>
        </w:rPr>
        <w:t xml:space="preserve">Régimen de Licencias, Justificaciones y Franquicias de la Administración Pública Nacional - </w:t>
      </w:r>
      <w:r w:rsidRPr="00E57D5F">
        <w:rPr>
          <w:rFonts w:ascii="Cambria" w:hAnsi="Cambria"/>
          <w:sz w:val="20"/>
        </w:rPr>
        <w:t>Decreto 3413 de 1979</w:t>
      </w:r>
      <w:r w:rsidRPr="00E57D5F">
        <w:rPr>
          <w:rStyle w:val="FootnoteReference"/>
          <w:rFonts w:ascii="Cambria" w:hAnsi="Cambria"/>
          <w:sz w:val="20"/>
        </w:rPr>
        <w:footnoteReference w:id="66"/>
      </w:r>
      <w:r w:rsidRPr="00E57D5F">
        <w:rPr>
          <w:rFonts w:ascii="Cambria" w:hAnsi="Cambria"/>
          <w:sz w:val="20"/>
        </w:rPr>
        <w:t>. Dicha disposición señala lo siguiente:</w:t>
      </w:r>
    </w:p>
    <w:p w:rsidR="007A61F8" w:rsidRPr="00E57D5F" w:rsidRDefault="007A61F8" w:rsidP="007A61F8">
      <w:pPr>
        <w:pStyle w:val="ListParagraph"/>
        <w:rPr>
          <w:rFonts w:ascii="Cambria" w:hAnsi="Cambria"/>
          <w:sz w:val="20"/>
          <w:lang w:val="es-ES_tradnl"/>
        </w:rPr>
      </w:pPr>
    </w:p>
    <w:p w:rsidR="007A61F8" w:rsidRPr="00E57D5F" w:rsidRDefault="007A61F8" w:rsidP="007A61F8">
      <w:pPr>
        <w:pStyle w:val="ListParagraph"/>
        <w:ind w:right="720"/>
        <w:jc w:val="both"/>
        <w:rPr>
          <w:rFonts w:ascii="Cambria" w:hAnsi="Cambria"/>
          <w:sz w:val="20"/>
          <w:lang w:val="es-ES_tradnl"/>
        </w:rPr>
      </w:pPr>
      <w:r w:rsidRPr="00E57D5F">
        <w:rPr>
          <w:rFonts w:ascii="Cambria" w:hAnsi="Cambria"/>
          <w:sz w:val="20"/>
          <w:lang w:val="es-ES_tradnl"/>
        </w:rPr>
        <w:lastRenderedPageBreak/>
        <w:t>Art. 14. Los agentes tienen derecho a la justificación con goce de haberes de las inasistencias en que incurran por las siguientes causas, y con las limitaciones que en cada caso se establecen:</w:t>
      </w:r>
    </w:p>
    <w:p w:rsidR="002477FD" w:rsidRDefault="002477FD" w:rsidP="007A61F8">
      <w:pPr>
        <w:pStyle w:val="ListParagraph"/>
        <w:ind w:right="720"/>
        <w:jc w:val="both"/>
        <w:rPr>
          <w:rFonts w:ascii="Cambria" w:hAnsi="Cambria"/>
          <w:sz w:val="20"/>
          <w:lang w:val="es-ES_tradnl"/>
        </w:rPr>
      </w:pPr>
    </w:p>
    <w:p w:rsidR="007A61F8" w:rsidRPr="00E57D5F" w:rsidRDefault="007A61F8" w:rsidP="007A61F8">
      <w:pPr>
        <w:pStyle w:val="ListParagraph"/>
        <w:ind w:right="720"/>
        <w:jc w:val="both"/>
        <w:rPr>
          <w:rFonts w:ascii="Cambria" w:hAnsi="Cambria"/>
          <w:sz w:val="20"/>
          <w:lang w:val="es-ES"/>
        </w:rPr>
      </w:pPr>
      <w:r w:rsidRPr="00E57D5F">
        <w:rPr>
          <w:rFonts w:ascii="Cambria" w:hAnsi="Cambria"/>
          <w:sz w:val="20"/>
          <w:lang w:val="es-ES_tradnl"/>
        </w:rPr>
        <w:t>c) Razones especiales. Inasistencias motivadas por fenómenos meteorológicos y casos de fuerza mayor, debidamente comprobados</w:t>
      </w:r>
      <w:r w:rsidRPr="00E57D5F">
        <w:rPr>
          <w:rStyle w:val="FootnoteReference"/>
          <w:rFonts w:ascii="Cambria" w:hAnsi="Cambria"/>
          <w:sz w:val="20"/>
          <w:lang w:val="es-ES_tradnl"/>
        </w:rPr>
        <w:footnoteReference w:id="67"/>
      </w:r>
      <w:r w:rsidRPr="00E57D5F">
        <w:rPr>
          <w:rFonts w:ascii="Cambria" w:hAnsi="Cambria"/>
          <w:sz w:val="20"/>
          <w:lang w:val="es-ES_tradnl"/>
        </w:rPr>
        <w:t>.</w:t>
      </w: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E57D5F">
        <w:rPr>
          <w:rFonts w:ascii="Cambria" w:hAnsi="Cambria"/>
          <w:sz w:val="20"/>
          <w:lang w:val="es-ES"/>
        </w:rPr>
        <w:t xml:space="preserve">En las demandas </w:t>
      </w:r>
      <w:r w:rsidR="00BB5F8D" w:rsidRPr="00E57D5F">
        <w:rPr>
          <w:rFonts w:ascii="Cambria" w:hAnsi="Cambria"/>
          <w:sz w:val="20"/>
          <w:lang w:val="es-ES"/>
        </w:rPr>
        <w:t>s</w:t>
      </w:r>
      <w:r w:rsidRPr="00E57D5F">
        <w:rPr>
          <w:rFonts w:ascii="Cambria" w:hAnsi="Cambria"/>
          <w:sz w:val="20"/>
          <w:lang w:val="es-ES"/>
        </w:rPr>
        <w:t xml:space="preserve">e indicó que dicha disposición </w:t>
      </w:r>
      <w:r w:rsidRPr="00E57D5F">
        <w:rPr>
          <w:rFonts w:ascii="Cambria" w:hAnsi="Cambria"/>
          <w:sz w:val="20"/>
        </w:rPr>
        <w:t>justificaba el pago de haberes cuando las inasistencias de los agentes de la Dirección General Impositiva estuvieran motivadas por fenómenos meteorológicos y en casos de fuerza mayor debidamente comprobados</w:t>
      </w:r>
      <w:r w:rsidRPr="00E57D5F">
        <w:rPr>
          <w:rStyle w:val="FootnoteReference"/>
          <w:rFonts w:ascii="Cambria" w:hAnsi="Cambria"/>
          <w:sz w:val="20"/>
        </w:rPr>
        <w:footnoteReference w:id="68"/>
      </w:r>
      <w:r w:rsidRPr="00E57D5F">
        <w:rPr>
          <w:rFonts w:ascii="Cambria" w:hAnsi="Cambria"/>
          <w:sz w:val="20"/>
        </w:rPr>
        <w:t>. Señalaron que la existencia, vigencia y aplicación de la Circular No. 5/77 citada por las autoridades administrativas para rechazar su reclamo, no obstaba el reconocimiento demandado, debido a que dicha circular señala que no corresponde el pago de salarios dejados de percibir por inasistencia, salvo la existencia de una norma que exprese lo contrario</w:t>
      </w:r>
      <w:r w:rsidRPr="00E57D5F">
        <w:rPr>
          <w:rStyle w:val="FootnoteReference"/>
          <w:rFonts w:ascii="Cambria" w:hAnsi="Cambria"/>
          <w:sz w:val="20"/>
        </w:rPr>
        <w:footnoteReference w:id="69"/>
      </w:r>
      <w:r w:rsidRPr="00E57D5F">
        <w:rPr>
          <w:rFonts w:ascii="Cambria" w:hAnsi="Cambria"/>
          <w:sz w:val="20"/>
        </w:rPr>
        <w:t xml:space="preserve">. Indicaron que precisamente el artículo 14.c del </w:t>
      </w:r>
      <w:r w:rsidRPr="00E57D5F">
        <w:rPr>
          <w:rFonts w:ascii="Cambria" w:hAnsi="Cambria"/>
          <w:sz w:val="20"/>
          <w:lang w:val="es-ES"/>
        </w:rPr>
        <w:t>Régimen de Licencias, Justificaciones y Franquicias de la Administración Pública Nacional permite dicha excepción bajo la figura de fuerza mayor</w:t>
      </w:r>
      <w:r w:rsidRPr="00E57D5F">
        <w:rPr>
          <w:rStyle w:val="FootnoteReference"/>
          <w:rFonts w:ascii="Cambria" w:hAnsi="Cambria"/>
          <w:sz w:val="20"/>
        </w:rPr>
        <w:footnoteReference w:id="70"/>
      </w:r>
      <w:r w:rsidRPr="00E57D5F">
        <w:rPr>
          <w:rFonts w:ascii="Cambria" w:hAnsi="Cambria"/>
          <w:sz w:val="20"/>
          <w:lang w:val="es-ES"/>
        </w:rPr>
        <w:t>.</w:t>
      </w: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E57D5F">
        <w:rPr>
          <w:rFonts w:ascii="Cambria" w:hAnsi="Cambria"/>
          <w:sz w:val="20"/>
        </w:rPr>
        <w:t xml:space="preserve">En consecuencia, la demanda de la señora </w:t>
      </w:r>
      <w:proofErr w:type="spellStart"/>
      <w:r w:rsidRPr="00E57D5F">
        <w:rPr>
          <w:rFonts w:ascii="Cambria" w:hAnsi="Cambria"/>
          <w:sz w:val="20"/>
        </w:rPr>
        <w:t>Perrone</w:t>
      </w:r>
      <w:proofErr w:type="spellEnd"/>
      <w:r w:rsidRPr="00E57D5F">
        <w:rPr>
          <w:rFonts w:ascii="Cambria" w:hAnsi="Cambria"/>
          <w:sz w:val="20"/>
        </w:rPr>
        <w:t xml:space="preserve"> tuvo como objeto reclamar el pago de los haberes no percibidos entre el 6 de julio de 1976 y el 19 de octubre de 1982, de las licencias que se generaron y no fueron ni gozadas ni abonadas, así como el reconocimiento de la ubicación </w:t>
      </w:r>
      <w:proofErr w:type="spellStart"/>
      <w:r w:rsidRPr="00E57D5F">
        <w:rPr>
          <w:rFonts w:ascii="Cambria" w:hAnsi="Cambria"/>
          <w:sz w:val="20"/>
        </w:rPr>
        <w:t>escalafonaria</w:t>
      </w:r>
      <w:proofErr w:type="spellEnd"/>
      <w:r w:rsidRPr="00E57D5F">
        <w:rPr>
          <w:rFonts w:ascii="Cambria" w:hAnsi="Cambria"/>
          <w:sz w:val="20"/>
        </w:rPr>
        <w:t xml:space="preserve"> a los fines previsionales y no previsionales</w:t>
      </w:r>
      <w:r w:rsidRPr="00E57D5F">
        <w:rPr>
          <w:rStyle w:val="FootnoteReference"/>
          <w:rFonts w:ascii="Cambria" w:hAnsi="Cambria"/>
          <w:sz w:val="20"/>
        </w:rPr>
        <w:footnoteReference w:id="71"/>
      </w:r>
      <w:r w:rsidRPr="00E57D5F">
        <w:rPr>
          <w:rFonts w:ascii="Cambria" w:hAnsi="Cambria"/>
          <w:sz w:val="20"/>
        </w:rPr>
        <w:t xml:space="preserve">. Por su parte, la demanda del señor </w:t>
      </w:r>
      <w:proofErr w:type="spellStart"/>
      <w:r w:rsidRPr="00E57D5F">
        <w:rPr>
          <w:rFonts w:ascii="Cambria" w:hAnsi="Cambria"/>
          <w:sz w:val="20"/>
        </w:rPr>
        <w:t>Preckel</w:t>
      </w:r>
      <w:proofErr w:type="spellEnd"/>
      <w:r w:rsidRPr="00E57D5F">
        <w:rPr>
          <w:rFonts w:ascii="Cambria" w:hAnsi="Cambria"/>
          <w:sz w:val="20"/>
        </w:rPr>
        <w:t xml:space="preserve"> tuvo como objeto reclamar el cobro de los haberes no percibidos entre el 6 de julio de 1976 y el 4 de febrero de 1985, la participación en el Fondo de Estímulo, las licencias que no fueron gozadas y el reconocimiento de la antigüedad a los fines previsionales y no previsionales</w:t>
      </w:r>
      <w:r w:rsidRPr="00E57D5F">
        <w:rPr>
          <w:rStyle w:val="FootnoteReference"/>
          <w:rFonts w:ascii="Cambria" w:hAnsi="Cambria"/>
          <w:sz w:val="20"/>
        </w:rPr>
        <w:footnoteReference w:id="72"/>
      </w:r>
      <w:r w:rsidRPr="00E57D5F">
        <w:rPr>
          <w:rFonts w:ascii="Cambria" w:hAnsi="Cambria"/>
          <w:sz w:val="20"/>
        </w:rPr>
        <w:t>.</w:t>
      </w:r>
    </w:p>
    <w:p w:rsidR="007A61F8" w:rsidRPr="00E57D5F" w:rsidRDefault="007A61F8" w:rsidP="007A61F8">
      <w:pPr>
        <w:rPr>
          <w:sz w:val="20"/>
          <w:szCs w:val="20"/>
          <w:lang w:val="es-ES"/>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E57D5F">
        <w:rPr>
          <w:rFonts w:ascii="Cambria" w:hAnsi="Cambria"/>
          <w:sz w:val="20"/>
          <w:szCs w:val="20"/>
        </w:rPr>
        <w:t xml:space="preserve">El 6 y 12 de febrero de 1992 el Juez Federal denegó las reclamaciones de la señora </w:t>
      </w:r>
      <w:proofErr w:type="spellStart"/>
      <w:r w:rsidRPr="00E57D5F">
        <w:rPr>
          <w:rFonts w:ascii="Cambria" w:hAnsi="Cambria"/>
          <w:sz w:val="20"/>
          <w:szCs w:val="20"/>
        </w:rPr>
        <w:t>Perrone</w:t>
      </w:r>
      <w:proofErr w:type="spellEnd"/>
      <w:r w:rsidRPr="00E57D5F">
        <w:rPr>
          <w:rFonts w:ascii="Cambria" w:hAnsi="Cambria"/>
          <w:sz w:val="20"/>
          <w:szCs w:val="20"/>
        </w:rPr>
        <w:t xml:space="preserve"> y el señor </w:t>
      </w:r>
      <w:proofErr w:type="spellStart"/>
      <w:r w:rsidRPr="00E57D5F">
        <w:rPr>
          <w:rFonts w:ascii="Cambria" w:hAnsi="Cambria"/>
          <w:sz w:val="20"/>
          <w:szCs w:val="20"/>
        </w:rPr>
        <w:t>Preckel</w:t>
      </w:r>
      <w:proofErr w:type="spellEnd"/>
      <w:r w:rsidRPr="00E57D5F">
        <w:rPr>
          <w:rFonts w:ascii="Cambria" w:hAnsi="Cambria"/>
          <w:sz w:val="20"/>
          <w:szCs w:val="20"/>
        </w:rPr>
        <w:t>, respectivamente</w:t>
      </w:r>
      <w:r w:rsidRPr="00E57D5F">
        <w:rPr>
          <w:rStyle w:val="FootnoteReference"/>
          <w:rFonts w:ascii="Cambria" w:hAnsi="Cambria"/>
          <w:sz w:val="20"/>
          <w:szCs w:val="20"/>
        </w:rPr>
        <w:footnoteReference w:id="73"/>
      </w:r>
      <w:r w:rsidRPr="00E57D5F">
        <w:rPr>
          <w:rFonts w:ascii="Cambria" w:hAnsi="Cambria"/>
          <w:sz w:val="20"/>
          <w:szCs w:val="20"/>
        </w:rPr>
        <w:t>. El Juez consideró lo siguiente:</w:t>
      </w:r>
    </w:p>
    <w:p w:rsidR="007A61F8" w:rsidRPr="00E57D5F" w:rsidRDefault="007A61F8" w:rsidP="007A61F8">
      <w:pPr>
        <w:pStyle w:val="ListParagraph"/>
        <w:rPr>
          <w:rFonts w:ascii="Cambria" w:hAnsi="Cambria"/>
          <w:sz w:val="20"/>
          <w:szCs w:val="20"/>
          <w:lang w:val="es-ES"/>
        </w:rPr>
      </w:pP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rPr>
      </w:pPr>
      <w:r w:rsidRPr="00E57D5F">
        <w:rPr>
          <w:rFonts w:ascii="Cambria" w:hAnsi="Cambria"/>
          <w:sz w:val="20"/>
          <w:szCs w:val="20"/>
        </w:rPr>
        <w:t>En verdad debe admitirse que no fue la D.G.I. la que dispuso el arresto, luego considerado injustificado, y que fue el mismo P.E.N. a través del Ministerio del Interior, el que realizó y provocó el estado de cosas que perjudicó a la actora. (…)</w:t>
      </w:r>
    </w:p>
    <w:p w:rsidR="002477FD" w:rsidRDefault="002477FD"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rPr>
      </w:pP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rPr>
      </w:pPr>
      <w:r w:rsidRPr="00E57D5F">
        <w:rPr>
          <w:rFonts w:ascii="Cambria" w:hAnsi="Cambria"/>
          <w:sz w:val="20"/>
          <w:szCs w:val="20"/>
        </w:rPr>
        <w:t>La circular 5/77 y el Reglamento de Investigaciones Administrativas (art. 39a) establecieron que, a la no prestación de trabajo le habrá de corresponder el no abono de los mismos. (…)</w:t>
      </w: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rPr>
      </w:pPr>
      <w:r w:rsidRPr="00E57D5F">
        <w:rPr>
          <w:rFonts w:ascii="Cambria" w:hAnsi="Cambria"/>
          <w:sz w:val="20"/>
          <w:szCs w:val="20"/>
        </w:rPr>
        <w:t>Es doctrina de la Corte Suprema que, salvo disposición expresa y específica para el caso, no procede el pago de sueldos por funciones no desempeñadas. (…)</w:t>
      </w:r>
    </w:p>
    <w:p w:rsidR="002477FD" w:rsidRDefault="002477FD"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rPr>
      </w:pP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rPr>
      </w:pPr>
      <w:r w:rsidRPr="00E57D5F">
        <w:rPr>
          <w:rFonts w:ascii="Cambria" w:hAnsi="Cambria"/>
          <w:sz w:val="20"/>
          <w:szCs w:val="20"/>
        </w:rPr>
        <w:t xml:space="preserve">(…) es evidente que el sumario llevado a cabo en sede administrativa en nada influyó para que se concretara el perjuicio del demandante y es también claro que las normas de la circular 5/77 y el art. 39 inc. A de la Reglamentación ya referida, impedían la recuperación o </w:t>
      </w:r>
      <w:r w:rsidRPr="00E57D5F">
        <w:rPr>
          <w:rFonts w:ascii="Cambria" w:hAnsi="Cambria"/>
          <w:sz w:val="20"/>
          <w:szCs w:val="20"/>
        </w:rPr>
        <w:lastRenderedPageBreak/>
        <w:t>abono de los salarios caídos; estos preceptos no fueron impugnados por la accionante quien, por otra parte, no pidió indemnización por las pérdidas sufridas en razón de su injustificada detención (…).</w:t>
      </w:r>
    </w:p>
    <w:p w:rsidR="002477FD" w:rsidRDefault="002477FD"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rPr>
      </w:pP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rPr>
      </w:pPr>
      <w:r w:rsidRPr="00E57D5F">
        <w:rPr>
          <w:rFonts w:ascii="Cambria" w:hAnsi="Cambria"/>
          <w:sz w:val="20"/>
          <w:szCs w:val="20"/>
        </w:rPr>
        <w:t>Por otra parte se hace difícil aceptar, aun perteneciendo a la D.G.I. al Estado Nacional, que el reclamo, que pudo interponerse, en virtud del principio de “</w:t>
      </w:r>
      <w:proofErr w:type="spellStart"/>
      <w:r w:rsidRPr="00E57D5F">
        <w:rPr>
          <w:rFonts w:ascii="Cambria" w:hAnsi="Cambria"/>
          <w:sz w:val="20"/>
          <w:szCs w:val="20"/>
        </w:rPr>
        <w:t>iura</w:t>
      </w:r>
      <w:proofErr w:type="spellEnd"/>
      <w:r w:rsidRPr="00E57D5F">
        <w:rPr>
          <w:rFonts w:ascii="Cambria" w:hAnsi="Cambria"/>
          <w:sz w:val="20"/>
          <w:szCs w:val="20"/>
        </w:rPr>
        <w:t xml:space="preserve"> </w:t>
      </w:r>
      <w:proofErr w:type="spellStart"/>
      <w:r w:rsidRPr="00E57D5F">
        <w:rPr>
          <w:rFonts w:ascii="Cambria" w:hAnsi="Cambria"/>
          <w:sz w:val="20"/>
          <w:szCs w:val="20"/>
        </w:rPr>
        <w:t>novit</w:t>
      </w:r>
      <w:proofErr w:type="spellEnd"/>
      <w:r w:rsidRPr="00E57D5F">
        <w:rPr>
          <w:rFonts w:ascii="Cambria" w:hAnsi="Cambria"/>
          <w:sz w:val="20"/>
          <w:szCs w:val="20"/>
        </w:rPr>
        <w:t xml:space="preserve"> curia” como una acción por daños y perjuicios (…) comprendía “in </w:t>
      </w:r>
      <w:proofErr w:type="spellStart"/>
      <w:r w:rsidRPr="00E57D5F">
        <w:rPr>
          <w:rFonts w:ascii="Cambria" w:hAnsi="Cambria"/>
          <w:sz w:val="20"/>
          <w:szCs w:val="20"/>
        </w:rPr>
        <w:t>integrum</w:t>
      </w:r>
      <w:proofErr w:type="spellEnd"/>
      <w:r w:rsidRPr="00E57D5F">
        <w:rPr>
          <w:rFonts w:ascii="Cambria" w:hAnsi="Cambria"/>
          <w:sz w:val="20"/>
          <w:szCs w:val="20"/>
        </w:rPr>
        <w:t>” al Estado Nacional en su función de gobernante; es decir; sería como admitir que la D.G.I. tuviera que responder por actos eminentemente políticos del propio Poder Ejecutivo</w:t>
      </w:r>
      <w:r w:rsidRPr="00E57D5F">
        <w:rPr>
          <w:rStyle w:val="FootnoteReference"/>
          <w:rFonts w:ascii="Cambria" w:hAnsi="Cambria"/>
          <w:sz w:val="20"/>
          <w:szCs w:val="20"/>
        </w:rPr>
        <w:footnoteReference w:id="74"/>
      </w:r>
      <w:r w:rsidRPr="00E57D5F">
        <w:rPr>
          <w:rFonts w:ascii="Cambria" w:hAnsi="Cambria"/>
          <w:sz w:val="20"/>
          <w:szCs w:val="20"/>
        </w:rPr>
        <w:t>.</w:t>
      </w:r>
    </w:p>
    <w:p w:rsidR="007A61F8" w:rsidRPr="00E57D5F" w:rsidRDefault="007A61F8" w:rsidP="007A61F8">
      <w:pPr>
        <w:pStyle w:val="ListParagraph"/>
        <w:rPr>
          <w:rFonts w:ascii="Cambria" w:hAnsi="Cambria"/>
          <w:sz w:val="20"/>
          <w:szCs w:val="20"/>
          <w:lang w:val="es-ES"/>
        </w:rPr>
      </w:pPr>
    </w:p>
    <w:p w:rsidR="007A61F8" w:rsidRPr="00E57D5F" w:rsidRDefault="007A61F8" w:rsidP="0091158C">
      <w:pPr>
        <w:pStyle w:val="ListParagraph"/>
        <w:numPr>
          <w:ilvl w:val="1"/>
          <w:numId w:val="53"/>
        </w:numPr>
        <w:ind w:left="1440" w:hanging="720"/>
        <w:rPr>
          <w:rFonts w:ascii="Cambria" w:hAnsi="Cambria"/>
          <w:b/>
          <w:sz w:val="20"/>
          <w:szCs w:val="20"/>
          <w:lang w:val="es-ES"/>
        </w:rPr>
      </w:pPr>
      <w:r w:rsidRPr="00E57D5F">
        <w:rPr>
          <w:rFonts w:ascii="Cambria" w:hAnsi="Cambria"/>
          <w:b/>
          <w:sz w:val="20"/>
          <w:szCs w:val="20"/>
          <w:lang w:val="es-ES"/>
        </w:rPr>
        <w:t xml:space="preserve">Recursos en la causa seguida por Juan José </w:t>
      </w:r>
      <w:proofErr w:type="spellStart"/>
      <w:r w:rsidRPr="00E57D5F">
        <w:rPr>
          <w:rFonts w:ascii="Cambria" w:hAnsi="Cambria"/>
          <w:b/>
          <w:sz w:val="20"/>
          <w:szCs w:val="20"/>
          <w:lang w:val="es-ES"/>
        </w:rPr>
        <w:t>Preckel</w:t>
      </w:r>
      <w:proofErr w:type="spellEnd"/>
    </w:p>
    <w:p w:rsidR="007A61F8" w:rsidRPr="00E57D5F" w:rsidRDefault="007A61F8" w:rsidP="007A61F8">
      <w:pPr>
        <w:pStyle w:val="ListParagraph"/>
        <w:rPr>
          <w:rFonts w:ascii="Cambria" w:hAnsi="Cambria"/>
          <w:sz w:val="20"/>
          <w:szCs w:val="20"/>
          <w:lang w:val="es-ES"/>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E57D5F">
        <w:rPr>
          <w:rFonts w:ascii="Cambria" w:hAnsi="Cambria"/>
          <w:sz w:val="20"/>
        </w:rPr>
        <w:t xml:space="preserve">En la causa seguida por el señor </w:t>
      </w:r>
      <w:proofErr w:type="spellStart"/>
      <w:r w:rsidRPr="00E57D5F">
        <w:rPr>
          <w:rFonts w:ascii="Cambria" w:hAnsi="Cambria"/>
          <w:sz w:val="20"/>
        </w:rPr>
        <w:t>Preckel</w:t>
      </w:r>
      <w:proofErr w:type="spellEnd"/>
      <w:r w:rsidRPr="00E57D5F">
        <w:rPr>
          <w:rFonts w:ascii="Cambria" w:hAnsi="Cambria"/>
          <w:sz w:val="20"/>
        </w:rPr>
        <w:t>, éste apeló la decisión del Juez Federal, argumentando que, al margen de la Circular 5/77, existen “causas particularísimas que habilitaría el abono por servicios no prestados”, tal como lo sería la detención por parte de agentes estatales sin haberse iniciado un proceso en su contra</w:t>
      </w:r>
      <w:r w:rsidRPr="00E57D5F">
        <w:rPr>
          <w:rStyle w:val="FootnoteReference"/>
          <w:rFonts w:ascii="Cambria" w:hAnsi="Cambria"/>
          <w:sz w:val="20"/>
        </w:rPr>
        <w:footnoteReference w:id="75"/>
      </w:r>
      <w:r w:rsidRPr="00E57D5F">
        <w:rPr>
          <w:rFonts w:ascii="Cambria" w:hAnsi="Cambria"/>
          <w:sz w:val="20"/>
        </w:rPr>
        <w:t>. Indicó que, además de ello, dicha circular sí permitiría el abono de los salarios no percibidos por inasistencia cuando exista una norma que así lo permita</w:t>
      </w:r>
      <w:r w:rsidRPr="00E57D5F">
        <w:rPr>
          <w:rStyle w:val="FootnoteReference"/>
          <w:rFonts w:ascii="Cambria" w:hAnsi="Cambria"/>
          <w:sz w:val="20"/>
        </w:rPr>
        <w:footnoteReference w:id="76"/>
      </w:r>
      <w:r w:rsidRPr="00E57D5F">
        <w:rPr>
          <w:rFonts w:ascii="Cambria" w:hAnsi="Cambria"/>
          <w:sz w:val="20"/>
        </w:rPr>
        <w:t xml:space="preserve">. Agregó que precisamente el </w:t>
      </w:r>
      <w:r w:rsidRPr="00E57D5F">
        <w:rPr>
          <w:rFonts w:ascii="Cambria" w:hAnsi="Cambria"/>
          <w:sz w:val="20"/>
          <w:lang w:val="es-ES"/>
        </w:rPr>
        <w:t>Régimen de Licencias, Justificaciones y Franquicias de la Administración Pública Nacional permite el pago de dichos haberes por razones de fuerza mayor, como lo sería la detención arbitraria que sufrió</w:t>
      </w:r>
      <w:r w:rsidRPr="00E57D5F">
        <w:rPr>
          <w:rStyle w:val="FootnoteReference"/>
          <w:rFonts w:ascii="Cambria" w:hAnsi="Cambria"/>
          <w:sz w:val="20"/>
        </w:rPr>
        <w:footnoteReference w:id="77"/>
      </w:r>
      <w:r w:rsidRPr="00E57D5F">
        <w:rPr>
          <w:rFonts w:ascii="Cambria" w:hAnsi="Cambria"/>
          <w:sz w:val="20"/>
          <w:lang w:val="es-ES"/>
        </w:rPr>
        <w:t>.</w:t>
      </w:r>
    </w:p>
    <w:p w:rsidR="007A61F8" w:rsidRPr="00E57D5F" w:rsidRDefault="007A61F8" w:rsidP="007A61F8">
      <w:pPr>
        <w:rPr>
          <w:sz w:val="20"/>
          <w:lang w:val="es-ES"/>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rPr>
      </w:pPr>
      <w:r w:rsidRPr="00E57D5F">
        <w:rPr>
          <w:rFonts w:ascii="Cambria" w:hAnsi="Cambria"/>
          <w:sz w:val="20"/>
          <w:lang w:val="es-ES"/>
        </w:rPr>
        <w:t>E</w:t>
      </w:r>
      <w:r w:rsidRPr="00E57D5F">
        <w:rPr>
          <w:rFonts w:ascii="Cambria" w:hAnsi="Cambria"/>
          <w:sz w:val="20"/>
        </w:rPr>
        <w:t>l 24 de noviembre de 1992 la Cámara de Apelaciones confirmó el fallo de primera instancia, indicando que "no procede el pago de sueldos por servicios no prestados" y que las normas citadas por los reclamantes correspondían al régimen de licencias y justificaciones, supuestos evidentemente distintos al de autos</w:t>
      </w:r>
      <w:r w:rsidRPr="00E57D5F">
        <w:rPr>
          <w:rStyle w:val="FootnoteReference"/>
          <w:rFonts w:ascii="Cambria" w:hAnsi="Cambria"/>
          <w:sz w:val="20"/>
        </w:rPr>
        <w:footnoteReference w:id="78"/>
      </w:r>
      <w:r w:rsidRPr="00E57D5F">
        <w:rPr>
          <w:rFonts w:ascii="Cambria" w:hAnsi="Cambria"/>
          <w:sz w:val="20"/>
        </w:rPr>
        <w:t>. Asimismo, concluyó que no correspondía a la Dirección General Impositiva, entidad autárquica del Estado, soportar la carga del resarcimiento por los daños derivados del eventual comportamiento ilegítimo del Poder Ejecutivo Nacional</w:t>
      </w:r>
      <w:r w:rsidRPr="00E57D5F">
        <w:rPr>
          <w:rStyle w:val="FootnoteReference"/>
          <w:rFonts w:ascii="Cambria" w:hAnsi="Cambria"/>
          <w:sz w:val="20"/>
        </w:rPr>
        <w:footnoteReference w:id="79"/>
      </w:r>
      <w:r w:rsidRPr="00E57D5F">
        <w:rPr>
          <w:rFonts w:ascii="Cambria" w:hAnsi="Cambria"/>
          <w:sz w:val="20"/>
        </w:rPr>
        <w:t xml:space="preserve">. </w:t>
      </w:r>
    </w:p>
    <w:p w:rsidR="007A61F8" w:rsidRPr="00E57D5F" w:rsidRDefault="007A61F8" w:rsidP="007A61F8">
      <w:pPr>
        <w:pStyle w:val="ListParagraph"/>
        <w:rPr>
          <w:rFonts w:ascii="Cambria" w:hAnsi="Cambria"/>
          <w:sz w:val="20"/>
          <w:lang w:val="es-ES"/>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rPr>
      </w:pPr>
      <w:r w:rsidRPr="00E57D5F">
        <w:rPr>
          <w:rFonts w:ascii="Cambria" w:hAnsi="Cambria"/>
          <w:sz w:val="20"/>
        </w:rPr>
        <w:t xml:space="preserve">El mismo día el señor </w:t>
      </w:r>
      <w:proofErr w:type="spellStart"/>
      <w:r w:rsidRPr="00E57D5F">
        <w:rPr>
          <w:rFonts w:ascii="Cambria" w:hAnsi="Cambria"/>
          <w:sz w:val="20"/>
        </w:rPr>
        <w:t>Preckel</w:t>
      </w:r>
      <w:proofErr w:type="spellEnd"/>
      <w:r w:rsidRPr="00E57D5F">
        <w:rPr>
          <w:rFonts w:ascii="Cambria" w:hAnsi="Cambria"/>
          <w:sz w:val="20"/>
        </w:rPr>
        <w:t xml:space="preserve"> presentó un recurso extraordinario de apelación ante la Corte Suprema</w:t>
      </w:r>
      <w:r w:rsidRPr="00E57D5F">
        <w:rPr>
          <w:rStyle w:val="FootnoteReference"/>
          <w:rFonts w:ascii="Cambria" w:hAnsi="Cambria"/>
          <w:sz w:val="20"/>
        </w:rPr>
        <w:footnoteReference w:id="80"/>
      </w:r>
      <w:r w:rsidRPr="00E57D5F">
        <w:rPr>
          <w:rFonts w:ascii="Cambria" w:hAnsi="Cambria"/>
          <w:sz w:val="20"/>
        </w:rPr>
        <w:t xml:space="preserve">. El señor </w:t>
      </w:r>
      <w:proofErr w:type="spellStart"/>
      <w:r w:rsidRPr="00E57D5F">
        <w:rPr>
          <w:rFonts w:ascii="Cambria" w:hAnsi="Cambria"/>
          <w:sz w:val="20"/>
        </w:rPr>
        <w:t>Preckel</w:t>
      </w:r>
      <w:proofErr w:type="spellEnd"/>
      <w:r w:rsidRPr="00E57D5F">
        <w:rPr>
          <w:rFonts w:ascii="Cambria" w:hAnsi="Cambria"/>
          <w:sz w:val="20"/>
        </w:rPr>
        <w:t xml:space="preserve"> alegó que el artículo 14.c del </w:t>
      </w:r>
      <w:r w:rsidRPr="00E57D5F">
        <w:rPr>
          <w:rFonts w:ascii="Cambria" w:hAnsi="Cambria"/>
          <w:sz w:val="20"/>
          <w:lang w:val="es-ES"/>
        </w:rPr>
        <w:t>Régimen de Licencias, Justificaciones y Franquicias de la Administración Pública Nacional</w:t>
      </w:r>
      <w:r w:rsidRPr="00E57D5F">
        <w:rPr>
          <w:rFonts w:ascii="Cambria" w:hAnsi="Cambria"/>
          <w:sz w:val="20"/>
        </w:rPr>
        <w:t xml:space="preserve"> y el artículo 192.a de la Convención Colectiva de Trabajo No. 46/75E declaran “el derecho de los agentes a la justificación y la percepción de haberes por las inasistencias en que incurrieran en casos de fuerza mayor debidamente comprobados”</w:t>
      </w:r>
      <w:r w:rsidRPr="00E57D5F">
        <w:rPr>
          <w:rStyle w:val="FootnoteReference"/>
          <w:rFonts w:ascii="Cambria" w:hAnsi="Cambria"/>
          <w:sz w:val="20"/>
        </w:rPr>
        <w:footnoteReference w:id="81"/>
      </w:r>
      <w:r w:rsidRPr="00E57D5F">
        <w:rPr>
          <w:rFonts w:ascii="Cambria" w:hAnsi="Cambria"/>
          <w:sz w:val="20"/>
        </w:rPr>
        <w:t>. Sostuvo que la normativa citada constituye una excepción a la Circular 5/77 y debía ser aplicada al presente asunto</w:t>
      </w:r>
      <w:r w:rsidRPr="00E57D5F">
        <w:rPr>
          <w:rStyle w:val="FootnoteReference"/>
          <w:rFonts w:ascii="Cambria" w:hAnsi="Cambria"/>
          <w:sz w:val="20"/>
        </w:rPr>
        <w:footnoteReference w:id="82"/>
      </w:r>
      <w:r w:rsidRPr="00E57D5F">
        <w:rPr>
          <w:rFonts w:ascii="Cambria" w:hAnsi="Cambria"/>
          <w:sz w:val="20"/>
        </w:rPr>
        <w:t>.</w:t>
      </w:r>
    </w:p>
    <w:p w:rsidR="007A61F8" w:rsidRPr="00E57D5F" w:rsidRDefault="007A61F8" w:rsidP="007A61F8">
      <w:pPr>
        <w:pStyle w:val="ListParagraph"/>
        <w:rPr>
          <w:rFonts w:ascii="Cambria" w:hAnsi="Cambria"/>
          <w:sz w:val="20"/>
          <w:lang w:val="es-CO"/>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rPr>
      </w:pPr>
      <w:r w:rsidRPr="00E57D5F">
        <w:rPr>
          <w:rFonts w:ascii="Cambria" w:hAnsi="Cambria"/>
          <w:sz w:val="20"/>
        </w:rPr>
        <w:lastRenderedPageBreak/>
        <w:t xml:space="preserve">El 4 de marzo de 1993 la Sala Contencioso Administrativo declaró sin lugar el recurso presentado por el señor </w:t>
      </w:r>
      <w:proofErr w:type="spellStart"/>
      <w:r w:rsidRPr="00E57D5F">
        <w:rPr>
          <w:rFonts w:ascii="Cambria" w:hAnsi="Cambria"/>
          <w:sz w:val="20"/>
        </w:rPr>
        <w:t>Preckel</w:t>
      </w:r>
      <w:proofErr w:type="spellEnd"/>
      <w:r w:rsidRPr="00E57D5F">
        <w:rPr>
          <w:rStyle w:val="FootnoteReference"/>
          <w:rFonts w:ascii="Cambria" w:hAnsi="Cambria"/>
          <w:sz w:val="20"/>
        </w:rPr>
        <w:footnoteReference w:id="83"/>
      </w:r>
      <w:r w:rsidRPr="00E57D5F">
        <w:rPr>
          <w:rFonts w:ascii="Cambria" w:hAnsi="Cambria"/>
          <w:sz w:val="20"/>
        </w:rPr>
        <w:t xml:space="preserve">. La Sala sostuvo que el señor </w:t>
      </w:r>
      <w:proofErr w:type="spellStart"/>
      <w:r w:rsidRPr="00E57D5F">
        <w:rPr>
          <w:rFonts w:ascii="Cambria" w:hAnsi="Cambria"/>
          <w:sz w:val="20"/>
        </w:rPr>
        <w:t>Preckel</w:t>
      </w:r>
      <w:proofErr w:type="spellEnd"/>
      <w:r w:rsidRPr="00E57D5F">
        <w:rPr>
          <w:rFonts w:ascii="Cambria" w:hAnsi="Cambria"/>
          <w:sz w:val="20"/>
        </w:rPr>
        <w:t xml:space="preserve"> se limitó “a discrepar con la valoración de </w:t>
      </w:r>
      <w:r w:rsidRPr="00E57D5F">
        <w:rPr>
          <w:rFonts w:ascii="Cambria" w:hAnsi="Cambria" w:cs="Arial"/>
          <w:sz w:val="20"/>
        </w:rPr>
        <w:t xml:space="preserve">[la decisión recurrida], sin que se advierta que </w:t>
      </w:r>
      <w:proofErr w:type="spellStart"/>
      <w:r w:rsidRPr="00E57D5F">
        <w:rPr>
          <w:rFonts w:ascii="Cambria" w:hAnsi="Cambria" w:cs="Arial"/>
          <w:sz w:val="20"/>
        </w:rPr>
        <w:t>ést</w:t>
      </w:r>
      <w:proofErr w:type="spellEnd"/>
      <w:r w:rsidRPr="00E57D5F">
        <w:rPr>
          <w:rFonts w:ascii="Cambria" w:hAnsi="Cambria" w:cs="Arial"/>
          <w:sz w:val="20"/>
        </w:rPr>
        <w:t xml:space="preserve">[a] resulte prima </w:t>
      </w:r>
      <w:proofErr w:type="spellStart"/>
      <w:r w:rsidRPr="00E57D5F">
        <w:rPr>
          <w:rFonts w:ascii="Cambria" w:hAnsi="Cambria" w:cs="Arial"/>
          <w:sz w:val="20"/>
        </w:rPr>
        <w:t>facia</w:t>
      </w:r>
      <w:proofErr w:type="spellEnd"/>
      <w:r w:rsidRPr="00E57D5F">
        <w:rPr>
          <w:rFonts w:ascii="Cambria" w:hAnsi="Cambria" w:cs="Arial"/>
          <w:sz w:val="20"/>
        </w:rPr>
        <w:t xml:space="preserve"> suficiente para descalificar el fallo recurrido como acto jurisdiccional por la gravedad de los desaciertos que se le imputa</w:t>
      </w:r>
      <w:r w:rsidRPr="00E57D5F">
        <w:rPr>
          <w:rFonts w:ascii="Cambria" w:hAnsi="Cambria"/>
          <w:sz w:val="20"/>
        </w:rPr>
        <w:t>”</w:t>
      </w:r>
      <w:r w:rsidRPr="00E57D5F">
        <w:rPr>
          <w:rStyle w:val="FootnoteReference"/>
          <w:rFonts w:ascii="Cambria" w:hAnsi="Cambria"/>
          <w:sz w:val="20"/>
        </w:rPr>
        <w:footnoteReference w:id="84"/>
      </w:r>
      <w:r w:rsidRPr="00E57D5F">
        <w:rPr>
          <w:rFonts w:ascii="Cambria" w:hAnsi="Cambria"/>
          <w:sz w:val="20"/>
        </w:rPr>
        <w:t>.</w:t>
      </w:r>
    </w:p>
    <w:p w:rsidR="007A61F8" w:rsidRPr="00E57D5F" w:rsidRDefault="007A61F8" w:rsidP="007A61F8">
      <w:pPr>
        <w:pStyle w:val="ListParagraph"/>
        <w:rPr>
          <w:rFonts w:ascii="Cambria" w:hAnsi="Cambria"/>
          <w:sz w:val="20"/>
          <w:lang w:val="es-ES"/>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rPr>
      </w:pPr>
      <w:r w:rsidRPr="00E57D5F">
        <w:rPr>
          <w:rFonts w:ascii="Cambria" w:hAnsi="Cambria"/>
          <w:sz w:val="20"/>
        </w:rPr>
        <w:t xml:space="preserve">El señor </w:t>
      </w:r>
      <w:proofErr w:type="spellStart"/>
      <w:r w:rsidRPr="00E57D5F">
        <w:rPr>
          <w:rFonts w:ascii="Cambria" w:hAnsi="Cambria"/>
          <w:sz w:val="20"/>
        </w:rPr>
        <w:t>Preckel</w:t>
      </w:r>
      <w:proofErr w:type="spellEnd"/>
      <w:r w:rsidRPr="00E57D5F">
        <w:rPr>
          <w:rFonts w:ascii="Cambria" w:hAnsi="Cambria"/>
          <w:sz w:val="20"/>
        </w:rPr>
        <w:t xml:space="preserve"> interpuso un recurso de queja por la denegación del recurso extraordinario</w:t>
      </w:r>
      <w:r w:rsidRPr="00E57D5F">
        <w:rPr>
          <w:rStyle w:val="FootnoteReference"/>
          <w:rFonts w:ascii="Cambria" w:hAnsi="Cambria"/>
          <w:sz w:val="20"/>
        </w:rPr>
        <w:footnoteReference w:id="85"/>
      </w:r>
      <w:r w:rsidRPr="00E57D5F">
        <w:rPr>
          <w:rFonts w:ascii="Cambria" w:hAnsi="Cambria"/>
          <w:sz w:val="20"/>
        </w:rPr>
        <w:t>. El 21 de mayo de 1996 la Corte Suprema de Justicia de la Nación indicó que el recurso presentado es inadmisible por lo que desestimó la queja</w:t>
      </w:r>
      <w:r w:rsidRPr="00E57D5F">
        <w:rPr>
          <w:rStyle w:val="FootnoteReference"/>
          <w:rFonts w:ascii="Cambria" w:hAnsi="Cambria"/>
          <w:sz w:val="20"/>
        </w:rPr>
        <w:footnoteReference w:id="86"/>
      </w:r>
      <w:r w:rsidRPr="00E57D5F">
        <w:rPr>
          <w:rFonts w:ascii="Cambria" w:hAnsi="Cambria"/>
          <w:sz w:val="20"/>
        </w:rPr>
        <w:t>. La Corte Suprema se limitó a indicar que su decisión se basaba en el artículo 280 del Código Procesal Civil y Comercial de la Nación</w:t>
      </w:r>
      <w:r w:rsidRPr="00E57D5F">
        <w:rPr>
          <w:rStyle w:val="FootnoteReference"/>
          <w:rFonts w:ascii="Cambria" w:hAnsi="Cambria"/>
          <w:sz w:val="20"/>
        </w:rPr>
        <w:footnoteReference w:id="87"/>
      </w:r>
      <w:r w:rsidRPr="00E57D5F">
        <w:rPr>
          <w:rFonts w:ascii="Cambria" w:hAnsi="Cambria"/>
          <w:sz w:val="20"/>
        </w:rPr>
        <w:t xml:space="preserve">. La sentencia de la Corte Suprema tuvo un voto disidente de su Vicepresidente, Eduardo </w:t>
      </w:r>
      <w:proofErr w:type="spellStart"/>
      <w:r w:rsidRPr="00E57D5F">
        <w:rPr>
          <w:rFonts w:ascii="Cambria" w:hAnsi="Cambria"/>
          <w:sz w:val="20"/>
        </w:rPr>
        <w:t>Moline</w:t>
      </w:r>
      <w:proofErr w:type="spellEnd"/>
      <w:r w:rsidRPr="00E57D5F">
        <w:rPr>
          <w:rFonts w:ascii="Cambria" w:hAnsi="Cambria"/>
          <w:sz w:val="20"/>
        </w:rPr>
        <w:t xml:space="preserve"> </w:t>
      </w:r>
      <w:proofErr w:type="spellStart"/>
      <w:r w:rsidRPr="00E57D5F">
        <w:rPr>
          <w:rFonts w:ascii="Cambria" w:hAnsi="Cambria"/>
          <w:sz w:val="20"/>
        </w:rPr>
        <w:t>O’Connor</w:t>
      </w:r>
      <w:proofErr w:type="spellEnd"/>
      <w:r w:rsidRPr="00E57D5F">
        <w:rPr>
          <w:rFonts w:ascii="Cambria" w:hAnsi="Cambria"/>
          <w:sz w:val="20"/>
        </w:rPr>
        <w:t>, quien indicó lo siguiente:</w:t>
      </w:r>
    </w:p>
    <w:p w:rsidR="007A61F8" w:rsidRPr="00E57D5F" w:rsidRDefault="007A61F8" w:rsidP="007A61F8">
      <w:pPr>
        <w:pStyle w:val="ListParagraph"/>
        <w:rPr>
          <w:rFonts w:ascii="Cambria" w:hAnsi="Cambria"/>
          <w:sz w:val="20"/>
          <w:lang w:val="es-ES"/>
        </w:rPr>
      </w:pP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rPr>
      </w:pPr>
      <w:r w:rsidRPr="00E57D5F">
        <w:rPr>
          <w:rFonts w:ascii="Cambria" w:hAnsi="Cambria"/>
          <w:sz w:val="20"/>
        </w:rPr>
        <w:t>(…) asiste razón al recurrente cuando señala que el fallo –en cuanto resuelve que no corresponde que la DGI atienda una pretensión que encontraría su causa en el accionar ilegítimo del Poder Ejecutivo Nacional– ha hecho mérito de una defensa no invocada oportunamente. Es que, de conformidad con la doctrina de este Tribunal, resulta inadmisible la incorporación al litigio de una defensa no alegada o introducida en una oportunidad impropia para posibilitar la adecuada discusión de su admisibilidad y procedencia; en tanto, un criterio opuesto, importaría una afectación de la garantía constitucional del debido proceso</w:t>
      </w:r>
      <w:r w:rsidRPr="00E57D5F">
        <w:rPr>
          <w:rStyle w:val="FootnoteReference"/>
          <w:rFonts w:ascii="Cambria" w:hAnsi="Cambria"/>
          <w:sz w:val="20"/>
        </w:rPr>
        <w:footnoteReference w:id="88"/>
      </w:r>
      <w:r w:rsidRPr="00E57D5F">
        <w:rPr>
          <w:rFonts w:ascii="Cambria" w:hAnsi="Cambria"/>
          <w:sz w:val="20"/>
        </w:rPr>
        <w:t>.</w:t>
      </w: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rPr>
      </w:pPr>
    </w:p>
    <w:p w:rsidR="007A61F8" w:rsidRPr="00E57D5F" w:rsidRDefault="007A61F8" w:rsidP="002477FD">
      <w:pPr>
        <w:pStyle w:val="ListParagraph"/>
        <w:numPr>
          <w:ilvl w:val="1"/>
          <w:numId w:val="53"/>
        </w:numPr>
        <w:ind w:left="1350" w:hanging="630"/>
        <w:rPr>
          <w:rFonts w:ascii="Cambria" w:hAnsi="Cambria"/>
          <w:b/>
          <w:sz w:val="20"/>
          <w:szCs w:val="20"/>
          <w:lang w:val="es-ES"/>
        </w:rPr>
      </w:pPr>
      <w:r w:rsidRPr="00E57D5F">
        <w:rPr>
          <w:rFonts w:ascii="Cambria" w:hAnsi="Cambria"/>
          <w:b/>
          <w:sz w:val="20"/>
          <w:szCs w:val="20"/>
          <w:lang w:val="es-ES"/>
        </w:rPr>
        <w:t xml:space="preserve">Recursos en la causa seguida por Elba Clotilde </w:t>
      </w:r>
      <w:proofErr w:type="spellStart"/>
      <w:r w:rsidRPr="00E57D5F">
        <w:rPr>
          <w:rFonts w:ascii="Cambria" w:hAnsi="Cambria"/>
          <w:b/>
          <w:sz w:val="20"/>
          <w:szCs w:val="20"/>
          <w:lang w:val="es-ES"/>
        </w:rPr>
        <w:t>Perrone</w:t>
      </w:r>
      <w:proofErr w:type="spellEnd"/>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rPr>
      </w:pPr>
      <w:r w:rsidRPr="00E57D5F">
        <w:rPr>
          <w:rFonts w:ascii="Cambria" w:hAnsi="Cambria"/>
          <w:sz w:val="20"/>
        </w:rPr>
        <w:t xml:space="preserve">Respecto de la causa seguida por la señora </w:t>
      </w:r>
      <w:proofErr w:type="spellStart"/>
      <w:r w:rsidRPr="00E57D5F">
        <w:rPr>
          <w:rFonts w:ascii="Cambria" w:hAnsi="Cambria"/>
          <w:sz w:val="20"/>
        </w:rPr>
        <w:t>Perrone</w:t>
      </w:r>
      <w:proofErr w:type="spellEnd"/>
      <w:r w:rsidRPr="00E57D5F">
        <w:rPr>
          <w:rFonts w:ascii="Cambria" w:hAnsi="Cambria"/>
          <w:sz w:val="20"/>
        </w:rPr>
        <w:t xml:space="preserve">, </w:t>
      </w:r>
      <w:r w:rsidRPr="00E57D5F">
        <w:rPr>
          <w:rFonts w:ascii="Cambria" w:hAnsi="Cambria"/>
          <w:sz w:val="20"/>
          <w:szCs w:val="20"/>
        </w:rPr>
        <w:t xml:space="preserve">el 6 de mayo de 1992 </w:t>
      </w:r>
      <w:r w:rsidRPr="00E57D5F">
        <w:rPr>
          <w:rFonts w:ascii="Cambria" w:hAnsi="Cambria"/>
          <w:sz w:val="20"/>
        </w:rPr>
        <w:t>presentó un recurso de apelación frente a la sentencia del Juez Federal</w:t>
      </w:r>
      <w:r w:rsidRPr="00E57D5F">
        <w:rPr>
          <w:rStyle w:val="FootnoteReference"/>
          <w:rFonts w:ascii="Cambria" w:hAnsi="Cambria"/>
          <w:sz w:val="20"/>
        </w:rPr>
        <w:footnoteReference w:id="89"/>
      </w:r>
      <w:r w:rsidRPr="00E57D5F">
        <w:rPr>
          <w:rFonts w:ascii="Cambria" w:hAnsi="Cambria"/>
          <w:sz w:val="20"/>
        </w:rPr>
        <w:t xml:space="preserve">. Indicó que conforme a la legislación vigente, en particular al </w:t>
      </w:r>
      <w:r w:rsidRPr="00E57D5F">
        <w:rPr>
          <w:rFonts w:ascii="Cambria" w:hAnsi="Cambria"/>
          <w:sz w:val="20"/>
          <w:lang w:val="es-ES"/>
        </w:rPr>
        <w:t xml:space="preserve">Régimen de Licencias, Justificaciones y Franquicias de la Administración Pública Nacional, </w:t>
      </w:r>
      <w:r w:rsidRPr="00E57D5F">
        <w:rPr>
          <w:rFonts w:ascii="Cambria" w:hAnsi="Cambria"/>
          <w:sz w:val="20"/>
        </w:rPr>
        <w:t>es posible reclamar el pago de salarios cuando las inasistencias ocurridas se dan “por casos especiales de fuerza mayor”</w:t>
      </w:r>
      <w:r w:rsidRPr="00E57D5F">
        <w:rPr>
          <w:rStyle w:val="FootnoteReference"/>
          <w:rFonts w:ascii="Cambria" w:hAnsi="Cambria"/>
          <w:sz w:val="20"/>
        </w:rPr>
        <w:footnoteReference w:id="90"/>
      </w:r>
      <w:r w:rsidRPr="00E57D5F">
        <w:rPr>
          <w:rFonts w:ascii="Cambria" w:hAnsi="Cambria"/>
          <w:sz w:val="20"/>
        </w:rPr>
        <w:t>.</w:t>
      </w: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rPr>
      </w:pPr>
      <w:r w:rsidRPr="00E57D5F">
        <w:rPr>
          <w:rFonts w:ascii="Cambria" w:hAnsi="Cambria"/>
          <w:sz w:val="20"/>
        </w:rPr>
        <w:t>El 21 de septiembre de 1993 la Cámara de Apelaciones revocó el fallo de primera instancia declarando con lugar la demanda en lo sustancial</w:t>
      </w:r>
      <w:r w:rsidRPr="00E57D5F">
        <w:rPr>
          <w:rStyle w:val="FootnoteReference"/>
          <w:rFonts w:ascii="Cambria" w:hAnsi="Cambria"/>
          <w:sz w:val="20"/>
        </w:rPr>
        <w:footnoteReference w:id="91"/>
      </w:r>
      <w:r w:rsidRPr="00E57D5F">
        <w:rPr>
          <w:rFonts w:ascii="Cambria" w:hAnsi="Cambria"/>
          <w:sz w:val="20"/>
        </w:rPr>
        <w:t>. La Cámara sostuvo lo siguiente:</w:t>
      </w:r>
    </w:p>
    <w:p w:rsidR="007A61F8" w:rsidRPr="00E57D5F" w:rsidRDefault="007A61F8" w:rsidP="007A61F8">
      <w:pPr>
        <w:pStyle w:val="ListParagraph"/>
        <w:rPr>
          <w:rFonts w:ascii="Cambria" w:hAnsi="Cambria"/>
          <w:sz w:val="20"/>
          <w:lang w:val="es-ES"/>
        </w:rPr>
      </w:pP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rPr>
      </w:pPr>
      <w:r w:rsidRPr="00E57D5F">
        <w:rPr>
          <w:rFonts w:ascii="Cambria" w:hAnsi="Cambria"/>
          <w:sz w:val="20"/>
        </w:rPr>
        <w:lastRenderedPageBreak/>
        <w:t>(…) la solución equitativa (…) puede alcanzarse atendiendo a normas en las que se previó la justificación con goce de haberes de inasistencias en que incurrieran los agentes en casos de fuerza mayor debidamente comprobados. Son ejemplos de lo expuesto la Convención Colectiva D.G.I. 46/75 (artículo 192.a) vigente al momento de la detención de la demandante, y el decreto 3.413/79 (artículo 14c) con vigencia a la fecha de su reincorporación</w:t>
      </w:r>
      <w:r w:rsidRPr="00E57D5F">
        <w:rPr>
          <w:rStyle w:val="FootnoteReference"/>
          <w:rFonts w:ascii="Cambria" w:hAnsi="Cambria"/>
          <w:sz w:val="20"/>
        </w:rPr>
        <w:footnoteReference w:id="92"/>
      </w:r>
      <w:r w:rsidRPr="00E57D5F">
        <w:rPr>
          <w:rFonts w:ascii="Cambria" w:hAnsi="Cambria"/>
          <w:sz w:val="20"/>
        </w:rPr>
        <w:t>.</w:t>
      </w:r>
    </w:p>
    <w:p w:rsidR="007A61F8" w:rsidRPr="00E57D5F" w:rsidRDefault="007A61F8" w:rsidP="007A61F8">
      <w:pPr>
        <w:rPr>
          <w:sz w:val="20"/>
          <w:lang w:val="es-ES"/>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lang w:val="es-ES"/>
        </w:rPr>
      </w:pPr>
      <w:r w:rsidRPr="00E57D5F">
        <w:rPr>
          <w:rFonts w:ascii="Cambria" w:hAnsi="Cambria"/>
          <w:sz w:val="20"/>
          <w:lang w:val="es-ES"/>
        </w:rPr>
        <w:t>La Cámara concluyó lo siguiente:</w:t>
      </w: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lang w:val="es-ES"/>
        </w:rPr>
      </w:pP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lang w:val="es-ES"/>
        </w:rPr>
      </w:pPr>
      <w:r w:rsidRPr="00E57D5F">
        <w:rPr>
          <w:rFonts w:ascii="Cambria" w:hAnsi="Cambria"/>
          <w:sz w:val="20"/>
          <w:lang w:val="es-ES"/>
        </w:rPr>
        <w:t>No parece irrazonable considerar que la referida detención de la actora, y su ilegítima prolongación (…) sin ser sometida a juicio, y sin probársele responsabilidad disciplinaria alguna, constituyen un caso de fuerza mayor que justifica su falta de prestación de servicios y el pago de los haberes no percibidos; (…) y aquellas circunstancias (…) llevan a tener por configurada (…) la situación de excepción contemplada en la resolución 5/77 y en la doctrina de la Corte Suprema de Justicia invocadas en la sentencia apelada.  (…) La solución propuesta es congruente con los principios y garantías constitucionales (…) teniendo en cuenta que una estricta y objetiva aplicación de las normas conduciría a resultados inequitativos</w:t>
      </w:r>
      <w:r w:rsidRPr="00E57D5F">
        <w:rPr>
          <w:rStyle w:val="FootnoteReference"/>
          <w:rFonts w:ascii="Cambria" w:hAnsi="Cambria"/>
          <w:sz w:val="20"/>
        </w:rPr>
        <w:footnoteReference w:id="93"/>
      </w:r>
      <w:r w:rsidRPr="00E57D5F">
        <w:rPr>
          <w:rFonts w:ascii="Cambria" w:hAnsi="Cambria"/>
          <w:sz w:val="20"/>
          <w:lang w:val="es-ES"/>
        </w:rPr>
        <w:t>.</w:t>
      </w: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sz w:val="20"/>
          <w:lang w:val="es-ES"/>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lang w:val="es-ES"/>
        </w:rPr>
      </w:pPr>
      <w:r w:rsidRPr="00E57D5F">
        <w:rPr>
          <w:rFonts w:ascii="Cambria" w:hAnsi="Cambria"/>
          <w:sz w:val="20"/>
          <w:lang w:val="es-ES"/>
        </w:rPr>
        <w:t xml:space="preserve">En consecuencia, la Cámara reconoció el derecho de la señora </w:t>
      </w:r>
      <w:proofErr w:type="spellStart"/>
      <w:r w:rsidRPr="00E57D5F">
        <w:rPr>
          <w:rFonts w:ascii="Cambria" w:hAnsi="Cambria"/>
          <w:sz w:val="20"/>
          <w:lang w:val="es-ES"/>
        </w:rPr>
        <w:t>Perrone</w:t>
      </w:r>
      <w:proofErr w:type="spellEnd"/>
      <w:r w:rsidRPr="00E57D5F">
        <w:rPr>
          <w:rFonts w:ascii="Cambria" w:hAnsi="Cambria"/>
          <w:sz w:val="20"/>
          <w:lang w:val="es-ES"/>
        </w:rPr>
        <w:t xml:space="preserve"> al cobro de sus haberes laborales</w:t>
      </w:r>
      <w:r w:rsidRPr="00E57D5F">
        <w:rPr>
          <w:rStyle w:val="FootnoteReference"/>
          <w:rFonts w:ascii="Cambria" w:hAnsi="Cambria"/>
          <w:sz w:val="20"/>
        </w:rPr>
        <w:footnoteReference w:id="94"/>
      </w:r>
      <w:r w:rsidRPr="00E57D5F">
        <w:rPr>
          <w:rFonts w:ascii="Cambria" w:hAnsi="Cambria"/>
          <w:sz w:val="20"/>
          <w:lang w:val="es-ES"/>
        </w:rPr>
        <w:t xml:space="preserve">. La Cámara sostuvo que, sin perjuicio de ello, no era procedente su reubicación </w:t>
      </w:r>
      <w:proofErr w:type="spellStart"/>
      <w:r w:rsidRPr="00E57D5F">
        <w:rPr>
          <w:rFonts w:ascii="Cambria" w:hAnsi="Cambria"/>
          <w:sz w:val="20"/>
          <w:lang w:val="es-ES"/>
        </w:rPr>
        <w:t>escalafonaria</w:t>
      </w:r>
      <w:proofErr w:type="spellEnd"/>
      <w:r w:rsidRPr="00E57D5F">
        <w:rPr>
          <w:rFonts w:ascii="Cambria" w:hAnsi="Cambria"/>
          <w:sz w:val="20"/>
          <w:lang w:val="es-ES"/>
        </w:rPr>
        <w:t xml:space="preserve"> o los beneficios de períodos de licencia ordinaria no gozados</w:t>
      </w:r>
      <w:r w:rsidRPr="00E57D5F">
        <w:rPr>
          <w:rStyle w:val="FootnoteReference"/>
          <w:rFonts w:ascii="Cambria" w:hAnsi="Cambria"/>
          <w:sz w:val="20"/>
        </w:rPr>
        <w:footnoteReference w:id="95"/>
      </w:r>
      <w:r w:rsidRPr="00E57D5F">
        <w:rPr>
          <w:rFonts w:ascii="Cambria" w:hAnsi="Cambria"/>
          <w:sz w:val="20"/>
          <w:lang w:val="es-ES"/>
        </w:rPr>
        <w:t>.</w:t>
      </w: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lang w:val="es-ES"/>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lang w:val="es-ES"/>
        </w:rPr>
      </w:pPr>
      <w:r w:rsidRPr="00E57D5F">
        <w:rPr>
          <w:rFonts w:ascii="Cambria" w:hAnsi="Cambria"/>
          <w:sz w:val="20"/>
          <w:lang w:val="es-ES"/>
        </w:rPr>
        <w:t>El 15 de octubre de 1993 la DGI presentó un recurso extraordinario ante la Corte Suprema en contra de la sentencia emitida por la Cámara de Apelaciones</w:t>
      </w:r>
      <w:r w:rsidRPr="00E57D5F">
        <w:rPr>
          <w:rStyle w:val="FootnoteReference"/>
          <w:rFonts w:ascii="Cambria" w:hAnsi="Cambria"/>
          <w:sz w:val="20"/>
          <w:lang w:val="es-ES"/>
        </w:rPr>
        <w:footnoteReference w:id="96"/>
      </w:r>
      <w:r w:rsidRPr="00E57D5F">
        <w:rPr>
          <w:rFonts w:ascii="Cambria" w:hAnsi="Cambria"/>
          <w:sz w:val="20"/>
          <w:lang w:val="es-ES"/>
        </w:rPr>
        <w:t>. La DGI alegó que el criterio de la fuerza mayor no debe aplicarse en el presente caso</w:t>
      </w:r>
      <w:r w:rsidRPr="00E57D5F">
        <w:rPr>
          <w:rStyle w:val="FootnoteReference"/>
          <w:rFonts w:ascii="Cambria" w:hAnsi="Cambria"/>
          <w:sz w:val="20"/>
          <w:lang w:val="es-ES"/>
        </w:rPr>
        <w:footnoteReference w:id="97"/>
      </w:r>
      <w:r w:rsidRPr="00E57D5F">
        <w:rPr>
          <w:rFonts w:ascii="Cambria" w:hAnsi="Cambria"/>
          <w:sz w:val="20"/>
          <w:lang w:val="es-ES"/>
        </w:rPr>
        <w:t>. Sostuvo que “la actora no concurrió a su trabajo por estar arrestada a disposición del Poder Ejecutivo Nacional, circunstancia totalmente ajena al organismo”</w:t>
      </w:r>
      <w:r w:rsidRPr="00E57D5F">
        <w:rPr>
          <w:rStyle w:val="FootnoteReference"/>
          <w:rFonts w:ascii="Cambria" w:hAnsi="Cambria"/>
          <w:sz w:val="20"/>
          <w:lang w:val="es-ES"/>
        </w:rPr>
        <w:footnoteReference w:id="98"/>
      </w:r>
      <w:r w:rsidRPr="00E57D5F">
        <w:rPr>
          <w:rFonts w:ascii="Cambria" w:hAnsi="Cambria"/>
          <w:sz w:val="20"/>
          <w:lang w:val="es-ES"/>
        </w:rPr>
        <w:t>.</w:t>
      </w: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rPr>
      </w:pPr>
      <w:r w:rsidRPr="00E57D5F">
        <w:rPr>
          <w:rFonts w:ascii="Cambria" w:hAnsi="Cambria"/>
          <w:sz w:val="20"/>
        </w:rPr>
        <w:t>El 21 de mayo de 1996 la Corte Suprema de Justicia de la Nación emitió una sentencia en la que declaró procedente el recurso extraordinario interpuesto por la DGI y revocó la sentencia de la Cámara de Apelaciones</w:t>
      </w:r>
      <w:r w:rsidRPr="00E57D5F">
        <w:rPr>
          <w:rStyle w:val="FootnoteReference"/>
          <w:rFonts w:ascii="Cambria" w:hAnsi="Cambria"/>
          <w:sz w:val="20"/>
        </w:rPr>
        <w:footnoteReference w:id="99"/>
      </w:r>
      <w:r w:rsidRPr="00E57D5F">
        <w:rPr>
          <w:rFonts w:ascii="Cambria" w:hAnsi="Cambria"/>
          <w:sz w:val="20"/>
        </w:rPr>
        <w:t>. La Corte Suprema sostuvo lo siguiente:</w:t>
      </w:r>
    </w:p>
    <w:p w:rsidR="007A61F8" w:rsidRPr="00E57D5F" w:rsidRDefault="007A61F8" w:rsidP="007A61F8">
      <w:pPr>
        <w:pStyle w:val="ListParagraph"/>
        <w:rPr>
          <w:rFonts w:ascii="Cambria" w:hAnsi="Cambria"/>
          <w:sz w:val="20"/>
          <w:lang w:val="es-ES"/>
        </w:rPr>
      </w:pP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rPr>
      </w:pPr>
      <w:r w:rsidRPr="00E57D5F">
        <w:rPr>
          <w:rFonts w:ascii="Cambria" w:hAnsi="Cambria"/>
          <w:sz w:val="20"/>
        </w:rPr>
        <w:t>4. (…) la actora no asistió a su trabajo por razones ajenas a su voluntad durante casi seis años; en ese lapso, la empleadora no dispuso el cese de la relación de empleo público, que se mantuvo vigente sin goce de haberes.</w:t>
      </w:r>
    </w:p>
    <w:p w:rsidR="002477FD" w:rsidRDefault="002477FD"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rPr>
      </w:pP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rPr>
      </w:pPr>
      <w:r w:rsidRPr="00E57D5F">
        <w:rPr>
          <w:rFonts w:ascii="Cambria" w:hAnsi="Cambria"/>
          <w:sz w:val="20"/>
        </w:rPr>
        <w:t xml:space="preserve">5. Que las particularidades del caso no permiten asimilar la situación –de suspensión del agente sin percepción de haberes con motivo de la privación de la libertad dispuesta por hechos ajenos a la función pública- con el régimen de incumplimiento de la relación de </w:t>
      </w:r>
      <w:r w:rsidRPr="00E57D5F">
        <w:rPr>
          <w:rFonts w:ascii="Cambria" w:hAnsi="Cambria"/>
          <w:sz w:val="20"/>
        </w:rPr>
        <w:lastRenderedPageBreak/>
        <w:t>empleo público por inasistencias justificables. Tanto el marco jurídico dado por la convención colectiva 46/75E (…) distinguen claramente el procedimiento de investigación para determinar la responsabilidad disciplinaria, del régimen de licencias y del propio a las inasistencias, sin perjuicio de que la transgresión de los dos últimos de lugar al funcionamiento del primero.</w:t>
      </w:r>
    </w:p>
    <w:p w:rsidR="002477FD" w:rsidRDefault="002477FD"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rPr>
      </w:pP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rPr>
      </w:pPr>
      <w:r w:rsidRPr="00E57D5F">
        <w:rPr>
          <w:rFonts w:ascii="Cambria" w:hAnsi="Cambria"/>
          <w:sz w:val="20"/>
        </w:rPr>
        <w:t xml:space="preserve">6. Que no cabe pues, formular analogías a partir del régimen de franquicias y licencias, sino aplicar las normas atinentes al procedimiento disciplinario o, en su caso, integrar las lagunas con sus principios. </w:t>
      </w:r>
    </w:p>
    <w:p w:rsidR="002477FD" w:rsidRDefault="002477FD"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rPr>
      </w:pP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rPr>
      </w:pPr>
      <w:r w:rsidRPr="00E57D5F">
        <w:rPr>
          <w:rFonts w:ascii="Cambria" w:hAnsi="Cambria"/>
          <w:sz w:val="20"/>
        </w:rPr>
        <w:t>8. (…) no ha existido disposición expresa que permita hacer excepción al principio esencial en materia de salarios, cual es, que no procede el pago de sueldos por funciones no prestadas. Ello no comporta negar las consecuencias del acto ilegítimo del gobierno de facto desde la óptica de la responsabilidad del Estado Nacional, cuestión que, procesal y sustancialmente, no se discutió en autos</w:t>
      </w:r>
      <w:r w:rsidRPr="00E57D5F">
        <w:rPr>
          <w:rStyle w:val="FootnoteReference"/>
          <w:rFonts w:ascii="Cambria" w:hAnsi="Cambria"/>
          <w:sz w:val="20"/>
        </w:rPr>
        <w:footnoteReference w:id="100"/>
      </w:r>
      <w:r w:rsidRPr="00E57D5F">
        <w:rPr>
          <w:rFonts w:ascii="Cambria" w:hAnsi="Cambria"/>
          <w:sz w:val="20"/>
        </w:rPr>
        <w:t>.</w:t>
      </w:r>
    </w:p>
    <w:p w:rsidR="007A61F8" w:rsidRPr="00E57D5F" w:rsidRDefault="007A61F8" w:rsidP="007A61F8">
      <w:pPr>
        <w:pStyle w:val="ListParagraph"/>
        <w:rPr>
          <w:rFonts w:ascii="Cambria" w:hAnsi="Cambria"/>
          <w:sz w:val="20"/>
          <w:lang w:val="es-ES"/>
        </w:rPr>
      </w:pPr>
    </w:p>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rPr>
      </w:pPr>
      <w:r w:rsidRPr="00E57D5F">
        <w:rPr>
          <w:rFonts w:ascii="Cambria" w:hAnsi="Cambria"/>
          <w:sz w:val="20"/>
          <w:lang w:val="es-ES"/>
        </w:rPr>
        <w:t xml:space="preserve">Los peticionarios informaron que </w:t>
      </w:r>
      <w:r w:rsidRPr="00E57D5F">
        <w:rPr>
          <w:rFonts w:ascii="Cambria" w:hAnsi="Cambria"/>
          <w:sz w:val="20"/>
        </w:rPr>
        <w:t xml:space="preserve">la Secretaría de Derechos Humanos de la Nación emitió un dictamen en </w:t>
      </w:r>
      <w:r w:rsidR="0081795F" w:rsidRPr="00E57D5F">
        <w:rPr>
          <w:rFonts w:ascii="Cambria" w:hAnsi="Cambria"/>
          <w:sz w:val="20"/>
        </w:rPr>
        <w:t>el</w:t>
      </w:r>
      <w:r w:rsidRPr="00E57D5F">
        <w:rPr>
          <w:rFonts w:ascii="Cambria" w:hAnsi="Cambria"/>
          <w:sz w:val="20"/>
        </w:rPr>
        <w:t xml:space="preserve"> cual consideró que “se han violado los artículos 1, 2, 8, 21, 24 (de la Convención) y los artículos XIV, XVII, XVIII y XXIII de la Declaración Americana”</w:t>
      </w:r>
      <w:r w:rsidRPr="00E57D5F">
        <w:rPr>
          <w:rStyle w:val="FootnoteReference"/>
          <w:rFonts w:ascii="Cambria" w:hAnsi="Cambria"/>
          <w:sz w:val="20"/>
        </w:rPr>
        <w:footnoteReference w:id="101"/>
      </w:r>
      <w:r w:rsidRPr="00E57D5F">
        <w:rPr>
          <w:rFonts w:ascii="Cambria" w:hAnsi="Cambria"/>
          <w:sz w:val="20"/>
        </w:rPr>
        <w:t>. Sostuvieron que el 3 de abril de 2005 la Secretaría ratificó su dictamen anterior</w:t>
      </w:r>
      <w:r w:rsidRPr="00E57D5F">
        <w:rPr>
          <w:rStyle w:val="FootnoteReference"/>
          <w:rFonts w:ascii="Cambria" w:hAnsi="Cambria"/>
          <w:sz w:val="20"/>
        </w:rPr>
        <w:footnoteReference w:id="102"/>
      </w:r>
      <w:r w:rsidRPr="00E57D5F">
        <w:rPr>
          <w:rFonts w:ascii="Cambria" w:hAnsi="Cambria"/>
          <w:sz w:val="20"/>
        </w:rPr>
        <w:t>. Agregaron que el 3 de abril de 2009 el Subsecretario de Protección de Derechos Humanos ratificó los dictámenes previos</w:t>
      </w:r>
      <w:r w:rsidRPr="00E57D5F">
        <w:rPr>
          <w:rStyle w:val="FootnoteReference"/>
          <w:rFonts w:ascii="Cambria" w:hAnsi="Cambria"/>
          <w:sz w:val="20"/>
        </w:rPr>
        <w:footnoteReference w:id="103"/>
      </w:r>
      <w:r w:rsidRPr="00E57D5F">
        <w:rPr>
          <w:rFonts w:ascii="Cambria" w:hAnsi="Cambria"/>
          <w:sz w:val="20"/>
        </w:rPr>
        <w:t>.</w:t>
      </w: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rPr>
      </w:pPr>
    </w:p>
    <w:p w:rsidR="007A61F8" w:rsidRPr="00E57D5F" w:rsidRDefault="007A61F8" w:rsidP="00ED46A1">
      <w:pPr>
        <w:pStyle w:val="Heading1"/>
        <w:rPr>
          <w:lang w:val="es-ES_tradnl"/>
        </w:rPr>
      </w:pPr>
      <w:bookmarkStart w:id="40" w:name="_Toc476667882"/>
      <w:r w:rsidRPr="008F1889">
        <w:t>ANÁLISIS DE FONDO</w:t>
      </w:r>
      <w:bookmarkEnd w:id="40"/>
    </w:p>
    <w:p w:rsidR="007A61F8" w:rsidRPr="00E57D5F" w:rsidRDefault="007A61F8" w:rsidP="007A61F8">
      <w:pPr>
        <w:rPr>
          <w:lang w:val="es-ES"/>
        </w:rPr>
      </w:pPr>
      <w:bookmarkStart w:id="41" w:name="_Toc413687836"/>
    </w:p>
    <w:p w:rsidR="007A61F8" w:rsidRPr="00E57D5F" w:rsidRDefault="007A61F8" w:rsidP="008D5D00">
      <w:pPr>
        <w:pStyle w:val="Heading2"/>
        <w:numPr>
          <w:ilvl w:val="0"/>
          <w:numId w:val="58"/>
        </w:numPr>
        <w:ind w:left="1440" w:hanging="720"/>
        <w:rPr>
          <w:szCs w:val="20"/>
          <w:lang w:val="es-ES"/>
        </w:rPr>
      </w:pPr>
      <w:bookmarkStart w:id="42" w:name="_Toc476667883"/>
      <w:r w:rsidRPr="00E57D5F">
        <w:rPr>
          <w:szCs w:val="20"/>
          <w:lang w:val="es-ES"/>
        </w:rPr>
        <w:t>Cuestiones previas</w:t>
      </w:r>
      <w:bookmarkEnd w:id="42"/>
    </w:p>
    <w:p w:rsidR="007A61F8" w:rsidRPr="00E57D5F" w:rsidRDefault="007A61F8" w:rsidP="007A61F8"/>
    <w:p w:rsidR="007A61F8"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E57D5F">
        <w:rPr>
          <w:rFonts w:ascii="Cambria" w:hAnsi="Cambria"/>
          <w:sz w:val="20"/>
          <w:szCs w:val="20"/>
        </w:rPr>
        <w:t>En primer lugar, la Comisión observa que en la etapa de fondo el Estado de Argentina continuó formulando alegatos relacionados con el requisito del agotamiento de los recursos internos, específicamente respecto de la acción civil de daños y perjuicios en contra del Estado Nacional. Al respecto, la Comisión recuerda que el momento procesal oportuno para formular alegatos sobre el agotamiento de los recursos internos es la etapa de admisibilidad, tr</w:t>
      </w:r>
      <w:r w:rsidR="008D5D00" w:rsidRPr="00E57D5F">
        <w:rPr>
          <w:rFonts w:ascii="Cambria" w:hAnsi="Cambria"/>
          <w:sz w:val="20"/>
          <w:szCs w:val="20"/>
        </w:rPr>
        <w:t xml:space="preserve">as la cual </w:t>
      </w:r>
      <w:proofErr w:type="spellStart"/>
      <w:r w:rsidR="008D5D00" w:rsidRPr="00E57D5F">
        <w:rPr>
          <w:rFonts w:ascii="Cambria" w:hAnsi="Cambria"/>
          <w:sz w:val="20"/>
          <w:szCs w:val="20"/>
        </w:rPr>
        <w:t>precluye</w:t>
      </w:r>
      <w:proofErr w:type="spellEnd"/>
      <w:r w:rsidR="008D5D00" w:rsidRPr="00E57D5F">
        <w:rPr>
          <w:rFonts w:ascii="Cambria" w:hAnsi="Cambria"/>
          <w:sz w:val="20"/>
          <w:szCs w:val="20"/>
        </w:rPr>
        <w:t xml:space="preserve"> el debate</w:t>
      </w:r>
      <w:r w:rsidRPr="00E57D5F">
        <w:rPr>
          <w:rFonts w:ascii="Cambria" w:hAnsi="Cambria"/>
          <w:sz w:val="20"/>
          <w:szCs w:val="20"/>
        </w:rPr>
        <w:t xml:space="preserve"> respecto de dicho requisito</w:t>
      </w:r>
      <w:r w:rsidRPr="00E57D5F">
        <w:rPr>
          <w:rStyle w:val="FootnoteReference"/>
          <w:rFonts w:ascii="Cambria" w:hAnsi="Cambria"/>
          <w:sz w:val="20"/>
          <w:szCs w:val="20"/>
        </w:rPr>
        <w:footnoteReference w:id="104"/>
      </w:r>
      <w:r w:rsidRPr="00E57D5F">
        <w:rPr>
          <w:rFonts w:ascii="Cambria" w:hAnsi="Cambria"/>
          <w:sz w:val="20"/>
          <w:szCs w:val="20"/>
        </w:rPr>
        <w:t xml:space="preserve">. En ese sentido, la Comisión efectuará el análisis a continuación con base en los hechos probados y los alegatos de las partes que se relacionan con el fondo del asunto. </w:t>
      </w: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5E2B4E" w:rsidRPr="00E57D5F" w:rsidRDefault="007A61F8" w:rsidP="007A61F8">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E57D5F">
        <w:rPr>
          <w:rFonts w:ascii="Cambria" w:hAnsi="Cambria"/>
          <w:sz w:val="20"/>
          <w:szCs w:val="20"/>
        </w:rPr>
        <w:t xml:space="preserve">En segundo lugar, la Comisión reitera lo indicado en su informe de admisibilidad sobre el objeto del presente caso. Al respecto, la Comisión recuerda que el mismo se circunscribe al reclamo de las presuntas víctimas sobre el pago de los salarios y beneficios sociales dejados de percibir en la entidad estatal en la que laboraban, como consecuencia de su privación arbitraria de libertad y del exilio en el caso </w:t>
      </w:r>
      <w:r w:rsidR="008D5D00" w:rsidRPr="00E57D5F">
        <w:rPr>
          <w:rFonts w:ascii="Cambria" w:hAnsi="Cambria"/>
          <w:sz w:val="20"/>
          <w:szCs w:val="20"/>
        </w:rPr>
        <w:t xml:space="preserve">del señor </w:t>
      </w:r>
      <w:proofErr w:type="spellStart"/>
      <w:r w:rsidR="008D5D00" w:rsidRPr="00E57D5F">
        <w:rPr>
          <w:rFonts w:ascii="Cambria" w:hAnsi="Cambria"/>
          <w:sz w:val="20"/>
          <w:szCs w:val="20"/>
        </w:rPr>
        <w:t>Preckel</w:t>
      </w:r>
      <w:proofErr w:type="spellEnd"/>
      <w:r w:rsidRPr="00E57D5F">
        <w:rPr>
          <w:rFonts w:ascii="Cambria" w:hAnsi="Cambria"/>
          <w:sz w:val="20"/>
          <w:szCs w:val="20"/>
        </w:rPr>
        <w:t>. En ese sentido, y tal como han confirmado los peticionarios, la detención, tortura y exilio no se encuentran dentro del objeto del presente caso. Tampoco se encuentra dentro de dicho objeto la suficiencia o no de la indemnización recibida por las víctimas en virtud de la Ley No. 24.043.</w:t>
      </w:r>
    </w:p>
    <w:p w:rsidR="005E2B4E" w:rsidRPr="008550D2" w:rsidRDefault="005E2B4E" w:rsidP="005E2B4E">
      <w:pPr>
        <w:pStyle w:val="ListParagraph"/>
        <w:rPr>
          <w:rFonts w:ascii="Cambria" w:hAnsi="Cambria"/>
          <w:sz w:val="20"/>
          <w:szCs w:val="20"/>
          <w:lang w:val="es-CO"/>
        </w:rPr>
      </w:pPr>
    </w:p>
    <w:p w:rsidR="005E2B4E" w:rsidRPr="00E57D5F" w:rsidRDefault="005E2B4E" w:rsidP="005E2B4E">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E57D5F">
        <w:rPr>
          <w:rFonts w:ascii="Cambria" w:hAnsi="Cambria"/>
          <w:sz w:val="20"/>
          <w:szCs w:val="20"/>
        </w:rPr>
        <w:t xml:space="preserve">Sin perjuicio de lo anterior, la Comisión recuerda que ambos órganos del sistema se han pronunciado sobre la relación entre reparaciones administrativas y otros reclamos. </w:t>
      </w:r>
    </w:p>
    <w:p w:rsidR="005E2B4E" w:rsidRPr="00E57D5F" w:rsidRDefault="005E2B4E" w:rsidP="005E2B4E">
      <w:pPr>
        <w:pStyle w:val="ListParagraph"/>
        <w:rPr>
          <w:rFonts w:ascii="Cambria" w:hAnsi="Cambria"/>
          <w:sz w:val="20"/>
          <w:szCs w:val="20"/>
          <w:bdr w:val="none" w:sz="0" w:space="0" w:color="auto"/>
          <w:lang w:val="es-CO"/>
        </w:rPr>
      </w:pPr>
    </w:p>
    <w:p w:rsidR="005E2B4E" w:rsidRPr="00E57D5F" w:rsidRDefault="005E2B4E" w:rsidP="005E2B4E">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sidRPr="00E57D5F">
        <w:rPr>
          <w:rFonts w:ascii="Cambria" w:hAnsi="Cambria"/>
          <w:sz w:val="20"/>
          <w:szCs w:val="20"/>
          <w:bdr w:val="none" w:sz="0" w:space="0" w:color="auto"/>
        </w:rPr>
        <w:lastRenderedPageBreak/>
        <w:t xml:space="preserve">En el </w:t>
      </w:r>
      <w:r w:rsidR="00863C3A" w:rsidRPr="00863C3A">
        <w:rPr>
          <w:rFonts w:ascii="Cambria" w:hAnsi="Cambria"/>
          <w:i/>
          <w:sz w:val="20"/>
          <w:szCs w:val="20"/>
          <w:bdr w:val="none" w:sz="0" w:space="0" w:color="auto"/>
        </w:rPr>
        <w:t>C</w:t>
      </w:r>
      <w:r w:rsidRPr="00863C3A">
        <w:rPr>
          <w:rFonts w:ascii="Cambria" w:hAnsi="Cambria"/>
          <w:i/>
          <w:sz w:val="20"/>
          <w:szCs w:val="20"/>
          <w:bdr w:val="none" w:sz="0" w:space="0" w:color="auto"/>
        </w:rPr>
        <w:t>aso García</w:t>
      </w:r>
      <w:r w:rsidRPr="00E57D5F">
        <w:rPr>
          <w:rFonts w:ascii="Cambria" w:hAnsi="Cambria"/>
          <w:i/>
          <w:sz w:val="20"/>
          <w:szCs w:val="20"/>
          <w:bdr w:val="none" w:sz="0" w:space="0" w:color="auto"/>
        </w:rPr>
        <w:t xml:space="preserve"> Lucero y otras vs. Chile</w:t>
      </w:r>
      <w:r w:rsidRPr="00E57D5F">
        <w:rPr>
          <w:rFonts w:ascii="Cambria" w:hAnsi="Cambria"/>
          <w:sz w:val="20"/>
          <w:szCs w:val="20"/>
          <w:bdr w:val="none" w:sz="0" w:space="0" w:color="auto"/>
        </w:rPr>
        <w:t xml:space="preserve">, la Corte Interamericana indicó que: </w:t>
      </w:r>
    </w:p>
    <w:p w:rsidR="005E2B4E" w:rsidRPr="00E57D5F" w:rsidRDefault="005E2B4E" w:rsidP="005E2B4E">
      <w:pPr>
        <w:pStyle w:val="ListParagraph"/>
        <w:rPr>
          <w:rFonts w:ascii="Cambria" w:eastAsia="Times New Roman" w:hAnsi="Cambria"/>
          <w:sz w:val="20"/>
          <w:szCs w:val="20"/>
          <w:bdr w:val="none" w:sz="0" w:space="0" w:color="auto"/>
          <w:lang w:val="es-ES_tradnl"/>
        </w:rPr>
      </w:pPr>
    </w:p>
    <w:p w:rsidR="005E2B4E" w:rsidRPr="00E57D5F" w:rsidRDefault="005E2B4E" w:rsidP="005E2B4E">
      <w:pPr>
        <w:pStyle w:val="ListParagraph"/>
        <w:ind w:right="720"/>
        <w:jc w:val="both"/>
        <w:rPr>
          <w:rFonts w:ascii="Cambria" w:eastAsia="Times New Roman" w:hAnsi="Cambria"/>
          <w:sz w:val="20"/>
          <w:szCs w:val="20"/>
          <w:bdr w:val="none" w:sz="0" w:space="0" w:color="auto"/>
          <w:lang w:val="es-CO"/>
        </w:rPr>
      </w:pPr>
      <w:r w:rsidRPr="00E57D5F">
        <w:rPr>
          <w:rFonts w:ascii="Cambria" w:hAnsi="Cambria"/>
          <w:sz w:val="20"/>
          <w:szCs w:val="20"/>
          <w:lang w:val="es-CO"/>
        </w:rPr>
        <w:t>(…) la existencia de programas administrativos de reparación debe ser compatible con las obligaciones estatales bajo la Convención Americana y otras normas internacionales y, por ello, no puede derivar en un menoscabo al deber estatal de garantizar el “libre y pleno ejercicio” de los derechos a las garantías y protección judiciales, en los términos de los artículos 1.1, 25.1 y 8.1 de la Convención, respectivamente. En otros términos, los programas administrativos de reparación u otras medidas o acciones normativas o de otro carácter que coexistan con los mismos, no pueden generar una obstrucción a la posibilidad de que las víctimas, de conformidad a los derechos a las garantías y protección judiciales, interpongan acciones en reclamo de reparaciones</w:t>
      </w:r>
      <w:r w:rsidRPr="00E57D5F">
        <w:rPr>
          <w:rStyle w:val="FootnoteReference"/>
          <w:rFonts w:ascii="Cambria" w:hAnsi="Cambria"/>
          <w:sz w:val="20"/>
          <w:szCs w:val="20"/>
        </w:rPr>
        <w:footnoteReference w:id="105"/>
      </w:r>
      <w:r w:rsidRPr="00E57D5F">
        <w:rPr>
          <w:rFonts w:ascii="Cambria" w:hAnsi="Cambria"/>
          <w:sz w:val="20"/>
          <w:szCs w:val="20"/>
          <w:lang w:val="es-CO"/>
        </w:rPr>
        <w:t>.</w:t>
      </w:r>
    </w:p>
    <w:p w:rsidR="005E2B4E" w:rsidRPr="00E57D5F" w:rsidRDefault="005E2B4E" w:rsidP="005E2B4E">
      <w:pPr>
        <w:pStyle w:val="ListParagraph"/>
        <w:rPr>
          <w:rFonts w:ascii="Cambria" w:eastAsia="Times New Roman" w:hAnsi="Cambria"/>
          <w:sz w:val="20"/>
          <w:szCs w:val="20"/>
          <w:bdr w:val="none" w:sz="0" w:space="0" w:color="auto"/>
          <w:lang w:val="es-ES_tradnl"/>
        </w:rPr>
      </w:pPr>
    </w:p>
    <w:p w:rsidR="005E2B4E" w:rsidRPr="00E57D5F" w:rsidRDefault="005E2B4E" w:rsidP="00EB5F77">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bdr w:val="none" w:sz="0" w:space="0" w:color="auto"/>
        </w:rPr>
      </w:pPr>
      <w:r w:rsidRPr="00E57D5F">
        <w:rPr>
          <w:rFonts w:ascii="Cambria" w:hAnsi="Cambria"/>
          <w:sz w:val="20"/>
          <w:szCs w:val="20"/>
          <w:bdr w:val="none" w:sz="0" w:space="0" w:color="auto"/>
        </w:rPr>
        <w:t>En el mismo caso la Corte señaló que “</w:t>
      </w:r>
      <w:r w:rsidRPr="00E57D5F">
        <w:rPr>
          <w:rFonts w:ascii="Cambria" w:hAnsi="Cambria"/>
          <w:sz w:val="20"/>
          <w:szCs w:val="20"/>
          <w:lang w:val="es-CO"/>
        </w:rPr>
        <w:t xml:space="preserve">resulta conforme a la observancia de derechos convencionales que el </w:t>
      </w:r>
      <w:r w:rsidRPr="00E57D5F">
        <w:rPr>
          <w:rFonts w:ascii="Cambria" w:hAnsi="Cambria"/>
          <w:sz w:val="20"/>
          <w:szCs w:val="20"/>
          <w:bdr w:val="none" w:sz="0" w:space="0" w:color="auto"/>
        </w:rPr>
        <w:t>establecimiento</w:t>
      </w:r>
      <w:r w:rsidRPr="00E57D5F">
        <w:rPr>
          <w:rFonts w:ascii="Cambria" w:hAnsi="Cambria"/>
          <w:sz w:val="20"/>
          <w:szCs w:val="20"/>
          <w:lang w:val="es-CO"/>
        </w:rPr>
        <w:t xml:space="preserve"> de sistemas internos administrativos o colectivos de reparación no impida a las víctimas el ejercicio de acciones jurisdiccionales en reclamo de medidas de reparación”</w:t>
      </w:r>
      <w:r w:rsidRPr="00E57D5F">
        <w:rPr>
          <w:rStyle w:val="FootnoteReference"/>
          <w:rFonts w:ascii="Cambria" w:hAnsi="Cambria"/>
          <w:sz w:val="20"/>
          <w:szCs w:val="20"/>
        </w:rPr>
        <w:footnoteReference w:id="106"/>
      </w:r>
      <w:r w:rsidRPr="00E57D5F">
        <w:rPr>
          <w:rFonts w:ascii="Cambria" w:hAnsi="Cambria"/>
          <w:sz w:val="20"/>
          <w:szCs w:val="20"/>
          <w:lang w:val="es-CO"/>
        </w:rPr>
        <w:t>.</w:t>
      </w:r>
    </w:p>
    <w:p w:rsidR="005E2B4E" w:rsidRPr="00E57D5F" w:rsidRDefault="005E2B4E" w:rsidP="00EB5F7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lang w:val="es-ES_tradnl"/>
        </w:rPr>
      </w:pPr>
    </w:p>
    <w:p w:rsidR="005E2B4E" w:rsidRPr="00E57D5F" w:rsidRDefault="005E2B4E" w:rsidP="00EB5F77">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bdr w:val="none" w:sz="0" w:space="0" w:color="auto"/>
        </w:rPr>
      </w:pPr>
      <w:r w:rsidRPr="00E57D5F">
        <w:rPr>
          <w:rFonts w:ascii="Cambria" w:hAnsi="Cambria"/>
          <w:sz w:val="20"/>
          <w:szCs w:val="20"/>
          <w:bdr w:val="none" w:sz="0" w:space="0" w:color="auto"/>
        </w:rPr>
        <w:t xml:space="preserve">Por su parte, la Comisión se ha pronunciado sobre la existencia de distintas vías para reparar a las víctimas en situaciones de graves violaciones de derechos humanos. Al respecto, la CIDH ha indicado que “entiende que la adopción de un programa de reparaciones administrativas, no debería excluir el acceso a vías judiciales para </w:t>
      </w:r>
      <w:r w:rsidR="006B70D0" w:rsidRPr="00E57D5F">
        <w:rPr>
          <w:rFonts w:ascii="Cambria" w:hAnsi="Cambria"/>
          <w:sz w:val="20"/>
          <w:szCs w:val="20"/>
          <w:bdr w:val="none" w:sz="0" w:space="0" w:color="auto"/>
        </w:rPr>
        <w:t>las víctimas</w:t>
      </w:r>
      <w:r w:rsidRPr="00E57D5F">
        <w:rPr>
          <w:rFonts w:ascii="Cambria" w:hAnsi="Cambria"/>
          <w:sz w:val="20"/>
          <w:szCs w:val="20"/>
          <w:bdr w:val="none" w:sz="0" w:space="0" w:color="auto"/>
        </w:rPr>
        <w:t>”</w:t>
      </w:r>
      <w:r w:rsidRPr="00E57D5F">
        <w:rPr>
          <w:rStyle w:val="FootnoteReference"/>
          <w:rFonts w:ascii="Cambria" w:hAnsi="Cambria"/>
          <w:sz w:val="20"/>
          <w:szCs w:val="20"/>
          <w:bdr w:val="none" w:sz="0" w:space="0" w:color="auto"/>
        </w:rPr>
        <w:footnoteReference w:id="107"/>
      </w:r>
      <w:r w:rsidRPr="00E57D5F">
        <w:rPr>
          <w:rFonts w:ascii="Cambria" w:hAnsi="Cambria"/>
          <w:sz w:val="20"/>
          <w:szCs w:val="20"/>
          <w:bdr w:val="none" w:sz="0" w:space="0" w:color="auto"/>
        </w:rPr>
        <w:t xml:space="preserve">. </w:t>
      </w:r>
    </w:p>
    <w:p w:rsidR="007A61F8" w:rsidRPr="00E57D5F" w:rsidRDefault="007A61F8" w:rsidP="005E2B4E">
      <w:pPr>
        <w:pStyle w:val="BodyTextIndent"/>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E57D5F">
        <w:rPr>
          <w:rFonts w:ascii="Cambria" w:hAnsi="Cambria"/>
          <w:sz w:val="20"/>
          <w:szCs w:val="20"/>
        </w:rPr>
        <w:t xml:space="preserve"> </w:t>
      </w:r>
    </w:p>
    <w:p w:rsidR="007A61F8" w:rsidRPr="00E57D5F" w:rsidRDefault="007A61F8" w:rsidP="008D5D00">
      <w:pPr>
        <w:pStyle w:val="Heading2"/>
        <w:numPr>
          <w:ilvl w:val="0"/>
          <w:numId w:val="58"/>
        </w:numPr>
        <w:ind w:left="1440" w:hanging="720"/>
        <w:jc w:val="both"/>
        <w:rPr>
          <w:lang w:val="es-ES"/>
        </w:rPr>
      </w:pPr>
      <w:bookmarkStart w:id="43" w:name="_Toc476667884"/>
      <w:r w:rsidRPr="00E57D5F">
        <w:rPr>
          <w:lang w:val="es-ES"/>
        </w:rPr>
        <w:t>Derecho a las garantías judiciales y protección judicial (artículos 8.1</w:t>
      </w:r>
      <w:r w:rsidRPr="00E57D5F">
        <w:rPr>
          <w:rStyle w:val="FootnoteReference"/>
          <w:lang w:val="es-ES"/>
        </w:rPr>
        <w:footnoteReference w:id="108"/>
      </w:r>
      <w:r w:rsidRPr="00E57D5F">
        <w:rPr>
          <w:lang w:val="es-ES"/>
        </w:rPr>
        <w:t xml:space="preserve"> y 25.1</w:t>
      </w:r>
      <w:r w:rsidRPr="00E57D5F">
        <w:rPr>
          <w:rStyle w:val="FootnoteReference"/>
          <w:lang w:val="es-ES"/>
        </w:rPr>
        <w:footnoteReference w:id="109"/>
      </w:r>
      <w:r w:rsidRPr="00E57D5F">
        <w:rPr>
          <w:lang w:val="es-ES"/>
        </w:rPr>
        <w:t xml:space="preserve"> de la Convención Americana) en relación con el artículo 1.1</w:t>
      </w:r>
      <w:r w:rsidRPr="00E57D5F">
        <w:rPr>
          <w:rStyle w:val="FootnoteReference"/>
          <w:lang w:val="es-ES"/>
        </w:rPr>
        <w:footnoteReference w:id="110"/>
      </w:r>
      <w:r w:rsidRPr="00E57D5F">
        <w:rPr>
          <w:lang w:val="es-ES"/>
        </w:rPr>
        <w:t xml:space="preserve"> del mismo instrumento</w:t>
      </w:r>
      <w:bookmarkEnd w:id="41"/>
      <w:bookmarkEnd w:id="43"/>
    </w:p>
    <w:p w:rsidR="007A61F8" w:rsidRPr="00E57D5F" w:rsidRDefault="007A61F8" w:rsidP="007A61F8">
      <w:pPr>
        <w:tabs>
          <w:tab w:val="left" w:pos="90"/>
          <w:tab w:val="center" w:pos="4680"/>
          <w:tab w:val="left" w:pos="6511"/>
        </w:tabs>
        <w:jc w:val="both"/>
        <w:rPr>
          <w:rFonts w:ascii="Cambria" w:hAnsi="Cambria"/>
          <w:b/>
          <w:sz w:val="20"/>
          <w:szCs w:val="20"/>
          <w:lang w:val="es-ES"/>
        </w:rPr>
      </w:pPr>
    </w:p>
    <w:p w:rsidR="007A61F8" w:rsidRPr="00E57D5F" w:rsidRDefault="007A61F8" w:rsidP="00EB5F77">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E57D5F">
        <w:rPr>
          <w:rFonts w:ascii="Cambria" w:hAnsi="Cambria"/>
          <w:sz w:val="20"/>
          <w:szCs w:val="20"/>
          <w:lang w:val="es-ES"/>
        </w:rPr>
        <w:t>La Comisión ha sostenido que los Estados partes de la Convención están obligados a suministrar recursos judiciales efectivos a las víctimas de violaciones de los derechos humanos, los cuales deben ser sustanciados de conformidad con las reglas del debido proceso</w:t>
      </w:r>
      <w:r w:rsidRPr="00E57D5F">
        <w:rPr>
          <w:rStyle w:val="FootnoteReference"/>
          <w:rFonts w:ascii="Cambria" w:eastAsia="Trebuchet MS" w:hAnsi="Cambria"/>
          <w:sz w:val="20"/>
          <w:szCs w:val="20"/>
        </w:rPr>
        <w:footnoteReference w:id="111"/>
      </w:r>
      <w:r w:rsidRPr="00E57D5F">
        <w:rPr>
          <w:rFonts w:ascii="Cambria" w:hAnsi="Cambria"/>
          <w:sz w:val="20"/>
          <w:szCs w:val="20"/>
          <w:lang w:val="es-ES"/>
        </w:rPr>
        <w:t xml:space="preserve">. </w:t>
      </w:r>
    </w:p>
    <w:p w:rsidR="007A61F8" w:rsidRPr="00E57D5F" w:rsidRDefault="005E2B4E" w:rsidP="005E2B4E">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6140"/>
        </w:tabs>
        <w:ind w:left="720"/>
        <w:jc w:val="both"/>
        <w:rPr>
          <w:rFonts w:ascii="Cambria" w:hAnsi="Cambria"/>
          <w:sz w:val="20"/>
          <w:szCs w:val="20"/>
          <w:lang w:val="es-ES"/>
        </w:rPr>
      </w:pPr>
      <w:r w:rsidRPr="00E57D5F">
        <w:rPr>
          <w:rFonts w:ascii="Cambria" w:hAnsi="Cambria"/>
          <w:sz w:val="20"/>
          <w:szCs w:val="20"/>
          <w:lang w:val="es-ES"/>
        </w:rPr>
        <w:tab/>
      </w:r>
      <w:r w:rsidRPr="00E57D5F">
        <w:rPr>
          <w:rFonts w:ascii="Cambria" w:hAnsi="Cambria"/>
          <w:sz w:val="20"/>
          <w:szCs w:val="20"/>
          <w:lang w:val="es-ES"/>
        </w:rPr>
        <w:tab/>
      </w:r>
    </w:p>
    <w:p w:rsidR="000F2E4F" w:rsidRPr="00E57D5F" w:rsidRDefault="000F2E4F" w:rsidP="008F1889">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E57D5F">
        <w:rPr>
          <w:rFonts w:ascii="Cambria" w:hAnsi="Cambria"/>
          <w:sz w:val="20"/>
          <w:szCs w:val="20"/>
        </w:rPr>
        <w:t>En ese sentido, la Comisión ha establecido que el artículo 25 de la Convención Americana guarda relación directa con su artículo 8.1, el cual consagra el derecho de toda persona a ser oída con las debidas garantías y dentro de un plazo razonable, por un juez o tribunal independiente e imparcial</w:t>
      </w:r>
      <w:r w:rsidRPr="00E57D5F">
        <w:rPr>
          <w:rFonts w:ascii="Cambria" w:hAnsi="Cambria"/>
          <w:sz w:val="20"/>
          <w:szCs w:val="20"/>
          <w:vertAlign w:val="superscript"/>
        </w:rPr>
        <w:footnoteReference w:id="112"/>
      </w:r>
      <w:r w:rsidRPr="00E57D5F">
        <w:rPr>
          <w:rFonts w:ascii="Cambria" w:hAnsi="Cambria"/>
          <w:sz w:val="20"/>
          <w:szCs w:val="20"/>
        </w:rPr>
        <w:t>.</w:t>
      </w:r>
    </w:p>
    <w:p w:rsidR="000F2E4F" w:rsidRPr="00E57D5F" w:rsidRDefault="000F2E4F" w:rsidP="008F1889">
      <w:pPr>
        <w:pStyle w:val="ListParagraph"/>
        <w:ind w:left="0" w:firstLine="720"/>
        <w:rPr>
          <w:rFonts w:ascii="Cambria" w:hAnsi="Cambria"/>
          <w:sz w:val="20"/>
          <w:szCs w:val="20"/>
          <w:lang w:val="es-ES"/>
        </w:rPr>
      </w:pPr>
    </w:p>
    <w:p w:rsidR="007A61F8" w:rsidRPr="00E57D5F" w:rsidRDefault="007A61F8" w:rsidP="008F1889">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E57D5F">
        <w:rPr>
          <w:rFonts w:ascii="Cambria" w:hAnsi="Cambria"/>
          <w:sz w:val="20"/>
          <w:szCs w:val="20"/>
          <w:lang w:val="es-ES"/>
        </w:rPr>
        <w:t>En cuanto al alcance de la protección otorgada por el artículo 25 de la Convención, la Corte ha indicado que dicho artículo “</w:t>
      </w:r>
      <w:r w:rsidRPr="00E57D5F">
        <w:rPr>
          <w:rFonts w:ascii="Cambria" w:hAnsi="Cambria"/>
          <w:sz w:val="20"/>
          <w:szCs w:val="20"/>
        </w:rPr>
        <w:t xml:space="preserve">establece, en términos amplios, la obligación a cargo de los Estados de ofrecer, </w:t>
      </w:r>
      <w:r w:rsidRPr="00E57D5F">
        <w:rPr>
          <w:rFonts w:ascii="Cambria" w:hAnsi="Cambria"/>
          <w:sz w:val="20"/>
          <w:szCs w:val="20"/>
        </w:rPr>
        <w:lastRenderedPageBreak/>
        <w:t>a todas las personas sometidas a su jurisdicción, un recurso judicial efectivo contra actos violatorios de sus derechos fundamentales. Dispone, además, que la garantía allí consagrada se aplica no sólo respecto de los derechos contenidos en la Convención, sino también de aquéllos que estén reconocidos por la Constitución o por la ley</w:t>
      </w:r>
      <w:r w:rsidRPr="00E57D5F">
        <w:rPr>
          <w:rStyle w:val="FootnoteReference"/>
          <w:rFonts w:ascii="Cambria" w:hAnsi="Cambria"/>
          <w:sz w:val="20"/>
          <w:szCs w:val="20"/>
        </w:rPr>
        <w:footnoteReference w:id="113"/>
      </w:r>
      <w:r w:rsidRPr="00E57D5F">
        <w:rPr>
          <w:rFonts w:ascii="Cambria" w:hAnsi="Cambria"/>
          <w:sz w:val="20"/>
          <w:szCs w:val="20"/>
        </w:rPr>
        <w:t>”.</w:t>
      </w: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7A61F8" w:rsidRPr="00E57D5F" w:rsidRDefault="007A61F8" w:rsidP="008F1889">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E57D5F">
        <w:rPr>
          <w:rFonts w:ascii="Cambria" w:hAnsi="Cambria"/>
          <w:sz w:val="20"/>
          <w:szCs w:val="20"/>
          <w:lang w:val="es-ES"/>
        </w:rPr>
        <w:t>Asimismo y de especial relevancia para el presente caso, la Corte Interamericana ha señalado lo siguiente:</w:t>
      </w:r>
    </w:p>
    <w:p w:rsidR="007A61F8" w:rsidRPr="00E57D5F" w:rsidRDefault="007A61F8" w:rsidP="008F1889">
      <w:pPr>
        <w:ind w:left="720" w:right="720"/>
        <w:jc w:val="both"/>
        <w:rPr>
          <w:rFonts w:ascii="Cambria" w:hAnsi="Cambria"/>
          <w:sz w:val="20"/>
          <w:szCs w:val="20"/>
          <w:lang w:val="es-ES"/>
        </w:rPr>
      </w:pPr>
    </w:p>
    <w:p w:rsidR="007A61F8" w:rsidRPr="00E57D5F" w:rsidRDefault="007A61F8" w:rsidP="008F1889">
      <w:pPr>
        <w:ind w:left="720" w:right="720"/>
        <w:jc w:val="both"/>
        <w:rPr>
          <w:rFonts w:ascii="Cambria" w:hAnsi="Cambria"/>
          <w:sz w:val="20"/>
          <w:szCs w:val="20"/>
          <w:lang w:val="es-ES"/>
        </w:rPr>
      </w:pPr>
      <w:r w:rsidRPr="00E57D5F">
        <w:rPr>
          <w:rFonts w:ascii="Cambria" w:hAnsi="Cambria"/>
          <w:sz w:val="20"/>
          <w:szCs w:val="20"/>
          <w:lang w:val="es-ES"/>
        </w:rPr>
        <w:t>Al establecer si el Estado es responsable internacionalmente por la alegada violación a los derechos consagrados en los artículos 8.1 y 25 de la Convención Americana, el aspecto sustancial de la controversia ante la Corte no es si en el ámbito interno se emitieron sentencias o resoluciones administrativas, o si se aplicaron o no determinadas disposiciones de derecho interno, en relación con las violaciones que se alega fueron cometidas en perjuicio de las presuntas víctimas de los hechos, sino si los procesos internos permitieron que se les garantizara un verdadero acceso a la justicia, conforme a los estándares previstos en la Convención Americana, para determinar los derechos que estaban en controversia</w:t>
      </w:r>
      <w:r w:rsidRPr="00E57D5F">
        <w:rPr>
          <w:rStyle w:val="FootnoteReference"/>
          <w:rFonts w:ascii="Cambria" w:hAnsi="Cambria"/>
          <w:sz w:val="20"/>
          <w:szCs w:val="20"/>
        </w:rPr>
        <w:footnoteReference w:id="114"/>
      </w:r>
      <w:r w:rsidRPr="00E57D5F">
        <w:rPr>
          <w:rFonts w:ascii="Cambria" w:hAnsi="Cambria"/>
          <w:sz w:val="20"/>
          <w:szCs w:val="20"/>
          <w:lang w:val="es-ES"/>
        </w:rPr>
        <w:t xml:space="preserve">. </w:t>
      </w:r>
    </w:p>
    <w:p w:rsidR="007A61F8" w:rsidRPr="00E57D5F" w:rsidRDefault="007A61F8" w:rsidP="007D174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rsidR="007A61F8" w:rsidRPr="00E57D5F" w:rsidRDefault="007A61F8" w:rsidP="008F1889">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E57D5F">
        <w:rPr>
          <w:rFonts w:ascii="Cambria" w:hAnsi="Cambria"/>
          <w:sz w:val="20"/>
          <w:szCs w:val="20"/>
          <w:lang w:val="es-ES"/>
        </w:rPr>
        <w:t xml:space="preserve">En virtud de lo anterior, la Comisión destaca que su análisis en este asunto se centrará en determinar si los procedimientos administrativos y judiciales interpuestos por las presuntas víctimas respetaron los derechos a las garantías judiciales y protección judicial, sin entrar a analizar si, conforme al derecho interno, les asistía razón en sus reclamaciones en cuanto a los salarios y beneficios sociales dejados de percibir durante la privación de libertad en el caso de la señora </w:t>
      </w:r>
      <w:proofErr w:type="spellStart"/>
      <w:r w:rsidRPr="00E57D5F">
        <w:rPr>
          <w:rFonts w:ascii="Cambria" w:hAnsi="Cambria"/>
          <w:sz w:val="20"/>
          <w:szCs w:val="20"/>
          <w:lang w:val="es-ES"/>
        </w:rPr>
        <w:t>Perrone</w:t>
      </w:r>
      <w:proofErr w:type="spellEnd"/>
      <w:r w:rsidRPr="00E57D5F">
        <w:rPr>
          <w:rFonts w:ascii="Cambria" w:hAnsi="Cambria"/>
          <w:sz w:val="20"/>
          <w:szCs w:val="20"/>
          <w:lang w:val="es-ES"/>
        </w:rPr>
        <w:t xml:space="preserve">, y durante la privación de libertad y exilio en el caso del señor </w:t>
      </w:r>
      <w:proofErr w:type="spellStart"/>
      <w:r w:rsidRPr="00E57D5F">
        <w:rPr>
          <w:rFonts w:ascii="Cambria" w:hAnsi="Cambria"/>
          <w:sz w:val="20"/>
          <w:szCs w:val="20"/>
          <w:lang w:val="es-ES"/>
        </w:rPr>
        <w:t>Preckel</w:t>
      </w:r>
      <w:proofErr w:type="spellEnd"/>
      <w:r w:rsidRPr="00E57D5F">
        <w:rPr>
          <w:rFonts w:ascii="Cambria" w:hAnsi="Cambria"/>
          <w:sz w:val="20"/>
          <w:szCs w:val="20"/>
          <w:lang w:val="es-ES"/>
        </w:rPr>
        <w:t xml:space="preserve">. </w:t>
      </w:r>
    </w:p>
    <w:p w:rsidR="007A61F8" w:rsidRPr="00E57D5F" w:rsidRDefault="007A61F8" w:rsidP="008F188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p>
    <w:p w:rsidR="007A61F8" w:rsidRPr="00E57D5F" w:rsidRDefault="007A61F8" w:rsidP="008F1889">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E57D5F">
        <w:rPr>
          <w:rFonts w:ascii="Cambria" w:hAnsi="Cambria"/>
          <w:sz w:val="20"/>
          <w:szCs w:val="20"/>
          <w:lang w:val="es-ES"/>
        </w:rPr>
        <w:t>En particular, la Comisión se pronunciará sobre</w:t>
      </w:r>
      <w:r w:rsidR="001D11A4" w:rsidRPr="00E57D5F">
        <w:rPr>
          <w:rFonts w:ascii="Cambria" w:hAnsi="Cambria"/>
          <w:sz w:val="20"/>
          <w:szCs w:val="20"/>
          <w:lang w:val="es-ES"/>
        </w:rPr>
        <w:t xml:space="preserve"> la garantía de plazo razonable así como sobre el deber de motivación, ambas garantías previstas </w:t>
      </w:r>
      <w:r w:rsidRPr="00E57D5F">
        <w:rPr>
          <w:rFonts w:ascii="Cambria" w:hAnsi="Cambria"/>
          <w:sz w:val="20"/>
          <w:szCs w:val="20"/>
          <w:lang w:val="es-ES"/>
        </w:rPr>
        <w:t xml:space="preserve">en el artículo 8.1 de la Convención. Con base en las determinaciones la Comisión analizará si los recursos interpuestos a nivel interno fueron efectivos para resolver los reclamos de las presuntas víctimas, en los términos del artículo 25 de la Convención. </w:t>
      </w:r>
    </w:p>
    <w:p w:rsidR="007A61F8" w:rsidRPr="00E57D5F" w:rsidRDefault="007A61F8" w:rsidP="007A61F8">
      <w:pPr>
        <w:jc w:val="both"/>
        <w:rPr>
          <w:rFonts w:ascii="Cambria" w:hAnsi="Cambria"/>
          <w:sz w:val="20"/>
          <w:szCs w:val="20"/>
          <w:lang w:val="es-ES"/>
        </w:rPr>
      </w:pPr>
    </w:p>
    <w:p w:rsidR="008D5D00" w:rsidRPr="00E57D5F" w:rsidRDefault="008D5D00" w:rsidP="007A61F8">
      <w:pPr>
        <w:pStyle w:val="Heading3"/>
        <w:numPr>
          <w:ilvl w:val="3"/>
          <w:numId w:val="51"/>
        </w:numPr>
        <w:tabs>
          <w:tab w:val="clear" w:pos="2880"/>
          <w:tab w:val="num" w:pos="1440"/>
        </w:tabs>
        <w:ind w:hanging="2160"/>
      </w:pPr>
      <w:bookmarkStart w:id="44" w:name="_Toc476667885"/>
      <w:r w:rsidRPr="00E57D5F">
        <w:t>Sobre la garantía del plazo razonable</w:t>
      </w:r>
      <w:bookmarkEnd w:id="44"/>
    </w:p>
    <w:p w:rsidR="008D5D00" w:rsidRPr="00E57D5F" w:rsidRDefault="008D5D00" w:rsidP="008D5D00">
      <w:pPr>
        <w:pStyle w:val="Heading3"/>
        <w:ind w:left="2880" w:firstLine="0"/>
        <w:rPr>
          <w:b w:val="0"/>
        </w:rPr>
      </w:pPr>
    </w:p>
    <w:p w:rsidR="008D5D00" w:rsidRPr="00E57D5F" w:rsidRDefault="008D5D00" w:rsidP="008D5D0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lang w:val="es-ES"/>
        </w:rPr>
      </w:pPr>
      <w:r w:rsidRPr="00E57D5F">
        <w:rPr>
          <w:rFonts w:ascii="Cambria" w:hAnsi="Cambria"/>
          <w:sz w:val="20"/>
          <w:szCs w:val="20"/>
          <w:lang w:val="es-ES"/>
        </w:rPr>
        <w:t>El artículo 8.1 de la Convención Americana establece como uno de los elementos del debido proceso que los tribunales decidan los casos sometidos a su conocimiento en un plazo razonable. En este sentido, una demora prolongada puede llegar a constituir, por sí misma, una violación de las garantías judiciales</w:t>
      </w:r>
      <w:r w:rsidRPr="00E57D5F">
        <w:rPr>
          <w:rStyle w:val="FootnoteReference"/>
          <w:rFonts w:ascii="Cambria" w:hAnsi="Cambria"/>
          <w:sz w:val="20"/>
          <w:szCs w:val="20"/>
          <w:lang w:val="es-ES_tradnl"/>
        </w:rPr>
        <w:footnoteReference w:id="115"/>
      </w:r>
      <w:r w:rsidRPr="00E57D5F">
        <w:rPr>
          <w:rFonts w:ascii="Cambria" w:hAnsi="Cambria"/>
          <w:sz w:val="20"/>
          <w:szCs w:val="20"/>
          <w:lang w:val="es-ES"/>
        </w:rPr>
        <w:t xml:space="preserve">. </w:t>
      </w:r>
    </w:p>
    <w:p w:rsidR="008D5D00" w:rsidRPr="00E57D5F" w:rsidRDefault="008D5D00" w:rsidP="008D5D0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8D5D00" w:rsidRPr="00E57D5F" w:rsidRDefault="008D5D00" w:rsidP="008D5D0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lang w:val="es-ES"/>
        </w:rPr>
      </w:pPr>
      <w:r w:rsidRPr="00E57D5F">
        <w:rPr>
          <w:rFonts w:ascii="Cambria" w:hAnsi="Cambria"/>
          <w:sz w:val="20"/>
          <w:szCs w:val="20"/>
          <w:lang w:val="es-ES_tradnl"/>
        </w:rPr>
        <w:t xml:space="preserve">En el presente caso, </w:t>
      </w:r>
      <w:r w:rsidR="00180AF9" w:rsidRPr="00E57D5F">
        <w:rPr>
          <w:rFonts w:ascii="Cambria" w:hAnsi="Cambria"/>
          <w:sz w:val="20"/>
          <w:szCs w:val="20"/>
          <w:lang w:val="es-ES_tradnl"/>
        </w:rPr>
        <w:t>la Comisión considera que corresponde tomar en cuenta el tiempo transcurrido desde el inicio del reclamo administrativo hasta la determinación final en el ámbito judicial, tomando en cuenta que los reclamos admini</w:t>
      </w:r>
      <w:r w:rsidR="00902008" w:rsidRPr="00E57D5F">
        <w:rPr>
          <w:rFonts w:ascii="Cambria" w:hAnsi="Cambria"/>
          <w:sz w:val="20"/>
          <w:szCs w:val="20"/>
          <w:lang w:val="es-ES_tradnl"/>
        </w:rPr>
        <w:t xml:space="preserve">strativos son pasos previos para acudir a la vía judicial. En ese sentido, </w:t>
      </w:r>
      <w:r w:rsidR="001D11A4" w:rsidRPr="00E57D5F">
        <w:rPr>
          <w:rFonts w:ascii="Cambria" w:hAnsi="Cambria"/>
          <w:sz w:val="20"/>
          <w:szCs w:val="20"/>
          <w:lang w:val="es-ES_tradnl"/>
        </w:rPr>
        <w:t xml:space="preserve">los procesos administrativos y judiciales </w:t>
      </w:r>
      <w:r w:rsidR="009C6DBD" w:rsidRPr="00E57D5F">
        <w:rPr>
          <w:rFonts w:ascii="Cambria" w:hAnsi="Cambria"/>
          <w:sz w:val="20"/>
          <w:szCs w:val="20"/>
          <w:lang w:val="es-ES_tradnl"/>
        </w:rPr>
        <w:t>seguido</w:t>
      </w:r>
      <w:r w:rsidR="001D11A4" w:rsidRPr="00E57D5F">
        <w:rPr>
          <w:rFonts w:ascii="Cambria" w:hAnsi="Cambria"/>
          <w:sz w:val="20"/>
          <w:szCs w:val="20"/>
          <w:lang w:val="es-ES_tradnl"/>
        </w:rPr>
        <w:t>s</w:t>
      </w:r>
      <w:r w:rsidR="009C6DBD" w:rsidRPr="00E57D5F">
        <w:rPr>
          <w:rFonts w:ascii="Cambria" w:hAnsi="Cambria"/>
          <w:sz w:val="20"/>
          <w:szCs w:val="20"/>
          <w:lang w:val="es-ES_tradnl"/>
        </w:rPr>
        <w:t xml:space="preserve"> por la señora </w:t>
      </w:r>
      <w:proofErr w:type="spellStart"/>
      <w:r w:rsidR="009C6DBD" w:rsidRPr="00E57D5F">
        <w:rPr>
          <w:rFonts w:ascii="Cambria" w:hAnsi="Cambria"/>
          <w:sz w:val="20"/>
          <w:szCs w:val="20"/>
          <w:lang w:val="es-ES_tradnl"/>
        </w:rPr>
        <w:t>Perrone</w:t>
      </w:r>
      <w:proofErr w:type="spellEnd"/>
      <w:r w:rsidR="009C6DBD" w:rsidRPr="00E57D5F">
        <w:rPr>
          <w:rFonts w:ascii="Cambria" w:hAnsi="Cambria"/>
          <w:sz w:val="20"/>
          <w:szCs w:val="20"/>
          <w:lang w:val="es-ES_tradnl"/>
        </w:rPr>
        <w:t xml:space="preserve"> y el señor </w:t>
      </w:r>
      <w:proofErr w:type="spellStart"/>
      <w:r w:rsidR="009C6DBD" w:rsidRPr="00E57D5F">
        <w:rPr>
          <w:rFonts w:ascii="Cambria" w:hAnsi="Cambria"/>
          <w:sz w:val="20"/>
          <w:szCs w:val="20"/>
          <w:lang w:val="es-ES_tradnl"/>
        </w:rPr>
        <w:t>Preckel</w:t>
      </w:r>
      <w:proofErr w:type="spellEnd"/>
      <w:r w:rsidR="009C6DBD" w:rsidRPr="00E57D5F">
        <w:rPr>
          <w:rFonts w:ascii="Cambria" w:hAnsi="Cambria"/>
          <w:sz w:val="20"/>
          <w:szCs w:val="20"/>
          <w:lang w:val="es-ES_tradnl"/>
        </w:rPr>
        <w:t xml:space="preserve"> tuv</w:t>
      </w:r>
      <w:r w:rsidR="001D11A4" w:rsidRPr="00E57D5F">
        <w:rPr>
          <w:rFonts w:ascii="Cambria" w:hAnsi="Cambria"/>
          <w:sz w:val="20"/>
          <w:szCs w:val="20"/>
          <w:lang w:val="es-ES_tradnl"/>
        </w:rPr>
        <w:t>ieron</w:t>
      </w:r>
      <w:r w:rsidR="009C6DBD" w:rsidRPr="00E57D5F">
        <w:rPr>
          <w:rFonts w:ascii="Cambria" w:hAnsi="Cambria"/>
          <w:sz w:val="20"/>
          <w:szCs w:val="20"/>
          <w:lang w:val="es-ES_tradnl"/>
        </w:rPr>
        <w:t xml:space="preserve"> una duración de </w:t>
      </w:r>
      <w:r w:rsidR="00231CEA" w:rsidRPr="00E57D5F">
        <w:rPr>
          <w:rFonts w:ascii="Cambria" w:hAnsi="Cambria"/>
          <w:sz w:val="20"/>
          <w:szCs w:val="20"/>
          <w:lang w:val="es-ES_tradnl"/>
        </w:rPr>
        <w:t>doce</w:t>
      </w:r>
      <w:r w:rsidR="009C6DBD" w:rsidRPr="00E57D5F">
        <w:rPr>
          <w:rFonts w:ascii="Cambria" w:hAnsi="Cambria"/>
          <w:sz w:val="20"/>
          <w:szCs w:val="20"/>
          <w:lang w:val="es-ES_tradnl"/>
        </w:rPr>
        <w:t xml:space="preserve"> años y medio. La CIDH toma nota de que</w:t>
      </w:r>
      <w:r w:rsidRPr="00E57D5F">
        <w:rPr>
          <w:rFonts w:ascii="Cambria" w:hAnsi="Cambria"/>
          <w:sz w:val="20"/>
          <w:szCs w:val="20"/>
          <w:lang w:val="es-ES_tradnl"/>
        </w:rPr>
        <w:t xml:space="preserve"> el Estado no presentó justificación alguna sobre dicha demora. Según los términos del artículo 8.1 de la Convención Americana, la Comisión tomará en consideración, a la luz de las circunstancias concretas del caso y tomando en cuenta la falta de justificación referida, los siguientes cuatro elementos para analizar la razonabilidad del plazo, a saber</w:t>
      </w:r>
      <w:r w:rsidRPr="00E57D5F">
        <w:rPr>
          <w:rFonts w:ascii="Cambria" w:hAnsi="Cambria"/>
          <w:sz w:val="20"/>
          <w:szCs w:val="20"/>
          <w:lang w:val="es-ES"/>
        </w:rPr>
        <w:t xml:space="preserve">: i) la complejidad </w:t>
      </w:r>
      <w:r w:rsidRPr="00E57D5F">
        <w:rPr>
          <w:rFonts w:ascii="Cambria" w:hAnsi="Cambria"/>
          <w:sz w:val="20"/>
          <w:szCs w:val="20"/>
          <w:lang w:val="es-ES"/>
        </w:rPr>
        <w:lastRenderedPageBreak/>
        <w:t>del asunto; ii) la actividad procesal del interesado; iii) la conducta de las autoridades judiciales;</w:t>
      </w:r>
      <w:r w:rsidRPr="00E57D5F">
        <w:rPr>
          <w:rFonts w:ascii="Cambria" w:hAnsi="Cambria"/>
          <w:sz w:val="20"/>
          <w:szCs w:val="20"/>
          <w:lang w:val="es-ES_tradnl"/>
        </w:rPr>
        <w:t xml:space="preserve"> y iv) afectación generada en la situación jurídica de la persona involucrada en el proceso</w:t>
      </w:r>
      <w:r w:rsidRPr="00E57D5F">
        <w:rPr>
          <w:rStyle w:val="FootnoteReference"/>
          <w:rFonts w:ascii="Cambria" w:hAnsi="Cambria"/>
          <w:sz w:val="20"/>
          <w:szCs w:val="20"/>
          <w:lang w:val="es-ES_tradnl"/>
        </w:rPr>
        <w:footnoteReference w:id="116"/>
      </w:r>
      <w:r w:rsidRPr="00E57D5F">
        <w:rPr>
          <w:rFonts w:ascii="Cambria" w:hAnsi="Cambria"/>
          <w:sz w:val="20"/>
          <w:szCs w:val="20"/>
          <w:lang w:val="es-ES"/>
        </w:rPr>
        <w:t>.</w:t>
      </w:r>
    </w:p>
    <w:p w:rsidR="008D5D00" w:rsidRPr="00E57D5F" w:rsidRDefault="008D5D00" w:rsidP="008D5D00">
      <w:pPr>
        <w:pStyle w:val="ListParagraph"/>
        <w:rPr>
          <w:rFonts w:ascii="Cambria" w:hAnsi="Cambria"/>
          <w:sz w:val="20"/>
          <w:szCs w:val="20"/>
          <w:lang w:val="es-ES"/>
        </w:rPr>
      </w:pPr>
    </w:p>
    <w:p w:rsidR="00231CEA" w:rsidRPr="00E57D5F" w:rsidRDefault="008D5D00" w:rsidP="008D5D0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lang w:val="es-ES"/>
        </w:rPr>
      </w:pPr>
      <w:r w:rsidRPr="00E57D5F">
        <w:rPr>
          <w:rFonts w:ascii="Cambria" w:hAnsi="Cambria" w:cs="Univers"/>
          <w:sz w:val="20"/>
          <w:szCs w:val="20"/>
          <w:lang w:val="es-ES" w:eastAsia="es-ES_tradnl"/>
        </w:rPr>
        <w:t xml:space="preserve">En relación a la complejidad, la CIDH toma nota de que el asunto no resultaba complejo. La Comisión resalta que tanto los peticionarios como el Estado reconocieron que en ambos procesos no se realizaron mayores diligencias en tanto la controversia era esencialmente de derecho y se basaba en si resultaba legal el pago de haberes no recibidos a </w:t>
      </w:r>
      <w:r w:rsidRPr="00E57D5F">
        <w:rPr>
          <w:rFonts w:ascii="Cambria" w:hAnsi="Cambria"/>
          <w:sz w:val="20"/>
          <w:szCs w:val="20"/>
          <w:lang w:val="es-ES_tradnl"/>
        </w:rPr>
        <w:t xml:space="preserve">la señora </w:t>
      </w:r>
      <w:proofErr w:type="spellStart"/>
      <w:r w:rsidRPr="00E57D5F">
        <w:rPr>
          <w:rFonts w:ascii="Cambria" w:hAnsi="Cambria"/>
          <w:sz w:val="20"/>
          <w:szCs w:val="20"/>
          <w:lang w:val="es-ES_tradnl"/>
        </w:rPr>
        <w:t>Perrone</w:t>
      </w:r>
      <w:proofErr w:type="spellEnd"/>
      <w:r w:rsidRPr="00E57D5F">
        <w:rPr>
          <w:rFonts w:ascii="Cambria" w:hAnsi="Cambria"/>
          <w:sz w:val="20"/>
          <w:szCs w:val="20"/>
          <w:lang w:val="es-ES_tradnl"/>
        </w:rPr>
        <w:t xml:space="preserve"> y al señor </w:t>
      </w:r>
      <w:proofErr w:type="spellStart"/>
      <w:r w:rsidRPr="00E57D5F">
        <w:rPr>
          <w:rFonts w:ascii="Cambria" w:hAnsi="Cambria"/>
          <w:sz w:val="20"/>
          <w:szCs w:val="20"/>
          <w:lang w:val="es-ES_tradnl"/>
        </w:rPr>
        <w:t>Preckel</w:t>
      </w:r>
      <w:proofErr w:type="spellEnd"/>
      <w:r w:rsidRPr="00E57D5F">
        <w:rPr>
          <w:rFonts w:ascii="Cambria" w:hAnsi="Cambria"/>
          <w:sz w:val="20"/>
          <w:szCs w:val="20"/>
          <w:lang w:val="es-ES_tradnl"/>
        </w:rPr>
        <w:t xml:space="preserve">. </w:t>
      </w:r>
    </w:p>
    <w:p w:rsidR="00231CEA" w:rsidRPr="00E57D5F" w:rsidRDefault="00231CEA" w:rsidP="00231CEA">
      <w:pPr>
        <w:pStyle w:val="ListParagraph"/>
        <w:rPr>
          <w:rFonts w:ascii="Cambria" w:hAnsi="Cambria"/>
          <w:sz w:val="20"/>
          <w:szCs w:val="20"/>
          <w:lang w:val="es-ES"/>
        </w:rPr>
      </w:pPr>
    </w:p>
    <w:p w:rsidR="00231CEA" w:rsidRPr="00E57D5F" w:rsidRDefault="008D5D00" w:rsidP="008D5D0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lang w:val="es-ES"/>
        </w:rPr>
      </w:pPr>
      <w:r w:rsidRPr="00E57D5F">
        <w:rPr>
          <w:rFonts w:ascii="Cambria" w:hAnsi="Cambria"/>
          <w:sz w:val="20"/>
          <w:szCs w:val="20"/>
          <w:lang w:val="es-ES"/>
        </w:rPr>
        <w:t xml:space="preserve">En cuanto a la participación de las personas interesadas, la Comisión observa que </w:t>
      </w:r>
      <w:r w:rsidRPr="00E57D5F">
        <w:rPr>
          <w:rFonts w:ascii="Cambria" w:hAnsi="Cambria"/>
          <w:sz w:val="20"/>
          <w:szCs w:val="20"/>
          <w:lang w:val="es-ES_tradnl"/>
        </w:rPr>
        <w:t xml:space="preserve">tanto la señora </w:t>
      </w:r>
      <w:proofErr w:type="spellStart"/>
      <w:r w:rsidRPr="00E57D5F">
        <w:rPr>
          <w:rFonts w:ascii="Cambria" w:hAnsi="Cambria"/>
          <w:sz w:val="20"/>
          <w:szCs w:val="20"/>
          <w:lang w:val="es-ES_tradnl"/>
        </w:rPr>
        <w:t>Perrone</w:t>
      </w:r>
      <w:proofErr w:type="spellEnd"/>
      <w:r w:rsidRPr="00E57D5F">
        <w:rPr>
          <w:rFonts w:ascii="Cambria" w:hAnsi="Cambria"/>
          <w:sz w:val="20"/>
          <w:szCs w:val="20"/>
          <w:lang w:val="es-ES_tradnl"/>
        </w:rPr>
        <w:t xml:space="preserve"> y el señor </w:t>
      </w:r>
      <w:proofErr w:type="spellStart"/>
      <w:r w:rsidRPr="00E57D5F">
        <w:rPr>
          <w:rFonts w:ascii="Cambria" w:hAnsi="Cambria"/>
          <w:sz w:val="20"/>
          <w:szCs w:val="20"/>
          <w:lang w:val="es-ES_tradnl"/>
        </w:rPr>
        <w:t>Preckel</w:t>
      </w:r>
      <w:proofErr w:type="spellEnd"/>
      <w:r w:rsidRPr="00E57D5F">
        <w:rPr>
          <w:rFonts w:ascii="Cambria" w:hAnsi="Cambria"/>
          <w:sz w:val="20"/>
          <w:szCs w:val="20"/>
          <w:lang w:val="es-ES_tradnl"/>
        </w:rPr>
        <w:t xml:space="preserve"> dieron seguimiento e impulso a </w:t>
      </w:r>
      <w:r w:rsidR="00231CEA" w:rsidRPr="00E57D5F">
        <w:rPr>
          <w:rFonts w:ascii="Cambria" w:hAnsi="Cambria"/>
          <w:sz w:val="20"/>
          <w:szCs w:val="20"/>
          <w:lang w:val="es-ES_tradnl"/>
        </w:rPr>
        <w:t>sus procesos. En base a la documentación presentada por las partes no</w:t>
      </w:r>
      <w:r w:rsidRPr="00E57D5F">
        <w:rPr>
          <w:rFonts w:ascii="Cambria" w:hAnsi="Cambria"/>
          <w:sz w:val="20"/>
          <w:szCs w:val="20"/>
          <w:lang w:val="es-ES_tradnl"/>
        </w:rPr>
        <w:t xml:space="preserve"> </w:t>
      </w:r>
      <w:r w:rsidR="00231CEA" w:rsidRPr="00E57D5F">
        <w:rPr>
          <w:rFonts w:ascii="Cambria" w:hAnsi="Cambria"/>
          <w:sz w:val="20"/>
          <w:szCs w:val="20"/>
          <w:lang w:val="es-ES_tradnl"/>
        </w:rPr>
        <w:t>se desprende</w:t>
      </w:r>
      <w:r w:rsidRPr="00E57D5F">
        <w:rPr>
          <w:rFonts w:ascii="Cambria" w:hAnsi="Cambria"/>
          <w:sz w:val="20"/>
          <w:szCs w:val="20"/>
          <w:lang w:val="es-ES_tradnl"/>
        </w:rPr>
        <w:t xml:space="preserve"> que su actividad </w:t>
      </w:r>
      <w:r w:rsidR="00231CEA" w:rsidRPr="00E57D5F">
        <w:rPr>
          <w:rFonts w:ascii="Cambria" w:hAnsi="Cambria"/>
          <w:sz w:val="20"/>
          <w:szCs w:val="20"/>
          <w:lang w:val="es-ES_tradnl"/>
        </w:rPr>
        <w:t>haya constituido</w:t>
      </w:r>
      <w:r w:rsidRPr="00E57D5F">
        <w:rPr>
          <w:rFonts w:ascii="Cambria" w:hAnsi="Cambria"/>
          <w:sz w:val="20"/>
          <w:szCs w:val="20"/>
          <w:lang w:val="es-ES_tradnl"/>
        </w:rPr>
        <w:t xml:space="preserve"> alguna forma de obstrucción o dilación indebida.  </w:t>
      </w:r>
    </w:p>
    <w:p w:rsidR="00231CEA" w:rsidRPr="00E57D5F" w:rsidRDefault="00231CEA" w:rsidP="00231CEA">
      <w:pPr>
        <w:pStyle w:val="ListParagraph"/>
        <w:rPr>
          <w:rFonts w:ascii="Cambria" w:hAnsi="Cambria"/>
          <w:sz w:val="20"/>
          <w:szCs w:val="20"/>
          <w:lang w:val="es-ES_tradnl"/>
        </w:rPr>
      </w:pPr>
    </w:p>
    <w:p w:rsidR="00231CEA" w:rsidRPr="00E57D5F" w:rsidRDefault="008D5D00" w:rsidP="008D5D0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lang w:val="es-ES"/>
        </w:rPr>
      </w:pPr>
      <w:r w:rsidRPr="00E57D5F">
        <w:rPr>
          <w:rFonts w:ascii="Cambria" w:hAnsi="Cambria"/>
          <w:sz w:val="20"/>
          <w:szCs w:val="20"/>
          <w:lang w:val="es-ES_tradnl"/>
        </w:rPr>
        <w:t xml:space="preserve">En relación con la </w:t>
      </w:r>
      <w:r w:rsidRPr="00E57D5F">
        <w:rPr>
          <w:rFonts w:ascii="Cambria" w:hAnsi="Cambria"/>
          <w:sz w:val="20"/>
          <w:szCs w:val="20"/>
          <w:lang w:val="es-ES"/>
        </w:rPr>
        <w:t xml:space="preserve">conducta de las autoridades judiciales, la CIDH toma nota del transcurso de tiempo prolongado entre las diversas instancias que conocieron las denuncias presentadas sin que del expediente surja información alguna para justificar dichos lapsos. </w:t>
      </w:r>
      <w:r w:rsidR="00231CEA" w:rsidRPr="00E57D5F">
        <w:rPr>
          <w:rFonts w:ascii="Cambria" w:hAnsi="Cambria"/>
          <w:sz w:val="20"/>
          <w:szCs w:val="20"/>
          <w:lang w:val="es-ES"/>
        </w:rPr>
        <w:t xml:space="preserve">En el ámbito administrativo, la Comisión observa los distintos niveles de consulta de diversas instancias respecto de la solicitud de Elba Clotilde </w:t>
      </w:r>
      <w:proofErr w:type="spellStart"/>
      <w:r w:rsidR="00231CEA" w:rsidRPr="00E57D5F">
        <w:rPr>
          <w:rFonts w:ascii="Cambria" w:hAnsi="Cambria"/>
          <w:sz w:val="20"/>
          <w:szCs w:val="20"/>
          <w:lang w:val="es-ES"/>
        </w:rPr>
        <w:t>Perrone</w:t>
      </w:r>
      <w:proofErr w:type="spellEnd"/>
      <w:r w:rsidR="00231CEA" w:rsidRPr="00E57D5F">
        <w:rPr>
          <w:rFonts w:ascii="Cambria" w:hAnsi="Cambria"/>
          <w:sz w:val="20"/>
          <w:szCs w:val="20"/>
          <w:lang w:val="es-ES"/>
        </w:rPr>
        <w:t xml:space="preserve"> y Juan José </w:t>
      </w:r>
      <w:proofErr w:type="spellStart"/>
      <w:r w:rsidR="00231CEA" w:rsidRPr="00E57D5F">
        <w:rPr>
          <w:rFonts w:ascii="Cambria" w:hAnsi="Cambria"/>
          <w:sz w:val="20"/>
          <w:szCs w:val="20"/>
          <w:lang w:val="es-ES"/>
        </w:rPr>
        <w:t>Preckel</w:t>
      </w:r>
      <w:proofErr w:type="spellEnd"/>
      <w:r w:rsidR="00231CEA" w:rsidRPr="00E57D5F">
        <w:rPr>
          <w:rFonts w:ascii="Cambria" w:hAnsi="Cambria"/>
          <w:sz w:val="20"/>
          <w:szCs w:val="20"/>
          <w:lang w:val="es-ES"/>
        </w:rPr>
        <w:t>. Al respecto, la CIDH nota que dichas instancias demoraron en algunos casos más de un año para emitir un dictamen sobre la controversia, sin que dicha</w:t>
      </w:r>
      <w:r w:rsidR="001D11A4" w:rsidRPr="00E57D5F">
        <w:rPr>
          <w:rFonts w:ascii="Cambria" w:hAnsi="Cambria"/>
          <w:sz w:val="20"/>
          <w:szCs w:val="20"/>
          <w:lang w:val="es-ES"/>
        </w:rPr>
        <w:t xml:space="preserve">s </w:t>
      </w:r>
      <w:r w:rsidR="00231CEA" w:rsidRPr="00E57D5F">
        <w:rPr>
          <w:rFonts w:ascii="Cambria" w:hAnsi="Cambria"/>
          <w:sz w:val="20"/>
          <w:szCs w:val="20"/>
          <w:lang w:val="es-ES"/>
        </w:rPr>
        <w:t>demora</w:t>
      </w:r>
      <w:r w:rsidR="001D11A4" w:rsidRPr="00E57D5F">
        <w:rPr>
          <w:rFonts w:ascii="Cambria" w:hAnsi="Cambria"/>
          <w:sz w:val="20"/>
          <w:szCs w:val="20"/>
          <w:lang w:val="es-ES"/>
        </w:rPr>
        <w:t>s hubieran sido justificadas</w:t>
      </w:r>
      <w:r w:rsidR="00231CEA" w:rsidRPr="00E57D5F">
        <w:rPr>
          <w:rFonts w:ascii="Cambria" w:hAnsi="Cambria"/>
          <w:sz w:val="20"/>
          <w:szCs w:val="20"/>
          <w:lang w:val="es-ES"/>
        </w:rPr>
        <w:t xml:space="preserve">. En el ámbito judicial, la Comisión también nota, </w:t>
      </w:r>
      <w:r w:rsidR="00180AF9" w:rsidRPr="00E57D5F">
        <w:rPr>
          <w:rFonts w:ascii="Cambria" w:hAnsi="Cambria"/>
          <w:sz w:val="20"/>
          <w:szCs w:val="20"/>
          <w:lang w:val="es-ES"/>
        </w:rPr>
        <w:t>con</w:t>
      </w:r>
      <w:r w:rsidR="00231CEA" w:rsidRPr="00E57D5F">
        <w:rPr>
          <w:rFonts w:ascii="Cambria" w:hAnsi="Cambria"/>
          <w:sz w:val="20"/>
          <w:szCs w:val="20"/>
          <w:lang w:val="es-ES"/>
        </w:rPr>
        <w:t xml:space="preserve"> base</w:t>
      </w:r>
      <w:r w:rsidR="00180AF9" w:rsidRPr="00E57D5F">
        <w:rPr>
          <w:rFonts w:ascii="Cambria" w:hAnsi="Cambria"/>
          <w:sz w:val="20"/>
          <w:szCs w:val="20"/>
          <w:lang w:val="es-ES"/>
        </w:rPr>
        <w:t xml:space="preserve"> en</w:t>
      </w:r>
      <w:r w:rsidR="00231CEA" w:rsidRPr="00E57D5F">
        <w:rPr>
          <w:rFonts w:ascii="Cambria" w:hAnsi="Cambria"/>
          <w:sz w:val="20"/>
          <w:szCs w:val="20"/>
          <w:lang w:val="es-ES"/>
        </w:rPr>
        <w:t xml:space="preserve"> la documentación aportada por las partes, que no se realizaron mayores diligencias</w:t>
      </w:r>
      <w:r w:rsidR="00BC3815" w:rsidRPr="00E57D5F">
        <w:rPr>
          <w:rFonts w:ascii="Cambria" w:hAnsi="Cambria"/>
          <w:sz w:val="20"/>
          <w:szCs w:val="20"/>
          <w:lang w:val="es-ES"/>
        </w:rPr>
        <w:t xml:space="preserve"> en las diversas instancias en que transcurrieron los procesos. La CIDH observa que el Estado </w:t>
      </w:r>
      <w:r w:rsidR="00180AF9" w:rsidRPr="00E57D5F">
        <w:rPr>
          <w:rFonts w:ascii="Cambria" w:hAnsi="Cambria"/>
          <w:sz w:val="20"/>
          <w:szCs w:val="20"/>
          <w:lang w:val="es-ES"/>
        </w:rPr>
        <w:t xml:space="preserve">tampoco </w:t>
      </w:r>
      <w:r w:rsidR="00BC3815" w:rsidRPr="00E57D5F">
        <w:rPr>
          <w:rFonts w:ascii="Cambria" w:hAnsi="Cambria"/>
          <w:sz w:val="20"/>
          <w:szCs w:val="20"/>
          <w:lang w:val="es-ES"/>
        </w:rPr>
        <w:t>justificó las demoras en el trámite y resolución de dichos procesos.</w:t>
      </w:r>
    </w:p>
    <w:p w:rsidR="00231CEA" w:rsidRPr="00E57D5F" w:rsidRDefault="00231CEA" w:rsidP="00231CEA">
      <w:pPr>
        <w:pStyle w:val="ListParagraph"/>
        <w:rPr>
          <w:rFonts w:ascii="Cambria" w:hAnsi="Cambria"/>
          <w:sz w:val="20"/>
          <w:szCs w:val="20"/>
          <w:lang w:val="es-ES"/>
        </w:rPr>
      </w:pPr>
    </w:p>
    <w:p w:rsidR="008D5D00" w:rsidRPr="00E57D5F" w:rsidRDefault="008D5D00" w:rsidP="008D5D0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lang w:val="es-ES"/>
        </w:rPr>
      </w:pPr>
      <w:r w:rsidRPr="00E57D5F">
        <w:rPr>
          <w:rFonts w:ascii="Cambria" w:hAnsi="Cambria"/>
          <w:sz w:val="20"/>
          <w:szCs w:val="20"/>
          <w:lang w:val="es-ES"/>
        </w:rPr>
        <w:t>La Comisión considera que en el presente caso no es necesario pronunciarse sobre el cuarto elemento.</w:t>
      </w:r>
    </w:p>
    <w:p w:rsidR="008D5D00" w:rsidRPr="00E57D5F" w:rsidRDefault="008D5D00" w:rsidP="008D5D00">
      <w:pPr>
        <w:pStyle w:val="ListParagraph"/>
        <w:rPr>
          <w:rFonts w:ascii="Cambria" w:hAnsi="Cambria"/>
          <w:sz w:val="20"/>
          <w:szCs w:val="20"/>
          <w:lang w:val="es-ES"/>
        </w:rPr>
      </w:pPr>
    </w:p>
    <w:p w:rsidR="008D5D00" w:rsidRPr="00E57D5F" w:rsidRDefault="008D5D00" w:rsidP="008F1889">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E57D5F">
        <w:rPr>
          <w:rFonts w:ascii="Cambria" w:hAnsi="Cambria"/>
          <w:sz w:val="20"/>
          <w:szCs w:val="20"/>
        </w:rPr>
        <w:t>En</w:t>
      </w:r>
      <w:r w:rsidRPr="00E57D5F">
        <w:rPr>
          <w:rFonts w:ascii="Cambria" w:hAnsi="Cambria"/>
          <w:sz w:val="20"/>
          <w:szCs w:val="20"/>
          <w:lang w:val="es-ES"/>
        </w:rPr>
        <w:t xml:space="preserve"> suma, </w:t>
      </w:r>
      <w:r w:rsidRPr="00E57D5F">
        <w:rPr>
          <w:rFonts w:ascii="Cambria" w:hAnsi="Cambria"/>
          <w:sz w:val="20"/>
          <w:szCs w:val="20"/>
        </w:rPr>
        <w:t>la Comisión considera que tomando en cuenta las características del asunto y la ausencia de justificación por parte del Estado, el lapso de</w:t>
      </w:r>
      <w:r w:rsidR="009C6DBD" w:rsidRPr="00E57D5F">
        <w:rPr>
          <w:rFonts w:ascii="Cambria" w:hAnsi="Cambria"/>
          <w:sz w:val="20"/>
          <w:szCs w:val="20"/>
        </w:rPr>
        <w:t xml:space="preserve"> </w:t>
      </w:r>
      <w:r w:rsidR="00282FA6" w:rsidRPr="00E57D5F">
        <w:rPr>
          <w:rFonts w:ascii="Cambria" w:hAnsi="Cambria"/>
          <w:sz w:val="20"/>
          <w:szCs w:val="20"/>
        </w:rPr>
        <w:t>más de doce</w:t>
      </w:r>
      <w:r w:rsidRPr="00E57D5F">
        <w:rPr>
          <w:rFonts w:ascii="Cambria" w:hAnsi="Cambria"/>
          <w:sz w:val="20"/>
          <w:szCs w:val="20"/>
        </w:rPr>
        <w:t xml:space="preserve"> años de duración de los</w:t>
      </w:r>
      <w:r w:rsidR="00180AF9" w:rsidRPr="00E57D5F">
        <w:rPr>
          <w:rFonts w:ascii="Cambria" w:hAnsi="Cambria"/>
          <w:sz w:val="20"/>
          <w:szCs w:val="20"/>
        </w:rPr>
        <w:t xml:space="preserve"> procesos administrativos y judiciales </w:t>
      </w:r>
      <w:r w:rsidRPr="00E57D5F">
        <w:rPr>
          <w:rFonts w:ascii="Cambria" w:hAnsi="Cambria"/>
          <w:sz w:val="20"/>
          <w:szCs w:val="20"/>
        </w:rPr>
        <w:t xml:space="preserve">sobrepasó un plazo que pueda considerarse razonable. En consecuencia, la CIDH concluye que el Estado argentino es responsable por la violación de la garantía de plazo razonable establecido en el artículo 8.1 de la Convención Americana en relación con las obligaciones establecidas en el artículo 1.1 del mismo instrumento en perjuicio de Elba Clotilde </w:t>
      </w:r>
      <w:proofErr w:type="spellStart"/>
      <w:r w:rsidRPr="00E57D5F">
        <w:rPr>
          <w:rFonts w:ascii="Cambria" w:hAnsi="Cambria"/>
          <w:sz w:val="20"/>
          <w:szCs w:val="20"/>
        </w:rPr>
        <w:t>Perrone</w:t>
      </w:r>
      <w:proofErr w:type="spellEnd"/>
      <w:r w:rsidRPr="00E57D5F">
        <w:rPr>
          <w:rFonts w:ascii="Cambria" w:hAnsi="Cambria"/>
          <w:sz w:val="20"/>
          <w:szCs w:val="20"/>
        </w:rPr>
        <w:t xml:space="preserve"> y Juan José </w:t>
      </w:r>
      <w:proofErr w:type="spellStart"/>
      <w:r w:rsidRPr="00E57D5F">
        <w:rPr>
          <w:rFonts w:ascii="Cambria" w:hAnsi="Cambria"/>
          <w:sz w:val="20"/>
          <w:szCs w:val="20"/>
        </w:rPr>
        <w:t>Preckel</w:t>
      </w:r>
      <w:proofErr w:type="spellEnd"/>
      <w:r w:rsidR="00E57D5F">
        <w:rPr>
          <w:rFonts w:ascii="Cambria" w:hAnsi="Cambria"/>
          <w:sz w:val="20"/>
          <w:szCs w:val="20"/>
        </w:rPr>
        <w:t>. A</w:t>
      </w:r>
      <w:r w:rsidRPr="00E57D5F">
        <w:rPr>
          <w:rFonts w:ascii="Cambria" w:hAnsi="Cambria"/>
          <w:sz w:val="20"/>
          <w:szCs w:val="20"/>
          <w:lang w:val="es-ES"/>
        </w:rPr>
        <w:t xml:space="preserve">l haberse violado esta garantía del debido proceso en la decisión de los recursos internos, la Comisión concluye que los mismos también implicaron una violación del derecho a la protección judicial, establecido en el artículo 25.1 de la Convención, en relación con el artículo 1.1 del mismo instrumento. </w:t>
      </w:r>
    </w:p>
    <w:p w:rsidR="008D5D00" w:rsidRPr="00E57D5F" w:rsidRDefault="008D5D00" w:rsidP="008D5D00">
      <w:pPr>
        <w:rPr>
          <w:rFonts w:ascii="Cambria" w:hAnsi="Cambria"/>
          <w:sz w:val="20"/>
          <w:szCs w:val="20"/>
          <w:lang w:val="es-ES_tradnl"/>
        </w:rPr>
      </w:pPr>
    </w:p>
    <w:p w:rsidR="007A61F8" w:rsidRPr="00E57D5F" w:rsidRDefault="008D5D00" w:rsidP="008D5D00">
      <w:pPr>
        <w:pStyle w:val="Heading3"/>
        <w:ind w:left="1440" w:hanging="720"/>
      </w:pPr>
      <w:bookmarkStart w:id="45" w:name="_Toc476667886"/>
      <w:r w:rsidRPr="00E57D5F">
        <w:t xml:space="preserve">2. </w:t>
      </w:r>
      <w:r w:rsidRPr="00E57D5F">
        <w:tab/>
      </w:r>
      <w:r w:rsidR="007A61F8" w:rsidRPr="00E57D5F">
        <w:t>Sobre el deber de motivación como garantía del debido proceso</w:t>
      </w:r>
      <w:bookmarkEnd w:id="45"/>
    </w:p>
    <w:p w:rsidR="007A61F8" w:rsidRPr="00E57D5F" w:rsidRDefault="007A61F8" w:rsidP="007A61F8">
      <w:pPr>
        <w:jc w:val="both"/>
        <w:rPr>
          <w:rFonts w:ascii="Cambria" w:hAnsi="Cambria"/>
          <w:sz w:val="20"/>
          <w:szCs w:val="20"/>
          <w:lang w:val="es-ES"/>
        </w:rPr>
      </w:pPr>
    </w:p>
    <w:p w:rsidR="007A61F8" w:rsidRPr="00E57D5F" w:rsidRDefault="007A61F8" w:rsidP="008F1889">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E57D5F">
        <w:rPr>
          <w:rFonts w:ascii="Cambria" w:hAnsi="Cambria"/>
          <w:sz w:val="20"/>
          <w:szCs w:val="20"/>
        </w:rPr>
        <w:t>Tanto la Comisión como la Corte Interamericana han señalado reiteradamente que, en general, las garantías establecidas en el artículo 8 de la Convención Americana, no se limitan a procesos penales, sino que aplican a procesos de otra naturaleza</w:t>
      </w:r>
      <w:r w:rsidRPr="00E57D5F">
        <w:rPr>
          <w:rStyle w:val="FootnoteReference"/>
          <w:rFonts w:ascii="Cambria" w:hAnsi="Cambria"/>
          <w:sz w:val="20"/>
          <w:szCs w:val="20"/>
          <w:lang w:val="es-ES"/>
        </w:rPr>
        <w:footnoteReference w:id="117"/>
      </w:r>
      <w:r w:rsidRPr="00E57D5F">
        <w:rPr>
          <w:rFonts w:ascii="Cambria" w:hAnsi="Cambria"/>
          <w:sz w:val="20"/>
          <w:szCs w:val="20"/>
        </w:rPr>
        <w:t>. Específicamente, en cuanto a procesos en los cuales se ventilen derechos o intereses, resultan aplicables las “debidas garantías” establecidas en el artículo 8.1 de la Convención Americana, incluyendo el derecho a una motivación suficiente</w:t>
      </w:r>
      <w:r w:rsidRPr="00E57D5F">
        <w:rPr>
          <w:rStyle w:val="FootnoteReference"/>
          <w:rFonts w:ascii="Cambria" w:hAnsi="Cambria"/>
          <w:sz w:val="20"/>
          <w:szCs w:val="20"/>
          <w:lang w:val="es-ES"/>
        </w:rPr>
        <w:footnoteReference w:id="118"/>
      </w:r>
      <w:r w:rsidRPr="00E57D5F">
        <w:rPr>
          <w:rFonts w:ascii="Cambria" w:hAnsi="Cambria"/>
          <w:sz w:val="20"/>
          <w:szCs w:val="20"/>
        </w:rPr>
        <w:t xml:space="preserve">. </w:t>
      </w:r>
    </w:p>
    <w:p w:rsidR="007A61F8" w:rsidRPr="00E57D5F" w:rsidRDefault="007A61F8" w:rsidP="008F1889">
      <w:pPr>
        <w:ind w:firstLine="720"/>
        <w:jc w:val="both"/>
        <w:rPr>
          <w:rFonts w:ascii="Cambria" w:hAnsi="Cambria"/>
          <w:sz w:val="20"/>
          <w:szCs w:val="20"/>
          <w:lang w:val="es-ES"/>
        </w:rPr>
      </w:pPr>
    </w:p>
    <w:p w:rsidR="007A61F8" w:rsidRPr="00E57D5F" w:rsidRDefault="007A61F8" w:rsidP="008F1889">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E57D5F">
        <w:rPr>
          <w:rFonts w:ascii="Cambria" w:hAnsi="Cambria"/>
          <w:sz w:val="20"/>
          <w:szCs w:val="20"/>
          <w:lang w:val="es-AR"/>
        </w:rPr>
        <w:lastRenderedPageBreak/>
        <w:t>La Corte Interamericana ha establecido que el deber de motivación es una de las “debidas garantías” incluidas en el artículo 8.1 para salvaguardar el derecho a un debido proceso</w:t>
      </w:r>
      <w:r w:rsidRPr="00E57D5F">
        <w:rPr>
          <w:rStyle w:val="FootnoteReference"/>
          <w:rFonts w:ascii="Cambria" w:hAnsi="Cambria"/>
          <w:sz w:val="20"/>
          <w:szCs w:val="20"/>
          <w:lang w:val="es-AR"/>
        </w:rPr>
        <w:footnoteReference w:id="119"/>
      </w:r>
      <w:r w:rsidRPr="00E57D5F">
        <w:rPr>
          <w:rFonts w:ascii="Cambria" w:hAnsi="Cambria"/>
          <w:sz w:val="20"/>
          <w:szCs w:val="20"/>
          <w:lang w:val="es-AR"/>
        </w:rPr>
        <w:t xml:space="preserve">. Al respecto, dicho Tribunal ha precisado que la motivación “es la exteriorización de la justificación razonada que permite llegar a una </w:t>
      </w:r>
      <w:r w:rsidRPr="00E57D5F">
        <w:rPr>
          <w:rFonts w:ascii="Cambria" w:hAnsi="Cambria"/>
          <w:sz w:val="20"/>
          <w:szCs w:val="20"/>
          <w:lang w:val="es-ES"/>
        </w:rPr>
        <w:t>conclusión</w:t>
      </w:r>
      <w:r w:rsidRPr="00E57D5F">
        <w:rPr>
          <w:rFonts w:ascii="Cambria" w:hAnsi="Cambria"/>
          <w:sz w:val="20"/>
          <w:szCs w:val="20"/>
          <w:lang w:val="es-AR"/>
        </w:rPr>
        <w:t>”</w:t>
      </w:r>
      <w:r w:rsidRPr="00E57D5F">
        <w:rPr>
          <w:rStyle w:val="FootnoteReference"/>
          <w:rFonts w:ascii="Cambria" w:hAnsi="Cambria"/>
          <w:sz w:val="20"/>
          <w:szCs w:val="20"/>
        </w:rPr>
        <w:footnoteReference w:id="120"/>
      </w:r>
      <w:r w:rsidRPr="00E57D5F">
        <w:rPr>
          <w:rFonts w:ascii="Cambria" w:hAnsi="Cambria"/>
          <w:sz w:val="20"/>
          <w:szCs w:val="20"/>
          <w:lang w:val="es-AR"/>
        </w:rPr>
        <w:t>. El deber de motivar las resoluciones es una garantía vinculada con la correcta administración de justicia, que protege el derecho de los ciudadanos a ser juzgados por las razones que el Derecho suministra, y otorga credibilidad a las decisiones jurídicas en el marco de una sociedad democrática</w:t>
      </w:r>
      <w:r w:rsidRPr="00E57D5F">
        <w:rPr>
          <w:rStyle w:val="FootnoteReference"/>
          <w:rFonts w:ascii="Cambria" w:hAnsi="Cambria"/>
          <w:sz w:val="20"/>
          <w:szCs w:val="20"/>
          <w:lang w:val="es-AR"/>
        </w:rPr>
        <w:footnoteReference w:id="121"/>
      </w:r>
      <w:r w:rsidRPr="00E57D5F">
        <w:rPr>
          <w:rFonts w:ascii="Cambria" w:hAnsi="Cambria"/>
          <w:sz w:val="20"/>
          <w:szCs w:val="20"/>
          <w:lang w:val="es-AR"/>
        </w:rPr>
        <w:t>.</w:t>
      </w:r>
      <w:r w:rsidRPr="00E57D5F">
        <w:rPr>
          <w:rFonts w:ascii="Cambria" w:hAnsi="Cambria" w:cs="Arial"/>
          <w:sz w:val="20"/>
          <w:szCs w:val="20"/>
          <w:lang w:val="es-CO"/>
        </w:rPr>
        <w:t xml:space="preserve"> Por tanto, </w:t>
      </w:r>
      <w:r w:rsidRPr="00E57D5F">
        <w:rPr>
          <w:rFonts w:ascii="Cambria" w:hAnsi="Cambria"/>
          <w:sz w:val="20"/>
          <w:szCs w:val="20"/>
          <w:lang w:val="es-AR"/>
        </w:rPr>
        <w:t>las decisiones que adopten los órganos internos que puedan afectar derechos humanos deben estar debidamente fundamentadas, pues de lo contrario serían decisiones arbitrarias</w:t>
      </w:r>
      <w:r w:rsidRPr="00E57D5F">
        <w:rPr>
          <w:rStyle w:val="FootnoteReference"/>
          <w:rFonts w:ascii="Cambria" w:hAnsi="Cambria"/>
          <w:bCs/>
          <w:iCs/>
          <w:sz w:val="20"/>
          <w:szCs w:val="20"/>
        </w:rPr>
        <w:footnoteReference w:id="122"/>
      </w:r>
      <w:r w:rsidRPr="00E57D5F">
        <w:rPr>
          <w:rFonts w:ascii="Cambria" w:hAnsi="Cambria"/>
          <w:sz w:val="20"/>
          <w:szCs w:val="20"/>
          <w:lang w:val="es-AR"/>
        </w:rPr>
        <w:t>. En este sentido, la argumentación de un fallo y de ciertos actos administrativos deben permitir conocer cuáles fueron los hechos, motivos y normas en que se basó la autoridad para tomar su decisión, a fin de descartar cualquier indicio de arbitrariedad</w:t>
      </w:r>
      <w:r w:rsidRPr="00E57D5F">
        <w:rPr>
          <w:rStyle w:val="FootnoteReference"/>
          <w:rFonts w:ascii="Cambria" w:hAnsi="Cambria"/>
          <w:sz w:val="20"/>
          <w:szCs w:val="20"/>
          <w:lang w:val="es-AR"/>
        </w:rPr>
        <w:footnoteReference w:id="123"/>
      </w:r>
      <w:r w:rsidRPr="00E57D5F">
        <w:rPr>
          <w:rFonts w:ascii="Cambria" w:hAnsi="Cambria"/>
          <w:sz w:val="20"/>
          <w:szCs w:val="20"/>
          <w:lang w:val="es-AR"/>
        </w:rPr>
        <w:t>. Asimismo, la motivación demuestra a las partes que éstas han sido oídas y, en aquellos casos en que las decisiones son recurribles, les proporciona la posibilidad de criticar la resolución y lograr un nuevo examen de la cuestión ante las instancias superiores</w:t>
      </w:r>
      <w:r w:rsidRPr="00E57D5F">
        <w:rPr>
          <w:rStyle w:val="FootnoteReference"/>
          <w:rFonts w:ascii="Cambria" w:hAnsi="Cambria"/>
          <w:sz w:val="20"/>
          <w:szCs w:val="20"/>
        </w:rPr>
        <w:footnoteReference w:id="124"/>
      </w:r>
      <w:r w:rsidRPr="00E57D5F">
        <w:rPr>
          <w:rFonts w:ascii="Cambria" w:hAnsi="Cambria"/>
          <w:sz w:val="20"/>
          <w:szCs w:val="20"/>
          <w:lang w:val="es-AR"/>
        </w:rPr>
        <w:t xml:space="preserve">. </w:t>
      </w:r>
    </w:p>
    <w:p w:rsidR="007A61F8" w:rsidRPr="00E57D5F" w:rsidRDefault="007A61F8" w:rsidP="008F1889">
      <w:pPr>
        <w:ind w:firstLine="720"/>
        <w:jc w:val="both"/>
        <w:rPr>
          <w:rFonts w:ascii="Cambria" w:hAnsi="Cambria"/>
          <w:sz w:val="20"/>
          <w:szCs w:val="20"/>
          <w:lang w:val="es-ES"/>
        </w:rPr>
      </w:pPr>
    </w:p>
    <w:p w:rsidR="007A61F8" w:rsidRPr="00E57D5F" w:rsidRDefault="007A61F8" w:rsidP="008F1889">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E57D5F">
        <w:rPr>
          <w:rFonts w:ascii="Cambria" w:hAnsi="Cambria"/>
          <w:sz w:val="20"/>
          <w:szCs w:val="20"/>
          <w:lang w:val="es-ES"/>
        </w:rPr>
        <w:t xml:space="preserve">En similar sentido, la CIDH ha indicado que </w:t>
      </w:r>
      <w:r w:rsidRPr="00E57D5F" w:rsidDel="000A05C8">
        <w:rPr>
          <w:rFonts w:ascii="Cambria" w:hAnsi="Cambria"/>
          <w:sz w:val="20"/>
          <w:szCs w:val="20"/>
          <w:lang w:val="es-ES"/>
        </w:rPr>
        <w:t>existe una relación intrínseca entre la existencia de una motivación suficiente y la posibilidad de cuestionar las resoluciones y formular una defensa adecuada en el marco de los recursos subsiguientes</w:t>
      </w:r>
      <w:r w:rsidRPr="00E57D5F">
        <w:rPr>
          <w:rFonts w:ascii="Cambria" w:hAnsi="Cambria"/>
          <w:sz w:val="20"/>
          <w:szCs w:val="20"/>
          <w:vertAlign w:val="superscript"/>
        </w:rPr>
        <w:footnoteReference w:id="125"/>
      </w:r>
      <w:r w:rsidRPr="00E57D5F" w:rsidDel="000A05C8">
        <w:rPr>
          <w:rFonts w:ascii="Cambria" w:hAnsi="Cambria"/>
          <w:sz w:val="20"/>
          <w:szCs w:val="20"/>
          <w:lang w:val="es-ES"/>
        </w:rPr>
        <w:t>.</w:t>
      </w:r>
      <w:r w:rsidRPr="00E57D5F">
        <w:rPr>
          <w:rFonts w:ascii="Cambria" w:hAnsi="Cambria"/>
          <w:sz w:val="20"/>
          <w:szCs w:val="20"/>
          <w:lang w:val="es-ES"/>
        </w:rPr>
        <w:t xml:space="preserve"> </w:t>
      </w:r>
    </w:p>
    <w:p w:rsidR="007A61F8" w:rsidRPr="00E57D5F" w:rsidRDefault="007A61F8" w:rsidP="008F1889">
      <w:pPr>
        <w:pStyle w:val="ListParagraph"/>
        <w:ind w:left="0" w:firstLine="720"/>
        <w:rPr>
          <w:rFonts w:ascii="Cambria" w:hAnsi="Cambria"/>
          <w:sz w:val="20"/>
          <w:szCs w:val="20"/>
          <w:lang w:val="es-ES"/>
        </w:rPr>
      </w:pPr>
    </w:p>
    <w:p w:rsidR="007A61F8" w:rsidRPr="00E57D5F" w:rsidRDefault="007A61F8" w:rsidP="008F1889">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E57D5F">
        <w:rPr>
          <w:rFonts w:ascii="Cambria" w:hAnsi="Cambria"/>
          <w:sz w:val="20"/>
          <w:szCs w:val="20"/>
          <w:lang w:val="es-ES"/>
        </w:rPr>
        <w:t xml:space="preserve">Conforme a los hechos probados, la señora </w:t>
      </w:r>
      <w:proofErr w:type="spellStart"/>
      <w:r w:rsidRPr="00E57D5F">
        <w:rPr>
          <w:rFonts w:ascii="Cambria" w:hAnsi="Cambria"/>
          <w:sz w:val="20"/>
          <w:szCs w:val="20"/>
          <w:lang w:val="es-ES"/>
        </w:rPr>
        <w:t>Perrone</w:t>
      </w:r>
      <w:proofErr w:type="spellEnd"/>
      <w:r w:rsidRPr="00E57D5F">
        <w:rPr>
          <w:rFonts w:ascii="Cambria" w:hAnsi="Cambria"/>
          <w:sz w:val="20"/>
          <w:szCs w:val="20"/>
          <w:lang w:val="es-ES"/>
        </w:rPr>
        <w:t xml:space="preserve"> y el señor </w:t>
      </w:r>
      <w:proofErr w:type="spellStart"/>
      <w:r w:rsidRPr="00E57D5F">
        <w:rPr>
          <w:rFonts w:ascii="Cambria" w:hAnsi="Cambria"/>
          <w:sz w:val="20"/>
          <w:szCs w:val="20"/>
          <w:lang w:val="es-ES"/>
        </w:rPr>
        <w:t>Preckel</w:t>
      </w:r>
      <w:proofErr w:type="spellEnd"/>
      <w:r w:rsidRPr="00E57D5F">
        <w:rPr>
          <w:rFonts w:ascii="Cambria" w:hAnsi="Cambria"/>
          <w:sz w:val="20"/>
          <w:szCs w:val="20"/>
          <w:lang w:val="es-ES"/>
        </w:rPr>
        <w:t xml:space="preserve"> interpusieron recursos administrativos y judiciales para solicitar el pago de los salarios y beneficios sociales dejados de percibir durante el tiempo de su privación de libertad y de su privación de libertad y exilio, respectivamente. </w:t>
      </w:r>
      <w:r w:rsidR="00DF603A" w:rsidRPr="00E57D5F">
        <w:rPr>
          <w:rFonts w:ascii="Cambria" w:hAnsi="Cambria"/>
          <w:sz w:val="20"/>
          <w:szCs w:val="20"/>
          <w:lang w:val="es-ES"/>
        </w:rPr>
        <w:t>T</w:t>
      </w:r>
      <w:r w:rsidRPr="00E57D5F">
        <w:rPr>
          <w:rFonts w:ascii="Cambria" w:hAnsi="Cambria"/>
          <w:sz w:val="20"/>
          <w:szCs w:val="20"/>
          <w:lang w:val="es-ES"/>
        </w:rPr>
        <w:t>anto a nivel administrativo como judicial, las decisiones que quedaron en firme desestimaron la solicitud con base en la Circular No. 5/77 de la Secretaría General de la Presidencia de la Nación que establece que no corresponde reconocer el pago de haberes por períodos en que el agente público no ha prestado efectivamente sus servicios, salvo que una norma expresa lo autorice.</w:t>
      </w:r>
    </w:p>
    <w:p w:rsidR="007A61F8" w:rsidRPr="00E57D5F" w:rsidRDefault="007A61F8" w:rsidP="008F188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p>
    <w:p w:rsidR="007A61F8" w:rsidRPr="00E57D5F" w:rsidRDefault="007A61F8" w:rsidP="008F1889">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E57D5F">
        <w:rPr>
          <w:rFonts w:ascii="Cambria" w:hAnsi="Cambria"/>
          <w:sz w:val="20"/>
          <w:szCs w:val="20"/>
          <w:lang w:val="es-ES"/>
        </w:rPr>
        <w:t xml:space="preserve">La Comisión nota que la defensa de la señora </w:t>
      </w:r>
      <w:proofErr w:type="spellStart"/>
      <w:r w:rsidRPr="00E57D5F">
        <w:rPr>
          <w:rFonts w:ascii="Cambria" w:hAnsi="Cambria"/>
          <w:sz w:val="20"/>
          <w:szCs w:val="20"/>
          <w:lang w:val="es-ES"/>
        </w:rPr>
        <w:t>Perrone</w:t>
      </w:r>
      <w:proofErr w:type="spellEnd"/>
      <w:r w:rsidRPr="00E57D5F">
        <w:rPr>
          <w:rFonts w:ascii="Cambria" w:hAnsi="Cambria"/>
          <w:sz w:val="20"/>
          <w:szCs w:val="20"/>
          <w:lang w:val="es-ES"/>
        </w:rPr>
        <w:t xml:space="preserve"> y el señor </w:t>
      </w:r>
      <w:proofErr w:type="spellStart"/>
      <w:r w:rsidRPr="00E57D5F">
        <w:rPr>
          <w:rFonts w:ascii="Cambria" w:hAnsi="Cambria"/>
          <w:sz w:val="20"/>
          <w:szCs w:val="20"/>
          <w:lang w:val="es-ES"/>
        </w:rPr>
        <w:t>Preckel</w:t>
      </w:r>
      <w:proofErr w:type="spellEnd"/>
      <w:r w:rsidRPr="00E57D5F">
        <w:rPr>
          <w:rFonts w:ascii="Cambria" w:hAnsi="Cambria"/>
          <w:sz w:val="20"/>
          <w:szCs w:val="20"/>
          <w:lang w:val="es-ES"/>
        </w:rPr>
        <w:t xml:space="preserve"> alegaron que conforme a la Circular No. 5/77 sí se permitiría el pago de haberes dejados de percibir cuando una norma lo autorice. Al respecto, indicaron que el artículo 14.c del Régimen de Licencias, Justificaciones y Franquicias de la Administración Pública sería la norma que autorizaría el pago de haberes no percibidos. Ello en tanto permite el pago en “casos de fuerza mayor, debidamente comprobados”. La CIDH observa que la defensa de ambas personas indicó que su detención arbitraria – reconocida por el Estado – sería una causal de fuerza mayor. </w:t>
      </w:r>
    </w:p>
    <w:p w:rsidR="007A61F8" w:rsidRPr="00E57D5F" w:rsidRDefault="007A61F8" w:rsidP="008F188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p>
    <w:p w:rsidR="007A61F8" w:rsidRPr="00E57D5F" w:rsidRDefault="007A61F8" w:rsidP="008F1889">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E57D5F">
        <w:rPr>
          <w:rFonts w:ascii="Cambria" w:hAnsi="Cambria"/>
          <w:sz w:val="20"/>
          <w:szCs w:val="20"/>
          <w:lang w:val="es-ES"/>
        </w:rPr>
        <w:t xml:space="preserve">Sin entrar a determinar si esta argumentación es correcta, lo que excedería la competencia de la CIDH al tratarse de una cuestión de derecho interno, la Comisión nota que la misma no </w:t>
      </w:r>
      <w:r w:rsidR="0060785C" w:rsidRPr="00E57D5F">
        <w:rPr>
          <w:rFonts w:ascii="Cambria" w:hAnsi="Cambria"/>
          <w:sz w:val="20"/>
          <w:szCs w:val="20"/>
          <w:lang w:val="es-ES"/>
        </w:rPr>
        <w:t>era manifiestamente irrazonable. Ello</w:t>
      </w:r>
      <w:r w:rsidRPr="00E57D5F">
        <w:rPr>
          <w:rFonts w:ascii="Cambria" w:hAnsi="Cambria"/>
          <w:sz w:val="20"/>
          <w:szCs w:val="20"/>
          <w:lang w:val="es-ES"/>
        </w:rPr>
        <w:t xml:space="preserve"> se puede inferir del hecho de que el Departamento de Asesoría Legal de la DGI, la Dirección de Asuntos Técnicos y Jurídicos de la DGI y la Dirección General de Asuntos Jurídicos del Ministerio de Economía, emitieron sendos dictámenes en los cuales consideraron favorable el reintegro de los haberes dejados de percibir por la señora </w:t>
      </w:r>
      <w:proofErr w:type="spellStart"/>
      <w:r w:rsidRPr="00E57D5F">
        <w:rPr>
          <w:rFonts w:ascii="Cambria" w:hAnsi="Cambria"/>
          <w:sz w:val="20"/>
          <w:szCs w:val="20"/>
          <w:lang w:val="es-ES"/>
        </w:rPr>
        <w:t>Perrone</w:t>
      </w:r>
      <w:proofErr w:type="spellEnd"/>
      <w:r w:rsidRPr="00E57D5F">
        <w:rPr>
          <w:rFonts w:ascii="Cambria" w:hAnsi="Cambria"/>
          <w:sz w:val="20"/>
          <w:szCs w:val="20"/>
          <w:lang w:val="es-ES"/>
        </w:rPr>
        <w:t xml:space="preserve"> y el señor </w:t>
      </w:r>
      <w:proofErr w:type="spellStart"/>
      <w:r w:rsidRPr="00E57D5F">
        <w:rPr>
          <w:rFonts w:ascii="Cambria" w:hAnsi="Cambria"/>
          <w:sz w:val="20"/>
          <w:szCs w:val="20"/>
          <w:lang w:val="es-ES"/>
        </w:rPr>
        <w:t>Preckel</w:t>
      </w:r>
      <w:proofErr w:type="spellEnd"/>
      <w:r w:rsidRPr="00E57D5F">
        <w:rPr>
          <w:rFonts w:ascii="Cambria" w:hAnsi="Cambria"/>
          <w:sz w:val="20"/>
          <w:szCs w:val="20"/>
          <w:lang w:val="es-ES"/>
        </w:rPr>
        <w:t xml:space="preserve"> durante el tiempo que estuvieron </w:t>
      </w:r>
      <w:r w:rsidRPr="00E57D5F">
        <w:rPr>
          <w:rFonts w:ascii="Cambria" w:hAnsi="Cambria"/>
          <w:sz w:val="20"/>
          <w:szCs w:val="20"/>
          <w:lang w:val="es-ES"/>
        </w:rPr>
        <w:lastRenderedPageBreak/>
        <w:t xml:space="preserve">detenidos arbitrariamente. La Comisión considera que la razonabilidad de la argumentación – respaldada por las entidades referidas – hacía aún más relevante una motivación suficiente y adecuada sobre las razones por las cuales dicha argumentación no era procedente. </w:t>
      </w:r>
    </w:p>
    <w:p w:rsidR="007A61F8" w:rsidRPr="00E57D5F" w:rsidRDefault="007A61F8" w:rsidP="007A61F8">
      <w:pPr>
        <w:pStyle w:val="ListParagraph"/>
        <w:rPr>
          <w:rFonts w:ascii="Cambria" w:hAnsi="Cambria"/>
          <w:sz w:val="20"/>
          <w:szCs w:val="20"/>
          <w:lang w:val="es-ES"/>
        </w:rPr>
      </w:pPr>
    </w:p>
    <w:p w:rsidR="007A61F8" w:rsidRPr="00E57D5F" w:rsidRDefault="007A61F8" w:rsidP="008F1889">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E57D5F">
        <w:rPr>
          <w:rFonts w:ascii="Cambria" w:hAnsi="Cambria"/>
          <w:sz w:val="20"/>
          <w:szCs w:val="20"/>
          <w:lang w:val="es-ES"/>
        </w:rPr>
        <w:t>La Comisión observa que las decisiones administrativas de la DGI y del Ministerio de Economía, se limitaron a declarar improcedente el reclamo de la señ</w:t>
      </w:r>
      <w:r w:rsidR="009C6DBD" w:rsidRPr="00E57D5F">
        <w:rPr>
          <w:rFonts w:ascii="Cambria" w:hAnsi="Cambria"/>
          <w:sz w:val="20"/>
          <w:szCs w:val="20"/>
          <w:lang w:val="es-ES"/>
        </w:rPr>
        <w:t xml:space="preserve">ora </w:t>
      </w:r>
      <w:proofErr w:type="spellStart"/>
      <w:r w:rsidR="009C6DBD" w:rsidRPr="00E57D5F">
        <w:rPr>
          <w:rFonts w:ascii="Cambria" w:hAnsi="Cambria"/>
          <w:sz w:val="20"/>
          <w:szCs w:val="20"/>
          <w:lang w:val="es-ES"/>
        </w:rPr>
        <w:t>Perrone</w:t>
      </w:r>
      <w:proofErr w:type="spellEnd"/>
      <w:r w:rsidR="009C6DBD" w:rsidRPr="00E57D5F">
        <w:rPr>
          <w:rFonts w:ascii="Cambria" w:hAnsi="Cambria"/>
          <w:sz w:val="20"/>
          <w:szCs w:val="20"/>
          <w:lang w:val="es-ES"/>
        </w:rPr>
        <w:t xml:space="preserve"> y del señor </w:t>
      </w:r>
      <w:proofErr w:type="spellStart"/>
      <w:r w:rsidR="009C6DBD" w:rsidRPr="00E57D5F">
        <w:rPr>
          <w:rFonts w:ascii="Cambria" w:hAnsi="Cambria"/>
          <w:sz w:val="20"/>
          <w:szCs w:val="20"/>
          <w:lang w:val="es-ES"/>
        </w:rPr>
        <w:t>Preckel</w:t>
      </w:r>
      <w:proofErr w:type="spellEnd"/>
      <w:r w:rsidR="009C6DBD" w:rsidRPr="00E57D5F">
        <w:rPr>
          <w:rFonts w:ascii="Cambria" w:hAnsi="Cambria"/>
          <w:sz w:val="20"/>
          <w:szCs w:val="20"/>
          <w:lang w:val="es-ES"/>
        </w:rPr>
        <w:t xml:space="preserve">. La CIDH nota que en dichas decisiones no se </w:t>
      </w:r>
      <w:r w:rsidR="00CF23F7" w:rsidRPr="00E57D5F">
        <w:rPr>
          <w:rFonts w:ascii="Cambria" w:hAnsi="Cambria"/>
          <w:sz w:val="20"/>
          <w:szCs w:val="20"/>
          <w:lang w:val="es-ES"/>
        </w:rPr>
        <w:t>motivó</w:t>
      </w:r>
      <w:r w:rsidR="009C6DBD" w:rsidRPr="00E57D5F">
        <w:rPr>
          <w:rFonts w:ascii="Cambria" w:hAnsi="Cambria"/>
          <w:sz w:val="20"/>
          <w:szCs w:val="20"/>
          <w:lang w:val="es-ES"/>
        </w:rPr>
        <w:t xml:space="preserve"> de manera </w:t>
      </w:r>
      <w:r w:rsidR="00CF23F7" w:rsidRPr="00E57D5F">
        <w:rPr>
          <w:rFonts w:ascii="Cambria" w:hAnsi="Cambria"/>
          <w:sz w:val="20"/>
          <w:szCs w:val="20"/>
          <w:lang w:val="es-ES"/>
        </w:rPr>
        <w:t>suficiente</w:t>
      </w:r>
      <w:r w:rsidR="009C6DBD" w:rsidRPr="00E57D5F">
        <w:rPr>
          <w:rFonts w:ascii="Cambria" w:hAnsi="Cambria"/>
          <w:sz w:val="20"/>
          <w:szCs w:val="20"/>
          <w:lang w:val="es-ES"/>
        </w:rPr>
        <w:t xml:space="preserve"> </w:t>
      </w:r>
      <w:r w:rsidRPr="00E57D5F">
        <w:rPr>
          <w:rFonts w:ascii="Cambria" w:hAnsi="Cambria"/>
          <w:sz w:val="20"/>
          <w:szCs w:val="20"/>
          <w:lang w:val="es-ES"/>
        </w:rPr>
        <w:t xml:space="preserve">las razones por las cuales se desecharon los argumentos contenidos en los dictámenes favorables emitidos por las Direcciones ya mencionadas. </w:t>
      </w:r>
    </w:p>
    <w:p w:rsidR="007A61F8" w:rsidRPr="00E57D5F" w:rsidRDefault="007A61F8" w:rsidP="008F188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p>
    <w:p w:rsidR="007A61F8" w:rsidRPr="00E57D5F" w:rsidRDefault="007A61F8" w:rsidP="008F1889">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E57D5F">
        <w:rPr>
          <w:rFonts w:ascii="Cambria" w:hAnsi="Cambria"/>
          <w:sz w:val="20"/>
          <w:szCs w:val="20"/>
          <w:lang w:val="es-ES"/>
        </w:rPr>
        <w:t xml:space="preserve">En el ámbito de los recursos judiciales, la Comisión observa que las decisiones emitidas por el Juez Federal en primera instancia en febrero de 1992 no incluyeron referencia a los argumentos esgrimidos en las demandas, particularmente el relativo a la aplicabilidad de la figura de “fuerza mayor” contenida en el artículo 14.c del Régimen de Licencias, Justificaciones y Franquicias de la Administración Pública Nacional.  </w:t>
      </w:r>
    </w:p>
    <w:p w:rsidR="007A61F8" w:rsidRPr="00E57D5F" w:rsidRDefault="007A61F8" w:rsidP="008F188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p>
    <w:p w:rsidR="007A61F8" w:rsidRPr="00E57D5F" w:rsidRDefault="007A61F8" w:rsidP="008F1889">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E57D5F">
        <w:rPr>
          <w:rFonts w:ascii="Cambria" w:hAnsi="Cambria"/>
          <w:sz w:val="20"/>
          <w:szCs w:val="20"/>
          <w:lang w:val="es-ES"/>
        </w:rPr>
        <w:t xml:space="preserve">Esta ausencia de motivación, continuó tanto en la sentencia de la Cámara de Apelaciones de noviembre de 1992 –en el caso del señor </w:t>
      </w:r>
      <w:proofErr w:type="spellStart"/>
      <w:r w:rsidRPr="00E57D5F">
        <w:rPr>
          <w:rFonts w:ascii="Cambria" w:hAnsi="Cambria"/>
          <w:sz w:val="20"/>
          <w:szCs w:val="20"/>
          <w:lang w:val="es-ES"/>
        </w:rPr>
        <w:t>Preckel</w:t>
      </w:r>
      <w:proofErr w:type="spellEnd"/>
      <w:r w:rsidRPr="00E57D5F">
        <w:rPr>
          <w:rFonts w:ascii="Cambria" w:hAnsi="Cambria"/>
          <w:sz w:val="20"/>
          <w:szCs w:val="20"/>
          <w:lang w:val="es-ES"/>
        </w:rPr>
        <w:t>– como en la sentencia de la Corte Suprema de Justicia de mayo de 1996 –e</w:t>
      </w:r>
      <w:r w:rsidR="0060785C" w:rsidRPr="00E57D5F">
        <w:rPr>
          <w:rFonts w:ascii="Cambria" w:hAnsi="Cambria"/>
          <w:sz w:val="20"/>
          <w:szCs w:val="20"/>
          <w:lang w:val="es-ES"/>
        </w:rPr>
        <w:t xml:space="preserve">n el caso de la señora </w:t>
      </w:r>
      <w:proofErr w:type="spellStart"/>
      <w:r w:rsidR="0060785C" w:rsidRPr="00E57D5F">
        <w:rPr>
          <w:rFonts w:ascii="Cambria" w:hAnsi="Cambria"/>
          <w:sz w:val="20"/>
          <w:szCs w:val="20"/>
          <w:lang w:val="es-ES"/>
        </w:rPr>
        <w:t>Perrone</w:t>
      </w:r>
      <w:proofErr w:type="spellEnd"/>
      <w:r w:rsidR="0060785C" w:rsidRPr="00E57D5F">
        <w:rPr>
          <w:rFonts w:ascii="Cambria" w:hAnsi="Cambria"/>
          <w:sz w:val="20"/>
          <w:szCs w:val="20"/>
          <w:lang w:val="es-ES"/>
        </w:rPr>
        <w:t>.</w:t>
      </w:r>
      <w:r w:rsidRPr="00E57D5F">
        <w:rPr>
          <w:rFonts w:ascii="Cambria" w:hAnsi="Cambria"/>
          <w:sz w:val="20"/>
          <w:szCs w:val="20"/>
          <w:lang w:val="es-ES"/>
        </w:rPr>
        <w:t xml:space="preserve"> En dichas decisiones, si bien las autoridades judiciales sí mencionaron el Régimen de Licencias, Justificaciones y Franquicias de la Administración Pública Nacional, se limitaron a indicar que dicho cuerpo normativo no era aplicable como una de las excepciones contenidas en la Circular No. 5/77, sin explicar las razones de dicha conclusión. En particular, la CIDH nota que en dichas decisiones no se fundamentó el aspecto central del debate, esto es, de qué forma la situación de detención arbitraria de ambas personas no constituía un “caso de fuerza mayor”. La Comisión reitera que una de las garantías del debido proceso exige que las autoridades internas analicen “de forma completa y seria” las pretensiones y argumentos de la persona afectada</w:t>
      </w:r>
      <w:r w:rsidRPr="00E57D5F">
        <w:rPr>
          <w:rStyle w:val="FootnoteReference"/>
          <w:rFonts w:ascii="Cambria" w:hAnsi="Cambria"/>
          <w:sz w:val="20"/>
          <w:szCs w:val="20"/>
          <w:lang w:val="es-ES"/>
        </w:rPr>
        <w:footnoteReference w:id="126"/>
      </w:r>
      <w:r w:rsidRPr="00E57D5F">
        <w:rPr>
          <w:rFonts w:ascii="Cambria" w:hAnsi="Cambria"/>
          <w:sz w:val="20"/>
          <w:szCs w:val="20"/>
          <w:lang w:val="es-ES"/>
        </w:rPr>
        <w:t xml:space="preserve">, lo que guarda especial relación con el deber de motivación suficiente y adecuada, cuyo contenido ya fue descrito anteriormente. </w:t>
      </w:r>
    </w:p>
    <w:p w:rsidR="0060785C" w:rsidRPr="00E57D5F" w:rsidRDefault="0060785C" w:rsidP="008F188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p>
    <w:p w:rsidR="0060785C" w:rsidRPr="00E57D5F" w:rsidRDefault="0080672C" w:rsidP="008F1889">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E57D5F">
        <w:rPr>
          <w:rFonts w:ascii="Cambria" w:hAnsi="Cambria"/>
          <w:sz w:val="20"/>
          <w:szCs w:val="20"/>
          <w:lang w:val="es-ES"/>
        </w:rPr>
        <w:t xml:space="preserve">Finalmente, </w:t>
      </w:r>
      <w:r w:rsidR="0060785C" w:rsidRPr="00E57D5F">
        <w:rPr>
          <w:rFonts w:ascii="Cambria" w:hAnsi="Cambria"/>
          <w:sz w:val="20"/>
          <w:szCs w:val="20"/>
          <w:lang w:val="es-ES"/>
        </w:rPr>
        <w:t xml:space="preserve">la Comisión observa que las decisiones tanto en el ámbito administrativo y judicial no entraron a analizar el contexto en que la solicitud de Elba Clotilde </w:t>
      </w:r>
      <w:proofErr w:type="spellStart"/>
      <w:r w:rsidR="0060785C" w:rsidRPr="00E57D5F">
        <w:rPr>
          <w:rFonts w:ascii="Cambria" w:hAnsi="Cambria"/>
          <w:sz w:val="20"/>
          <w:szCs w:val="20"/>
          <w:lang w:val="es-ES"/>
        </w:rPr>
        <w:t>Perrone</w:t>
      </w:r>
      <w:proofErr w:type="spellEnd"/>
      <w:r w:rsidR="0060785C" w:rsidRPr="00E57D5F">
        <w:rPr>
          <w:rFonts w:ascii="Cambria" w:hAnsi="Cambria"/>
          <w:sz w:val="20"/>
          <w:szCs w:val="20"/>
          <w:lang w:val="es-ES"/>
        </w:rPr>
        <w:t xml:space="preserve"> y Juan José </w:t>
      </w:r>
      <w:proofErr w:type="spellStart"/>
      <w:r w:rsidR="0060785C" w:rsidRPr="00E57D5F">
        <w:rPr>
          <w:rFonts w:ascii="Cambria" w:hAnsi="Cambria"/>
          <w:sz w:val="20"/>
          <w:szCs w:val="20"/>
          <w:lang w:val="es-ES"/>
        </w:rPr>
        <w:t>Preckel</w:t>
      </w:r>
      <w:proofErr w:type="spellEnd"/>
      <w:r w:rsidR="0060785C" w:rsidRPr="00E57D5F">
        <w:rPr>
          <w:rFonts w:ascii="Cambria" w:hAnsi="Cambria"/>
          <w:sz w:val="20"/>
          <w:szCs w:val="20"/>
          <w:lang w:val="es-ES"/>
        </w:rPr>
        <w:t xml:space="preserve"> se realizó. </w:t>
      </w:r>
      <w:r w:rsidR="00B4715A" w:rsidRPr="00E57D5F">
        <w:rPr>
          <w:rFonts w:ascii="Cambria" w:hAnsi="Cambria"/>
          <w:sz w:val="20"/>
          <w:szCs w:val="20"/>
          <w:lang w:val="es-ES"/>
        </w:rPr>
        <w:t xml:space="preserve">Tomando en cuenta que la ausencia en sus labores se debió a la detención arbitraria y tortura en el caso de ambas víctimas, y de exilio en el caso del señor </w:t>
      </w:r>
      <w:proofErr w:type="spellStart"/>
      <w:r w:rsidR="00B4715A" w:rsidRPr="00E57D5F">
        <w:rPr>
          <w:rFonts w:ascii="Cambria" w:hAnsi="Cambria"/>
          <w:sz w:val="20"/>
          <w:szCs w:val="20"/>
          <w:lang w:val="es-ES"/>
        </w:rPr>
        <w:t>Preckel</w:t>
      </w:r>
      <w:proofErr w:type="spellEnd"/>
      <w:r w:rsidR="00B4715A" w:rsidRPr="00E57D5F">
        <w:rPr>
          <w:rFonts w:ascii="Cambria" w:hAnsi="Cambria"/>
          <w:sz w:val="20"/>
          <w:szCs w:val="20"/>
          <w:lang w:val="es-ES"/>
        </w:rPr>
        <w:t xml:space="preserve">, la Comisión considera que las autoridades administrativas y judiciales tenían la obligación de considerar </w:t>
      </w:r>
      <w:r w:rsidR="00AB73B5" w:rsidRPr="00E57D5F">
        <w:rPr>
          <w:rFonts w:ascii="Cambria" w:hAnsi="Cambria"/>
          <w:sz w:val="20"/>
          <w:szCs w:val="20"/>
          <w:lang w:val="es-ES"/>
        </w:rPr>
        <w:t xml:space="preserve">en sus decisiones que el reclamo tenía su origen y se relacionaba con los efectos de graves violaciones de derechos humanos. </w:t>
      </w:r>
      <w:r w:rsidR="00B4715A" w:rsidRPr="00E57D5F">
        <w:rPr>
          <w:rFonts w:ascii="Cambria" w:hAnsi="Cambria"/>
          <w:sz w:val="20"/>
          <w:szCs w:val="20"/>
          <w:lang w:val="es-ES"/>
        </w:rPr>
        <w:t xml:space="preserve">Por el contrario, el abordaje en todas las instancias decisivas se basó en el entendimiento de que se trataba de un reclamo laboral ordinario. </w:t>
      </w:r>
      <w:r w:rsidRPr="00E57D5F">
        <w:rPr>
          <w:rFonts w:ascii="Cambria" w:hAnsi="Cambria"/>
          <w:sz w:val="20"/>
          <w:szCs w:val="20"/>
          <w:lang w:val="es-ES"/>
        </w:rPr>
        <w:t>L</w:t>
      </w:r>
      <w:r w:rsidR="0060785C" w:rsidRPr="00E57D5F">
        <w:rPr>
          <w:rFonts w:ascii="Cambria" w:hAnsi="Cambria"/>
          <w:sz w:val="20"/>
          <w:szCs w:val="20"/>
          <w:lang w:val="es-ES"/>
        </w:rPr>
        <w:t>a CIDH considera que resulta</w:t>
      </w:r>
      <w:r w:rsidR="00412CAC" w:rsidRPr="00E57D5F">
        <w:rPr>
          <w:rFonts w:ascii="Cambria" w:hAnsi="Cambria"/>
          <w:sz w:val="20"/>
          <w:szCs w:val="20"/>
          <w:lang w:val="es-ES"/>
        </w:rPr>
        <w:t>ba</w:t>
      </w:r>
      <w:r w:rsidR="0060785C" w:rsidRPr="00E57D5F">
        <w:rPr>
          <w:rFonts w:ascii="Cambria" w:hAnsi="Cambria"/>
          <w:sz w:val="20"/>
          <w:szCs w:val="20"/>
          <w:lang w:val="es-ES"/>
        </w:rPr>
        <w:t xml:space="preserve"> relevante que las au</w:t>
      </w:r>
      <w:r w:rsidRPr="00E57D5F">
        <w:rPr>
          <w:rFonts w:ascii="Cambria" w:hAnsi="Cambria"/>
          <w:sz w:val="20"/>
          <w:szCs w:val="20"/>
          <w:lang w:val="es-ES"/>
        </w:rPr>
        <w:t>toridades tomaran</w:t>
      </w:r>
      <w:r w:rsidR="00412CAC" w:rsidRPr="00E57D5F">
        <w:rPr>
          <w:rFonts w:ascii="Cambria" w:hAnsi="Cambria"/>
          <w:sz w:val="20"/>
          <w:szCs w:val="20"/>
          <w:lang w:val="es-ES"/>
        </w:rPr>
        <w:t xml:space="preserve"> en cuenta </w:t>
      </w:r>
      <w:r w:rsidRPr="00E57D5F">
        <w:rPr>
          <w:rFonts w:ascii="Cambria" w:hAnsi="Cambria"/>
          <w:sz w:val="20"/>
          <w:szCs w:val="20"/>
          <w:lang w:val="es-ES"/>
        </w:rPr>
        <w:t xml:space="preserve">estos elementos </w:t>
      </w:r>
      <w:r w:rsidR="00412CAC" w:rsidRPr="00E57D5F">
        <w:rPr>
          <w:rFonts w:ascii="Cambria" w:hAnsi="Cambria"/>
          <w:sz w:val="20"/>
          <w:szCs w:val="20"/>
          <w:lang w:val="es-ES"/>
        </w:rPr>
        <w:t xml:space="preserve">al momento de emitir sus decisiones. </w:t>
      </w:r>
    </w:p>
    <w:p w:rsidR="007A61F8" w:rsidRPr="00E57D5F" w:rsidRDefault="007A61F8" w:rsidP="008F1889">
      <w:pPr>
        <w:pStyle w:val="ListParagraph"/>
        <w:ind w:left="0" w:firstLine="720"/>
        <w:rPr>
          <w:rFonts w:ascii="Cambria" w:hAnsi="Cambria"/>
          <w:sz w:val="20"/>
          <w:szCs w:val="20"/>
          <w:lang w:val="es-ES"/>
        </w:rPr>
      </w:pPr>
    </w:p>
    <w:p w:rsidR="007A61F8" w:rsidRPr="00E57D5F" w:rsidRDefault="007A61F8" w:rsidP="008F1889">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E57D5F">
        <w:rPr>
          <w:rFonts w:ascii="Cambria" w:hAnsi="Cambria"/>
          <w:sz w:val="20"/>
          <w:szCs w:val="20"/>
          <w:lang w:val="es-ES"/>
        </w:rPr>
        <w:t xml:space="preserve">Con base en las consideraciones efectuadas anteriormente, la CIDH concluye que las autoridades judiciales y administrativas violaron el derecho a contar con una motivación suficiente y adecuada, establecido como una de las debidas garantías contempladas en el artículo 8.1 de la Convención Americana en relación con el artículo 1.1 del mismo instrumento en perjuicio de Elba Clotilde </w:t>
      </w:r>
      <w:proofErr w:type="spellStart"/>
      <w:r w:rsidRPr="00E57D5F">
        <w:rPr>
          <w:rFonts w:ascii="Cambria" w:hAnsi="Cambria"/>
          <w:sz w:val="20"/>
          <w:szCs w:val="20"/>
          <w:lang w:val="es-ES"/>
        </w:rPr>
        <w:t>Perrone</w:t>
      </w:r>
      <w:proofErr w:type="spellEnd"/>
      <w:r w:rsidRPr="00E57D5F">
        <w:rPr>
          <w:rFonts w:ascii="Cambria" w:hAnsi="Cambria"/>
          <w:sz w:val="20"/>
          <w:szCs w:val="20"/>
          <w:lang w:val="es-ES"/>
        </w:rPr>
        <w:t xml:space="preserve"> y Juan José </w:t>
      </w:r>
      <w:proofErr w:type="spellStart"/>
      <w:r w:rsidRPr="00E57D5F">
        <w:rPr>
          <w:rFonts w:ascii="Cambria" w:hAnsi="Cambria"/>
          <w:sz w:val="20"/>
          <w:szCs w:val="20"/>
          <w:lang w:val="es-ES"/>
        </w:rPr>
        <w:t>Preckel</w:t>
      </w:r>
      <w:proofErr w:type="spellEnd"/>
      <w:r w:rsidRPr="00E57D5F">
        <w:rPr>
          <w:rFonts w:ascii="Cambria" w:hAnsi="Cambria"/>
          <w:sz w:val="20"/>
          <w:szCs w:val="20"/>
          <w:lang w:val="es-ES"/>
        </w:rPr>
        <w:t xml:space="preserve">. En consecuencia, al haberse violado esta garantía del debido proceso en la decisión de los recursos internos, la Comisión concluye que los mismos también implicaron una violación del derecho a la protección judicial, establecido en el artículo 25.1 de la Convención, en relación con el artículo 1.1 del mismo instrumento. </w:t>
      </w:r>
    </w:p>
    <w:p w:rsidR="007A61F8" w:rsidRPr="00E57D5F"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rsidR="007A61F8" w:rsidRPr="008F1889" w:rsidRDefault="007A61F8" w:rsidP="00ED46A1">
      <w:pPr>
        <w:pStyle w:val="Heading1"/>
      </w:pPr>
      <w:bookmarkStart w:id="46" w:name="_Toc476667887"/>
      <w:r w:rsidRPr="008F1889">
        <w:t>CONCLUSIONES</w:t>
      </w:r>
      <w:bookmarkEnd w:id="46"/>
    </w:p>
    <w:p w:rsidR="007A61F8" w:rsidRPr="00E57D5F" w:rsidRDefault="007A61F8" w:rsidP="007A61F8">
      <w:pPr>
        <w:rPr>
          <w:lang w:val="es-AR"/>
        </w:rPr>
      </w:pPr>
    </w:p>
    <w:p w:rsidR="007A61F8" w:rsidRPr="00E57D5F" w:rsidRDefault="007A61F8" w:rsidP="008F1889">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E57D5F">
        <w:rPr>
          <w:rFonts w:ascii="Cambria" w:hAnsi="Cambria"/>
          <w:sz w:val="20"/>
          <w:szCs w:val="20"/>
          <w:lang w:val="es-ES"/>
        </w:rPr>
        <w:t xml:space="preserve">En vista de las consideraciones de hecho y de derecho precedentes, la Comisión concluye que el Estado de Argentina es </w:t>
      </w:r>
      <w:r w:rsidRPr="00E57D5F">
        <w:rPr>
          <w:rFonts w:ascii="Cambria" w:hAnsi="Cambria"/>
          <w:sz w:val="20"/>
          <w:szCs w:val="20"/>
        </w:rPr>
        <w:t xml:space="preserve">responsable por la violación de los derechos a las garantías judiciales y protección judicial, establecidos en los artículos 8.1 y 25.1 de la Convención Americana en relación con las obligaciones </w:t>
      </w:r>
      <w:r w:rsidRPr="00E57D5F">
        <w:rPr>
          <w:rFonts w:ascii="Cambria" w:hAnsi="Cambria"/>
          <w:sz w:val="20"/>
          <w:szCs w:val="20"/>
        </w:rPr>
        <w:lastRenderedPageBreak/>
        <w:t xml:space="preserve">establecidas en el artículo 1.1 del mismo instrumento en perjuicio de Elba Clotilde </w:t>
      </w:r>
      <w:proofErr w:type="spellStart"/>
      <w:r w:rsidRPr="00E57D5F">
        <w:rPr>
          <w:rFonts w:ascii="Cambria" w:hAnsi="Cambria"/>
          <w:sz w:val="20"/>
          <w:szCs w:val="20"/>
        </w:rPr>
        <w:t>Perrone</w:t>
      </w:r>
      <w:proofErr w:type="spellEnd"/>
      <w:r w:rsidRPr="00E57D5F">
        <w:rPr>
          <w:rFonts w:ascii="Cambria" w:hAnsi="Cambria"/>
          <w:sz w:val="20"/>
          <w:szCs w:val="20"/>
        </w:rPr>
        <w:t xml:space="preserve"> y Juan José </w:t>
      </w:r>
      <w:proofErr w:type="spellStart"/>
      <w:r w:rsidRPr="00E57D5F">
        <w:rPr>
          <w:rFonts w:ascii="Cambria" w:hAnsi="Cambria"/>
          <w:sz w:val="20"/>
          <w:szCs w:val="20"/>
        </w:rPr>
        <w:t>Preckel</w:t>
      </w:r>
      <w:proofErr w:type="spellEnd"/>
      <w:r w:rsidRPr="00E57D5F">
        <w:rPr>
          <w:rFonts w:ascii="Cambria" w:hAnsi="Cambria"/>
          <w:sz w:val="20"/>
          <w:szCs w:val="20"/>
        </w:rPr>
        <w:t xml:space="preserve">.  </w:t>
      </w:r>
    </w:p>
    <w:p w:rsidR="007A61F8" w:rsidRPr="00E57D5F" w:rsidRDefault="007A61F8" w:rsidP="008F188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p>
    <w:p w:rsidR="007A61F8" w:rsidRPr="00E57D5F" w:rsidRDefault="007A61F8" w:rsidP="008F1889">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E57D5F">
        <w:rPr>
          <w:rFonts w:ascii="Cambria" w:hAnsi="Cambria"/>
          <w:sz w:val="20"/>
          <w:szCs w:val="20"/>
          <w:lang w:val="es-ES"/>
        </w:rPr>
        <w:t xml:space="preserve">En cuanto a los derechos establecidos en las demás disposiciones incluidas en el informe de admisibilidad, la Comisión considera que no existen elementos para establecer la responsabilidad internacional del Estado </w:t>
      </w:r>
      <w:r w:rsidR="0070018C" w:rsidRPr="00E57D5F">
        <w:rPr>
          <w:rFonts w:ascii="Cambria" w:hAnsi="Cambria"/>
          <w:sz w:val="20"/>
          <w:szCs w:val="20"/>
          <w:lang w:val="es-ES"/>
        </w:rPr>
        <w:t xml:space="preserve">de Argentina </w:t>
      </w:r>
      <w:r w:rsidRPr="00E57D5F">
        <w:rPr>
          <w:rFonts w:ascii="Cambria" w:hAnsi="Cambria"/>
          <w:sz w:val="20"/>
          <w:szCs w:val="20"/>
          <w:lang w:val="es-ES"/>
        </w:rPr>
        <w:t xml:space="preserve">respecto de las mismas. </w:t>
      </w:r>
    </w:p>
    <w:p w:rsidR="007A61F8" w:rsidRPr="00E57D5F" w:rsidRDefault="007A61F8" w:rsidP="008F1889">
      <w:pPr>
        <w:ind w:firstLine="720"/>
        <w:rPr>
          <w:lang w:val="es-AR"/>
        </w:rPr>
      </w:pPr>
    </w:p>
    <w:p w:rsidR="007A61F8" w:rsidRPr="008F1889" w:rsidRDefault="007A61F8" w:rsidP="00ED46A1">
      <w:pPr>
        <w:pStyle w:val="Heading1"/>
      </w:pPr>
      <w:bookmarkStart w:id="47" w:name="_Toc476667888"/>
      <w:r w:rsidRPr="008F1889">
        <w:t>RECOMENDACIONES</w:t>
      </w:r>
      <w:bookmarkEnd w:id="47"/>
    </w:p>
    <w:p w:rsidR="007A61F8" w:rsidRPr="00E57D5F" w:rsidRDefault="007A61F8" w:rsidP="007A61F8">
      <w:pPr>
        <w:rPr>
          <w:rFonts w:ascii="Cambria" w:hAnsi="Cambria"/>
          <w:sz w:val="20"/>
          <w:szCs w:val="20"/>
          <w:lang w:val="es-AR"/>
        </w:rPr>
      </w:pPr>
    </w:p>
    <w:p w:rsidR="007A61F8" w:rsidRPr="00E57D5F" w:rsidRDefault="007A61F8" w:rsidP="008F1889">
      <w:pPr>
        <w:pStyle w:val="BodyTextInden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lang w:val="es-ES"/>
        </w:rPr>
      </w:pPr>
      <w:r w:rsidRPr="00E57D5F">
        <w:rPr>
          <w:rFonts w:ascii="Cambria" w:hAnsi="Cambria"/>
          <w:sz w:val="20"/>
          <w:szCs w:val="20"/>
          <w:lang w:val="es-ES"/>
        </w:rPr>
        <w:t xml:space="preserve">Con fundamento en las anteriores conclusiones, </w:t>
      </w:r>
    </w:p>
    <w:p w:rsidR="007A61F8" w:rsidRPr="00E57D5F" w:rsidRDefault="007A61F8" w:rsidP="007A61F8">
      <w:pPr>
        <w:rPr>
          <w:rFonts w:ascii="Cambria" w:hAnsi="Cambria"/>
          <w:sz w:val="20"/>
          <w:szCs w:val="20"/>
          <w:lang w:val="es-ES"/>
        </w:rPr>
      </w:pPr>
    </w:p>
    <w:p w:rsidR="007A61F8" w:rsidRPr="00E57D5F" w:rsidRDefault="007A61F8" w:rsidP="007A61F8">
      <w:pPr>
        <w:pStyle w:val="BodyTextIndent"/>
        <w:ind w:left="0" w:firstLine="0"/>
        <w:jc w:val="center"/>
        <w:rPr>
          <w:rFonts w:ascii="Cambria" w:hAnsi="Cambria"/>
          <w:b/>
          <w:sz w:val="20"/>
          <w:szCs w:val="20"/>
          <w:lang w:val="es-ES"/>
        </w:rPr>
      </w:pPr>
      <w:r w:rsidRPr="00E57D5F">
        <w:rPr>
          <w:rFonts w:ascii="Cambria" w:hAnsi="Cambria"/>
          <w:b/>
          <w:sz w:val="20"/>
          <w:szCs w:val="20"/>
          <w:lang w:val="es-ES"/>
        </w:rPr>
        <w:t xml:space="preserve">LA COMISIÓN INTERAMERICANA DE DERECHOS HUMANOS </w:t>
      </w:r>
    </w:p>
    <w:p w:rsidR="007A61F8" w:rsidRPr="00E57D5F" w:rsidRDefault="007A61F8" w:rsidP="007A61F8">
      <w:pPr>
        <w:pStyle w:val="BodyTextIndent"/>
        <w:ind w:left="0" w:firstLine="0"/>
        <w:jc w:val="center"/>
        <w:rPr>
          <w:rFonts w:ascii="Cambria" w:hAnsi="Cambria"/>
          <w:b/>
          <w:sz w:val="20"/>
          <w:szCs w:val="20"/>
          <w:lang w:val="es-ES"/>
        </w:rPr>
      </w:pPr>
      <w:r w:rsidRPr="00E57D5F">
        <w:rPr>
          <w:rFonts w:ascii="Cambria" w:hAnsi="Cambria"/>
          <w:b/>
          <w:sz w:val="20"/>
          <w:szCs w:val="20"/>
          <w:lang w:val="es-ES"/>
        </w:rPr>
        <w:t>RECOMIENDA AL ESTADO DE ARGENTINA</w:t>
      </w:r>
    </w:p>
    <w:p w:rsidR="007A61F8" w:rsidRPr="00E57D5F" w:rsidRDefault="007A61F8" w:rsidP="007A61F8">
      <w:pPr>
        <w:pStyle w:val="BodyTextIndent"/>
        <w:ind w:left="0" w:firstLine="0"/>
        <w:jc w:val="center"/>
        <w:rPr>
          <w:rFonts w:ascii="Cambria" w:hAnsi="Cambria"/>
          <w:b/>
          <w:sz w:val="20"/>
          <w:szCs w:val="20"/>
          <w:lang w:val="es-ES"/>
        </w:rPr>
      </w:pPr>
    </w:p>
    <w:p w:rsidR="007A61F8" w:rsidRPr="00E57D5F" w:rsidRDefault="007A61F8" w:rsidP="008F188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ascii="Cambria" w:hAnsi="Cambria" w:cs="Arial"/>
          <w:sz w:val="20"/>
          <w:szCs w:val="20"/>
          <w:lang w:val="es-ES"/>
        </w:rPr>
      </w:pPr>
      <w:r w:rsidRPr="00E57D5F">
        <w:rPr>
          <w:rFonts w:ascii="Cambria" w:hAnsi="Cambria" w:cs="Arial"/>
          <w:sz w:val="20"/>
          <w:szCs w:val="20"/>
          <w:lang w:val="es-ES"/>
        </w:rPr>
        <w:t xml:space="preserve">Disponer las medidas necesarias para que Elba Clotilde </w:t>
      </w:r>
      <w:proofErr w:type="spellStart"/>
      <w:r w:rsidRPr="00E57D5F">
        <w:rPr>
          <w:rFonts w:ascii="Cambria" w:hAnsi="Cambria" w:cs="Arial"/>
          <w:sz w:val="20"/>
          <w:szCs w:val="20"/>
          <w:lang w:val="es-ES"/>
        </w:rPr>
        <w:t>Perrone</w:t>
      </w:r>
      <w:proofErr w:type="spellEnd"/>
      <w:r w:rsidRPr="00E57D5F">
        <w:rPr>
          <w:rFonts w:ascii="Cambria" w:hAnsi="Cambria" w:cs="Arial"/>
          <w:sz w:val="20"/>
          <w:szCs w:val="20"/>
          <w:lang w:val="es-ES"/>
        </w:rPr>
        <w:t xml:space="preserve"> y Juan José </w:t>
      </w:r>
      <w:proofErr w:type="spellStart"/>
      <w:r w:rsidRPr="00E57D5F">
        <w:rPr>
          <w:rFonts w:ascii="Cambria" w:hAnsi="Cambria" w:cs="Arial"/>
          <w:sz w:val="20"/>
          <w:szCs w:val="20"/>
          <w:lang w:val="es-ES"/>
        </w:rPr>
        <w:t>Preckel</w:t>
      </w:r>
      <w:proofErr w:type="spellEnd"/>
      <w:r w:rsidRPr="00E57D5F">
        <w:rPr>
          <w:rFonts w:ascii="Cambria" w:hAnsi="Cambria" w:cs="Arial"/>
          <w:sz w:val="20"/>
          <w:szCs w:val="20"/>
          <w:lang w:val="es-ES"/>
        </w:rPr>
        <w:t xml:space="preserve"> cuenten con un recurso judicial efectivo mediante el cual se establezca, en cumplimiento de las garantías de motivación </w:t>
      </w:r>
      <w:r w:rsidR="00957126" w:rsidRPr="00E57D5F">
        <w:rPr>
          <w:rFonts w:ascii="Cambria" w:hAnsi="Cambria" w:cs="Arial"/>
          <w:sz w:val="20"/>
          <w:szCs w:val="20"/>
          <w:lang w:val="es-ES"/>
        </w:rPr>
        <w:t xml:space="preserve">y </w:t>
      </w:r>
      <w:r w:rsidRPr="00E57D5F">
        <w:rPr>
          <w:rFonts w:ascii="Cambria" w:hAnsi="Cambria" w:cs="Arial"/>
          <w:sz w:val="20"/>
          <w:szCs w:val="20"/>
          <w:lang w:val="es-ES"/>
        </w:rPr>
        <w:t xml:space="preserve">de plazo razonable, la procedencia o no de sus reclamos relativos al pago de los salarios y beneficios sociales dejados de percibir. </w:t>
      </w:r>
    </w:p>
    <w:p w:rsidR="007A61F8" w:rsidRPr="00E57D5F" w:rsidRDefault="007A61F8" w:rsidP="008F188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firstLine="720"/>
        <w:jc w:val="both"/>
        <w:rPr>
          <w:rFonts w:ascii="Cambria" w:hAnsi="Cambria" w:cs="Arial"/>
          <w:sz w:val="20"/>
          <w:szCs w:val="20"/>
          <w:lang w:val="es-ES"/>
        </w:rPr>
      </w:pPr>
    </w:p>
    <w:p w:rsidR="007A61F8" w:rsidRPr="00E57D5F" w:rsidRDefault="007A61F8" w:rsidP="008F188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ascii="Cambria" w:hAnsi="Cambria" w:cs="Arial"/>
          <w:sz w:val="20"/>
          <w:szCs w:val="20"/>
          <w:lang w:val="es-ES"/>
        </w:rPr>
      </w:pPr>
      <w:r w:rsidRPr="00E57D5F">
        <w:rPr>
          <w:rFonts w:ascii="Cambria" w:hAnsi="Cambria" w:cs="Arial"/>
          <w:sz w:val="20"/>
          <w:szCs w:val="20"/>
          <w:lang w:val="es-ES"/>
        </w:rPr>
        <w:t xml:space="preserve">En caso de que las víctimas no deseen acceder a dicho recurso judicial debido al paso del tiempo, disponer medidas para reparar integralmente la denegación de justicia en su perjuicio declarada en el presente informe. </w:t>
      </w:r>
    </w:p>
    <w:p w:rsidR="007A61F8" w:rsidRDefault="007A61F8" w:rsidP="008F188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firstLine="720"/>
        <w:jc w:val="both"/>
        <w:rPr>
          <w:rFonts w:ascii="Cambria" w:hAnsi="Cambria" w:cs="Arial"/>
          <w:sz w:val="20"/>
          <w:szCs w:val="20"/>
          <w:lang w:val="es-ES"/>
        </w:rPr>
      </w:pPr>
    </w:p>
    <w:p w:rsidR="007A61F8" w:rsidRPr="008752B9" w:rsidRDefault="007A61F8" w:rsidP="007A61F8">
      <w:pPr>
        <w:pStyle w:val="BodyTextIndent"/>
        <w:ind w:left="0" w:firstLine="0"/>
        <w:jc w:val="center"/>
        <w:rPr>
          <w:rFonts w:ascii="Cambria" w:hAnsi="Cambria"/>
          <w:b/>
          <w:sz w:val="20"/>
          <w:szCs w:val="20"/>
          <w:lang w:val="es-ES"/>
        </w:rPr>
      </w:pPr>
    </w:p>
    <w:p w:rsidR="007A61F8" w:rsidRPr="00DA6860" w:rsidRDefault="007A61F8" w:rsidP="007A61F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s-ES"/>
        </w:rPr>
      </w:pPr>
    </w:p>
    <w:p w:rsidR="007A61F8" w:rsidRPr="00DA6860" w:rsidRDefault="007A61F8" w:rsidP="007A61F8">
      <w:pPr>
        <w:rPr>
          <w:rFonts w:ascii="Cambria" w:hAnsi="Cambria"/>
          <w:sz w:val="20"/>
          <w:szCs w:val="20"/>
          <w:lang w:val="es-ES"/>
        </w:rPr>
      </w:pPr>
    </w:p>
    <w:p w:rsidR="009C6DBD" w:rsidRPr="00D869B9" w:rsidRDefault="009C6DBD">
      <w:pPr>
        <w:rPr>
          <w:lang w:val="es-ES"/>
        </w:rPr>
      </w:pPr>
    </w:p>
    <w:sectPr w:rsidR="009C6DBD" w:rsidRPr="00D869B9" w:rsidSect="009C6DBD">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CCE" w:rsidRDefault="005E3CCE" w:rsidP="007A61F8">
      <w:r>
        <w:separator/>
      </w:r>
    </w:p>
  </w:endnote>
  <w:endnote w:type="continuationSeparator" w:id="0">
    <w:p w:rsidR="005E3CCE" w:rsidRDefault="005E3CCE" w:rsidP="007A6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Verdana-Bold">
    <w:altName w:val="Verdana"/>
    <w:panose1 w:val="00000000000000000000"/>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CCE" w:rsidRPr="00934A2C" w:rsidRDefault="005E3CCE">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F06DE">
      <w:rPr>
        <w:noProof/>
        <w:sz w:val="16"/>
        <w:szCs w:val="22"/>
      </w:rPr>
      <w:t>4</w:t>
    </w:r>
    <w:r w:rsidRPr="00934A2C">
      <w:rPr>
        <w:noProof/>
        <w:sz w:val="16"/>
        <w:szCs w:val="22"/>
      </w:rPr>
      <w:fldChar w:fldCharType="end"/>
    </w:r>
  </w:p>
  <w:p w:rsidR="005E3CCE" w:rsidRDefault="005E3C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CCE" w:rsidRPr="00934A2C" w:rsidRDefault="005E3CCE">
    <w:pPr>
      <w:pStyle w:val="Footer"/>
      <w:jc w:val="center"/>
      <w:rPr>
        <w:sz w:val="16"/>
        <w:szCs w:val="22"/>
      </w:rPr>
    </w:pPr>
  </w:p>
  <w:p w:rsidR="005E3CCE" w:rsidRDefault="005E3C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CCE" w:rsidRDefault="005E3CCE" w:rsidP="007A61F8">
      <w:r>
        <w:separator/>
      </w:r>
    </w:p>
  </w:footnote>
  <w:footnote w:type="continuationSeparator" w:id="0">
    <w:p w:rsidR="005E3CCE" w:rsidRDefault="005E3CCE" w:rsidP="007A61F8">
      <w:r>
        <w:continuationSeparator/>
      </w:r>
    </w:p>
  </w:footnote>
  <w:footnote w:id="1">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Posteriormente se constituyeron como peticionarios la Fundación Angela María </w:t>
      </w:r>
      <w:proofErr w:type="spellStart"/>
      <w:r w:rsidRPr="005E3CCE">
        <w:rPr>
          <w:rFonts w:ascii="Cambria" w:hAnsi="Cambria"/>
          <w:sz w:val="16"/>
          <w:szCs w:val="16"/>
          <w:lang w:val="es-ES"/>
        </w:rPr>
        <w:t>Aieta</w:t>
      </w:r>
      <w:proofErr w:type="spellEnd"/>
      <w:r w:rsidRPr="005E3CCE">
        <w:rPr>
          <w:rFonts w:ascii="Cambria" w:hAnsi="Cambria"/>
          <w:sz w:val="16"/>
          <w:szCs w:val="16"/>
          <w:lang w:val="es-ES"/>
        </w:rPr>
        <w:t xml:space="preserve"> de </w:t>
      </w:r>
      <w:proofErr w:type="spellStart"/>
      <w:r w:rsidRPr="005E3CCE">
        <w:rPr>
          <w:rFonts w:ascii="Cambria" w:hAnsi="Cambria"/>
          <w:sz w:val="16"/>
          <w:szCs w:val="16"/>
          <w:lang w:val="es-ES"/>
        </w:rPr>
        <w:t>Gullo</w:t>
      </w:r>
      <w:proofErr w:type="spellEnd"/>
      <w:r w:rsidRPr="005E3CCE">
        <w:rPr>
          <w:rFonts w:ascii="Cambria" w:hAnsi="Cambria"/>
          <w:sz w:val="16"/>
          <w:szCs w:val="16"/>
          <w:lang w:val="es-ES"/>
        </w:rPr>
        <w:t xml:space="preserve"> para la Defensa y Promoción de los Derechos Económicos, Sociales y Culturales (FAMAG), así como Juan Méndez. </w:t>
      </w:r>
    </w:p>
  </w:footnote>
  <w:footnote w:id="2">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CIDH, </w:t>
      </w:r>
      <w:hyperlink r:id="rId1" w:history="1">
        <w:r w:rsidRPr="005E3CCE">
          <w:rPr>
            <w:rStyle w:val="Hyperlink"/>
            <w:rFonts w:ascii="Cambria" w:hAnsi="Cambria"/>
            <w:sz w:val="16"/>
            <w:szCs w:val="16"/>
            <w:u w:val="none"/>
            <w:lang w:val="es-ES"/>
          </w:rPr>
          <w:t>Informe No. 67/99</w:t>
        </w:r>
      </w:hyperlink>
      <w:r w:rsidRPr="005E3CCE">
        <w:rPr>
          <w:rFonts w:ascii="Cambria" w:hAnsi="Cambria"/>
          <w:sz w:val="16"/>
          <w:szCs w:val="16"/>
          <w:lang w:val="es-ES"/>
        </w:rPr>
        <w:t xml:space="preserve">, Caso 11.738, Admisibilidad,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 xml:space="preserve"> y Juan José </w:t>
      </w:r>
      <w:proofErr w:type="spellStart"/>
      <w:r w:rsidRPr="005E3CCE">
        <w:rPr>
          <w:rFonts w:ascii="Cambria" w:hAnsi="Cambria"/>
          <w:sz w:val="16"/>
          <w:szCs w:val="16"/>
          <w:lang w:val="es-ES"/>
        </w:rPr>
        <w:t>Preckel</w:t>
      </w:r>
      <w:proofErr w:type="spellEnd"/>
      <w:r w:rsidRPr="005E3CCE">
        <w:rPr>
          <w:rFonts w:ascii="Cambria" w:hAnsi="Cambria"/>
          <w:sz w:val="16"/>
          <w:szCs w:val="16"/>
          <w:lang w:val="es-ES"/>
        </w:rPr>
        <w:t xml:space="preserve">, Argentina, 4 de mayo de 1999. </w:t>
      </w:r>
    </w:p>
  </w:footnote>
  <w:footnote w:id="3">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1. </w:t>
      </w:r>
      <w:r w:rsidRPr="005E3CCE">
        <w:rPr>
          <w:rFonts w:ascii="Cambria" w:hAnsi="Cambria"/>
          <w:sz w:val="16"/>
          <w:szCs w:val="16"/>
          <w:lang w:val="es-ES"/>
        </w:rPr>
        <w:t>Peticiones iniciales. Comunicación del Estado de 31 de octubre de 1997.</w:t>
      </w:r>
    </w:p>
  </w:footnote>
  <w:footnote w:id="4">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Administración Federal de Ingresos Públicos. Disponible en: https://www.afip.gob.ar/impositivaDefault.asp</w:t>
      </w:r>
    </w:p>
  </w:footnote>
  <w:footnote w:id="5">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1. </w:t>
      </w:r>
      <w:r w:rsidRPr="005E3CCE">
        <w:rPr>
          <w:rFonts w:ascii="Cambria" w:hAnsi="Cambria"/>
          <w:sz w:val="16"/>
          <w:szCs w:val="16"/>
          <w:lang w:val="es-ES"/>
        </w:rPr>
        <w:t>Peticiones iniciales. Comunicación del Estado de 31 de octubre de 1997.</w:t>
      </w:r>
    </w:p>
  </w:footnote>
  <w:footnote w:id="6">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2. </w:t>
      </w:r>
      <w:r w:rsidRPr="005E3CCE">
        <w:rPr>
          <w:rFonts w:ascii="Cambria" w:hAnsi="Cambria"/>
          <w:sz w:val="16"/>
          <w:szCs w:val="16"/>
          <w:lang w:val="es-ES"/>
        </w:rPr>
        <w:t xml:space="preserve">Declaración de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 xml:space="preserve">. Anexo 1 a la petición inicial sobre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w:t>
      </w:r>
    </w:p>
  </w:footnote>
  <w:footnote w:id="7">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1. </w:t>
      </w:r>
      <w:r w:rsidRPr="005E3CCE">
        <w:rPr>
          <w:rFonts w:ascii="Cambria" w:hAnsi="Cambria"/>
          <w:sz w:val="16"/>
          <w:szCs w:val="16"/>
          <w:lang w:val="es-ES"/>
        </w:rPr>
        <w:t>Peticiones iniciales. Comunicación del Estado de 31 de octubre de 1997.</w:t>
      </w:r>
    </w:p>
  </w:footnote>
  <w:footnote w:id="8">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2. </w:t>
      </w:r>
      <w:r w:rsidRPr="005E3CCE">
        <w:rPr>
          <w:rFonts w:ascii="Cambria" w:hAnsi="Cambria"/>
          <w:sz w:val="16"/>
          <w:szCs w:val="16"/>
          <w:lang w:val="es-ES"/>
        </w:rPr>
        <w:t xml:space="preserve">Declaración de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 xml:space="preserve">. Anexo a la petición inicial sobre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w:t>
      </w:r>
    </w:p>
  </w:footnote>
  <w:footnote w:id="9">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1. </w:t>
      </w:r>
      <w:r w:rsidRPr="005E3CCE">
        <w:rPr>
          <w:rFonts w:ascii="Cambria" w:hAnsi="Cambria"/>
          <w:sz w:val="16"/>
          <w:szCs w:val="16"/>
          <w:lang w:val="es-ES"/>
        </w:rPr>
        <w:t>Peticiones iniciales. Comunicación del Estado de 31 de octubre de 1997.</w:t>
      </w:r>
    </w:p>
  </w:footnote>
  <w:footnote w:id="10">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2. </w:t>
      </w:r>
      <w:r w:rsidRPr="005E3CCE">
        <w:rPr>
          <w:rFonts w:ascii="Cambria" w:hAnsi="Cambria"/>
          <w:sz w:val="16"/>
          <w:szCs w:val="16"/>
          <w:lang w:val="es-ES"/>
        </w:rPr>
        <w:t xml:space="preserve">Declaración de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 xml:space="preserve">. Anexo 1 a la petición inicial sobre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w:t>
      </w:r>
    </w:p>
  </w:footnote>
  <w:footnote w:id="11">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2. </w:t>
      </w:r>
      <w:r w:rsidRPr="005E3CCE">
        <w:rPr>
          <w:rFonts w:ascii="Cambria" w:hAnsi="Cambria"/>
          <w:sz w:val="16"/>
          <w:szCs w:val="16"/>
          <w:lang w:val="es-ES"/>
        </w:rPr>
        <w:t xml:space="preserve">Declaración de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 xml:space="preserve">. Anexo 1 a la petición inicial sobre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w:t>
      </w:r>
    </w:p>
  </w:footnote>
  <w:footnote w:id="12">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2. </w:t>
      </w:r>
      <w:r w:rsidRPr="005E3CCE">
        <w:rPr>
          <w:rFonts w:ascii="Cambria" w:hAnsi="Cambria"/>
          <w:sz w:val="16"/>
          <w:szCs w:val="16"/>
          <w:lang w:val="es-ES"/>
        </w:rPr>
        <w:t xml:space="preserve">Acta del Instituto de Detención de la Capital Federal, 15 de octubre de 1982. Anexo 1 a la petición inicial sobre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 xml:space="preserve">. </w:t>
      </w:r>
    </w:p>
  </w:footnote>
  <w:footnote w:id="13">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Pr>
          <w:rFonts w:ascii="Cambria" w:hAnsi="Cambria"/>
          <w:sz w:val="16"/>
          <w:szCs w:val="16"/>
          <w:lang w:val="es-ES"/>
        </w:rPr>
        <w:t xml:space="preserve">Anexo 2. </w:t>
      </w:r>
      <w:r w:rsidRPr="005E3CCE">
        <w:rPr>
          <w:rFonts w:ascii="Cambria" w:hAnsi="Cambria"/>
          <w:sz w:val="16"/>
          <w:szCs w:val="16"/>
          <w:lang w:val="es-ES"/>
        </w:rPr>
        <w:t xml:space="preserve"> Declaración de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 xml:space="preserve">. Anexo 1 a la petición inicial sobre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 xml:space="preserve">. </w:t>
      </w:r>
    </w:p>
  </w:footnote>
  <w:footnote w:id="14">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2. </w:t>
      </w:r>
      <w:r w:rsidRPr="005E3CCE">
        <w:rPr>
          <w:rFonts w:ascii="Cambria" w:hAnsi="Cambria"/>
          <w:sz w:val="16"/>
          <w:szCs w:val="16"/>
          <w:lang w:val="es-ES"/>
        </w:rPr>
        <w:t xml:space="preserve">Oficio del Servicio Penitenciario de la Provincia de Buenos Aires. Anexo a la petición inicial sobre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w:t>
      </w:r>
    </w:p>
  </w:footnote>
  <w:footnote w:id="15">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1. </w:t>
      </w:r>
      <w:r w:rsidRPr="005E3CCE">
        <w:rPr>
          <w:rFonts w:ascii="Cambria" w:hAnsi="Cambria"/>
          <w:sz w:val="16"/>
          <w:szCs w:val="16"/>
          <w:lang w:val="es-ES"/>
        </w:rPr>
        <w:t xml:space="preserve">Peticiones iniciales. </w:t>
      </w:r>
    </w:p>
  </w:footnote>
  <w:footnote w:id="16">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1. </w:t>
      </w:r>
      <w:r w:rsidRPr="005E3CCE">
        <w:rPr>
          <w:rFonts w:ascii="Cambria" w:hAnsi="Cambria"/>
          <w:sz w:val="16"/>
          <w:szCs w:val="16"/>
          <w:lang w:val="es-ES"/>
        </w:rPr>
        <w:t>Peticiones iniciales. Comunicación del Estado de 31 de octubre de 1997.</w:t>
      </w:r>
    </w:p>
  </w:footnote>
  <w:footnote w:id="17">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1. </w:t>
      </w:r>
      <w:r w:rsidRPr="005E3CCE">
        <w:rPr>
          <w:rFonts w:ascii="Cambria" w:hAnsi="Cambria"/>
          <w:sz w:val="16"/>
          <w:szCs w:val="16"/>
          <w:lang w:val="es-ES"/>
        </w:rPr>
        <w:t>Peticiones iniciales. Comunicación del Estado de 31 de octubre de 1997.</w:t>
      </w:r>
    </w:p>
  </w:footnote>
  <w:footnote w:id="18">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hyperlink r:id="rId2" w:history="1">
        <w:r w:rsidRPr="005E3CCE">
          <w:rPr>
            <w:rStyle w:val="Hyperlink"/>
            <w:rFonts w:ascii="Cambria" w:hAnsi="Cambria"/>
            <w:sz w:val="16"/>
            <w:szCs w:val="16"/>
            <w:u w:val="none"/>
            <w:lang w:val="es-ES"/>
          </w:rPr>
          <w:t>Ley No. 24.043</w:t>
        </w:r>
      </w:hyperlink>
      <w:r>
        <w:rPr>
          <w:rStyle w:val="Hyperlink"/>
          <w:rFonts w:ascii="Cambria" w:hAnsi="Cambria"/>
          <w:sz w:val="16"/>
          <w:szCs w:val="16"/>
          <w:u w:val="none"/>
          <w:lang w:val="es-ES"/>
        </w:rPr>
        <w:t xml:space="preserve"> – Indemnización para ex Detenidos</w:t>
      </w:r>
      <w:r w:rsidRPr="005E3CCE">
        <w:rPr>
          <w:rFonts w:ascii="Cambria" w:hAnsi="Cambria"/>
          <w:sz w:val="16"/>
          <w:szCs w:val="16"/>
          <w:lang w:val="es-ES"/>
        </w:rPr>
        <w:t xml:space="preserve">. </w:t>
      </w:r>
    </w:p>
  </w:footnote>
  <w:footnote w:id="19">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1. </w:t>
      </w:r>
      <w:r w:rsidRPr="005E3CCE">
        <w:rPr>
          <w:rFonts w:ascii="Cambria" w:hAnsi="Cambria"/>
          <w:sz w:val="16"/>
          <w:szCs w:val="16"/>
          <w:lang w:val="es-ES"/>
        </w:rPr>
        <w:t>Comunicación del Estado de 7 de febrero de 2001.</w:t>
      </w:r>
    </w:p>
  </w:footnote>
  <w:footnote w:id="20">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1. </w:t>
      </w:r>
      <w:r w:rsidRPr="005E3CCE">
        <w:rPr>
          <w:rFonts w:ascii="Cambria" w:hAnsi="Cambria"/>
          <w:sz w:val="16"/>
          <w:szCs w:val="16"/>
          <w:lang w:val="es-ES"/>
        </w:rPr>
        <w:t>Comunicación del Estado de 7 de febrero de 2001.</w:t>
      </w:r>
    </w:p>
  </w:footnote>
  <w:footnote w:id="21">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Pr>
          <w:rFonts w:ascii="Cambria" w:hAnsi="Cambria"/>
          <w:sz w:val="16"/>
          <w:szCs w:val="16"/>
        </w:rPr>
        <w:t xml:space="preserve"> </w:t>
      </w:r>
      <w:r>
        <w:rPr>
          <w:rFonts w:ascii="Cambria" w:hAnsi="Cambria"/>
          <w:sz w:val="16"/>
          <w:szCs w:val="16"/>
          <w:lang w:val="es-ES"/>
        </w:rPr>
        <w:t xml:space="preserve">Anexo 1. </w:t>
      </w:r>
      <w:r w:rsidRPr="005E3CCE">
        <w:rPr>
          <w:rFonts w:ascii="Cambria" w:hAnsi="Cambria"/>
          <w:sz w:val="16"/>
          <w:szCs w:val="16"/>
          <w:lang w:val="es-ES"/>
        </w:rPr>
        <w:t xml:space="preserve"> Comunicación del Estado de 7 de febrero de 2001.</w:t>
      </w:r>
    </w:p>
  </w:footnote>
  <w:footnote w:id="22">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1. </w:t>
      </w:r>
      <w:r w:rsidRPr="005E3CCE">
        <w:rPr>
          <w:rFonts w:ascii="Cambria" w:hAnsi="Cambria"/>
          <w:sz w:val="16"/>
          <w:szCs w:val="16"/>
          <w:lang w:val="es-ES"/>
        </w:rPr>
        <w:t>Comunicación del Estado de 7 de febrero de 2001.</w:t>
      </w:r>
    </w:p>
  </w:footnote>
  <w:footnote w:id="23">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1. </w:t>
      </w:r>
      <w:r w:rsidRPr="005E3CCE">
        <w:rPr>
          <w:rFonts w:ascii="Cambria" w:hAnsi="Cambria"/>
          <w:sz w:val="16"/>
          <w:szCs w:val="16"/>
          <w:lang w:val="es-ES"/>
        </w:rPr>
        <w:t>Peticiones iniciales. Comunicación del Estado de 31 de octubre de 1997.</w:t>
      </w:r>
    </w:p>
  </w:footnote>
  <w:footnote w:id="24">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Reglamento de Investigaciones. </w:t>
      </w:r>
      <w:hyperlink r:id="rId3" w:history="1">
        <w:r w:rsidRPr="005E3CCE">
          <w:rPr>
            <w:rStyle w:val="Hyperlink"/>
            <w:rFonts w:ascii="Cambria" w:hAnsi="Cambria"/>
            <w:sz w:val="16"/>
            <w:szCs w:val="16"/>
            <w:u w:val="none"/>
            <w:lang w:val="es-ES"/>
          </w:rPr>
          <w:t>Decreto No. 1798/80</w:t>
        </w:r>
      </w:hyperlink>
      <w:r w:rsidRPr="005E3CCE">
        <w:rPr>
          <w:rFonts w:ascii="Cambria" w:hAnsi="Cambria"/>
          <w:sz w:val="16"/>
          <w:szCs w:val="16"/>
          <w:lang w:val="es-ES"/>
        </w:rPr>
        <w:t xml:space="preserve">. Artículo 2. </w:t>
      </w:r>
    </w:p>
  </w:footnote>
  <w:footnote w:id="25">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Reglamento de Investigaciones. </w:t>
      </w:r>
      <w:hyperlink r:id="rId4" w:history="1">
        <w:r w:rsidRPr="005E3CCE">
          <w:rPr>
            <w:rStyle w:val="Hyperlink"/>
            <w:rFonts w:ascii="Cambria" w:hAnsi="Cambria"/>
            <w:sz w:val="16"/>
            <w:szCs w:val="16"/>
            <w:u w:val="none"/>
            <w:lang w:val="es-ES"/>
          </w:rPr>
          <w:t>Decreto No. 1798/80</w:t>
        </w:r>
      </w:hyperlink>
      <w:r w:rsidRPr="005E3CCE">
        <w:rPr>
          <w:rFonts w:ascii="Cambria" w:hAnsi="Cambria"/>
          <w:sz w:val="16"/>
          <w:szCs w:val="16"/>
          <w:lang w:val="es-ES"/>
        </w:rPr>
        <w:t xml:space="preserve">.  </w:t>
      </w:r>
    </w:p>
  </w:footnote>
  <w:footnote w:id="26">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3. </w:t>
      </w:r>
      <w:r w:rsidRPr="005E3CCE">
        <w:rPr>
          <w:rFonts w:ascii="Cambria" w:hAnsi="Cambria"/>
          <w:sz w:val="16"/>
          <w:szCs w:val="16"/>
          <w:lang w:val="es-ES"/>
        </w:rPr>
        <w:t xml:space="preserve">Oficio de la DGI, 27 de julio de 1976. Sumario administrativo. Anexo a la petición inicial sobre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w:t>
      </w:r>
    </w:p>
  </w:footnote>
  <w:footnote w:id="27">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3. </w:t>
      </w:r>
      <w:r w:rsidRPr="005E3CCE">
        <w:rPr>
          <w:rFonts w:ascii="Cambria" w:hAnsi="Cambria"/>
          <w:sz w:val="16"/>
          <w:szCs w:val="16"/>
          <w:lang w:val="es-ES"/>
        </w:rPr>
        <w:t xml:space="preserve">Oficio de la DGI, 27 de julio de 1976. Sumario administrativo. Anexo a la petición inicial sobre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w:t>
      </w:r>
    </w:p>
  </w:footnote>
  <w:footnote w:id="28">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3. </w:t>
      </w:r>
      <w:r w:rsidRPr="005E3CCE">
        <w:rPr>
          <w:rFonts w:ascii="Cambria" w:hAnsi="Cambria"/>
          <w:sz w:val="16"/>
          <w:szCs w:val="16"/>
          <w:lang w:val="es-ES"/>
        </w:rPr>
        <w:t xml:space="preserve">Oficio del Coronel de la Agrupación de Artillería de Defensa Aérea, 27 de julio de 1976. Sumario administrativo. Anexo a la petición inicial sobre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w:t>
      </w:r>
    </w:p>
  </w:footnote>
  <w:footnote w:id="29">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3. </w:t>
      </w:r>
      <w:r w:rsidRPr="005E3CCE">
        <w:rPr>
          <w:rFonts w:ascii="Cambria" w:hAnsi="Cambria"/>
          <w:sz w:val="16"/>
          <w:szCs w:val="16"/>
          <w:lang w:val="es-ES"/>
        </w:rPr>
        <w:t xml:space="preserve">Oficios de la DGI, 10 de agosto de 1976. Sumario administrativo. Anexo a la petición inicial sobre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w:t>
      </w:r>
    </w:p>
  </w:footnote>
  <w:footnote w:id="30">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3. </w:t>
      </w:r>
      <w:r w:rsidRPr="005E3CCE">
        <w:rPr>
          <w:rFonts w:ascii="Cambria" w:hAnsi="Cambria"/>
          <w:sz w:val="16"/>
          <w:szCs w:val="16"/>
          <w:lang w:val="es-ES"/>
        </w:rPr>
        <w:t xml:space="preserve">Oficios de la DGI, 10 de agosto de 1976. Sumario administrativo. Anexo a la petición inicial sobre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w:t>
      </w:r>
    </w:p>
  </w:footnote>
  <w:footnote w:id="31">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3. </w:t>
      </w:r>
      <w:r w:rsidRPr="005E3CCE">
        <w:rPr>
          <w:rFonts w:ascii="Cambria" w:hAnsi="Cambria"/>
          <w:sz w:val="16"/>
          <w:szCs w:val="16"/>
          <w:lang w:val="es-ES"/>
        </w:rPr>
        <w:t xml:space="preserve">Oficio de la DGI, 26 de agosto de 1976. Sumario administrativo. Anexo a la petición inicial sobre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w:t>
      </w:r>
    </w:p>
  </w:footnote>
  <w:footnote w:id="32">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3. </w:t>
      </w:r>
      <w:r w:rsidRPr="005E3CCE">
        <w:rPr>
          <w:rFonts w:ascii="Cambria" w:hAnsi="Cambria"/>
          <w:sz w:val="16"/>
          <w:szCs w:val="16"/>
          <w:lang w:val="es-ES"/>
        </w:rPr>
        <w:t xml:space="preserve">Oficio del Coronel de la Agrupación de Artillería de Defensa Aérea, 21 de octubre de 1976. Sumario administrativo. Anexo a la petición inicial sobre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w:t>
      </w:r>
    </w:p>
  </w:footnote>
  <w:footnote w:id="33">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3. </w:t>
      </w:r>
      <w:r w:rsidRPr="005E3CCE">
        <w:rPr>
          <w:rFonts w:ascii="Cambria" w:hAnsi="Cambria"/>
          <w:sz w:val="16"/>
          <w:szCs w:val="16"/>
          <w:lang w:val="es-ES"/>
        </w:rPr>
        <w:t xml:space="preserve">Dictamen de la Junta de Disciplina de la DGI, 10 de abril de 1979. Sumario administrativo. Anexo a la petición inicial sobre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w:t>
      </w:r>
    </w:p>
  </w:footnote>
  <w:footnote w:id="34">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3. </w:t>
      </w:r>
      <w:r w:rsidRPr="005E3CCE">
        <w:rPr>
          <w:rFonts w:ascii="Cambria" w:hAnsi="Cambria"/>
          <w:sz w:val="16"/>
          <w:szCs w:val="16"/>
          <w:lang w:val="es-ES"/>
        </w:rPr>
        <w:t xml:space="preserve">Dictamen de la Junta de Disciplina de la DGI, 10 de abril de 1979. Sumario administrativo. Anexo a la petición inicial sobre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w:t>
      </w:r>
    </w:p>
  </w:footnote>
  <w:footnote w:id="35">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4. </w:t>
      </w:r>
      <w:r w:rsidRPr="005E3CCE">
        <w:rPr>
          <w:rFonts w:ascii="Cambria" w:hAnsi="Cambria"/>
          <w:sz w:val="16"/>
          <w:szCs w:val="16"/>
          <w:lang w:val="es-ES"/>
        </w:rPr>
        <w:t xml:space="preserve">Demanda ante juez federal, 24 de junio de 1988. Antecedentes judiciales. Anexo a la petición inicial sobre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w:t>
      </w:r>
    </w:p>
  </w:footnote>
  <w:footnote w:id="36">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4. </w:t>
      </w:r>
      <w:r w:rsidRPr="005E3CCE">
        <w:rPr>
          <w:rFonts w:ascii="Cambria" w:hAnsi="Cambria"/>
          <w:sz w:val="16"/>
          <w:szCs w:val="16"/>
          <w:lang w:val="es-ES"/>
        </w:rPr>
        <w:t xml:space="preserve">Demanda ante juez federal, 24 de junio de 1988. Antecedentes judiciales. Anexo a la petición inicial sobre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w:t>
      </w:r>
    </w:p>
  </w:footnote>
  <w:footnote w:id="37">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3. </w:t>
      </w:r>
      <w:r w:rsidRPr="005E3CCE">
        <w:rPr>
          <w:rFonts w:ascii="Cambria" w:hAnsi="Cambria"/>
          <w:sz w:val="16"/>
          <w:szCs w:val="16"/>
          <w:lang w:val="es-ES"/>
        </w:rPr>
        <w:t xml:space="preserve">Oficio de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 xml:space="preserve">, 27 de abril de 1983. Sumario administrativo. Anexo a la petición inicial sobre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w:t>
      </w:r>
    </w:p>
  </w:footnote>
  <w:footnote w:id="38">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3. </w:t>
      </w:r>
      <w:r w:rsidRPr="005E3CCE">
        <w:rPr>
          <w:rFonts w:ascii="Cambria" w:hAnsi="Cambria"/>
          <w:sz w:val="16"/>
          <w:szCs w:val="16"/>
          <w:lang w:val="es-ES"/>
        </w:rPr>
        <w:t xml:space="preserve">Declaración de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 xml:space="preserve">, 23 de agosto de 1983. Sumario administrativo. Anexo a la petición inicial sobre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w:t>
      </w:r>
    </w:p>
  </w:footnote>
  <w:footnote w:id="39">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3. </w:t>
      </w:r>
      <w:r w:rsidRPr="005E3CCE">
        <w:rPr>
          <w:rFonts w:ascii="Cambria" w:hAnsi="Cambria"/>
          <w:sz w:val="16"/>
          <w:szCs w:val="16"/>
          <w:lang w:val="es-ES"/>
        </w:rPr>
        <w:t xml:space="preserve">Comunicación de Juan José </w:t>
      </w:r>
      <w:proofErr w:type="spellStart"/>
      <w:r w:rsidRPr="005E3CCE">
        <w:rPr>
          <w:rFonts w:ascii="Cambria" w:hAnsi="Cambria"/>
          <w:sz w:val="16"/>
          <w:szCs w:val="16"/>
          <w:lang w:val="es-ES"/>
        </w:rPr>
        <w:t>Preckel</w:t>
      </w:r>
      <w:proofErr w:type="spellEnd"/>
      <w:r w:rsidRPr="005E3CCE">
        <w:rPr>
          <w:rFonts w:ascii="Cambria" w:hAnsi="Cambria"/>
          <w:sz w:val="16"/>
          <w:szCs w:val="16"/>
          <w:lang w:val="es-ES"/>
        </w:rPr>
        <w:t xml:space="preserve">, 20 de febrero de 1984. Sumario administrativo. Anexo a la petición inicial sobre Juan José </w:t>
      </w:r>
      <w:proofErr w:type="spellStart"/>
      <w:r w:rsidRPr="005E3CCE">
        <w:rPr>
          <w:rFonts w:ascii="Cambria" w:hAnsi="Cambria"/>
          <w:sz w:val="16"/>
          <w:szCs w:val="16"/>
          <w:lang w:val="es-ES"/>
        </w:rPr>
        <w:t>Preckel</w:t>
      </w:r>
      <w:proofErr w:type="spellEnd"/>
      <w:r w:rsidRPr="005E3CCE">
        <w:rPr>
          <w:rFonts w:ascii="Cambria" w:hAnsi="Cambria"/>
          <w:sz w:val="16"/>
          <w:szCs w:val="16"/>
          <w:lang w:val="es-ES"/>
        </w:rPr>
        <w:t>.</w:t>
      </w:r>
    </w:p>
  </w:footnote>
  <w:footnote w:id="40">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3. </w:t>
      </w:r>
      <w:r w:rsidRPr="005E3CCE">
        <w:rPr>
          <w:rFonts w:ascii="Cambria" w:hAnsi="Cambria"/>
          <w:sz w:val="16"/>
          <w:szCs w:val="16"/>
          <w:lang w:val="es-ES"/>
        </w:rPr>
        <w:t xml:space="preserve">Oficio del Jefe de Departamento de Recursos Humanos de la DGI, 7 de septiembre de 1984. Sumario administrativo. Anexo a la petición inicial sobre Juan José </w:t>
      </w:r>
      <w:proofErr w:type="spellStart"/>
      <w:r w:rsidRPr="005E3CCE">
        <w:rPr>
          <w:rFonts w:ascii="Cambria" w:hAnsi="Cambria"/>
          <w:sz w:val="16"/>
          <w:szCs w:val="16"/>
          <w:lang w:val="es-ES"/>
        </w:rPr>
        <w:t>Preckel</w:t>
      </w:r>
      <w:proofErr w:type="spellEnd"/>
      <w:r w:rsidRPr="005E3CCE">
        <w:rPr>
          <w:rFonts w:ascii="Cambria" w:hAnsi="Cambria"/>
          <w:sz w:val="16"/>
          <w:szCs w:val="16"/>
          <w:lang w:val="es-ES"/>
        </w:rPr>
        <w:t>.</w:t>
      </w:r>
    </w:p>
  </w:footnote>
  <w:footnote w:id="41">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3. </w:t>
      </w:r>
      <w:r w:rsidRPr="005E3CCE">
        <w:rPr>
          <w:rFonts w:ascii="Cambria" w:hAnsi="Cambria"/>
          <w:sz w:val="16"/>
          <w:szCs w:val="16"/>
          <w:lang w:val="es-ES"/>
        </w:rPr>
        <w:t xml:space="preserve">Resolución del Director General de la DGI, 16 de octubre de 1984. Sumario administrativo. Anexo a la petición inicial sobre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w:t>
      </w:r>
    </w:p>
  </w:footnote>
  <w:footnote w:id="42">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3. </w:t>
      </w:r>
      <w:r w:rsidRPr="005E3CCE">
        <w:rPr>
          <w:rFonts w:ascii="Cambria" w:hAnsi="Cambria"/>
          <w:sz w:val="16"/>
          <w:szCs w:val="16"/>
          <w:lang w:val="es-ES"/>
        </w:rPr>
        <w:t xml:space="preserve">Resolución del Director General de la DGI, 16 de octubre de 1984. Sumario administrativo. Anexo a la petición inicial sobre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w:t>
      </w:r>
    </w:p>
  </w:footnote>
  <w:footnote w:id="43">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1. </w:t>
      </w:r>
      <w:r w:rsidRPr="005E3CCE">
        <w:rPr>
          <w:rFonts w:ascii="Cambria" w:hAnsi="Cambria"/>
          <w:sz w:val="16"/>
          <w:szCs w:val="16"/>
          <w:lang w:val="es-ES"/>
        </w:rPr>
        <w:t>Peticiones iniciales.</w:t>
      </w:r>
    </w:p>
  </w:footnote>
  <w:footnote w:id="44">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3. </w:t>
      </w:r>
      <w:r w:rsidRPr="005E3CCE">
        <w:rPr>
          <w:rFonts w:ascii="Cambria" w:hAnsi="Cambria"/>
          <w:sz w:val="16"/>
          <w:szCs w:val="16"/>
          <w:lang w:val="es-ES"/>
        </w:rPr>
        <w:t xml:space="preserve">Oficio de Elba Clotilde, 27 de abril de 1983. Sumario administrativo. Anexo a la petición inicial sobre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w:t>
      </w:r>
    </w:p>
  </w:footnote>
  <w:footnote w:id="45">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3. </w:t>
      </w:r>
      <w:r w:rsidRPr="005E3CCE">
        <w:rPr>
          <w:rFonts w:ascii="Cambria" w:hAnsi="Cambria"/>
          <w:sz w:val="16"/>
          <w:szCs w:val="16"/>
          <w:lang w:val="es-ES"/>
        </w:rPr>
        <w:t xml:space="preserve">Oficio de Elba Clotilde, 27 de abril de 1983. Sumario administrativo. Anexo a la petición inicial sobre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w:t>
      </w:r>
    </w:p>
  </w:footnote>
  <w:footnote w:id="46">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3. </w:t>
      </w:r>
      <w:r w:rsidRPr="005E3CCE">
        <w:rPr>
          <w:rFonts w:ascii="Cambria" w:hAnsi="Cambria"/>
          <w:sz w:val="16"/>
          <w:szCs w:val="16"/>
          <w:lang w:val="es-ES"/>
        </w:rPr>
        <w:t xml:space="preserve">Dictamen del Departamento de Asesoría Legal de la DGI, mayo de 1984. Sumario administrativo. Anexo a la petición inicial sobre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 xml:space="preserve">. </w:t>
      </w:r>
    </w:p>
  </w:footnote>
  <w:footnote w:id="47">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3. </w:t>
      </w:r>
      <w:r w:rsidRPr="005E3CCE">
        <w:rPr>
          <w:rFonts w:ascii="Cambria" w:hAnsi="Cambria"/>
          <w:sz w:val="16"/>
          <w:szCs w:val="16"/>
          <w:lang w:val="es-ES"/>
        </w:rPr>
        <w:t xml:space="preserve">Dictamen del Departamento de Asesoría Legal de la DGI, mayo de 1984. Sumario administrativo. Anexo a la petición inicial sobre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 xml:space="preserve">. </w:t>
      </w:r>
    </w:p>
  </w:footnote>
  <w:footnote w:id="48">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3. </w:t>
      </w:r>
      <w:r w:rsidRPr="005E3CCE">
        <w:rPr>
          <w:rFonts w:ascii="Cambria" w:hAnsi="Cambria"/>
          <w:sz w:val="16"/>
          <w:szCs w:val="16"/>
          <w:lang w:val="es-ES"/>
        </w:rPr>
        <w:t xml:space="preserve">Dictamen del Departamento de Asesoría Legal de la DGI, mayo de 1984. Sumario administrativo. Anexo a la petición inicial sobre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 xml:space="preserve">. </w:t>
      </w:r>
    </w:p>
  </w:footnote>
  <w:footnote w:id="49">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3. </w:t>
      </w:r>
      <w:r w:rsidRPr="005E3CCE">
        <w:rPr>
          <w:rFonts w:ascii="Cambria" w:hAnsi="Cambria"/>
          <w:sz w:val="16"/>
          <w:szCs w:val="16"/>
          <w:lang w:val="es-ES"/>
        </w:rPr>
        <w:t xml:space="preserve">Dictamen del Departamento de Asesoría Legal de la DGI, mayo de 1984. Sumario administrativo. Anexo a la petición inicial sobre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 xml:space="preserve">. </w:t>
      </w:r>
    </w:p>
  </w:footnote>
  <w:footnote w:id="50">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3. </w:t>
      </w:r>
      <w:r w:rsidRPr="005E3CCE">
        <w:rPr>
          <w:rFonts w:ascii="Cambria" w:hAnsi="Cambria"/>
          <w:sz w:val="16"/>
          <w:szCs w:val="16"/>
          <w:lang w:val="es-ES"/>
        </w:rPr>
        <w:t xml:space="preserve">Dictamen de la Dirección de Asuntos Técnicos y Jurídicos de la DGI, 28 de mayo de 1985. Sumario administrativo. Anexo a la petición inicial sobre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 xml:space="preserve">. </w:t>
      </w:r>
    </w:p>
  </w:footnote>
  <w:footnote w:id="51">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3. </w:t>
      </w:r>
      <w:r w:rsidRPr="005E3CCE">
        <w:rPr>
          <w:rFonts w:ascii="Cambria" w:hAnsi="Cambria"/>
          <w:sz w:val="16"/>
          <w:szCs w:val="16"/>
          <w:lang w:val="es-ES"/>
        </w:rPr>
        <w:t xml:space="preserve">Dictamen de la Dirección de Asuntos Técnicos y Jurídicos de la DGI, 28 de mayo de 1985. Sumario administrativo. Anexo a la petición inicial sobre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 xml:space="preserve">. </w:t>
      </w:r>
    </w:p>
  </w:footnote>
  <w:footnote w:id="52">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3. </w:t>
      </w:r>
      <w:r w:rsidRPr="005E3CCE">
        <w:rPr>
          <w:rFonts w:ascii="Cambria" w:hAnsi="Cambria"/>
          <w:sz w:val="16"/>
          <w:szCs w:val="16"/>
          <w:lang w:val="es-ES"/>
        </w:rPr>
        <w:t xml:space="preserve">Dictamen de la Dirección de Asuntos Técnicos y Jurídicos de la DGI, 28 de mayo de 1985. Sumario administrativo. Anexo a la petición inicial sobre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 xml:space="preserve">. </w:t>
      </w:r>
    </w:p>
  </w:footnote>
  <w:footnote w:id="53">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3. </w:t>
      </w:r>
      <w:r w:rsidRPr="005E3CCE">
        <w:rPr>
          <w:rFonts w:ascii="Cambria" w:hAnsi="Cambria"/>
          <w:sz w:val="16"/>
          <w:szCs w:val="16"/>
          <w:lang w:val="es-ES"/>
        </w:rPr>
        <w:t xml:space="preserve">Dictamen de la Dirección General de Asuntos Jurídicos del Ministerio de Economía, 24 de julio de 1985. Sumario administrativo. Anexo a la petición inicial sobre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 xml:space="preserve">. </w:t>
      </w:r>
    </w:p>
  </w:footnote>
  <w:footnote w:id="54">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3. </w:t>
      </w:r>
      <w:r w:rsidRPr="005E3CCE">
        <w:rPr>
          <w:rFonts w:ascii="Cambria" w:hAnsi="Cambria"/>
          <w:sz w:val="16"/>
          <w:szCs w:val="16"/>
          <w:lang w:val="es-ES"/>
        </w:rPr>
        <w:t xml:space="preserve">Dictamen de la Dirección General de Asuntos Jurídicos del Ministerio de Economía, 24 de julio de 1985. Sumario administrativo. Anexo a la petición inicial sobre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 xml:space="preserve">. </w:t>
      </w:r>
    </w:p>
  </w:footnote>
  <w:footnote w:id="55">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Para mayor información, véase: </w:t>
      </w:r>
      <w:hyperlink r:id="rId5" w:history="1">
        <w:r w:rsidRPr="005E3CCE">
          <w:rPr>
            <w:rStyle w:val="Hyperlink"/>
            <w:rFonts w:ascii="Cambria" w:hAnsi="Cambria"/>
            <w:sz w:val="16"/>
            <w:szCs w:val="16"/>
            <w:u w:val="none"/>
            <w:lang w:val="es-ES"/>
          </w:rPr>
          <w:t>Sistema Argentino de Información Jurídica</w:t>
        </w:r>
      </w:hyperlink>
      <w:r w:rsidRPr="005E3CCE">
        <w:rPr>
          <w:rFonts w:ascii="Cambria" w:hAnsi="Cambria"/>
          <w:sz w:val="16"/>
          <w:szCs w:val="16"/>
          <w:lang w:val="es-ES"/>
        </w:rPr>
        <w:t>.</w:t>
      </w:r>
    </w:p>
  </w:footnote>
  <w:footnote w:id="56">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3. </w:t>
      </w:r>
      <w:r w:rsidRPr="005E3CCE">
        <w:rPr>
          <w:rFonts w:ascii="Cambria" w:hAnsi="Cambria"/>
          <w:sz w:val="16"/>
          <w:szCs w:val="16"/>
          <w:lang w:val="es-ES"/>
        </w:rPr>
        <w:t xml:space="preserve">Dictamen de la Dirección General de Asuntos Jurídicos del Ministerio de Economía, 24 de julio de 1985. Sumario administrativo. Anexo a la petición inicial sobre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 xml:space="preserve">. </w:t>
      </w:r>
    </w:p>
  </w:footnote>
  <w:footnote w:id="57">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3. </w:t>
      </w:r>
      <w:r w:rsidRPr="005E3CCE">
        <w:rPr>
          <w:rFonts w:ascii="Cambria" w:hAnsi="Cambria"/>
          <w:sz w:val="16"/>
          <w:szCs w:val="16"/>
          <w:lang w:val="es-ES"/>
        </w:rPr>
        <w:t xml:space="preserve">Sentencia del Poder Judicial de la Nación, Noviembre de 1987. Sumario administrativo. Anexo a la petición inicial sobre Juan José </w:t>
      </w:r>
      <w:proofErr w:type="spellStart"/>
      <w:r w:rsidRPr="005E3CCE">
        <w:rPr>
          <w:rFonts w:ascii="Cambria" w:hAnsi="Cambria"/>
          <w:sz w:val="16"/>
          <w:szCs w:val="16"/>
          <w:lang w:val="es-ES"/>
        </w:rPr>
        <w:t>Preckel</w:t>
      </w:r>
      <w:proofErr w:type="spellEnd"/>
      <w:r w:rsidRPr="005E3CCE">
        <w:rPr>
          <w:rFonts w:ascii="Cambria" w:hAnsi="Cambria"/>
          <w:sz w:val="16"/>
          <w:szCs w:val="16"/>
          <w:lang w:val="es-ES"/>
        </w:rPr>
        <w:t>.</w:t>
      </w:r>
    </w:p>
  </w:footnote>
  <w:footnote w:id="58">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3. </w:t>
      </w:r>
      <w:r w:rsidRPr="005E3CCE">
        <w:rPr>
          <w:rFonts w:ascii="Cambria" w:hAnsi="Cambria"/>
          <w:sz w:val="16"/>
          <w:szCs w:val="16"/>
          <w:lang w:val="es-ES"/>
        </w:rPr>
        <w:t xml:space="preserve">Dictamen de la Procuración del Tesoro de la Nación, 19 de septiembre de 1986. Sumario administrativo. Anexo a la petición inicial sobre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 xml:space="preserve">. </w:t>
      </w:r>
    </w:p>
  </w:footnote>
  <w:footnote w:id="59">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3. </w:t>
      </w:r>
      <w:r w:rsidRPr="005E3CCE">
        <w:rPr>
          <w:rFonts w:ascii="Cambria" w:hAnsi="Cambria"/>
          <w:sz w:val="16"/>
          <w:szCs w:val="16"/>
          <w:lang w:val="es-ES"/>
        </w:rPr>
        <w:t xml:space="preserve">Dictamen de la Procuración del Tesoro de la Nación, 19 de septiembre de 1986. Sumario administrativo. Anexo a la petición inicial sobre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 xml:space="preserve">. </w:t>
      </w:r>
    </w:p>
  </w:footnote>
  <w:footnote w:id="60">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3. </w:t>
      </w:r>
      <w:r w:rsidRPr="005E3CCE">
        <w:rPr>
          <w:rFonts w:ascii="Cambria" w:hAnsi="Cambria"/>
          <w:sz w:val="16"/>
          <w:szCs w:val="16"/>
          <w:lang w:val="es-ES"/>
        </w:rPr>
        <w:t xml:space="preserve">Resolución No. 75/87 del Director General de la DGI, 19 de marzo de 1987. Sumario administrativo. Anexo a la petición inicial sobre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w:t>
      </w:r>
    </w:p>
  </w:footnote>
  <w:footnote w:id="61">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3. </w:t>
      </w:r>
      <w:r w:rsidRPr="005E3CCE">
        <w:rPr>
          <w:rFonts w:ascii="Cambria" w:hAnsi="Cambria"/>
          <w:sz w:val="16"/>
          <w:szCs w:val="16"/>
          <w:lang w:val="es-ES"/>
        </w:rPr>
        <w:t xml:space="preserve">Resolución No. 75/87 del Director General de la DGI, 19 de marzo de 1987. Sumario administrativo. Anexo a la petición inicial sobre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w:t>
      </w:r>
    </w:p>
  </w:footnote>
  <w:footnote w:id="62">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3. </w:t>
      </w:r>
      <w:r w:rsidRPr="005E3CCE">
        <w:rPr>
          <w:rFonts w:ascii="Cambria" w:hAnsi="Cambria"/>
          <w:sz w:val="16"/>
          <w:szCs w:val="16"/>
          <w:lang w:val="es-ES"/>
        </w:rPr>
        <w:t xml:space="preserve">Resolución No. 1217 del Ministerio de Economía, 17 de diciembre de 1987. Sumario administrativo. Anexo a la petición inicial sobre Juan </w:t>
      </w:r>
      <w:proofErr w:type="spellStart"/>
      <w:r w:rsidRPr="005E3CCE">
        <w:rPr>
          <w:rFonts w:ascii="Cambria" w:hAnsi="Cambria"/>
          <w:sz w:val="16"/>
          <w:szCs w:val="16"/>
          <w:lang w:val="es-ES"/>
        </w:rPr>
        <w:t>Preckel</w:t>
      </w:r>
      <w:proofErr w:type="spellEnd"/>
      <w:r w:rsidRPr="005E3CCE">
        <w:rPr>
          <w:rFonts w:ascii="Cambria" w:hAnsi="Cambria"/>
          <w:sz w:val="16"/>
          <w:szCs w:val="16"/>
          <w:lang w:val="es-ES"/>
        </w:rPr>
        <w:t>.</w:t>
      </w:r>
    </w:p>
  </w:footnote>
  <w:footnote w:id="63">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3. </w:t>
      </w:r>
      <w:r w:rsidRPr="005E3CCE">
        <w:rPr>
          <w:rFonts w:ascii="Cambria" w:hAnsi="Cambria"/>
          <w:sz w:val="16"/>
          <w:szCs w:val="16"/>
          <w:lang w:val="es-ES"/>
        </w:rPr>
        <w:t xml:space="preserve">Resolución No. 1217 del Ministerio de Economía, 17 de diciembre de 1987. Sumario administrativo. Anexo a la petición inicial sobre Juan </w:t>
      </w:r>
      <w:proofErr w:type="spellStart"/>
      <w:r w:rsidRPr="005E3CCE">
        <w:rPr>
          <w:rFonts w:ascii="Cambria" w:hAnsi="Cambria"/>
          <w:sz w:val="16"/>
          <w:szCs w:val="16"/>
          <w:lang w:val="es-ES"/>
        </w:rPr>
        <w:t>Preckel</w:t>
      </w:r>
      <w:proofErr w:type="spellEnd"/>
      <w:r w:rsidRPr="005E3CCE">
        <w:rPr>
          <w:rFonts w:ascii="Cambria" w:hAnsi="Cambria"/>
          <w:sz w:val="16"/>
          <w:szCs w:val="16"/>
          <w:lang w:val="es-ES"/>
        </w:rPr>
        <w:t>.</w:t>
      </w:r>
    </w:p>
  </w:footnote>
  <w:footnote w:id="64">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3. </w:t>
      </w:r>
      <w:r w:rsidRPr="005E3CCE">
        <w:rPr>
          <w:rFonts w:ascii="Cambria" w:hAnsi="Cambria"/>
          <w:sz w:val="16"/>
          <w:szCs w:val="16"/>
          <w:lang w:val="es-ES"/>
        </w:rPr>
        <w:t xml:space="preserve">Resolución No. 1217 del Ministerio de Economía, 17 de diciembre de 1987. Sumario administrativo. Anexo a la petición inicial sobre Juan </w:t>
      </w:r>
      <w:proofErr w:type="spellStart"/>
      <w:r w:rsidRPr="005E3CCE">
        <w:rPr>
          <w:rFonts w:ascii="Cambria" w:hAnsi="Cambria"/>
          <w:sz w:val="16"/>
          <w:szCs w:val="16"/>
          <w:lang w:val="es-ES"/>
        </w:rPr>
        <w:t>Preckel</w:t>
      </w:r>
      <w:proofErr w:type="spellEnd"/>
      <w:r w:rsidRPr="005E3CCE">
        <w:rPr>
          <w:rFonts w:ascii="Cambria" w:hAnsi="Cambria"/>
          <w:sz w:val="16"/>
          <w:szCs w:val="16"/>
          <w:lang w:val="es-ES"/>
        </w:rPr>
        <w:t>.</w:t>
      </w:r>
    </w:p>
  </w:footnote>
  <w:footnote w:id="65">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4. </w:t>
      </w:r>
      <w:r w:rsidRPr="005E3CCE">
        <w:rPr>
          <w:rFonts w:ascii="Cambria" w:hAnsi="Cambria"/>
          <w:sz w:val="16"/>
          <w:szCs w:val="16"/>
          <w:lang w:val="es-ES"/>
        </w:rPr>
        <w:t xml:space="preserve">Demanda ante juez federal, 24 de junio de 1988. Antecedentes judiciales. Anexo a la petición inicial sobre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 xml:space="preserve">. Demanda ante juez federal, 24 de junio de 1988. Antecedentes judiciales. Anexo a la petición inicial sobre Juan </w:t>
      </w:r>
      <w:proofErr w:type="spellStart"/>
      <w:r w:rsidRPr="005E3CCE">
        <w:rPr>
          <w:rFonts w:ascii="Cambria" w:hAnsi="Cambria"/>
          <w:sz w:val="16"/>
          <w:szCs w:val="16"/>
          <w:lang w:val="es-ES"/>
        </w:rPr>
        <w:t>Preckel</w:t>
      </w:r>
      <w:proofErr w:type="spellEnd"/>
      <w:r w:rsidRPr="005E3CCE">
        <w:rPr>
          <w:rFonts w:ascii="Cambria" w:hAnsi="Cambria"/>
          <w:sz w:val="16"/>
          <w:szCs w:val="16"/>
          <w:lang w:val="es-ES"/>
        </w:rPr>
        <w:t>.</w:t>
      </w:r>
    </w:p>
  </w:footnote>
  <w:footnote w:id="66">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4. </w:t>
      </w:r>
      <w:r w:rsidRPr="005E3CCE">
        <w:rPr>
          <w:rFonts w:ascii="Cambria" w:hAnsi="Cambria"/>
          <w:sz w:val="16"/>
          <w:szCs w:val="16"/>
          <w:lang w:val="es-ES"/>
        </w:rPr>
        <w:t xml:space="preserve">Demanda ante juez federal, 24 de junio de 1988. Antecedentes judiciales. Anexo a la petición inicial sobre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 xml:space="preserve">. Demanda ante juez federal, 24 de junio de 1988. Antecedentes judiciales. Anexo a la petición inicial sobre Juan </w:t>
      </w:r>
      <w:proofErr w:type="spellStart"/>
      <w:r w:rsidRPr="005E3CCE">
        <w:rPr>
          <w:rFonts w:ascii="Cambria" w:hAnsi="Cambria"/>
          <w:sz w:val="16"/>
          <w:szCs w:val="16"/>
          <w:lang w:val="es-ES"/>
        </w:rPr>
        <w:t>Preckel</w:t>
      </w:r>
      <w:proofErr w:type="spellEnd"/>
      <w:r w:rsidRPr="005E3CCE">
        <w:rPr>
          <w:rFonts w:ascii="Cambria" w:hAnsi="Cambria"/>
          <w:sz w:val="16"/>
          <w:szCs w:val="16"/>
          <w:lang w:val="es-ES"/>
        </w:rPr>
        <w:t>.</w:t>
      </w:r>
    </w:p>
  </w:footnote>
  <w:footnote w:id="67">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hyperlink r:id="rId6" w:history="1">
        <w:r w:rsidRPr="005E3CCE">
          <w:rPr>
            <w:rStyle w:val="Hyperlink"/>
            <w:rFonts w:ascii="Cambria" w:hAnsi="Cambria"/>
            <w:sz w:val="16"/>
            <w:szCs w:val="16"/>
            <w:u w:val="none"/>
            <w:lang w:val="es-ES"/>
          </w:rPr>
          <w:t>Decreto 3413 de 1979</w:t>
        </w:r>
      </w:hyperlink>
      <w:r w:rsidRPr="005E3CCE">
        <w:rPr>
          <w:rFonts w:ascii="Cambria" w:hAnsi="Cambria"/>
          <w:sz w:val="16"/>
          <w:szCs w:val="16"/>
          <w:lang w:val="es-ES"/>
        </w:rPr>
        <w:t xml:space="preserve">. </w:t>
      </w:r>
    </w:p>
  </w:footnote>
  <w:footnote w:id="68">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4. </w:t>
      </w:r>
      <w:r w:rsidRPr="005E3CCE">
        <w:rPr>
          <w:rFonts w:ascii="Cambria" w:hAnsi="Cambria"/>
          <w:sz w:val="16"/>
          <w:szCs w:val="16"/>
          <w:lang w:val="es-ES"/>
        </w:rPr>
        <w:t xml:space="preserve">Demanda ante juez federal, 24 de junio de 1988. Antecedentes judiciales. Anexo a la petición inicial sobre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 xml:space="preserve">. Demanda ante juez federal, 24 de junio de 1988. Antecedentes judiciales. Anexo a la petición inicial sobre Juan </w:t>
      </w:r>
      <w:proofErr w:type="spellStart"/>
      <w:r w:rsidRPr="005E3CCE">
        <w:rPr>
          <w:rFonts w:ascii="Cambria" w:hAnsi="Cambria"/>
          <w:sz w:val="16"/>
          <w:szCs w:val="16"/>
          <w:lang w:val="es-ES"/>
        </w:rPr>
        <w:t>Preckel</w:t>
      </w:r>
      <w:proofErr w:type="spellEnd"/>
      <w:r w:rsidRPr="005E3CCE">
        <w:rPr>
          <w:rFonts w:ascii="Cambria" w:hAnsi="Cambria"/>
          <w:sz w:val="16"/>
          <w:szCs w:val="16"/>
          <w:lang w:val="es-ES"/>
        </w:rPr>
        <w:t>.</w:t>
      </w:r>
    </w:p>
  </w:footnote>
  <w:footnote w:id="69">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4. </w:t>
      </w:r>
      <w:r w:rsidRPr="005E3CCE">
        <w:rPr>
          <w:rFonts w:ascii="Cambria" w:hAnsi="Cambria"/>
          <w:sz w:val="16"/>
          <w:szCs w:val="16"/>
          <w:lang w:val="es-ES"/>
        </w:rPr>
        <w:t xml:space="preserve">Demanda ante juez federal, 24 de junio de 1988. Antecedentes judiciales. Anexo a la petición inicial sobre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 xml:space="preserve">. Demanda ante juez federal, 24 de junio de 1988. Antecedentes judiciales. Anexo a la petición inicial sobre Juan </w:t>
      </w:r>
      <w:proofErr w:type="spellStart"/>
      <w:r w:rsidRPr="005E3CCE">
        <w:rPr>
          <w:rFonts w:ascii="Cambria" w:hAnsi="Cambria"/>
          <w:sz w:val="16"/>
          <w:szCs w:val="16"/>
          <w:lang w:val="es-ES"/>
        </w:rPr>
        <w:t>Preckel</w:t>
      </w:r>
      <w:proofErr w:type="spellEnd"/>
      <w:r w:rsidRPr="005E3CCE">
        <w:rPr>
          <w:rFonts w:ascii="Cambria" w:hAnsi="Cambria"/>
          <w:sz w:val="16"/>
          <w:szCs w:val="16"/>
          <w:lang w:val="es-ES"/>
        </w:rPr>
        <w:t>.</w:t>
      </w:r>
    </w:p>
  </w:footnote>
  <w:footnote w:id="70">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4. </w:t>
      </w:r>
      <w:r w:rsidRPr="005E3CCE">
        <w:rPr>
          <w:rFonts w:ascii="Cambria" w:hAnsi="Cambria"/>
          <w:sz w:val="16"/>
          <w:szCs w:val="16"/>
          <w:lang w:val="es-ES"/>
        </w:rPr>
        <w:t xml:space="preserve">Demanda ante juez federal, 24 de junio de 1988. Antecedentes judiciales. Anexo a la petición inicial sobre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 xml:space="preserve">. Demanda ante juez federal, 24 de junio de 1988. Antecedentes judiciales. Anexo a la petición inicial sobre Juan </w:t>
      </w:r>
      <w:proofErr w:type="spellStart"/>
      <w:r w:rsidRPr="005E3CCE">
        <w:rPr>
          <w:rFonts w:ascii="Cambria" w:hAnsi="Cambria"/>
          <w:sz w:val="16"/>
          <w:szCs w:val="16"/>
          <w:lang w:val="es-ES"/>
        </w:rPr>
        <w:t>Preckel</w:t>
      </w:r>
      <w:proofErr w:type="spellEnd"/>
      <w:r w:rsidRPr="005E3CCE">
        <w:rPr>
          <w:rFonts w:ascii="Cambria" w:hAnsi="Cambria"/>
          <w:sz w:val="16"/>
          <w:szCs w:val="16"/>
          <w:lang w:val="es-ES"/>
        </w:rPr>
        <w:t>.</w:t>
      </w:r>
    </w:p>
  </w:footnote>
  <w:footnote w:id="71">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4. </w:t>
      </w:r>
      <w:r w:rsidRPr="005E3CCE">
        <w:rPr>
          <w:rFonts w:ascii="Cambria" w:hAnsi="Cambria"/>
          <w:sz w:val="16"/>
          <w:szCs w:val="16"/>
          <w:lang w:val="es-ES"/>
        </w:rPr>
        <w:t xml:space="preserve">Demanda ante juez federal, 24 de junio de 1988. Antecedentes judiciales. Anexo a la petición inicial sobre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w:t>
      </w:r>
    </w:p>
  </w:footnote>
  <w:footnote w:id="72">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4. </w:t>
      </w:r>
      <w:r w:rsidRPr="005E3CCE">
        <w:rPr>
          <w:rFonts w:ascii="Cambria" w:hAnsi="Cambria"/>
          <w:sz w:val="16"/>
          <w:szCs w:val="16"/>
          <w:lang w:val="es-ES"/>
        </w:rPr>
        <w:t xml:space="preserve">Demanda ante juez federal, 24 de junio de 1988. Antecedentes judiciales. Anexo a la petición inicial sobre Juan </w:t>
      </w:r>
      <w:proofErr w:type="spellStart"/>
      <w:r w:rsidRPr="005E3CCE">
        <w:rPr>
          <w:rFonts w:ascii="Cambria" w:hAnsi="Cambria"/>
          <w:sz w:val="16"/>
          <w:szCs w:val="16"/>
          <w:lang w:val="es-ES"/>
        </w:rPr>
        <w:t>Preckel</w:t>
      </w:r>
      <w:proofErr w:type="spellEnd"/>
      <w:r w:rsidRPr="005E3CCE">
        <w:rPr>
          <w:rFonts w:ascii="Cambria" w:hAnsi="Cambria"/>
          <w:sz w:val="16"/>
          <w:szCs w:val="16"/>
          <w:lang w:val="es-ES"/>
        </w:rPr>
        <w:t>.</w:t>
      </w:r>
    </w:p>
  </w:footnote>
  <w:footnote w:id="73">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4. </w:t>
      </w:r>
      <w:r w:rsidRPr="005E3CCE">
        <w:rPr>
          <w:rFonts w:ascii="Cambria" w:hAnsi="Cambria"/>
          <w:sz w:val="16"/>
          <w:szCs w:val="16"/>
          <w:lang w:val="es-ES"/>
        </w:rPr>
        <w:t xml:space="preserve">Resolución del Juez Federal, 12 de febrero de 1992. Antecedentes judiciales. Anexo a la petición inicial sobre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 xml:space="preserve">. Resolución del Juez Federal, 6 de febrero de 1992. Antecedentes judiciales. Anexo a la petición inicial sobre Juan </w:t>
      </w:r>
      <w:proofErr w:type="spellStart"/>
      <w:r w:rsidRPr="005E3CCE">
        <w:rPr>
          <w:rFonts w:ascii="Cambria" w:hAnsi="Cambria"/>
          <w:sz w:val="16"/>
          <w:szCs w:val="16"/>
          <w:lang w:val="es-ES"/>
        </w:rPr>
        <w:t>Preckel</w:t>
      </w:r>
      <w:proofErr w:type="spellEnd"/>
      <w:r w:rsidRPr="005E3CCE">
        <w:rPr>
          <w:rFonts w:ascii="Cambria" w:hAnsi="Cambria"/>
          <w:sz w:val="16"/>
          <w:szCs w:val="16"/>
          <w:lang w:val="es-ES"/>
        </w:rPr>
        <w:t>.</w:t>
      </w:r>
    </w:p>
  </w:footnote>
  <w:footnote w:id="74">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4. </w:t>
      </w:r>
      <w:r w:rsidRPr="005E3CCE">
        <w:rPr>
          <w:rFonts w:ascii="Cambria" w:hAnsi="Cambria"/>
          <w:sz w:val="16"/>
          <w:szCs w:val="16"/>
          <w:lang w:val="es-ES"/>
        </w:rPr>
        <w:t xml:space="preserve">Resolución del Juez Federal, 12 de febrero de 1992. Antecedentes judiciales. Anexo a la petición inicial sobre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 xml:space="preserve">. Resolución del Juez Federal, 6 de febrero de 1992. Antecedentes judiciales. Anexo a la petición inicial sobre Juan </w:t>
      </w:r>
      <w:proofErr w:type="spellStart"/>
      <w:r w:rsidRPr="005E3CCE">
        <w:rPr>
          <w:rFonts w:ascii="Cambria" w:hAnsi="Cambria"/>
          <w:sz w:val="16"/>
          <w:szCs w:val="16"/>
          <w:lang w:val="es-ES"/>
        </w:rPr>
        <w:t>Preckel</w:t>
      </w:r>
      <w:proofErr w:type="spellEnd"/>
      <w:r w:rsidRPr="005E3CCE">
        <w:rPr>
          <w:rFonts w:ascii="Cambria" w:hAnsi="Cambria"/>
          <w:sz w:val="16"/>
          <w:szCs w:val="16"/>
          <w:lang w:val="es-ES"/>
        </w:rPr>
        <w:t>.</w:t>
      </w:r>
    </w:p>
  </w:footnote>
  <w:footnote w:id="75">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4. </w:t>
      </w:r>
      <w:r w:rsidRPr="005E3CCE">
        <w:rPr>
          <w:rFonts w:ascii="Cambria" w:hAnsi="Cambria"/>
          <w:sz w:val="16"/>
          <w:szCs w:val="16"/>
          <w:lang w:val="es-ES"/>
        </w:rPr>
        <w:t xml:space="preserve">Recurso de apelación, sin fecha. Antecedentes judiciales. Anexo a la petición inicial sobre Juan </w:t>
      </w:r>
      <w:proofErr w:type="spellStart"/>
      <w:r w:rsidRPr="005E3CCE">
        <w:rPr>
          <w:rFonts w:ascii="Cambria" w:hAnsi="Cambria"/>
          <w:sz w:val="16"/>
          <w:szCs w:val="16"/>
          <w:lang w:val="es-ES"/>
        </w:rPr>
        <w:t>Preckel</w:t>
      </w:r>
      <w:proofErr w:type="spellEnd"/>
      <w:r w:rsidRPr="005E3CCE">
        <w:rPr>
          <w:rFonts w:ascii="Cambria" w:hAnsi="Cambria"/>
          <w:sz w:val="16"/>
          <w:szCs w:val="16"/>
          <w:lang w:val="es-ES"/>
        </w:rPr>
        <w:t>.</w:t>
      </w:r>
    </w:p>
  </w:footnote>
  <w:footnote w:id="76">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4. </w:t>
      </w:r>
      <w:r w:rsidRPr="005E3CCE">
        <w:rPr>
          <w:rFonts w:ascii="Cambria" w:hAnsi="Cambria"/>
          <w:sz w:val="16"/>
          <w:szCs w:val="16"/>
          <w:lang w:val="es-ES"/>
        </w:rPr>
        <w:t xml:space="preserve">Recurso de apelación, sin fecha. Antecedentes judiciales. Anexo a la petición inicial sobre Juan </w:t>
      </w:r>
      <w:proofErr w:type="spellStart"/>
      <w:r w:rsidRPr="005E3CCE">
        <w:rPr>
          <w:rFonts w:ascii="Cambria" w:hAnsi="Cambria"/>
          <w:sz w:val="16"/>
          <w:szCs w:val="16"/>
          <w:lang w:val="es-ES"/>
        </w:rPr>
        <w:t>Preckel</w:t>
      </w:r>
      <w:proofErr w:type="spellEnd"/>
      <w:r w:rsidRPr="005E3CCE">
        <w:rPr>
          <w:rFonts w:ascii="Cambria" w:hAnsi="Cambria"/>
          <w:sz w:val="16"/>
          <w:szCs w:val="16"/>
          <w:lang w:val="es-ES"/>
        </w:rPr>
        <w:t>.</w:t>
      </w:r>
    </w:p>
  </w:footnote>
  <w:footnote w:id="77">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4. </w:t>
      </w:r>
      <w:r w:rsidRPr="005E3CCE">
        <w:rPr>
          <w:rFonts w:ascii="Cambria" w:hAnsi="Cambria"/>
          <w:sz w:val="16"/>
          <w:szCs w:val="16"/>
          <w:lang w:val="es-ES"/>
        </w:rPr>
        <w:t xml:space="preserve">Recurso de apelación, sin fecha. Antecedentes judiciales. Anexo a la petición inicial sobre Juan </w:t>
      </w:r>
      <w:proofErr w:type="spellStart"/>
      <w:r w:rsidRPr="005E3CCE">
        <w:rPr>
          <w:rFonts w:ascii="Cambria" w:hAnsi="Cambria"/>
          <w:sz w:val="16"/>
          <w:szCs w:val="16"/>
          <w:lang w:val="es-ES"/>
        </w:rPr>
        <w:t>Preckel</w:t>
      </w:r>
      <w:proofErr w:type="spellEnd"/>
      <w:r w:rsidRPr="005E3CCE">
        <w:rPr>
          <w:rFonts w:ascii="Cambria" w:hAnsi="Cambria"/>
          <w:sz w:val="16"/>
          <w:szCs w:val="16"/>
          <w:lang w:val="es-ES"/>
        </w:rPr>
        <w:t>.</w:t>
      </w:r>
    </w:p>
  </w:footnote>
  <w:footnote w:id="78">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4. </w:t>
      </w:r>
      <w:r w:rsidRPr="005E3CCE">
        <w:rPr>
          <w:rFonts w:ascii="Cambria" w:hAnsi="Cambria"/>
          <w:sz w:val="16"/>
          <w:szCs w:val="16"/>
          <w:lang w:val="es-ES"/>
        </w:rPr>
        <w:t xml:space="preserve">Sentencia de la Cámara de Apelaciones, 24 de noviembre de 1992. Antecedentes judiciales. Anexo a la petición inicial sobre Juan </w:t>
      </w:r>
      <w:proofErr w:type="spellStart"/>
      <w:r w:rsidRPr="005E3CCE">
        <w:rPr>
          <w:rFonts w:ascii="Cambria" w:hAnsi="Cambria"/>
          <w:sz w:val="16"/>
          <w:szCs w:val="16"/>
          <w:lang w:val="es-ES"/>
        </w:rPr>
        <w:t>Preckel</w:t>
      </w:r>
      <w:proofErr w:type="spellEnd"/>
      <w:r w:rsidRPr="005E3CCE">
        <w:rPr>
          <w:rFonts w:ascii="Cambria" w:hAnsi="Cambria"/>
          <w:sz w:val="16"/>
          <w:szCs w:val="16"/>
          <w:lang w:val="es-ES"/>
        </w:rPr>
        <w:t>.</w:t>
      </w:r>
    </w:p>
  </w:footnote>
  <w:footnote w:id="79">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4. </w:t>
      </w:r>
      <w:r w:rsidRPr="005E3CCE">
        <w:rPr>
          <w:rFonts w:ascii="Cambria" w:hAnsi="Cambria"/>
          <w:sz w:val="16"/>
          <w:szCs w:val="16"/>
          <w:lang w:val="es-ES"/>
        </w:rPr>
        <w:t xml:space="preserve">Sentencia de la Cámara de Apelaciones, 24 de noviembre de 1992. Antecedentes judiciales. Anexo a la petición inicial sobre Juan </w:t>
      </w:r>
      <w:proofErr w:type="spellStart"/>
      <w:r w:rsidRPr="005E3CCE">
        <w:rPr>
          <w:rFonts w:ascii="Cambria" w:hAnsi="Cambria"/>
          <w:sz w:val="16"/>
          <w:szCs w:val="16"/>
          <w:lang w:val="es-ES"/>
        </w:rPr>
        <w:t>Preckel</w:t>
      </w:r>
      <w:proofErr w:type="spellEnd"/>
      <w:r w:rsidRPr="005E3CCE">
        <w:rPr>
          <w:rFonts w:ascii="Cambria" w:hAnsi="Cambria"/>
          <w:sz w:val="16"/>
          <w:szCs w:val="16"/>
          <w:lang w:val="es-ES"/>
        </w:rPr>
        <w:t>.</w:t>
      </w:r>
    </w:p>
  </w:footnote>
  <w:footnote w:id="80">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4. </w:t>
      </w:r>
      <w:r w:rsidRPr="005E3CCE">
        <w:rPr>
          <w:rFonts w:ascii="Cambria" w:hAnsi="Cambria"/>
          <w:sz w:val="16"/>
          <w:szCs w:val="16"/>
          <w:lang w:val="es-ES"/>
        </w:rPr>
        <w:t xml:space="preserve">Recurso extraordinario de apelación ante la Corte Suprema, 24 de diciembre de 1992. Antecedentes judiciales. Anexo a la petición inicial sobre Juan </w:t>
      </w:r>
      <w:proofErr w:type="spellStart"/>
      <w:r w:rsidRPr="005E3CCE">
        <w:rPr>
          <w:rFonts w:ascii="Cambria" w:hAnsi="Cambria"/>
          <w:sz w:val="16"/>
          <w:szCs w:val="16"/>
          <w:lang w:val="es-ES"/>
        </w:rPr>
        <w:t>Preckel</w:t>
      </w:r>
      <w:proofErr w:type="spellEnd"/>
      <w:r w:rsidRPr="005E3CCE">
        <w:rPr>
          <w:rFonts w:ascii="Cambria" w:hAnsi="Cambria"/>
          <w:sz w:val="16"/>
          <w:szCs w:val="16"/>
          <w:lang w:val="es-ES"/>
        </w:rPr>
        <w:t xml:space="preserve">. </w:t>
      </w:r>
    </w:p>
  </w:footnote>
  <w:footnote w:id="81">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4. </w:t>
      </w:r>
      <w:r w:rsidRPr="005E3CCE">
        <w:rPr>
          <w:rFonts w:ascii="Cambria" w:hAnsi="Cambria"/>
          <w:sz w:val="16"/>
          <w:szCs w:val="16"/>
          <w:lang w:val="es-ES"/>
        </w:rPr>
        <w:t xml:space="preserve">Recurso extraordinario de apelación ante la Corte Suprema, 24 de diciembre de 1992. Antecedentes judiciales. Anexo a la petición inicial sobre Juan </w:t>
      </w:r>
      <w:proofErr w:type="spellStart"/>
      <w:r w:rsidRPr="005E3CCE">
        <w:rPr>
          <w:rFonts w:ascii="Cambria" w:hAnsi="Cambria"/>
          <w:sz w:val="16"/>
          <w:szCs w:val="16"/>
          <w:lang w:val="es-ES"/>
        </w:rPr>
        <w:t>Preckel</w:t>
      </w:r>
      <w:proofErr w:type="spellEnd"/>
      <w:r w:rsidRPr="005E3CCE">
        <w:rPr>
          <w:rFonts w:ascii="Cambria" w:hAnsi="Cambria"/>
          <w:sz w:val="16"/>
          <w:szCs w:val="16"/>
          <w:lang w:val="es-ES"/>
        </w:rPr>
        <w:t xml:space="preserve">. </w:t>
      </w:r>
    </w:p>
  </w:footnote>
  <w:footnote w:id="82">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4. </w:t>
      </w:r>
      <w:r w:rsidRPr="005E3CCE">
        <w:rPr>
          <w:rFonts w:ascii="Cambria" w:hAnsi="Cambria"/>
          <w:sz w:val="16"/>
          <w:szCs w:val="16"/>
          <w:lang w:val="es-ES"/>
        </w:rPr>
        <w:t xml:space="preserve">Recurso extraordinario de apelación ante la Corte Suprema, 24 de diciembre de 1992. Antecedentes judiciales. Anexo a la petición inicial sobre Juan </w:t>
      </w:r>
      <w:proofErr w:type="spellStart"/>
      <w:r w:rsidRPr="005E3CCE">
        <w:rPr>
          <w:rFonts w:ascii="Cambria" w:hAnsi="Cambria"/>
          <w:sz w:val="16"/>
          <w:szCs w:val="16"/>
          <w:lang w:val="es-ES"/>
        </w:rPr>
        <w:t>Preckel</w:t>
      </w:r>
      <w:proofErr w:type="spellEnd"/>
      <w:r w:rsidRPr="005E3CCE">
        <w:rPr>
          <w:rFonts w:ascii="Cambria" w:hAnsi="Cambria"/>
          <w:sz w:val="16"/>
          <w:szCs w:val="16"/>
          <w:lang w:val="es-ES"/>
        </w:rPr>
        <w:t xml:space="preserve">. </w:t>
      </w:r>
    </w:p>
  </w:footnote>
  <w:footnote w:id="83">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4. </w:t>
      </w:r>
      <w:r w:rsidRPr="005E3CCE">
        <w:rPr>
          <w:rFonts w:ascii="Cambria" w:hAnsi="Cambria"/>
          <w:sz w:val="16"/>
          <w:szCs w:val="16"/>
          <w:lang w:val="es-ES"/>
        </w:rPr>
        <w:t xml:space="preserve">Sentencia de la Sala Contencioso Administrativo, 4 de marzo de 1993. Antecedentes judiciales. Anexo a la petición inicial sobre Juan </w:t>
      </w:r>
      <w:proofErr w:type="spellStart"/>
      <w:r w:rsidRPr="005E3CCE">
        <w:rPr>
          <w:rFonts w:ascii="Cambria" w:hAnsi="Cambria"/>
          <w:sz w:val="16"/>
          <w:szCs w:val="16"/>
          <w:lang w:val="es-ES"/>
        </w:rPr>
        <w:t>Preckel</w:t>
      </w:r>
      <w:proofErr w:type="spellEnd"/>
      <w:r w:rsidRPr="005E3CCE">
        <w:rPr>
          <w:rFonts w:ascii="Cambria" w:hAnsi="Cambria"/>
          <w:sz w:val="16"/>
          <w:szCs w:val="16"/>
          <w:lang w:val="es-ES"/>
        </w:rPr>
        <w:t>.</w:t>
      </w:r>
    </w:p>
  </w:footnote>
  <w:footnote w:id="84">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4. </w:t>
      </w:r>
      <w:r w:rsidRPr="005E3CCE">
        <w:rPr>
          <w:rFonts w:ascii="Cambria" w:hAnsi="Cambria"/>
          <w:sz w:val="16"/>
          <w:szCs w:val="16"/>
          <w:lang w:val="es-ES"/>
        </w:rPr>
        <w:t xml:space="preserve">Sentencia de la Sala Contencioso Administrativo, 4 de marzo de 1993. Antecedentes judiciales. Anexo a la petición inicial sobre Juan </w:t>
      </w:r>
      <w:proofErr w:type="spellStart"/>
      <w:r w:rsidRPr="005E3CCE">
        <w:rPr>
          <w:rFonts w:ascii="Cambria" w:hAnsi="Cambria"/>
          <w:sz w:val="16"/>
          <w:szCs w:val="16"/>
          <w:lang w:val="es-ES"/>
        </w:rPr>
        <w:t>Preckel</w:t>
      </w:r>
      <w:proofErr w:type="spellEnd"/>
      <w:r w:rsidRPr="005E3CCE">
        <w:rPr>
          <w:rFonts w:ascii="Cambria" w:hAnsi="Cambria"/>
          <w:sz w:val="16"/>
          <w:szCs w:val="16"/>
          <w:lang w:val="es-ES"/>
        </w:rPr>
        <w:t>.</w:t>
      </w:r>
    </w:p>
  </w:footnote>
  <w:footnote w:id="85">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4. </w:t>
      </w:r>
      <w:r w:rsidRPr="005E3CCE">
        <w:rPr>
          <w:rFonts w:ascii="Cambria" w:hAnsi="Cambria"/>
          <w:sz w:val="16"/>
          <w:szCs w:val="16"/>
          <w:lang w:val="es-ES"/>
        </w:rPr>
        <w:t xml:space="preserve">Recurso de queja de Juan </w:t>
      </w:r>
      <w:proofErr w:type="spellStart"/>
      <w:r w:rsidRPr="005E3CCE">
        <w:rPr>
          <w:rFonts w:ascii="Cambria" w:hAnsi="Cambria"/>
          <w:sz w:val="16"/>
          <w:szCs w:val="16"/>
          <w:lang w:val="es-ES"/>
        </w:rPr>
        <w:t>Preckel</w:t>
      </w:r>
      <w:proofErr w:type="spellEnd"/>
      <w:r w:rsidRPr="005E3CCE">
        <w:rPr>
          <w:rFonts w:ascii="Cambria" w:hAnsi="Cambria"/>
          <w:sz w:val="16"/>
          <w:szCs w:val="16"/>
          <w:lang w:val="es-ES"/>
        </w:rPr>
        <w:t xml:space="preserve">, sin fecha. Antecedentes judiciales. Anexo a la petición inicial sobre Juan </w:t>
      </w:r>
      <w:proofErr w:type="spellStart"/>
      <w:r w:rsidRPr="005E3CCE">
        <w:rPr>
          <w:rFonts w:ascii="Cambria" w:hAnsi="Cambria"/>
          <w:sz w:val="16"/>
          <w:szCs w:val="16"/>
          <w:lang w:val="es-ES"/>
        </w:rPr>
        <w:t>Preckel</w:t>
      </w:r>
      <w:proofErr w:type="spellEnd"/>
      <w:r w:rsidRPr="005E3CCE">
        <w:rPr>
          <w:rFonts w:ascii="Cambria" w:hAnsi="Cambria"/>
          <w:sz w:val="16"/>
          <w:szCs w:val="16"/>
          <w:lang w:val="es-ES"/>
        </w:rPr>
        <w:t>.</w:t>
      </w:r>
    </w:p>
  </w:footnote>
  <w:footnote w:id="86">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4. </w:t>
      </w:r>
      <w:r w:rsidRPr="005E3CCE">
        <w:rPr>
          <w:rFonts w:ascii="Cambria" w:hAnsi="Cambria"/>
          <w:sz w:val="16"/>
          <w:szCs w:val="16"/>
          <w:lang w:val="es-ES"/>
        </w:rPr>
        <w:t xml:space="preserve">Resolución de la Corte Suprema de Justicia de la Nación, 21 de mayo de 1996. Antecedentes judiciales. Anexo a la petición inicial sobre Juan </w:t>
      </w:r>
      <w:proofErr w:type="spellStart"/>
      <w:r w:rsidRPr="005E3CCE">
        <w:rPr>
          <w:rFonts w:ascii="Cambria" w:hAnsi="Cambria"/>
          <w:sz w:val="16"/>
          <w:szCs w:val="16"/>
          <w:lang w:val="es-ES"/>
        </w:rPr>
        <w:t>Preckel</w:t>
      </w:r>
      <w:proofErr w:type="spellEnd"/>
      <w:r w:rsidRPr="005E3CCE">
        <w:rPr>
          <w:rFonts w:ascii="Cambria" w:hAnsi="Cambria"/>
          <w:sz w:val="16"/>
          <w:szCs w:val="16"/>
          <w:lang w:val="es-ES"/>
        </w:rPr>
        <w:t>.</w:t>
      </w:r>
    </w:p>
  </w:footnote>
  <w:footnote w:id="87">
    <w:p w:rsidR="005E3CCE" w:rsidRPr="005E3CCE" w:rsidRDefault="005E3CCE" w:rsidP="00FA64F3">
      <w:pPr>
        <w:pStyle w:val="FootnoteText"/>
        <w:spacing w:after="120"/>
        <w:ind w:firstLine="720"/>
        <w:jc w:val="both"/>
        <w:rPr>
          <w:rStyle w:val="ColorfulList-Accent1Char"/>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4. </w:t>
      </w:r>
      <w:r w:rsidRPr="005E3CCE">
        <w:rPr>
          <w:rFonts w:ascii="Cambria" w:hAnsi="Cambria"/>
          <w:sz w:val="16"/>
          <w:szCs w:val="16"/>
          <w:lang w:val="es-ES"/>
        </w:rPr>
        <w:t xml:space="preserve">Resolución de la Corte Suprema de Justicia de la Nación, 21 de mayo de 1996. Antecedentes judiciales. Anexo a la petición inicial sobre Juan </w:t>
      </w:r>
      <w:proofErr w:type="spellStart"/>
      <w:r w:rsidRPr="005E3CCE">
        <w:rPr>
          <w:rFonts w:ascii="Cambria" w:hAnsi="Cambria"/>
          <w:sz w:val="16"/>
          <w:szCs w:val="16"/>
          <w:lang w:val="es-ES"/>
        </w:rPr>
        <w:t>Preckel</w:t>
      </w:r>
      <w:proofErr w:type="spellEnd"/>
      <w:r w:rsidRPr="005E3CCE">
        <w:rPr>
          <w:rFonts w:ascii="Cambria" w:hAnsi="Cambria"/>
          <w:sz w:val="16"/>
          <w:szCs w:val="16"/>
          <w:lang w:val="es-ES"/>
        </w:rPr>
        <w:t xml:space="preserve">. Artículo 280 del Código Procesal Civil y Comercial de la Nación: (…) </w:t>
      </w:r>
      <w:r w:rsidRPr="005E3CCE">
        <w:rPr>
          <w:rStyle w:val="ColorfulList-Accent1Char"/>
          <w:sz w:val="16"/>
          <w:szCs w:val="16"/>
          <w:lang w:val="es-ES"/>
        </w:rPr>
        <w:t>Cuando la Corte Suprema conociere por recurso extraordinario, la recepción de la causa implicará el llamamiento de autos. La Corte, según su sana discreción, y con la sola invocación de esta norma, podrá rechazar el recurso extraordinario, por falta de agravio federal suficiente o cuando las cuestiones planteadas resultaren insustanciales o carentes de trascendencia.</w:t>
      </w:r>
      <w:r w:rsidRPr="005E3CCE">
        <w:rPr>
          <w:rStyle w:val="ColorfulList-Accent1Char"/>
          <w:sz w:val="16"/>
          <w:szCs w:val="16"/>
          <w:lang w:val="es-CO"/>
        </w:rPr>
        <w:t xml:space="preserve"> </w:t>
      </w:r>
      <w:r w:rsidRPr="005E3CCE">
        <w:rPr>
          <w:rStyle w:val="ColorfulList-Accent1Char"/>
          <w:sz w:val="16"/>
          <w:szCs w:val="16"/>
          <w:lang w:val="es-ES"/>
        </w:rPr>
        <w:t>(...).</w:t>
      </w:r>
    </w:p>
  </w:footnote>
  <w:footnote w:id="88">
    <w:p w:rsidR="005E3CCE" w:rsidRPr="005E3CCE" w:rsidRDefault="005E3CCE" w:rsidP="00FA64F3">
      <w:pPr>
        <w:pStyle w:val="FootnoteText"/>
        <w:spacing w:after="120"/>
        <w:ind w:firstLine="720"/>
        <w:jc w:val="both"/>
        <w:rPr>
          <w:rStyle w:val="ColorfulList-Accent1Char"/>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4. </w:t>
      </w:r>
      <w:r w:rsidRPr="005E3CCE">
        <w:rPr>
          <w:rFonts w:ascii="Cambria" w:hAnsi="Cambria"/>
          <w:sz w:val="16"/>
          <w:szCs w:val="16"/>
          <w:lang w:val="es-ES"/>
        </w:rPr>
        <w:t xml:space="preserve">Resolución de la Corte Suprema de Justicia de la Nación, 21 de mayo de 1996. Antecedentes judiciales. Anexo a la petición inicial sobre Juan </w:t>
      </w:r>
      <w:proofErr w:type="spellStart"/>
      <w:r w:rsidRPr="005E3CCE">
        <w:rPr>
          <w:rFonts w:ascii="Cambria" w:hAnsi="Cambria"/>
          <w:sz w:val="16"/>
          <w:szCs w:val="16"/>
          <w:lang w:val="es-ES"/>
        </w:rPr>
        <w:t>Preckel</w:t>
      </w:r>
      <w:proofErr w:type="spellEnd"/>
      <w:r w:rsidRPr="005E3CCE">
        <w:rPr>
          <w:rFonts w:ascii="Cambria" w:hAnsi="Cambria"/>
          <w:sz w:val="16"/>
          <w:szCs w:val="16"/>
          <w:lang w:val="es-ES"/>
        </w:rPr>
        <w:t xml:space="preserve">. </w:t>
      </w:r>
    </w:p>
  </w:footnote>
  <w:footnote w:id="89">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4. </w:t>
      </w:r>
      <w:r w:rsidRPr="005E3CCE">
        <w:rPr>
          <w:rFonts w:ascii="Cambria" w:hAnsi="Cambria"/>
          <w:sz w:val="16"/>
          <w:szCs w:val="16"/>
          <w:lang w:val="es-ES"/>
        </w:rPr>
        <w:t xml:space="preserve">Recurso de apelación, 6 de mayo de 1992. Antecedentes judiciales. Anexo a la petición inicial sobre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w:t>
      </w:r>
    </w:p>
  </w:footnote>
  <w:footnote w:id="90">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4. </w:t>
      </w:r>
      <w:r w:rsidRPr="005E3CCE">
        <w:rPr>
          <w:rFonts w:ascii="Cambria" w:hAnsi="Cambria"/>
          <w:sz w:val="16"/>
          <w:szCs w:val="16"/>
          <w:lang w:val="es-ES"/>
        </w:rPr>
        <w:t xml:space="preserve">Recurso de apelación, 6 de mayo de 1992. Antecedentes judiciales. Anexo a la petición inicial sobre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w:t>
      </w:r>
    </w:p>
  </w:footnote>
  <w:footnote w:id="91">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4. </w:t>
      </w:r>
      <w:r w:rsidRPr="005E3CCE">
        <w:rPr>
          <w:rFonts w:ascii="Cambria" w:hAnsi="Cambria"/>
          <w:sz w:val="16"/>
          <w:szCs w:val="16"/>
          <w:lang w:val="es-ES"/>
        </w:rPr>
        <w:t xml:space="preserve">Sentencia de la Cámara de Apelaciones, 21 de septiembre de 1983. Antecedentes judiciales. Anexo a la petición inicial sobre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w:t>
      </w:r>
    </w:p>
  </w:footnote>
  <w:footnote w:id="92">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4. </w:t>
      </w:r>
      <w:r w:rsidRPr="005E3CCE">
        <w:rPr>
          <w:rFonts w:ascii="Cambria" w:hAnsi="Cambria"/>
          <w:sz w:val="16"/>
          <w:szCs w:val="16"/>
          <w:lang w:val="es-ES"/>
        </w:rPr>
        <w:t xml:space="preserve">Sentencia de la Cámara de Apelaciones, 21 de septiembre de 1983. Antecedentes judiciales. Anexo a la petición inicial sobre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w:t>
      </w:r>
    </w:p>
  </w:footnote>
  <w:footnote w:id="93">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4. </w:t>
      </w:r>
      <w:r w:rsidRPr="005E3CCE">
        <w:rPr>
          <w:rFonts w:ascii="Cambria" w:hAnsi="Cambria"/>
          <w:sz w:val="16"/>
          <w:szCs w:val="16"/>
          <w:lang w:val="es-ES"/>
        </w:rPr>
        <w:t xml:space="preserve">Sentencia de la Cámara de Apelaciones, 21 de septiembre de 1983. Antecedentes judiciales. Anexo a la petición inicial sobre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w:t>
      </w:r>
    </w:p>
  </w:footnote>
  <w:footnote w:id="94">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4. </w:t>
      </w:r>
      <w:r w:rsidRPr="005E3CCE">
        <w:rPr>
          <w:rFonts w:ascii="Cambria" w:hAnsi="Cambria"/>
          <w:sz w:val="16"/>
          <w:szCs w:val="16"/>
          <w:lang w:val="es-ES"/>
        </w:rPr>
        <w:t xml:space="preserve">Sentencia de la Cámara de Apelaciones, 21 de septiembre de 1983. Antecedentes judiciales. Anexo a la petición inicial sobre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w:t>
      </w:r>
    </w:p>
  </w:footnote>
  <w:footnote w:id="95">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4. </w:t>
      </w:r>
      <w:r w:rsidRPr="005E3CCE">
        <w:rPr>
          <w:rFonts w:ascii="Cambria" w:hAnsi="Cambria"/>
          <w:sz w:val="16"/>
          <w:szCs w:val="16"/>
          <w:lang w:val="es-ES"/>
        </w:rPr>
        <w:t xml:space="preserve">Sentencia de la Cámara de Apelaciones, 21 de septiembre de 1983. Antecedentes judiciales. Anexo a la petición inicial sobre Elba Clotilde </w:t>
      </w:r>
      <w:proofErr w:type="spellStart"/>
      <w:r w:rsidRPr="005E3CCE">
        <w:rPr>
          <w:rFonts w:ascii="Cambria" w:hAnsi="Cambria"/>
          <w:sz w:val="16"/>
          <w:szCs w:val="16"/>
          <w:lang w:val="es-ES"/>
        </w:rPr>
        <w:t>Perrone</w:t>
      </w:r>
      <w:proofErr w:type="spellEnd"/>
      <w:r w:rsidRPr="005E3CCE">
        <w:rPr>
          <w:rFonts w:ascii="Cambria" w:hAnsi="Cambria"/>
          <w:sz w:val="16"/>
          <w:szCs w:val="16"/>
          <w:lang w:val="es-ES"/>
        </w:rPr>
        <w:t>.</w:t>
      </w:r>
    </w:p>
  </w:footnote>
  <w:footnote w:id="96">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4. </w:t>
      </w:r>
      <w:r w:rsidRPr="005E3CCE">
        <w:rPr>
          <w:rFonts w:ascii="Cambria" w:hAnsi="Cambria"/>
          <w:sz w:val="16"/>
          <w:szCs w:val="16"/>
          <w:lang w:val="es-ES"/>
        </w:rPr>
        <w:t>Recurso extraordinario ante la Corte Suprema, 15 de octubre de 1993. Antecedentes judiciales. Anexo a la petición inicial sobre Elba Clotilde.</w:t>
      </w:r>
    </w:p>
  </w:footnote>
  <w:footnote w:id="97">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4. </w:t>
      </w:r>
      <w:r w:rsidRPr="005E3CCE">
        <w:rPr>
          <w:rFonts w:ascii="Cambria" w:hAnsi="Cambria"/>
          <w:sz w:val="16"/>
          <w:szCs w:val="16"/>
          <w:lang w:val="es-ES"/>
        </w:rPr>
        <w:t>Recurso extraordinario ante la Corte Suprema, 15 de octubre de 1993. Antecedentes judiciales. Anexo a la petición inicial sobre Elba Clotilde.</w:t>
      </w:r>
    </w:p>
  </w:footnote>
  <w:footnote w:id="98">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4. </w:t>
      </w:r>
      <w:r w:rsidRPr="005E3CCE">
        <w:rPr>
          <w:rFonts w:ascii="Cambria" w:hAnsi="Cambria"/>
          <w:sz w:val="16"/>
          <w:szCs w:val="16"/>
          <w:lang w:val="es-ES"/>
        </w:rPr>
        <w:t>Recurso extraordinario ante la Corte Suprema, 15 de octubre de 1993. Antecedentes judiciales. Anexo a la petición inicial sobre Elba Clotilde.</w:t>
      </w:r>
    </w:p>
  </w:footnote>
  <w:footnote w:id="99">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Pr>
          <w:rFonts w:ascii="Cambria" w:hAnsi="Cambria"/>
          <w:sz w:val="16"/>
          <w:szCs w:val="16"/>
          <w:lang w:val="es-ES"/>
        </w:rPr>
        <w:t xml:space="preserve">Anexo 4. </w:t>
      </w:r>
      <w:r w:rsidRPr="005E3CCE">
        <w:rPr>
          <w:rFonts w:ascii="Cambria" w:hAnsi="Cambria"/>
          <w:sz w:val="16"/>
          <w:szCs w:val="16"/>
          <w:lang w:val="es-ES"/>
        </w:rPr>
        <w:t>Sentencia de la Corte Suprema de Justicia de la Nación, 21 de mayo de 1996. Antecedentes judiciales. Anexo a la petición inicial sobre Elba Clotilde.</w:t>
      </w:r>
    </w:p>
  </w:footnote>
  <w:footnote w:id="100">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sidR="00863C3A">
        <w:rPr>
          <w:rFonts w:ascii="Cambria" w:hAnsi="Cambria"/>
          <w:sz w:val="16"/>
          <w:szCs w:val="16"/>
          <w:lang w:val="es-ES"/>
        </w:rPr>
        <w:t xml:space="preserve">Anexo 4. </w:t>
      </w:r>
      <w:r w:rsidRPr="005E3CCE">
        <w:rPr>
          <w:rFonts w:ascii="Cambria" w:hAnsi="Cambria"/>
          <w:sz w:val="16"/>
          <w:szCs w:val="16"/>
          <w:lang w:val="es-ES"/>
        </w:rPr>
        <w:t>Sentencia de la Corte Suprema de Justicia de la Nación, 21 de mayo de 1996. Antecedentes judiciales. Anexo a la petición inicial sobre Elba Clotilde.</w:t>
      </w:r>
    </w:p>
  </w:footnote>
  <w:footnote w:id="101">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sidR="00863C3A">
        <w:rPr>
          <w:rFonts w:ascii="Cambria" w:hAnsi="Cambria"/>
          <w:sz w:val="16"/>
          <w:szCs w:val="16"/>
          <w:lang w:val="es-ES"/>
        </w:rPr>
        <w:t xml:space="preserve">Anexo 1. </w:t>
      </w:r>
      <w:r w:rsidRPr="005E3CCE">
        <w:rPr>
          <w:rFonts w:ascii="Cambria" w:hAnsi="Cambria"/>
          <w:sz w:val="16"/>
          <w:szCs w:val="16"/>
          <w:lang w:val="es-ES"/>
        </w:rPr>
        <w:t>Comunicación de los peticionarios de 10 de octubre de 2006.</w:t>
      </w:r>
    </w:p>
  </w:footnote>
  <w:footnote w:id="102">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sidR="00863C3A">
        <w:rPr>
          <w:rFonts w:ascii="Cambria" w:hAnsi="Cambria"/>
          <w:sz w:val="16"/>
          <w:szCs w:val="16"/>
          <w:lang w:val="es-ES"/>
        </w:rPr>
        <w:t xml:space="preserve">Anexo 1. </w:t>
      </w:r>
      <w:r w:rsidRPr="005E3CCE">
        <w:rPr>
          <w:rFonts w:ascii="Cambria" w:hAnsi="Cambria"/>
          <w:sz w:val="16"/>
          <w:szCs w:val="16"/>
          <w:lang w:val="es-ES"/>
        </w:rPr>
        <w:t>Comunicación de los peticionarios de 10 de octubre de 2006.</w:t>
      </w:r>
    </w:p>
  </w:footnote>
  <w:footnote w:id="103">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sidR="00863C3A">
        <w:rPr>
          <w:rFonts w:ascii="Cambria" w:hAnsi="Cambria"/>
          <w:sz w:val="16"/>
          <w:szCs w:val="16"/>
          <w:lang w:val="es-ES"/>
        </w:rPr>
        <w:t xml:space="preserve">Anexo 1. </w:t>
      </w:r>
      <w:r w:rsidRPr="005E3CCE">
        <w:rPr>
          <w:rFonts w:ascii="Cambria" w:hAnsi="Cambria"/>
          <w:sz w:val="16"/>
          <w:szCs w:val="16"/>
          <w:lang w:val="es-ES"/>
        </w:rPr>
        <w:t>Comunicación de los peticionarios de 10 de octubre de 2006.</w:t>
      </w:r>
    </w:p>
  </w:footnote>
  <w:footnote w:id="104">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pt-BR"/>
        </w:rPr>
        <w:t xml:space="preserve"> </w:t>
      </w:r>
      <w:r w:rsidRPr="005E3CCE">
        <w:rPr>
          <w:rFonts w:ascii="Cambria" w:hAnsi="Cambria" w:cs="Verdana"/>
          <w:bCs/>
          <w:sz w:val="16"/>
          <w:szCs w:val="16"/>
          <w:bdr w:val="none" w:sz="0" w:space="0" w:color="auto"/>
          <w:lang w:val="pt-BR"/>
        </w:rPr>
        <w:t xml:space="preserve">Corte IDH. </w:t>
      </w:r>
      <w:r w:rsidRPr="005E3CCE">
        <w:rPr>
          <w:rFonts w:ascii="Cambria" w:hAnsi="Cambria" w:cs="Verdana"/>
          <w:bCs/>
          <w:i/>
          <w:sz w:val="16"/>
          <w:szCs w:val="16"/>
          <w:bdr w:val="none" w:sz="0" w:space="0" w:color="auto"/>
          <w:lang w:val="pt-BR"/>
        </w:rPr>
        <w:t xml:space="preserve">Caso Mémoli Vs. </w:t>
      </w:r>
      <w:r w:rsidRPr="005E3CCE">
        <w:rPr>
          <w:rFonts w:ascii="Cambria" w:hAnsi="Cambria" w:cs="Verdana"/>
          <w:bCs/>
          <w:i/>
          <w:sz w:val="16"/>
          <w:szCs w:val="16"/>
          <w:bdr w:val="none" w:sz="0" w:space="0" w:color="auto"/>
          <w:lang w:val="es-ES"/>
        </w:rPr>
        <w:t>Argentina</w:t>
      </w:r>
      <w:r w:rsidRPr="005E3CCE">
        <w:rPr>
          <w:rFonts w:ascii="Cambria" w:hAnsi="Cambria" w:cs="Verdana"/>
          <w:bCs/>
          <w:sz w:val="16"/>
          <w:szCs w:val="16"/>
          <w:bdr w:val="none" w:sz="0" w:space="0" w:color="auto"/>
          <w:lang w:val="es-ES"/>
        </w:rPr>
        <w:t>. Excepciones Preliminares, Fondo, Reparaciones y Costas. Sentencia de 22 de agosto de 2013. Serie C No. 265,</w:t>
      </w:r>
      <w:r w:rsidRPr="005E3CCE">
        <w:rPr>
          <w:rFonts w:ascii="Cambria" w:hAnsi="Cambria"/>
          <w:sz w:val="16"/>
          <w:szCs w:val="16"/>
          <w:lang w:val="es-ES"/>
        </w:rPr>
        <w:t xml:space="preserve"> párr. 47. </w:t>
      </w:r>
    </w:p>
  </w:footnote>
  <w:footnote w:id="105">
    <w:p w:rsidR="005E3CCE" w:rsidRPr="005E3CCE" w:rsidRDefault="005E3CCE" w:rsidP="00FA64F3">
      <w:pPr>
        <w:pStyle w:val="FootnoteText"/>
        <w:tabs>
          <w:tab w:val="left" w:pos="360"/>
        </w:tabs>
        <w:spacing w:after="120"/>
        <w:ind w:firstLine="720"/>
        <w:jc w:val="both"/>
        <w:rPr>
          <w:rFonts w:ascii="Cambria" w:hAnsi="Cambria"/>
          <w:sz w:val="16"/>
          <w:szCs w:val="16"/>
          <w:lang w:val="es-CR"/>
        </w:rPr>
      </w:pPr>
      <w:r w:rsidRPr="005E3CCE">
        <w:rPr>
          <w:rStyle w:val="FootnoteReference"/>
          <w:rFonts w:ascii="Cambria" w:hAnsi="Cambria"/>
          <w:sz w:val="16"/>
          <w:szCs w:val="16"/>
        </w:rPr>
        <w:footnoteRef/>
      </w:r>
      <w:r w:rsidRPr="005E3CCE">
        <w:rPr>
          <w:rFonts w:ascii="Cambria" w:hAnsi="Cambria"/>
          <w:sz w:val="16"/>
          <w:szCs w:val="16"/>
          <w:lang w:val="es-CO"/>
        </w:rPr>
        <w:t xml:space="preserve"> </w:t>
      </w:r>
      <w:r w:rsidRPr="005E3CCE">
        <w:rPr>
          <w:rStyle w:val="Strong"/>
          <w:rFonts w:ascii="Cambria" w:hAnsi="Cambria"/>
          <w:b w:val="0"/>
          <w:sz w:val="16"/>
          <w:szCs w:val="16"/>
          <w:lang w:val="es-CO"/>
        </w:rPr>
        <w:t xml:space="preserve">Corte IDH. </w:t>
      </w:r>
      <w:r w:rsidRPr="005E3CCE">
        <w:rPr>
          <w:rStyle w:val="Strong"/>
          <w:rFonts w:ascii="Cambria" w:hAnsi="Cambria"/>
          <w:b w:val="0"/>
          <w:i/>
          <w:sz w:val="16"/>
          <w:szCs w:val="16"/>
          <w:lang w:val="es-CO"/>
        </w:rPr>
        <w:t>Caso García Lucero y otras Vs. Chile</w:t>
      </w:r>
      <w:r w:rsidRPr="005E3CCE">
        <w:rPr>
          <w:rStyle w:val="Strong"/>
          <w:rFonts w:ascii="Cambria" w:hAnsi="Cambria"/>
          <w:b w:val="0"/>
          <w:sz w:val="16"/>
          <w:szCs w:val="16"/>
          <w:lang w:val="es-CO"/>
        </w:rPr>
        <w:t xml:space="preserve">. Excepción Preliminar, Fondo y Reparaciones. Sentencia de 28 de agosto de 2013. Serie C No. 267. Párr. 190. </w:t>
      </w:r>
    </w:p>
  </w:footnote>
  <w:footnote w:id="106">
    <w:p w:rsidR="005E3CCE" w:rsidRPr="005E3CCE" w:rsidRDefault="005E3CCE" w:rsidP="00FA64F3">
      <w:pPr>
        <w:pStyle w:val="FootnoteText"/>
        <w:tabs>
          <w:tab w:val="left" w:pos="360"/>
        </w:tabs>
        <w:spacing w:after="120"/>
        <w:ind w:firstLine="720"/>
        <w:jc w:val="both"/>
        <w:rPr>
          <w:rFonts w:ascii="Cambria" w:hAnsi="Cambria"/>
          <w:sz w:val="16"/>
          <w:szCs w:val="16"/>
          <w:lang w:val="es-CR"/>
        </w:rPr>
      </w:pPr>
      <w:r w:rsidRPr="005E3CCE">
        <w:rPr>
          <w:rStyle w:val="FootnoteReference"/>
          <w:rFonts w:ascii="Cambria" w:hAnsi="Cambria"/>
          <w:sz w:val="16"/>
          <w:szCs w:val="16"/>
        </w:rPr>
        <w:footnoteRef/>
      </w:r>
      <w:r w:rsidRPr="005E3CCE">
        <w:rPr>
          <w:rFonts w:ascii="Cambria" w:hAnsi="Cambria"/>
          <w:sz w:val="16"/>
          <w:szCs w:val="16"/>
          <w:lang w:val="es-CO"/>
        </w:rPr>
        <w:t xml:space="preserve"> </w:t>
      </w:r>
      <w:r w:rsidRPr="005E3CCE">
        <w:rPr>
          <w:rStyle w:val="Strong"/>
          <w:rFonts w:ascii="Cambria" w:hAnsi="Cambria"/>
          <w:b w:val="0"/>
          <w:sz w:val="16"/>
          <w:szCs w:val="16"/>
          <w:lang w:val="es-CO"/>
        </w:rPr>
        <w:t xml:space="preserve">Corte IDH. </w:t>
      </w:r>
      <w:r w:rsidRPr="005E3CCE">
        <w:rPr>
          <w:rStyle w:val="Strong"/>
          <w:rFonts w:ascii="Cambria" w:hAnsi="Cambria"/>
          <w:b w:val="0"/>
          <w:i/>
          <w:sz w:val="16"/>
          <w:szCs w:val="16"/>
          <w:lang w:val="es-CO"/>
        </w:rPr>
        <w:t>Caso García Lucero y otras Vs. Chile</w:t>
      </w:r>
      <w:r w:rsidRPr="005E3CCE">
        <w:rPr>
          <w:rStyle w:val="Strong"/>
          <w:rFonts w:ascii="Cambria" w:hAnsi="Cambria"/>
          <w:b w:val="0"/>
          <w:sz w:val="16"/>
          <w:szCs w:val="16"/>
          <w:lang w:val="es-CO"/>
        </w:rPr>
        <w:t xml:space="preserve">. Excepción Preliminar, Fondo y Reparaciones. Sentencia de 28 de agosto de 2013. Serie C No. 267. Párr. 192. </w:t>
      </w:r>
    </w:p>
  </w:footnote>
  <w:footnote w:id="107">
    <w:p w:rsidR="005E3CCE" w:rsidRPr="005E3CCE" w:rsidRDefault="005E3CCE" w:rsidP="00FA64F3">
      <w:pPr>
        <w:pStyle w:val="Default"/>
        <w:tabs>
          <w:tab w:val="left" w:pos="360"/>
        </w:tabs>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CIDH. </w:t>
      </w:r>
      <w:hyperlink r:id="rId7" w:history="1">
        <w:r w:rsidRPr="005E3CCE">
          <w:rPr>
            <w:rStyle w:val="Hyperlink"/>
            <w:rFonts w:ascii="Cambria" w:hAnsi="Cambria"/>
            <w:i/>
            <w:sz w:val="16"/>
            <w:szCs w:val="16"/>
            <w:u w:val="none"/>
            <w:lang w:val="es-ES"/>
          </w:rPr>
          <w:t>Lineamientos principales para una política integral de reparaciones</w:t>
        </w:r>
      </w:hyperlink>
      <w:r w:rsidRPr="005E3CCE">
        <w:rPr>
          <w:rFonts w:ascii="Cambria" w:hAnsi="Cambria"/>
          <w:sz w:val="16"/>
          <w:szCs w:val="16"/>
          <w:lang w:val="es-ES"/>
        </w:rPr>
        <w:t>,</w:t>
      </w:r>
      <w:r w:rsidRPr="005E3CCE">
        <w:rPr>
          <w:rFonts w:ascii="Cambria" w:hAnsi="Cambria"/>
          <w:sz w:val="16"/>
          <w:szCs w:val="16"/>
          <w:lang w:val="es-ES" w:eastAsia="es-ES"/>
        </w:rPr>
        <w:t xml:space="preserve"> </w:t>
      </w:r>
      <w:r w:rsidRPr="005E3CCE">
        <w:rPr>
          <w:rFonts w:ascii="Cambria" w:hAnsi="Cambria" w:cs="Univers"/>
          <w:sz w:val="16"/>
          <w:szCs w:val="16"/>
          <w:lang w:val="es-ES" w:eastAsia="es-ES"/>
        </w:rPr>
        <w:t xml:space="preserve">OEA/Ser/L/V/II.131, Doc. 1, </w:t>
      </w:r>
      <w:r w:rsidRPr="005E3CCE">
        <w:rPr>
          <w:rFonts w:ascii="Cambria" w:eastAsia="Arial Unicode MS" w:hAnsi="Cambria" w:cs="Univers"/>
          <w:sz w:val="16"/>
          <w:szCs w:val="16"/>
          <w:lang w:val="es-ES"/>
        </w:rPr>
        <w:t>19 de febrero de 2008, párr. 5.</w:t>
      </w:r>
    </w:p>
  </w:footnote>
  <w:footnote w:id="108">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109">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sidRPr="005E3CCE">
        <w:rPr>
          <w:rFonts w:ascii="Cambria" w:hAnsi="Cambria"/>
          <w:sz w:val="16"/>
          <w:szCs w:val="16"/>
          <w:lang w:val="es-CO"/>
        </w:rPr>
        <w:t>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110">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sidRPr="005E3CCE">
        <w:rPr>
          <w:rFonts w:ascii="Cambria" w:hAnsi="Cambria"/>
          <w:sz w:val="16"/>
          <w:szCs w:val="16"/>
          <w:lang w:val="es-CO"/>
        </w:rPr>
        <w:t>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footnote>
  <w:footnote w:id="111">
    <w:p w:rsidR="005E3CCE" w:rsidRPr="005E3CCE" w:rsidRDefault="005E3CCE" w:rsidP="00FA64F3">
      <w:pPr>
        <w:spacing w:after="120"/>
        <w:ind w:firstLine="720"/>
        <w:jc w:val="both"/>
        <w:rPr>
          <w:rFonts w:ascii="Cambria" w:eastAsia="Times New Roman" w:hAnsi="Cambria"/>
          <w:sz w:val="16"/>
          <w:szCs w:val="16"/>
          <w:lang w:val="es-ES_tradnl"/>
        </w:rPr>
      </w:pPr>
      <w:r w:rsidRPr="005E3CCE">
        <w:rPr>
          <w:rStyle w:val="FootnoteReference"/>
          <w:rFonts w:ascii="Cambria" w:hAnsi="Cambria"/>
          <w:sz w:val="16"/>
          <w:szCs w:val="16"/>
        </w:rPr>
        <w:footnoteRef/>
      </w:r>
      <w:r w:rsidRPr="005E3CCE">
        <w:rPr>
          <w:rFonts w:ascii="Cambria" w:hAnsi="Cambria"/>
          <w:sz w:val="16"/>
          <w:szCs w:val="16"/>
          <w:lang w:val="es-ES"/>
        </w:rPr>
        <w:t xml:space="preserve"> CIDH. </w:t>
      </w:r>
      <w:hyperlink r:id="rId8" w:history="1">
        <w:r w:rsidRPr="005E3CCE">
          <w:rPr>
            <w:rStyle w:val="Hyperlink"/>
            <w:rFonts w:ascii="Cambria" w:hAnsi="Cambria"/>
            <w:i/>
            <w:sz w:val="16"/>
            <w:szCs w:val="16"/>
            <w:u w:val="none"/>
            <w:lang w:val="es-ES"/>
          </w:rPr>
          <w:t>El acceso a la justicia como garantía de los derechos económicos, sociales y culturales</w:t>
        </w:r>
      </w:hyperlink>
      <w:r w:rsidRPr="005E3CCE">
        <w:rPr>
          <w:rFonts w:ascii="Cambria" w:hAnsi="Cambria"/>
          <w:sz w:val="16"/>
          <w:szCs w:val="16"/>
          <w:lang w:val="es-ES"/>
        </w:rPr>
        <w:t xml:space="preserve">. </w:t>
      </w:r>
      <w:r w:rsidRPr="005E3CCE">
        <w:rPr>
          <w:rFonts w:ascii="Cambria" w:eastAsia="Times New Roman" w:hAnsi="Cambria"/>
          <w:sz w:val="16"/>
          <w:szCs w:val="16"/>
          <w:lang w:val="es-ES_tradnl"/>
        </w:rPr>
        <w:t>OEA/</w:t>
      </w:r>
      <w:proofErr w:type="spellStart"/>
      <w:r w:rsidRPr="005E3CCE">
        <w:rPr>
          <w:rFonts w:ascii="Cambria" w:eastAsia="Times New Roman" w:hAnsi="Cambria"/>
          <w:sz w:val="16"/>
          <w:szCs w:val="16"/>
          <w:lang w:val="es-ES_tradnl"/>
        </w:rPr>
        <w:t>Ser.L</w:t>
      </w:r>
      <w:proofErr w:type="spellEnd"/>
      <w:r w:rsidRPr="005E3CCE">
        <w:rPr>
          <w:rFonts w:ascii="Cambria" w:eastAsia="Times New Roman" w:hAnsi="Cambria"/>
          <w:sz w:val="16"/>
          <w:szCs w:val="16"/>
          <w:lang w:val="es-ES_tradnl"/>
        </w:rPr>
        <w:t xml:space="preserve">/V/II.129 Doc. 4, 7 septiembre 2007, </w:t>
      </w:r>
      <w:r w:rsidRPr="005E3CCE">
        <w:rPr>
          <w:rFonts w:ascii="Cambria" w:hAnsi="Cambria"/>
          <w:sz w:val="16"/>
          <w:szCs w:val="16"/>
          <w:lang w:val="es-ES"/>
        </w:rPr>
        <w:t xml:space="preserve">párr. 177. </w:t>
      </w:r>
    </w:p>
  </w:footnote>
  <w:footnote w:id="112">
    <w:p w:rsidR="005E3CCE" w:rsidRPr="005E3CCE" w:rsidRDefault="005E3CCE" w:rsidP="00FA64F3">
      <w:pPr>
        <w:pStyle w:val="FootnoteText"/>
        <w:spacing w:after="120"/>
        <w:ind w:firstLine="720"/>
        <w:jc w:val="both"/>
        <w:rPr>
          <w:rFonts w:ascii="Cambria" w:hAnsi="Cambria"/>
          <w:sz w:val="16"/>
          <w:szCs w:val="16"/>
          <w:lang w:val="es-CO"/>
        </w:rPr>
      </w:pPr>
      <w:r w:rsidRPr="005E3CCE">
        <w:rPr>
          <w:rStyle w:val="FootnoteReference"/>
          <w:rFonts w:ascii="Cambria" w:hAnsi="Cambria"/>
          <w:sz w:val="16"/>
          <w:szCs w:val="16"/>
        </w:rPr>
        <w:footnoteRef/>
      </w:r>
      <w:r w:rsidRPr="005E3CCE">
        <w:rPr>
          <w:rFonts w:ascii="Cambria" w:hAnsi="Cambria"/>
          <w:sz w:val="16"/>
          <w:szCs w:val="16"/>
          <w:lang w:val="es-CO"/>
        </w:rPr>
        <w:t xml:space="preserve"> CIDH, Informe No. 26/09, Caso 12.440, Wallace de Almeida, Brasil, 20 de marzo de 2009, párr. 119.</w:t>
      </w:r>
    </w:p>
  </w:footnote>
  <w:footnote w:id="113">
    <w:p w:rsidR="005E3CCE" w:rsidRPr="005E3CCE" w:rsidRDefault="005E3CCE" w:rsidP="00FA64F3">
      <w:pPr>
        <w:tabs>
          <w:tab w:val="left" w:pos="720"/>
        </w:tabs>
        <w:spacing w:after="120"/>
        <w:ind w:right="11"/>
        <w:jc w:val="both"/>
        <w:rPr>
          <w:rFonts w:ascii="Cambria" w:hAnsi="Cambria" w:cs="Verdana-Bold"/>
          <w:b/>
          <w:bCs/>
          <w:color w:val="5BADD5"/>
          <w:sz w:val="16"/>
          <w:szCs w:val="16"/>
          <w:lang w:val="es-ES" w:bidi="en-US"/>
        </w:rPr>
      </w:pPr>
      <w:r w:rsidRPr="005E3CCE">
        <w:rPr>
          <w:rFonts w:ascii="Cambria" w:hAnsi="Cambria"/>
          <w:sz w:val="16"/>
          <w:szCs w:val="16"/>
          <w:lang w:val="es-ES_tradnl"/>
        </w:rPr>
        <w:tab/>
      </w:r>
      <w:r w:rsidRPr="005E3CCE">
        <w:rPr>
          <w:rStyle w:val="FootnoteReference"/>
          <w:rFonts w:ascii="Cambria" w:hAnsi="Cambria"/>
          <w:sz w:val="16"/>
          <w:szCs w:val="16"/>
        </w:rPr>
        <w:footnoteRef/>
      </w:r>
      <w:r w:rsidRPr="005E3CCE">
        <w:rPr>
          <w:rFonts w:ascii="Cambria" w:hAnsi="Cambria"/>
          <w:sz w:val="16"/>
          <w:szCs w:val="16"/>
          <w:lang w:val="es-ES_tradnl"/>
        </w:rPr>
        <w:t xml:space="preserve"> </w:t>
      </w:r>
      <w:r w:rsidRPr="005E3CCE">
        <w:rPr>
          <w:rFonts w:ascii="Cambria" w:hAnsi="Cambria" w:cs="Verdana"/>
          <w:bCs/>
          <w:sz w:val="16"/>
          <w:szCs w:val="16"/>
          <w:bdr w:val="none" w:sz="0" w:space="0" w:color="auto"/>
          <w:lang w:val="es-ES"/>
        </w:rPr>
        <w:t xml:space="preserve">Corte IDH. </w:t>
      </w:r>
      <w:r w:rsidRPr="005E3CCE">
        <w:rPr>
          <w:rFonts w:ascii="Cambria" w:hAnsi="Cambria" w:cs="Verdana"/>
          <w:bCs/>
          <w:i/>
          <w:sz w:val="16"/>
          <w:szCs w:val="16"/>
          <w:bdr w:val="none" w:sz="0" w:space="0" w:color="auto"/>
          <w:lang w:val="es-ES"/>
        </w:rPr>
        <w:t xml:space="preserve">Caso </w:t>
      </w:r>
      <w:proofErr w:type="spellStart"/>
      <w:r w:rsidRPr="005E3CCE">
        <w:rPr>
          <w:rFonts w:ascii="Cambria" w:hAnsi="Cambria" w:cs="Verdana"/>
          <w:bCs/>
          <w:i/>
          <w:sz w:val="16"/>
          <w:szCs w:val="16"/>
          <w:bdr w:val="none" w:sz="0" w:space="0" w:color="auto"/>
          <w:lang w:val="es-ES"/>
        </w:rPr>
        <w:t>Reverón</w:t>
      </w:r>
      <w:proofErr w:type="spellEnd"/>
      <w:r w:rsidRPr="005E3CCE">
        <w:rPr>
          <w:rFonts w:ascii="Cambria" w:hAnsi="Cambria" w:cs="Verdana"/>
          <w:bCs/>
          <w:i/>
          <w:sz w:val="16"/>
          <w:szCs w:val="16"/>
          <w:bdr w:val="none" w:sz="0" w:space="0" w:color="auto"/>
          <w:lang w:val="es-ES"/>
        </w:rPr>
        <w:t xml:space="preserve"> Trujillo Vs. Venezuela</w:t>
      </w:r>
      <w:r w:rsidRPr="005E3CCE">
        <w:rPr>
          <w:rFonts w:ascii="Cambria" w:hAnsi="Cambria" w:cs="Verdana"/>
          <w:bCs/>
          <w:sz w:val="16"/>
          <w:szCs w:val="16"/>
          <w:bdr w:val="none" w:sz="0" w:space="0" w:color="auto"/>
          <w:lang w:val="es-ES"/>
        </w:rPr>
        <w:t>. Excepción Preliminar, Fondo, Reparaciones y Costas. Sentencia de 30 de ju</w:t>
      </w:r>
      <w:r w:rsidR="00863C3A">
        <w:rPr>
          <w:rFonts w:ascii="Cambria" w:hAnsi="Cambria" w:cs="Verdana"/>
          <w:bCs/>
          <w:sz w:val="16"/>
          <w:szCs w:val="16"/>
          <w:bdr w:val="none" w:sz="0" w:space="0" w:color="auto"/>
          <w:lang w:val="es-ES"/>
        </w:rPr>
        <w:t>nio de 2009. Serie C No. 197, p</w:t>
      </w:r>
      <w:r w:rsidRPr="005E3CCE">
        <w:rPr>
          <w:rFonts w:ascii="Cambria" w:hAnsi="Cambria" w:cs="Verdana"/>
          <w:bCs/>
          <w:sz w:val="16"/>
          <w:szCs w:val="16"/>
          <w:bdr w:val="none" w:sz="0" w:space="0" w:color="auto"/>
          <w:lang w:val="es-ES"/>
        </w:rPr>
        <w:t xml:space="preserve">árr. 59. Citando. </w:t>
      </w:r>
      <w:r w:rsidRPr="005E3CCE">
        <w:rPr>
          <w:rFonts w:ascii="Cambria" w:hAnsi="Cambria"/>
          <w:i/>
          <w:iCs/>
          <w:sz w:val="16"/>
          <w:szCs w:val="16"/>
          <w:lang w:val="es-ES_tradnl"/>
        </w:rPr>
        <w:t xml:space="preserve">Cfr. </w:t>
      </w:r>
      <w:r w:rsidRPr="005E3CCE">
        <w:rPr>
          <w:rFonts w:ascii="Cambria" w:hAnsi="Cambria"/>
          <w:i/>
          <w:sz w:val="16"/>
          <w:szCs w:val="16"/>
          <w:lang w:val="es-ES"/>
        </w:rPr>
        <w:t>Garantías Judiciales en Estados de Emergencia</w:t>
      </w:r>
      <w:r w:rsidRPr="005E3CCE">
        <w:rPr>
          <w:rFonts w:ascii="Cambria" w:hAnsi="Cambria"/>
          <w:sz w:val="16"/>
          <w:szCs w:val="16"/>
          <w:lang w:val="es-ES"/>
        </w:rPr>
        <w:t xml:space="preserve"> </w:t>
      </w:r>
      <w:r w:rsidRPr="005E3CCE">
        <w:rPr>
          <w:rFonts w:ascii="Cambria" w:hAnsi="Cambria"/>
          <w:i/>
          <w:sz w:val="16"/>
          <w:szCs w:val="16"/>
          <w:lang w:val="es-ES"/>
        </w:rPr>
        <w:t>(arts. 27.2, 25 y 8 Convención Americana sobre Derechos Humanos)</w:t>
      </w:r>
      <w:r w:rsidRPr="005E3CCE">
        <w:rPr>
          <w:rFonts w:ascii="Cambria" w:hAnsi="Cambria"/>
          <w:sz w:val="16"/>
          <w:szCs w:val="16"/>
          <w:lang w:val="es-ES"/>
        </w:rPr>
        <w:t>. Opinión Consultiva OC-9/87 del 6 de octubre de 1987. Serie A No. 9, p</w:t>
      </w:r>
      <w:r w:rsidRPr="005E3CCE">
        <w:rPr>
          <w:rFonts w:ascii="Cambria" w:hAnsi="Cambria"/>
          <w:iCs/>
          <w:sz w:val="16"/>
          <w:szCs w:val="16"/>
          <w:lang w:val="es-ES"/>
        </w:rPr>
        <w:t>árr. 23</w:t>
      </w:r>
      <w:r w:rsidRPr="005E3CCE">
        <w:rPr>
          <w:rFonts w:ascii="Cambria" w:hAnsi="Cambria"/>
          <w:color w:val="000000"/>
          <w:sz w:val="16"/>
          <w:szCs w:val="16"/>
          <w:lang w:val="es-ES"/>
        </w:rPr>
        <w:t xml:space="preserve">; </w:t>
      </w:r>
      <w:r w:rsidRPr="005E3CCE">
        <w:rPr>
          <w:rFonts w:ascii="Cambria" w:hAnsi="Cambria"/>
          <w:bCs/>
          <w:i/>
          <w:color w:val="000000"/>
          <w:sz w:val="16"/>
          <w:szCs w:val="16"/>
          <w:lang w:val="es-ES"/>
        </w:rPr>
        <w:t xml:space="preserve">Caso Salvador Chiriboga Vs. Ecuador. </w:t>
      </w:r>
      <w:r w:rsidRPr="005E3CCE">
        <w:rPr>
          <w:rFonts w:ascii="Cambria" w:hAnsi="Cambria"/>
          <w:i/>
          <w:color w:val="000000"/>
          <w:sz w:val="16"/>
          <w:szCs w:val="16"/>
          <w:lang w:val="es-ES"/>
        </w:rPr>
        <w:t>Excepción Preliminar y Fondo</w:t>
      </w:r>
      <w:r w:rsidRPr="005E3CCE">
        <w:rPr>
          <w:rFonts w:ascii="Cambria" w:hAnsi="Cambria"/>
          <w:color w:val="000000"/>
          <w:sz w:val="16"/>
          <w:szCs w:val="16"/>
          <w:lang w:val="es-ES"/>
        </w:rPr>
        <w:t>. Sentencia de 6 de mayo de 2008. Serie C No. 179, párr. 57</w:t>
      </w:r>
      <w:r w:rsidRPr="005E3CCE">
        <w:rPr>
          <w:rFonts w:ascii="Cambria" w:hAnsi="Cambria"/>
          <w:iCs/>
          <w:sz w:val="16"/>
          <w:szCs w:val="16"/>
          <w:lang w:val="es-ES"/>
        </w:rPr>
        <w:t>.</w:t>
      </w:r>
      <w:r w:rsidRPr="005E3CCE">
        <w:rPr>
          <w:rFonts w:ascii="Cambria" w:hAnsi="Cambria" w:cs="Verdana"/>
          <w:sz w:val="16"/>
          <w:szCs w:val="16"/>
          <w:lang w:val="es-ES" w:bidi="en-US"/>
        </w:rPr>
        <w:t xml:space="preserve"> </w:t>
      </w:r>
    </w:p>
  </w:footnote>
  <w:footnote w:id="114">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Corte IDH. </w:t>
      </w:r>
      <w:r w:rsidRPr="005E3CCE">
        <w:rPr>
          <w:rFonts w:ascii="Cambria" w:hAnsi="Cambria"/>
          <w:bCs/>
          <w:i/>
          <w:sz w:val="16"/>
          <w:szCs w:val="16"/>
          <w:lang w:val="es-ES"/>
        </w:rPr>
        <w:t>Caso Trabajadores Cesados del Congreso (Aguado Alfaro y otros) Vs. Perú.</w:t>
      </w:r>
      <w:r w:rsidRPr="005E3CCE">
        <w:rPr>
          <w:rFonts w:ascii="Cambria" w:hAnsi="Cambria"/>
          <w:b/>
          <w:bCs/>
          <w:sz w:val="16"/>
          <w:szCs w:val="16"/>
          <w:lang w:val="es-ES"/>
        </w:rPr>
        <w:t xml:space="preserve"> </w:t>
      </w:r>
      <w:r w:rsidRPr="005E3CCE">
        <w:rPr>
          <w:rFonts w:ascii="Cambria" w:hAnsi="Cambria"/>
          <w:sz w:val="16"/>
          <w:szCs w:val="16"/>
          <w:lang w:val="es-ES"/>
        </w:rPr>
        <w:t>Sentencia de 24 de Noviembre de 2006. Serie C No. 158, párr. 106.</w:t>
      </w:r>
    </w:p>
  </w:footnote>
  <w:footnote w:id="115">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cs="Arial"/>
          <w:sz w:val="16"/>
          <w:szCs w:val="16"/>
          <w:lang w:val="es-ES"/>
        </w:rPr>
        <w:t xml:space="preserve"> </w:t>
      </w:r>
      <w:r w:rsidRPr="005E3CCE">
        <w:rPr>
          <w:rFonts w:ascii="Cambria" w:hAnsi="Cambria"/>
          <w:sz w:val="16"/>
          <w:szCs w:val="16"/>
          <w:lang w:val="es-ES_tradnl"/>
        </w:rPr>
        <w:t xml:space="preserve">Corte IDH. </w:t>
      </w:r>
      <w:r w:rsidRPr="005E3CCE">
        <w:rPr>
          <w:rFonts w:ascii="Cambria" w:hAnsi="Cambria"/>
          <w:i/>
          <w:sz w:val="16"/>
          <w:szCs w:val="16"/>
          <w:lang w:val="es-ES_tradnl"/>
        </w:rPr>
        <w:t xml:space="preserve">Caso García </w:t>
      </w:r>
      <w:proofErr w:type="spellStart"/>
      <w:r w:rsidRPr="005E3CCE">
        <w:rPr>
          <w:rFonts w:ascii="Cambria" w:hAnsi="Cambria"/>
          <w:i/>
          <w:sz w:val="16"/>
          <w:szCs w:val="16"/>
          <w:lang w:val="es-ES_tradnl"/>
        </w:rPr>
        <w:t>Asto</w:t>
      </w:r>
      <w:proofErr w:type="spellEnd"/>
      <w:r w:rsidRPr="005E3CCE">
        <w:rPr>
          <w:rFonts w:ascii="Cambria" w:hAnsi="Cambria"/>
          <w:i/>
          <w:sz w:val="16"/>
          <w:szCs w:val="16"/>
          <w:lang w:val="es-ES_tradnl"/>
        </w:rPr>
        <w:t xml:space="preserve"> y Ramírez Rojas Vs. Perú</w:t>
      </w:r>
      <w:r w:rsidRPr="005E3CCE">
        <w:rPr>
          <w:rFonts w:ascii="Cambria" w:hAnsi="Cambria"/>
          <w:sz w:val="16"/>
          <w:szCs w:val="16"/>
          <w:lang w:val="es-ES_tradnl"/>
        </w:rPr>
        <w:t>. Sentencia de 25 de noviembre de 2005. Serie C No. 137</w:t>
      </w:r>
      <w:r w:rsidRPr="005E3CCE">
        <w:rPr>
          <w:rFonts w:ascii="Cambria" w:hAnsi="Cambria" w:cs="Arial"/>
          <w:iCs/>
          <w:sz w:val="16"/>
          <w:szCs w:val="16"/>
          <w:lang w:val="es-ES"/>
        </w:rPr>
        <w:t xml:space="preserve">, párr. 166; </w:t>
      </w:r>
      <w:r w:rsidRPr="005E3CCE">
        <w:rPr>
          <w:rFonts w:ascii="Cambria" w:hAnsi="Cambria"/>
          <w:i/>
          <w:sz w:val="16"/>
          <w:szCs w:val="16"/>
          <w:lang w:val="es-ES_tradnl"/>
        </w:rPr>
        <w:t xml:space="preserve">Caso Gómez Palomino Vs. Perú. </w:t>
      </w:r>
      <w:hyperlink r:id="rId9" w:history="1">
        <w:r w:rsidRPr="005E3CCE">
          <w:rPr>
            <w:rStyle w:val="Hyperlink"/>
            <w:rFonts w:ascii="Cambria" w:hAnsi="Cambria" w:cs="Arial"/>
            <w:color w:val="auto"/>
            <w:sz w:val="16"/>
            <w:szCs w:val="16"/>
            <w:u w:val="none"/>
            <w:shd w:val="clear" w:color="auto" w:fill="FFFFFF"/>
            <w:lang w:val="es-ES"/>
          </w:rPr>
          <w:t>Fondo, Reparaciones y Costas. Sentencia de 22 de noviembre de 2005. Serie C No. 136</w:t>
        </w:r>
      </w:hyperlink>
      <w:r w:rsidRPr="005E3CCE">
        <w:rPr>
          <w:rFonts w:ascii="Cambria" w:hAnsi="Cambria"/>
          <w:sz w:val="16"/>
          <w:szCs w:val="16"/>
          <w:lang w:val="es-ES_tradnl"/>
        </w:rPr>
        <w:t>,</w:t>
      </w:r>
      <w:r w:rsidRPr="005E3CCE">
        <w:rPr>
          <w:rFonts w:ascii="Cambria" w:hAnsi="Cambria"/>
          <w:i/>
          <w:sz w:val="16"/>
          <w:szCs w:val="16"/>
          <w:lang w:val="es-ES_tradnl"/>
        </w:rPr>
        <w:t xml:space="preserve"> </w:t>
      </w:r>
      <w:r w:rsidRPr="005E3CCE">
        <w:rPr>
          <w:rFonts w:ascii="Cambria" w:hAnsi="Cambria"/>
          <w:sz w:val="16"/>
          <w:szCs w:val="16"/>
          <w:lang w:val="es-ES_tradnl"/>
        </w:rPr>
        <w:t xml:space="preserve">párr. </w:t>
      </w:r>
      <w:r w:rsidRPr="005E3CCE">
        <w:rPr>
          <w:rFonts w:ascii="Cambria" w:hAnsi="Cambria" w:cs="Arial"/>
          <w:sz w:val="16"/>
          <w:szCs w:val="16"/>
          <w:lang w:val="es-ES"/>
        </w:rPr>
        <w:t xml:space="preserve">85; y </w:t>
      </w:r>
      <w:r w:rsidRPr="005E3CCE">
        <w:rPr>
          <w:rFonts w:ascii="Cambria" w:hAnsi="Cambria"/>
          <w:i/>
          <w:sz w:val="16"/>
          <w:szCs w:val="16"/>
          <w:lang w:val="es-ES"/>
        </w:rPr>
        <w:t xml:space="preserve">Caso de la Comunidad </w:t>
      </w:r>
      <w:proofErr w:type="spellStart"/>
      <w:r w:rsidRPr="005E3CCE">
        <w:rPr>
          <w:rFonts w:ascii="Cambria" w:hAnsi="Cambria"/>
          <w:i/>
          <w:sz w:val="16"/>
          <w:szCs w:val="16"/>
          <w:lang w:val="es-ES"/>
        </w:rPr>
        <w:t>Moiwana</w:t>
      </w:r>
      <w:proofErr w:type="spellEnd"/>
      <w:r w:rsidRPr="005E3CCE">
        <w:rPr>
          <w:rFonts w:ascii="Cambria" w:hAnsi="Cambria"/>
          <w:i/>
          <w:sz w:val="16"/>
          <w:szCs w:val="16"/>
          <w:lang w:val="es-ES"/>
        </w:rPr>
        <w:t xml:space="preserve"> Vs. Surinam</w:t>
      </w:r>
      <w:r w:rsidRPr="005E3CCE">
        <w:rPr>
          <w:rFonts w:ascii="Cambria" w:hAnsi="Cambria"/>
          <w:sz w:val="16"/>
          <w:szCs w:val="16"/>
          <w:lang w:val="es-ES"/>
        </w:rPr>
        <w:t>. Sentencia de 15 de junio de 2005. Serie C No. 124</w:t>
      </w:r>
      <w:r w:rsidRPr="005E3CCE">
        <w:rPr>
          <w:rFonts w:ascii="Cambria" w:hAnsi="Cambria" w:cs="Arial"/>
          <w:sz w:val="16"/>
          <w:szCs w:val="16"/>
          <w:lang w:val="es-ES"/>
        </w:rPr>
        <w:t>, párr. 160.</w:t>
      </w:r>
    </w:p>
  </w:footnote>
  <w:footnote w:id="116">
    <w:p w:rsidR="005E3CCE" w:rsidRPr="005E3CCE" w:rsidRDefault="005E3CCE" w:rsidP="00FA64F3">
      <w:pPr>
        <w:pStyle w:val="FootnoteText"/>
        <w:spacing w:after="120"/>
        <w:ind w:firstLine="720"/>
        <w:jc w:val="both"/>
        <w:rPr>
          <w:rFonts w:ascii="Cambria" w:hAnsi="Cambria"/>
          <w:sz w:val="16"/>
          <w:szCs w:val="16"/>
          <w:lang w:val="es-ES_tradnl"/>
        </w:rPr>
      </w:pPr>
      <w:r w:rsidRPr="005E3CCE">
        <w:rPr>
          <w:rStyle w:val="FootnoteReference"/>
          <w:rFonts w:ascii="Cambria" w:hAnsi="Cambria"/>
          <w:sz w:val="16"/>
          <w:szCs w:val="16"/>
        </w:rPr>
        <w:footnoteRef/>
      </w:r>
      <w:r w:rsidRPr="005E3CCE">
        <w:rPr>
          <w:rFonts w:ascii="Cambria" w:hAnsi="Cambria" w:cs="Arial"/>
          <w:sz w:val="16"/>
          <w:szCs w:val="16"/>
          <w:lang w:val="es-ES"/>
        </w:rPr>
        <w:t xml:space="preserve"> Corte IDH. </w:t>
      </w:r>
      <w:r w:rsidRPr="005E3CCE">
        <w:rPr>
          <w:rFonts w:ascii="Cambria" w:hAnsi="Cambria" w:cs="Arial"/>
          <w:i/>
          <w:sz w:val="16"/>
          <w:szCs w:val="16"/>
          <w:shd w:val="clear" w:color="auto" w:fill="FFFFFF"/>
          <w:lang w:val="es-ES"/>
        </w:rPr>
        <w:t xml:space="preserve">Caso Masacre de Santo Domingo Vs. </w:t>
      </w:r>
      <w:r w:rsidRPr="005E3CCE">
        <w:rPr>
          <w:rFonts w:ascii="Cambria" w:hAnsi="Cambria" w:cs="Arial"/>
          <w:i/>
          <w:sz w:val="16"/>
          <w:szCs w:val="16"/>
          <w:shd w:val="clear" w:color="auto" w:fill="FFFFFF"/>
          <w:lang w:val="es-ES_tradnl"/>
        </w:rPr>
        <w:t>Colombia</w:t>
      </w:r>
      <w:r w:rsidRPr="005E3CCE">
        <w:rPr>
          <w:rFonts w:ascii="Cambria" w:hAnsi="Cambria" w:cs="Arial"/>
          <w:sz w:val="16"/>
          <w:szCs w:val="16"/>
          <w:shd w:val="clear" w:color="auto" w:fill="FFFFFF"/>
          <w:lang w:val="es-ES_tradnl"/>
        </w:rPr>
        <w:t>. Excepciones Preliminares, Fondo y Reparaciones. Sentencia de 30 de noviembre de 2012. Serie C No. 259,</w:t>
      </w:r>
      <w:r w:rsidRPr="005E3CCE">
        <w:rPr>
          <w:rFonts w:ascii="Cambria" w:hAnsi="Cambria" w:cs="Arial"/>
          <w:sz w:val="16"/>
          <w:szCs w:val="16"/>
          <w:lang w:val="es-ES_tradnl"/>
        </w:rPr>
        <w:t xml:space="preserve"> párr. </w:t>
      </w:r>
      <w:r w:rsidRPr="005E3CCE">
        <w:rPr>
          <w:rFonts w:ascii="Cambria" w:hAnsi="Cambria" w:cs="Arial"/>
          <w:sz w:val="16"/>
          <w:szCs w:val="16"/>
          <w:lang w:val="es-ES"/>
        </w:rPr>
        <w:t>164.</w:t>
      </w:r>
    </w:p>
  </w:footnote>
  <w:footnote w:id="117">
    <w:p w:rsidR="005E3CCE" w:rsidRPr="005E3CCE" w:rsidRDefault="005E3CCE" w:rsidP="00FA64F3">
      <w:pPr>
        <w:pStyle w:val="FootnoteText"/>
        <w:spacing w:after="120"/>
        <w:ind w:firstLine="706"/>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Corte IDH. </w:t>
      </w:r>
      <w:hyperlink r:id="rId10" w:history="1">
        <w:r w:rsidRPr="005E3CCE">
          <w:rPr>
            <w:rStyle w:val="Hyperlink"/>
            <w:rFonts w:ascii="Cambria" w:eastAsia="Trebuchet MS" w:hAnsi="Cambria" w:cs="Arial"/>
            <w:i/>
            <w:color w:val="auto"/>
            <w:sz w:val="16"/>
            <w:szCs w:val="16"/>
            <w:u w:val="none"/>
            <w:shd w:val="clear" w:color="auto" w:fill="FFFFFF"/>
            <w:lang w:val="es-ES"/>
          </w:rPr>
          <w:t>Caso Baena Ricardo y otros Vs. Panamá</w:t>
        </w:r>
        <w:r w:rsidRPr="005E3CCE">
          <w:rPr>
            <w:rStyle w:val="Hyperlink"/>
            <w:rFonts w:ascii="Cambria" w:eastAsia="Trebuchet MS" w:hAnsi="Cambria" w:cs="Arial"/>
            <w:color w:val="auto"/>
            <w:sz w:val="16"/>
            <w:szCs w:val="16"/>
            <w:u w:val="none"/>
            <w:shd w:val="clear" w:color="auto" w:fill="FFFFFF"/>
            <w:lang w:val="es-ES"/>
          </w:rPr>
          <w:t>. Fondo, Reparaciones y Costas. Sentencia de 2 de febrero de 2001. Serie C No. 72</w:t>
        </w:r>
      </w:hyperlink>
      <w:r w:rsidRPr="005E3CCE">
        <w:rPr>
          <w:rFonts w:ascii="Cambria" w:hAnsi="Cambria"/>
          <w:sz w:val="16"/>
          <w:szCs w:val="16"/>
          <w:lang w:val="es-ES"/>
        </w:rPr>
        <w:t xml:space="preserve">, </w:t>
      </w:r>
      <w:proofErr w:type="spellStart"/>
      <w:r w:rsidRPr="005E3CCE">
        <w:rPr>
          <w:rFonts w:ascii="Cambria" w:hAnsi="Cambria"/>
          <w:sz w:val="16"/>
          <w:szCs w:val="16"/>
          <w:lang w:val="es-ES"/>
        </w:rPr>
        <w:t>párrs</w:t>
      </w:r>
      <w:proofErr w:type="spellEnd"/>
      <w:r w:rsidRPr="005E3CCE">
        <w:rPr>
          <w:rFonts w:ascii="Cambria" w:hAnsi="Cambria"/>
          <w:sz w:val="16"/>
          <w:szCs w:val="16"/>
          <w:lang w:val="es-ES"/>
        </w:rPr>
        <w:t xml:space="preserve">. 126-127; </w:t>
      </w:r>
      <w:hyperlink r:id="rId11" w:history="1">
        <w:r w:rsidRPr="005E3CCE">
          <w:rPr>
            <w:rStyle w:val="Hyperlink"/>
            <w:rFonts w:ascii="Cambria" w:eastAsia="Trebuchet MS" w:hAnsi="Cambria" w:cs="Arial"/>
            <w:i/>
            <w:color w:val="auto"/>
            <w:sz w:val="16"/>
            <w:szCs w:val="16"/>
            <w:u w:val="none"/>
            <w:shd w:val="clear" w:color="auto" w:fill="FFFFFF"/>
            <w:lang w:val="es-ES"/>
          </w:rPr>
          <w:t>Caso del Tribunal Constitucional Vs. Perú</w:t>
        </w:r>
        <w:r w:rsidRPr="005E3CCE">
          <w:rPr>
            <w:rStyle w:val="Hyperlink"/>
            <w:rFonts w:ascii="Cambria" w:eastAsia="Trebuchet MS" w:hAnsi="Cambria" w:cs="Arial"/>
            <w:color w:val="auto"/>
            <w:sz w:val="16"/>
            <w:szCs w:val="16"/>
            <w:u w:val="none"/>
            <w:shd w:val="clear" w:color="auto" w:fill="FFFFFF"/>
            <w:lang w:val="es-ES"/>
          </w:rPr>
          <w:t>. Fondo, Reparaciones y Costas. Sentencia de 31 de enero de 2001. Serie C No. 71</w:t>
        </w:r>
      </w:hyperlink>
      <w:r w:rsidRPr="005E3CCE">
        <w:rPr>
          <w:rFonts w:ascii="Cambria" w:hAnsi="Cambria"/>
          <w:sz w:val="16"/>
          <w:szCs w:val="16"/>
          <w:lang w:val="es-ES"/>
        </w:rPr>
        <w:t xml:space="preserve">, </w:t>
      </w:r>
      <w:proofErr w:type="spellStart"/>
      <w:r w:rsidRPr="005E3CCE">
        <w:rPr>
          <w:rFonts w:ascii="Cambria" w:hAnsi="Cambria"/>
          <w:sz w:val="16"/>
          <w:szCs w:val="16"/>
          <w:lang w:val="es-ES"/>
        </w:rPr>
        <w:t>párrs</w:t>
      </w:r>
      <w:proofErr w:type="spellEnd"/>
      <w:r w:rsidRPr="005E3CCE">
        <w:rPr>
          <w:rFonts w:ascii="Cambria" w:hAnsi="Cambria"/>
          <w:sz w:val="16"/>
          <w:szCs w:val="16"/>
          <w:lang w:val="es-ES"/>
        </w:rPr>
        <w:t xml:space="preserve">. 69-70; y </w:t>
      </w:r>
      <w:hyperlink r:id="rId12" w:history="1">
        <w:r w:rsidRPr="005E3CCE">
          <w:rPr>
            <w:rStyle w:val="Hyperlink"/>
            <w:rFonts w:ascii="Cambria" w:eastAsia="Trebuchet MS" w:hAnsi="Cambria" w:cs="Arial"/>
            <w:color w:val="auto"/>
            <w:sz w:val="16"/>
            <w:szCs w:val="16"/>
            <w:u w:val="none"/>
            <w:shd w:val="clear" w:color="auto" w:fill="FFFFFF"/>
            <w:lang w:val="es-ES"/>
          </w:rPr>
          <w:t>Caso López Mendoza Vs. Venezuela. Fondo Reparaciones y Costas. Sentencia de 1 de septiembre de 2011 Serie C No. 233</w:t>
        </w:r>
      </w:hyperlink>
      <w:r w:rsidRPr="005E3CCE">
        <w:rPr>
          <w:rFonts w:ascii="Cambria" w:hAnsi="Cambria"/>
          <w:sz w:val="16"/>
          <w:szCs w:val="16"/>
          <w:lang w:val="es-ES"/>
        </w:rPr>
        <w:t xml:space="preserve">, párr. 111. Asimismo, véase: CIDH, Informe No. 65/11, Caso 12.600, Fondo, Hugo Quintana Coello y otros “Magistrados de la Corte Suprema de Justicia”, Ecuador, 31 de marzo de 2011, párr. 102.  </w:t>
      </w:r>
    </w:p>
  </w:footnote>
  <w:footnote w:id="118">
    <w:p w:rsidR="005E3CCE" w:rsidRPr="005E3CCE" w:rsidRDefault="005E3CCE" w:rsidP="00FA64F3">
      <w:pPr>
        <w:pStyle w:val="FootnoteText"/>
        <w:spacing w:after="120"/>
        <w:ind w:firstLine="706"/>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Corte IDH. </w:t>
      </w:r>
      <w:hyperlink r:id="rId13" w:history="1">
        <w:r w:rsidRPr="005E3CCE">
          <w:rPr>
            <w:rStyle w:val="Hyperlink"/>
            <w:rFonts w:ascii="Cambria" w:eastAsia="Trebuchet MS" w:hAnsi="Cambria" w:cs="Arial"/>
            <w:i/>
            <w:color w:val="auto"/>
            <w:sz w:val="16"/>
            <w:szCs w:val="16"/>
            <w:u w:val="none"/>
            <w:shd w:val="clear" w:color="auto" w:fill="FFFFFF"/>
            <w:lang w:val="es-ES"/>
          </w:rPr>
          <w:t xml:space="preserve">Caso </w:t>
        </w:r>
        <w:proofErr w:type="spellStart"/>
        <w:r w:rsidRPr="005E3CCE">
          <w:rPr>
            <w:rStyle w:val="Hyperlink"/>
            <w:rFonts w:ascii="Cambria" w:eastAsia="Trebuchet MS" w:hAnsi="Cambria" w:cs="Arial"/>
            <w:i/>
            <w:color w:val="auto"/>
            <w:sz w:val="16"/>
            <w:szCs w:val="16"/>
            <w:u w:val="none"/>
            <w:shd w:val="clear" w:color="auto" w:fill="FFFFFF"/>
            <w:lang w:val="es-ES"/>
          </w:rPr>
          <w:t>Barbani</w:t>
        </w:r>
        <w:proofErr w:type="spellEnd"/>
        <w:r w:rsidRPr="005E3CCE">
          <w:rPr>
            <w:rStyle w:val="Hyperlink"/>
            <w:rFonts w:ascii="Cambria" w:eastAsia="Trebuchet MS" w:hAnsi="Cambria" w:cs="Arial"/>
            <w:i/>
            <w:color w:val="auto"/>
            <w:sz w:val="16"/>
            <w:szCs w:val="16"/>
            <w:u w:val="none"/>
            <w:shd w:val="clear" w:color="auto" w:fill="FFFFFF"/>
            <w:lang w:val="es-ES"/>
          </w:rPr>
          <w:t xml:space="preserve"> Duarte y Otros Vs. Uruguay</w:t>
        </w:r>
        <w:r w:rsidRPr="005E3CCE">
          <w:rPr>
            <w:rStyle w:val="Hyperlink"/>
            <w:rFonts w:ascii="Cambria" w:eastAsia="Trebuchet MS" w:hAnsi="Cambria" w:cs="Arial"/>
            <w:color w:val="auto"/>
            <w:sz w:val="16"/>
            <w:szCs w:val="16"/>
            <w:u w:val="none"/>
            <w:shd w:val="clear" w:color="auto" w:fill="FFFFFF"/>
            <w:lang w:val="es-ES"/>
          </w:rPr>
          <w:t>. Fondo Reparaciones y costas. Sentencia de 13 de octubre de 2011. Serie C No. 234</w:t>
        </w:r>
      </w:hyperlink>
      <w:r w:rsidRPr="005E3CCE">
        <w:rPr>
          <w:rFonts w:ascii="Cambria" w:hAnsi="Cambria"/>
          <w:sz w:val="16"/>
          <w:szCs w:val="16"/>
          <w:lang w:val="es-ES"/>
        </w:rPr>
        <w:t xml:space="preserve">, párr. 118; y </w:t>
      </w:r>
      <w:hyperlink r:id="rId14" w:history="1">
        <w:r w:rsidRPr="005E3CCE">
          <w:rPr>
            <w:rStyle w:val="Hyperlink"/>
            <w:rFonts w:ascii="Cambria" w:eastAsia="Trebuchet MS" w:hAnsi="Cambria" w:cs="Arial"/>
            <w:i/>
            <w:color w:val="auto"/>
            <w:sz w:val="16"/>
            <w:szCs w:val="16"/>
            <w:u w:val="none"/>
            <w:shd w:val="clear" w:color="auto" w:fill="FFFFFF"/>
            <w:lang w:val="es-ES"/>
          </w:rPr>
          <w:t>Caso Claude Reyes y otros Vs. Chile</w:t>
        </w:r>
        <w:r w:rsidRPr="005E3CCE">
          <w:rPr>
            <w:rStyle w:val="Hyperlink"/>
            <w:rFonts w:ascii="Cambria" w:eastAsia="Trebuchet MS" w:hAnsi="Cambria" w:cs="Arial"/>
            <w:color w:val="auto"/>
            <w:sz w:val="16"/>
            <w:szCs w:val="16"/>
            <w:u w:val="none"/>
            <w:shd w:val="clear" w:color="auto" w:fill="FFFFFF"/>
            <w:lang w:val="es-ES"/>
          </w:rPr>
          <w:t>. Fondo, Reparaciones y Costas. Sentencia de 19 de septiembre de 2006. Serie C No. 151</w:t>
        </w:r>
      </w:hyperlink>
      <w:r w:rsidRPr="005E3CCE">
        <w:rPr>
          <w:rFonts w:ascii="Cambria" w:hAnsi="Cambria"/>
          <w:sz w:val="16"/>
          <w:szCs w:val="16"/>
          <w:lang w:val="es-ES"/>
        </w:rPr>
        <w:t>, párr. 118.</w:t>
      </w:r>
    </w:p>
  </w:footnote>
  <w:footnote w:id="119">
    <w:p w:rsidR="005E3CCE" w:rsidRPr="005E3CCE" w:rsidRDefault="005E3CCE" w:rsidP="00FA64F3">
      <w:pPr>
        <w:pStyle w:val="BodyTextIndent"/>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rPr>
        <w:t xml:space="preserve"> </w:t>
      </w:r>
      <w:r w:rsidRPr="005E3CCE">
        <w:rPr>
          <w:rFonts w:ascii="Cambria" w:hAnsi="Cambria" w:cs="Verdana"/>
          <w:bCs/>
          <w:sz w:val="16"/>
          <w:szCs w:val="16"/>
          <w:bdr w:val="none" w:sz="0" w:space="0" w:color="auto"/>
        </w:rPr>
        <w:t xml:space="preserve">Corte IDH. </w:t>
      </w:r>
      <w:r w:rsidRPr="005E3CCE">
        <w:rPr>
          <w:rFonts w:ascii="Cambria" w:hAnsi="Cambria" w:cs="Verdana"/>
          <w:bCs/>
          <w:i/>
          <w:sz w:val="16"/>
          <w:szCs w:val="16"/>
          <w:bdr w:val="none" w:sz="0" w:space="0" w:color="auto"/>
        </w:rPr>
        <w:t xml:space="preserve">Caso </w:t>
      </w:r>
      <w:proofErr w:type="spellStart"/>
      <w:r w:rsidRPr="005E3CCE">
        <w:rPr>
          <w:rFonts w:ascii="Cambria" w:hAnsi="Cambria" w:cs="Verdana"/>
          <w:bCs/>
          <w:i/>
          <w:sz w:val="16"/>
          <w:szCs w:val="16"/>
          <w:bdr w:val="none" w:sz="0" w:space="0" w:color="auto"/>
        </w:rPr>
        <w:t>Chocrón</w:t>
      </w:r>
      <w:proofErr w:type="spellEnd"/>
      <w:r w:rsidRPr="005E3CCE">
        <w:rPr>
          <w:rFonts w:ascii="Cambria" w:hAnsi="Cambria" w:cs="Verdana"/>
          <w:bCs/>
          <w:i/>
          <w:sz w:val="16"/>
          <w:szCs w:val="16"/>
          <w:bdr w:val="none" w:sz="0" w:space="0" w:color="auto"/>
        </w:rPr>
        <w:t xml:space="preserve"> </w:t>
      </w:r>
      <w:proofErr w:type="spellStart"/>
      <w:r w:rsidRPr="005E3CCE">
        <w:rPr>
          <w:rFonts w:ascii="Cambria" w:hAnsi="Cambria" w:cs="Verdana"/>
          <w:bCs/>
          <w:i/>
          <w:sz w:val="16"/>
          <w:szCs w:val="16"/>
          <w:bdr w:val="none" w:sz="0" w:space="0" w:color="auto"/>
        </w:rPr>
        <w:t>Chocrón</w:t>
      </w:r>
      <w:proofErr w:type="spellEnd"/>
      <w:r w:rsidRPr="005E3CCE">
        <w:rPr>
          <w:rFonts w:ascii="Cambria" w:hAnsi="Cambria" w:cs="Verdana"/>
          <w:bCs/>
          <w:i/>
          <w:sz w:val="16"/>
          <w:szCs w:val="16"/>
          <w:bdr w:val="none" w:sz="0" w:space="0" w:color="auto"/>
        </w:rPr>
        <w:t xml:space="preserve"> Vs. Venezuela</w:t>
      </w:r>
      <w:r w:rsidRPr="005E3CCE">
        <w:rPr>
          <w:rFonts w:ascii="Cambria" w:hAnsi="Cambria" w:cs="Verdana"/>
          <w:bCs/>
          <w:sz w:val="16"/>
          <w:szCs w:val="16"/>
          <w:bdr w:val="none" w:sz="0" w:space="0" w:color="auto"/>
        </w:rPr>
        <w:t xml:space="preserve">. Excepción Preliminar, Fondo, Reparaciones y Costas. Sentencia de 1 de julio de 2011. Serie C No. 227, párr. 118. </w:t>
      </w:r>
    </w:p>
  </w:footnote>
  <w:footnote w:id="120">
    <w:p w:rsidR="005E3CCE" w:rsidRPr="005E3CCE" w:rsidRDefault="005E3CCE" w:rsidP="00FA64F3">
      <w:pPr>
        <w:pStyle w:val="FootnoteText"/>
        <w:spacing w:after="120"/>
        <w:ind w:firstLine="706"/>
        <w:jc w:val="both"/>
        <w:rPr>
          <w:rFonts w:ascii="Cambria" w:hAnsi="Cambria"/>
          <w:sz w:val="16"/>
          <w:szCs w:val="16"/>
          <w:lang w:val="es-CO"/>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sidRPr="005E3CCE">
        <w:rPr>
          <w:rFonts w:ascii="Cambria" w:hAnsi="Cambria" w:cs="Verdana"/>
          <w:bCs/>
          <w:sz w:val="16"/>
          <w:szCs w:val="16"/>
          <w:bdr w:val="none" w:sz="0" w:space="0" w:color="auto"/>
          <w:lang w:val="es-ES"/>
        </w:rPr>
        <w:t xml:space="preserve">Corte IDH. </w:t>
      </w:r>
      <w:r w:rsidRPr="005E3CCE">
        <w:rPr>
          <w:rFonts w:ascii="Cambria" w:hAnsi="Cambria"/>
          <w:i/>
          <w:sz w:val="16"/>
          <w:szCs w:val="16"/>
          <w:lang w:val="es-ES"/>
        </w:rPr>
        <w:t>Caso Chaparro Álvarez y Lapo Íñiguez. Vs. Ecuador. Excepción Preliminar, Fondo, Reparaciones y Costas</w:t>
      </w:r>
      <w:r w:rsidRPr="005E3CCE">
        <w:rPr>
          <w:rFonts w:ascii="Cambria" w:hAnsi="Cambria"/>
          <w:sz w:val="16"/>
          <w:szCs w:val="16"/>
          <w:lang w:val="es-ES"/>
        </w:rPr>
        <w:t xml:space="preserve">. </w:t>
      </w:r>
      <w:r w:rsidRPr="005E3CCE">
        <w:rPr>
          <w:rFonts w:ascii="Cambria" w:hAnsi="Cambria"/>
          <w:sz w:val="16"/>
          <w:szCs w:val="16"/>
          <w:lang w:val="es-CO"/>
        </w:rPr>
        <w:t>Sentencia de 21 de noviembre de 2007. Serie C No. 170, párr. 107</w:t>
      </w:r>
      <w:r w:rsidRPr="005E3CCE">
        <w:rPr>
          <w:rFonts w:ascii="Cambria" w:hAnsi="Cambria" w:cs="Arial"/>
          <w:i/>
          <w:sz w:val="16"/>
          <w:szCs w:val="16"/>
          <w:lang w:val="es-CO"/>
        </w:rPr>
        <w:t>.</w:t>
      </w:r>
    </w:p>
  </w:footnote>
  <w:footnote w:id="121">
    <w:p w:rsidR="005E3CCE" w:rsidRPr="005E3CCE" w:rsidRDefault="005E3CCE" w:rsidP="00FA64F3">
      <w:pPr>
        <w:pStyle w:val="FootnoteText"/>
        <w:spacing w:after="120"/>
        <w:ind w:firstLine="706"/>
        <w:jc w:val="both"/>
        <w:rPr>
          <w:rFonts w:ascii="Cambria" w:hAnsi="Cambria"/>
          <w:sz w:val="16"/>
          <w:szCs w:val="16"/>
          <w:lang w:val="es-CO"/>
        </w:rPr>
      </w:pPr>
      <w:r w:rsidRPr="005E3CCE">
        <w:rPr>
          <w:rStyle w:val="FootnoteReference"/>
          <w:rFonts w:ascii="Cambria" w:hAnsi="Cambria"/>
          <w:sz w:val="16"/>
          <w:szCs w:val="16"/>
        </w:rPr>
        <w:footnoteRef/>
      </w:r>
      <w:r w:rsidRPr="005E3CCE">
        <w:rPr>
          <w:rFonts w:ascii="Cambria" w:hAnsi="Cambria"/>
          <w:sz w:val="16"/>
          <w:szCs w:val="16"/>
          <w:lang w:val="es-CO"/>
        </w:rPr>
        <w:t xml:space="preserve"> </w:t>
      </w:r>
      <w:r w:rsidRPr="005E3CCE">
        <w:rPr>
          <w:rFonts w:ascii="Cambria" w:hAnsi="Cambria" w:cs="Verdana"/>
          <w:bCs/>
          <w:sz w:val="16"/>
          <w:szCs w:val="16"/>
          <w:bdr w:val="none" w:sz="0" w:space="0" w:color="auto"/>
          <w:lang w:val="es-ES"/>
        </w:rPr>
        <w:t xml:space="preserve">Corte IDH. </w:t>
      </w:r>
      <w:r w:rsidRPr="005E3CCE">
        <w:rPr>
          <w:rFonts w:ascii="Cambria" w:hAnsi="Cambria" w:cs="Verdana"/>
          <w:bCs/>
          <w:i/>
          <w:sz w:val="16"/>
          <w:szCs w:val="16"/>
          <w:bdr w:val="none" w:sz="0" w:space="0" w:color="auto"/>
          <w:lang w:val="es-ES"/>
        </w:rPr>
        <w:t xml:space="preserve">Caso </w:t>
      </w:r>
      <w:proofErr w:type="spellStart"/>
      <w:r w:rsidRPr="005E3CCE">
        <w:rPr>
          <w:rFonts w:ascii="Cambria" w:hAnsi="Cambria" w:cs="Verdana"/>
          <w:bCs/>
          <w:i/>
          <w:sz w:val="16"/>
          <w:szCs w:val="16"/>
          <w:bdr w:val="none" w:sz="0" w:space="0" w:color="auto"/>
          <w:lang w:val="es-ES"/>
        </w:rPr>
        <w:t>Chocrón</w:t>
      </w:r>
      <w:proofErr w:type="spellEnd"/>
      <w:r w:rsidRPr="005E3CCE">
        <w:rPr>
          <w:rFonts w:ascii="Cambria" w:hAnsi="Cambria" w:cs="Verdana"/>
          <w:bCs/>
          <w:i/>
          <w:sz w:val="16"/>
          <w:szCs w:val="16"/>
          <w:bdr w:val="none" w:sz="0" w:space="0" w:color="auto"/>
          <w:lang w:val="es-ES"/>
        </w:rPr>
        <w:t xml:space="preserve"> </w:t>
      </w:r>
      <w:proofErr w:type="spellStart"/>
      <w:r w:rsidRPr="005E3CCE">
        <w:rPr>
          <w:rFonts w:ascii="Cambria" w:hAnsi="Cambria" w:cs="Verdana"/>
          <w:bCs/>
          <w:i/>
          <w:sz w:val="16"/>
          <w:szCs w:val="16"/>
          <w:bdr w:val="none" w:sz="0" w:space="0" w:color="auto"/>
          <w:lang w:val="es-ES"/>
        </w:rPr>
        <w:t>Chocrón</w:t>
      </w:r>
      <w:proofErr w:type="spellEnd"/>
      <w:r w:rsidRPr="005E3CCE">
        <w:rPr>
          <w:rFonts w:ascii="Cambria" w:hAnsi="Cambria" w:cs="Verdana"/>
          <w:bCs/>
          <w:i/>
          <w:sz w:val="16"/>
          <w:szCs w:val="16"/>
          <w:bdr w:val="none" w:sz="0" w:space="0" w:color="auto"/>
          <w:lang w:val="es-ES"/>
        </w:rPr>
        <w:t xml:space="preserve"> Vs. Venezuela</w:t>
      </w:r>
      <w:r w:rsidRPr="005E3CCE">
        <w:rPr>
          <w:rFonts w:ascii="Cambria" w:hAnsi="Cambria" w:cs="Verdana"/>
          <w:bCs/>
          <w:sz w:val="16"/>
          <w:szCs w:val="16"/>
          <w:bdr w:val="none" w:sz="0" w:space="0" w:color="auto"/>
          <w:lang w:val="es-ES"/>
        </w:rPr>
        <w:t>. Excepción Preliminar, Fondo, Reparaciones y Costas. Sentencia de 1 de julio de 2011. Serie C No. 227. Párr. 118.</w:t>
      </w:r>
    </w:p>
  </w:footnote>
  <w:footnote w:id="122">
    <w:p w:rsidR="005E3CCE" w:rsidRPr="005E3CCE" w:rsidRDefault="005E3CCE" w:rsidP="00FA64F3">
      <w:pPr>
        <w:pStyle w:val="FootnoteText"/>
        <w:spacing w:after="120"/>
        <w:ind w:firstLine="706"/>
        <w:jc w:val="both"/>
        <w:rPr>
          <w:rFonts w:ascii="Cambria" w:hAnsi="Cambria"/>
          <w:i/>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sidRPr="005E3CCE">
        <w:rPr>
          <w:rFonts w:ascii="Cambria" w:hAnsi="Cambria" w:cs="Verdana"/>
          <w:bCs/>
          <w:sz w:val="16"/>
          <w:szCs w:val="16"/>
          <w:bdr w:val="none" w:sz="0" w:space="0" w:color="auto"/>
          <w:lang w:val="es-ES"/>
        </w:rPr>
        <w:t xml:space="preserve">Corte IDH. </w:t>
      </w:r>
      <w:r w:rsidRPr="005E3CCE">
        <w:rPr>
          <w:rFonts w:ascii="Cambria" w:hAnsi="Cambria"/>
          <w:i/>
          <w:sz w:val="16"/>
          <w:szCs w:val="16"/>
          <w:lang w:val="es-ES"/>
        </w:rPr>
        <w:t xml:space="preserve">Caso </w:t>
      </w:r>
      <w:proofErr w:type="spellStart"/>
      <w:r w:rsidRPr="005E3CCE">
        <w:rPr>
          <w:rFonts w:ascii="Cambria" w:hAnsi="Cambria"/>
          <w:i/>
          <w:sz w:val="16"/>
          <w:szCs w:val="16"/>
          <w:lang w:val="es-ES"/>
        </w:rPr>
        <w:t>Yatama</w:t>
      </w:r>
      <w:proofErr w:type="spellEnd"/>
      <w:r w:rsidRPr="005E3CCE">
        <w:rPr>
          <w:rFonts w:ascii="Cambria" w:hAnsi="Cambria"/>
          <w:i/>
          <w:sz w:val="16"/>
          <w:szCs w:val="16"/>
          <w:lang w:val="es-ES"/>
        </w:rPr>
        <w:t xml:space="preserve"> Vs. Nicaragua. </w:t>
      </w:r>
      <w:r w:rsidRPr="005E3CCE">
        <w:rPr>
          <w:rFonts w:ascii="Cambria" w:hAnsi="Cambria"/>
          <w:sz w:val="16"/>
          <w:szCs w:val="16"/>
          <w:lang w:val="es-ES"/>
        </w:rPr>
        <w:t>Excepciones Preliminares, Fondo, Reparaciones y Costas</w:t>
      </w:r>
      <w:r w:rsidRPr="005E3CCE">
        <w:rPr>
          <w:rFonts w:ascii="Cambria" w:hAnsi="Cambria"/>
          <w:i/>
          <w:sz w:val="16"/>
          <w:szCs w:val="16"/>
          <w:lang w:val="es-ES"/>
        </w:rPr>
        <w:t xml:space="preserve">. </w:t>
      </w:r>
      <w:r w:rsidRPr="005E3CCE">
        <w:rPr>
          <w:rFonts w:ascii="Cambria" w:hAnsi="Cambria"/>
          <w:sz w:val="16"/>
          <w:szCs w:val="16"/>
          <w:lang w:val="es-ES"/>
        </w:rPr>
        <w:t xml:space="preserve">Sentencia de 23 de junio de 2005. Serie C No. 127, </w:t>
      </w:r>
      <w:proofErr w:type="spellStart"/>
      <w:r w:rsidRPr="005E3CCE">
        <w:rPr>
          <w:rFonts w:ascii="Cambria" w:hAnsi="Cambria"/>
          <w:sz w:val="16"/>
          <w:szCs w:val="16"/>
          <w:lang w:val="es-ES"/>
        </w:rPr>
        <w:t>párrs</w:t>
      </w:r>
      <w:proofErr w:type="spellEnd"/>
      <w:r w:rsidRPr="005E3CCE">
        <w:rPr>
          <w:rFonts w:ascii="Cambria" w:hAnsi="Cambria"/>
          <w:sz w:val="16"/>
          <w:szCs w:val="16"/>
          <w:lang w:val="es-ES"/>
        </w:rPr>
        <w:t>. 152 y 153.</w:t>
      </w:r>
    </w:p>
  </w:footnote>
  <w:footnote w:id="123">
    <w:p w:rsidR="005E3CCE" w:rsidRPr="005E3CCE" w:rsidRDefault="005E3CCE" w:rsidP="00FA64F3">
      <w:pPr>
        <w:pStyle w:val="FootnoteText"/>
        <w:spacing w:after="120"/>
        <w:ind w:firstLine="706"/>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w:t>
      </w:r>
      <w:r w:rsidRPr="005E3CCE">
        <w:rPr>
          <w:rFonts w:ascii="Cambria" w:hAnsi="Cambria" w:cs="Verdana"/>
          <w:bCs/>
          <w:sz w:val="16"/>
          <w:szCs w:val="16"/>
          <w:bdr w:val="none" w:sz="0" w:space="0" w:color="auto"/>
          <w:lang w:val="es-ES"/>
        </w:rPr>
        <w:t xml:space="preserve">Corte IDH. </w:t>
      </w:r>
      <w:r w:rsidRPr="005E3CCE">
        <w:rPr>
          <w:rFonts w:ascii="Cambria" w:hAnsi="Cambria"/>
          <w:i/>
          <w:sz w:val="16"/>
          <w:szCs w:val="16"/>
          <w:lang w:val="es-ES"/>
        </w:rPr>
        <w:t xml:space="preserve">Caso Claude Reyes y otros Vs. Chile. </w:t>
      </w:r>
      <w:r w:rsidRPr="005E3CCE">
        <w:rPr>
          <w:rFonts w:ascii="Cambria" w:hAnsi="Cambria"/>
          <w:sz w:val="16"/>
          <w:szCs w:val="16"/>
          <w:lang w:val="es-ES"/>
        </w:rPr>
        <w:t>Fondo, Reparaciones y Costas</w:t>
      </w:r>
      <w:r w:rsidRPr="005E3CCE">
        <w:rPr>
          <w:rFonts w:ascii="Cambria" w:hAnsi="Cambria"/>
          <w:i/>
          <w:sz w:val="16"/>
          <w:szCs w:val="16"/>
          <w:lang w:val="es-ES"/>
        </w:rPr>
        <w:t xml:space="preserve">. </w:t>
      </w:r>
      <w:r w:rsidRPr="005E3CCE">
        <w:rPr>
          <w:rFonts w:ascii="Cambria" w:hAnsi="Cambria"/>
          <w:sz w:val="16"/>
          <w:szCs w:val="16"/>
          <w:lang w:val="es-ES"/>
        </w:rPr>
        <w:t>Sentencia de 19 de septiembre de 2006. Serie C No. 151, párr. 122</w:t>
      </w:r>
      <w:r w:rsidRPr="005E3CCE">
        <w:rPr>
          <w:rFonts w:ascii="Cambria" w:hAnsi="Cambria" w:cs="Arial"/>
          <w:sz w:val="16"/>
          <w:szCs w:val="16"/>
          <w:lang w:val="es-CO"/>
        </w:rPr>
        <w:t>.</w:t>
      </w:r>
    </w:p>
  </w:footnote>
  <w:footnote w:id="124">
    <w:p w:rsidR="005E3CCE" w:rsidRPr="005E3CCE" w:rsidRDefault="005E3CCE" w:rsidP="00FA64F3">
      <w:pPr>
        <w:pStyle w:val="FootnoteText"/>
        <w:spacing w:after="120"/>
        <w:ind w:firstLine="706"/>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CO"/>
        </w:rPr>
        <w:t xml:space="preserve"> </w:t>
      </w:r>
      <w:r w:rsidRPr="005E3CCE">
        <w:rPr>
          <w:rFonts w:ascii="Cambria" w:hAnsi="Cambria" w:cs="Verdana"/>
          <w:bCs/>
          <w:sz w:val="16"/>
          <w:szCs w:val="16"/>
          <w:bdr w:val="none" w:sz="0" w:space="0" w:color="auto"/>
          <w:lang w:val="es-ES"/>
        </w:rPr>
        <w:t xml:space="preserve">Corte IDH. </w:t>
      </w:r>
      <w:r w:rsidRPr="005E3CCE">
        <w:rPr>
          <w:rFonts w:ascii="Cambria" w:hAnsi="Cambria" w:cs="Verdana"/>
          <w:bCs/>
          <w:i/>
          <w:sz w:val="16"/>
          <w:szCs w:val="16"/>
          <w:bdr w:val="none" w:sz="0" w:space="0" w:color="auto"/>
          <w:lang w:val="es-ES"/>
        </w:rPr>
        <w:t xml:space="preserve">Caso </w:t>
      </w:r>
      <w:proofErr w:type="spellStart"/>
      <w:r w:rsidRPr="005E3CCE">
        <w:rPr>
          <w:rFonts w:ascii="Cambria" w:hAnsi="Cambria" w:cs="Verdana"/>
          <w:bCs/>
          <w:i/>
          <w:sz w:val="16"/>
          <w:szCs w:val="16"/>
          <w:bdr w:val="none" w:sz="0" w:space="0" w:color="auto"/>
          <w:lang w:val="es-ES"/>
        </w:rPr>
        <w:t>Chocrón</w:t>
      </w:r>
      <w:proofErr w:type="spellEnd"/>
      <w:r w:rsidRPr="005E3CCE">
        <w:rPr>
          <w:rFonts w:ascii="Cambria" w:hAnsi="Cambria" w:cs="Verdana"/>
          <w:bCs/>
          <w:i/>
          <w:sz w:val="16"/>
          <w:szCs w:val="16"/>
          <w:bdr w:val="none" w:sz="0" w:space="0" w:color="auto"/>
          <w:lang w:val="es-ES"/>
        </w:rPr>
        <w:t xml:space="preserve"> </w:t>
      </w:r>
      <w:proofErr w:type="spellStart"/>
      <w:r w:rsidRPr="005E3CCE">
        <w:rPr>
          <w:rFonts w:ascii="Cambria" w:hAnsi="Cambria" w:cs="Verdana"/>
          <w:bCs/>
          <w:i/>
          <w:sz w:val="16"/>
          <w:szCs w:val="16"/>
          <w:bdr w:val="none" w:sz="0" w:space="0" w:color="auto"/>
          <w:lang w:val="es-ES"/>
        </w:rPr>
        <w:t>Chocrón</w:t>
      </w:r>
      <w:proofErr w:type="spellEnd"/>
      <w:r w:rsidRPr="005E3CCE">
        <w:rPr>
          <w:rFonts w:ascii="Cambria" w:hAnsi="Cambria" w:cs="Verdana"/>
          <w:bCs/>
          <w:i/>
          <w:sz w:val="16"/>
          <w:szCs w:val="16"/>
          <w:bdr w:val="none" w:sz="0" w:space="0" w:color="auto"/>
          <w:lang w:val="es-ES"/>
        </w:rPr>
        <w:t xml:space="preserve"> Vs. Venezuela</w:t>
      </w:r>
      <w:r w:rsidRPr="005E3CCE">
        <w:rPr>
          <w:rFonts w:ascii="Cambria" w:hAnsi="Cambria" w:cs="Verdana"/>
          <w:bCs/>
          <w:sz w:val="16"/>
          <w:szCs w:val="16"/>
          <w:bdr w:val="none" w:sz="0" w:space="0" w:color="auto"/>
          <w:lang w:val="es-ES"/>
        </w:rPr>
        <w:t xml:space="preserve">. Excepción Preliminar, Fondo, Reparaciones y Costas. Sentencia de 1 de julio de 2011. Serie C No. 227. Párr. 118. </w:t>
      </w:r>
    </w:p>
  </w:footnote>
  <w:footnote w:id="125">
    <w:p w:rsidR="005E3CCE" w:rsidRPr="005E3CCE" w:rsidRDefault="005E3CCE" w:rsidP="00FA64F3">
      <w:pPr>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CIDH, Informe No. 42/14, Caso 12.453, Fondo, Olga Yolanda Maldonado Ordóñez, Guatemala, 17 de julio de 2014,  párr. 98.</w:t>
      </w:r>
    </w:p>
  </w:footnote>
  <w:footnote w:id="126">
    <w:p w:rsidR="005E3CCE" w:rsidRPr="005E3CCE" w:rsidRDefault="005E3CCE" w:rsidP="00FA64F3">
      <w:pPr>
        <w:pStyle w:val="FootnoteText"/>
        <w:spacing w:after="120"/>
        <w:ind w:firstLine="720"/>
        <w:jc w:val="both"/>
        <w:rPr>
          <w:rFonts w:ascii="Cambria" w:hAnsi="Cambria"/>
          <w:sz w:val="16"/>
          <w:szCs w:val="16"/>
          <w:lang w:val="es-ES"/>
        </w:rPr>
      </w:pPr>
      <w:r w:rsidRPr="005E3CCE">
        <w:rPr>
          <w:rStyle w:val="FootnoteReference"/>
          <w:rFonts w:ascii="Cambria" w:hAnsi="Cambria"/>
          <w:sz w:val="16"/>
          <w:szCs w:val="16"/>
        </w:rPr>
        <w:footnoteRef/>
      </w:r>
      <w:r w:rsidRPr="005E3CCE">
        <w:rPr>
          <w:rFonts w:ascii="Cambria" w:hAnsi="Cambria"/>
          <w:sz w:val="16"/>
          <w:szCs w:val="16"/>
          <w:lang w:val="es-ES"/>
        </w:rPr>
        <w:t xml:space="preserve"> CIDH, Informe No. 42/14, Caso 12.453, Fondo, Olga Yolanda Maldonado Ordóñez, Guatemala, 17 de julio de 2014,  párr. 89. Asimismo, véase: Corte IDH. </w:t>
      </w:r>
      <w:hyperlink r:id="rId15" w:history="1">
        <w:r w:rsidRPr="005E3CCE">
          <w:rPr>
            <w:rStyle w:val="Hyperlink"/>
            <w:rFonts w:ascii="Cambria" w:hAnsi="Cambria" w:cs="Arial"/>
            <w:i/>
            <w:color w:val="auto"/>
            <w:sz w:val="16"/>
            <w:szCs w:val="16"/>
            <w:u w:val="none"/>
            <w:shd w:val="clear" w:color="auto" w:fill="FFFFFF"/>
            <w:lang w:val="es-ES"/>
          </w:rPr>
          <w:t>Caso del Tribunal Constitucional (Camba Campos y otros) Vs. Ecuador</w:t>
        </w:r>
        <w:r w:rsidRPr="005E3CCE">
          <w:rPr>
            <w:rStyle w:val="Hyperlink"/>
            <w:rFonts w:ascii="Cambria" w:hAnsi="Cambria" w:cs="Arial"/>
            <w:color w:val="auto"/>
            <w:sz w:val="16"/>
            <w:szCs w:val="16"/>
            <w:u w:val="none"/>
            <w:shd w:val="clear" w:color="auto" w:fill="FFFFFF"/>
            <w:lang w:val="es-ES"/>
          </w:rPr>
          <w:t>. Excepciones Preliminares, Fondo, Reparaciones y Costas. Sentencia de 28 de agosto de 2013. Serie C No. 268</w:t>
        </w:r>
      </w:hyperlink>
      <w:r w:rsidRPr="005E3CCE">
        <w:rPr>
          <w:rFonts w:ascii="Cambria" w:hAnsi="Cambria"/>
          <w:sz w:val="16"/>
          <w:szCs w:val="16"/>
          <w:lang w:val="es-ES"/>
        </w:rPr>
        <w:t xml:space="preserve">, párr. 181; y </w:t>
      </w:r>
      <w:hyperlink r:id="rId16" w:history="1">
        <w:r w:rsidRPr="005E3CCE">
          <w:rPr>
            <w:rStyle w:val="Hyperlink"/>
            <w:rFonts w:ascii="Cambria" w:hAnsi="Cambria" w:cs="Arial"/>
            <w:color w:val="auto"/>
            <w:sz w:val="16"/>
            <w:szCs w:val="16"/>
            <w:u w:val="none"/>
            <w:shd w:val="clear" w:color="auto" w:fill="FFFFFF"/>
            <w:lang w:val="es-ES"/>
          </w:rPr>
          <w:t>C</w:t>
        </w:r>
        <w:r w:rsidRPr="005E3CCE">
          <w:rPr>
            <w:rStyle w:val="Hyperlink"/>
            <w:rFonts w:ascii="Cambria" w:hAnsi="Cambria" w:cs="Arial"/>
            <w:i/>
            <w:color w:val="auto"/>
            <w:sz w:val="16"/>
            <w:szCs w:val="16"/>
            <w:u w:val="none"/>
            <w:shd w:val="clear" w:color="auto" w:fill="FFFFFF"/>
            <w:lang w:val="es-ES"/>
          </w:rPr>
          <w:t xml:space="preserve">aso </w:t>
        </w:r>
        <w:proofErr w:type="spellStart"/>
        <w:r w:rsidRPr="005E3CCE">
          <w:rPr>
            <w:rStyle w:val="Hyperlink"/>
            <w:rFonts w:ascii="Cambria" w:hAnsi="Cambria" w:cs="Arial"/>
            <w:i/>
            <w:color w:val="auto"/>
            <w:sz w:val="16"/>
            <w:szCs w:val="16"/>
            <w:u w:val="none"/>
            <w:shd w:val="clear" w:color="auto" w:fill="FFFFFF"/>
            <w:lang w:val="es-ES"/>
          </w:rPr>
          <w:t>Barbani</w:t>
        </w:r>
        <w:proofErr w:type="spellEnd"/>
        <w:r w:rsidRPr="005E3CCE">
          <w:rPr>
            <w:rStyle w:val="Hyperlink"/>
            <w:rFonts w:ascii="Cambria" w:hAnsi="Cambria" w:cs="Arial"/>
            <w:i/>
            <w:color w:val="auto"/>
            <w:sz w:val="16"/>
            <w:szCs w:val="16"/>
            <w:u w:val="none"/>
            <w:shd w:val="clear" w:color="auto" w:fill="FFFFFF"/>
            <w:lang w:val="es-ES"/>
          </w:rPr>
          <w:t xml:space="preserve"> Duarte y Otros Vs. Uruguay</w:t>
        </w:r>
        <w:r w:rsidRPr="005E3CCE">
          <w:rPr>
            <w:rStyle w:val="Hyperlink"/>
            <w:rFonts w:ascii="Cambria" w:hAnsi="Cambria" w:cs="Arial"/>
            <w:color w:val="auto"/>
            <w:sz w:val="16"/>
            <w:szCs w:val="16"/>
            <w:u w:val="none"/>
            <w:shd w:val="clear" w:color="auto" w:fill="FFFFFF"/>
            <w:lang w:val="es-ES"/>
          </w:rPr>
          <w:t>. Fondo Reparaciones y costas. Sentencia de 13 de octubre de 2011. Serie C No. 234</w:t>
        </w:r>
      </w:hyperlink>
      <w:r w:rsidRPr="005E3CCE">
        <w:rPr>
          <w:rFonts w:ascii="Cambria" w:hAnsi="Cambria"/>
          <w:sz w:val="16"/>
          <w:szCs w:val="16"/>
          <w:lang w:val="es-ES"/>
        </w:rPr>
        <w:t>, párr. 120.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CCE" w:rsidRDefault="005E3CCE" w:rsidP="009C6DB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5E3CCE" w:rsidRDefault="005E3C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CCE" w:rsidRDefault="005E3CCE" w:rsidP="009C6DBD">
    <w:pPr>
      <w:pStyle w:val="Header"/>
      <w:tabs>
        <w:tab w:val="clear" w:pos="4320"/>
        <w:tab w:val="clear" w:pos="8640"/>
      </w:tabs>
      <w:jc w:val="center"/>
      <w:rPr>
        <w:sz w:val="22"/>
        <w:szCs w:val="22"/>
      </w:rPr>
    </w:pPr>
    <w:r w:rsidRPr="00DB43BD">
      <w:rPr>
        <w:noProof/>
        <w:sz w:val="22"/>
        <w:szCs w:val="22"/>
        <w:lang w:val="es-ES" w:eastAsia="es-ES"/>
      </w:rPr>
      <w:drawing>
        <wp:inline distT="0" distB="0" distL="0" distR="0" wp14:anchorId="36A41EC9" wp14:editId="513DDC76">
          <wp:extent cx="1973580" cy="104140"/>
          <wp:effectExtent l="0" t="0" r="7620" b="0"/>
          <wp:docPr id="6" name="Picture 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3580" cy="104140"/>
                  </a:xfrm>
                  <a:prstGeom prst="rect">
                    <a:avLst/>
                  </a:prstGeom>
                  <a:noFill/>
                  <a:ln>
                    <a:noFill/>
                  </a:ln>
                </pic:spPr>
              </pic:pic>
            </a:graphicData>
          </a:graphic>
        </wp:inline>
      </w:drawing>
    </w:r>
  </w:p>
  <w:p w:rsidR="005E3CCE" w:rsidRPr="00EC7D62" w:rsidRDefault="005E3CCE" w:rsidP="009C6DBD">
    <w:pPr>
      <w:pStyle w:val="Header"/>
      <w:tabs>
        <w:tab w:val="clear" w:pos="4320"/>
        <w:tab w:val="clear" w:pos="8640"/>
      </w:tabs>
      <w:jc w:val="center"/>
      <w:rPr>
        <w:sz w:val="22"/>
        <w:szCs w:val="22"/>
      </w:rPr>
    </w:pPr>
    <w:r>
      <w:rPr>
        <w:sz w:val="22"/>
        <w:szCs w:val="22"/>
      </w:rPr>
      <w:pict w14:anchorId="4D3F73BB">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C7D57E6"/>
    <w:multiLevelType w:val="multilevel"/>
    <w:tmpl w:val="D220C378"/>
    <w:lvl w:ilvl="0">
      <w:start w:val="2"/>
      <w:numFmt w:val="decimal"/>
      <w:lvlText w:val="%1."/>
      <w:lvlJc w:val="left"/>
      <w:pPr>
        <w:tabs>
          <w:tab w:val="num" w:pos="2880"/>
        </w:tabs>
        <w:ind w:left="2880" w:hanging="360"/>
      </w:pPr>
      <w:rPr>
        <w:rFonts w:hint="default"/>
        <w:b/>
        <w:i w:val="0"/>
        <w:sz w:val="20"/>
        <w:szCs w:val="20"/>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9050020"/>
    <w:multiLevelType w:val="hybridMultilevel"/>
    <w:tmpl w:val="78664326"/>
    <w:lvl w:ilvl="0" w:tplc="1070076C">
      <w:start w:val="1"/>
      <w:numFmt w:val="decimal"/>
      <w:lvlText w:val="%1."/>
      <w:lvlJc w:val="left"/>
      <w:pPr>
        <w:tabs>
          <w:tab w:val="num" w:pos="1429"/>
        </w:tabs>
        <w:ind w:firstLine="720"/>
      </w:pPr>
      <w:rPr>
        <w:rFonts w:ascii="Cambria" w:hAnsi="Cambria" w:cs="Times New Roman" w:hint="default"/>
        <w:b w:val="0"/>
        <w:i w:val="0"/>
        <w:sz w:val="20"/>
        <w:szCs w:val="20"/>
        <w:lang w:val="es-PE"/>
      </w:rPr>
    </w:lvl>
    <w:lvl w:ilvl="1" w:tplc="04090019">
      <w:start w:val="1"/>
      <w:numFmt w:val="lowerLetter"/>
      <w:lvlText w:val="%2."/>
      <w:lvlJc w:val="left"/>
      <w:pPr>
        <w:tabs>
          <w:tab w:val="num" w:pos="1440"/>
        </w:tabs>
        <w:ind w:left="1440" w:hanging="360"/>
      </w:pPr>
      <w:rPr>
        <w:rFonts w:cs="Times New Roman"/>
      </w:rPr>
    </w:lvl>
    <w:lvl w:ilvl="2" w:tplc="C66EDE0C">
      <w:start w:val="3"/>
      <w:numFmt w:val="upperRoman"/>
      <w:lvlText w:val="%3."/>
      <w:lvlJc w:val="left"/>
      <w:pPr>
        <w:tabs>
          <w:tab w:val="num" w:pos="2700"/>
        </w:tabs>
        <w:ind w:left="2700" w:hanging="720"/>
      </w:pPr>
      <w:rPr>
        <w:rFonts w:cs="Times New Roman" w:hint="default"/>
      </w:rPr>
    </w:lvl>
    <w:lvl w:ilvl="3" w:tplc="268AFC70">
      <w:start w:val="1"/>
      <w:numFmt w:val="decimal"/>
      <w:lvlText w:val="%4."/>
      <w:lvlJc w:val="left"/>
      <w:pPr>
        <w:tabs>
          <w:tab w:val="num" w:pos="2880"/>
        </w:tabs>
        <w:ind w:left="2880" w:hanging="360"/>
      </w:pPr>
      <w:rPr>
        <w:rFonts w:hint="default"/>
        <w:b/>
        <w:i w:val="0"/>
        <w:sz w:val="20"/>
        <w:szCs w:val="2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C424AAD"/>
    <w:multiLevelType w:val="hybridMultilevel"/>
    <w:tmpl w:val="365CF948"/>
    <w:lvl w:ilvl="0" w:tplc="C232A3CC">
      <w:start w:val="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62145B"/>
    <w:multiLevelType w:val="hybridMultilevel"/>
    <w:tmpl w:val="2CE6D96E"/>
    <w:lvl w:ilvl="0" w:tplc="1368C5A0">
      <w:start w:val="1"/>
      <w:numFmt w:val="upperLetter"/>
      <w:pStyle w:val="Heading2"/>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784149"/>
    <w:multiLevelType w:val="hybridMultilevel"/>
    <w:tmpl w:val="B052D32A"/>
    <w:lvl w:ilvl="0" w:tplc="E522DE5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7795779"/>
    <w:multiLevelType w:val="singleLevel"/>
    <w:tmpl w:val="46A0F79C"/>
    <w:lvl w:ilvl="0">
      <w:start w:val="1"/>
      <w:numFmt w:val="decimal"/>
      <w:lvlText w:val="%1."/>
      <w:lvlJc w:val="left"/>
      <w:pPr>
        <w:tabs>
          <w:tab w:val="num" w:pos="720"/>
        </w:tabs>
        <w:ind w:left="0" w:firstLine="720"/>
      </w:pPr>
      <w:rPr>
        <w:rFonts w:hint="default"/>
        <w:color w:val="auto"/>
        <w:sz w:val="20"/>
        <w:szCs w:val="20"/>
      </w:r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570ECC"/>
    <w:multiLevelType w:val="hybridMultilevel"/>
    <w:tmpl w:val="EEC6EB42"/>
    <w:lvl w:ilvl="0" w:tplc="4C023D8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nsid w:val="6AFC1A77"/>
    <w:multiLevelType w:val="hybridMultilevel"/>
    <w:tmpl w:val="E3AE2B30"/>
    <w:lvl w:ilvl="0" w:tplc="F1364F34">
      <w:start w:val="2"/>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70786ED7"/>
    <w:multiLevelType w:val="hybridMultilevel"/>
    <w:tmpl w:val="77A682A6"/>
    <w:lvl w:ilvl="0" w:tplc="7ED433CE">
      <w:start w:val="1"/>
      <w:numFmt w:val="upperRoman"/>
      <w:pStyle w:val="Heading1"/>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E64D32"/>
    <w:multiLevelType w:val="hybridMultilevel"/>
    <w:tmpl w:val="E9AAC004"/>
    <w:lvl w:ilvl="0" w:tplc="84C60B70">
      <w:start w:val="1"/>
      <w:numFmt w:val="decimal"/>
      <w:lvlText w:val="%1."/>
      <w:lvlJc w:val="left"/>
      <w:pPr>
        <w:tabs>
          <w:tab w:val="num" w:pos="11028"/>
        </w:tabs>
      </w:pPr>
      <w:rPr>
        <w:rFonts w:ascii="Verdana" w:eastAsia="Times New Roman" w:hAnsi="Verdana"/>
        <w:b w:val="0"/>
        <w:bCs w:val="0"/>
        <w:i w:val="0"/>
        <w:iCs w:val="0"/>
        <w:strike w:val="0"/>
        <w:color w:val="auto"/>
        <w:sz w:val="20"/>
        <w:szCs w:val="20"/>
        <w:lang w:val="es-ES_tradnl"/>
      </w:rPr>
    </w:lvl>
    <w:lvl w:ilvl="1" w:tplc="140A0019">
      <w:start w:val="1"/>
      <w:numFmt w:val="lowerLetter"/>
      <w:lvlText w:val="%2)"/>
      <w:lvlJc w:val="left"/>
      <w:pPr>
        <w:tabs>
          <w:tab w:val="num" w:pos="1080"/>
        </w:tabs>
        <w:ind w:left="1080" w:hanging="360"/>
      </w:pPr>
      <w:rPr>
        <w:rFonts w:hint="default"/>
        <w:b w:val="0"/>
        <w:bCs w:val="0"/>
        <w:i w:val="0"/>
        <w:iCs w:val="0"/>
        <w:sz w:val="20"/>
        <w:szCs w:val="20"/>
      </w:rPr>
    </w:lvl>
    <w:lvl w:ilvl="2" w:tplc="140A001B">
      <w:start w:val="1"/>
      <w:numFmt w:val="lowerRoman"/>
      <w:lvlText w:val="%3."/>
      <w:lvlJc w:val="right"/>
      <w:pPr>
        <w:tabs>
          <w:tab w:val="num" w:pos="1530"/>
        </w:tabs>
        <w:ind w:left="1530" w:hanging="180"/>
      </w:pPr>
      <w:rPr>
        <w:b w:val="0"/>
        <w:strike w:val="0"/>
      </w:rPr>
    </w:lvl>
    <w:lvl w:ilvl="3" w:tplc="140A000F">
      <w:start w:val="1"/>
      <w:numFmt w:val="decimal"/>
      <w:lvlText w:val="%4."/>
      <w:lvlJc w:val="left"/>
      <w:pPr>
        <w:tabs>
          <w:tab w:val="num" w:pos="2880"/>
        </w:tabs>
        <w:ind w:left="2880" w:hanging="360"/>
      </w:pPr>
    </w:lvl>
    <w:lvl w:ilvl="4" w:tplc="140A0019">
      <w:start w:val="1"/>
      <w:numFmt w:val="lowerLetter"/>
      <w:pStyle w:val="Heading6"/>
      <w:lvlText w:val="%5."/>
      <w:lvlJc w:val="left"/>
      <w:pPr>
        <w:tabs>
          <w:tab w:val="num" w:pos="3600"/>
        </w:tabs>
        <w:ind w:left="3600" w:hanging="360"/>
      </w:pPr>
    </w:lvl>
    <w:lvl w:ilvl="5" w:tplc="140A001B">
      <w:start w:val="1"/>
      <w:numFmt w:val="lowerRoman"/>
      <w:lvlText w:val="%6."/>
      <w:lvlJc w:val="right"/>
      <w:pPr>
        <w:tabs>
          <w:tab w:val="num" w:pos="4320"/>
        </w:tabs>
        <w:ind w:left="4320" w:hanging="180"/>
      </w:pPr>
    </w:lvl>
    <w:lvl w:ilvl="6" w:tplc="140A000F">
      <w:start w:val="1"/>
      <w:numFmt w:val="decimal"/>
      <w:lvlText w:val="%7."/>
      <w:lvlJc w:val="left"/>
      <w:pPr>
        <w:tabs>
          <w:tab w:val="num" w:pos="5040"/>
        </w:tabs>
        <w:ind w:left="5040" w:hanging="360"/>
      </w:pPr>
    </w:lvl>
    <w:lvl w:ilvl="7" w:tplc="140A0019">
      <w:start w:val="1"/>
      <w:numFmt w:val="lowerLetter"/>
      <w:lvlText w:val="%8."/>
      <w:lvlJc w:val="left"/>
      <w:pPr>
        <w:tabs>
          <w:tab w:val="num" w:pos="5760"/>
        </w:tabs>
        <w:ind w:left="5760" w:hanging="360"/>
      </w:pPr>
    </w:lvl>
    <w:lvl w:ilvl="8" w:tplc="140A001B">
      <w:start w:val="1"/>
      <w:numFmt w:val="lowerRoman"/>
      <w:lvlText w:val="%9."/>
      <w:lvlJc w:val="right"/>
      <w:pPr>
        <w:tabs>
          <w:tab w:val="num" w:pos="6480"/>
        </w:tabs>
        <w:ind w:left="6480" w:hanging="180"/>
      </w:pPr>
    </w:lvl>
  </w:abstractNum>
  <w:abstractNum w:abstractNumId="57">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2"/>
  </w:num>
  <w:num w:numId="4">
    <w:abstractNumId w:val="22"/>
  </w:num>
  <w:num w:numId="5">
    <w:abstractNumId w:val="46"/>
  </w:num>
  <w:num w:numId="6">
    <w:abstractNumId w:val="29"/>
  </w:num>
  <w:num w:numId="7">
    <w:abstractNumId w:val="9"/>
  </w:num>
  <w:num w:numId="8">
    <w:abstractNumId w:val="19"/>
  </w:num>
  <w:num w:numId="9">
    <w:abstractNumId w:val="43"/>
  </w:num>
  <w:num w:numId="10">
    <w:abstractNumId w:val="0"/>
  </w:num>
  <w:num w:numId="11">
    <w:abstractNumId w:val="39"/>
  </w:num>
  <w:num w:numId="12">
    <w:abstractNumId w:val="40"/>
  </w:num>
  <w:num w:numId="13">
    <w:abstractNumId w:val="44"/>
  </w:num>
  <w:num w:numId="14">
    <w:abstractNumId w:val="1"/>
  </w:num>
  <w:num w:numId="15">
    <w:abstractNumId w:val="2"/>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20"/>
  </w:num>
  <w:num w:numId="26">
    <w:abstractNumId w:val="21"/>
  </w:num>
  <w:num w:numId="27">
    <w:abstractNumId w:val="24"/>
  </w:num>
  <w:num w:numId="28">
    <w:abstractNumId w:val="25"/>
  </w:num>
  <w:num w:numId="29">
    <w:abstractNumId w:val="26"/>
  </w:num>
  <w:num w:numId="30">
    <w:abstractNumId w:val="28"/>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7"/>
  </w:num>
  <w:num w:numId="38">
    <w:abstractNumId w:val="38"/>
  </w:num>
  <w:num w:numId="39">
    <w:abstractNumId w:val="41"/>
  </w:num>
  <w:num w:numId="40">
    <w:abstractNumId w:val="42"/>
  </w:num>
  <w:num w:numId="41">
    <w:abstractNumId w:val="45"/>
  </w:num>
  <w:num w:numId="42">
    <w:abstractNumId w:val="47"/>
  </w:num>
  <w:num w:numId="43">
    <w:abstractNumId w:val="49"/>
  </w:num>
  <w:num w:numId="44">
    <w:abstractNumId w:val="51"/>
  </w:num>
  <w:num w:numId="45">
    <w:abstractNumId w:val="53"/>
  </w:num>
  <w:num w:numId="46">
    <w:abstractNumId w:val="54"/>
  </w:num>
  <w:num w:numId="47">
    <w:abstractNumId w:val="55"/>
  </w:num>
  <w:num w:numId="48">
    <w:abstractNumId w:val="57"/>
  </w:num>
  <w:num w:numId="49">
    <w:abstractNumId w:val="58"/>
  </w:num>
  <w:num w:numId="50">
    <w:abstractNumId w:val="50"/>
  </w:num>
  <w:num w:numId="51">
    <w:abstractNumId w:val="6"/>
  </w:num>
  <w:num w:numId="52">
    <w:abstractNumId w:val="56"/>
  </w:num>
  <w:num w:numId="53">
    <w:abstractNumId w:val="3"/>
  </w:num>
  <w:num w:numId="54">
    <w:abstractNumId w:val="8"/>
    <w:lvlOverride w:ilvl="0">
      <w:startOverride w:val="1"/>
    </w:lvlOverride>
  </w:num>
  <w:num w:numId="55">
    <w:abstractNumId w:val="7"/>
  </w:num>
  <w:num w:numId="56">
    <w:abstractNumId w:val="48"/>
  </w:num>
  <w:num w:numId="57">
    <w:abstractNumId w:val="35"/>
  </w:num>
  <w:num w:numId="58">
    <w:abstractNumId w:val="23"/>
  </w:num>
  <w:num w:numId="59">
    <w:abstractNumId w:val="2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1F8"/>
    <w:rsid w:val="000831EF"/>
    <w:rsid w:val="000B0396"/>
    <w:rsid w:val="000F2E4F"/>
    <w:rsid w:val="0017042C"/>
    <w:rsid w:val="00180AF9"/>
    <w:rsid w:val="00186FB0"/>
    <w:rsid w:val="001D11A4"/>
    <w:rsid w:val="001D2539"/>
    <w:rsid w:val="002051A2"/>
    <w:rsid w:val="00231CEA"/>
    <w:rsid w:val="002477FD"/>
    <w:rsid w:val="00265ECB"/>
    <w:rsid w:val="00282FA6"/>
    <w:rsid w:val="003258BD"/>
    <w:rsid w:val="00372567"/>
    <w:rsid w:val="00412CAC"/>
    <w:rsid w:val="004D1EED"/>
    <w:rsid w:val="004D5AB4"/>
    <w:rsid w:val="00507D1B"/>
    <w:rsid w:val="00514823"/>
    <w:rsid w:val="00572931"/>
    <w:rsid w:val="005E2B4E"/>
    <w:rsid w:val="005E3CCE"/>
    <w:rsid w:val="0060785C"/>
    <w:rsid w:val="00655BA8"/>
    <w:rsid w:val="00680A87"/>
    <w:rsid w:val="006926E7"/>
    <w:rsid w:val="006B70D0"/>
    <w:rsid w:val="0070018C"/>
    <w:rsid w:val="00773021"/>
    <w:rsid w:val="007A61F8"/>
    <w:rsid w:val="007D1749"/>
    <w:rsid w:val="0080672C"/>
    <w:rsid w:val="0081795F"/>
    <w:rsid w:val="008550D2"/>
    <w:rsid w:val="00863C3A"/>
    <w:rsid w:val="008B6808"/>
    <w:rsid w:val="008C7FA2"/>
    <w:rsid w:val="008D5D00"/>
    <w:rsid w:val="008F1889"/>
    <w:rsid w:val="008F7097"/>
    <w:rsid w:val="00902008"/>
    <w:rsid w:val="0091158C"/>
    <w:rsid w:val="00957126"/>
    <w:rsid w:val="00974718"/>
    <w:rsid w:val="00991A78"/>
    <w:rsid w:val="009C6DBD"/>
    <w:rsid w:val="00A27C5C"/>
    <w:rsid w:val="00AB73B5"/>
    <w:rsid w:val="00AD30A9"/>
    <w:rsid w:val="00AD5FA0"/>
    <w:rsid w:val="00AE206F"/>
    <w:rsid w:val="00B467A0"/>
    <w:rsid w:val="00B4715A"/>
    <w:rsid w:val="00BB5F8D"/>
    <w:rsid w:val="00BC3815"/>
    <w:rsid w:val="00C13E9E"/>
    <w:rsid w:val="00CC7752"/>
    <w:rsid w:val="00CF23F7"/>
    <w:rsid w:val="00D869B9"/>
    <w:rsid w:val="00DA411C"/>
    <w:rsid w:val="00DC032C"/>
    <w:rsid w:val="00DF06DE"/>
    <w:rsid w:val="00DF603A"/>
    <w:rsid w:val="00E164A3"/>
    <w:rsid w:val="00E55F67"/>
    <w:rsid w:val="00E57D5F"/>
    <w:rsid w:val="00EB5F77"/>
    <w:rsid w:val="00ED46A1"/>
    <w:rsid w:val="00F71AD3"/>
    <w:rsid w:val="00F83478"/>
    <w:rsid w:val="00FA10C1"/>
    <w:rsid w:val="00FA6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3"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1F8"/>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qFormat/>
    <w:rsid w:val="00ED46A1"/>
    <w:pPr>
      <w:keepNext/>
      <w:keepLines/>
      <w:numPr>
        <w:numId w:val="50"/>
      </w:numPr>
      <w:tabs>
        <w:tab w:val="left" w:pos="1440"/>
      </w:tabs>
      <w:ind w:firstLine="0"/>
      <w:jc w:val="both"/>
      <w:outlineLvl w:val="0"/>
    </w:pPr>
    <w:rPr>
      <w:rFonts w:ascii="Cambria" w:eastAsia="Times New Roman" w:hAnsi="Cambria"/>
      <w:b/>
      <w:bCs/>
      <w:sz w:val="20"/>
      <w:szCs w:val="20"/>
      <w:lang w:val="es-AR"/>
    </w:rPr>
  </w:style>
  <w:style w:type="paragraph" w:styleId="Heading2">
    <w:name w:val="heading 2"/>
    <w:basedOn w:val="Normal"/>
    <w:next w:val="Normal"/>
    <w:link w:val="Heading2Char"/>
    <w:uiPriority w:val="9"/>
    <w:qFormat/>
    <w:rsid w:val="007A61F8"/>
    <w:pPr>
      <w:keepNext/>
      <w:numPr>
        <w:numId w:val="54"/>
      </w:numPr>
      <w:pBdr>
        <w:top w:val="none" w:sz="0" w:space="0" w:color="auto"/>
        <w:left w:val="none" w:sz="0" w:space="0" w:color="auto"/>
        <w:bottom w:val="none" w:sz="0" w:space="0" w:color="auto"/>
        <w:right w:val="none" w:sz="0" w:space="0" w:color="auto"/>
        <w:between w:val="none" w:sz="0" w:space="0" w:color="auto"/>
        <w:bar w:val="none" w:sz="0" w:color="auto"/>
      </w:pBdr>
      <w:ind w:hanging="720"/>
      <w:outlineLvl w:val="1"/>
    </w:pPr>
    <w:rPr>
      <w:rFonts w:ascii="Cambria" w:eastAsia="Times New Roman" w:hAnsi="Cambria" w:cs="Arial"/>
      <w:b/>
      <w:bCs/>
      <w:iCs/>
      <w:sz w:val="20"/>
      <w:szCs w:val="28"/>
      <w:bdr w:val="none" w:sz="0" w:space="0" w:color="auto"/>
      <w:lang w:val="es-AR"/>
    </w:rPr>
  </w:style>
  <w:style w:type="paragraph" w:styleId="Heading3">
    <w:name w:val="heading 3"/>
    <w:basedOn w:val="Normal"/>
    <w:next w:val="Normal"/>
    <w:link w:val="Heading3Char"/>
    <w:qFormat/>
    <w:rsid w:val="007A61F8"/>
    <w:pPr>
      <w:keepNext/>
      <w:pBdr>
        <w:top w:val="none" w:sz="0" w:space="0" w:color="auto"/>
        <w:left w:val="none" w:sz="0" w:space="0" w:color="auto"/>
        <w:bottom w:val="none" w:sz="0" w:space="0" w:color="auto"/>
        <w:right w:val="none" w:sz="0" w:space="0" w:color="auto"/>
        <w:between w:val="none" w:sz="0" w:space="0" w:color="auto"/>
        <w:bar w:val="none" w:sz="0" w:color="auto"/>
      </w:pBdr>
      <w:ind w:firstLine="720"/>
      <w:outlineLvl w:val="2"/>
    </w:pPr>
    <w:rPr>
      <w:rFonts w:ascii="Cambria" w:eastAsia="Times New Roman" w:hAnsi="Cambria" w:cs="Arial"/>
      <w:b/>
      <w:bCs/>
      <w:sz w:val="20"/>
      <w:szCs w:val="20"/>
      <w:bdr w:val="none" w:sz="0" w:space="0" w:color="auto"/>
      <w:lang w:val="es-ES_tradnl"/>
    </w:rPr>
  </w:style>
  <w:style w:type="paragraph" w:styleId="Heading4">
    <w:name w:val="heading 4"/>
    <w:basedOn w:val="Normal"/>
    <w:next w:val="Normal"/>
    <w:link w:val="Heading4Char"/>
    <w:qFormat/>
    <w:rsid w:val="007A61F8"/>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3"/>
    </w:pPr>
    <w:rPr>
      <w:rFonts w:ascii="Arial" w:eastAsia="Batang" w:hAnsi="Arial" w:cs="Arial"/>
      <w:b/>
      <w:bCs/>
      <w:sz w:val="22"/>
      <w:bdr w:val="none" w:sz="0" w:space="0" w:color="auto"/>
    </w:rPr>
  </w:style>
  <w:style w:type="paragraph" w:styleId="Heading5">
    <w:name w:val="heading 5"/>
    <w:basedOn w:val="Normal"/>
    <w:next w:val="Normal"/>
    <w:link w:val="Heading5Char"/>
    <w:qFormat/>
    <w:rsid w:val="007A61F8"/>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Batang"/>
      <w:sz w:val="22"/>
      <w:szCs w:val="20"/>
      <w:bdr w:val="none" w:sz="0" w:space="0" w:color="auto"/>
      <w:lang w:val="es-SV"/>
    </w:rPr>
  </w:style>
  <w:style w:type="paragraph" w:styleId="Heading6">
    <w:name w:val="heading 6"/>
    <w:basedOn w:val="Normal"/>
    <w:next w:val="Normal"/>
    <w:link w:val="Heading6Char"/>
    <w:uiPriority w:val="9"/>
    <w:qFormat/>
    <w:rsid w:val="007A61F8"/>
    <w:pPr>
      <w:numPr>
        <w:ilvl w:val="4"/>
        <w:numId w:val="52"/>
      </w:numPr>
      <w:pBdr>
        <w:top w:val="none" w:sz="0" w:space="0" w:color="auto"/>
        <w:left w:val="none" w:sz="0" w:space="0" w:color="auto"/>
        <w:bottom w:val="none" w:sz="0" w:space="0" w:color="auto"/>
        <w:right w:val="none" w:sz="0" w:space="0" w:color="auto"/>
        <w:between w:val="none" w:sz="0" w:space="0" w:color="auto"/>
        <w:bar w:val="none" w:sz="0" w:color="auto"/>
      </w:pBdr>
      <w:tabs>
        <w:tab w:val="clear" w:pos="3600"/>
      </w:tabs>
      <w:spacing w:before="240" w:after="60"/>
      <w:ind w:left="0" w:firstLine="0"/>
      <w:outlineLvl w:val="5"/>
    </w:pPr>
    <w:rPr>
      <w:rFonts w:eastAsia="Batang"/>
      <w:i/>
      <w:sz w:val="22"/>
      <w:szCs w:val="20"/>
      <w:bdr w:val="none" w:sz="0" w:space="0" w:color="auto"/>
      <w:lang w:val="es-SV"/>
    </w:rPr>
  </w:style>
  <w:style w:type="paragraph" w:styleId="Heading7">
    <w:name w:val="heading 7"/>
    <w:basedOn w:val="Normal"/>
    <w:next w:val="Normal"/>
    <w:link w:val="Heading7Char"/>
    <w:qFormat/>
    <w:rsid w:val="007A61F8"/>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Batang" w:hAnsi="Arial"/>
      <w:sz w:val="20"/>
      <w:szCs w:val="20"/>
      <w:bdr w:val="none" w:sz="0" w:space="0" w:color="auto"/>
      <w:lang w:val="es-SV"/>
    </w:rPr>
  </w:style>
  <w:style w:type="paragraph" w:styleId="Heading8">
    <w:name w:val="heading 8"/>
    <w:basedOn w:val="Normal"/>
    <w:next w:val="Normal"/>
    <w:link w:val="Heading8Char"/>
    <w:qFormat/>
    <w:rsid w:val="007A61F8"/>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Arial" w:eastAsia="Batang" w:hAnsi="Arial"/>
      <w:i/>
      <w:sz w:val="20"/>
      <w:szCs w:val="20"/>
      <w:bdr w:val="none" w:sz="0" w:space="0" w:color="auto"/>
      <w:lang w:val="es-SV"/>
    </w:rPr>
  </w:style>
  <w:style w:type="paragraph" w:styleId="Heading9">
    <w:name w:val="heading 9"/>
    <w:basedOn w:val="Normal"/>
    <w:next w:val="Normal"/>
    <w:link w:val="Heading9Char"/>
    <w:qFormat/>
    <w:rsid w:val="007A61F8"/>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Batang" w:hAnsi="Arial" w:cs="Arial"/>
      <w:sz w:val="22"/>
      <w:szCs w:val="2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46A1"/>
    <w:rPr>
      <w:rFonts w:ascii="Cambria" w:eastAsia="Times New Roman" w:hAnsi="Cambria" w:cs="Times New Roman"/>
      <w:b/>
      <w:bCs/>
      <w:sz w:val="20"/>
      <w:szCs w:val="20"/>
      <w:bdr w:val="nil"/>
      <w:lang w:val="es-AR"/>
    </w:rPr>
  </w:style>
  <w:style w:type="character" w:customStyle="1" w:styleId="Heading2Char">
    <w:name w:val="Heading 2 Char"/>
    <w:basedOn w:val="DefaultParagraphFont"/>
    <w:link w:val="Heading2"/>
    <w:uiPriority w:val="9"/>
    <w:rsid w:val="007A61F8"/>
    <w:rPr>
      <w:rFonts w:ascii="Cambria" w:eastAsia="Times New Roman" w:hAnsi="Cambria" w:cs="Arial"/>
      <w:b/>
      <w:bCs/>
      <w:iCs/>
      <w:sz w:val="20"/>
      <w:szCs w:val="28"/>
      <w:lang w:val="es-AR"/>
    </w:rPr>
  </w:style>
  <w:style w:type="character" w:customStyle="1" w:styleId="Heading3Char">
    <w:name w:val="Heading 3 Char"/>
    <w:basedOn w:val="DefaultParagraphFont"/>
    <w:link w:val="Heading3"/>
    <w:rsid w:val="007A61F8"/>
    <w:rPr>
      <w:rFonts w:ascii="Cambria" w:eastAsia="Times New Roman" w:hAnsi="Cambria" w:cs="Arial"/>
      <w:b/>
      <w:bCs/>
      <w:sz w:val="20"/>
      <w:szCs w:val="20"/>
      <w:lang w:val="es-ES_tradnl"/>
    </w:rPr>
  </w:style>
  <w:style w:type="character" w:customStyle="1" w:styleId="Heading4Char">
    <w:name w:val="Heading 4 Char"/>
    <w:basedOn w:val="DefaultParagraphFont"/>
    <w:link w:val="Heading4"/>
    <w:rsid w:val="007A61F8"/>
    <w:rPr>
      <w:rFonts w:ascii="Arial" w:eastAsia="Batang" w:hAnsi="Arial" w:cs="Arial"/>
      <w:b/>
      <w:bCs/>
      <w:sz w:val="22"/>
    </w:rPr>
  </w:style>
  <w:style w:type="character" w:customStyle="1" w:styleId="Heading5Char">
    <w:name w:val="Heading 5 Char"/>
    <w:basedOn w:val="DefaultParagraphFont"/>
    <w:link w:val="Heading5"/>
    <w:rsid w:val="007A61F8"/>
    <w:rPr>
      <w:rFonts w:ascii="Times New Roman" w:eastAsia="Batang" w:hAnsi="Times New Roman" w:cs="Times New Roman"/>
      <w:sz w:val="22"/>
      <w:szCs w:val="20"/>
      <w:lang w:val="es-SV"/>
    </w:rPr>
  </w:style>
  <w:style w:type="character" w:customStyle="1" w:styleId="Heading6Char">
    <w:name w:val="Heading 6 Char"/>
    <w:basedOn w:val="DefaultParagraphFont"/>
    <w:link w:val="Heading6"/>
    <w:uiPriority w:val="9"/>
    <w:rsid w:val="007A61F8"/>
    <w:rPr>
      <w:rFonts w:ascii="Times New Roman" w:eastAsia="Batang" w:hAnsi="Times New Roman" w:cs="Times New Roman"/>
      <w:i/>
      <w:sz w:val="22"/>
      <w:szCs w:val="20"/>
      <w:lang w:val="es-SV"/>
    </w:rPr>
  </w:style>
  <w:style w:type="character" w:customStyle="1" w:styleId="Heading7Char">
    <w:name w:val="Heading 7 Char"/>
    <w:basedOn w:val="DefaultParagraphFont"/>
    <w:link w:val="Heading7"/>
    <w:rsid w:val="007A61F8"/>
    <w:rPr>
      <w:rFonts w:ascii="Arial" w:eastAsia="Batang" w:hAnsi="Arial" w:cs="Times New Roman"/>
      <w:sz w:val="20"/>
      <w:szCs w:val="20"/>
      <w:lang w:val="es-SV"/>
    </w:rPr>
  </w:style>
  <w:style w:type="character" w:customStyle="1" w:styleId="Heading8Char">
    <w:name w:val="Heading 8 Char"/>
    <w:basedOn w:val="DefaultParagraphFont"/>
    <w:link w:val="Heading8"/>
    <w:rsid w:val="007A61F8"/>
    <w:rPr>
      <w:rFonts w:ascii="Arial" w:eastAsia="Batang" w:hAnsi="Arial" w:cs="Times New Roman"/>
      <w:i/>
      <w:sz w:val="20"/>
      <w:szCs w:val="20"/>
      <w:lang w:val="es-SV"/>
    </w:rPr>
  </w:style>
  <w:style w:type="character" w:customStyle="1" w:styleId="Heading9Char">
    <w:name w:val="Heading 9 Char"/>
    <w:basedOn w:val="DefaultParagraphFont"/>
    <w:link w:val="Heading9"/>
    <w:rsid w:val="007A61F8"/>
    <w:rPr>
      <w:rFonts w:ascii="Arial" w:eastAsia="Batang" w:hAnsi="Arial" w:cs="Arial"/>
      <w:sz w:val="22"/>
      <w:szCs w:val="22"/>
    </w:rPr>
  </w:style>
  <w:style w:type="character" w:styleId="Hyperlink">
    <w:name w:val="Hyperlink"/>
    <w:uiPriority w:val="99"/>
    <w:rsid w:val="007A61F8"/>
    <w:rPr>
      <w:u w:val="single"/>
    </w:rPr>
  </w:style>
  <w:style w:type="paragraph" w:customStyle="1" w:styleId="Cabeceraypie">
    <w:name w:val="Cabecera y pie"/>
    <w:rsid w:val="007A61F8"/>
    <w:pPr>
      <w:pBdr>
        <w:top w:val="nil"/>
        <w:left w:val="nil"/>
        <w:bottom w:val="nil"/>
        <w:right w:val="nil"/>
        <w:between w:val="nil"/>
        <w:bar w:val="nil"/>
      </w:pBdr>
      <w:tabs>
        <w:tab w:val="right" w:pos="9020"/>
      </w:tabs>
    </w:pPr>
    <w:rPr>
      <w:rFonts w:ascii="Helvetica" w:eastAsia="Arial Unicode MS" w:hAnsi="Arial Unicode MS" w:cs="Arial Unicode MS"/>
      <w:color w:val="000000"/>
      <w:bdr w:val="nil"/>
      <w:lang w:val="es-ES" w:eastAsia="es-ES"/>
    </w:rPr>
  </w:style>
  <w:style w:type="paragraph" w:styleId="Footer">
    <w:name w:val="footer"/>
    <w:link w:val="FooterChar"/>
    <w:rsid w:val="007A61F8"/>
    <w:pPr>
      <w:pBdr>
        <w:top w:val="nil"/>
        <w:left w:val="nil"/>
        <w:bottom w:val="nil"/>
        <w:right w:val="nil"/>
        <w:between w:val="nil"/>
        <w:bar w:val="nil"/>
      </w:pBdr>
      <w:tabs>
        <w:tab w:val="center" w:pos="4513"/>
        <w:tab w:val="right" w:pos="9026"/>
      </w:tabs>
    </w:pPr>
    <w:rPr>
      <w:rFonts w:ascii="Cambria" w:eastAsia="Cambria" w:hAnsi="Cambria" w:cs="Cambria"/>
      <w:color w:val="000000"/>
      <w:u w:color="000000"/>
      <w:bdr w:val="nil"/>
      <w:lang w:eastAsia="es-ES"/>
    </w:rPr>
  </w:style>
  <w:style w:type="character" w:customStyle="1" w:styleId="FooterChar">
    <w:name w:val="Footer Char"/>
    <w:basedOn w:val="DefaultParagraphFont"/>
    <w:link w:val="Footer"/>
    <w:rsid w:val="007A61F8"/>
    <w:rPr>
      <w:rFonts w:ascii="Cambria" w:eastAsia="Cambria" w:hAnsi="Cambria" w:cs="Cambria"/>
      <w:color w:val="000000"/>
      <w:u w:color="000000"/>
      <w:bdr w:val="nil"/>
      <w:lang w:eastAsia="es-ES"/>
    </w:rPr>
  </w:style>
  <w:style w:type="paragraph" w:customStyle="1" w:styleId="Cuerpo">
    <w:name w:val="Cuerpo"/>
    <w:rsid w:val="007A61F8"/>
    <w:pPr>
      <w:pBdr>
        <w:top w:val="nil"/>
        <w:left w:val="nil"/>
        <w:bottom w:val="nil"/>
        <w:right w:val="nil"/>
        <w:between w:val="nil"/>
        <w:bar w:val="nil"/>
      </w:pBdr>
    </w:pPr>
    <w:rPr>
      <w:rFonts w:ascii="Cambria" w:eastAsia="Cambria" w:hAnsi="Cambria" w:cs="Cambria"/>
      <w:color w:val="000000"/>
      <w:u w:color="000000"/>
      <w:bdr w:val="nil"/>
      <w:lang w:val="es-ES" w:eastAsia="es-ES"/>
    </w:rPr>
  </w:style>
  <w:style w:type="paragraph" w:styleId="BodyTextIndent">
    <w:name w:val="Body Text Indent"/>
    <w:link w:val="BodyTextIndentChar1"/>
    <w:rsid w:val="007A61F8"/>
    <w:pPr>
      <w:pBdr>
        <w:top w:val="nil"/>
        <w:left w:val="nil"/>
        <w:bottom w:val="nil"/>
        <w:right w:val="nil"/>
        <w:between w:val="nil"/>
        <w:bar w:val="nil"/>
      </w:pBdr>
      <w:ind w:left="2160" w:hanging="720"/>
    </w:pPr>
    <w:rPr>
      <w:rFonts w:ascii="Times New Roman" w:eastAsia="Times New Roman" w:hAnsi="Times New Roman" w:cs="Times New Roman"/>
      <w:color w:val="000000"/>
      <w:u w:color="000000"/>
      <w:bdr w:val="nil"/>
      <w:lang w:val="es-ES_tradnl" w:eastAsia="es-ES"/>
    </w:rPr>
  </w:style>
  <w:style w:type="character" w:customStyle="1" w:styleId="BodyTextIndentChar">
    <w:name w:val="Body Text Indent Char"/>
    <w:basedOn w:val="DefaultParagraphFont"/>
    <w:rsid w:val="007A61F8"/>
    <w:rPr>
      <w:rFonts w:ascii="Times New Roman" w:eastAsia="Arial Unicode MS" w:hAnsi="Times New Roman" w:cs="Times New Roman"/>
      <w:bdr w:val="nil"/>
    </w:rPr>
  </w:style>
  <w:style w:type="numbering" w:customStyle="1" w:styleId="List0">
    <w:name w:val="List 0"/>
    <w:basedOn w:val="Estiloimportado1"/>
    <w:rsid w:val="007A61F8"/>
    <w:pPr>
      <w:numPr>
        <w:numId w:val="31"/>
      </w:numPr>
    </w:pPr>
  </w:style>
  <w:style w:type="numbering" w:customStyle="1" w:styleId="Estiloimportado1">
    <w:name w:val="Estilo importado 1"/>
    <w:rsid w:val="007A61F8"/>
  </w:style>
  <w:style w:type="numbering" w:customStyle="1" w:styleId="List1">
    <w:name w:val="List 1"/>
    <w:basedOn w:val="Estiloimportado2"/>
    <w:rsid w:val="007A61F8"/>
    <w:pPr>
      <w:numPr>
        <w:numId w:val="1"/>
      </w:numPr>
    </w:pPr>
  </w:style>
  <w:style w:type="numbering" w:customStyle="1" w:styleId="Estiloimportado2">
    <w:name w:val="Estilo importado 2"/>
    <w:rsid w:val="007A61F8"/>
  </w:style>
  <w:style w:type="numbering" w:customStyle="1" w:styleId="List21">
    <w:name w:val="List 21"/>
    <w:basedOn w:val="Estiloimportado3"/>
    <w:rsid w:val="007A61F8"/>
    <w:pPr>
      <w:numPr>
        <w:numId w:val="38"/>
      </w:numPr>
    </w:pPr>
  </w:style>
  <w:style w:type="numbering" w:customStyle="1" w:styleId="Estiloimportado3">
    <w:name w:val="Estilo importado 3"/>
    <w:rsid w:val="007A61F8"/>
  </w:style>
  <w:style w:type="numbering" w:customStyle="1" w:styleId="List31">
    <w:name w:val="List 31"/>
    <w:basedOn w:val="Estiloimportado4"/>
    <w:rsid w:val="007A61F8"/>
    <w:pPr>
      <w:numPr>
        <w:numId w:val="44"/>
      </w:numPr>
    </w:pPr>
  </w:style>
  <w:style w:type="numbering" w:customStyle="1" w:styleId="Estiloimportado4">
    <w:name w:val="Estilo importado 4"/>
    <w:rsid w:val="007A61F8"/>
  </w:style>
  <w:style w:type="numbering" w:customStyle="1" w:styleId="List41">
    <w:name w:val="List 41"/>
    <w:basedOn w:val="Estiloimportado5"/>
    <w:rsid w:val="007A61F8"/>
    <w:pPr>
      <w:numPr>
        <w:numId w:val="2"/>
      </w:numPr>
    </w:pPr>
  </w:style>
  <w:style w:type="numbering" w:customStyle="1" w:styleId="Estiloimportado5">
    <w:name w:val="Estilo importado 5"/>
    <w:rsid w:val="007A61F8"/>
  </w:style>
  <w:style w:type="numbering" w:customStyle="1" w:styleId="List51">
    <w:name w:val="List 51"/>
    <w:basedOn w:val="Estiloimportado6"/>
    <w:rsid w:val="007A61F8"/>
    <w:pPr>
      <w:numPr>
        <w:numId w:val="33"/>
      </w:numPr>
    </w:pPr>
  </w:style>
  <w:style w:type="numbering" w:customStyle="1" w:styleId="Estiloimportado6">
    <w:name w:val="Estilo importado 6"/>
    <w:rsid w:val="007A61F8"/>
  </w:style>
  <w:style w:type="numbering" w:customStyle="1" w:styleId="List6">
    <w:name w:val="List 6"/>
    <w:basedOn w:val="Estiloimportado7"/>
    <w:rsid w:val="007A61F8"/>
    <w:pPr>
      <w:numPr>
        <w:numId w:val="3"/>
      </w:numPr>
    </w:pPr>
  </w:style>
  <w:style w:type="numbering" w:customStyle="1" w:styleId="Estiloimportado7">
    <w:name w:val="Estilo importado 7"/>
    <w:rsid w:val="007A61F8"/>
  </w:style>
  <w:style w:type="numbering" w:customStyle="1" w:styleId="List7">
    <w:name w:val="List 7"/>
    <w:basedOn w:val="Estiloimportado8"/>
    <w:rsid w:val="007A61F8"/>
    <w:pPr>
      <w:numPr>
        <w:numId w:val="4"/>
      </w:numPr>
    </w:pPr>
  </w:style>
  <w:style w:type="numbering" w:customStyle="1" w:styleId="Estiloimportado8">
    <w:name w:val="Estilo importado 8"/>
    <w:rsid w:val="007A61F8"/>
  </w:style>
  <w:style w:type="numbering" w:customStyle="1" w:styleId="List8">
    <w:name w:val="List 8"/>
    <w:basedOn w:val="Estiloimportado9"/>
    <w:rsid w:val="007A61F8"/>
    <w:pPr>
      <w:numPr>
        <w:numId w:val="5"/>
      </w:numPr>
    </w:pPr>
  </w:style>
  <w:style w:type="numbering" w:customStyle="1" w:styleId="Estiloimportado9">
    <w:name w:val="Estilo importado 9"/>
    <w:rsid w:val="007A61F8"/>
  </w:style>
  <w:style w:type="numbering" w:customStyle="1" w:styleId="List9">
    <w:name w:val="List 9"/>
    <w:basedOn w:val="Estiloimportado10"/>
    <w:rsid w:val="007A61F8"/>
    <w:pPr>
      <w:numPr>
        <w:numId w:val="22"/>
      </w:numPr>
    </w:pPr>
  </w:style>
  <w:style w:type="numbering" w:customStyle="1" w:styleId="Estiloimportado10">
    <w:name w:val="Estilo importado 10"/>
    <w:rsid w:val="007A61F8"/>
  </w:style>
  <w:style w:type="numbering" w:customStyle="1" w:styleId="List10">
    <w:name w:val="List 10"/>
    <w:basedOn w:val="Estiloimportado11"/>
    <w:rsid w:val="007A61F8"/>
    <w:pPr>
      <w:numPr>
        <w:numId w:val="6"/>
      </w:numPr>
    </w:pPr>
  </w:style>
  <w:style w:type="numbering" w:customStyle="1" w:styleId="Estiloimportado11">
    <w:name w:val="Estilo importado 11"/>
    <w:rsid w:val="007A61F8"/>
  </w:style>
  <w:style w:type="numbering" w:customStyle="1" w:styleId="List11">
    <w:name w:val="List 11"/>
    <w:basedOn w:val="Estiloimportado12"/>
    <w:rsid w:val="007A61F8"/>
    <w:pPr>
      <w:numPr>
        <w:numId w:val="7"/>
      </w:numPr>
    </w:pPr>
  </w:style>
  <w:style w:type="numbering" w:customStyle="1" w:styleId="Estiloimportado12">
    <w:name w:val="Estilo importado 12"/>
    <w:rsid w:val="007A61F8"/>
  </w:style>
  <w:style w:type="numbering" w:customStyle="1" w:styleId="List12">
    <w:name w:val="List 12"/>
    <w:basedOn w:val="Estiloimportado13"/>
    <w:rsid w:val="007A61F8"/>
    <w:pPr>
      <w:numPr>
        <w:numId w:val="36"/>
      </w:numPr>
    </w:pPr>
  </w:style>
  <w:style w:type="numbering" w:customStyle="1" w:styleId="Estiloimportado13">
    <w:name w:val="Estilo importado 13"/>
    <w:rsid w:val="007A61F8"/>
  </w:style>
  <w:style w:type="numbering" w:customStyle="1" w:styleId="List13">
    <w:name w:val="List 13"/>
    <w:basedOn w:val="Estiloimportado14"/>
    <w:rsid w:val="007A61F8"/>
    <w:pPr>
      <w:numPr>
        <w:numId w:val="42"/>
      </w:numPr>
    </w:pPr>
  </w:style>
  <w:style w:type="numbering" w:customStyle="1" w:styleId="Estiloimportado14">
    <w:name w:val="Estilo importado 14"/>
    <w:rsid w:val="007A61F8"/>
  </w:style>
  <w:style w:type="numbering" w:customStyle="1" w:styleId="List14">
    <w:name w:val="List 14"/>
    <w:basedOn w:val="Estiloimportado15"/>
    <w:rsid w:val="007A61F8"/>
    <w:pPr>
      <w:numPr>
        <w:numId w:val="17"/>
      </w:numPr>
    </w:pPr>
  </w:style>
  <w:style w:type="numbering" w:customStyle="1" w:styleId="Estiloimportado15">
    <w:name w:val="Estilo importado 15"/>
    <w:rsid w:val="007A61F8"/>
  </w:style>
  <w:style w:type="numbering" w:customStyle="1" w:styleId="List15">
    <w:name w:val="List 15"/>
    <w:basedOn w:val="Estiloimportado16"/>
    <w:rsid w:val="007A61F8"/>
    <w:pPr>
      <w:numPr>
        <w:numId w:val="16"/>
      </w:numPr>
    </w:pPr>
  </w:style>
  <w:style w:type="numbering" w:customStyle="1" w:styleId="Estiloimportado16">
    <w:name w:val="Estilo importado 16"/>
    <w:rsid w:val="007A61F8"/>
  </w:style>
  <w:style w:type="numbering" w:customStyle="1" w:styleId="List16">
    <w:name w:val="List 16"/>
    <w:basedOn w:val="Estiloimportado16"/>
    <w:rsid w:val="007A61F8"/>
    <w:pPr>
      <w:numPr>
        <w:numId w:val="10"/>
      </w:numPr>
    </w:pPr>
  </w:style>
  <w:style w:type="numbering" w:customStyle="1" w:styleId="List17">
    <w:name w:val="List 17"/>
    <w:basedOn w:val="Estiloimportado17"/>
    <w:rsid w:val="007A61F8"/>
    <w:pPr>
      <w:numPr>
        <w:numId w:val="25"/>
      </w:numPr>
    </w:pPr>
  </w:style>
  <w:style w:type="numbering" w:customStyle="1" w:styleId="Estiloimportado17">
    <w:name w:val="Estilo importado 17"/>
    <w:rsid w:val="007A61F8"/>
  </w:style>
  <w:style w:type="numbering" w:customStyle="1" w:styleId="List18">
    <w:name w:val="List 18"/>
    <w:basedOn w:val="Estiloimportado18"/>
    <w:rsid w:val="007A61F8"/>
    <w:pPr>
      <w:numPr>
        <w:numId w:val="27"/>
      </w:numPr>
    </w:pPr>
  </w:style>
  <w:style w:type="numbering" w:customStyle="1" w:styleId="Estiloimportado18">
    <w:name w:val="Estilo importado 18"/>
    <w:rsid w:val="007A61F8"/>
  </w:style>
  <w:style w:type="numbering" w:customStyle="1" w:styleId="List19">
    <w:name w:val="List 19"/>
    <w:basedOn w:val="Estiloimportado10"/>
    <w:rsid w:val="007A61F8"/>
    <w:pPr>
      <w:numPr>
        <w:numId w:val="19"/>
      </w:numPr>
    </w:pPr>
  </w:style>
  <w:style w:type="numbering" w:customStyle="1" w:styleId="List20">
    <w:name w:val="List 20"/>
    <w:basedOn w:val="Estiloimportado12"/>
    <w:rsid w:val="007A61F8"/>
    <w:pPr>
      <w:numPr>
        <w:numId w:val="43"/>
      </w:numPr>
    </w:pPr>
  </w:style>
  <w:style w:type="numbering" w:customStyle="1" w:styleId="Estiloimportado19">
    <w:name w:val="Estilo importado 19"/>
    <w:rsid w:val="007A61F8"/>
  </w:style>
  <w:style w:type="numbering" w:customStyle="1" w:styleId="List22">
    <w:name w:val="List 22"/>
    <w:basedOn w:val="Estiloimportado19"/>
    <w:rsid w:val="007A61F8"/>
    <w:pPr>
      <w:numPr>
        <w:numId w:val="28"/>
      </w:numPr>
    </w:pPr>
  </w:style>
  <w:style w:type="numbering" w:customStyle="1" w:styleId="List23">
    <w:name w:val="List 23"/>
    <w:basedOn w:val="Estiloimportado19"/>
    <w:rsid w:val="007A61F8"/>
    <w:pPr>
      <w:numPr>
        <w:numId w:val="18"/>
      </w:numPr>
    </w:pPr>
  </w:style>
  <w:style w:type="numbering" w:customStyle="1" w:styleId="List24">
    <w:name w:val="List 24"/>
    <w:basedOn w:val="Estiloimportado20"/>
    <w:rsid w:val="007A61F8"/>
    <w:pPr>
      <w:numPr>
        <w:numId w:val="13"/>
      </w:numPr>
    </w:pPr>
  </w:style>
  <w:style w:type="numbering" w:customStyle="1" w:styleId="Estiloimportado20">
    <w:name w:val="Estilo importado 20"/>
    <w:rsid w:val="007A61F8"/>
  </w:style>
  <w:style w:type="numbering" w:customStyle="1" w:styleId="List25">
    <w:name w:val="List 25"/>
    <w:basedOn w:val="Estiloimportado21"/>
    <w:rsid w:val="007A61F8"/>
    <w:pPr>
      <w:numPr>
        <w:numId w:val="15"/>
      </w:numPr>
    </w:pPr>
  </w:style>
  <w:style w:type="numbering" w:customStyle="1" w:styleId="Estiloimportado21">
    <w:name w:val="Estilo importado 21"/>
    <w:rsid w:val="007A61F8"/>
  </w:style>
  <w:style w:type="numbering" w:customStyle="1" w:styleId="List26">
    <w:name w:val="List 26"/>
    <w:basedOn w:val="Estiloimportado22"/>
    <w:rsid w:val="007A61F8"/>
    <w:pPr>
      <w:numPr>
        <w:numId w:val="48"/>
      </w:numPr>
    </w:pPr>
  </w:style>
  <w:style w:type="numbering" w:customStyle="1" w:styleId="Estiloimportado22">
    <w:name w:val="Estilo importado 22"/>
    <w:rsid w:val="007A61F8"/>
  </w:style>
  <w:style w:type="numbering" w:customStyle="1" w:styleId="List27">
    <w:name w:val="List 27"/>
    <w:basedOn w:val="Estiloimportado23"/>
    <w:rsid w:val="007A61F8"/>
    <w:pPr>
      <w:numPr>
        <w:numId w:val="41"/>
      </w:numPr>
    </w:pPr>
  </w:style>
  <w:style w:type="numbering" w:customStyle="1" w:styleId="Estiloimportado23">
    <w:name w:val="Estilo importado 23"/>
    <w:rsid w:val="007A61F8"/>
  </w:style>
  <w:style w:type="numbering" w:customStyle="1" w:styleId="List28">
    <w:name w:val="List 28"/>
    <w:basedOn w:val="Estiloimportado24"/>
    <w:rsid w:val="007A61F8"/>
    <w:pPr>
      <w:numPr>
        <w:numId w:val="30"/>
      </w:numPr>
    </w:pPr>
  </w:style>
  <w:style w:type="numbering" w:customStyle="1" w:styleId="Estiloimportado24">
    <w:name w:val="Estilo importado 24"/>
    <w:rsid w:val="007A61F8"/>
  </w:style>
  <w:style w:type="numbering" w:customStyle="1" w:styleId="List29">
    <w:name w:val="List 29"/>
    <w:basedOn w:val="Estiloimportado25"/>
    <w:rsid w:val="007A61F8"/>
    <w:pPr>
      <w:numPr>
        <w:numId w:val="34"/>
      </w:numPr>
    </w:pPr>
  </w:style>
  <w:style w:type="numbering" w:customStyle="1" w:styleId="Estiloimportado25">
    <w:name w:val="Estilo importado 25"/>
    <w:rsid w:val="007A61F8"/>
  </w:style>
  <w:style w:type="numbering" w:customStyle="1" w:styleId="List30">
    <w:name w:val="List 30"/>
    <w:basedOn w:val="Estiloimportado26"/>
    <w:rsid w:val="007A61F8"/>
    <w:pPr>
      <w:numPr>
        <w:numId w:val="32"/>
      </w:numPr>
    </w:pPr>
  </w:style>
  <w:style w:type="numbering" w:customStyle="1" w:styleId="Estiloimportado26">
    <w:name w:val="Estilo importado 26"/>
    <w:rsid w:val="007A61F8"/>
  </w:style>
  <w:style w:type="numbering" w:customStyle="1" w:styleId="Estiloimportado27">
    <w:name w:val="Estilo importado 27"/>
    <w:rsid w:val="007A61F8"/>
  </w:style>
  <w:style w:type="numbering" w:customStyle="1" w:styleId="List32">
    <w:name w:val="List 32"/>
    <w:basedOn w:val="Estiloimportado28"/>
    <w:rsid w:val="007A61F8"/>
    <w:pPr>
      <w:numPr>
        <w:numId w:val="47"/>
      </w:numPr>
    </w:pPr>
  </w:style>
  <w:style w:type="numbering" w:customStyle="1" w:styleId="Estiloimportado28">
    <w:name w:val="Estilo importado 28"/>
    <w:rsid w:val="007A61F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sid w:val="007A61F8"/>
    <w:pPr>
      <w:pBdr>
        <w:top w:val="nil"/>
        <w:left w:val="nil"/>
        <w:bottom w:val="nil"/>
        <w:right w:val="nil"/>
        <w:between w:val="nil"/>
        <w:bar w:val="nil"/>
      </w:pBdr>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uiPriority w:val="99"/>
    <w:qFormat/>
    <w:rsid w:val="007A61F8"/>
    <w:rPr>
      <w:rFonts w:ascii="Calibri" w:eastAsia="Calibri" w:hAnsi="Calibri" w:cs="Calibri"/>
      <w:color w:val="000000"/>
      <w:sz w:val="20"/>
      <w:szCs w:val="20"/>
      <w:u w:color="000000"/>
      <w:bdr w:val="nil"/>
      <w:lang w:eastAsia="es-ES"/>
    </w:rPr>
  </w:style>
  <w:style w:type="numbering" w:customStyle="1" w:styleId="List33">
    <w:name w:val="List 33"/>
    <w:basedOn w:val="Estiloimportado29"/>
    <w:rsid w:val="007A61F8"/>
    <w:pPr>
      <w:numPr>
        <w:numId w:val="26"/>
      </w:numPr>
    </w:pPr>
  </w:style>
  <w:style w:type="numbering" w:customStyle="1" w:styleId="Estiloimportado29">
    <w:name w:val="Estilo importado 29"/>
    <w:rsid w:val="007A61F8"/>
  </w:style>
  <w:style w:type="numbering" w:customStyle="1" w:styleId="List34">
    <w:name w:val="List 34"/>
    <w:basedOn w:val="Estiloimportado30"/>
    <w:rsid w:val="007A61F8"/>
    <w:pPr>
      <w:numPr>
        <w:numId w:val="11"/>
      </w:numPr>
    </w:pPr>
  </w:style>
  <w:style w:type="numbering" w:customStyle="1" w:styleId="Estiloimportado30">
    <w:name w:val="Estilo importado 30"/>
    <w:rsid w:val="007A61F8"/>
  </w:style>
  <w:style w:type="numbering" w:customStyle="1" w:styleId="List35">
    <w:name w:val="List 35"/>
    <w:basedOn w:val="Estiloimportado31"/>
    <w:rsid w:val="007A61F8"/>
    <w:pPr>
      <w:numPr>
        <w:numId w:val="8"/>
      </w:numPr>
    </w:pPr>
  </w:style>
  <w:style w:type="numbering" w:customStyle="1" w:styleId="Estiloimportado31">
    <w:name w:val="Estilo importado 31"/>
    <w:rsid w:val="007A61F8"/>
  </w:style>
  <w:style w:type="numbering" w:customStyle="1" w:styleId="List36">
    <w:name w:val="List 36"/>
    <w:basedOn w:val="Estiloimportado32"/>
    <w:rsid w:val="007A61F8"/>
    <w:pPr>
      <w:numPr>
        <w:numId w:val="14"/>
      </w:numPr>
    </w:pPr>
  </w:style>
  <w:style w:type="numbering" w:customStyle="1" w:styleId="Estiloimportado32">
    <w:name w:val="Estilo importado 32"/>
    <w:rsid w:val="007A61F8"/>
  </w:style>
  <w:style w:type="numbering" w:customStyle="1" w:styleId="List37">
    <w:name w:val="List 37"/>
    <w:basedOn w:val="Estiloimportado33"/>
    <w:rsid w:val="007A61F8"/>
    <w:pPr>
      <w:numPr>
        <w:numId w:val="46"/>
      </w:numPr>
    </w:pPr>
  </w:style>
  <w:style w:type="numbering" w:customStyle="1" w:styleId="Estiloimportado33">
    <w:name w:val="Estilo importado 33"/>
    <w:rsid w:val="007A61F8"/>
  </w:style>
  <w:style w:type="numbering" w:customStyle="1" w:styleId="List38">
    <w:name w:val="List 38"/>
    <w:basedOn w:val="Estiloimportado34"/>
    <w:rsid w:val="007A61F8"/>
    <w:pPr>
      <w:numPr>
        <w:numId w:val="35"/>
      </w:numPr>
    </w:pPr>
  </w:style>
  <w:style w:type="numbering" w:customStyle="1" w:styleId="Estiloimportado34">
    <w:name w:val="Estilo importado 34"/>
    <w:rsid w:val="007A61F8"/>
  </w:style>
  <w:style w:type="numbering" w:customStyle="1" w:styleId="List39">
    <w:name w:val="List 39"/>
    <w:basedOn w:val="Estiloimportado35"/>
    <w:rsid w:val="007A61F8"/>
    <w:pPr>
      <w:numPr>
        <w:numId w:val="45"/>
      </w:numPr>
    </w:pPr>
  </w:style>
  <w:style w:type="numbering" w:customStyle="1" w:styleId="Estiloimportado35">
    <w:name w:val="Estilo importado 35"/>
    <w:rsid w:val="007A61F8"/>
  </w:style>
  <w:style w:type="numbering" w:customStyle="1" w:styleId="List40">
    <w:name w:val="List 40"/>
    <w:basedOn w:val="Estiloimportado36"/>
    <w:rsid w:val="007A61F8"/>
    <w:pPr>
      <w:numPr>
        <w:numId w:val="21"/>
      </w:numPr>
    </w:pPr>
  </w:style>
  <w:style w:type="numbering" w:customStyle="1" w:styleId="Estiloimportado36">
    <w:name w:val="Estilo importado 36"/>
    <w:rsid w:val="007A61F8"/>
  </w:style>
  <w:style w:type="numbering" w:customStyle="1" w:styleId="Estiloimportado37">
    <w:name w:val="Estilo importado 37"/>
    <w:rsid w:val="007A61F8"/>
  </w:style>
  <w:style w:type="numbering" w:customStyle="1" w:styleId="List42">
    <w:name w:val="List 42"/>
    <w:basedOn w:val="Estiloimportado12"/>
    <w:rsid w:val="007A61F8"/>
    <w:pPr>
      <w:numPr>
        <w:numId w:val="12"/>
      </w:numPr>
    </w:pPr>
  </w:style>
  <w:style w:type="numbering" w:customStyle="1" w:styleId="List43">
    <w:name w:val="List 43"/>
    <w:basedOn w:val="Estiloimportado38"/>
    <w:rsid w:val="007A61F8"/>
    <w:pPr>
      <w:numPr>
        <w:numId w:val="23"/>
      </w:numPr>
    </w:pPr>
  </w:style>
  <w:style w:type="numbering" w:customStyle="1" w:styleId="Estiloimportado38">
    <w:name w:val="Estilo importado 38"/>
    <w:rsid w:val="007A61F8"/>
  </w:style>
  <w:style w:type="numbering" w:customStyle="1" w:styleId="List44">
    <w:name w:val="List 44"/>
    <w:basedOn w:val="Estiloimportado39"/>
    <w:rsid w:val="007A61F8"/>
    <w:pPr>
      <w:numPr>
        <w:numId w:val="40"/>
      </w:numPr>
    </w:pPr>
  </w:style>
  <w:style w:type="numbering" w:customStyle="1" w:styleId="Estiloimportado39">
    <w:name w:val="Estilo importado 39"/>
    <w:rsid w:val="007A61F8"/>
  </w:style>
  <w:style w:type="numbering" w:customStyle="1" w:styleId="List45">
    <w:name w:val="List 45"/>
    <w:basedOn w:val="Estiloimportado40"/>
    <w:rsid w:val="007A61F8"/>
    <w:pPr>
      <w:numPr>
        <w:numId w:val="20"/>
      </w:numPr>
    </w:pPr>
  </w:style>
  <w:style w:type="numbering" w:customStyle="1" w:styleId="Estiloimportado40">
    <w:name w:val="Estilo importado 40"/>
    <w:rsid w:val="007A61F8"/>
  </w:style>
  <w:style w:type="numbering" w:customStyle="1" w:styleId="List46">
    <w:name w:val="List 46"/>
    <w:basedOn w:val="Estiloimportado41"/>
    <w:rsid w:val="007A61F8"/>
    <w:pPr>
      <w:numPr>
        <w:numId w:val="24"/>
      </w:numPr>
    </w:pPr>
  </w:style>
  <w:style w:type="numbering" w:customStyle="1" w:styleId="Estiloimportado41">
    <w:name w:val="Estilo importado 41"/>
    <w:rsid w:val="007A61F8"/>
  </w:style>
  <w:style w:type="numbering" w:customStyle="1" w:styleId="List47">
    <w:name w:val="List 47"/>
    <w:basedOn w:val="Estiloimportado42"/>
    <w:rsid w:val="007A61F8"/>
    <w:pPr>
      <w:numPr>
        <w:numId w:val="29"/>
      </w:numPr>
    </w:pPr>
  </w:style>
  <w:style w:type="numbering" w:customStyle="1" w:styleId="Estiloimportado42">
    <w:name w:val="Estilo importado 42"/>
    <w:rsid w:val="007A61F8"/>
  </w:style>
  <w:style w:type="numbering" w:customStyle="1" w:styleId="List48">
    <w:name w:val="List 48"/>
    <w:basedOn w:val="Estiloimportado43"/>
    <w:rsid w:val="007A61F8"/>
    <w:pPr>
      <w:numPr>
        <w:numId w:val="49"/>
      </w:numPr>
    </w:pPr>
  </w:style>
  <w:style w:type="numbering" w:customStyle="1" w:styleId="Estiloimportado43">
    <w:name w:val="Estilo importado 43"/>
    <w:rsid w:val="007A61F8"/>
  </w:style>
  <w:style w:type="numbering" w:customStyle="1" w:styleId="List49">
    <w:name w:val="List 49"/>
    <w:basedOn w:val="Estiloimportado44"/>
    <w:rsid w:val="007A61F8"/>
    <w:pPr>
      <w:numPr>
        <w:numId w:val="39"/>
      </w:numPr>
    </w:pPr>
  </w:style>
  <w:style w:type="numbering" w:customStyle="1" w:styleId="Estiloimportado44">
    <w:name w:val="Estilo importado 44"/>
    <w:rsid w:val="007A61F8"/>
  </w:style>
  <w:style w:type="numbering" w:customStyle="1" w:styleId="List50">
    <w:name w:val="List 50"/>
    <w:basedOn w:val="Estiloimportado45"/>
    <w:rsid w:val="007A61F8"/>
    <w:pPr>
      <w:numPr>
        <w:numId w:val="37"/>
      </w:numPr>
    </w:pPr>
  </w:style>
  <w:style w:type="numbering" w:customStyle="1" w:styleId="Estiloimportado45">
    <w:name w:val="Estilo importado 45"/>
    <w:rsid w:val="007A61F8"/>
  </w:style>
  <w:style w:type="numbering" w:customStyle="1" w:styleId="Estiloimportado46">
    <w:name w:val="Estilo importado 46"/>
    <w:rsid w:val="007A61F8"/>
  </w:style>
  <w:style w:type="numbering" w:customStyle="1" w:styleId="List52">
    <w:name w:val="List 52"/>
    <w:basedOn w:val="Estiloimportado1"/>
    <w:rsid w:val="007A61F8"/>
    <w:pPr>
      <w:numPr>
        <w:numId w:val="9"/>
      </w:numPr>
    </w:pPr>
  </w:style>
  <w:style w:type="paragraph" w:styleId="BalloonText">
    <w:name w:val="Balloon Text"/>
    <w:basedOn w:val="Normal"/>
    <w:link w:val="BalloonTextChar"/>
    <w:semiHidden/>
    <w:unhideWhenUsed/>
    <w:rsid w:val="007A61F8"/>
    <w:rPr>
      <w:rFonts w:ascii="Tahoma" w:hAnsi="Tahoma" w:cs="Tahoma"/>
      <w:sz w:val="16"/>
      <w:szCs w:val="16"/>
    </w:rPr>
  </w:style>
  <w:style w:type="character" w:customStyle="1" w:styleId="BalloonTextChar">
    <w:name w:val="Balloon Text Char"/>
    <w:basedOn w:val="DefaultParagraphFont"/>
    <w:link w:val="BalloonText"/>
    <w:semiHidden/>
    <w:rsid w:val="007A61F8"/>
    <w:rPr>
      <w:rFonts w:ascii="Tahoma" w:eastAsia="Arial Unicode MS" w:hAnsi="Tahoma" w:cs="Tahoma"/>
      <w:sz w:val="16"/>
      <w:szCs w:val="16"/>
      <w:bdr w:val="nil"/>
    </w:rPr>
  </w:style>
  <w:style w:type="paragraph" w:styleId="Header">
    <w:name w:val="header"/>
    <w:aliases w:val="encabezado"/>
    <w:basedOn w:val="Normal"/>
    <w:link w:val="HeaderChar"/>
    <w:rsid w:val="007A61F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7A61F8"/>
    <w:rPr>
      <w:rFonts w:ascii="Univers" w:eastAsia="Times New Roman" w:hAnsi="Univers" w:cs="Univers"/>
    </w:rPr>
  </w:style>
  <w:style w:type="table" w:styleId="MediumGrid2-Accent1">
    <w:name w:val="Medium Grid 2 Accent 1"/>
    <w:basedOn w:val="TableNormal"/>
    <w:uiPriority w:val="63"/>
    <w:rsid w:val="007A61F8"/>
    <w:rPr>
      <w:rFonts w:ascii="Times New Roman" w:eastAsia="Arial Unicode MS"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7A61F8"/>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7A61F8"/>
    <w:pPr>
      <w:tabs>
        <w:tab w:val="left" w:pos="720"/>
        <w:tab w:val="right" w:leader="dot" w:pos="9350"/>
      </w:tabs>
      <w:spacing w:after="100"/>
    </w:pPr>
    <w:rPr>
      <w:rFonts w:ascii="Calibri" w:hAnsi="Calibri"/>
      <w:sz w:val="22"/>
    </w:rPr>
  </w:style>
  <w:style w:type="paragraph" w:styleId="TOC3">
    <w:name w:val="toc 3"/>
    <w:basedOn w:val="Normal"/>
    <w:next w:val="Normal"/>
    <w:autoRedefine/>
    <w:uiPriority w:val="39"/>
    <w:unhideWhenUsed/>
    <w:rsid w:val="007A61F8"/>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7A61F8"/>
    <w:pPr>
      <w:spacing w:after="100"/>
      <w:ind w:left="720"/>
    </w:pPr>
  </w:style>
  <w:style w:type="character" w:styleId="PageNumber">
    <w:name w:val="page number"/>
    <w:basedOn w:val="DefaultParagraphFont"/>
    <w:rsid w:val="007A61F8"/>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
    <w:unhideWhenUsed/>
    <w:qFormat/>
    <w:rsid w:val="007A61F8"/>
    <w:rPr>
      <w:vertAlign w:val="superscript"/>
    </w:rPr>
  </w:style>
  <w:style w:type="paragraph" w:styleId="BodyTextIndent2">
    <w:name w:val="Body Text Indent 2"/>
    <w:basedOn w:val="Normal"/>
    <w:link w:val="BodyTextIndent2Char"/>
    <w:unhideWhenUsed/>
    <w:rsid w:val="007A61F8"/>
    <w:pPr>
      <w:spacing w:after="120" w:line="480" w:lineRule="auto"/>
      <w:ind w:left="360"/>
    </w:pPr>
  </w:style>
  <w:style w:type="character" w:customStyle="1" w:styleId="BodyTextIndent2Char">
    <w:name w:val="Body Text Indent 2 Char"/>
    <w:basedOn w:val="DefaultParagraphFont"/>
    <w:link w:val="BodyTextIndent2"/>
    <w:rsid w:val="007A61F8"/>
    <w:rPr>
      <w:rFonts w:ascii="Times New Roman" w:eastAsia="Arial Unicode MS" w:hAnsi="Times New Roman" w:cs="Times New Roman"/>
      <w:bdr w:val="nil"/>
    </w:rPr>
  </w:style>
  <w:style w:type="paragraph" w:styleId="BodyText">
    <w:name w:val="Body Text"/>
    <w:basedOn w:val="Normal"/>
    <w:link w:val="BodyTextChar"/>
    <w:unhideWhenUsed/>
    <w:rsid w:val="007A61F8"/>
    <w:pPr>
      <w:spacing w:after="120"/>
    </w:pPr>
  </w:style>
  <w:style w:type="character" w:customStyle="1" w:styleId="BodyTextChar">
    <w:name w:val="Body Text Char"/>
    <w:basedOn w:val="DefaultParagraphFont"/>
    <w:link w:val="BodyText"/>
    <w:rsid w:val="007A61F8"/>
    <w:rPr>
      <w:rFonts w:ascii="Times New Roman" w:eastAsia="Arial Unicode MS" w:hAnsi="Times New Roman" w:cs="Times New Roman"/>
      <w:bdr w:val="nil"/>
    </w:rPr>
  </w:style>
  <w:style w:type="paragraph" w:customStyle="1" w:styleId="Default">
    <w:name w:val="Default"/>
    <w:link w:val="DefaultChar"/>
    <w:rsid w:val="007A61F8"/>
    <w:pPr>
      <w:autoSpaceDE w:val="0"/>
      <w:autoSpaceDN w:val="0"/>
      <w:adjustRightInd w:val="0"/>
    </w:pPr>
    <w:rPr>
      <w:rFonts w:ascii="Times New Roman" w:eastAsia="Times New Roman" w:hAnsi="Times New Roman" w:cs="Times New Roman"/>
      <w:color w:val="000000"/>
    </w:rPr>
  </w:style>
  <w:style w:type="paragraph" w:styleId="EndnoteText">
    <w:name w:val="endnote text"/>
    <w:basedOn w:val="Normal"/>
    <w:link w:val="EndnoteTextChar"/>
    <w:rsid w:val="007A61F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7A61F8"/>
    <w:rPr>
      <w:rFonts w:ascii="Times New Roman" w:eastAsia="Times New Roman" w:hAnsi="Times New Roman" w:cs="Times New Roman"/>
    </w:rPr>
  </w:style>
  <w:style w:type="character" w:customStyle="1" w:styleId="DefaultChar">
    <w:name w:val="Default Char"/>
    <w:link w:val="Default"/>
    <w:rsid w:val="007A61F8"/>
    <w:rPr>
      <w:rFonts w:ascii="Times New Roman" w:eastAsia="Times New Roman" w:hAnsi="Times New Roman" w:cs="Times New Roman"/>
      <w:color w:val="000000"/>
    </w:rPr>
  </w:style>
  <w:style w:type="paragraph" w:styleId="NormalWeb">
    <w:name w:val="Normal (Web)"/>
    <w:basedOn w:val="Normal"/>
    <w:uiPriority w:val="99"/>
    <w:rsid w:val="007A61F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rPr>
  </w:style>
  <w:style w:type="character" w:styleId="Strong">
    <w:name w:val="Strong"/>
    <w:uiPriority w:val="22"/>
    <w:qFormat/>
    <w:rsid w:val="007A61F8"/>
    <w:rPr>
      <w:rFonts w:cs="Times New Roman"/>
      <w:b/>
      <w:bCs/>
    </w:rPr>
  </w:style>
  <w:style w:type="character" w:customStyle="1" w:styleId="BodyTextIndentChar1">
    <w:name w:val="Body Text Indent Char1"/>
    <w:link w:val="BodyTextIndent"/>
    <w:locked/>
    <w:rsid w:val="007A61F8"/>
    <w:rPr>
      <w:rFonts w:ascii="Times New Roman" w:eastAsia="Times New Roman" w:hAnsi="Times New Roman" w:cs="Times New Roman"/>
      <w:color w:val="000000"/>
      <w:u w:color="000000"/>
      <w:bdr w:val="nil"/>
      <w:lang w:val="es-ES_tradnl" w:eastAsia="es-ES"/>
    </w:rPr>
  </w:style>
  <w:style w:type="paragraph" w:styleId="BlockText">
    <w:name w:val="Block Text"/>
    <w:basedOn w:val="Normal"/>
    <w:rsid w:val="007A61F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pPr>
    <w:rPr>
      <w:rFonts w:ascii="Arial" w:eastAsia="Batang" w:hAnsi="Arial" w:cs="Arial"/>
      <w:sz w:val="22"/>
      <w:bdr w:val="none" w:sz="0" w:space="0" w:color="auto"/>
      <w:lang w:val="es-AR"/>
    </w:rPr>
  </w:style>
  <w:style w:type="paragraph" w:styleId="Title">
    <w:name w:val="Title"/>
    <w:basedOn w:val="Normal"/>
    <w:link w:val="TitleChar"/>
    <w:qFormat/>
    <w:rsid w:val="007A61F8"/>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Batang" w:hAnsi="Univers" w:cs="Arial"/>
      <w:b/>
      <w:sz w:val="22"/>
      <w:bdr w:val="none" w:sz="0" w:space="0" w:color="auto"/>
      <w:lang w:val="es-AR"/>
    </w:rPr>
  </w:style>
  <w:style w:type="character" w:customStyle="1" w:styleId="TitleChar">
    <w:name w:val="Title Char"/>
    <w:basedOn w:val="DefaultParagraphFont"/>
    <w:link w:val="Title"/>
    <w:rsid w:val="007A61F8"/>
    <w:rPr>
      <w:rFonts w:ascii="Univers" w:eastAsia="Batang" w:hAnsi="Univers" w:cs="Arial"/>
      <w:b/>
      <w:sz w:val="22"/>
      <w:lang w:val="es-AR"/>
    </w:rPr>
  </w:style>
  <w:style w:type="paragraph" w:styleId="BodyTextIndent3">
    <w:name w:val="Body Text Indent 3"/>
    <w:basedOn w:val="Normal"/>
    <w:link w:val="BodyTextIndent3Char"/>
    <w:rsid w:val="007A61F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Univers" w:eastAsia="Batang" w:hAnsi="Univers"/>
      <w:sz w:val="22"/>
      <w:szCs w:val="20"/>
      <w:bdr w:val="none" w:sz="0" w:space="0" w:color="auto"/>
      <w:lang w:val="es-ES"/>
    </w:rPr>
  </w:style>
  <w:style w:type="character" w:customStyle="1" w:styleId="BodyTextIndent3Char">
    <w:name w:val="Body Text Indent 3 Char"/>
    <w:basedOn w:val="DefaultParagraphFont"/>
    <w:link w:val="BodyTextIndent3"/>
    <w:rsid w:val="007A61F8"/>
    <w:rPr>
      <w:rFonts w:ascii="Univers" w:eastAsia="Batang" w:hAnsi="Univers" w:cs="Times New Roman"/>
      <w:sz w:val="22"/>
      <w:szCs w:val="20"/>
      <w:lang w:val="es-ES"/>
    </w:rPr>
  </w:style>
  <w:style w:type="paragraph" w:styleId="BodyText3">
    <w:name w:val="Body Text 3"/>
    <w:basedOn w:val="Normal"/>
    <w:link w:val="BodyText3Char"/>
    <w:rsid w:val="007A61F8"/>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Batang"/>
      <w:sz w:val="16"/>
      <w:szCs w:val="16"/>
      <w:bdr w:val="none" w:sz="0" w:space="0" w:color="auto"/>
    </w:rPr>
  </w:style>
  <w:style w:type="character" w:customStyle="1" w:styleId="BodyText3Char">
    <w:name w:val="Body Text 3 Char"/>
    <w:basedOn w:val="DefaultParagraphFont"/>
    <w:link w:val="BodyText3"/>
    <w:rsid w:val="007A61F8"/>
    <w:rPr>
      <w:rFonts w:ascii="Times New Roman" w:eastAsia="Batang" w:hAnsi="Times New Roman" w:cs="Times New Roman"/>
      <w:sz w:val="16"/>
      <w:szCs w:val="16"/>
    </w:rPr>
  </w:style>
  <w:style w:type="character" w:customStyle="1" w:styleId="texto1">
    <w:name w:val="texto1"/>
    <w:rsid w:val="007A61F8"/>
    <w:rPr>
      <w:rFonts w:ascii="Tahoma" w:hAnsi="Tahoma" w:cs="Tahoma"/>
      <w:color w:val="000000"/>
      <w:sz w:val="20"/>
      <w:szCs w:val="20"/>
      <w:u w:val="none"/>
      <w:effect w:val="none"/>
    </w:rPr>
  </w:style>
  <w:style w:type="paragraph" w:customStyle="1" w:styleId="CaptulosSt">
    <w:name w:val="Capítulos St."/>
    <w:basedOn w:val="Heading1"/>
    <w:next w:val="Normal"/>
    <w:rsid w:val="007A61F8"/>
    <w:pPr>
      <w:keepLines w:val="0"/>
      <w:numPr>
        <w:numId w:val="0"/>
      </w:num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Verdana" w:eastAsia="Batang" w:hAnsi="Verdana"/>
      <w:bCs w:val="0"/>
      <w:smallCaps/>
      <w:kern w:val="32"/>
      <w:szCs w:val="32"/>
      <w:bdr w:val="none" w:sz="0" w:space="0" w:color="auto"/>
      <w:lang w:val="es-ES_tradnl"/>
    </w:rPr>
  </w:style>
  <w:style w:type="paragraph" w:styleId="DocumentMap">
    <w:name w:val="Document Map"/>
    <w:basedOn w:val="Normal"/>
    <w:link w:val="DocumentMapChar"/>
    <w:semiHidden/>
    <w:rsid w:val="007A61F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Batang" w:hAnsi="Tahoma" w:cs="Tahoma"/>
      <w:sz w:val="20"/>
      <w:szCs w:val="20"/>
      <w:bdr w:val="none" w:sz="0" w:space="0" w:color="auto"/>
    </w:rPr>
  </w:style>
  <w:style w:type="character" w:customStyle="1" w:styleId="DocumentMapChar">
    <w:name w:val="Document Map Char"/>
    <w:basedOn w:val="DefaultParagraphFont"/>
    <w:link w:val="DocumentMap"/>
    <w:semiHidden/>
    <w:rsid w:val="007A61F8"/>
    <w:rPr>
      <w:rFonts w:ascii="Tahoma" w:eastAsia="Batang" w:hAnsi="Tahoma" w:cs="Tahoma"/>
      <w:sz w:val="20"/>
      <w:szCs w:val="20"/>
      <w:shd w:val="clear" w:color="auto" w:fill="000080"/>
    </w:rPr>
  </w:style>
  <w:style w:type="character" w:customStyle="1" w:styleId="FootnoteTextChar3">
    <w:name w:val="Footnote Text Char3"/>
    <w:aliases w:val="Footnote Text Char Char Char Char Char Char1,Footnote Text Char Char Char Char Char2,FA Fu Char1,Footnote reference Char1,Footnote Text Char Char Char Char2,Footnote Text Cha Char1,FA Fußnotentext Char1,FA Fuﬂnotentext Char1,Ca Char2"/>
    <w:locked/>
    <w:rsid w:val="007A61F8"/>
    <w:rPr>
      <w:rFonts w:ascii="Univers" w:hAnsi="Univers" w:cs="Times New Roman"/>
      <w:lang w:val="en-US" w:eastAsia="en-US" w:bidi="ar-SA"/>
    </w:rPr>
  </w:style>
  <w:style w:type="character" w:customStyle="1" w:styleId="CharChar">
    <w:name w:val="Char Char"/>
    <w:semiHidden/>
    <w:rsid w:val="007A61F8"/>
    <w:rPr>
      <w:rFonts w:ascii="Times New Roman" w:hAnsi="Times New Roman"/>
      <w:sz w:val="20"/>
    </w:rPr>
  </w:style>
  <w:style w:type="character" w:customStyle="1" w:styleId="FootnoteTextChar1">
    <w:name w:val="Footnote Text Char1"/>
    <w:semiHidden/>
    <w:locked/>
    <w:rsid w:val="007A61F8"/>
    <w:rPr>
      <w:rFonts w:ascii="Times New Roman" w:hAnsi="Times New Roman"/>
      <w:sz w:val="20"/>
    </w:rPr>
  </w:style>
  <w:style w:type="character" w:customStyle="1" w:styleId="FootnoteTextChar2">
    <w:name w:val="Footnote Text Char2"/>
    <w:aliases w:val="Footnote Text Char Char Char Char Char Char2,Footnote Text Char Char Char Char Char3,FA Fu Char2,Footnote reference Char2,Footnote Text Char Char Char Char3,Footnote Text Cha Char2,FA Fußnotentext Char2,FA Fuﬂnotentext Char2,Ca Char1"/>
    <w:locked/>
    <w:rsid w:val="007A61F8"/>
    <w:rPr>
      <w:rFonts w:ascii="Times New Roman" w:hAnsi="Times New Roman"/>
      <w:sz w:val="20"/>
    </w:rPr>
  </w:style>
  <w:style w:type="character" w:customStyle="1" w:styleId="apple-converted-space">
    <w:name w:val="apple-converted-space"/>
    <w:rsid w:val="007A61F8"/>
    <w:rPr>
      <w:rFonts w:cs="Times New Roman"/>
    </w:rPr>
  </w:style>
  <w:style w:type="character" w:customStyle="1" w:styleId="CharChar1">
    <w:name w:val="Char Char1"/>
    <w:rsid w:val="007A61F8"/>
    <w:rPr>
      <w:lang w:val="en-US" w:eastAsia="en-US"/>
    </w:rPr>
  </w:style>
  <w:style w:type="character" w:styleId="CommentReference">
    <w:name w:val="annotation reference"/>
    <w:semiHidden/>
    <w:rsid w:val="007A61F8"/>
    <w:rPr>
      <w:sz w:val="16"/>
      <w:szCs w:val="16"/>
    </w:rPr>
  </w:style>
  <w:style w:type="paragraph" w:styleId="CommentText">
    <w:name w:val="annotation text"/>
    <w:basedOn w:val="Normal"/>
    <w:link w:val="CommentTextChar"/>
    <w:semiHidden/>
    <w:rsid w:val="007A61F8"/>
    <w:pPr>
      <w:pBdr>
        <w:top w:val="none" w:sz="0" w:space="0" w:color="auto"/>
        <w:left w:val="none" w:sz="0" w:space="0" w:color="auto"/>
        <w:bottom w:val="none" w:sz="0" w:space="0" w:color="auto"/>
        <w:right w:val="none" w:sz="0" w:space="0" w:color="auto"/>
        <w:between w:val="none" w:sz="0" w:space="0" w:color="auto"/>
        <w:bar w:val="none" w:sz="0" w:color="auto"/>
      </w:pBdr>
    </w:pPr>
    <w:rPr>
      <w:rFonts w:eastAsia="Batang"/>
      <w:sz w:val="20"/>
      <w:szCs w:val="20"/>
      <w:bdr w:val="none" w:sz="0" w:space="0" w:color="auto"/>
    </w:rPr>
  </w:style>
  <w:style w:type="character" w:customStyle="1" w:styleId="CommentTextChar">
    <w:name w:val="Comment Text Char"/>
    <w:basedOn w:val="DefaultParagraphFont"/>
    <w:link w:val="CommentText"/>
    <w:semiHidden/>
    <w:rsid w:val="007A61F8"/>
    <w:rPr>
      <w:rFonts w:ascii="Times New Roman" w:eastAsia="Batang" w:hAnsi="Times New Roman" w:cs="Times New Roman"/>
      <w:sz w:val="20"/>
      <w:szCs w:val="20"/>
    </w:rPr>
  </w:style>
  <w:style w:type="paragraph" w:styleId="CommentSubject">
    <w:name w:val="annotation subject"/>
    <w:basedOn w:val="CommentText"/>
    <w:next w:val="CommentText"/>
    <w:link w:val="CommentSubjectChar"/>
    <w:semiHidden/>
    <w:rsid w:val="007A61F8"/>
    <w:rPr>
      <w:b/>
      <w:bCs/>
    </w:rPr>
  </w:style>
  <w:style w:type="character" w:customStyle="1" w:styleId="CommentSubjectChar">
    <w:name w:val="Comment Subject Char"/>
    <w:basedOn w:val="CommentTextChar"/>
    <w:link w:val="CommentSubject"/>
    <w:semiHidden/>
    <w:rsid w:val="007A61F8"/>
    <w:rPr>
      <w:rFonts w:ascii="Times New Roman" w:eastAsia="Batang" w:hAnsi="Times New Roman" w:cs="Times New Roman"/>
      <w:b/>
      <w:bCs/>
      <w:sz w:val="20"/>
      <w:szCs w:val="20"/>
    </w:rPr>
  </w:style>
  <w:style w:type="character" w:customStyle="1" w:styleId="apple-style-span">
    <w:name w:val="apple-style-span"/>
    <w:rsid w:val="007A61F8"/>
  </w:style>
  <w:style w:type="character" w:styleId="Emphasis">
    <w:name w:val="Emphasis"/>
    <w:qFormat/>
    <w:rsid w:val="007A61F8"/>
    <w:rPr>
      <w:i/>
      <w:iCs/>
    </w:rPr>
  </w:style>
  <w:style w:type="character" w:customStyle="1" w:styleId="ColorfulList-Accent1Char">
    <w:name w:val="Colorful List - Accent 1 Char"/>
    <w:aliases w:val="Colorful List - Accent 11 Char"/>
    <w:link w:val="ColorfulList-Accent1"/>
    <w:uiPriority w:val="34"/>
    <w:locked/>
    <w:rsid w:val="007A61F8"/>
    <w:rPr>
      <w:rFonts w:ascii="Cambria" w:eastAsia="Cambria" w:hAnsi="Cambria" w:cs="Cambria"/>
      <w:color w:val="000000"/>
      <w:sz w:val="24"/>
      <w:szCs w:val="24"/>
      <w:u w:color="000000"/>
      <w:lang w:val="en-US"/>
    </w:rPr>
  </w:style>
  <w:style w:type="paragraph" w:styleId="ListParagraph">
    <w:name w:val="List Paragraph"/>
    <w:basedOn w:val="Normal"/>
    <w:qFormat/>
    <w:rsid w:val="007A61F8"/>
    <w:pPr>
      <w:ind w:left="720"/>
    </w:pPr>
  </w:style>
  <w:style w:type="character" w:customStyle="1" w:styleId="normal--char">
    <w:name w:val="normal--char"/>
    <w:basedOn w:val="DefaultParagraphFont"/>
    <w:rsid w:val="007A61F8"/>
  </w:style>
  <w:style w:type="character" w:styleId="FollowedHyperlink">
    <w:name w:val="FollowedHyperlink"/>
    <w:basedOn w:val="DefaultParagraphFont"/>
    <w:uiPriority w:val="99"/>
    <w:semiHidden/>
    <w:unhideWhenUsed/>
    <w:rsid w:val="007A61F8"/>
    <w:rPr>
      <w:color w:val="954F72" w:themeColor="followedHyperlink"/>
      <w:u w:val="single"/>
    </w:rPr>
  </w:style>
  <w:style w:type="table" w:styleId="ColorfulList-Accent1">
    <w:name w:val="Colorful List Accent 1"/>
    <w:basedOn w:val="TableNormal"/>
    <w:link w:val="ColorfulList-Accent1Char"/>
    <w:uiPriority w:val="34"/>
    <w:semiHidden/>
    <w:unhideWhenUsed/>
    <w:rsid w:val="007A61F8"/>
    <w:rPr>
      <w:rFonts w:ascii="Cambria" w:eastAsia="Cambria" w:hAnsi="Cambria" w:cs="Cambria"/>
      <w:color w:val="000000"/>
      <w:u w:color="000000"/>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3"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1F8"/>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qFormat/>
    <w:rsid w:val="00ED46A1"/>
    <w:pPr>
      <w:keepNext/>
      <w:keepLines/>
      <w:numPr>
        <w:numId w:val="50"/>
      </w:numPr>
      <w:tabs>
        <w:tab w:val="left" w:pos="1440"/>
      </w:tabs>
      <w:ind w:firstLine="0"/>
      <w:jc w:val="both"/>
      <w:outlineLvl w:val="0"/>
    </w:pPr>
    <w:rPr>
      <w:rFonts w:ascii="Cambria" w:eastAsia="Times New Roman" w:hAnsi="Cambria"/>
      <w:b/>
      <w:bCs/>
      <w:sz w:val="20"/>
      <w:szCs w:val="20"/>
      <w:lang w:val="es-AR"/>
    </w:rPr>
  </w:style>
  <w:style w:type="paragraph" w:styleId="Heading2">
    <w:name w:val="heading 2"/>
    <w:basedOn w:val="Normal"/>
    <w:next w:val="Normal"/>
    <w:link w:val="Heading2Char"/>
    <w:uiPriority w:val="9"/>
    <w:qFormat/>
    <w:rsid w:val="007A61F8"/>
    <w:pPr>
      <w:keepNext/>
      <w:numPr>
        <w:numId w:val="54"/>
      </w:numPr>
      <w:pBdr>
        <w:top w:val="none" w:sz="0" w:space="0" w:color="auto"/>
        <w:left w:val="none" w:sz="0" w:space="0" w:color="auto"/>
        <w:bottom w:val="none" w:sz="0" w:space="0" w:color="auto"/>
        <w:right w:val="none" w:sz="0" w:space="0" w:color="auto"/>
        <w:between w:val="none" w:sz="0" w:space="0" w:color="auto"/>
        <w:bar w:val="none" w:sz="0" w:color="auto"/>
      </w:pBdr>
      <w:ind w:hanging="720"/>
      <w:outlineLvl w:val="1"/>
    </w:pPr>
    <w:rPr>
      <w:rFonts w:ascii="Cambria" w:eastAsia="Times New Roman" w:hAnsi="Cambria" w:cs="Arial"/>
      <w:b/>
      <w:bCs/>
      <w:iCs/>
      <w:sz w:val="20"/>
      <w:szCs w:val="28"/>
      <w:bdr w:val="none" w:sz="0" w:space="0" w:color="auto"/>
      <w:lang w:val="es-AR"/>
    </w:rPr>
  </w:style>
  <w:style w:type="paragraph" w:styleId="Heading3">
    <w:name w:val="heading 3"/>
    <w:basedOn w:val="Normal"/>
    <w:next w:val="Normal"/>
    <w:link w:val="Heading3Char"/>
    <w:qFormat/>
    <w:rsid w:val="007A61F8"/>
    <w:pPr>
      <w:keepNext/>
      <w:pBdr>
        <w:top w:val="none" w:sz="0" w:space="0" w:color="auto"/>
        <w:left w:val="none" w:sz="0" w:space="0" w:color="auto"/>
        <w:bottom w:val="none" w:sz="0" w:space="0" w:color="auto"/>
        <w:right w:val="none" w:sz="0" w:space="0" w:color="auto"/>
        <w:between w:val="none" w:sz="0" w:space="0" w:color="auto"/>
        <w:bar w:val="none" w:sz="0" w:color="auto"/>
      </w:pBdr>
      <w:ind w:firstLine="720"/>
      <w:outlineLvl w:val="2"/>
    </w:pPr>
    <w:rPr>
      <w:rFonts w:ascii="Cambria" w:eastAsia="Times New Roman" w:hAnsi="Cambria" w:cs="Arial"/>
      <w:b/>
      <w:bCs/>
      <w:sz w:val="20"/>
      <w:szCs w:val="20"/>
      <w:bdr w:val="none" w:sz="0" w:space="0" w:color="auto"/>
      <w:lang w:val="es-ES_tradnl"/>
    </w:rPr>
  </w:style>
  <w:style w:type="paragraph" w:styleId="Heading4">
    <w:name w:val="heading 4"/>
    <w:basedOn w:val="Normal"/>
    <w:next w:val="Normal"/>
    <w:link w:val="Heading4Char"/>
    <w:qFormat/>
    <w:rsid w:val="007A61F8"/>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3"/>
    </w:pPr>
    <w:rPr>
      <w:rFonts w:ascii="Arial" w:eastAsia="Batang" w:hAnsi="Arial" w:cs="Arial"/>
      <w:b/>
      <w:bCs/>
      <w:sz w:val="22"/>
      <w:bdr w:val="none" w:sz="0" w:space="0" w:color="auto"/>
    </w:rPr>
  </w:style>
  <w:style w:type="paragraph" w:styleId="Heading5">
    <w:name w:val="heading 5"/>
    <w:basedOn w:val="Normal"/>
    <w:next w:val="Normal"/>
    <w:link w:val="Heading5Char"/>
    <w:qFormat/>
    <w:rsid w:val="007A61F8"/>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Batang"/>
      <w:sz w:val="22"/>
      <w:szCs w:val="20"/>
      <w:bdr w:val="none" w:sz="0" w:space="0" w:color="auto"/>
      <w:lang w:val="es-SV"/>
    </w:rPr>
  </w:style>
  <w:style w:type="paragraph" w:styleId="Heading6">
    <w:name w:val="heading 6"/>
    <w:basedOn w:val="Normal"/>
    <w:next w:val="Normal"/>
    <w:link w:val="Heading6Char"/>
    <w:uiPriority w:val="9"/>
    <w:qFormat/>
    <w:rsid w:val="007A61F8"/>
    <w:pPr>
      <w:numPr>
        <w:ilvl w:val="4"/>
        <w:numId w:val="52"/>
      </w:numPr>
      <w:pBdr>
        <w:top w:val="none" w:sz="0" w:space="0" w:color="auto"/>
        <w:left w:val="none" w:sz="0" w:space="0" w:color="auto"/>
        <w:bottom w:val="none" w:sz="0" w:space="0" w:color="auto"/>
        <w:right w:val="none" w:sz="0" w:space="0" w:color="auto"/>
        <w:between w:val="none" w:sz="0" w:space="0" w:color="auto"/>
        <w:bar w:val="none" w:sz="0" w:color="auto"/>
      </w:pBdr>
      <w:tabs>
        <w:tab w:val="clear" w:pos="3600"/>
      </w:tabs>
      <w:spacing w:before="240" w:after="60"/>
      <w:ind w:left="0" w:firstLine="0"/>
      <w:outlineLvl w:val="5"/>
    </w:pPr>
    <w:rPr>
      <w:rFonts w:eastAsia="Batang"/>
      <w:i/>
      <w:sz w:val="22"/>
      <w:szCs w:val="20"/>
      <w:bdr w:val="none" w:sz="0" w:space="0" w:color="auto"/>
      <w:lang w:val="es-SV"/>
    </w:rPr>
  </w:style>
  <w:style w:type="paragraph" w:styleId="Heading7">
    <w:name w:val="heading 7"/>
    <w:basedOn w:val="Normal"/>
    <w:next w:val="Normal"/>
    <w:link w:val="Heading7Char"/>
    <w:qFormat/>
    <w:rsid w:val="007A61F8"/>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Batang" w:hAnsi="Arial"/>
      <w:sz w:val="20"/>
      <w:szCs w:val="20"/>
      <w:bdr w:val="none" w:sz="0" w:space="0" w:color="auto"/>
      <w:lang w:val="es-SV"/>
    </w:rPr>
  </w:style>
  <w:style w:type="paragraph" w:styleId="Heading8">
    <w:name w:val="heading 8"/>
    <w:basedOn w:val="Normal"/>
    <w:next w:val="Normal"/>
    <w:link w:val="Heading8Char"/>
    <w:qFormat/>
    <w:rsid w:val="007A61F8"/>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Arial" w:eastAsia="Batang" w:hAnsi="Arial"/>
      <w:i/>
      <w:sz w:val="20"/>
      <w:szCs w:val="20"/>
      <w:bdr w:val="none" w:sz="0" w:space="0" w:color="auto"/>
      <w:lang w:val="es-SV"/>
    </w:rPr>
  </w:style>
  <w:style w:type="paragraph" w:styleId="Heading9">
    <w:name w:val="heading 9"/>
    <w:basedOn w:val="Normal"/>
    <w:next w:val="Normal"/>
    <w:link w:val="Heading9Char"/>
    <w:qFormat/>
    <w:rsid w:val="007A61F8"/>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Batang" w:hAnsi="Arial" w:cs="Arial"/>
      <w:sz w:val="22"/>
      <w:szCs w:val="2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46A1"/>
    <w:rPr>
      <w:rFonts w:ascii="Cambria" w:eastAsia="Times New Roman" w:hAnsi="Cambria" w:cs="Times New Roman"/>
      <w:b/>
      <w:bCs/>
      <w:sz w:val="20"/>
      <w:szCs w:val="20"/>
      <w:bdr w:val="nil"/>
      <w:lang w:val="es-AR"/>
    </w:rPr>
  </w:style>
  <w:style w:type="character" w:customStyle="1" w:styleId="Heading2Char">
    <w:name w:val="Heading 2 Char"/>
    <w:basedOn w:val="DefaultParagraphFont"/>
    <w:link w:val="Heading2"/>
    <w:uiPriority w:val="9"/>
    <w:rsid w:val="007A61F8"/>
    <w:rPr>
      <w:rFonts w:ascii="Cambria" w:eastAsia="Times New Roman" w:hAnsi="Cambria" w:cs="Arial"/>
      <w:b/>
      <w:bCs/>
      <w:iCs/>
      <w:sz w:val="20"/>
      <w:szCs w:val="28"/>
      <w:lang w:val="es-AR"/>
    </w:rPr>
  </w:style>
  <w:style w:type="character" w:customStyle="1" w:styleId="Heading3Char">
    <w:name w:val="Heading 3 Char"/>
    <w:basedOn w:val="DefaultParagraphFont"/>
    <w:link w:val="Heading3"/>
    <w:rsid w:val="007A61F8"/>
    <w:rPr>
      <w:rFonts w:ascii="Cambria" w:eastAsia="Times New Roman" w:hAnsi="Cambria" w:cs="Arial"/>
      <w:b/>
      <w:bCs/>
      <w:sz w:val="20"/>
      <w:szCs w:val="20"/>
      <w:lang w:val="es-ES_tradnl"/>
    </w:rPr>
  </w:style>
  <w:style w:type="character" w:customStyle="1" w:styleId="Heading4Char">
    <w:name w:val="Heading 4 Char"/>
    <w:basedOn w:val="DefaultParagraphFont"/>
    <w:link w:val="Heading4"/>
    <w:rsid w:val="007A61F8"/>
    <w:rPr>
      <w:rFonts w:ascii="Arial" w:eastAsia="Batang" w:hAnsi="Arial" w:cs="Arial"/>
      <w:b/>
      <w:bCs/>
      <w:sz w:val="22"/>
    </w:rPr>
  </w:style>
  <w:style w:type="character" w:customStyle="1" w:styleId="Heading5Char">
    <w:name w:val="Heading 5 Char"/>
    <w:basedOn w:val="DefaultParagraphFont"/>
    <w:link w:val="Heading5"/>
    <w:rsid w:val="007A61F8"/>
    <w:rPr>
      <w:rFonts w:ascii="Times New Roman" w:eastAsia="Batang" w:hAnsi="Times New Roman" w:cs="Times New Roman"/>
      <w:sz w:val="22"/>
      <w:szCs w:val="20"/>
      <w:lang w:val="es-SV"/>
    </w:rPr>
  </w:style>
  <w:style w:type="character" w:customStyle="1" w:styleId="Heading6Char">
    <w:name w:val="Heading 6 Char"/>
    <w:basedOn w:val="DefaultParagraphFont"/>
    <w:link w:val="Heading6"/>
    <w:uiPriority w:val="9"/>
    <w:rsid w:val="007A61F8"/>
    <w:rPr>
      <w:rFonts w:ascii="Times New Roman" w:eastAsia="Batang" w:hAnsi="Times New Roman" w:cs="Times New Roman"/>
      <w:i/>
      <w:sz w:val="22"/>
      <w:szCs w:val="20"/>
      <w:lang w:val="es-SV"/>
    </w:rPr>
  </w:style>
  <w:style w:type="character" w:customStyle="1" w:styleId="Heading7Char">
    <w:name w:val="Heading 7 Char"/>
    <w:basedOn w:val="DefaultParagraphFont"/>
    <w:link w:val="Heading7"/>
    <w:rsid w:val="007A61F8"/>
    <w:rPr>
      <w:rFonts w:ascii="Arial" w:eastAsia="Batang" w:hAnsi="Arial" w:cs="Times New Roman"/>
      <w:sz w:val="20"/>
      <w:szCs w:val="20"/>
      <w:lang w:val="es-SV"/>
    </w:rPr>
  </w:style>
  <w:style w:type="character" w:customStyle="1" w:styleId="Heading8Char">
    <w:name w:val="Heading 8 Char"/>
    <w:basedOn w:val="DefaultParagraphFont"/>
    <w:link w:val="Heading8"/>
    <w:rsid w:val="007A61F8"/>
    <w:rPr>
      <w:rFonts w:ascii="Arial" w:eastAsia="Batang" w:hAnsi="Arial" w:cs="Times New Roman"/>
      <w:i/>
      <w:sz w:val="20"/>
      <w:szCs w:val="20"/>
      <w:lang w:val="es-SV"/>
    </w:rPr>
  </w:style>
  <w:style w:type="character" w:customStyle="1" w:styleId="Heading9Char">
    <w:name w:val="Heading 9 Char"/>
    <w:basedOn w:val="DefaultParagraphFont"/>
    <w:link w:val="Heading9"/>
    <w:rsid w:val="007A61F8"/>
    <w:rPr>
      <w:rFonts w:ascii="Arial" w:eastAsia="Batang" w:hAnsi="Arial" w:cs="Arial"/>
      <w:sz w:val="22"/>
      <w:szCs w:val="22"/>
    </w:rPr>
  </w:style>
  <w:style w:type="character" w:styleId="Hyperlink">
    <w:name w:val="Hyperlink"/>
    <w:uiPriority w:val="99"/>
    <w:rsid w:val="007A61F8"/>
    <w:rPr>
      <w:u w:val="single"/>
    </w:rPr>
  </w:style>
  <w:style w:type="paragraph" w:customStyle="1" w:styleId="Cabeceraypie">
    <w:name w:val="Cabecera y pie"/>
    <w:rsid w:val="007A61F8"/>
    <w:pPr>
      <w:pBdr>
        <w:top w:val="nil"/>
        <w:left w:val="nil"/>
        <w:bottom w:val="nil"/>
        <w:right w:val="nil"/>
        <w:between w:val="nil"/>
        <w:bar w:val="nil"/>
      </w:pBdr>
      <w:tabs>
        <w:tab w:val="right" w:pos="9020"/>
      </w:tabs>
    </w:pPr>
    <w:rPr>
      <w:rFonts w:ascii="Helvetica" w:eastAsia="Arial Unicode MS" w:hAnsi="Arial Unicode MS" w:cs="Arial Unicode MS"/>
      <w:color w:val="000000"/>
      <w:bdr w:val="nil"/>
      <w:lang w:val="es-ES" w:eastAsia="es-ES"/>
    </w:rPr>
  </w:style>
  <w:style w:type="paragraph" w:styleId="Footer">
    <w:name w:val="footer"/>
    <w:link w:val="FooterChar"/>
    <w:rsid w:val="007A61F8"/>
    <w:pPr>
      <w:pBdr>
        <w:top w:val="nil"/>
        <w:left w:val="nil"/>
        <w:bottom w:val="nil"/>
        <w:right w:val="nil"/>
        <w:between w:val="nil"/>
        <w:bar w:val="nil"/>
      </w:pBdr>
      <w:tabs>
        <w:tab w:val="center" w:pos="4513"/>
        <w:tab w:val="right" w:pos="9026"/>
      </w:tabs>
    </w:pPr>
    <w:rPr>
      <w:rFonts w:ascii="Cambria" w:eastAsia="Cambria" w:hAnsi="Cambria" w:cs="Cambria"/>
      <w:color w:val="000000"/>
      <w:u w:color="000000"/>
      <w:bdr w:val="nil"/>
      <w:lang w:eastAsia="es-ES"/>
    </w:rPr>
  </w:style>
  <w:style w:type="character" w:customStyle="1" w:styleId="FooterChar">
    <w:name w:val="Footer Char"/>
    <w:basedOn w:val="DefaultParagraphFont"/>
    <w:link w:val="Footer"/>
    <w:rsid w:val="007A61F8"/>
    <w:rPr>
      <w:rFonts w:ascii="Cambria" w:eastAsia="Cambria" w:hAnsi="Cambria" w:cs="Cambria"/>
      <w:color w:val="000000"/>
      <w:u w:color="000000"/>
      <w:bdr w:val="nil"/>
      <w:lang w:eastAsia="es-ES"/>
    </w:rPr>
  </w:style>
  <w:style w:type="paragraph" w:customStyle="1" w:styleId="Cuerpo">
    <w:name w:val="Cuerpo"/>
    <w:rsid w:val="007A61F8"/>
    <w:pPr>
      <w:pBdr>
        <w:top w:val="nil"/>
        <w:left w:val="nil"/>
        <w:bottom w:val="nil"/>
        <w:right w:val="nil"/>
        <w:between w:val="nil"/>
        <w:bar w:val="nil"/>
      </w:pBdr>
    </w:pPr>
    <w:rPr>
      <w:rFonts w:ascii="Cambria" w:eastAsia="Cambria" w:hAnsi="Cambria" w:cs="Cambria"/>
      <w:color w:val="000000"/>
      <w:u w:color="000000"/>
      <w:bdr w:val="nil"/>
      <w:lang w:val="es-ES" w:eastAsia="es-ES"/>
    </w:rPr>
  </w:style>
  <w:style w:type="paragraph" w:styleId="BodyTextIndent">
    <w:name w:val="Body Text Indent"/>
    <w:link w:val="BodyTextIndentChar1"/>
    <w:rsid w:val="007A61F8"/>
    <w:pPr>
      <w:pBdr>
        <w:top w:val="nil"/>
        <w:left w:val="nil"/>
        <w:bottom w:val="nil"/>
        <w:right w:val="nil"/>
        <w:between w:val="nil"/>
        <w:bar w:val="nil"/>
      </w:pBdr>
      <w:ind w:left="2160" w:hanging="720"/>
    </w:pPr>
    <w:rPr>
      <w:rFonts w:ascii="Times New Roman" w:eastAsia="Times New Roman" w:hAnsi="Times New Roman" w:cs="Times New Roman"/>
      <w:color w:val="000000"/>
      <w:u w:color="000000"/>
      <w:bdr w:val="nil"/>
      <w:lang w:val="es-ES_tradnl" w:eastAsia="es-ES"/>
    </w:rPr>
  </w:style>
  <w:style w:type="character" w:customStyle="1" w:styleId="BodyTextIndentChar">
    <w:name w:val="Body Text Indent Char"/>
    <w:basedOn w:val="DefaultParagraphFont"/>
    <w:rsid w:val="007A61F8"/>
    <w:rPr>
      <w:rFonts w:ascii="Times New Roman" w:eastAsia="Arial Unicode MS" w:hAnsi="Times New Roman" w:cs="Times New Roman"/>
      <w:bdr w:val="nil"/>
    </w:rPr>
  </w:style>
  <w:style w:type="numbering" w:customStyle="1" w:styleId="List0">
    <w:name w:val="List 0"/>
    <w:basedOn w:val="Estiloimportado1"/>
    <w:rsid w:val="007A61F8"/>
    <w:pPr>
      <w:numPr>
        <w:numId w:val="31"/>
      </w:numPr>
    </w:pPr>
  </w:style>
  <w:style w:type="numbering" w:customStyle="1" w:styleId="Estiloimportado1">
    <w:name w:val="Estilo importado 1"/>
    <w:rsid w:val="007A61F8"/>
  </w:style>
  <w:style w:type="numbering" w:customStyle="1" w:styleId="List1">
    <w:name w:val="List 1"/>
    <w:basedOn w:val="Estiloimportado2"/>
    <w:rsid w:val="007A61F8"/>
    <w:pPr>
      <w:numPr>
        <w:numId w:val="1"/>
      </w:numPr>
    </w:pPr>
  </w:style>
  <w:style w:type="numbering" w:customStyle="1" w:styleId="Estiloimportado2">
    <w:name w:val="Estilo importado 2"/>
    <w:rsid w:val="007A61F8"/>
  </w:style>
  <w:style w:type="numbering" w:customStyle="1" w:styleId="List21">
    <w:name w:val="List 21"/>
    <w:basedOn w:val="Estiloimportado3"/>
    <w:rsid w:val="007A61F8"/>
    <w:pPr>
      <w:numPr>
        <w:numId w:val="38"/>
      </w:numPr>
    </w:pPr>
  </w:style>
  <w:style w:type="numbering" w:customStyle="1" w:styleId="Estiloimportado3">
    <w:name w:val="Estilo importado 3"/>
    <w:rsid w:val="007A61F8"/>
  </w:style>
  <w:style w:type="numbering" w:customStyle="1" w:styleId="List31">
    <w:name w:val="List 31"/>
    <w:basedOn w:val="Estiloimportado4"/>
    <w:rsid w:val="007A61F8"/>
    <w:pPr>
      <w:numPr>
        <w:numId w:val="44"/>
      </w:numPr>
    </w:pPr>
  </w:style>
  <w:style w:type="numbering" w:customStyle="1" w:styleId="Estiloimportado4">
    <w:name w:val="Estilo importado 4"/>
    <w:rsid w:val="007A61F8"/>
  </w:style>
  <w:style w:type="numbering" w:customStyle="1" w:styleId="List41">
    <w:name w:val="List 41"/>
    <w:basedOn w:val="Estiloimportado5"/>
    <w:rsid w:val="007A61F8"/>
    <w:pPr>
      <w:numPr>
        <w:numId w:val="2"/>
      </w:numPr>
    </w:pPr>
  </w:style>
  <w:style w:type="numbering" w:customStyle="1" w:styleId="Estiloimportado5">
    <w:name w:val="Estilo importado 5"/>
    <w:rsid w:val="007A61F8"/>
  </w:style>
  <w:style w:type="numbering" w:customStyle="1" w:styleId="List51">
    <w:name w:val="List 51"/>
    <w:basedOn w:val="Estiloimportado6"/>
    <w:rsid w:val="007A61F8"/>
    <w:pPr>
      <w:numPr>
        <w:numId w:val="33"/>
      </w:numPr>
    </w:pPr>
  </w:style>
  <w:style w:type="numbering" w:customStyle="1" w:styleId="Estiloimportado6">
    <w:name w:val="Estilo importado 6"/>
    <w:rsid w:val="007A61F8"/>
  </w:style>
  <w:style w:type="numbering" w:customStyle="1" w:styleId="List6">
    <w:name w:val="List 6"/>
    <w:basedOn w:val="Estiloimportado7"/>
    <w:rsid w:val="007A61F8"/>
    <w:pPr>
      <w:numPr>
        <w:numId w:val="3"/>
      </w:numPr>
    </w:pPr>
  </w:style>
  <w:style w:type="numbering" w:customStyle="1" w:styleId="Estiloimportado7">
    <w:name w:val="Estilo importado 7"/>
    <w:rsid w:val="007A61F8"/>
  </w:style>
  <w:style w:type="numbering" w:customStyle="1" w:styleId="List7">
    <w:name w:val="List 7"/>
    <w:basedOn w:val="Estiloimportado8"/>
    <w:rsid w:val="007A61F8"/>
    <w:pPr>
      <w:numPr>
        <w:numId w:val="4"/>
      </w:numPr>
    </w:pPr>
  </w:style>
  <w:style w:type="numbering" w:customStyle="1" w:styleId="Estiloimportado8">
    <w:name w:val="Estilo importado 8"/>
    <w:rsid w:val="007A61F8"/>
  </w:style>
  <w:style w:type="numbering" w:customStyle="1" w:styleId="List8">
    <w:name w:val="List 8"/>
    <w:basedOn w:val="Estiloimportado9"/>
    <w:rsid w:val="007A61F8"/>
    <w:pPr>
      <w:numPr>
        <w:numId w:val="5"/>
      </w:numPr>
    </w:pPr>
  </w:style>
  <w:style w:type="numbering" w:customStyle="1" w:styleId="Estiloimportado9">
    <w:name w:val="Estilo importado 9"/>
    <w:rsid w:val="007A61F8"/>
  </w:style>
  <w:style w:type="numbering" w:customStyle="1" w:styleId="List9">
    <w:name w:val="List 9"/>
    <w:basedOn w:val="Estiloimportado10"/>
    <w:rsid w:val="007A61F8"/>
    <w:pPr>
      <w:numPr>
        <w:numId w:val="22"/>
      </w:numPr>
    </w:pPr>
  </w:style>
  <w:style w:type="numbering" w:customStyle="1" w:styleId="Estiloimportado10">
    <w:name w:val="Estilo importado 10"/>
    <w:rsid w:val="007A61F8"/>
  </w:style>
  <w:style w:type="numbering" w:customStyle="1" w:styleId="List10">
    <w:name w:val="List 10"/>
    <w:basedOn w:val="Estiloimportado11"/>
    <w:rsid w:val="007A61F8"/>
    <w:pPr>
      <w:numPr>
        <w:numId w:val="6"/>
      </w:numPr>
    </w:pPr>
  </w:style>
  <w:style w:type="numbering" w:customStyle="1" w:styleId="Estiloimportado11">
    <w:name w:val="Estilo importado 11"/>
    <w:rsid w:val="007A61F8"/>
  </w:style>
  <w:style w:type="numbering" w:customStyle="1" w:styleId="List11">
    <w:name w:val="List 11"/>
    <w:basedOn w:val="Estiloimportado12"/>
    <w:rsid w:val="007A61F8"/>
    <w:pPr>
      <w:numPr>
        <w:numId w:val="7"/>
      </w:numPr>
    </w:pPr>
  </w:style>
  <w:style w:type="numbering" w:customStyle="1" w:styleId="Estiloimportado12">
    <w:name w:val="Estilo importado 12"/>
    <w:rsid w:val="007A61F8"/>
  </w:style>
  <w:style w:type="numbering" w:customStyle="1" w:styleId="List12">
    <w:name w:val="List 12"/>
    <w:basedOn w:val="Estiloimportado13"/>
    <w:rsid w:val="007A61F8"/>
    <w:pPr>
      <w:numPr>
        <w:numId w:val="36"/>
      </w:numPr>
    </w:pPr>
  </w:style>
  <w:style w:type="numbering" w:customStyle="1" w:styleId="Estiloimportado13">
    <w:name w:val="Estilo importado 13"/>
    <w:rsid w:val="007A61F8"/>
  </w:style>
  <w:style w:type="numbering" w:customStyle="1" w:styleId="List13">
    <w:name w:val="List 13"/>
    <w:basedOn w:val="Estiloimportado14"/>
    <w:rsid w:val="007A61F8"/>
    <w:pPr>
      <w:numPr>
        <w:numId w:val="42"/>
      </w:numPr>
    </w:pPr>
  </w:style>
  <w:style w:type="numbering" w:customStyle="1" w:styleId="Estiloimportado14">
    <w:name w:val="Estilo importado 14"/>
    <w:rsid w:val="007A61F8"/>
  </w:style>
  <w:style w:type="numbering" w:customStyle="1" w:styleId="List14">
    <w:name w:val="List 14"/>
    <w:basedOn w:val="Estiloimportado15"/>
    <w:rsid w:val="007A61F8"/>
    <w:pPr>
      <w:numPr>
        <w:numId w:val="17"/>
      </w:numPr>
    </w:pPr>
  </w:style>
  <w:style w:type="numbering" w:customStyle="1" w:styleId="Estiloimportado15">
    <w:name w:val="Estilo importado 15"/>
    <w:rsid w:val="007A61F8"/>
  </w:style>
  <w:style w:type="numbering" w:customStyle="1" w:styleId="List15">
    <w:name w:val="List 15"/>
    <w:basedOn w:val="Estiloimportado16"/>
    <w:rsid w:val="007A61F8"/>
    <w:pPr>
      <w:numPr>
        <w:numId w:val="16"/>
      </w:numPr>
    </w:pPr>
  </w:style>
  <w:style w:type="numbering" w:customStyle="1" w:styleId="Estiloimportado16">
    <w:name w:val="Estilo importado 16"/>
    <w:rsid w:val="007A61F8"/>
  </w:style>
  <w:style w:type="numbering" w:customStyle="1" w:styleId="List16">
    <w:name w:val="List 16"/>
    <w:basedOn w:val="Estiloimportado16"/>
    <w:rsid w:val="007A61F8"/>
    <w:pPr>
      <w:numPr>
        <w:numId w:val="10"/>
      </w:numPr>
    </w:pPr>
  </w:style>
  <w:style w:type="numbering" w:customStyle="1" w:styleId="List17">
    <w:name w:val="List 17"/>
    <w:basedOn w:val="Estiloimportado17"/>
    <w:rsid w:val="007A61F8"/>
    <w:pPr>
      <w:numPr>
        <w:numId w:val="25"/>
      </w:numPr>
    </w:pPr>
  </w:style>
  <w:style w:type="numbering" w:customStyle="1" w:styleId="Estiloimportado17">
    <w:name w:val="Estilo importado 17"/>
    <w:rsid w:val="007A61F8"/>
  </w:style>
  <w:style w:type="numbering" w:customStyle="1" w:styleId="List18">
    <w:name w:val="List 18"/>
    <w:basedOn w:val="Estiloimportado18"/>
    <w:rsid w:val="007A61F8"/>
    <w:pPr>
      <w:numPr>
        <w:numId w:val="27"/>
      </w:numPr>
    </w:pPr>
  </w:style>
  <w:style w:type="numbering" w:customStyle="1" w:styleId="Estiloimportado18">
    <w:name w:val="Estilo importado 18"/>
    <w:rsid w:val="007A61F8"/>
  </w:style>
  <w:style w:type="numbering" w:customStyle="1" w:styleId="List19">
    <w:name w:val="List 19"/>
    <w:basedOn w:val="Estiloimportado10"/>
    <w:rsid w:val="007A61F8"/>
    <w:pPr>
      <w:numPr>
        <w:numId w:val="19"/>
      </w:numPr>
    </w:pPr>
  </w:style>
  <w:style w:type="numbering" w:customStyle="1" w:styleId="List20">
    <w:name w:val="List 20"/>
    <w:basedOn w:val="Estiloimportado12"/>
    <w:rsid w:val="007A61F8"/>
    <w:pPr>
      <w:numPr>
        <w:numId w:val="43"/>
      </w:numPr>
    </w:pPr>
  </w:style>
  <w:style w:type="numbering" w:customStyle="1" w:styleId="Estiloimportado19">
    <w:name w:val="Estilo importado 19"/>
    <w:rsid w:val="007A61F8"/>
  </w:style>
  <w:style w:type="numbering" w:customStyle="1" w:styleId="List22">
    <w:name w:val="List 22"/>
    <w:basedOn w:val="Estiloimportado19"/>
    <w:rsid w:val="007A61F8"/>
    <w:pPr>
      <w:numPr>
        <w:numId w:val="28"/>
      </w:numPr>
    </w:pPr>
  </w:style>
  <w:style w:type="numbering" w:customStyle="1" w:styleId="List23">
    <w:name w:val="List 23"/>
    <w:basedOn w:val="Estiloimportado19"/>
    <w:rsid w:val="007A61F8"/>
    <w:pPr>
      <w:numPr>
        <w:numId w:val="18"/>
      </w:numPr>
    </w:pPr>
  </w:style>
  <w:style w:type="numbering" w:customStyle="1" w:styleId="List24">
    <w:name w:val="List 24"/>
    <w:basedOn w:val="Estiloimportado20"/>
    <w:rsid w:val="007A61F8"/>
    <w:pPr>
      <w:numPr>
        <w:numId w:val="13"/>
      </w:numPr>
    </w:pPr>
  </w:style>
  <w:style w:type="numbering" w:customStyle="1" w:styleId="Estiloimportado20">
    <w:name w:val="Estilo importado 20"/>
    <w:rsid w:val="007A61F8"/>
  </w:style>
  <w:style w:type="numbering" w:customStyle="1" w:styleId="List25">
    <w:name w:val="List 25"/>
    <w:basedOn w:val="Estiloimportado21"/>
    <w:rsid w:val="007A61F8"/>
    <w:pPr>
      <w:numPr>
        <w:numId w:val="15"/>
      </w:numPr>
    </w:pPr>
  </w:style>
  <w:style w:type="numbering" w:customStyle="1" w:styleId="Estiloimportado21">
    <w:name w:val="Estilo importado 21"/>
    <w:rsid w:val="007A61F8"/>
  </w:style>
  <w:style w:type="numbering" w:customStyle="1" w:styleId="List26">
    <w:name w:val="List 26"/>
    <w:basedOn w:val="Estiloimportado22"/>
    <w:rsid w:val="007A61F8"/>
    <w:pPr>
      <w:numPr>
        <w:numId w:val="48"/>
      </w:numPr>
    </w:pPr>
  </w:style>
  <w:style w:type="numbering" w:customStyle="1" w:styleId="Estiloimportado22">
    <w:name w:val="Estilo importado 22"/>
    <w:rsid w:val="007A61F8"/>
  </w:style>
  <w:style w:type="numbering" w:customStyle="1" w:styleId="List27">
    <w:name w:val="List 27"/>
    <w:basedOn w:val="Estiloimportado23"/>
    <w:rsid w:val="007A61F8"/>
    <w:pPr>
      <w:numPr>
        <w:numId w:val="41"/>
      </w:numPr>
    </w:pPr>
  </w:style>
  <w:style w:type="numbering" w:customStyle="1" w:styleId="Estiloimportado23">
    <w:name w:val="Estilo importado 23"/>
    <w:rsid w:val="007A61F8"/>
  </w:style>
  <w:style w:type="numbering" w:customStyle="1" w:styleId="List28">
    <w:name w:val="List 28"/>
    <w:basedOn w:val="Estiloimportado24"/>
    <w:rsid w:val="007A61F8"/>
    <w:pPr>
      <w:numPr>
        <w:numId w:val="30"/>
      </w:numPr>
    </w:pPr>
  </w:style>
  <w:style w:type="numbering" w:customStyle="1" w:styleId="Estiloimportado24">
    <w:name w:val="Estilo importado 24"/>
    <w:rsid w:val="007A61F8"/>
  </w:style>
  <w:style w:type="numbering" w:customStyle="1" w:styleId="List29">
    <w:name w:val="List 29"/>
    <w:basedOn w:val="Estiloimportado25"/>
    <w:rsid w:val="007A61F8"/>
    <w:pPr>
      <w:numPr>
        <w:numId w:val="34"/>
      </w:numPr>
    </w:pPr>
  </w:style>
  <w:style w:type="numbering" w:customStyle="1" w:styleId="Estiloimportado25">
    <w:name w:val="Estilo importado 25"/>
    <w:rsid w:val="007A61F8"/>
  </w:style>
  <w:style w:type="numbering" w:customStyle="1" w:styleId="List30">
    <w:name w:val="List 30"/>
    <w:basedOn w:val="Estiloimportado26"/>
    <w:rsid w:val="007A61F8"/>
    <w:pPr>
      <w:numPr>
        <w:numId w:val="32"/>
      </w:numPr>
    </w:pPr>
  </w:style>
  <w:style w:type="numbering" w:customStyle="1" w:styleId="Estiloimportado26">
    <w:name w:val="Estilo importado 26"/>
    <w:rsid w:val="007A61F8"/>
  </w:style>
  <w:style w:type="numbering" w:customStyle="1" w:styleId="Estiloimportado27">
    <w:name w:val="Estilo importado 27"/>
    <w:rsid w:val="007A61F8"/>
  </w:style>
  <w:style w:type="numbering" w:customStyle="1" w:styleId="List32">
    <w:name w:val="List 32"/>
    <w:basedOn w:val="Estiloimportado28"/>
    <w:rsid w:val="007A61F8"/>
    <w:pPr>
      <w:numPr>
        <w:numId w:val="47"/>
      </w:numPr>
    </w:pPr>
  </w:style>
  <w:style w:type="numbering" w:customStyle="1" w:styleId="Estiloimportado28">
    <w:name w:val="Estilo importado 28"/>
    <w:rsid w:val="007A61F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sid w:val="007A61F8"/>
    <w:pPr>
      <w:pBdr>
        <w:top w:val="nil"/>
        <w:left w:val="nil"/>
        <w:bottom w:val="nil"/>
        <w:right w:val="nil"/>
        <w:between w:val="nil"/>
        <w:bar w:val="nil"/>
      </w:pBdr>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uiPriority w:val="99"/>
    <w:qFormat/>
    <w:rsid w:val="007A61F8"/>
    <w:rPr>
      <w:rFonts w:ascii="Calibri" w:eastAsia="Calibri" w:hAnsi="Calibri" w:cs="Calibri"/>
      <w:color w:val="000000"/>
      <w:sz w:val="20"/>
      <w:szCs w:val="20"/>
      <w:u w:color="000000"/>
      <w:bdr w:val="nil"/>
      <w:lang w:eastAsia="es-ES"/>
    </w:rPr>
  </w:style>
  <w:style w:type="numbering" w:customStyle="1" w:styleId="List33">
    <w:name w:val="List 33"/>
    <w:basedOn w:val="Estiloimportado29"/>
    <w:rsid w:val="007A61F8"/>
    <w:pPr>
      <w:numPr>
        <w:numId w:val="26"/>
      </w:numPr>
    </w:pPr>
  </w:style>
  <w:style w:type="numbering" w:customStyle="1" w:styleId="Estiloimportado29">
    <w:name w:val="Estilo importado 29"/>
    <w:rsid w:val="007A61F8"/>
  </w:style>
  <w:style w:type="numbering" w:customStyle="1" w:styleId="List34">
    <w:name w:val="List 34"/>
    <w:basedOn w:val="Estiloimportado30"/>
    <w:rsid w:val="007A61F8"/>
    <w:pPr>
      <w:numPr>
        <w:numId w:val="11"/>
      </w:numPr>
    </w:pPr>
  </w:style>
  <w:style w:type="numbering" w:customStyle="1" w:styleId="Estiloimportado30">
    <w:name w:val="Estilo importado 30"/>
    <w:rsid w:val="007A61F8"/>
  </w:style>
  <w:style w:type="numbering" w:customStyle="1" w:styleId="List35">
    <w:name w:val="List 35"/>
    <w:basedOn w:val="Estiloimportado31"/>
    <w:rsid w:val="007A61F8"/>
    <w:pPr>
      <w:numPr>
        <w:numId w:val="8"/>
      </w:numPr>
    </w:pPr>
  </w:style>
  <w:style w:type="numbering" w:customStyle="1" w:styleId="Estiloimportado31">
    <w:name w:val="Estilo importado 31"/>
    <w:rsid w:val="007A61F8"/>
  </w:style>
  <w:style w:type="numbering" w:customStyle="1" w:styleId="List36">
    <w:name w:val="List 36"/>
    <w:basedOn w:val="Estiloimportado32"/>
    <w:rsid w:val="007A61F8"/>
    <w:pPr>
      <w:numPr>
        <w:numId w:val="14"/>
      </w:numPr>
    </w:pPr>
  </w:style>
  <w:style w:type="numbering" w:customStyle="1" w:styleId="Estiloimportado32">
    <w:name w:val="Estilo importado 32"/>
    <w:rsid w:val="007A61F8"/>
  </w:style>
  <w:style w:type="numbering" w:customStyle="1" w:styleId="List37">
    <w:name w:val="List 37"/>
    <w:basedOn w:val="Estiloimportado33"/>
    <w:rsid w:val="007A61F8"/>
    <w:pPr>
      <w:numPr>
        <w:numId w:val="46"/>
      </w:numPr>
    </w:pPr>
  </w:style>
  <w:style w:type="numbering" w:customStyle="1" w:styleId="Estiloimportado33">
    <w:name w:val="Estilo importado 33"/>
    <w:rsid w:val="007A61F8"/>
  </w:style>
  <w:style w:type="numbering" w:customStyle="1" w:styleId="List38">
    <w:name w:val="List 38"/>
    <w:basedOn w:val="Estiloimportado34"/>
    <w:rsid w:val="007A61F8"/>
    <w:pPr>
      <w:numPr>
        <w:numId w:val="35"/>
      </w:numPr>
    </w:pPr>
  </w:style>
  <w:style w:type="numbering" w:customStyle="1" w:styleId="Estiloimportado34">
    <w:name w:val="Estilo importado 34"/>
    <w:rsid w:val="007A61F8"/>
  </w:style>
  <w:style w:type="numbering" w:customStyle="1" w:styleId="List39">
    <w:name w:val="List 39"/>
    <w:basedOn w:val="Estiloimportado35"/>
    <w:rsid w:val="007A61F8"/>
    <w:pPr>
      <w:numPr>
        <w:numId w:val="45"/>
      </w:numPr>
    </w:pPr>
  </w:style>
  <w:style w:type="numbering" w:customStyle="1" w:styleId="Estiloimportado35">
    <w:name w:val="Estilo importado 35"/>
    <w:rsid w:val="007A61F8"/>
  </w:style>
  <w:style w:type="numbering" w:customStyle="1" w:styleId="List40">
    <w:name w:val="List 40"/>
    <w:basedOn w:val="Estiloimportado36"/>
    <w:rsid w:val="007A61F8"/>
    <w:pPr>
      <w:numPr>
        <w:numId w:val="21"/>
      </w:numPr>
    </w:pPr>
  </w:style>
  <w:style w:type="numbering" w:customStyle="1" w:styleId="Estiloimportado36">
    <w:name w:val="Estilo importado 36"/>
    <w:rsid w:val="007A61F8"/>
  </w:style>
  <w:style w:type="numbering" w:customStyle="1" w:styleId="Estiloimportado37">
    <w:name w:val="Estilo importado 37"/>
    <w:rsid w:val="007A61F8"/>
  </w:style>
  <w:style w:type="numbering" w:customStyle="1" w:styleId="List42">
    <w:name w:val="List 42"/>
    <w:basedOn w:val="Estiloimportado12"/>
    <w:rsid w:val="007A61F8"/>
    <w:pPr>
      <w:numPr>
        <w:numId w:val="12"/>
      </w:numPr>
    </w:pPr>
  </w:style>
  <w:style w:type="numbering" w:customStyle="1" w:styleId="List43">
    <w:name w:val="List 43"/>
    <w:basedOn w:val="Estiloimportado38"/>
    <w:rsid w:val="007A61F8"/>
    <w:pPr>
      <w:numPr>
        <w:numId w:val="23"/>
      </w:numPr>
    </w:pPr>
  </w:style>
  <w:style w:type="numbering" w:customStyle="1" w:styleId="Estiloimportado38">
    <w:name w:val="Estilo importado 38"/>
    <w:rsid w:val="007A61F8"/>
  </w:style>
  <w:style w:type="numbering" w:customStyle="1" w:styleId="List44">
    <w:name w:val="List 44"/>
    <w:basedOn w:val="Estiloimportado39"/>
    <w:rsid w:val="007A61F8"/>
    <w:pPr>
      <w:numPr>
        <w:numId w:val="40"/>
      </w:numPr>
    </w:pPr>
  </w:style>
  <w:style w:type="numbering" w:customStyle="1" w:styleId="Estiloimportado39">
    <w:name w:val="Estilo importado 39"/>
    <w:rsid w:val="007A61F8"/>
  </w:style>
  <w:style w:type="numbering" w:customStyle="1" w:styleId="List45">
    <w:name w:val="List 45"/>
    <w:basedOn w:val="Estiloimportado40"/>
    <w:rsid w:val="007A61F8"/>
    <w:pPr>
      <w:numPr>
        <w:numId w:val="20"/>
      </w:numPr>
    </w:pPr>
  </w:style>
  <w:style w:type="numbering" w:customStyle="1" w:styleId="Estiloimportado40">
    <w:name w:val="Estilo importado 40"/>
    <w:rsid w:val="007A61F8"/>
  </w:style>
  <w:style w:type="numbering" w:customStyle="1" w:styleId="List46">
    <w:name w:val="List 46"/>
    <w:basedOn w:val="Estiloimportado41"/>
    <w:rsid w:val="007A61F8"/>
    <w:pPr>
      <w:numPr>
        <w:numId w:val="24"/>
      </w:numPr>
    </w:pPr>
  </w:style>
  <w:style w:type="numbering" w:customStyle="1" w:styleId="Estiloimportado41">
    <w:name w:val="Estilo importado 41"/>
    <w:rsid w:val="007A61F8"/>
  </w:style>
  <w:style w:type="numbering" w:customStyle="1" w:styleId="List47">
    <w:name w:val="List 47"/>
    <w:basedOn w:val="Estiloimportado42"/>
    <w:rsid w:val="007A61F8"/>
    <w:pPr>
      <w:numPr>
        <w:numId w:val="29"/>
      </w:numPr>
    </w:pPr>
  </w:style>
  <w:style w:type="numbering" w:customStyle="1" w:styleId="Estiloimportado42">
    <w:name w:val="Estilo importado 42"/>
    <w:rsid w:val="007A61F8"/>
  </w:style>
  <w:style w:type="numbering" w:customStyle="1" w:styleId="List48">
    <w:name w:val="List 48"/>
    <w:basedOn w:val="Estiloimportado43"/>
    <w:rsid w:val="007A61F8"/>
    <w:pPr>
      <w:numPr>
        <w:numId w:val="49"/>
      </w:numPr>
    </w:pPr>
  </w:style>
  <w:style w:type="numbering" w:customStyle="1" w:styleId="Estiloimportado43">
    <w:name w:val="Estilo importado 43"/>
    <w:rsid w:val="007A61F8"/>
  </w:style>
  <w:style w:type="numbering" w:customStyle="1" w:styleId="List49">
    <w:name w:val="List 49"/>
    <w:basedOn w:val="Estiloimportado44"/>
    <w:rsid w:val="007A61F8"/>
    <w:pPr>
      <w:numPr>
        <w:numId w:val="39"/>
      </w:numPr>
    </w:pPr>
  </w:style>
  <w:style w:type="numbering" w:customStyle="1" w:styleId="Estiloimportado44">
    <w:name w:val="Estilo importado 44"/>
    <w:rsid w:val="007A61F8"/>
  </w:style>
  <w:style w:type="numbering" w:customStyle="1" w:styleId="List50">
    <w:name w:val="List 50"/>
    <w:basedOn w:val="Estiloimportado45"/>
    <w:rsid w:val="007A61F8"/>
    <w:pPr>
      <w:numPr>
        <w:numId w:val="37"/>
      </w:numPr>
    </w:pPr>
  </w:style>
  <w:style w:type="numbering" w:customStyle="1" w:styleId="Estiloimportado45">
    <w:name w:val="Estilo importado 45"/>
    <w:rsid w:val="007A61F8"/>
  </w:style>
  <w:style w:type="numbering" w:customStyle="1" w:styleId="Estiloimportado46">
    <w:name w:val="Estilo importado 46"/>
    <w:rsid w:val="007A61F8"/>
  </w:style>
  <w:style w:type="numbering" w:customStyle="1" w:styleId="List52">
    <w:name w:val="List 52"/>
    <w:basedOn w:val="Estiloimportado1"/>
    <w:rsid w:val="007A61F8"/>
    <w:pPr>
      <w:numPr>
        <w:numId w:val="9"/>
      </w:numPr>
    </w:pPr>
  </w:style>
  <w:style w:type="paragraph" w:styleId="BalloonText">
    <w:name w:val="Balloon Text"/>
    <w:basedOn w:val="Normal"/>
    <w:link w:val="BalloonTextChar"/>
    <w:semiHidden/>
    <w:unhideWhenUsed/>
    <w:rsid w:val="007A61F8"/>
    <w:rPr>
      <w:rFonts w:ascii="Tahoma" w:hAnsi="Tahoma" w:cs="Tahoma"/>
      <w:sz w:val="16"/>
      <w:szCs w:val="16"/>
    </w:rPr>
  </w:style>
  <w:style w:type="character" w:customStyle="1" w:styleId="BalloonTextChar">
    <w:name w:val="Balloon Text Char"/>
    <w:basedOn w:val="DefaultParagraphFont"/>
    <w:link w:val="BalloonText"/>
    <w:semiHidden/>
    <w:rsid w:val="007A61F8"/>
    <w:rPr>
      <w:rFonts w:ascii="Tahoma" w:eastAsia="Arial Unicode MS" w:hAnsi="Tahoma" w:cs="Tahoma"/>
      <w:sz w:val="16"/>
      <w:szCs w:val="16"/>
      <w:bdr w:val="nil"/>
    </w:rPr>
  </w:style>
  <w:style w:type="paragraph" w:styleId="Header">
    <w:name w:val="header"/>
    <w:aliases w:val="encabezado"/>
    <w:basedOn w:val="Normal"/>
    <w:link w:val="HeaderChar"/>
    <w:rsid w:val="007A61F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7A61F8"/>
    <w:rPr>
      <w:rFonts w:ascii="Univers" w:eastAsia="Times New Roman" w:hAnsi="Univers" w:cs="Univers"/>
    </w:rPr>
  </w:style>
  <w:style w:type="table" w:styleId="MediumGrid2-Accent1">
    <w:name w:val="Medium Grid 2 Accent 1"/>
    <w:basedOn w:val="TableNormal"/>
    <w:uiPriority w:val="63"/>
    <w:rsid w:val="007A61F8"/>
    <w:rPr>
      <w:rFonts w:ascii="Times New Roman" w:eastAsia="Arial Unicode MS"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7A61F8"/>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7A61F8"/>
    <w:pPr>
      <w:tabs>
        <w:tab w:val="left" w:pos="720"/>
        <w:tab w:val="right" w:leader="dot" w:pos="9350"/>
      </w:tabs>
      <w:spacing w:after="100"/>
    </w:pPr>
    <w:rPr>
      <w:rFonts w:ascii="Calibri" w:hAnsi="Calibri"/>
      <w:sz w:val="22"/>
    </w:rPr>
  </w:style>
  <w:style w:type="paragraph" w:styleId="TOC3">
    <w:name w:val="toc 3"/>
    <w:basedOn w:val="Normal"/>
    <w:next w:val="Normal"/>
    <w:autoRedefine/>
    <w:uiPriority w:val="39"/>
    <w:unhideWhenUsed/>
    <w:rsid w:val="007A61F8"/>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7A61F8"/>
    <w:pPr>
      <w:spacing w:after="100"/>
      <w:ind w:left="720"/>
    </w:pPr>
  </w:style>
  <w:style w:type="character" w:styleId="PageNumber">
    <w:name w:val="page number"/>
    <w:basedOn w:val="DefaultParagraphFont"/>
    <w:rsid w:val="007A61F8"/>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
    <w:unhideWhenUsed/>
    <w:qFormat/>
    <w:rsid w:val="007A61F8"/>
    <w:rPr>
      <w:vertAlign w:val="superscript"/>
    </w:rPr>
  </w:style>
  <w:style w:type="paragraph" w:styleId="BodyTextIndent2">
    <w:name w:val="Body Text Indent 2"/>
    <w:basedOn w:val="Normal"/>
    <w:link w:val="BodyTextIndent2Char"/>
    <w:unhideWhenUsed/>
    <w:rsid w:val="007A61F8"/>
    <w:pPr>
      <w:spacing w:after="120" w:line="480" w:lineRule="auto"/>
      <w:ind w:left="360"/>
    </w:pPr>
  </w:style>
  <w:style w:type="character" w:customStyle="1" w:styleId="BodyTextIndent2Char">
    <w:name w:val="Body Text Indent 2 Char"/>
    <w:basedOn w:val="DefaultParagraphFont"/>
    <w:link w:val="BodyTextIndent2"/>
    <w:rsid w:val="007A61F8"/>
    <w:rPr>
      <w:rFonts w:ascii="Times New Roman" w:eastAsia="Arial Unicode MS" w:hAnsi="Times New Roman" w:cs="Times New Roman"/>
      <w:bdr w:val="nil"/>
    </w:rPr>
  </w:style>
  <w:style w:type="paragraph" w:styleId="BodyText">
    <w:name w:val="Body Text"/>
    <w:basedOn w:val="Normal"/>
    <w:link w:val="BodyTextChar"/>
    <w:unhideWhenUsed/>
    <w:rsid w:val="007A61F8"/>
    <w:pPr>
      <w:spacing w:after="120"/>
    </w:pPr>
  </w:style>
  <w:style w:type="character" w:customStyle="1" w:styleId="BodyTextChar">
    <w:name w:val="Body Text Char"/>
    <w:basedOn w:val="DefaultParagraphFont"/>
    <w:link w:val="BodyText"/>
    <w:rsid w:val="007A61F8"/>
    <w:rPr>
      <w:rFonts w:ascii="Times New Roman" w:eastAsia="Arial Unicode MS" w:hAnsi="Times New Roman" w:cs="Times New Roman"/>
      <w:bdr w:val="nil"/>
    </w:rPr>
  </w:style>
  <w:style w:type="paragraph" w:customStyle="1" w:styleId="Default">
    <w:name w:val="Default"/>
    <w:link w:val="DefaultChar"/>
    <w:rsid w:val="007A61F8"/>
    <w:pPr>
      <w:autoSpaceDE w:val="0"/>
      <w:autoSpaceDN w:val="0"/>
      <w:adjustRightInd w:val="0"/>
    </w:pPr>
    <w:rPr>
      <w:rFonts w:ascii="Times New Roman" w:eastAsia="Times New Roman" w:hAnsi="Times New Roman" w:cs="Times New Roman"/>
      <w:color w:val="000000"/>
    </w:rPr>
  </w:style>
  <w:style w:type="paragraph" w:styleId="EndnoteText">
    <w:name w:val="endnote text"/>
    <w:basedOn w:val="Normal"/>
    <w:link w:val="EndnoteTextChar"/>
    <w:rsid w:val="007A61F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7A61F8"/>
    <w:rPr>
      <w:rFonts w:ascii="Times New Roman" w:eastAsia="Times New Roman" w:hAnsi="Times New Roman" w:cs="Times New Roman"/>
    </w:rPr>
  </w:style>
  <w:style w:type="character" w:customStyle="1" w:styleId="DefaultChar">
    <w:name w:val="Default Char"/>
    <w:link w:val="Default"/>
    <w:rsid w:val="007A61F8"/>
    <w:rPr>
      <w:rFonts w:ascii="Times New Roman" w:eastAsia="Times New Roman" w:hAnsi="Times New Roman" w:cs="Times New Roman"/>
      <w:color w:val="000000"/>
    </w:rPr>
  </w:style>
  <w:style w:type="paragraph" w:styleId="NormalWeb">
    <w:name w:val="Normal (Web)"/>
    <w:basedOn w:val="Normal"/>
    <w:uiPriority w:val="99"/>
    <w:rsid w:val="007A61F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rPr>
  </w:style>
  <w:style w:type="character" w:styleId="Strong">
    <w:name w:val="Strong"/>
    <w:uiPriority w:val="22"/>
    <w:qFormat/>
    <w:rsid w:val="007A61F8"/>
    <w:rPr>
      <w:rFonts w:cs="Times New Roman"/>
      <w:b/>
      <w:bCs/>
    </w:rPr>
  </w:style>
  <w:style w:type="character" w:customStyle="1" w:styleId="BodyTextIndentChar1">
    <w:name w:val="Body Text Indent Char1"/>
    <w:link w:val="BodyTextIndent"/>
    <w:locked/>
    <w:rsid w:val="007A61F8"/>
    <w:rPr>
      <w:rFonts w:ascii="Times New Roman" w:eastAsia="Times New Roman" w:hAnsi="Times New Roman" w:cs="Times New Roman"/>
      <w:color w:val="000000"/>
      <w:u w:color="000000"/>
      <w:bdr w:val="nil"/>
      <w:lang w:val="es-ES_tradnl" w:eastAsia="es-ES"/>
    </w:rPr>
  </w:style>
  <w:style w:type="paragraph" w:styleId="BlockText">
    <w:name w:val="Block Text"/>
    <w:basedOn w:val="Normal"/>
    <w:rsid w:val="007A61F8"/>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pPr>
    <w:rPr>
      <w:rFonts w:ascii="Arial" w:eastAsia="Batang" w:hAnsi="Arial" w:cs="Arial"/>
      <w:sz w:val="22"/>
      <w:bdr w:val="none" w:sz="0" w:space="0" w:color="auto"/>
      <w:lang w:val="es-AR"/>
    </w:rPr>
  </w:style>
  <w:style w:type="paragraph" w:styleId="Title">
    <w:name w:val="Title"/>
    <w:basedOn w:val="Normal"/>
    <w:link w:val="TitleChar"/>
    <w:qFormat/>
    <w:rsid w:val="007A61F8"/>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Batang" w:hAnsi="Univers" w:cs="Arial"/>
      <w:b/>
      <w:sz w:val="22"/>
      <w:bdr w:val="none" w:sz="0" w:space="0" w:color="auto"/>
      <w:lang w:val="es-AR"/>
    </w:rPr>
  </w:style>
  <w:style w:type="character" w:customStyle="1" w:styleId="TitleChar">
    <w:name w:val="Title Char"/>
    <w:basedOn w:val="DefaultParagraphFont"/>
    <w:link w:val="Title"/>
    <w:rsid w:val="007A61F8"/>
    <w:rPr>
      <w:rFonts w:ascii="Univers" w:eastAsia="Batang" w:hAnsi="Univers" w:cs="Arial"/>
      <w:b/>
      <w:sz w:val="22"/>
      <w:lang w:val="es-AR"/>
    </w:rPr>
  </w:style>
  <w:style w:type="paragraph" w:styleId="BodyTextIndent3">
    <w:name w:val="Body Text Indent 3"/>
    <w:basedOn w:val="Normal"/>
    <w:link w:val="BodyTextIndent3Char"/>
    <w:rsid w:val="007A61F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Univers" w:eastAsia="Batang" w:hAnsi="Univers"/>
      <w:sz w:val="22"/>
      <w:szCs w:val="20"/>
      <w:bdr w:val="none" w:sz="0" w:space="0" w:color="auto"/>
      <w:lang w:val="es-ES"/>
    </w:rPr>
  </w:style>
  <w:style w:type="character" w:customStyle="1" w:styleId="BodyTextIndent3Char">
    <w:name w:val="Body Text Indent 3 Char"/>
    <w:basedOn w:val="DefaultParagraphFont"/>
    <w:link w:val="BodyTextIndent3"/>
    <w:rsid w:val="007A61F8"/>
    <w:rPr>
      <w:rFonts w:ascii="Univers" w:eastAsia="Batang" w:hAnsi="Univers" w:cs="Times New Roman"/>
      <w:sz w:val="22"/>
      <w:szCs w:val="20"/>
      <w:lang w:val="es-ES"/>
    </w:rPr>
  </w:style>
  <w:style w:type="paragraph" w:styleId="BodyText3">
    <w:name w:val="Body Text 3"/>
    <w:basedOn w:val="Normal"/>
    <w:link w:val="BodyText3Char"/>
    <w:rsid w:val="007A61F8"/>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Batang"/>
      <w:sz w:val="16"/>
      <w:szCs w:val="16"/>
      <w:bdr w:val="none" w:sz="0" w:space="0" w:color="auto"/>
    </w:rPr>
  </w:style>
  <w:style w:type="character" w:customStyle="1" w:styleId="BodyText3Char">
    <w:name w:val="Body Text 3 Char"/>
    <w:basedOn w:val="DefaultParagraphFont"/>
    <w:link w:val="BodyText3"/>
    <w:rsid w:val="007A61F8"/>
    <w:rPr>
      <w:rFonts w:ascii="Times New Roman" w:eastAsia="Batang" w:hAnsi="Times New Roman" w:cs="Times New Roman"/>
      <w:sz w:val="16"/>
      <w:szCs w:val="16"/>
    </w:rPr>
  </w:style>
  <w:style w:type="character" w:customStyle="1" w:styleId="texto1">
    <w:name w:val="texto1"/>
    <w:rsid w:val="007A61F8"/>
    <w:rPr>
      <w:rFonts w:ascii="Tahoma" w:hAnsi="Tahoma" w:cs="Tahoma"/>
      <w:color w:val="000000"/>
      <w:sz w:val="20"/>
      <w:szCs w:val="20"/>
      <w:u w:val="none"/>
      <w:effect w:val="none"/>
    </w:rPr>
  </w:style>
  <w:style w:type="paragraph" w:customStyle="1" w:styleId="CaptulosSt">
    <w:name w:val="Capítulos St."/>
    <w:basedOn w:val="Heading1"/>
    <w:next w:val="Normal"/>
    <w:rsid w:val="007A61F8"/>
    <w:pPr>
      <w:keepLines w:val="0"/>
      <w:numPr>
        <w:numId w:val="0"/>
      </w:num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Verdana" w:eastAsia="Batang" w:hAnsi="Verdana"/>
      <w:bCs w:val="0"/>
      <w:smallCaps/>
      <w:kern w:val="32"/>
      <w:szCs w:val="32"/>
      <w:bdr w:val="none" w:sz="0" w:space="0" w:color="auto"/>
      <w:lang w:val="es-ES_tradnl"/>
    </w:rPr>
  </w:style>
  <w:style w:type="paragraph" w:styleId="DocumentMap">
    <w:name w:val="Document Map"/>
    <w:basedOn w:val="Normal"/>
    <w:link w:val="DocumentMapChar"/>
    <w:semiHidden/>
    <w:rsid w:val="007A61F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Batang" w:hAnsi="Tahoma" w:cs="Tahoma"/>
      <w:sz w:val="20"/>
      <w:szCs w:val="20"/>
      <w:bdr w:val="none" w:sz="0" w:space="0" w:color="auto"/>
    </w:rPr>
  </w:style>
  <w:style w:type="character" w:customStyle="1" w:styleId="DocumentMapChar">
    <w:name w:val="Document Map Char"/>
    <w:basedOn w:val="DefaultParagraphFont"/>
    <w:link w:val="DocumentMap"/>
    <w:semiHidden/>
    <w:rsid w:val="007A61F8"/>
    <w:rPr>
      <w:rFonts w:ascii="Tahoma" w:eastAsia="Batang" w:hAnsi="Tahoma" w:cs="Tahoma"/>
      <w:sz w:val="20"/>
      <w:szCs w:val="20"/>
      <w:shd w:val="clear" w:color="auto" w:fill="000080"/>
    </w:rPr>
  </w:style>
  <w:style w:type="character" w:customStyle="1" w:styleId="FootnoteTextChar3">
    <w:name w:val="Footnote Text Char3"/>
    <w:aliases w:val="Footnote Text Char Char Char Char Char Char1,Footnote Text Char Char Char Char Char2,FA Fu Char1,Footnote reference Char1,Footnote Text Char Char Char Char2,Footnote Text Cha Char1,FA Fußnotentext Char1,FA Fuﬂnotentext Char1,Ca Char2"/>
    <w:locked/>
    <w:rsid w:val="007A61F8"/>
    <w:rPr>
      <w:rFonts w:ascii="Univers" w:hAnsi="Univers" w:cs="Times New Roman"/>
      <w:lang w:val="en-US" w:eastAsia="en-US" w:bidi="ar-SA"/>
    </w:rPr>
  </w:style>
  <w:style w:type="character" w:customStyle="1" w:styleId="CharChar">
    <w:name w:val="Char Char"/>
    <w:semiHidden/>
    <w:rsid w:val="007A61F8"/>
    <w:rPr>
      <w:rFonts w:ascii="Times New Roman" w:hAnsi="Times New Roman"/>
      <w:sz w:val="20"/>
    </w:rPr>
  </w:style>
  <w:style w:type="character" w:customStyle="1" w:styleId="FootnoteTextChar1">
    <w:name w:val="Footnote Text Char1"/>
    <w:semiHidden/>
    <w:locked/>
    <w:rsid w:val="007A61F8"/>
    <w:rPr>
      <w:rFonts w:ascii="Times New Roman" w:hAnsi="Times New Roman"/>
      <w:sz w:val="20"/>
    </w:rPr>
  </w:style>
  <w:style w:type="character" w:customStyle="1" w:styleId="FootnoteTextChar2">
    <w:name w:val="Footnote Text Char2"/>
    <w:aliases w:val="Footnote Text Char Char Char Char Char Char2,Footnote Text Char Char Char Char Char3,FA Fu Char2,Footnote reference Char2,Footnote Text Char Char Char Char3,Footnote Text Cha Char2,FA Fußnotentext Char2,FA Fuﬂnotentext Char2,Ca Char1"/>
    <w:locked/>
    <w:rsid w:val="007A61F8"/>
    <w:rPr>
      <w:rFonts w:ascii="Times New Roman" w:hAnsi="Times New Roman"/>
      <w:sz w:val="20"/>
    </w:rPr>
  </w:style>
  <w:style w:type="character" w:customStyle="1" w:styleId="apple-converted-space">
    <w:name w:val="apple-converted-space"/>
    <w:rsid w:val="007A61F8"/>
    <w:rPr>
      <w:rFonts w:cs="Times New Roman"/>
    </w:rPr>
  </w:style>
  <w:style w:type="character" w:customStyle="1" w:styleId="CharChar1">
    <w:name w:val="Char Char1"/>
    <w:rsid w:val="007A61F8"/>
    <w:rPr>
      <w:lang w:val="en-US" w:eastAsia="en-US"/>
    </w:rPr>
  </w:style>
  <w:style w:type="character" w:styleId="CommentReference">
    <w:name w:val="annotation reference"/>
    <w:semiHidden/>
    <w:rsid w:val="007A61F8"/>
    <w:rPr>
      <w:sz w:val="16"/>
      <w:szCs w:val="16"/>
    </w:rPr>
  </w:style>
  <w:style w:type="paragraph" w:styleId="CommentText">
    <w:name w:val="annotation text"/>
    <w:basedOn w:val="Normal"/>
    <w:link w:val="CommentTextChar"/>
    <w:semiHidden/>
    <w:rsid w:val="007A61F8"/>
    <w:pPr>
      <w:pBdr>
        <w:top w:val="none" w:sz="0" w:space="0" w:color="auto"/>
        <w:left w:val="none" w:sz="0" w:space="0" w:color="auto"/>
        <w:bottom w:val="none" w:sz="0" w:space="0" w:color="auto"/>
        <w:right w:val="none" w:sz="0" w:space="0" w:color="auto"/>
        <w:between w:val="none" w:sz="0" w:space="0" w:color="auto"/>
        <w:bar w:val="none" w:sz="0" w:color="auto"/>
      </w:pBdr>
    </w:pPr>
    <w:rPr>
      <w:rFonts w:eastAsia="Batang"/>
      <w:sz w:val="20"/>
      <w:szCs w:val="20"/>
      <w:bdr w:val="none" w:sz="0" w:space="0" w:color="auto"/>
    </w:rPr>
  </w:style>
  <w:style w:type="character" w:customStyle="1" w:styleId="CommentTextChar">
    <w:name w:val="Comment Text Char"/>
    <w:basedOn w:val="DefaultParagraphFont"/>
    <w:link w:val="CommentText"/>
    <w:semiHidden/>
    <w:rsid w:val="007A61F8"/>
    <w:rPr>
      <w:rFonts w:ascii="Times New Roman" w:eastAsia="Batang" w:hAnsi="Times New Roman" w:cs="Times New Roman"/>
      <w:sz w:val="20"/>
      <w:szCs w:val="20"/>
    </w:rPr>
  </w:style>
  <w:style w:type="paragraph" w:styleId="CommentSubject">
    <w:name w:val="annotation subject"/>
    <w:basedOn w:val="CommentText"/>
    <w:next w:val="CommentText"/>
    <w:link w:val="CommentSubjectChar"/>
    <w:semiHidden/>
    <w:rsid w:val="007A61F8"/>
    <w:rPr>
      <w:b/>
      <w:bCs/>
    </w:rPr>
  </w:style>
  <w:style w:type="character" w:customStyle="1" w:styleId="CommentSubjectChar">
    <w:name w:val="Comment Subject Char"/>
    <w:basedOn w:val="CommentTextChar"/>
    <w:link w:val="CommentSubject"/>
    <w:semiHidden/>
    <w:rsid w:val="007A61F8"/>
    <w:rPr>
      <w:rFonts w:ascii="Times New Roman" w:eastAsia="Batang" w:hAnsi="Times New Roman" w:cs="Times New Roman"/>
      <w:b/>
      <w:bCs/>
      <w:sz w:val="20"/>
      <w:szCs w:val="20"/>
    </w:rPr>
  </w:style>
  <w:style w:type="character" w:customStyle="1" w:styleId="apple-style-span">
    <w:name w:val="apple-style-span"/>
    <w:rsid w:val="007A61F8"/>
  </w:style>
  <w:style w:type="character" w:styleId="Emphasis">
    <w:name w:val="Emphasis"/>
    <w:qFormat/>
    <w:rsid w:val="007A61F8"/>
    <w:rPr>
      <w:i/>
      <w:iCs/>
    </w:rPr>
  </w:style>
  <w:style w:type="character" w:customStyle="1" w:styleId="ColorfulList-Accent1Char">
    <w:name w:val="Colorful List - Accent 1 Char"/>
    <w:aliases w:val="Colorful List - Accent 11 Char"/>
    <w:link w:val="ColorfulList-Accent1"/>
    <w:uiPriority w:val="34"/>
    <w:locked/>
    <w:rsid w:val="007A61F8"/>
    <w:rPr>
      <w:rFonts w:ascii="Cambria" w:eastAsia="Cambria" w:hAnsi="Cambria" w:cs="Cambria"/>
      <w:color w:val="000000"/>
      <w:sz w:val="24"/>
      <w:szCs w:val="24"/>
      <w:u w:color="000000"/>
      <w:lang w:val="en-US"/>
    </w:rPr>
  </w:style>
  <w:style w:type="paragraph" w:styleId="ListParagraph">
    <w:name w:val="List Paragraph"/>
    <w:basedOn w:val="Normal"/>
    <w:qFormat/>
    <w:rsid w:val="007A61F8"/>
    <w:pPr>
      <w:ind w:left="720"/>
    </w:pPr>
  </w:style>
  <w:style w:type="character" w:customStyle="1" w:styleId="normal--char">
    <w:name w:val="normal--char"/>
    <w:basedOn w:val="DefaultParagraphFont"/>
    <w:rsid w:val="007A61F8"/>
  </w:style>
  <w:style w:type="character" w:styleId="FollowedHyperlink">
    <w:name w:val="FollowedHyperlink"/>
    <w:basedOn w:val="DefaultParagraphFont"/>
    <w:uiPriority w:val="99"/>
    <w:semiHidden/>
    <w:unhideWhenUsed/>
    <w:rsid w:val="007A61F8"/>
    <w:rPr>
      <w:color w:val="954F72" w:themeColor="followedHyperlink"/>
      <w:u w:val="single"/>
    </w:rPr>
  </w:style>
  <w:style w:type="table" w:styleId="ColorfulList-Accent1">
    <w:name w:val="Colorful List Accent 1"/>
    <w:basedOn w:val="TableNormal"/>
    <w:link w:val="ColorfulList-Accent1Char"/>
    <w:uiPriority w:val="34"/>
    <w:semiHidden/>
    <w:unhideWhenUsed/>
    <w:rsid w:val="007A61F8"/>
    <w:rPr>
      <w:rFonts w:ascii="Cambria" w:eastAsia="Cambria" w:hAnsi="Cambria" w:cs="Cambria"/>
      <w:color w:val="000000"/>
      <w:u w:color="000000"/>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cidh.org/countryrep/AccesoDESC07sp/Accesodescindice.sp.htm" TargetMode="External"/><Relationship Id="rId13" Type="http://schemas.openxmlformats.org/officeDocument/2006/relationships/hyperlink" Target="http://joomla.corteidh.or.cr:8080/joomla/es/casos-contenciosos/38-jurisprudencia/1505-corte-idh-caso-barbani-duarte-y-otros-vs-uruguay-fondo-reparaciones-y-costas-sentencia-de-13-de-octubre-de-2011-serie-c-no-234" TargetMode="External"/><Relationship Id="rId3" Type="http://schemas.openxmlformats.org/officeDocument/2006/relationships/hyperlink" Target="http://servicios.infoleg.gob.ar/infolegInternet/anexos/30000-34999/32614/norma.htm" TargetMode="External"/><Relationship Id="rId7" Type="http://schemas.openxmlformats.org/officeDocument/2006/relationships/hyperlink" Target="http://www.cidh.org/pdf%20files/Lineamientos%20principales%20para%20una%20pol&#237;tica%20integral%20de%20reparaciones.pdf" TargetMode="External"/><Relationship Id="rId12" Type="http://schemas.openxmlformats.org/officeDocument/2006/relationships/hyperlink" Target="http://joomla.corteidh.or.cr:8080/joomla/es/casos-contenciosos/38-jurisprudencia/1450-corte-idh-caso-lopez-mendoza-vs-venezuela-fondo-reparaciones-y-costas-sentencia-de-1-de-septiembre-de-2011-serie-c-no-233" TargetMode="External"/><Relationship Id="rId2" Type="http://schemas.openxmlformats.org/officeDocument/2006/relationships/hyperlink" Target="http://www.infojus.gob.ar/legislacion/ley-nacional-24043-beneficios_otorgados_personas_puestas.htm?8" TargetMode="External"/><Relationship Id="rId16" Type="http://schemas.openxmlformats.org/officeDocument/2006/relationships/hyperlink" Target="http://joomla.corteidh.or.cr:8080/joomla/es/casos-contenciosos/38-jurisprudencia/1505-corte-idh-caso-barbani-duarte-y-otros-vs-uruguay-fondo-reparaciones-y-costas-sentencia-de-13-de-octubre-de-2011-serie-c-no-234" TargetMode="External"/><Relationship Id="rId1" Type="http://schemas.openxmlformats.org/officeDocument/2006/relationships/hyperlink" Target="https://www.cidh.oas.org/annualrep/99span/Admisible/Argentina11.738.htm" TargetMode="External"/><Relationship Id="rId6" Type="http://schemas.openxmlformats.org/officeDocument/2006/relationships/hyperlink" Target="http://servicios.infoleg.gob.ar/infolegInternet/anexos/15000-19999/19213/texact.htm" TargetMode="External"/><Relationship Id="rId11" Type="http://schemas.openxmlformats.org/officeDocument/2006/relationships/hyperlink" Target="http://joomla.corteidh.or.cr:8080/joomla/es/casos-contenciosos/38-jurisprudencia/475-corte-idh-caso-del-tribunal-constitucional-vs-peru-fondo-reparaciones-y-costas-sentencia-de-31-de-enero-de-2001-serie-c-no-71" TargetMode="External"/><Relationship Id="rId5" Type="http://schemas.openxmlformats.org/officeDocument/2006/relationships/hyperlink" Target="http://www.saij.gob.ar/legislacion/decreto-nacional-26-2006-rechazo_recurso_jerarquico_en.htm%3Bjsessionid=2yic2xhn0yeimp702xyax8rd?0&amp;bsrc=ci" TargetMode="External"/><Relationship Id="rId15" Type="http://schemas.openxmlformats.org/officeDocument/2006/relationships/hyperlink" Target="http://joomla.corteidh.or.cr:8080/joomla/es/casos-contenciosos/38-jurisprudencia/2105-corte-idh-caso-del-tribunal-constitucional-camba-campos-y-otros-vs-ecuador-excepciones-preliminares-fondo-reparaciones-y-costas-sentencia-de-28-de-agosto-de-2013-serie-c-no-268" TargetMode="External"/><Relationship Id="rId10" Type="http://schemas.openxmlformats.org/officeDocument/2006/relationships/hyperlink" Target="http://joomla.corteidh.or.cr:8080/joomla/es/casos-contenciosos/38-jurisprudencia/476-corte-idh-caso-baena-ricardo-y-otros-vs-panama-fondo-reparaciones-y-costas-sentencia-de-2-de-febrero-de-2001-serie-c-no-72" TargetMode="External"/><Relationship Id="rId4" Type="http://schemas.openxmlformats.org/officeDocument/2006/relationships/hyperlink" Target="http://servicios.infoleg.gob.ar/infolegInternet/anexos/30000-34999/32614/norma.htm" TargetMode="External"/><Relationship Id="rId9" Type="http://schemas.openxmlformats.org/officeDocument/2006/relationships/hyperlink" Target="http://joomla.corteidh.or.cr:8080/joomla/es/casos-contenciosos/38-jurisprudencia/698-corte-idh-caso-gomez-palomino-vs-peru-fondo-reparaciones-y-costas-sentencia-de-22-de-noviembre-de-2005-serie-c-no-136" TargetMode="External"/><Relationship Id="rId14" Type="http://schemas.openxmlformats.org/officeDocument/2006/relationships/hyperlink" Target="http://joomla.corteidh.or.cr:8080/joomla/es/casos-contenciosos/38-jurisprudencia/738-corte-idh-caso-claude-reyes-y-otros-vs-chile-fondo-reparaciones-y-costas-sentencia-de-19-de-septiembre-de-2006-serie-c-no-15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BF6A8-79B3-452F-85EB-1298B64CC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8801</Words>
  <Characters>48406</Characters>
  <Application>Microsoft Office Word</Application>
  <DocSecurity>0</DocSecurity>
  <Lines>403</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Serrano</dc:creator>
  <cp:lastModifiedBy>%username%</cp:lastModifiedBy>
  <cp:revision>2</cp:revision>
  <cp:lastPrinted>2017-03-03T00:30:00Z</cp:lastPrinted>
  <dcterms:created xsi:type="dcterms:W3CDTF">2017-03-22T18:54:00Z</dcterms:created>
  <dcterms:modified xsi:type="dcterms:W3CDTF">2017-03-22T18:54:00Z</dcterms:modified>
</cp:coreProperties>
</file>