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B56CF7" w:rsidRDefault="00C0075D" w:rsidP="00627C9F">
      <w:pPr>
        <w:jc w:val="both"/>
        <w:rPr>
          <w:rFonts w:asciiTheme="majorHAnsi" w:hAnsiTheme="majorHAnsi" w:cs="Univers"/>
          <w:b/>
          <w:bCs/>
          <w:sz w:val="20"/>
          <w:szCs w:val="20"/>
          <w:lang w:val="es-ES_tradnl"/>
        </w:rPr>
      </w:pPr>
      <w:r w:rsidRPr="00B56CF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374F52" wp14:editId="34EAC552">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307" w:rsidRDefault="00A26307" w:rsidP="00AE5488">
                            <w:r>
                              <w:rPr>
                                <w:noProof/>
                              </w:rPr>
                              <w:drawing>
                                <wp:inline distT="0" distB="0" distL="0" distR="0" wp14:anchorId="544C72C7" wp14:editId="13DC16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rsidR="00A26307" w:rsidRDefault="00A26307" w:rsidP="00AE5488">
                      <w:r>
                        <w:rPr>
                          <w:noProof/>
                        </w:rPr>
                        <w:drawing>
                          <wp:inline distT="0" distB="0" distL="0" distR="0" wp14:anchorId="544C72C7" wp14:editId="13DC16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043F7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DA0AE09" wp14:editId="0841618B">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p>
    <w:p w:rsidR="00040C3A" w:rsidRPr="00B56CF7" w:rsidRDefault="00040C3A" w:rsidP="00040C3A">
      <w:pPr>
        <w:tabs>
          <w:tab w:val="center" w:pos="5400"/>
        </w:tabs>
        <w:suppressAutoHyphens/>
        <w:jc w:val="both"/>
        <w:rPr>
          <w:rFonts w:asciiTheme="majorHAnsi" w:hAnsiTheme="majorHAnsi"/>
          <w:sz w:val="20"/>
          <w:szCs w:val="20"/>
          <w:lang w:val="es-ES_tradnl"/>
        </w:rPr>
      </w:pPr>
    </w:p>
    <w:p w:rsidR="00040C3A" w:rsidRPr="00B56CF7" w:rsidRDefault="00040C3A" w:rsidP="00040C3A">
      <w:pPr>
        <w:tabs>
          <w:tab w:val="center" w:pos="5400"/>
        </w:tabs>
        <w:suppressAutoHyphens/>
        <w:jc w:val="both"/>
        <w:rPr>
          <w:rFonts w:asciiTheme="majorHAnsi" w:hAnsiTheme="majorHAnsi"/>
          <w:sz w:val="20"/>
          <w:szCs w:val="20"/>
          <w:lang w:val="es-ES_tradnl"/>
        </w:rPr>
      </w:pPr>
    </w:p>
    <w:p w:rsidR="005128E4" w:rsidRPr="00B56CF7" w:rsidRDefault="005128E4" w:rsidP="00040C3A">
      <w:pPr>
        <w:tabs>
          <w:tab w:val="center" w:pos="5400"/>
        </w:tabs>
        <w:suppressAutoHyphens/>
        <w:rPr>
          <w:rFonts w:asciiTheme="majorHAnsi" w:hAnsiTheme="majorHAnsi"/>
          <w:sz w:val="20"/>
          <w:szCs w:val="20"/>
          <w:lang w:val="es-ES_tradnl"/>
        </w:rPr>
      </w:pPr>
    </w:p>
    <w:p w:rsidR="005128E4" w:rsidRPr="00B56CF7" w:rsidRDefault="005128E4" w:rsidP="00040C3A">
      <w:pPr>
        <w:tabs>
          <w:tab w:val="center" w:pos="5400"/>
        </w:tabs>
        <w:suppressAutoHyphens/>
        <w:rPr>
          <w:rFonts w:asciiTheme="majorHAnsi" w:hAnsiTheme="majorHAnsi"/>
          <w:sz w:val="20"/>
          <w:szCs w:val="20"/>
          <w:lang w:val="es-ES_tradnl"/>
        </w:rPr>
      </w:pPr>
    </w:p>
    <w:p w:rsidR="005128E4" w:rsidRPr="00B56CF7" w:rsidRDefault="005128E4" w:rsidP="00040C3A">
      <w:pPr>
        <w:tabs>
          <w:tab w:val="center" w:pos="5400"/>
        </w:tabs>
        <w:suppressAutoHyphens/>
        <w:rPr>
          <w:rFonts w:asciiTheme="majorHAnsi" w:hAnsiTheme="majorHAnsi"/>
          <w:sz w:val="20"/>
          <w:szCs w:val="20"/>
          <w:lang w:val="es-ES_tradnl"/>
        </w:rPr>
      </w:pPr>
    </w:p>
    <w:p w:rsidR="00040C3A" w:rsidRPr="00B56CF7" w:rsidRDefault="00040C3A" w:rsidP="005128E4">
      <w:pPr>
        <w:tabs>
          <w:tab w:val="center" w:pos="5400"/>
        </w:tabs>
        <w:suppressAutoHyphens/>
        <w:jc w:val="center"/>
        <w:rPr>
          <w:rFonts w:asciiTheme="majorHAnsi" w:hAnsiTheme="majorHAnsi"/>
          <w:sz w:val="20"/>
          <w:szCs w:val="20"/>
          <w:lang w:val="es-ES_tradnl"/>
        </w:rPr>
      </w:pPr>
    </w:p>
    <w:p w:rsidR="005B52B0" w:rsidRPr="00B56CF7" w:rsidRDefault="005B52B0" w:rsidP="005128E4">
      <w:pPr>
        <w:tabs>
          <w:tab w:val="center" w:pos="5400"/>
        </w:tabs>
        <w:suppressAutoHyphens/>
        <w:jc w:val="center"/>
        <w:rPr>
          <w:rFonts w:asciiTheme="majorHAnsi" w:hAnsiTheme="majorHAnsi"/>
          <w:sz w:val="20"/>
          <w:szCs w:val="20"/>
          <w:lang w:val="es-ES_tradnl"/>
        </w:rPr>
      </w:pPr>
    </w:p>
    <w:p w:rsidR="005B52B0" w:rsidRPr="00B56CF7" w:rsidRDefault="005B52B0" w:rsidP="005128E4">
      <w:pPr>
        <w:tabs>
          <w:tab w:val="center" w:pos="5400"/>
        </w:tabs>
        <w:suppressAutoHyphens/>
        <w:jc w:val="center"/>
        <w:rPr>
          <w:rFonts w:asciiTheme="majorHAnsi" w:hAnsiTheme="majorHAnsi"/>
          <w:sz w:val="20"/>
          <w:szCs w:val="20"/>
          <w:lang w:val="es-ES_tradnl"/>
        </w:rPr>
      </w:pPr>
    </w:p>
    <w:p w:rsidR="005B52B0" w:rsidRPr="00B56CF7" w:rsidRDefault="005B52B0" w:rsidP="005128E4">
      <w:pPr>
        <w:tabs>
          <w:tab w:val="center" w:pos="5400"/>
        </w:tabs>
        <w:suppressAutoHyphens/>
        <w:jc w:val="center"/>
        <w:rPr>
          <w:rFonts w:asciiTheme="majorHAnsi" w:hAnsiTheme="majorHAnsi"/>
          <w:sz w:val="20"/>
          <w:szCs w:val="20"/>
          <w:lang w:val="es-ES_tradnl"/>
        </w:rPr>
      </w:pPr>
    </w:p>
    <w:p w:rsidR="00040C3A" w:rsidRPr="00B56CF7" w:rsidRDefault="00040C3A" w:rsidP="00040C3A">
      <w:pPr>
        <w:tabs>
          <w:tab w:val="center" w:pos="5400"/>
        </w:tabs>
        <w:suppressAutoHyphens/>
        <w:jc w:val="center"/>
        <w:rPr>
          <w:rFonts w:asciiTheme="majorHAnsi" w:hAnsiTheme="majorHAnsi"/>
          <w:sz w:val="20"/>
          <w:szCs w:val="20"/>
          <w:lang w:val="es-ES_tradnl"/>
        </w:rPr>
      </w:pPr>
    </w:p>
    <w:p w:rsidR="00040C3A" w:rsidRPr="00B56CF7" w:rsidRDefault="00040C3A" w:rsidP="00040C3A">
      <w:pPr>
        <w:tabs>
          <w:tab w:val="center" w:pos="5400"/>
        </w:tabs>
        <w:suppressAutoHyphens/>
        <w:jc w:val="center"/>
        <w:rPr>
          <w:rFonts w:asciiTheme="majorHAnsi" w:hAnsiTheme="majorHAnsi"/>
          <w:sz w:val="20"/>
          <w:szCs w:val="20"/>
          <w:lang w:val="es-ES_tradnl"/>
        </w:rPr>
      </w:pPr>
    </w:p>
    <w:p w:rsidR="00040C3A" w:rsidRPr="00B56CF7" w:rsidRDefault="00C0075D" w:rsidP="00040C3A">
      <w:pPr>
        <w:tabs>
          <w:tab w:val="center" w:pos="5400"/>
        </w:tabs>
        <w:suppressAutoHyphens/>
        <w:jc w:val="center"/>
        <w:rPr>
          <w:rFonts w:asciiTheme="majorHAnsi" w:hAnsiTheme="majorHAnsi"/>
          <w:sz w:val="20"/>
          <w:szCs w:val="20"/>
          <w:lang w:val="es-ES_tradnl"/>
        </w:rPr>
      </w:pPr>
      <w:r w:rsidRPr="00B56CF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F47D5E8" wp14:editId="11E5F8E8">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307" w:rsidRPr="00B06C1C" w:rsidRDefault="00A26307"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53/16</w:t>
                            </w:r>
                          </w:p>
                          <w:p w:rsidR="00A26307" w:rsidRPr="00093196" w:rsidRDefault="00A26307"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12.056</w:t>
                            </w:r>
                          </w:p>
                          <w:p w:rsidR="00A26307" w:rsidRPr="0010736F" w:rsidRDefault="00A2630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rsidR="00A26307" w:rsidRPr="0010736F" w:rsidRDefault="00A26307" w:rsidP="00997BC5">
                            <w:pPr>
                              <w:spacing w:line="276" w:lineRule="auto"/>
                              <w:rPr>
                                <w:rFonts w:asciiTheme="majorHAnsi" w:hAnsiTheme="majorHAnsi" w:cs="Arial"/>
                                <w:color w:val="0D0D0D" w:themeColor="text1" w:themeTint="F2"/>
                                <w:szCs w:val="22"/>
                                <w:lang w:val="es-ES_tradnl"/>
                              </w:rPr>
                            </w:pPr>
                            <w:bookmarkStart w:id="0" w:name="_ftnref1"/>
                          </w:p>
                          <w:bookmarkEnd w:id="0"/>
                          <w:p w:rsidR="00A26307" w:rsidRPr="005E21D4" w:rsidRDefault="00A26307" w:rsidP="00997BC5">
                            <w:pPr>
                              <w:spacing w:line="276" w:lineRule="auto"/>
                              <w:rPr>
                                <w:rFonts w:asciiTheme="majorHAnsi" w:hAnsiTheme="majorHAnsi" w:cs="Arial"/>
                                <w:color w:val="0D0D0D" w:themeColor="text1" w:themeTint="F2"/>
                                <w:szCs w:val="22"/>
                                <w:lang w:val="es-VE"/>
                              </w:rPr>
                            </w:pPr>
                            <w:r>
                              <w:rPr>
                                <w:rFonts w:ascii="Cambria" w:hAnsi="Cambria"/>
                                <w:lang w:val="es-ES"/>
                              </w:rPr>
                              <w:t>GABRIEL OSCAR JENKINS</w:t>
                            </w:r>
                          </w:p>
                          <w:p w:rsidR="00A26307" w:rsidRPr="0010736F" w:rsidRDefault="00A2630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ARGENTINA</w:t>
                            </w:r>
                          </w:p>
                          <w:p w:rsidR="00A26307" w:rsidRPr="00AE5488" w:rsidRDefault="00A2630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A26307" w:rsidRPr="00B06C1C" w:rsidRDefault="00A26307"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53/16</w:t>
                      </w:r>
                    </w:p>
                    <w:p w:rsidR="00A26307" w:rsidRPr="00093196" w:rsidRDefault="00A26307"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12.056</w:t>
                      </w:r>
                    </w:p>
                    <w:p w:rsidR="00A26307" w:rsidRPr="0010736F" w:rsidRDefault="00A2630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rsidR="00A26307" w:rsidRPr="0010736F" w:rsidRDefault="00A26307" w:rsidP="00997BC5">
                      <w:pPr>
                        <w:spacing w:line="276" w:lineRule="auto"/>
                        <w:rPr>
                          <w:rFonts w:asciiTheme="majorHAnsi" w:hAnsiTheme="majorHAnsi" w:cs="Arial"/>
                          <w:color w:val="0D0D0D" w:themeColor="text1" w:themeTint="F2"/>
                          <w:szCs w:val="22"/>
                          <w:lang w:val="es-ES_tradnl"/>
                        </w:rPr>
                      </w:pPr>
                      <w:bookmarkStart w:id="1" w:name="_ftnref1"/>
                    </w:p>
                    <w:bookmarkEnd w:id="1"/>
                    <w:p w:rsidR="00A26307" w:rsidRPr="005E21D4" w:rsidRDefault="00A26307" w:rsidP="00997BC5">
                      <w:pPr>
                        <w:spacing w:line="276" w:lineRule="auto"/>
                        <w:rPr>
                          <w:rFonts w:asciiTheme="majorHAnsi" w:hAnsiTheme="majorHAnsi" w:cs="Arial"/>
                          <w:color w:val="0D0D0D" w:themeColor="text1" w:themeTint="F2"/>
                          <w:szCs w:val="22"/>
                          <w:lang w:val="es-VE"/>
                        </w:rPr>
                      </w:pPr>
                      <w:r>
                        <w:rPr>
                          <w:rFonts w:ascii="Cambria" w:hAnsi="Cambria"/>
                          <w:lang w:val="es-ES"/>
                        </w:rPr>
                        <w:t>GABRIEL OSCAR JENKINS</w:t>
                      </w:r>
                    </w:p>
                    <w:p w:rsidR="00A26307" w:rsidRPr="0010736F" w:rsidRDefault="00A2630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ARGENTINA</w:t>
                      </w:r>
                    </w:p>
                    <w:p w:rsidR="00A26307" w:rsidRPr="00AE5488" w:rsidRDefault="00A26307" w:rsidP="007A5817">
                      <w:pPr>
                        <w:rPr>
                          <w:color w:val="0D0D0D" w:themeColor="text1" w:themeTint="F2"/>
                          <w:lang w:val="es-ES_tradnl"/>
                        </w:rPr>
                      </w:pPr>
                    </w:p>
                  </w:txbxContent>
                </v:textbox>
              </v:shape>
            </w:pict>
          </mc:Fallback>
        </mc:AlternateContent>
      </w:r>
      <w:r w:rsidRPr="00043F7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E8A84AB" wp14:editId="63106A4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307" w:rsidRPr="0094120E" w:rsidRDefault="00A263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OEA/Ser.L/V/II.159</w:t>
                            </w:r>
                          </w:p>
                          <w:p w:rsidR="00A26307" w:rsidRPr="0094120E" w:rsidRDefault="00A263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62</w:t>
                            </w:r>
                          </w:p>
                          <w:p w:rsidR="00A26307" w:rsidRPr="00B06C1C" w:rsidRDefault="00A263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6 de diciembre de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6</w:t>
                            </w:r>
                          </w:p>
                          <w:p w:rsidR="00A26307" w:rsidRPr="000C5BC3" w:rsidRDefault="00A26307"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A26307" w:rsidRPr="0094120E" w:rsidRDefault="00A263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OEA/Ser.L/V/II.159</w:t>
                      </w:r>
                    </w:p>
                    <w:p w:rsidR="00A26307" w:rsidRPr="0094120E" w:rsidRDefault="00A263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62</w:t>
                      </w:r>
                    </w:p>
                    <w:p w:rsidR="00A26307" w:rsidRPr="00B06C1C" w:rsidRDefault="00A263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6 de diciembre de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6</w:t>
                      </w:r>
                    </w:p>
                    <w:p w:rsidR="00A26307" w:rsidRPr="000C5BC3" w:rsidRDefault="00A26307"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rsidR="00040C3A" w:rsidRPr="00B56CF7" w:rsidRDefault="00040C3A" w:rsidP="00040C3A">
      <w:pPr>
        <w:tabs>
          <w:tab w:val="center" w:pos="5400"/>
        </w:tabs>
        <w:suppressAutoHyphens/>
        <w:jc w:val="center"/>
        <w:rPr>
          <w:rFonts w:asciiTheme="majorHAnsi" w:hAnsiTheme="majorHAnsi"/>
          <w:sz w:val="20"/>
          <w:szCs w:val="20"/>
          <w:lang w:val="es-ES_tradnl"/>
        </w:rPr>
      </w:pPr>
    </w:p>
    <w:p w:rsidR="00040C3A" w:rsidRPr="00B56CF7" w:rsidRDefault="00040C3A" w:rsidP="00040C3A">
      <w:pPr>
        <w:tabs>
          <w:tab w:val="center" w:pos="5400"/>
        </w:tabs>
        <w:suppressAutoHyphens/>
        <w:jc w:val="center"/>
        <w:rPr>
          <w:rFonts w:asciiTheme="majorHAnsi" w:hAnsiTheme="majorHAnsi"/>
          <w:sz w:val="20"/>
          <w:szCs w:val="20"/>
          <w:lang w:val="es-ES_tradnl"/>
        </w:rPr>
      </w:pPr>
    </w:p>
    <w:p w:rsidR="00040C3A" w:rsidRPr="00B56CF7" w:rsidRDefault="00040C3A" w:rsidP="00040C3A">
      <w:pPr>
        <w:tabs>
          <w:tab w:val="center" w:pos="5400"/>
        </w:tabs>
        <w:suppressAutoHyphens/>
        <w:jc w:val="center"/>
        <w:rPr>
          <w:rFonts w:asciiTheme="majorHAnsi" w:hAnsiTheme="majorHAnsi" w:cs="Arial"/>
          <w:sz w:val="20"/>
          <w:szCs w:val="20"/>
          <w:lang w:val="es-ES_tradnl"/>
        </w:rPr>
      </w:pPr>
    </w:p>
    <w:p w:rsidR="00040C3A" w:rsidRPr="00B56CF7" w:rsidRDefault="00040C3A" w:rsidP="00040C3A">
      <w:pPr>
        <w:tabs>
          <w:tab w:val="center" w:pos="5400"/>
        </w:tabs>
        <w:suppressAutoHyphens/>
        <w:jc w:val="center"/>
        <w:rPr>
          <w:rFonts w:asciiTheme="majorHAnsi" w:hAnsiTheme="majorHAnsi"/>
          <w:sz w:val="20"/>
          <w:szCs w:val="20"/>
          <w:lang w:val="es-ES_tradnl"/>
        </w:rPr>
      </w:pPr>
    </w:p>
    <w:p w:rsidR="00040C3A" w:rsidRPr="00B56CF7" w:rsidRDefault="00040C3A" w:rsidP="00040C3A">
      <w:pPr>
        <w:tabs>
          <w:tab w:val="center" w:pos="5400"/>
        </w:tabs>
        <w:suppressAutoHyphens/>
        <w:jc w:val="center"/>
        <w:rPr>
          <w:rFonts w:asciiTheme="majorHAnsi" w:hAnsiTheme="majorHAnsi"/>
          <w:sz w:val="20"/>
          <w:szCs w:val="20"/>
          <w:lang w:val="es-ES_tradnl"/>
        </w:rPr>
      </w:pPr>
    </w:p>
    <w:p w:rsidR="00040C3A" w:rsidRPr="00B56CF7" w:rsidRDefault="00040C3A" w:rsidP="00040C3A">
      <w:pPr>
        <w:tabs>
          <w:tab w:val="center" w:pos="5400"/>
        </w:tabs>
        <w:suppressAutoHyphens/>
        <w:jc w:val="center"/>
        <w:rPr>
          <w:rFonts w:asciiTheme="majorHAnsi" w:hAnsiTheme="majorHAnsi"/>
          <w:sz w:val="20"/>
          <w:szCs w:val="20"/>
          <w:lang w:val="es-ES_tradnl"/>
        </w:rPr>
      </w:pPr>
    </w:p>
    <w:p w:rsidR="00040C3A" w:rsidRPr="00B56CF7" w:rsidRDefault="00040C3A" w:rsidP="00040C3A">
      <w:pPr>
        <w:tabs>
          <w:tab w:val="center" w:pos="5400"/>
        </w:tabs>
        <w:suppressAutoHyphens/>
        <w:jc w:val="center"/>
        <w:rPr>
          <w:rFonts w:asciiTheme="majorHAnsi" w:hAnsiTheme="majorHAnsi"/>
          <w:sz w:val="20"/>
          <w:szCs w:val="20"/>
          <w:lang w:val="es-ES_tradnl"/>
        </w:rPr>
      </w:pPr>
    </w:p>
    <w:p w:rsidR="005128E4" w:rsidRPr="00B56CF7" w:rsidRDefault="005128E4" w:rsidP="00040C3A">
      <w:pPr>
        <w:tabs>
          <w:tab w:val="center" w:pos="5400"/>
        </w:tabs>
        <w:suppressAutoHyphens/>
        <w:jc w:val="center"/>
        <w:rPr>
          <w:rFonts w:asciiTheme="majorHAnsi" w:hAnsiTheme="majorHAnsi"/>
          <w:sz w:val="20"/>
          <w:szCs w:val="20"/>
          <w:lang w:val="es-ES_tradnl"/>
        </w:rPr>
      </w:pPr>
    </w:p>
    <w:p w:rsidR="00040C3A" w:rsidRPr="00B56CF7" w:rsidRDefault="00040C3A" w:rsidP="00040C3A">
      <w:pPr>
        <w:tabs>
          <w:tab w:val="center" w:pos="5400"/>
        </w:tabs>
        <w:suppressAutoHyphens/>
        <w:jc w:val="center"/>
        <w:rPr>
          <w:rFonts w:asciiTheme="majorHAnsi" w:hAnsiTheme="majorHAnsi"/>
          <w:sz w:val="20"/>
          <w:szCs w:val="20"/>
          <w:lang w:val="es-ES_tradnl"/>
        </w:rPr>
      </w:pPr>
    </w:p>
    <w:p w:rsidR="005128E4" w:rsidRPr="00B56CF7" w:rsidRDefault="005128E4" w:rsidP="00040C3A">
      <w:pPr>
        <w:tabs>
          <w:tab w:val="center" w:pos="5400"/>
        </w:tabs>
        <w:suppressAutoHyphens/>
        <w:jc w:val="center"/>
        <w:rPr>
          <w:rFonts w:asciiTheme="majorHAnsi" w:hAnsiTheme="majorHAnsi"/>
          <w:sz w:val="20"/>
          <w:szCs w:val="20"/>
          <w:lang w:val="es-ES_tradnl"/>
        </w:rPr>
      </w:pPr>
    </w:p>
    <w:p w:rsidR="005128E4" w:rsidRPr="00B56CF7" w:rsidRDefault="005128E4" w:rsidP="00040C3A">
      <w:pPr>
        <w:tabs>
          <w:tab w:val="center" w:pos="5400"/>
        </w:tabs>
        <w:suppressAutoHyphens/>
        <w:jc w:val="center"/>
        <w:rPr>
          <w:rFonts w:asciiTheme="majorHAnsi" w:hAnsiTheme="majorHAnsi"/>
          <w:sz w:val="20"/>
          <w:szCs w:val="20"/>
          <w:lang w:val="es-ES_tradnl"/>
        </w:rPr>
      </w:pPr>
    </w:p>
    <w:p w:rsidR="005128E4" w:rsidRPr="00B56CF7" w:rsidRDefault="005128E4" w:rsidP="00040C3A">
      <w:pPr>
        <w:tabs>
          <w:tab w:val="center" w:pos="5400"/>
        </w:tabs>
        <w:suppressAutoHyphens/>
        <w:jc w:val="center"/>
        <w:rPr>
          <w:rFonts w:asciiTheme="majorHAnsi" w:hAnsiTheme="majorHAnsi"/>
          <w:sz w:val="20"/>
          <w:szCs w:val="20"/>
          <w:lang w:val="es-ES_tradnl"/>
        </w:rPr>
      </w:pPr>
    </w:p>
    <w:p w:rsidR="00040C3A" w:rsidRPr="00B56CF7" w:rsidRDefault="00040C3A" w:rsidP="00040C3A">
      <w:pPr>
        <w:tabs>
          <w:tab w:val="center" w:pos="5400"/>
        </w:tabs>
        <w:suppressAutoHyphens/>
        <w:jc w:val="center"/>
        <w:rPr>
          <w:rFonts w:asciiTheme="majorHAnsi" w:hAnsiTheme="majorHAnsi"/>
          <w:sz w:val="20"/>
          <w:szCs w:val="20"/>
          <w:lang w:val="es-ES_tradnl"/>
        </w:rPr>
      </w:pPr>
    </w:p>
    <w:p w:rsidR="00040C3A" w:rsidRPr="00B56CF7" w:rsidRDefault="00040C3A"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C0075D" w:rsidP="00040C3A">
      <w:pPr>
        <w:tabs>
          <w:tab w:val="center" w:pos="5400"/>
        </w:tabs>
        <w:suppressAutoHyphens/>
        <w:jc w:val="center"/>
        <w:rPr>
          <w:rFonts w:asciiTheme="majorHAnsi" w:hAnsiTheme="majorHAnsi"/>
          <w:sz w:val="20"/>
          <w:szCs w:val="20"/>
          <w:lang w:val="es-ES_tradnl"/>
        </w:rPr>
      </w:pPr>
      <w:r w:rsidRPr="00B56CF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7CA6E61" wp14:editId="7BF93C60">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307" w:rsidRPr="00890650" w:rsidRDefault="00A26307"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2070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6 de diciembre de 2016</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159</w:t>
                            </w:r>
                            <w:r w:rsidRPr="00890650">
                              <w:rPr>
                                <w:rFonts w:asciiTheme="majorHAnsi" w:hAnsiTheme="majorHAnsi" w:cs="Univers"/>
                                <w:color w:val="0D0D0D" w:themeColor="text1" w:themeTint="F2"/>
                                <w:sz w:val="18"/>
                                <w:szCs w:val="20"/>
                                <w:lang w:val="es-ES_tradnl"/>
                              </w:rPr>
                              <w:t xml:space="preserve"> período ordinario de sesiones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A26307" w:rsidRPr="00890650" w:rsidRDefault="00A26307"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2070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6 de diciembre de 2016</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159</w:t>
                      </w:r>
                      <w:r w:rsidRPr="00890650">
                        <w:rPr>
                          <w:rFonts w:asciiTheme="majorHAnsi" w:hAnsiTheme="majorHAnsi" w:cs="Univers"/>
                          <w:color w:val="0D0D0D" w:themeColor="text1" w:themeTint="F2"/>
                          <w:sz w:val="18"/>
                          <w:szCs w:val="20"/>
                          <w:lang w:val="es-ES_tradnl"/>
                        </w:rPr>
                        <w:t xml:space="preserve"> período ordinario de sesiones</w:t>
                      </w:r>
                    </w:p>
                  </w:txbxContent>
                </v:textbox>
              </v:shape>
            </w:pict>
          </mc:Fallback>
        </mc:AlternateContent>
      </w: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A50FCF" w:rsidRPr="00B56CF7" w:rsidRDefault="00C0075D" w:rsidP="00040C3A">
      <w:pPr>
        <w:tabs>
          <w:tab w:val="center" w:pos="5400"/>
        </w:tabs>
        <w:suppressAutoHyphens/>
        <w:jc w:val="center"/>
        <w:rPr>
          <w:rFonts w:asciiTheme="majorHAnsi" w:hAnsiTheme="majorHAnsi"/>
          <w:sz w:val="20"/>
          <w:szCs w:val="20"/>
          <w:lang w:val="es-ES_tradnl"/>
        </w:rPr>
      </w:pPr>
      <w:r w:rsidRPr="00B56CF7">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38E3779" wp14:editId="21F2D588">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307" w:rsidRDefault="00A26307"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53</w:t>
                            </w:r>
                            <w:r w:rsidRPr="000C5BC3">
                              <w:rPr>
                                <w:rFonts w:asciiTheme="majorHAnsi" w:hAnsiTheme="majorHAnsi"/>
                                <w:color w:val="595959" w:themeColor="text1" w:themeTint="A6"/>
                                <w:sz w:val="18"/>
                                <w:szCs w:val="18"/>
                                <w:lang w:val="es-ES"/>
                              </w:rPr>
                              <w:t>/16</w:t>
                            </w:r>
                            <w:r>
                              <w:rPr>
                                <w:rFonts w:asciiTheme="majorHAnsi" w:hAnsiTheme="majorHAnsi"/>
                                <w:color w:val="595959" w:themeColor="text1" w:themeTint="A6"/>
                                <w:sz w:val="18"/>
                                <w:szCs w:val="18"/>
                                <w:lang w:val="es-ES_tradnl"/>
                              </w:rPr>
                              <w:t>, Caso 12</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056</w:t>
                            </w:r>
                          </w:p>
                          <w:p w:rsidR="00A26307" w:rsidRDefault="00A26307" w:rsidP="00EB1199">
                            <w:pPr>
                              <w:spacing w:line="276" w:lineRule="auto"/>
                              <w:rPr>
                                <w:rFonts w:asciiTheme="majorHAnsi" w:hAnsiTheme="majorHAnsi"/>
                                <w:color w:val="595959" w:themeColor="text1" w:themeTint="A6"/>
                                <w:sz w:val="18"/>
                                <w:szCs w:val="18"/>
                                <w:lang w:val="es-VE"/>
                              </w:rPr>
                            </w:pP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Gabriel Oscar Jenkins.</w:t>
                            </w:r>
                          </w:p>
                          <w:p w:rsidR="00A26307" w:rsidRPr="00093196" w:rsidRDefault="00A26307" w:rsidP="00EB1199">
                            <w:pPr>
                              <w:spacing w:line="276" w:lineRule="auto"/>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6 de diciembre de 2016</w:t>
                            </w:r>
                            <w:r w:rsidRPr="0009319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A26307" w:rsidRDefault="00A26307"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53</w:t>
                      </w:r>
                      <w:r w:rsidRPr="000C5BC3">
                        <w:rPr>
                          <w:rFonts w:asciiTheme="majorHAnsi" w:hAnsiTheme="majorHAnsi"/>
                          <w:color w:val="595959" w:themeColor="text1" w:themeTint="A6"/>
                          <w:sz w:val="18"/>
                          <w:szCs w:val="18"/>
                          <w:lang w:val="es-ES"/>
                        </w:rPr>
                        <w:t>/16</w:t>
                      </w:r>
                      <w:r>
                        <w:rPr>
                          <w:rFonts w:asciiTheme="majorHAnsi" w:hAnsiTheme="majorHAnsi"/>
                          <w:color w:val="595959" w:themeColor="text1" w:themeTint="A6"/>
                          <w:sz w:val="18"/>
                          <w:szCs w:val="18"/>
                          <w:lang w:val="es-ES_tradnl"/>
                        </w:rPr>
                        <w:t>, Caso 12</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056</w:t>
                      </w:r>
                    </w:p>
                    <w:p w:rsidR="00A26307" w:rsidRDefault="00A26307" w:rsidP="00EB1199">
                      <w:pPr>
                        <w:spacing w:line="276" w:lineRule="auto"/>
                        <w:rPr>
                          <w:rFonts w:asciiTheme="majorHAnsi" w:hAnsiTheme="majorHAnsi"/>
                          <w:color w:val="595959" w:themeColor="text1" w:themeTint="A6"/>
                          <w:sz w:val="18"/>
                          <w:szCs w:val="18"/>
                          <w:lang w:val="es-VE"/>
                        </w:rPr>
                      </w:pP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Gabriel Oscar Jenkins.</w:t>
                      </w:r>
                    </w:p>
                    <w:p w:rsidR="00A26307" w:rsidRPr="00093196" w:rsidRDefault="00A26307" w:rsidP="00EB1199">
                      <w:pPr>
                        <w:spacing w:line="276" w:lineRule="auto"/>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6 de diciembre de 2016</w:t>
                      </w:r>
                      <w:r w:rsidRPr="00093196">
                        <w:rPr>
                          <w:rFonts w:asciiTheme="majorHAnsi" w:hAnsiTheme="majorHAnsi"/>
                          <w:color w:val="595959" w:themeColor="text1" w:themeTint="A6"/>
                          <w:sz w:val="18"/>
                          <w:szCs w:val="18"/>
                          <w:lang w:val="es-ES"/>
                        </w:rPr>
                        <w:t>.</w:t>
                      </w:r>
                    </w:p>
                  </w:txbxContent>
                </v:textbox>
              </v:shape>
            </w:pict>
          </mc:Fallback>
        </mc:AlternateContent>
      </w:r>
    </w:p>
    <w:p w:rsidR="00A50FCF" w:rsidRPr="00B56CF7" w:rsidRDefault="00A50FCF" w:rsidP="00040C3A">
      <w:pPr>
        <w:tabs>
          <w:tab w:val="center" w:pos="5400"/>
        </w:tabs>
        <w:suppressAutoHyphens/>
        <w:jc w:val="center"/>
        <w:rPr>
          <w:rFonts w:asciiTheme="majorHAnsi" w:hAnsiTheme="majorHAnsi"/>
          <w:sz w:val="20"/>
          <w:szCs w:val="20"/>
          <w:lang w:val="es-ES_tradnl"/>
        </w:rPr>
      </w:pPr>
    </w:p>
    <w:p w:rsidR="0090270B" w:rsidRPr="00B56CF7" w:rsidRDefault="00C0075D" w:rsidP="005516A1">
      <w:pPr>
        <w:tabs>
          <w:tab w:val="center" w:pos="5400"/>
        </w:tabs>
        <w:suppressAutoHyphens/>
        <w:jc w:val="center"/>
        <w:rPr>
          <w:rFonts w:asciiTheme="majorHAnsi" w:hAnsiTheme="majorHAnsi"/>
          <w:b/>
          <w:sz w:val="20"/>
          <w:szCs w:val="20"/>
          <w:lang w:val="es-ES_tradnl"/>
        </w:rPr>
      </w:pPr>
      <w:r w:rsidRPr="00B56CF7">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BF67B33" wp14:editId="39E14798">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6307" w:rsidRPr="00D72DC6" w:rsidRDefault="00A26307" w:rsidP="00F02AD1">
                            <w:pPr>
                              <w:rPr>
                                <w:color w:val="FFFFFF" w:themeColor="background1"/>
                              </w:rPr>
                            </w:pPr>
                            <w:r w:rsidRPr="00D72DC6">
                              <w:rPr>
                                <w:noProof/>
                                <w:color w:val="FFFFFF" w:themeColor="background1"/>
                              </w:rPr>
                              <w:drawing>
                                <wp:inline distT="0" distB="0" distL="0" distR="0" wp14:anchorId="7D4FA7C3" wp14:editId="73E3DB5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A26307" w:rsidRPr="00D72DC6" w:rsidRDefault="00A26307" w:rsidP="00F02AD1">
                      <w:pPr>
                        <w:rPr>
                          <w:color w:val="FFFFFF" w:themeColor="background1"/>
                        </w:rPr>
                      </w:pPr>
                      <w:r w:rsidRPr="00D72DC6">
                        <w:rPr>
                          <w:noProof/>
                          <w:color w:val="FFFFFF" w:themeColor="background1"/>
                        </w:rPr>
                        <w:drawing>
                          <wp:inline distT="0" distB="0" distL="0" distR="0" wp14:anchorId="7D4FA7C3" wp14:editId="73E3DB5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43F7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28453A2" wp14:editId="79893747">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307" w:rsidRPr="004B7EB6" w:rsidRDefault="00A2630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A26307" w:rsidRPr="004B7EB6" w:rsidRDefault="00A2630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56CF7" w:rsidRDefault="0070697F" w:rsidP="005516A1">
      <w:pPr>
        <w:tabs>
          <w:tab w:val="center" w:pos="5400"/>
        </w:tabs>
        <w:suppressAutoHyphens/>
        <w:jc w:val="center"/>
        <w:rPr>
          <w:rFonts w:asciiTheme="majorHAnsi" w:hAnsiTheme="majorHAnsi"/>
          <w:b/>
          <w:sz w:val="20"/>
          <w:szCs w:val="20"/>
          <w:lang w:val="es-ES_tradnl"/>
        </w:rPr>
        <w:sectPr w:rsidR="0070697F" w:rsidRPr="00B56CF7"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4B316C" w:rsidRPr="00B56CF7" w:rsidRDefault="00796C54"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Pr>
          <w:rFonts w:asciiTheme="majorHAnsi" w:eastAsia="Times New Roman" w:hAnsiTheme="majorHAnsi"/>
          <w:b/>
          <w:sz w:val="20"/>
          <w:szCs w:val="20"/>
          <w:bdr w:val="none" w:sz="0" w:space="0" w:color="auto"/>
          <w:lang w:val="es-ES_tradnl"/>
        </w:rPr>
        <w:lastRenderedPageBreak/>
        <w:t>INFORME No. 53</w:t>
      </w:r>
      <w:r w:rsidR="00EB1199" w:rsidRPr="00B56CF7">
        <w:rPr>
          <w:rFonts w:asciiTheme="majorHAnsi" w:eastAsia="Times New Roman" w:hAnsiTheme="majorHAnsi"/>
          <w:b/>
          <w:sz w:val="20"/>
          <w:szCs w:val="20"/>
          <w:bdr w:val="none" w:sz="0" w:space="0" w:color="auto"/>
          <w:lang w:val="es-ES_tradnl"/>
        </w:rPr>
        <w:t>/16</w:t>
      </w:r>
    </w:p>
    <w:p w:rsidR="004B316C" w:rsidRPr="00B56CF7" w:rsidRDefault="003B3094"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sidRPr="00B56CF7">
        <w:rPr>
          <w:rFonts w:asciiTheme="majorHAnsi" w:eastAsia="Times New Roman" w:hAnsiTheme="majorHAnsi"/>
          <w:b/>
          <w:sz w:val="20"/>
          <w:szCs w:val="20"/>
          <w:bdr w:val="none" w:sz="0" w:space="0" w:color="auto"/>
          <w:lang w:val="es-ES_tradnl"/>
        </w:rPr>
        <w:t>CASO 12.0</w:t>
      </w:r>
      <w:r w:rsidR="00EB1199" w:rsidRPr="00B56CF7">
        <w:rPr>
          <w:rFonts w:asciiTheme="majorHAnsi" w:eastAsia="Times New Roman" w:hAnsiTheme="majorHAnsi"/>
          <w:b/>
          <w:sz w:val="20"/>
          <w:szCs w:val="20"/>
          <w:bdr w:val="none" w:sz="0" w:space="0" w:color="auto"/>
          <w:lang w:val="es-ES_tradnl"/>
        </w:rPr>
        <w:t>56</w:t>
      </w:r>
    </w:p>
    <w:p w:rsidR="004B316C" w:rsidRPr="00B56CF7"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B56CF7">
        <w:rPr>
          <w:rFonts w:asciiTheme="majorHAnsi" w:eastAsia="Times New Roman" w:hAnsiTheme="majorHAnsi"/>
          <w:sz w:val="20"/>
          <w:szCs w:val="20"/>
          <w:bdr w:val="none" w:sz="0" w:space="0" w:color="auto"/>
          <w:lang w:val="es-ES_tradnl"/>
        </w:rPr>
        <w:t>FONDO</w:t>
      </w:r>
    </w:p>
    <w:p w:rsidR="00B06C1C" w:rsidRPr="00B56CF7" w:rsidRDefault="003B3094"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B56CF7">
        <w:rPr>
          <w:rFonts w:asciiTheme="majorHAnsi" w:eastAsia="Times New Roman" w:hAnsiTheme="majorHAnsi"/>
          <w:sz w:val="20"/>
          <w:szCs w:val="20"/>
          <w:bdr w:val="none" w:sz="0" w:space="0" w:color="auto"/>
          <w:lang w:val="es-ES_tradnl"/>
        </w:rPr>
        <w:t>GABRIEL OSCAR JENKINS</w:t>
      </w:r>
    </w:p>
    <w:p w:rsidR="00B06C1C" w:rsidRPr="00B56CF7" w:rsidRDefault="003B3094"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B56CF7">
        <w:rPr>
          <w:rFonts w:asciiTheme="majorHAnsi" w:eastAsia="Times New Roman" w:hAnsiTheme="majorHAnsi"/>
          <w:sz w:val="20"/>
          <w:szCs w:val="20"/>
          <w:bdr w:val="none" w:sz="0" w:space="0" w:color="auto"/>
          <w:lang w:val="es-ES_tradnl"/>
        </w:rPr>
        <w:t>ARGENTINA</w:t>
      </w:r>
    </w:p>
    <w:p w:rsidR="0073741F" w:rsidRPr="00B56CF7" w:rsidRDefault="00796C54"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Pr>
          <w:rFonts w:asciiTheme="majorHAnsi" w:eastAsia="Times New Roman" w:hAnsiTheme="majorHAnsi"/>
          <w:sz w:val="20"/>
          <w:szCs w:val="20"/>
          <w:bdr w:val="none" w:sz="0" w:space="0" w:color="auto"/>
          <w:lang w:val="es-ES_tradnl"/>
        </w:rPr>
        <w:t>6</w:t>
      </w:r>
      <w:r w:rsidR="00E24E60" w:rsidRPr="00B56CF7">
        <w:rPr>
          <w:rFonts w:asciiTheme="majorHAnsi" w:eastAsia="Times New Roman" w:hAnsiTheme="majorHAnsi"/>
          <w:sz w:val="20"/>
          <w:szCs w:val="20"/>
          <w:bdr w:val="none" w:sz="0" w:space="0" w:color="auto"/>
          <w:lang w:val="es-ES_tradnl"/>
        </w:rPr>
        <w:t xml:space="preserve"> DE </w:t>
      </w:r>
      <w:r>
        <w:rPr>
          <w:rFonts w:asciiTheme="majorHAnsi" w:eastAsia="Times New Roman" w:hAnsiTheme="majorHAnsi"/>
          <w:sz w:val="20"/>
          <w:szCs w:val="20"/>
          <w:bdr w:val="none" w:sz="0" w:space="0" w:color="auto"/>
          <w:lang w:val="es-ES_tradnl"/>
        </w:rPr>
        <w:t>DICIEMBRE</w:t>
      </w:r>
      <w:r w:rsidR="00EB1199" w:rsidRPr="00B56CF7">
        <w:rPr>
          <w:rFonts w:asciiTheme="majorHAnsi" w:eastAsia="Times New Roman" w:hAnsiTheme="majorHAnsi"/>
          <w:sz w:val="20"/>
          <w:szCs w:val="20"/>
          <w:bdr w:val="none" w:sz="0" w:space="0" w:color="auto"/>
          <w:lang w:val="es-ES_tradnl"/>
        </w:rPr>
        <w:t xml:space="preserve"> DE 2016</w:t>
      </w:r>
    </w:p>
    <w:p w:rsidR="004B316C" w:rsidRPr="00B56CF7"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lang w:val="es-ES_tradnl"/>
        </w:rPr>
      </w:pPr>
    </w:p>
    <w:p w:rsidR="004064A2" w:rsidRPr="00BB1DDE" w:rsidRDefault="00AA09A2" w:rsidP="00BB1DDE">
      <w:pPr>
        <w:tabs>
          <w:tab w:val="center" w:pos="5400"/>
        </w:tabs>
        <w:suppressAutoHyphens/>
        <w:spacing w:line="276" w:lineRule="auto"/>
        <w:jc w:val="center"/>
        <w:rPr>
          <w:rFonts w:asciiTheme="majorHAnsi" w:hAnsiTheme="majorHAnsi"/>
          <w:b/>
          <w:sz w:val="20"/>
          <w:szCs w:val="20"/>
          <w:lang w:val="es-ES_tradnl"/>
        </w:rPr>
      </w:pPr>
      <w:r w:rsidRPr="00B56CF7">
        <w:rPr>
          <w:rFonts w:asciiTheme="majorHAnsi" w:hAnsiTheme="majorHAnsi"/>
          <w:b/>
          <w:sz w:val="20"/>
          <w:szCs w:val="20"/>
          <w:lang w:val="es-ES_tradnl"/>
        </w:rPr>
        <w:t>Í</w:t>
      </w:r>
      <w:r w:rsidR="00DC7023" w:rsidRPr="00B56CF7">
        <w:rPr>
          <w:rFonts w:asciiTheme="majorHAnsi" w:hAnsiTheme="majorHAnsi"/>
          <w:b/>
          <w:sz w:val="20"/>
          <w:szCs w:val="20"/>
          <w:lang w:val="es-ES_tradnl"/>
        </w:rPr>
        <w:t>NDICE</w:t>
      </w:r>
    </w:p>
    <w:p w:rsidR="00BB1DDE" w:rsidRPr="00BB1DDE" w:rsidRDefault="002F4AB7" w:rsidP="00BB1DDE">
      <w:pPr>
        <w:pStyle w:val="TOC1"/>
        <w:rPr>
          <w:rFonts w:eastAsiaTheme="minorEastAsia" w:cstheme="minorBidi"/>
          <w:b/>
          <w:bdr w:val="none" w:sz="0" w:space="0" w:color="auto"/>
        </w:rPr>
      </w:pPr>
      <w:r w:rsidRPr="00BB1DDE">
        <w:rPr>
          <w:lang w:val="es-VE"/>
        </w:rPr>
        <w:fldChar w:fldCharType="begin"/>
      </w:r>
      <w:r w:rsidRPr="00BB1DDE">
        <w:rPr>
          <w:lang w:val="es-VE"/>
        </w:rPr>
        <w:instrText xml:space="preserve"> TOC \o "1-3" \h \z \u </w:instrText>
      </w:r>
      <w:r w:rsidRPr="00BB1DDE">
        <w:rPr>
          <w:lang w:val="es-VE"/>
        </w:rPr>
        <w:fldChar w:fldCharType="separate"/>
      </w:r>
      <w:hyperlink w:anchor="_Toc469409076" w:history="1">
        <w:r w:rsidR="00BB1DDE" w:rsidRPr="00BB1DDE">
          <w:rPr>
            <w:rStyle w:val="Hyperlink"/>
            <w:b/>
          </w:rPr>
          <w:t>I.</w:t>
        </w:r>
        <w:r w:rsidR="00BB1DDE" w:rsidRPr="00BB1DDE">
          <w:rPr>
            <w:rFonts w:eastAsiaTheme="minorEastAsia" w:cstheme="minorBidi"/>
            <w:b/>
            <w:bdr w:val="none" w:sz="0" w:space="0" w:color="auto"/>
          </w:rPr>
          <w:tab/>
        </w:r>
        <w:r w:rsidR="00BB1DDE" w:rsidRPr="00BB1DDE">
          <w:rPr>
            <w:rStyle w:val="Hyperlink"/>
            <w:b/>
          </w:rPr>
          <w:t>RESUMEN</w:t>
        </w:r>
        <w:r w:rsidR="00BB1DDE" w:rsidRPr="00BB1DDE">
          <w:rPr>
            <w:b/>
            <w:webHidden/>
          </w:rPr>
          <w:tab/>
        </w:r>
        <w:r w:rsidR="00BB1DDE" w:rsidRPr="00BB1DDE">
          <w:rPr>
            <w:b/>
            <w:webHidden/>
          </w:rPr>
          <w:fldChar w:fldCharType="begin"/>
        </w:r>
        <w:r w:rsidR="00BB1DDE" w:rsidRPr="00BB1DDE">
          <w:rPr>
            <w:b/>
            <w:webHidden/>
          </w:rPr>
          <w:instrText xml:space="preserve"> PAGEREF _Toc469409076 \h </w:instrText>
        </w:r>
        <w:r w:rsidR="00BB1DDE" w:rsidRPr="00BB1DDE">
          <w:rPr>
            <w:b/>
            <w:webHidden/>
          </w:rPr>
        </w:r>
        <w:r w:rsidR="00BB1DDE" w:rsidRPr="00BB1DDE">
          <w:rPr>
            <w:b/>
            <w:webHidden/>
          </w:rPr>
          <w:fldChar w:fldCharType="separate"/>
        </w:r>
        <w:r w:rsidR="00BB1DDE" w:rsidRPr="00BB1DDE">
          <w:rPr>
            <w:b/>
            <w:webHidden/>
          </w:rPr>
          <w:t>1</w:t>
        </w:r>
        <w:r w:rsidR="00BB1DDE" w:rsidRPr="00BB1DDE">
          <w:rPr>
            <w:b/>
            <w:webHidden/>
          </w:rPr>
          <w:fldChar w:fldCharType="end"/>
        </w:r>
      </w:hyperlink>
    </w:p>
    <w:p w:rsidR="00BB1DDE" w:rsidRPr="00BB1DDE" w:rsidRDefault="00ED58DB" w:rsidP="00BB1DDE">
      <w:pPr>
        <w:pStyle w:val="TOC1"/>
        <w:rPr>
          <w:rFonts w:eastAsiaTheme="minorEastAsia" w:cstheme="minorBidi"/>
          <w:b/>
          <w:bdr w:val="none" w:sz="0" w:space="0" w:color="auto"/>
        </w:rPr>
      </w:pPr>
      <w:hyperlink w:anchor="_Toc469409077" w:history="1">
        <w:r w:rsidR="00BB1DDE" w:rsidRPr="00BB1DDE">
          <w:rPr>
            <w:rStyle w:val="Hyperlink"/>
            <w:b/>
          </w:rPr>
          <w:t>II.</w:t>
        </w:r>
        <w:r w:rsidR="00BB1DDE" w:rsidRPr="00BB1DDE">
          <w:rPr>
            <w:rFonts w:eastAsiaTheme="minorEastAsia" w:cstheme="minorBidi"/>
            <w:b/>
            <w:bdr w:val="none" w:sz="0" w:space="0" w:color="auto"/>
          </w:rPr>
          <w:tab/>
        </w:r>
        <w:r w:rsidR="00BB1DDE" w:rsidRPr="00BB1DDE">
          <w:rPr>
            <w:rStyle w:val="Hyperlink"/>
            <w:b/>
          </w:rPr>
          <w:t>TRÁMITE ANTE LA COMISIÓN</w:t>
        </w:r>
        <w:r w:rsidR="00BB1DDE" w:rsidRPr="00BB1DDE">
          <w:rPr>
            <w:b/>
            <w:webHidden/>
          </w:rPr>
          <w:tab/>
        </w:r>
        <w:r w:rsidR="00BB1DDE" w:rsidRPr="00BB1DDE">
          <w:rPr>
            <w:b/>
            <w:webHidden/>
          </w:rPr>
          <w:fldChar w:fldCharType="begin"/>
        </w:r>
        <w:r w:rsidR="00BB1DDE" w:rsidRPr="00BB1DDE">
          <w:rPr>
            <w:b/>
            <w:webHidden/>
          </w:rPr>
          <w:instrText xml:space="preserve"> PAGEREF _Toc469409077 \h </w:instrText>
        </w:r>
        <w:r w:rsidR="00BB1DDE" w:rsidRPr="00BB1DDE">
          <w:rPr>
            <w:b/>
            <w:webHidden/>
          </w:rPr>
        </w:r>
        <w:r w:rsidR="00BB1DDE" w:rsidRPr="00BB1DDE">
          <w:rPr>
            <w:b/>
            <w:webHidden/>
          </w:rPr>
          <w:fldChar w:fldCharType="separate"/>
        </w:r>
        <w:r w:rsidR="00BB1DDE" w:rsidRPr="00BB1DDE">
          <w:rPr>
            <w:b/>
            <w:webHidden/>
          </w:rPr>
          <w:t>1</w:t>
        </w:r>
        <w:r w:rsidR="00BB1DDE" w:rsidRPr="00BB1DDE">
          <w:rPr>
            <w:b/>
            <w:webHidden/>
          </w:rPr>
          <w:fldChar w:fldCharType="end"/>
        </w:r>
      </w:hyperlink>
    </w:p>
    <w:p w:rsidR="00BB1DDE" w:rsidRPr="00BB1DDE" w:rsidRDefault="00ED58DB" w:rsidP="00BB1DDE">
      <w:pPr>
        <w:pStyle w:val="TOC1"/>
        <w:rPr>
          <w:rFonts w:eastAsiaTheme="minorEastAsia" w:cstheme="minorBidi"/>
          <w:b/>
          <w:bdr w:val="none" w:sz="0" w:space="0" w:color="auto"/>
        </w:rPr>
      </w:pPr>
      <w:hyperlink w:anchor="_Toc469409078" w:history="1">
        <w:r w:rsidR="00BB1DDE" w:rsidRPr="00BB1DDE">
          <w:rPr>
            <w:rStyle w:val="Hyperlink"/>
            <w:b/>
          </w:rPr>
          <w:t>III.</w:t>
        </w:r>
        <w:r w:rsidR="00BB1DDE" w:rsidRPr="00BB1DDE">
          <w:rPr>
            <w:rFonts w:eastAsiaTheme="minorEastAsia" w:cstheme="minorBidi"/>
            <w:b/>
            <w:bdr w:val="none" w:sz="0" w:space="0" w:color="auto"/>
          </w:rPr>
          <w:tab/>
        </w:r>
        <w:r w:rsidR="00BB1DDE" w:rsidRPr="00BB1DDE">
          <w:rPr>
            <w:rStyle w:val="Hyperlink"/>
            <w:b/>
          </w:rPr>
          <w:t>POSICIONES DE LAS PARTES</w:t>
        </w:r>
        <w:r w:rsidR="00BB1DDE" w:rsidRPr="00BB1DDE">
          <w:rPr>
            <w:b/>
            <w:webHidden/>
          </w:rPr>
          <w:tab/>
        </w:r>
        <w:r w:rsidR="00BB1DDE" w:rsidRPr="00BB1DDE">
          <w:rPr>
            <w:b/>
            <w:webHidden/>
          </w:rPr>
          <w:fldChar w:fldCharType="begin"/>
        </w:r>
        <w:r w:rsidR="00BB1DDE" w:rsidRPr="00BB1DDE">
          <w:rPr>
            <w:b/>
            <w:webHidden/>
          </w:rPr>
          <w:instrText xml:space="preserve"> PAGEREF _Toc469409078 \h </w:instrText>
        </w:r>
        <w:r w:rsidR="00BB1DDE" w:rsidRPr="00BB1DDE">
          <w:rPr>
            <w:b/>
            <w:webHidden/>
          </w:rPr>
        </w:r>
        <w:r w:rsidR="00BB1DDE" w:rsidRPr="00BB1DDE">
          <w:rPr>
            <w:b/>
            <w:webHidden/>
          </w:rPr>
          <w:fldChar w:fldCharType="separate"/>
        </w:r>
        <w:r w:rsidR="00BB1DDE" w:rsidRPr="00BB1DDE">
          <w:rPr>
            <w:b/>
            <w:webHidden/>
          </w:rPr>
          <w:t>2</w:t>
        </w:r>
        <w:r w:rsidR="00BB1DDE" w:rsidRPr="00BB1DDE">
          <w:rPr>
            <w:b/>
            <w:webHidden/>
          </w:rPr>
          <w:fldChar w:fldCharType="end"/>
        </w:r>
      </w:hyperlink>
    </w:p>
    <w:p w:rsidR="00BB1DDE" w:rsidRPr="00BB1DDE" w:rsidRDefault="00ED58DB">
      <w:pPr>
        <w:pStyle w:val="TOC2"/>
        <w:rPr>
          <w:rFonts w:asciiTheme="majorHAnsi" w:eastAsiaTheme="minorEastAsia" w:hAnsiTheme="majorHAnsi" w:cstheme="minorBidi"/>
          <w:noProof/>
          <w:sz w:val="20"/>
          <w:szCs w:val="20"/>
          <w:bdr w:val="none" w:sz="0" w:space="0" w:color="auto"/>
        </w:rPr>
      </w:pPr>
      <w:hyperlink w:anchor="_Toc469409079" w:history="1">
        <w:r w:rsidR="00BB1DDE" w:rsidRPr="00BB1DDE">
          <w:rPr>
            <w:rStyle w:val="Hyperlink"/>
            <w:rFonts w:asciiTheme="majorHAnsi" w:hAnsiTheme="majorHAnsi"/>
            <w:noProof/>
            <w:sz w:val="20"/>
            <w:szCs w:val="20"/>
          </w:rPr>
          <w:t>A.</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rPr>
          <w:t>Posición del peticionario</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_Toc469409079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2</w:t>
        </w:r>
        <w:r w:rsidR="00BB1DDE" w:rsidRPr="00BB1DDE">
          <w:rPr>
            <w:rFonts w:asciiTheme="majorHAnsi" w:hAnsiTheme="majorHAnsi"/>
            <w:noProof/>
            <w:webHidden/>
            <w:sz w:val="20"/>
            <w:szCs w:val="20"/>
          </w:rPr>
          <w:fldChar w:fldCharType="end"/>
        </w:r>
      </w:hyperlink>
    </w:p>
    <w:p w:rsidR="00BB1DDE" w:rsidRPr="00BB1DDE" w:rsidRDefault="00ED58DB">
      <w:pPr>
        <w:pStyle w:val="TOC2"/>
        <w:rPr>
          <w:rFonts w:asciiTheme="majorHAnsi" w:eastAsiaTheme="minorEastAsia" w:hAnsiTheme="majorHAnsi" w:cstheme="minorBidi"/>
          <w:noProof/>
          <w:sz w:val="20"/>
          <w:szCs w:val="20"/>
          <w:bdr w:val="none" w:sz="0" w:space="0" w:color="auto"/>
        </w:rPr>
      </w:pPr>
      <w:hyperlink w:anchor="_Toc469409080" w:history="1">
        <w:r w:rsidR="00BB1DDE" w:rsidRPr="00BB1DDE">
          <w:rPr>
            <w:rStyle w:val="Hyperlink"/>
            <w:rFonts w:asciiTheme="majorHAnsi" w:hAnsiTheme="majorHAnsi"/>
            <w:noProof/>
            <w:sz w:val="20"/>
            <w:szCs w:val="20"/>
          </w:rPr>
          <w:t>B.</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rPr>
          <w:t>Posición del Estado</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_Toc469409080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4</w:t>
        </w:r>
        <w:r w:rsidR="00BB1DDE" w:rsidRPr="00BB1DDE">
          <w:rPr>
            <w:rFonts w:asciiTheme="majorHAnsi" w:hAnsiTheme="majorHAnsi"/>
            <w:noProof/>
            <w:webHidden/>
            <w:sz w:val="20"/>
            <w:szCs w:val="20"/>
          </w:rPr>
          <w:fldChar w:fldCharType="end"/>
        </w:r>
      </w:hyperlink>
    </w:p>
    <w:p w:rsidR="00BB1DDE" w:rsidRPr="00BB1DDE" w:rsidRDefault="00ED58DB" w:rsidP="00BB1DDE">
      <w:pPr>
        <w:pStyle w:val="TOC1"/>
        <w:rPr>
          <w:rFonts w:eastAsiaTheme="minorEastAsia" w:cstheme="minorBidi"/>
          <w:bdr w:val="none" w:sz="0" w:space="0" w:color="auto"/>
        </w:rPr>
      </w:pPr>
      <w:hyperlink w:anchor="_Toc469409081" w:history="1">
        <w:r w:rsidR="00BB1DDE" w:rsidRPr="00BB1DDE">
          <w:rPr>
            <w:rStyle w:val="Hyperlink"/>
            <w:b/>
          </w:rPr>
          <w:t>IV.</w:t>
        </w:r>
        <w:r w:rsidR="00BB1DDE" w:rsidRPr="00BB1DDE">
          <w:rPr>
            <w:rFonts w:eastAsiaTheme="minorEastAsia" w:cstheme="minorBidi"/>
            <w:bdr w:val="none" w:sz="0" w:space="0" w:color="auto"/>
          </w:rPr>
          <w:tab/>
        </w:r>
        <w:r w:rsidR="00BB1DDE" w:rsidRPr="00BB1DDE">
          <w:rPr>
            <w:rStyle w:val="Hyperlink"/>
            <w:b/>
          </w:rPr>
          <w:t>HECHOS PROBADOS</w:t>
        </w:r>
        <w:r w:rsidR="00BB1DDE" w:rsidRPr="00BB1DDE">
          <w:rPr>
            <w:webHidden/>
          </w:rPr>
          <w:tab/>
        </w:r>
        <w:r w:rsidR="00BB1DDE" w:rsidRPr="00BB1DDE">
          <w:rPr>
            <w:webHidden/>
          </w:rPr>
          <w:fldChar w:fldCharType="begin"/>
        </w:r>
        <w:r w:rsidR="00BB1DDE" w:rsidRPr="00BB1DDE">
          <w:rPr>
            <w:webHidden/>
          </w:rPr>
          <w:instrText xml:space="preserve"> PAGEREF _Toc469409081 \h </w:instrText>
        </w:r>
        <w:r w:rsidR="00BB1DDE" w:rsidRPr="00BB1DDE">
          <w:rPr>
            <w:webHidden/>
          </w:rPr>
        </w:r>
        <w:r w:rsidR="00BB1DDE" w:rsidRPr="00BB1DDE">
          <w:rPr>
            <w:webHidden/>
          </w:rPr>
          <w:fldChar w:fldCharType="separate"/>
        </w:r>
        <w:r w:rsidR="00BB1DDE" w:rsidRPr="00BB1DDE">
          <w:rPr>
            <w:webHidden/>
          </w:rPr>
          <w:t>6</w:t>
        </w:r>
        <w:r w:rsidR="00BB1DDE" w:rsidRPr="00BB1DDE">
          <w:rPr>
            <w:webHidden/>
          </w:rPr>
          <w:fldChar w:fldCharType="end"/>
        </w:r>
      </w:hyperlink>
    </w:p>
    <w:p w:rsidR="00BB1DDE" w:rsidRPr="00BB1DDE" w:rsidRDefault="00ED58DB">
      <w:pPr>
        <w:pStyle w:val="TOC2"/>
        <w:rPr>
          <w:rFonts w:asciiTheme="majorHAnsi" w:eastAsiaTheme="minorEastAsia" w:hAnsiTheme="majorHAnsi" w:cstheme="minorBidi"/>
          <w:noProof/>
          <w:sz w:val="20"/>
          <w:szCs w:val="20"/>
          <w:bdr w:val="none" w:sz="0" w:space="0" w:color="auto"/>
        </w:rPr>
      </w:pPr>
      <w:hyperlink w:anchor="_Toc469409082" w:history="1">
        <w:r w:rsidR="00BB1DDE" w:rsidRPr="00BB1DDE">
          <w:rPr>
            <w:rStyle w:val="Hyperlink"/>
            <w:rFonts w:asciiTheme="majorHAnsi" w:hAnsiTheme="majorHAnsi"/>
            <w:noProof/>
            <w:sz w:val="20"/>
            <w:szCs w:val="20"/>
          </w:rPr>
          <w:t>A.</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El proceso penal en contra del peticionario y su posterior absolución</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_Toc469409082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6</w:t>
        </w:r>
        <w:r w:rsidR="00BB1DDE" w:rsidRPr="00BB1DDE">
          <w:rPr>
            <w:rFonts w:asciiTheme="majorHAnsi" w:hAnsiTheme="majorHAnsi"/>
            <w:noProof/>
            <w:webHidden/>
            <w:sz w:val="20"/>
            <w:szCs w:val="20"/>
          </w:rPr>
          <w:fldChar w:fldCharType="end"/>
        </w:r>
      </w:hyperlink>
    </w:p>
    <w:p w:rsidR="00BB1DDE" w:rsidRPr="00BB1DDE" w:rsidRDefault="00ED58DB">
      <w:pPr>
        <w:pStyle w:val="TOC3"/>
        <w:tabs>
          <w:tab w:val="left" w:pos="2160"/>
        </w:tabs>
        <w:rPr>
          <w:rFonts w:asciiTheme="majorHAnsi" w:eastAsiaTheme="minorEastAsia" w:hAnsiTheme="majorHAnsi" w:cstheme="minorBidi"/>
          <w:noProof/>
          <w:sz w:val="20"/>
          <w:szCs w:val="20"/>
          <w:bdr w:val="none" w:sz="0" w:space="0" w:color="auto"/>
        </w:rPr>
      </w:pPr>
      <w:hyperlink w:anchor="_Toc469409083" w:history="1">
        <w:r w:rsidR="00BB1DDE" w:rsidRPr="00BB1DDE">
          <w:rPr>
            <w:rStyle w:val="Hyperlink"/>
            <w:rFonts w:asciiTheme="majorHAnsi" w:hAnsiTheme="majorHAnsi"/>
            <w:noProof/>
            <w:sz w:val="20"/>
            <w:szCs w:val="20"/>
            <w:lang w:val="es-VE"/>
          </w:rPr>
          <w:t>1.</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Incorporación de una grabación telefónica y solicitud de elevación a juicio de Gabriel Jenkins</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_Toc469409083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6</w:t>
        </w:r>
        <w:r w:rsidR="00BB1DDE" w:rsidRPr="00BB1DDE">
          <w:rPr>
            <w:rFonts w:asciiTheme="majorHAnsi" w:hAnsiTheme="majorHAnsi"/>
            <w:noProof/>
            <w:webHidden/>
            <w:sz w:val="20"/>
            <w:szCs w:val="20"/>
          </w:rPr>
          <w:fldChar w:fldCharType="end"/>
        </w:r>
      </w:hyperlink>
    </w:p>
    <w:p w:rsidR="00BB1DDE" w:rsidRPr="00BB1DDE" w:rsidRDefault="00ED58DB">
      <w:pPr>
        <w:pStyle w:val="TOC3"/>
        <w:tabs>
          <w:tab w:val="left" w:pos="2160"/>
        </w:tabs>
        <w:rPr>
          <w:rFonts w:asciiTheme="majorHAnsi" w:eastAsiaTheme="minorEastAsia" w:hAnsiTheme="majorHAnsi" w:cstheme="minorBidi"/>
          <w:noProof/>
          <w:sz w:val="20"/>
          <w:szCs w:val="20"/>
          <w:bdr w:val="none" w:sz="0" w:space="0" w:color="auto"/>
        </w:rPr>
      </w:pPr>
      <w:hyperlink w:anchor="_Toc469409084" w:history="1">
        <w:r w:rsidR="00BB1DDE" w:rsidRPr="00BB1DDE">
          <w:rPr>
            <w:rStyle w:val="Hyperlink"/>
            <w:rFonts w:asciiTheme="majorHAnsi" w:hAnsiTheme="majorHAnsi"/>
            <w:noProof/>
            <w:sz w:val="20"/>
            <w:szCs w:val="20"/>
            <w:lang w:val="es-VE"/>
          </w:rPr>
          <w:t>2.</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Falta de acusación fiscal y absolución del peticionario</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_Toc469409084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9</w:t>
        </w:r>
        <w:r w:rsidR="00BB1DDE" w:rsidRPr="00BB1DDE">
          <w:rPr>
            <w:rFonts w:asciiTheme="majorHAnsi" w:hAnsiTheme="majorHAnsi"/>
            <w:noProof/>
            <w:webHidden/>
            <w:sz w:val="20"/>
            <w:szCs w:val="20"/>
          </w:rPr>
          <w:fldChar w:fldCharType="end"/>
        </w:r>
      </w:hyperlink>
    </w:p>
    <w:p w:rsidR="00BB1DDE" w:rsidRPr="00BB1DDE" w:rsidRDefault="00ED58DB">
      <w:pPr>
        <w:pStyle w:val="TOC3"/>
        <w:tabs>
          <w:tab w:val="left" w:pos="2160"/>
        </w:tabs>
        <w:rPr>
          <w:rFonts w:asciiTheme="majorHAnsi" w:eastAsiaTheme="minorEastAsia" w:hAnsiTheme="majorHAnsi" w:cstheme="minorBidi"/>
          <w:noProof/>
          <w:sz w:val="20"/>
          <w:szCs w:val="20"/>
          <w:bdr w:val="none" w:sz="0" w:space="0" w:color="auto"/>
        </w:rPr>
      </w:pPr>
      <w:hyperlink w:anchor="_Toc469409085" w:history="1">
        <w:r w:rsidR="00BB1DDE" w:rsidRPr="00BB1DDE">
          <w:rPr>
            <w:rStyle w:val="Hyperlink"/>
            <w:rFonts w:asciiTheme="majorHAnsi" w:hAnsiTheme="majorHAnsi"/>
            <w:noProof/>
            <w:sz w:val="20"/>
            <w:szCs w:val="20"/>
            <w:lang w:val="es-VE"/>
          </w:rPr>
          <w:t>3.</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Solicitud de investigación de las diferencias entre la grabación y su constancia</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_Toc469409085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9</w:t>
        </w:r>
        <w:r w:rsidR="00BB1DDE" w:rsidRPr="00BB1DDE">
          <w:rPr>
            <w:rFonts w:asciiTheme="majorHAnsi" w:hAnsiTheme="majorHAnsi"/>
            <w:noProof/>
            <w:webHidden/>
            <w:sz w:val="20"/>
            <w:szCs w:val="20"/>
          </w:rPr>
          <w:fldChar w:fldCharType="end"/>
        </w:r>
      </w:hyperlink>
    </w:p>
    <w:p w:rsidR="00BB1DDE" w:rsidRPr="00BB1DDE" w:rsidRDefault="00ED58DB">
      <w:pPr>
        <w:pStyle w:val="TOC2"/>
        <w:rPr>
          <w:rFonts w:asciiTheme="majorHAnsi" w:eastAsiaTheme="minorEastAsia" w:hAnsiTheme="majorHAnsi" w:cstheme="minorBidi"/>
          <w:noProof/>
          <w:sz w:val="20"/>
          <w:szCs w:val="20"/>
          <w:bdr w:val="none" w:sz="0" w:space="0" w:color="auto"/>
        </w:rPr>
      </w:pPr>
      <w:hyperlink w:anchor="_Toc469409086" w:history="1">
        <w:r w:rsidR="00BB1DDE" w:rsidRPr="00BB1DDE">
          <w:rPr>
            <w:rStyle w:val="Hyperlink"/>
            <w:rFonts w:asciiTheme="majorHAnsi" w:hAnsiTheme="majorHAnsi"/>
            <w:noProof/>
            <w:sz w:val="20"/>
            <w:szCs w:val="20"/>
            <w:lang w:val="es-VE"/>
          </w:rPr>
          <w:t>B.</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Recursos intentados por el peticionario para lograr su libertad mientras se encontraba en prisión preventiva</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_Toc469409086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10</w:t>
        </w:r>
        <w:r w:rsidR="00BB1DDE" w:rsidRPr="00BB1DDE">
          <w:rPr>
            <w:rFonts w:asciiTheme="majorHAnsi" w:hAnsiTheme="majorHAnsi"/>
            <w:noProof/>
            <w:webHidden/>
            <w:sz w:val="20"/>
            <w:szCs w:val="20"/>
          </w:rPr>
          <w:fldChar w:fldCharType="end"/>
        </w:r>
      </w:hyperlink>
    </w:p>
    <w:p w:rsidR="00BB1DDE" w:rsidRPr="00BB1DDE" w:rsidRDefault="00ED58DB">
      <w:pPr>
        <w:pStyle w:val="TOC3"/>
        <w:tabs>
          <w:tab w:val="left" w:pos="2160"/>
        </w:tabs>
        <w:rPr>
          <w:rFonts w:asciiTheme="majorHAnsi" w:eastAsiaTheme="minorEastAsia" w:hAnsiTheme="majorHAnsi" w:cstheme="minorBidi"/>
          <w:noProof/>
          <w:sz w:val="20"/>
          <w:szCs w:val="20"/>
          <w:bdr w:val="none" w:sz="0" w:space="0" w:color="auto"/>
        </w:rPr>
      </w:pPr>
      <w:hyperlink w:anchor="_Toc469409087" w:history="1">
        <w:r w:rsidR="00BB1DDE" w:rsidRPr="00BB1DDE">
          <w:rPr>
            <w:rStyle w:val="Hyperlink"/>
            <w:rFonts w:asciiTheme="majorHAnsi" w:hAnsiTheme="majorHAnsi"/>
            <w:noProof/>
            <w:sz w:val="20"/>
            <w:szCs w:val="20"/>
            <w:lang w:val="es-VE"/>
          </w:rPr>
          <w:t>1.</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Queja ante el Defensor del Pueblo de la Ciudad de Buenos Aires</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_Toc469409087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11</w:t>
        </w:r>
        <w:r w:rsidR="00BB1DDE" w:rsidRPr="00BB1DDE">
          <w:rPr>
            <w:rFonts w:asciiTheme="majorHAnsi" w:hAnsiTheme="majorHAnsi"/>
            <w:noProof/>
            <w:webHidden/>
            <w:sz w:val="20"/>
            <w:szCs w:val="20"/>
          </w:rPr>
          <w:fldChar w:fldCharType="end"/>
        </w:r>
      </w:hyperlink>
    </w:p>
    <w:p w:rsidR="00BB1DDE" w:rsidRPr="00BB1DDE" w:rsidRDefault="00ED58DB">
      <w:pPr>
        <w:pStyle w:val="TOC3"/>
        <w:tabs>
          <w:tab w:val="left" w:pos="2160"/>
        </w:tabs>
        <w:rPr>
          <w:rFonts w:asciiTheme="majorHAnsi" w:eastAsiaTheme="minorEastAsia" w:hAnsiTheme="majorHAnsi" w:cstheme="minorBidi"/>
          <w:noProof/>
          <w:sz w:val="20"/>
          <w:szCs w:val="20"/>
          <w:bdr w:val="none" w:sz="0" w:space="0" w:color="auto"/>
        </w:rPr>
      </w:pPr>
      <w:hyperlink w:anchor="_Toc469409088" w:history="1">
        <w:r w:rsidR="00BB1DDE" w:rsidRPr="00BB1DDE">
          <w:rPr>
            <w:rStyle w:val="Hyperlink"/>
            <w:rFonts w:asciiTheme="majorHAnsi" w:hAnsiTheme="majorHAnsi"/>
            <w:noProof/>
            <w:sz w:val="20"/>
            <w:szCs w:val="20"/>
            <w:lang w:val="es-VE"/>
          </w:rPr>
          <w:t>2.</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Acción de inconstitucionalidad y solicitud de excarcelación</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_Toc469409088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11</w:t>
        </w:r>
        <w:r w:rsidR="00BB1DDE" w:rsidRPr="00BB1DDE">
          <w:rPr>
            <w:rFonts w:asciiTheme="majorHAnsi" w:hAnsiTheme="majorHAnsi"/>
            <w:noProof/>
            <w:webHidden/>
            <w:sz w:val="20"/>
            <w:szCs w:val="20"/>
          </w:rPr>
          <w:fldChar w:fldCharType="end"/>
        </w:r>
      </w:hyperlink>
    </w:p>
    <w:p w:rsidR="00BB1DDE" w:rsidRPr="00BB1DDE" w:rsidRDefault="00ED58DB">
      <w:pPr>
        <w:pStyle w:val="TOC2"/>
        <w:rPr>
          <w:rFonts w:asciiTheme="majorHAnsi" w:eastAsiaTheme="minorEastAsia" w:hAnsiTheme="majorHAnsi" w:cstheme="minorBidi"/>
          <w:noProof/>
          <w:sz w:val="20"/>
          <w:szCs w:val="20"/>
          <w:bdr w:val="none" w:sz="0" w:space="0" w:color="auto"/>
        </w:rPr>
      </w:pPr>
      <w:hyperlink w:anchor="_Toc469409089" w:history="1">
        <w:r w:rsidR="00BB1DDE" w:rsidRPr="00BB1DDE">
          <w:rPr>
            <w:rStyle w:val="Hyperlink"/>
            <w:rFonts w:asciiTheme="majorHAnsi" w:hAnsiTheme="majorHAnsi"/>
            <w:noProof/>
            <w:sz w:val="20"/>
            <w:szCs w:val="20"/>
            <w:lang w:val="es-VE"/>
          </w:rPr>
          <w:t>C.</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Las investigaciones penal y administrativa por la prueba incorporada en la causa penal contra la presunta víctima</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_Toc469409089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14</w:t>
        </w:r>
        <w:r w:rsidR="00BB1DDE" w:rsidRPr="00BB1DDE">
          <w:rPr>
            <w:rFonts w:asciiTheme="majorHAnsi" w:hAnsiTheme="majorHAnsi"/>
            <w:noProof/>
            <w:webHidden/>
            <w:sz w:val="20"/>
            <w:szCs w:val="20"/>
          </w:rPr>
          <w:fldChar w:fldCharType="end"/>
        </w:r>
      </w:hyperlink>
    </w:p>
    <w:p w:rsidR="00BB1DDE" w:rsidRPr="00BB1DDE" w:rsidRDefault="00ED58DB">
      <w:pPr>
        <w:pStyle w:val="TOC3"/>
        <w:tabs>
          <w:tab w:val="left" w:pos="2160"/>
        </w:tabs>
        <w:rPr>
          <w:rFonts w:asciiTheme="majorHAnsi" w:eastAsiaTheme="minorEastAsia" w:hAnsiTheme="majorHAnsi" w:cstheme="minorBidi"/>
          <w:noProof/>
          <w:sz w:val="20"/>
          <w:szCs w:val="20"/>
          <w:bdr w:val="none" w:sz="0" w:space="0" w:color="auto"/>
        </w:rPr>
      </w:pPr>
      <w:hyperlink w:anchor="_Toc469409090" w:history="1">
        <w:r w:rsidR="00BB1DDE" w:rsidRPr="00BB1DDE">
          <w:rPr>
            <w:rStyle w:val="Hyperlink"/>
            <w:rFonts w:asciiTheme="majorHAnsi" w:hAnsiTheme="majorHAnsi"/>
            <w:noProof/>
            <w:sz w:val="20"/>
            <w:szCs w:val="20"/>
            <w:lang w:val="es-VE"/>
          </w:rPr>
          <w:t>1.</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Investigaciones en sede penal</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_Toc469409090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14</w:t>
        </w:r>
        <w:r w:rsidR="00BB1DDE" w:rsidRPr="00BB1DDE">
          <w:rPr>
            <w:rFonts w:asciiTheme="majorHAnsi" w:hAnsiTheme="majorHAnsi"/>
            <w:noProof/>
            <w:webHidden/>
            <w:sz w:val="20"/>
            <w:szCs w:val="20"/>
          </w:rPr>
          <w:fldChar w:fldCharType="end"/>
        </w:r>
      </w:hyperlink>
    </w:p>
    <w:p w:rsidR="00BB1DDE" w:rsidRPr="00BB1DDE" w:rsidRDefault="00ED58DB">
      <w:pPr>
        <w:pStyle w:val="TOC3"/>
        <w:tabs>
          <w:tab w:val="left" w:pos="2160"/>
        </w:tabs>
        <w:rPr>
          <w:rFonts w:asciiTheme="majorHAnsi" w:eastAsiaTheme="minorEastAsia" w:hAnsiTheme="majorHAnsi" w:cstheme="minorBidi"/>
          <w:noProof/>
          <w:sz w:val="20"/>
          <w:szCs w:val="20"/>
          <w:bdr w:val="none" w:sz="0" w:space="0" w:color="auto"/>
        </w:rPr>
      </w:pPr>
      <w:hyperlink w:anchor="_Toc469409091" w:history="1">
        <w:r w:rsidR="00BB1DDE" w:rsidRPr="00BB1DDE">
          <w:rPr>
            <w:rStyle w:val="Hyperlink"/>
            <w:rFonts w:asciiTheme="majorHAnsi" w:hAnsiTheme="majorHAnsi"/>
            <w:noProof/>
            <w:sz w:val="20"/>
            <w:szCs w:val="20"/>
            <w:lang w:val="es-VE"/>
          </w:rPr>
          <w:t>2.</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Investigaciones en sede administrativa</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_Toc469409091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15</w:t>
        </w:r>
        <w:r w:rsidR="00BB1DDE" w:rsidRPr="00BB1DDE">
          <w:rPr>
            <w:rFonts w:asciiTheme="majorHAnsi" w:hAnsiTheme="majorHAnsi"/>
            <w:noProof/>
            <w:webHidden/>
            <w:sz w:val="20"/>
            <w:szCs w:val="20"/>
          </w:rPr>
          <w:fldChar w:fldCharType="end"/>
        </w:r>
      </w:hyperlink>
    </w:p>
    <w:p w:rsidR="00BB1DDE" w:rsidRPr="00BB1DDE" w:rsidRDefault="00ED58DB">
      <w:pPr>
        <w:pStyle w:val="TOC2"/>
        <w:rPr>
          <w:rFonts w:asciiTheme="majorHAnsi" w:eastAsiaTheme="minorEastAsia" w:hAnsiTheme="majorHAnsi" w:cstheme="minorBidi"/>
          <w:noProof/>
          <w:sz w:val="20"/>
          <w:szCs w:val="20"/>
          <w:bdr w:val="none" w:sz="0" w:space="0" w:color="auto"/>
        </w:rPr>
      </w:pPr>
      <w:hyperlink w:anchor="_Toc469409092" w:history="1">
        <w:r w:rsidR="00BB1DDE" w:rsidRPr="00BB1DDE">
          <w:rPr>
            <w:rStyle w:val="Hyperlink"/>
            <w:rFonts w:asciiTheme="majorHAnsi" w:hAnsiTheme="majorHAnsi"/>
            <w:noProof/>
            <w:sz w:val="20"/>
            <w:szCs w:val="20"/>
            <w:lang w:val="es-VE"/>
          </w:rPr>
          <w:t>D.</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El proceso por daños y perjuicios promovido por el peticionario</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_Toc469409092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15</w:t>
        </w:r>
        <w:r w:rsidR="00BB1DDE" w:rsidRPr="00BB1DDE">
          <w:rPr>
            <w:rFonts w:asciiTheme="majorHAnsi" w:hAnsiTheme="majorHAnsi"/>
            <w:noProof/>
            <w:webHidden/>
            <w:sz w:val="20"/>
            <w:szCs w:val="20"/>
          </w:rPr>
          <w:fldChar w:fldCharType="end"/>
        </w:r>
      </w:hyperlink>
    </w:p>
    <w:p w:rsidR="00BB1DDE" w:rsidRPr="00BB1DDE" w:rsidRDefault="00ED58DB">
      <w:pPr>
        <w:pStyle w:val="TOC3"/>
        <w:tabs>
          <w:tab w:val="left" w:pos="2160"/>
        </w:tabs>
        <w:rPr>
          <w:rFonts w:asciiTheme="majorHAnsi" w:eastAsiaTheme="minorEastAsia" w:hAnsiTheme="majorHAnsi" w:cstheme="minorBidi"/>
          <w:noProof/>
          <w:sz w:val="20"/>
          <w:szCs w:val="20"/>
          <w:bdr w:val="none" w:sz="0" w:space="0" w:color="auto"/>
        </w:rPr>
      </w:pPr>
      <w:hyperlink w:anchor="_Toc469409093" w:history="1">
        <w:r w:rsidR="00BB1DDE" w:rsidRPr="00BB1DDE">
          <w:rPr>
            <w:rStyle w:val="Hyperlink"/>
            <w:rFonts w:asciiTheme="majorHAnsi" w:hAnsiTheme="majorHAnsi"/>
            <w:noProof/>
            <w:sz w:val="20"/>
            <w:szCs w:val="20"/>
            <w:lang w:val="es-VE"/>
          </w:rPr>
          <w:t>1.</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Acción por daños y perjuicios y decisión de primera instancia</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_Toc469409093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16</w:t>
        </w:r>
        <w:r w:rsidR="00BB1DDE" w:rsidRPr="00BB1DDE">
          <w:rPr>
            <w:rFonts w:asciiTheme="majorHAnsi" w:hAnsiTheme="majorHAnsi"/>
            <w:noProof/>
            <w:webHidden/>
            <w:sz w:val="20"/>
            <w:szCs w:val="20"/>
          </w:rPr>
          <w:fldChar w:fldCharType="end"/>
        </w:r>
      </w:hyperlink>
    </w:p>
    <w:p w:rsidR="00BB1DDE" w:rsidRPr="00BB1DDE" w:rsidRDefault="00ED58DB">
      <w:pPr>
        <w:pStyle w:val="TOC3"/>
        <w:tabs>
          <w:tab w:val="left" w:pos="2160"/>
        </w:tabs>
        <w:rPr>
          <w:rFonts w:asciiTheme="majorHAnsi" w:eastAsiaTheme="minorEastAsia" w:hAnsiTheme="majorHAnsi" w:cstheme="minorBidi"/>
          <w:noProof/>
          <w:sz w:val="20"/>
          <w:szCs w:val="20"/>
          <w:bdr w:val="none" w:sz="0" w:space="0" w:color="auto"/>
        </w:rPr>
      </w:pPr>
      <w:hyperlink w:anchor="_Toc469409094" w:history="1">
        <w:r w:rsidR="00BB1DDE" w:rsidRPr="00BB1DDE">
          <w:rPr>
            <w:rStyle w:val="Hyperlink"/>
            <w:rFonts w:asciiTheme="majorHAnsi" w:hAnsiTheme="majorHAnsi"/>
            <w:noProof/>
            <w:sz w:val="20"/>
            <w:szCs w:val="20"/>
            <w:lang w:val="es-VE"/>
          </w:rPr>
          <w:t>2.</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Recurso de apelación, decisión de segunda instancia y recurso de queja</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_Toc469409094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16</w:t>
        </w:r>
        <w:r w:rsidR="00BB1DDE" w:rsidRPr="00BB1DDE">
          <w:rPr>
            <w:rFonts w:asciiTheme="majorHAnsi" w:hAnsiTheme="majorHAnsi"/>
            <w:noProof/>
            <w:webHidden/>
            <w:sz w:val="20"/>
            <w:szCs w:val="20"/>
          </w:rPr>
          <w:fldChar w:fldCharType="end"/>
        </w:r>
      </w:hyperlink>
    </w:p>
    <w:p w:rsidR="00BB1DDE" w:rsidRPr="00BB1DDE" w:rsidRDefault="00ED58DB" w:rsidP="00BB1DDE">
      <w:pPr>
        <w:pStyle w:val="TOC1"/>
        <w:rPr>
          <w:rFonts w:eastAsiaTheme="minorEastAsia" w:cstheme="minorBidi"/>
          <w:bdr w:val="none" w:sz="0" w:space="0" w:color="auto"/>
        </w:rPr>
      </w:pPr>
      <w:hyperlink w:anchor="_Toc469409095" w:history="1">
        <w:r w:rsidR="00BB1DDE" w:rsidRPr="00BB1DDE">
          <w:rPr>
            <w:rStyle w:val="Hyperlink"/>
            <w:b/>
          </w:rPr>
          <w:t>V.</w:t>
        </w:r>
        <w:r w:rsidR="00BB1DDE" w:rsidRPr="00BB1DDE">
          <w:rPr>
            <w:rFonts w:eastAsiaTheme="minorEastAsia" w:cstheme="minorBidi"/>
            <w:b/>
            <w:bdr w:val="none" w:sz="0" w:space="0" w:color="auto"/>
          </w:rPr>
          <w:tab/>
        </w:r>
        <w:r w:rsidR="00BB1DDE" w:rsidRPr="00BB1DDE">
          <w:rPr>
            <w:rStyle w:val="Hyperlink"/>
            <w:b/>
          </w:rPr>
          <w:t>ANALISIS DE DERECHO</w:t>
        </w:r>
        <w:r w:rsidR="00BB1DDE" w:rsidRPr="00BB1DDE">
          <w:rPr>
            <w:webHidden/>
          </w:rPr>
          <w:tab/>
        </w:r>
        <w:r w:rsidR="00BB1DDE" w:rsidRPr="00BB1DDE">
          <w:rPr>
            <w:webHidden/>
          </w:rPr>
          <w:fldChar w:fldCharType="begin"/>
        </w:r>
        <w:r w:rsidR="00BB1DDE" w:rsidRPr="00BB1DDE">
          <w:rPr>
            <w:webHidden/>
          </w:rPr>
          <w:instrText xml:space="preserve"> PAGEREF _Toc469409095 \h </w:instrText>
        </w:r>
        <w:r w:rsidR="00BB1DDE" w:rsidRPr="00BB1DDE">
          <w:rPr>
            <w:webHidden/>
          </w:rPr>
        </w:r>
        <w:r w:rsidR="00BB1DDE" w:rsidRPr="00BB1DDE">
          <w:rPr>
            <w:webHidden/>
          </w:rPr>
          <w:fldChar w:fldCharType="separate"/>
        </w:r>
        <w:r w:rsidR="00BB1DDE" w:rsidRPr="00BB1DDE">
          <w:rPr>
            <w:webHidden/>
          </w:rPr>
          <w:t>17</w:t>
        </w:r>
        <w:r w:rsidR="00BB1DDE" w:rsidRPr="00BB1DDE">
          <w:rPr>
            <w:webHidden/>
          </w:rPr>
          <w:fldChar w:fldCharType="end"/>
        </w:r>
      </w:hyperlink>
    </w:p>
    <w:p w:rsidR="00BB1DDE" w:rsidRPr="00BB1DDE" w:rsidRDefault="00ED58DB">
      <w:pPr>
        <w:pStyle w:val="TOC2"/>
        <w:rPr>
          <w:rFonts w:asciiTheme="majorHAnsi" w:eastAsiaTheme="minorEastAsia" w:hAnsiTheme="majorHAnsi" w:cstheme="minorBidi"/>
          <w:noProof/>
          <w:sz w:val="20"/>
          <w:szCs w:val="20"/>
          <w:bdr w:val="none" w:sz="0" w:space="0" w:color="auto"/>
        </w:rPr>
      </w:pPr>
      <w:hyperlink w:anchor="_Toc469409096" w:history="1">
        <w:r w:rsidR="00BB1DDE" w:rsidRPr="00BB1DDE">
          <w:rPr>
            <w:rStyle w:val="Hyperlink"/>
            <w:rFonts w:asciiTheme="majorHAnsi" w:hAnsiTheme="majorHAnsi"/>
            <w:noProof/>
            <w:sz w:val="20"/>
            <w:szCs w:val="20"/>
            <w:lang w:val="es-ES" w:eastAsia="es-ES"/>
          </w:rPr>
          <w:t>A.</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ES" w:eastAsia="es-ES"/>
          </w:rPr>
          <w:t>Cuestiones previas</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_Toc469409096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17</w:t>
        </w:r>
        <w:r w:rsidR="00BB1DDE" w:rsidRPr="00BB1DDE">
          <w:rPr>
            <w:rFonts w:asciiTheme="majorHAnsi" w:hAnsiTheme="majorHAnsi"/>
            <w:noProof/>
            <w:webHidden/>
            <w:sz w:val="20"/>
            <w:szCs w:val="20"/>
          </w:rPr>
          <w:fldChar w:fldCharType="end"/>
        </w:r>
      </w:hyperlink>
    </w:p>
    <w:p w:rsidR="00BB1DDE" w:rsidRPr="00BB1DDE" w:rsidRDefault="00ED58DB">
      <w:pPr>
        <w:pStyle w:val="TOC2"/>
        <w:rPr>
          <w:rFonts w:asciiTheme="majorHAnsi" w:eastAsiaTheme="minorEastAsia" w:hAnsiTheme="majorHAnsi" w:cstheme="minorBidi"/>
          <w:noProof/>
          <w:sz w:val="20"/>
          <w:szCs w:val="20"/>
          <w:bdr w:val="none" w:sz="0" w:space="0" w:color="auto"/>
        </w:rPr>
      </w:pPr>
      <w:hyperlink w:anchor="_Toc469409097" w:history="1">
        <w:r w:rsidR="00BB1DDE" w:rsidRPr="00BB1DDE">
          <w:rPr>
            <w:rStyle w:val="Hyperlink"/>
            <w:rFonts w:asciiTheme="majorHAnsi" w:hAnsiTheme="majorHAnsi"/>
            <w:noProof/>
            <w:sz w:val="20"/>
            <w:szCs w:val="20"/>
            <w:lang w:val="es-ES" w:eastAsia="es-ES"/>
          </w:rPr>
          <w:t>B.</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ES" w:eastAsia="es-ES"/>
          </w:rPr>
          <w:t>El derecho a la libertad personal, a la presunción de inocencia y a la protección judicial  respecto de la motivación de la detención preventiva (Artículos 7.1, 7.3, 7.5, 7.6, 8.2, 25.1, 1.1 y 2 de la Convención Americana)</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_Toc469409097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18</w:t>
        </w:r>
        <w:r w:rsidR="00BB1DDE" w:rsidRPr="00BB1DDE">
          <w:rPr>
            <w:rFonts w:asciiTheme="majorHAnsi" w:hAnsiTheme="majorHAnsi"/>
            <w:noProof/>
            <w:webHidden/>
            <w:sz w:val="20"/>
            <w:szCs w:val="20"/>
          </w:rPr>
          <w:fldChar w:fldCharType="end"/>
        </w:r>
      </w:hyperlink>
    </w:p>
    <w:p w:rsidR="00BB1DDE" w:rsidRPr="00BB1DDE" w:rsidRDefault="00ED58DB">
      <w:pPr>
        <w:pStyle w:val="TOC3"/>
        <w:tabs>
          <w:tab w:val="left" w:pos="2160"/>
        </w:tabs>
        <w:rPr>
          <w:rFonts w:asciiTheme="majorHAnsi" w:eastAsiaTheme="minorEastAsia" w:hAnsiTheme="majorHAnsi" w:cstheme="minorBidi"/>
          <w:noProof/>
          <w:sz w:val="20"/>
          <w:szCs w:val="20"/>
          <w:bdr w:val="none" w:sz="0" w:space="0" w:color="auto"/>
        </w:rPr>
      </w:pPr>
      <w:hyperlink w:anchor="_Toc469409098" w:history="1">
        <w:r w:rsidR="00BB1DDE" w:rsidRPr="00BB1DDE">
          <w:rPr>
            <w:rStyle w:val="Hyperlink"/>
            <w:rFonts w:asciiTheme="majorHAnsi" w:hAnsiTheme="majorHAnsi"/>
            <w:noProof/>
            <w:sz w:val="20"/>
            <w:szCs w:val="20"/>
            <w:lang w:val="es-VE"/>
          </w:rPr>
          <w:t>1.</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Consideraciones generales sobre la detención preventiva</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_Toc469409098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19</w:t>
        </w:r>
        <w:r w:rsidR="00BB1DDE" w:rsidRPr="00BB1DDE">
          <w:rPr>
            <w:rFonts w:asciiTheme="majorHAnsi" w:hAnsiTheme="majorHAnsi"/>
            <w:noProof/>
            <w:webHidden/>
            <w:sz w:val="20"/>
            <w:szCs w:val="20"/>
          </w:rPr>
          <w:fldChar w:fldCharType="end"/>
        </w:r>
      </w:hyperlink>
    </w:p>
    <w:p w:rsidR="00BB1DDE" w:rsidRPr="00BB1DDE" w:rsidRDefault="00ED58DB">
      <w:pPr>
        <w:pStyle w:val="TOC3"/>
        <w:tabs>
          <w:tab w:val="left" w:pos="2160"/>
        </w:tabs>
        <w:rPr>
          <w:rFonts w:asciiTheme="majorHAnsi" w:eastAsiaTheme="minorEastAsia" w:hAnsiTheme="majorHAnsi" w:cstheme="minorBidi"/>
          <w:noProof/>
          <w:sz w:val="20"/>
          <w:szCs w:val="20"/>
          <w:bdr w:val="none" w:sz="0" w:space="0" w:color="auto"/>
        </w:rPr>
      </w:pPr>
      <w:hyperlink w:anchor="_Toc469409099" w:history="1">
        <w:r w:rsidR="00BB1DDE" w:rsidRPr="00BB1DDE">
          <w:rPr>
            <w:rStyle w:val="Hyperlink"/>
            <w:rFonts w:asciiTheme="majorHAnsi" w:hAnsiTheme="majorHAnsi"/>
            <w:noProof/>
            <w:sz w:val="20"/>
            <w:szCs w:val="20"/>
            <w:lang w:val="es-VE"/>
          </w:rPr>
          <w:t>2.</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VE"/>
          </w:rPr>
          <w:t>Análisis del caso</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_Toc469409099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22</w:t>
        </w:r>
        <w:r w:rsidR="00BB1DDE" w:rsidRPr="00BB1DDE">
          <w:rPr>
            <w:rFonts w:asciiTheme="majorHAnsi" w:hAnsiTheme="majorHAnsi"/>
            <w:noProof/>
            <w:webHidden/>
            <w:sz w:val="20"/>
            <w:szCs w:val="20"/>
          </w:rPr>
          <w:fldChar w:fldCharType="end"/>
        </w:r>
      </w:hyperlink>
    </w:p>
    <w:p w:rsidR="00BB1DDE" w:rsidRPr="00BB1DDE" w:rsidRDefault="00ED58DB">
      <w:pPr>
        <w:pStyle w:val="TOC2"/>
        <w:rPr>
          <w:rFonts w:asciiTheme="majorHAnsi" w:eastAsiaTheme="minorEastAsia" w:hAnsiTheme="majorHAnsi" w:cstheme="minorBidi"/>
          <w:noProof/>
          <w:sz w:val="20"/>
          <w:szCs w:val="20"/>
          <w:bdr w:val="none" w:sz="0" w:space="0" w:color="auto"/>
        </w:rPr>
      </w:pPr>
      <w:hyperlink w:anchor="_Toc469409100" w:history="1">
        <w:r w:rsidR="00BB1DDE" w:rsidRPr="00BB1DDE">
          <w:rPr>
            <w:rStyle w:val="Hyperlink"/>
            <w:rFonts w:asciiTheme="majorHAnsi" w:hAnsiTheme="majorHAnsi"/>
            <w:noProof/>
            <w:sz w:val="20"/>
            <w:szCs w:val="20"/>
            <w:lang w:val="es-ES" w:eastAsia="es-ES"/>
          </w:rPr>
          <w:t>C.</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ES" w:eastAsia="es-ES"/>
          </w:rPr>
          <w:t>El derecho a la libertad personal y el derecho de igualdad ante la ley en relación con el deber de adoptar disposiciones de derecho interno (Artículos 7, 24, 1.1 y 2 de la Convención Americana)</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_Toc469409100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23</w:t>
        </w:r>
        <w:r w:rsidR="00BB1DDE" w:rsidRPr="00BB1DDE">
          <w:rPr>
            <w:rFonts w:asciiTheme="majorHAnsi" w:hAnsiTheme="majorHAnsi"/>
            <w:noProof/>
            <w:webHidden/>
            <w:sz w:val="20"/>
            <w:szCs w:val="20"/>
          </w:rPr>
          <w:fldChar w:fldCharType="end"/>
        </w:r>
      </w:hyperlink>
    </w:p>
    <w:p w:rsidR="00BB1DDE" w:rsidRPr="00BB1DDE" w:rsidRDefault="00ED58DB">
      <w:pPr>
        <w:pStyle w:val="TOC2"/>
        <w:rPr>
          <w:rFonts w:asciiTheme="majorHAnsi" w:eastAsiaTheme="minorEastAsia" w:hAnsiTheme="majorHAnsi" w:cstheme="minorBidi"/>
          <w:noProof/>
          <w:sz w:val="20"/>
          <w:szCs w:val="20"/>
          <w:bdr w:val="none" w:sz="0" w:space="0" w:color="auto"/>
        </w:rPr>
      </w:pPr>
      <w:hyperlink w:anchor="_Toc469409101" w:history="1">
        <w:r w:rsidR="00BB1DDE" w:rsidRPr="00BB1DDE">
          <w:rPr>
            <w:rStyle w:val="Hyperlink"/>
            <w:rFonts w:asciiTheme="majorHAnsi" w:hAnsiTheme="majorHAnsi"/>
            <w:noProof/>
            <w:sz w:val="20"/>
            <w:szCs w:val="20"/>
            <w:lang w:val="es-ES" w:eastAsia="es-ES"/>
          </w:rPr>
          <w:t>D.</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ES" w:eastAsia="es-ES"/>
          </w:rPr>
          <w:t>El derecho a la protección judicial y al plazo razonable respecto del proceso contencioso administrativo (Artículos 8.1, 25.1 y 1.1 de la Convención de la Convención Americana)</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_Toc469409101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25</w:t>
        </w:r>
        <w:r w:rsidR="00BB1DDE" w:rsidRPr="00BB1DDE">
          <w:rPr>
            <w:rFonts w:asciiTheme="majorHAnsi" w:hAnsiTheme="majorHAnsi"/>
            <w:noProof/>
            <w:webHidden/>
            <w:sz w:val="20"/>
            <w:szCs w:val="20"/>
          </w:rPr>
          <w:fldChar w:fldCharType="end"/>
        </w:r>
      </w:hyperlink>
    </w:p>
    <w:p w:rsidR="00BB1DDE" w:rsidRPr="00BB1DDE" w:rsidRDefault="00ED58DB">
      <w:pPr>
        <w:pStyle w:val="TOC2"/>
        <w:rPr>
          <w:rFonts w:asciiTheme="majorHAnsi" w:eastAsiaTheme="minorEastAsia" w:hAnsiTheme="majorHAnsi" w:cstheme="minorBidi"/>
          <w:noProof/>
          <w:sz w:val="20"/>
          <w:szCs w:val="20"/>
          <w:bdr w:val="none" w:sz="0" w:space="0" w:color="auto"/>
        </w:rPr>
      </w:pPr>
      <w:hyperlink w:anchor="_Toc469409102" w:history="1">
        <w:r w:rsidR="00BB1DDE" w:rsidRPr="00BB1DDE">
          <w:rPr>
            <w:rStyle w:val="Hyperlink"/>
            <w:rFonts w:asciiTheme="majorHAnsi" w:hAnsiTheme="majorHAnsi"/>
            <w:noProof/>
            <w:sz w:val="20"/>
            <w:szCs w:val="20"/>
            <w:lang w:val="es-ES" w:eastAsia="es-ES"/>
          </w:rPr>
          <w:t>E.</w:t>
        </w:r>
        <w:r w:rsidR="00BB1DDE" w:rsidRPr="00BB1DDE">
          <w:rPr>
            <w:rFonts w:asciiTheme="majorHAnsi" w:eastAsiaTheme="minorEastAsia" w:hAnsiTheme="majorHAnsi" w:cstheme="minorBidi"/>
            <w:noProof/>
            <w:sz w:val="20"/>
            <w:szCs w:val="20"/>
            <w:bdr w:val="none" w:sz="0" w:space="0" w:color="auto"/>
          </w:rPr>
          <w:tab/>
        </w:r>
        <w:r w:rsidR="00BB1DDE" w:rsidRPr="00BB1DDE">
          <w:rPr>
            <w:rStyle w:val="Hyperlink"/>
            <w:rFonts w:asciiTheme="majorHAnsi" w:hAnsiTheme="majorHAnsi"/>
            <w:noProof/>
            <w:sz w:val="20"/>
            <w:szCs w:val="20"/>
            <w:lang w:val="es-ES" w:eastAsia="es-ES"/>
          </w:rPr>
          <w:t>Los derechos a las garantías judiciales y protección judicial respecto de las investigaciones relativas a la supuesta falsedad ideológica (Artículos 8.1, 25.1 y 1.1 de la Convención Americana.</w:t>
        </w:r>
        <w:r w:rsidR="00BB1DDE" w:rsidRPr="00BB1DDE">
          <w:rPr>
            <w:rFonts w:asciiTheme="majorHAnsi" w:hAnsiTheme="majorHAnsi"/>
            <w:noProof/>
            <w:webHidden/>
            <w:sz w:val="20"/>
            <w:szCs w:val="20"/>
          </w:rPr>
          <w:tab/>
        </w:r>
        <w:r w:rsidR="00BB1DDE" w:rsidRPr="00BB1DDE">
          <w:rPr>
            <w:rFonts w:asciiTheme="majorHAnsi" w:hAnsiTheme="majorHAnsi"/>
            <w:noProof/>
            <w:webHidden/>
            <w:sz w:val="20"/>
            <w:szCs w:val="20"/>
          </w:rPr>
          <w:fldChar w:fldCharType="begin"/>
        </w:r>
        <w:r w:rsidR="00BB1DDE" w:rsidRPr="00BB1DDE">
          <w:rPr>
            <w:rFonts w:asciiTheme="majorHAnsi" w:hAnsiTheme="majorHAnsi"/>
            <w:noProof/>
            <w:webHidden/>
            <w:sz w:val="20"/>
            <w:szCs w:val="20"/>
          </w:rPr>
          <w:instrText xml:space="preserve"> PAGEREF _Toc469409102 \h </w:instrText>
        </w:r>
        <w:r w:rsidR="00BB1DDE" w:rsidRPr="00BB1DDE">
          <w:rPr>
            <w:rFonts w:asciiTheme="majorHAnsi" w:hAnsiTheme="majorHAnsi"/>
            <w:noProof/>
            <w:webHidden/>
            <w:sz w:val="20"/>
            <w:szCs w:val="20"/>
          </w:rPr>
        </w:r>
        <w:r w:rsidR="00BB1DDE" w:rsidRPr="00BB1DDE">
          <w:rPr>
            <w:rFonts w:asciiTheme="majorHAnsi" w:hAnsiTheme="majorHAnsi"/>
            <w:noProof/>
            <w:webHidden/>
            <w:sz w:val="20"/>
            <w:szCs w:val="20"/>
          </w:rPr>
          <w:fldChar w:fldCharType="separate"/>
        </w:r>
        <w:r w:rsidR="00BB1DDE" w:rsidRPr="00BB1DDE">
          <w:rPr>
            <w:rFonts w:asciiTheme="majorHAnsi" w:hAnsiTheme="majorHAnsi"/>
            <w:noProof/>
            <w:webHidden/>
            <w:sz w:val="20"/>
            <w:szCs w:val="20"/>
          </w:rPr>
          <w:t>27</w:t>
        </w:r>
        <w:r w:rsidR="00BB1DDE" w:rsidRPr="00BB1DDE">
          <w:rPr>
            <w:rFonts w:asciiTheme="majorHAnsi" w:hAnsiTheme="majorHAnsi"/>
            <w:noProof/>
            <w:webHidden/>
            <w:sz w:val="20"/>
            <w:szCs w:val="20"/>
          </w:rPr>
          <w:fldChar w:fldCharType="end"/>
        </w:r>
      </w:hyperlink>
    </w:p>
    <w:p w:rsidR="00BB1DDE" w:rsidRPr="00BB1DDE" w:rsidRDefault="00ED58DB" w:rsidP="00BB1DDE">
      <w:pPr>
        <w:pStyle w:val="TOC1"/>
        <w:rPr>
          <w:rFonts w:eastAsiaTheme="minorEastAsia" w:cstheme="minorBidi"/>
          <w:bdr w:val="none" w:sz="0" w:space="0" w:color="auto"/>
        </w:rPr>
      </w:pPr>
      <w:hyperlink w:anchor="_Toc469409103" w:history="1">
        <w:r w:rsidR="00BB1DDE" w:rsidRPr="00BB1DDE">
          <w:rPr>
            <w:rStyle w:val="Hyperlink"/>
            <w:b/>
            <w:bCs/>
            <w:lang w:val="es-AR"/>
          </w:rPr>
          <w:t>VI.</w:t>
        </w:r>
        <w:r w:rsidR="00BB1DDE" w:rsidRPr="00BB1DDE">
          <w:rPr>
            <w:rFonts w:eastAsiaTheme="minorEastAsia" w:cstheme="minorBidi"/>
            <w:bdr w:val="none" w:sz="0" w:space="0" w:color="auto"/>
          </w:rPr>
          <w:tab/>
        </w:r>
        <w:r w:rsidR="00BB1DDE" w:rsidRPr="00BB1DDE">
          <w:rPr>
            <w:rStyle w:val="Hyperlink"/>
            <w:b/>
          </w:rPr>
          <w:t>CONCLUSIONES</w:t>
        </w:r>
        <w:r w:rsidR="00BB1DDE" w:rsidRPr="00BB1DDE">
          <w:rPr>
            <w:webHidden/>
          </w:rPr>
          <w:tab/>
        </w:r>
        <w:r w:rsidR="00BB1DDE" w:rsidRPr="00BB1DDE">
          <w:rPr>
            <w:webHidden/>
          </w:rPr>
          <w:fldChar w:fldCharType="begin"/>
        </w:r>
        <w:r w:rsidR="00BB1DDE" w:rsidRPr="00BB1DDE">
          <w:rPr>
            <w:webHidden/>
          </w:rPr>
          <w:instrText xml:space="preserve"> PAGEREF _Toc469409103 \h </w:instrText>
        </w:r>
        <w:r w:rsidR="00BB1DDE" w:rsidRPr="00BB1DDE">
          <w:rPr>
            <w:webHidden/>
          </w:rPr>
        </w:r>
        <w:r w:rsidR="00BB1DDE" w:rsidRPr="00BB1DDE">
          <w:rPr>
            <w:webHidden/>
          </w:rPr>
          <w:fldChar w:fldCharType="separate"/>
        </w:r>
        <w:r w:rsidR="00BB1DDE" w:rsidRPr="00BB1DDE">
          <w:rPr>
            <w:webHidden/>
          </w:rPr>
          <w:t>27</w:t>
        </w:r>
        <w:r w:rsidR="00BB1DDE" w:rsidRPr="00BB1DDE">
          <w:rPr>
            <w:webHidden/>
          </w:rPr>
          <w:fldChar w:fldCharType="end"/>
        </w:r>
      </w:hyperlink>
    </w:p>
    <w:p w:rsidR="00BB1DDE" w:rsidRPr="00BB1DDE" w:rsidRDefault="00ED58DB" w:rsidP="00BB1DDE">
      <w:pPr>
        <w:pStyle w:val="TOC1"/>
        <w:rPr>
          <w:rFonts w:eastAsiaTheme="minorEastAsia" w:cstheme="minorBidi"/>
          <w:bdr w:val="none" w:sz="0" w:space="0" w:color="auto"/>
        </w:rPr>
      </w:pPr>
      <w:hyperlink w:anchor="_Toc469409104" w:history="1">
        <w:r w:rsidR="00BB1DDE" w:rsidRPr="00BB1DDE">
          <w:rPr>
            <w:rStyle w:val="Hyperlink"/>
            <w:b/>
          </w:rPr>
          <w:t>VII.</w:t>
        </w:r>
        <w:r w:rsidR="00BB1DDE" w:rsidRPr="00BB1DDE">
          <w:rPr>
            <w:rFonts w:eastAsiaTheme="minorEastAsia" w:cstheme="minorBidi"/>
            <w:bdr w:val="none" w:sz="0" w:space="0" w:color="auto"/>
          </w:rPr>
          <w:tab/>
        </w:r>
        <w:r w:rsidR="00BB1DDE" w:rsidRPr="00BB1DDE">
          <w:rPr>
            <w:rStyle w:val="Hyperlink"/>
            <w:b/>
          </w:rPr>
          <w:t>RECOMENDACIONES</w:t>
        </w:r>
        <w:r w:rsidR="00BB1DDE" w:rsidRPr="00BB1DDE">
          <w:rPr>
            <w:webHidden/>
          </w:rPr>
          <w:tab/>
        </w:r>
        <w:r w:rsidR="00BB1DDE" w:rsidRPr="00BB1DDE">
          <w:rPr>
            <w:webHidden/>
          </w:rPr>
          <w:fldChar w:fldCharType="begin"/>
        </w:r>
        <w:r w:rsidR="00BB1DDE" w:rsidRPr="00BB1DDE">
          <w:rPr>
            <w:webHidden/>
          </w:rPr>
          <w:instrText xml:space="preserve"> PAGEREF _Toc469409104 \h </w:instrText>
        </w:r>
        <w:r w:rsidR="00BB1DDE" w:rsidRPr="00BB1DDE">
          <w:rPr>
            <w:webHidden/>
          </w:rPr>
        </w:r>
        <w:r w:rsidR="00BB1DDE" w:rsidRPr="00BB1DDE">
          <w:rPr>
            <w:webHidden/>
          </w:rPr>
          <w:fldChar w:fldCharType="separate"/>
        </w:r>
        <w:r w:rsidR="00BB1DDE" w:rsidRPr="00BB1DDE">
          <w:rPr>
            <w:webHidden/>
          </w:rPr>
          <w:t>27</w:t>
        </w:r>
        <w:r w:rsidR="00BB1DDE" w:rsidRPr="00BB1DDE">
          <w:rPr>
            <w:webHidden/>
          </w:rPr>
          <w:fldChar w:fldCharType="end"/>
        </w:r>
      </w:hyperlink>
    </w:p>
    <w:p w:rsidR="00845264" w:rsidRPr="00BB1DDE" w:rsidRDefault="002F4AB7" w:rsidP="00BB1DDE">
      <w:pPr>
        <w:tabs>
          <w:tab w:val="left" w:pos="720"/>
        </w:tabs>
        <w:rPr>
          <w:rFonts w:asciiTheme="majorHAnsi" w:hAnsiTheme="majorHAnsi"/>
          <w:sz w:val="20"/>
          <w:szCs w:val="20"/>
          <w:lang w:val="es-VE"/>
        </w:rPr>
      </w:pPr>
      <w:r w:rsidRPr="00BB1DDE">
        <w:rPr>
          <w:rFonts w:asciiTheme="majorHAnsi" w:hAnsiTheme="majorHAnsi"/>
          <w:sz w:val="20"/>
          <w:szCs w:val="20"/>
          <w:lang w:val="es-VE"/>
        </w:rPr>
        <w:fldChar w:fldCharType="end"/>
      </w:r>
    </w:p>
    <w:p w:rsidR="006D6521" w:rsidRPr="00B56CF7" w:rsidRDefault="006D6521" w:rsidP="0055661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bdr w:val="none" w:sz="0" w:space="0" w:color="auto"/>
          <w:lang w:val="es-CO"/>
        </w:rPr>
      </w:pPr>
    </w:p>
    <w:p w:rsidR="00E76156" w:rsidRDefault="00E76156"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CO"/>
        </w:rPr>
        <w:sectPr w:rsidR="00E76156" w:rsidSect="00905478">
          <w:type w:val="oddPage"/>
          <w:pgSz w:w="12240" w:h="15840"/>
          <w:pgMar w:top="1440" w:right="1350" w:bottom="1440" w:left="1440" w:header="720" w:footer="720" w:gutter="0"/>
          <w:pgNumType w:start="1"/>
          <w:cols w:space="720"/>
          <w:docGrid w:linePitch="326"/>
        </w:sectPr>
      </w:pPr>
    </w:p>
    <w:p w:rsidR="004B316C" w:rsidRPr="00E76156" w:rsidRDefault="00B06C1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_tradnl"/>
        </w:rPr>
      </w:pPr>
      <w:r w:rsidRPr="00E76156">
        <w:rPr>
          <w:rFonts w:asciiTheme="majorHAnsi" w:eastAsia="Times New Roman" w:hAnsiTheme="majorHAnsi"/>
          <w:b/>
          <w:sz w:val="18"/>
          <w:szCs w:val="18"/>
          <w:bdr w:val="none" w:sz="0" w:space="0" w:color="auto"/>
          <w:lang w:val="es-CO"/>
        </w:rPr>
        <w:lastRenderedPageBreak/>
        <w:t xml:space="preserve">INFORME No. </w:t>
      </w:r>
      <w:r w:rsidR="00796C54">
        <w:rPr>
          <w:rFonts w:asciiTheme="majorHAnsi" w:eastAsia="Times New Roman" w:hAnsiTheme="majorHAnsi"/>
          <w:b/>
          <w:sz w:val="18"/>
          <w:szCs w:val="18"/>
          <w:bdr w:val="none" w:sz="0" w:space="0" w:color="auto"/>
          <w:lang w:val="es-ES_tradnl"/>
        </w:rPr>
        <w:t>53</w:t>
      </w:r>
      <w:r w:rsidR="003B3094" w:rsidRPr="00E76156">
        <w:rPr>
          <w:rFonts w:asciiTheme="majorHAnsi" w:eastAsia="Times New Roman" w:hAnsiTheme="majorHAnsi"/>
          <w:b/>
          <w:sz w:val="18"/>
          <w:szCs w:val="18"/>
          <w:bdr w:val="none" w:sz="0" w:space="0" w:color="auto"/>
          <w:lang w:val="es-ES_tradnl"/>
        </w:rPr>
        <w:t>/16</w:t>
      </w:r>
    </w:p>
    <w:p w:rsidR="004B316C" w:rsidRPr="00E76156" w:rsidRDefault="003B309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_tradnl"/>
        </w:rPr>
      </w:pPr>
      <w:r w:rsidRPr="00E76156">
        <w:rPr>
          <w:rFonts w:asciiTheme="majorHAnsi" w:eastAsia="Times New Roman" w:hAnsiTheme="majorHAnsi"/>
          <w:b/>
          <w:sz w:val="18"/>
          <w:szCs w:val="18"/>
          <w:bdr w:val="none" w:sz="0" w:space="0" w:color="auto"/>
          <w:lang w:val="es-ES_tradnl"/>
        </w:rPr>
        <w:t>CASO 12.0</w:t>
      </w:r>
      <w:r w:rsidR="00EB1199" w:rsidRPr="00E76156">
        <w:rPr>
          <w:rFonts w:asciiTheme="majorHAnsi" w:eastAsia="Times New Roman" w:hAnsiTheme="majorHAnsi"/>
          <w:b/>
          <w:sz w:val="18"/>
          <w:szCs w:val="18"/>
          <w:bdr w:val="none" w:sz="0" w:space="0" w:color="auto"/>
          <w:lang w:val="es-ES_tradnl"/>
        </w:rPr>
        <w:t>56</w:t>
      </w:r>
    </w:p>
    <w:p w:rsidR="004B316C" w:rsidRPr="00E76156" w:rsidRDefault="004B316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E76156">
        <w:rPr>
          <w:rFonts w:asciiTheme="majorHAnsi" w:eastAsia="Times New Roman" w:hAnsiTheme="majorHAnsi"/>
          <w:sz w:val="18"/>
          <w:szCs w:val="18"/>
          <w:bdr w:val="none" w:sz="0" w:space="0" w:color="auto"/>
          <w:lang w:val="es-ES_tradnl"/>
        </w:rPr>
        <w:t>FONDO</w:t>
      </w:r>
    </w:p>
    <w:p w:rsidR="00B06C1C" w:rsidRPr="00E76156" w:rsidRDefault="003B309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E76156">
        <w:rPr>
          <w:rFonts w:asciiTheme="majorHAnsi" w:eastAsia="Times New Roman" w:hAnsiTheme="majorHAnsi"/>
          <w:sz w:val="18"/>
          <w:szCs w:val="18"/>
          <w:bdr w:val="none" w:sz="0" w:space="0" w:color="auto"/>
          <w:lang w:val="es-ES_tradnl"/>
        </w:rPr>
        <w:t>GABRIEL OSCAR JENKINS</w:t>
      </w:r>
    </w:p>
    <w:p w:rsidR="00B06C1C" w:rsidRPr="00E76156" w:rsidRDefault="003B309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E76156">
        <w:rPr>
          <w:rFonts w:asciiTheme="majorHAnsi" w:eastAsia="Times New Roman" w:hAnsiTheme="majorHAnsi"/>
          <w:sz w:val="18"/>
          <w:szCs w:val="18"/>
          <w:bdr w:val="none" w:sz="0" w:space="0" w:color="auto"/>
          <w:lang w:val="es-ES_tradnl"/>
        </w:rPr>
        <w:t>ARGENTINA</w:t>
      </w:r>
    </w:p>
    <w:p w:rsidR="004B316C" w:rsidRPr="00E76156" w:rsidRDefault="00796C54" w:rsidP="00B330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Pr>
          <w:rFonts w:asciiTheme="majorHAnsi" w:eastAsia="Times New Roman" w:hAnsiTheme="majorHAnsi"/>
          <w:sz w:val="18"/>
          <w:szCs w:val="18"/>
          <w:bdr w:val="none" w:sz="0" w:space="0" w:color="auto"/>
          <w:lang w:val="es-ES_tradnl"/>
        </w:rPr>
        <w:t>6</w:t>
      </w:r>
      <w:r w:rsidR="00B5326D" w:rsidRPr="00E76156">
        <w:rPr>
          <w:rFonts w:asciiTheme="majorHAnsi" w:eastAsia="Times New Roman" w:hAnsiTheme="majorHAnsi"/>
          <w:sz w:val="18"/>
          <w:szCs w:val="18"/>
          <w:bdr w:val="none" w:sz="0" w:space="0" w:color="auto"/>
          <w:lang w:val="es-ES_tradnl"/>
        </w:rPr>
        <w:t xml:space="preserve"> DE </w:t>
      </w:r>
      <w:r>
        <w:rPr>
          <w:rFonts w:asciiTheme="majorHAnsi" w:eastAsia="Times New Roman" w:hAnsiTheme="majorHAnsi"/>
          <w:sz w:val="18"/>
          <w:szCs w:val="18"/>
          <w:bdr w:val="none" w:sz="0" w:space="0" w:color="auto"/>
          <w:lang w:val="es-ES_tradnl"/>
        </w:rPr>
        <w:t>DICIEMBRE</w:t>
      </w:r>
      <w:r w:rsidR="00EB1199" w:rsidRPr="00E76156">
        <w:rPr>
          <w:rFonts w:asciiTheme="majorHAnsi" w:eastAsia="Times New Roman" w:hAnsiTheme="majorHAnsi"/>
          <w:sz w:val="18"/>
          <w:szCs w:val="18"/>
          <w:bdr w:val="none" w:sz="0" w:space="0" w:color="auto"/>
          <w:lang w:val="es-ES_tradnl"/>
        </w:rPr>
        <w:t xml:space="preserve"> DE 2016</w:t>
      </w:r>
    </w:p>
    <w:p w:rsidR="004B316C"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rsidR="00E76156" w:rsidRPr="00B56CF7" w:rsidRDefault="00E76156" w:rsidP="004B31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rsidR="00E40449" w:rsidRPr="00B56CF7" w:rsidRDefault="00E40449" w:rsidP="005E081B">
      <w:pPr>
        <w:pStyle w:val="Heading1"/>
        <w:numPr>
          <w:ilvl w:val="0"/>
          <w:numId w:val="55"/>
        </w:numPr>
        <w:tabs>
          <w:tab w:val="clear" w:pos="1440"/>
        </w:tabs>
      </w:pPr>
      <w:bookmarkStart w:id="2" w:name="_Toc370840743"/>
      <w:bookmarkStart w:id="3" w:name="_Toc370840839"/>
      <w:bookmarkStart w:id="4" w:name="_Toc423514405"/>
      <w:bookmarkStart w:id="5" w:name="_Toc433115981"/>
      <w:bookmarkStart w:id="6" w:name="_Toc444958124"/>
      <w:bookmarkStart w:id="7" w:name="_Toc467577905"/>
      <w:bookmarkStart w:id="8" w:name="_Toc469409076"/>
      <w:r w:rsidRPr="00B56CF7">
        <w:t>RESUMEN</w:t>
      </w:r>
      <w:bookmarkEnd w:id="2"/>
      <w:bookmarkEnd w:id="3"/>
      <w:bookmarkEnd w:id="4"/>
      <w:bookmarkEnd w:id="5"/>
      <w:bookmarkEnd w:id="6"/>
      <w:bookmarkEnd w:id="7"/>
      <w:bookmarkEnd w:id="8"/>
    </w:p>
    <w:p w:rsidR="00E40449" w:rsidRPr="00B56CF7" w:rsidRDefault="00E40449" w:rsidP="00E40449">
      <w:pPr>
        <w:jc w:val="both"/>
        <w:rPr>
          <w:rFonts w:asciiTheme="majorHAnsi" w:hAnsiTheme="majorHAnsi" w:cs="Arial"/>
          <w:sz w:val="20"/>
          <w:szCs w:val="20"/>
          <w:lang w:val="es-ES"/>
        </w:rPr>
      </w:pPr>
    </w:p>
    <w:p w:rsidR="00E40449" w:rsidRPr="00B56CF7" w:rsidRDefault="00E40449" w:rsidP="00051C4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El </w:t>
      </w:r>
      <w:r w:rsidR="00051C44" w:rsidRPr="00B56CF7">
        <w:rPr>
          <w:rFonts w:asciiTheme="majorHAnsi" w:eastAsia="Calibri" w:hAnsiTheme="majorHAnsi"/>
          <w:sz w:val="20"/>
          <w:szCs w:val="20"/>
          <w:lang w:val="es-VE"/>
        </w:rPr>
        <w:t>9</w:t>
      </w:r>
      <w:r w:rsidR="005E21D4" w:rsidRPr="00B56CF7">
        <w:rPr>
          <w:rFonts w:asciiTheme="majorHAnsi" w:eastAsia="Calibri" w:hAnsiTheme="majorHAnsi"/>
          <w:sz w:val="20"/>
          <w:szCs w:val="20"/>
          <w:lang w:val="es-VE"/>
        </w:rPr>
        <w:t xml:space="preserve"> de </w:t>
      </w:r>
      <w:r w:rsidR="00EB1199" w:rsidRPr="00B56CF7">
        <w:rPr>
          <w:rFonts w:asciiTheme="majorHAnsi" w:eastAsia="Calibri" w:hAnsiTheme="majorHAnsi"/>
          <w:sz w:val="20"/>
          <w:szCs w:val="20"/>
          <w:lang w:val="es-VE"/>
        </w:rPr>
        <w:t>septiembre de</w:t>
      </w:r>
      <w:r w:rsidR="005E21D4" w:rsidRPr="00B56CF7">
        <w:rPr>
          <w:rFonts w:asciiTheme="majorHAnsi" w:eastAsia="Calibri" w:hAnsiTheme="majorHAnsi"/>
          <w:sz w:val="20"/>
          <w:szCs w:val="20"/>
          <w:lang w:val="es-VE"/>
        </w:rPr>
        <w:t xml:space="preserve"> </w:t>
      </w:r>
      <w:r w:rsidR="00051C44" w:rsidRPr="00B56CF7">
        <w:rPr>
          <w:rFonts w:asciiTheme="majorHAnsi" w:eastAsia="Calibri" w:hAnsiTheme="majorHAnsi"/>
          <w:sz w:val="20"/>
          <w:szCs w:val="20"/>
          <w:lang w:val="es-VE"/>
        </w:rPr>
        <w:t>1997</w:t>
      </w:r>
      <w:r w:rsidR="005E21D4" w:rsidRPr="00B56CF7">
        <w:rPr>
          <w:rFonts w:asciiTheme="majorHAnsi" w:eastAsia="Calibri" w:hAnsiTheme="majorHAnsi"/>
          <w:sz w:val="20"/>
          <w:szCs w:val="20"/>
          <w:lang w:val="es-VE"/>
        </w:rPr>
        <w:t xml:space="preserve"> la Comisión Interamericana de Derechos Humanos (en adelante “la Comisión”</w:t>
      </w:r>
      <w:r w:rsidR="0046192F" w:rsidRPr="00B56CF7">
        <w:rPr>
          <w:rFonts w:asciiTheme="majorHAnsi" w:eastAsia="Calibri" w:hAnsiTheme="majorHAnsi"/>
          <w:sz w:val="20"/>
          <w:szCs w:val="20"/>
          <w:lang w:val="es-VE"/>
        </w:rPr>
        <w:t>, “la Comisión Interamericana”</w:t>
      </w:r>
      <w:r w:rsidR="005E21D4" w:rsidRPr="00B56CF7">
        <w:rPr>
          <w:rFonts w:asciiTheme="majorHAnsi" w:eastAsia="Calibri" w:hAnsiTheme="majorHAnsi"/>
          <w:sz w:val="20"/>
          <w:szCs w:val="20"/>
          <w:lang w:val="es-VE"/>
        </w:rPr>
        <w:t xml:space="preserve"> o “</w:t>
      </w:r>
      <w:r w:rsidR="0046192F" w:rsidRPr="00B56CF7">
        <w:rPr>
          <w:rFonts w:asciiTheme="majorHAnsi" w:eastAsia="Calibri" w:hAnsiTheme="majorHAnsi"/>
          <w:sz w:val="20"/>
          <w:szCs w:val="20"/>
          <w:lang w:val="es-VE"/>
        </w:rPr>
        <w:t xml:space="preserve">la </w:t>
      </w:r>
      <w:r w:rsidR="005E21D4" w:rsidRPr="00B56CF7">
        <w:rPr>
          <w:rFonts w:asciiTheme="majorHAnsi" w:eastAsia="Calibri" w:hAnsiTheme="majorHAnsi"/>
          <w:sz w:val="20"/>
          <w:szCs w:val="20"/>
          <w:lang w:val="es-VE"/>
        </w:rPr>
        <w:t>CIDH”) recibió una petición presentada por</w:t>
      </w:r>
      <w:r w:rsidR="00FB3F52" w:rsidRPr="00B56CF7">
        <w:rPr>
          <w:rFonts w:asciiTheme="majorHAnsi" w:eastAsia="Calibri" w:hAnsiTheme="majorHAnsi"/>
          <w:sz w:val="20"/>
          <w:szCs w:val="20"/>
          <w:lang w:val="es-VE"/>
        </w:rPr>
        <w:t xml:space="preserve"> </w:t>
      </w:r>
      <w:r w:rsidR="00051C44" w:rsidRPr="00B56CF7">
        <w:rPr>
          <w:rFonts w:asciiTheme="majorHAnsi" w:eastAsia="Calibri" w:hAnsiTheme="majorHAnsi"/>
          <w:sz w:val="20"/>
          <w:szCs w:val="20"/>
          <w:lang w:val="es-VE"/>
        </w:rPr>
        <w:t>Gabriel Oscar Jenkins</w:t>
      </w:r>
      <w:r w:rsidR="006A7A63" w:rsidRPr="00B56CF7">
        <w:rPr>
          <w:rFonts w:asciiTheme="majorHAnsi" w:eastAsia="Calibri" w:hAnsiTheme="majorHAnsi"/>
          <w:sz w:val="20"/>
          <w:szCs w:val="20"/>
          <w:lang w:val="es-VE"/>
        </w:rPr>
        <w:t xml:space="preserve"> </w:t>
      </w:r>
      <w:r w:rsidR="005E21D4" w:rsidRPr="00B56CF7">
        <w:rPr>
          <w:rFonts w:asciiTheme="majorHAnsi" w:eastAsia="Calibri" w:hAnsiTheme="majorHAnsi"/>
          <w:sz w:val="20"/>
          <w:szCs w:val="20"/>
          <w:lang w:val="es-VE"/>
        </w:rPr>
        <w:t xml:space="preserve">en la cual se alega la responsabilidad de la República de </w:t>
      </w:r>
      <w:r w:rsidR="00051C44" w:rsidRPr="00B56CF7">
        <w:rPr>
          <w:rFonts w:asciiTheme="majorHAnsi" w:eastAsia="Calibri" w:hAnsiTheme="majorHAnsi"/>
          <w:sz w:val="20"/>
          <w:szCs w:val="20"/>
          <w:lang w:val="es-VE"/>
        </w:rPr>
        <w:t>Argentina</w:t>
      </w:r>
      <w:r w:rsidR="005E21D4" w:rsidRPr="00B56CF7">
        <w:rPr>
          <w:rFonts w:asciiTheme="majorHAnsi" w:eastAsia="Calibri" w:hAnsiTheme="majorHAnsi"/>
          <w:sz w:val="20"/>
          <w:szCs w:val="20"/>
          <w:lang w:val="es-VE"/>
        </w:rPr>
        <w:t xml:space="preserve"> (en adelante “el Estado”</w:t>
      </w:r>
      <w:r w:rsidR="008A0EC3" w:rsidRPr="00B56CF7">
        <w:rPr>
          <w:rFonts w:asciiTheme="majorHAnsi" w:eastAsia="Calibri" w:hAnsiTheme="majorHAnsi"/>
          <w:sz w:val="20"/>
          <w:szCs w:val="20"/>
          <w:lang w:val="es-VE"/>
        </w:rPr>
        <w:t>,</w:t>
      </w:r>
      <w:r w:rsidR="005E21D4" w:rsidRPr="00B56CF7">
        <w:rPr>
          <w:rFonts w:asciiTheme="majorHAnsi" w:eastAsia="Calibri" w:hAnsiTheme="majorHAnsi"/>
          <w:sz w:val="20"/>
          <w:szCs w:val="20"/>
          <w:lang w:val="es-VE"/>
        </w:rPr>
        <w:t xml:space="preserve">  “el Estado </w:t>
      </w:r>
      <w:r w:rsidR="00F146A7" w:rsidRPr="00B56CF7">
        <w:rPr>
          <w:rFonts w:asciiTheme="majorHAnsi" w:eastAsia="Calibri" w:hAnsiTheme="majorHAnsi"/>
          <w:sz w:val="20"/>
          <w:szCs w:val="20"/>
          <w:lang w:val="es-VE"/>
        </w:rPr>
        <w:t xml:space="preserve"> de </w:t>
      </w:r>
      <w:r w:rsidR="00051C44" w:rsidRPr="00B56CF7">
        <w:rPr>
          <w:rFonts w:asciiTheme="majorHAnsi" w:eastAsia="Calibri" w:hAnsiTheme="majorHAnsi"/>
          <w:sz w:val="20"/>
          <w:szCs w:val="20"/>
          <w:lang w:val="es-VE"/>
        </w:rPr>
        <w:t>argentina</w:t>
      </w:r>
      <w:r w:rsidR="005E21D4" w:rsidRPr="00B56CF7">
        <w:rPr>
          <w:rFonts w:asciiTheme="majorHAnsi" w:eastAsia="Calibri" w:hAnsiTheme="majorHAnsi"/>
          <w:sz w:val="20"/>
          <w:szCs w:val="20"/>
          <w:lang w:val="es-VE"/>
        </w:rPr>
        <w:t>”</w:t>
      </w:r>
      <w:r w:rsidR="00F146A7" w:rsidRPr="00B56CF7">
        <w:rPr>
          <w:rFonts w:asciiTheme="majorHAnsi" w:eastAsia="Calibri" w:hAnsiTheme="majorHAnsi"/>
          <w:sz w:val="20"/>
          <w:szCs w:val="20"/>
          <w:lang w:val="es-VE"/>
        </w:rPr>
        <w:t>, “el Estado argentino”</w:t>
      </w:r>
      <w:r w:rsidR="008A0EC3" w:rsidRPr="00B56CF7">
        <w:rPr>
          <w:rFonts w:asciiTheme="majorHAnsi" w:eastAsia="Calibri" w:hAnsiTheme="majorHAnsi"/>
          <w:sz w:val="20"/>
          <w:szCs w:val="20"/>
          <w:lang w:val="es-VE"/>
        </w:rPr>
        <w:t xml:space="preserve"> o “</w:t>
      </w:r>
      <w:r w:rsidR="00051C44" w:rsidRPr="00B56CF7">
        <w:rPr>
          <w:rFonts w:asciiTheme="majorHAnsi" w:eastAsia="Calibri" w:hAnsiTheme="majorHAnsi"/>
          <w:sz w:val="20"/>
          <w:szCs w:val="20"/>
          <w:lang w:val="es-VE"/>
        </w:rPr>
        <w:t>Argentina</w:t>
      </w:r>
      <w:r w:rsidR="008A0EC3" w:rsidRPr="00B56CF7">
        <w:rPr>
          <w:rFonts w:asciiTheme="majorHAnsi" w:eastAsia="Calibri" w:hAnsiTheme="majorHAnsi"/>
          <w:sz w:val="20"/>
          <w:szCs w:val="20"/>
          <w:lang w:val="es-VE"/>
        </w:rPr>
        <w:t>”</w:t>
      </w:r>
      <w:r w:rsidR="005E21D4" w:rsidRPr="00B56CF7">
        <w:rPr>
          <w:rFonts w:asciiTheme="majorHAnsi" w:eastAsia="Calibri" w:hAnsiTheme="majorHAnsi"/>
          <w:sz w:val="20"/>
          <w:szCs w:val="20"/>
          <w:lang w:val="es-VE"/>
        </w:rPr>
        <w:t>) por la violación de</w:t>
      </w:r>
      <w:r w:rsidR="00646412" w:rsidRPr="00B56CF7">
        <w:rPr>
          <w:rFonts w:asciiTheme="majorHAnsi" w:eastAsia="Calibri" w:hAnsiTheme="majorHAnsi"/>
          <w:sz w:val="20"/>
          <w:szCs w:val="20"/>
          <w:lang w:val="es-VE"/>
        </w:rPr>
        <w:t xml:space="preserve"> varias disposiciones de la Convención Americana sobre Derechos Humanos</w:t>
      </w:r>
      <w:r w:rsidR="00EF10AE" w:rsidRPr="00B56CF7">
        <w:rPr>
          <w:rFonts w:asciiTheme="majorHAnsi" w:eastAsia="Calibri" w:hAnsiTheme="majorHAnsi"/>
          <w:sz w:val="20"/>
          <w:szCs w:val="20"/>
          <w:lang w:val="es-VE"/>
        </w:rPr>
        <w:t xml:space="preserve"> (en adelante “la Convención” o “la Convención Americana”)</w:t>
      </w:r>
      <w:r w:rsidR="00051C44" w:rsidRPr="00B56CF7">
        <w:rPr>
          <w:rFonts w:asciiTheme="majorHAnsi" w:eastAsia="Calibri" w:hAnsiTheme="majorHAnsi"/>
          <w:sz w:val="20"/>
          <w:szCs w:val="20"/>
          <w:lang w:val="es-VE"/>
        </w:rPr>
        <w:t>.</w:t>
      </w:r>
    </w:p>
    <w:p w:rsidR="00051C44" w:rsidRPr="00B56CF7" w:rsidRDefault="00051C44" w:rsidP="00051C4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051C44" w:rsidRPr="00B56CF7" w:rsidRDefault="00051C44" w:rsidP="00F964F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El peticionario</w:t>
      </w:r>
      <w:r w:rsidR="00E40449" w:rsidRPr="00B56CF7">
        <w:rPr>
          <w:rFonts w:asciiTheme="majorHAnsi" w:eastAsia="Calibri" w:hAnsiTheme="majorHAnsi"/>
          <w:sz w:val="20"/>
          <w:szCs w:val="20"/>
          <w:lang w:val="es-VE"/>
        </w:rPr>
        <w:t xml:space="preserve"> </w:t>
      </w:r>
      <w:r w:rsidR="008C1B2F" w:rsidRPr="00B56CF7">
        <w:rPr>
          <w:rFonts w:asciiTheme="majorHAnsi" w:eastAsia="Calibri" w:hAnsiTheme="majorHAnsi"/>
          <w:sz w:val="20"/>
          <w:szCs w:val="20"/>
          <w:lang w:val="es-VE"/>
        </w:rPr>
        <w:t>denunció</w:t>
      </w:r>
      <w:r w:rsidR="0041306A" w:rsidRPr="00B56CF7">
        <w:rPr>
          <w:rFonts w:asciiTheme="majorHAnsi" w:eastAsia="Calibri" w:hAnsiTheme="majorHAnsi"/>
          <w:sz w:val="20"/>
          <w:szCs w:val="20"/>
          <w:lang w:val="es-VE"/>
        </w:rPr>
        <w:t xml:space="preserve"> </w:t>
      </w:r>
      <w:r w:rsidR="00887304" w:rsidRPr="00B56CF7">
        <w:rPr>
          <w:rFonts w:asciiTheme="majorHAnsi" w:eastAsia="Calibri" w:hAnsiTheme="majorHAnsi"/>
          <w:sz w:val="20"/>
          <w:szCs w:val="20"/>
          <w:lang w:val="es-VE"/>
        </w:rPr>
        <w:t>s</w:t>
      </w:r>
      <w:r w:rsidRPr="00B56CF7">
        <w:rPr>
          <w:rFonts w:asciiTheme="majorHAnsi" w:eastAsia="Calibri" w:hAnsiTheme="majorHAnsi"/>
          <w:sz w:val="20"/>
          <w:szCs w:val="20"/>
          <w:lang w:val="es-VE"/>
        </w:rPr>
        <w:t>u</w:t>
      </w:r>
      <w:r w:rsidRPr="00B56CF7">
        <w:rPr>
          <w:rFonts w:asciiTheme="majorHAnsi" w:hAnsiTheme="majorHAnsi"/>
          <w:color w:val="000000"/>
          <w:sz w:val="20"/>
          <w:szCs w:val="20"/>
          <w:shd w:val="clear" w:color="auto" w:fill="FFFFFF"/>
          <w:lang w:val="es-VE"/>
        </w:rPr>
        <w:t xml:space="preserve"> detención en </w:t>
      </w:r>
      <w:r w:rsidR="000A2034" w:rsidRPr="00B56CF7">
        <w:rPr>
          <w:rFonts w:asciiTheme="majorHAnsi" w:hAnsiTheme="majorHAnsi"/>
          <w:color w:val="000000"/>
          <w:sz w:val="20"/>
          <w:szCs w:val="20"/>
          <w:shd w:val="clear" w:color="auto" w:fill="FFFFFF"/>
          <w:lang w:val="es-VE"/>
        </w:rPr>
        <w:t xml:space="preserve">prisión preventiva por más de tres </w:t>
      </w:r>
      <w:r w:rsidRPr="00B56CF7">
        <w:rPr>
          <w:rFonts w:asciiTheme="majorHAnsi" w:hAnsiTheme="majorHAnsi"/>
          <w:color w:val="000000"/>
          <w:sz w:val="20"/>
          <w:szCs w:val="20"/>
          <w:shd w:val="clear" w:color="auto" w:fill="FFFFFF"/>
          <w:lang w:val="es-VE"/>
        </w:rPr>
        <w:t xml:space="preserve">años y las reiteradas negativas de las autoridades judiciales argentinas a concederle el beneficio de </w:t>
      </w:r>
      <w:r w:rsidR="002854DD" w:rsidRPr="00B56CF7">
        <w:rPr>
          <w:rFonts w:asciiTheme="majorHAnsi" w:hAnsiTheme="majorHAnsi"/>
          <w:color w:val="000000"/>
          <w:sz w:val="20"/>
          <w:szCs w:val="20"/>
          <w:shd w:val="clear" w:color="auto" w:fill="FFFFFF"/>
          <w:lang w:val="es-VE"/>
        </w:rPr>
        <w:t>“</w:t>
      </w:r>
      <w:r w:rsidRPr="00B56CF7">
        <w:rPr>
          <w:rFonts w:asciiTheme="majorHAnsi" w:hAnsiTheme="majorHAnsi"/>
          <w:color w:val="000000"/>
          <w:sz w:val="20"/>
          <w:szCs w:val="20"/>
          <w:shd w:val="clear" w:color="auto" w:fill="FFFFFF"/>
          <w:lang w:val="es-VE"/>
        </w:rPr>
        <w:t>excarcelación</w:t>
      </w:r>
      <w:r w:rsidR="002854DD" w:rsidRPr="00B56CF7">
        <w:rPr>
          <w:rFonts w:asciiTheme="majorHAnsi" w:hAnsiTheme="majorHAnsi"/>
          <w:color w:val="000000"/>
          <w:sz w:val="20"/>
          <w:szCs w:val="20"/>
          <w:shd w:val="clear" w:color="auto" w:fill="FFFFFF"/>
          <w:lang w:val="es-VE"/>
        </w:rPr>
        <w:t>”</w:t>
      </w:r>
      <w:r w:rsidRPr="00B56CF7">
        <w:rPr>
          <w:rFonts w:asciiTheme="majorHAnsi" w:hAnsiTheme="majorHAnsi"/>
          <w:color w:val="000000"/>
          <w:sz w:val="20"/>
          <w:szCs w:val="20"/>
          <w:shd w:val="clear" w:color="auto" w:fill="FFFFFF"/>
          <w:lang w:val="es-VE"/>
        </w:rPr>
        <w:t>, debido a</w:t>
      </w:r>
      <w:r w:rsidR="00496B95" w:rsidRPr="00B56CF7">
        <w:rPr>
          <w:rFonts w:asciiTheme="majorHAnsi" w:hAnsiTheme="majorHAnsi"/>
          <w:color w:val="000000"/>
          <w:sz w:val="20"/>
          <w:szCs w:val="20"/>
          <w:shd w:val="clear" w:color="auto" w:fill="FFFFFF"/>
          <w:lang w:val="es-VE"/>
        </w:rPr>
        <w:t xml:space="preserve"> la naturaleza </w:t>
      </w:r>
      <w:r w:rsidRPr="00B56CF7">
        <w:rPr>
          <w:rFonts w:asciiTheme="majorHAnsi" w:hAnsiTheme="majorHAnsi"/>
          <w:color w:val="000000"/>
          <w:sz w:val="20"/>
          <w:szCs w:val="20"/>
          <w:shd w:val="clear" w:color="auto" w:fill="FFFFFF"/>
          <w:lang w:val="es-VE"/>
        </w:rPr>
        <w:t>de</w:t>
      </w:r>
      <w:r w:rsidR="00496B95" w:rsidRPr="00B56CF7">
        <w:rPr>
          <w:rFonts w:asciiTheme="majorHAnsi" w:hAnsiTheme="majorHAnsi"/>
          <w:color w:val="000000"/>
          <w:sz w:val="20"/>
          <w:szCs w:val="20"/>
          <w:shd w:val="clear" w:color="auto" w:fill="FFFFFF"/>
          <w:lang w:val="es-VE"/>
        </w:rPr>
        <w:t>l</w:t>
      </w:r>
      <w:r w:rsidRPr="00B56CF7">
        <w:rPr>
          <w:rFonts w:asciiTheme="majorHAnsi" w:hAnsiTheme="majorHAnsi"/>
          <w:color w:val="000000"/>
          <w:sz w:val="20"/>
          <w:szCs w:val="20"/>
          <w:shd w:val="clear" w:color="auto" w:fill="FFFFFF"/>
          <w:lang w:val="es-VE"/>
        </w:rPr>
        <w:t xml:space="preserve"> delito por el cual había sido acusado. La </w:t>
      </w:r>
      <w:r w:rsidR="00496B95" w:rsidRPr="00B56CF7">
        <w:rPr>
          <w:rFonts w:asciiTheme="majorHAnsi" w:hAnsiTheme="majorHAnsi"/>
          <w:color w:val="000000"/>
          <w:sz w:val="20"/>
          <w:szCs w:val="20"/>
          <w:shd w:val="clear" w:color="auto" w:fill="FFFFFF"/>
          <w:lang w:val="es-VE"/>
        </w:rPr>
        <w:t xml:space="preserve">petición </w:t>
      </w:r>
      <w:r w:rsidRPr="00B56CF7">
        <w:rPr>
          <w:rFonts w:asciiTheme="majorHAnsi" w:hAnsiTheme="majorHAnsi"/>
          <w:color w:val="000000"/>
          <w:sz w:val="20"/>
          <w:szCs w:val="20"/>
          <w:shd w:val="clear" w:color="auto" w:fill="FFFFFF"/>
          <w:lang w:val="es-VE"/>
        </w:rPr>
        <w:t>se refiere también a la supuesta falta de debida diligencia en el proceso de investigación de dos funcionarios de la fiscalía que presentaron pruebas presuntamente adulteradas en el proceso jud</w:t>
      </w:r>
      <w:r w:rsidR="008C1B2F" w:rsidRPr="00B56CF7">
        <w:rPr>
          <w:rFonts w:asciiTheme="majorHAnsi" w:hAnsiTheme="majorHAnsi"/>
          <w:color w:val="000000"/>
          <w:sz w:val="20"/>
          <w:szCs w:val="20"/>
          <w:shd w:val="clear" w:color="auto" w:fill="FFFFFF"/>
          <w:lang w:val="es-VE"/>
        </w:rPr>
        <w:t>icial seguido contra la</w:t>
      </w:r>
      <w:r w:rsidR="00465212" w:rsidRPr="00B56CF7">
        <w:rPr>
          <w:rFonts w:asciiTheme="majorHAnsi" w:hAnsiTheme="majorHAnsi"/>
          <w:color w:val="000000"/>
          <w:sz w:val="20"/>
          <w:szCs w:val="20"/>
          <w:shd w:val="clear" w:color="auto" w:fill="FFFFFF"/>
          <w:lang w:val="es-VE"/>
        </w:rPr>
        <w:t xml:space="preserve"> presunta</w:t>
      </w:r>
      <w:r w:rsidR="008C1B2F" w:rsidRPr="00B56CF7">
        <w:rPr>
          <w:rFonts w:asciiTheme="majorHAnsi" w:hAnsiTheme="majorHAnsi"/>
          <w:color w:val="000000"/>
          <w:sz w:val="20"/>
          <w:szCs w:val="20"/>
          <w:shd w:val="clear" w:color="auto" w:fill="FFFFFF"/>
          <w:lang w:val="es-VE"/>
        </w:rPr>
        <w:t xml:space="preserve"> víctima, así como a la falta de reparaciones por </w:t>
      </w:r>
      <w:r w:rsidR="00302DD3" w:rsidRPr="00B56CF7">
        <w:rPr>
          <w:rFonts w:asciiTheme="majorHAnsi" w:hAnsiTheme="majorHAnsi"/>
          <w:color w:val="000000"/>
          <w:sz w:val="20"/>
          <w:szCs w:val="20"/>
          <w:shd w:val="clear" w:color="auto" w:fill="FFFFFF"/>
          <w:lang w:val="es-VE"/>
        </w:rPr>
        <w:t xml:space="preserve">la prisión preventiva prolongada y </w:t>
      </w:r>
      <w:r w:rsidR="00465212" w:rsidRPr="00B56CF7">
        <w:rPr>
          <w:rFonts w:asciiTheme="majorHAnsi" w:hAnsiTheme="majorHAnsi"/>
          <w:color w:val="000000"/>
          <w:sz w:val="20"/>
          <w:szCs w:val="20"/>
          <w:shd w:val="clear" w:color="auto" w:fill="FFFFFF"/>
          <w:lang w:val="es-VE"/>
        </w:rPr>
        <w:t xml:space="preserve">por </w:t>
      </w:r>
      <w:r w:rsidR="008C1B2F" w:rsidRPr="00B56CF7">
        <w:rPr>
          <w:rFonts w:asciiTheme="majorHAnsi" w:hAnsiTheme="majorHAnsi"/>
          <w:color w:val="000000"/>
          <w:sz w:val="20"/>
          <w:szCs w:val="20"/>
          <w:shd w:val="clear" w:color="auto" w:fill="FFFFFF"/>
          <w:lang w:val="es-VE"/>
        </w:rPr>
        <w:t xml:space="preserve">el error judicial del cual aseguró haber sido </w:t>
      </w:r>
      <w:r w:rsidR="00465212" w:rsidRPr="00B56CF7">
        <w:rPr>
          <w:rFonts w:asciiTheme="majorHAnsi" w:hAnsiTheme="majorHAnsi"/>
          <w:color w:val="000000"/>
          <w:sz w:val="20"/>
          <w:szCs w:val="20"/>
          <w:shd w:val="clear" w:color="auto" w:fill="FFFFFF"/>
          <w:lang w:val="es-VE"/>
        </w:rPr>
        <w:t>víctima</w:t>
      </w:r>
      <w:r w:rsidR="008C1B2F" w:rsidRPr="00B56CF7">
        <w:rPr>
          <w:rFonts w:asciiTheme="majorHAnsi" w:hAnsiTheme="majorHAnsi"/>
          <w:color w:val="000000"/>
          <w:sz w:val="20"/>
          <w:szCs w:val="20"/>
          <w:shd w:val="clear" w:color="auto" w:fill="FFFFFF"/>
          <w:lang w:val="es-VE"/>
        </w:rPr>
        <w:t xml:space="preserve">. </w:t>
      </w:r>
    </w:p>
    <w:p w:rsidR="00051C44" w:rsidRPr="00B56CF7" w:rsidRDefault="00051C44" w:rsidP="00051C44">
      <w:pPr>
        <w:pStyle w:val="ListParagraph"/>
        <w:rPr>
          <w:rFonts w:asciiTheme="majorHAnsi" w:hAnsiTheme="majorHAnsi"/>
          <w:sz w:val="20"/>
          <w:szCs w:val="20"/>
          <w:shd w:val="clear" w:color="auto" w:fill="FFFFFF"/>
          <w:lang w:val="es-VE"/>
        </w:rPr>
      </w:pPr>
    </w:p>
    <w:p w:rsidR="00302DD3" w:rsidRPr="00B56CF7" w:rsidRDefault="00051C44" w:rsidP="00F964F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hAnsiTheme="majorHAnsi"/>
          <w:color w:val="000000"/>
          <w:sz w:val="20"/>
          <w:szCs w:val="20"/>
          <w:shd w:val="clear" w:color="auto" w:fill="FFFFFF"/>
          <w:lang w:val="es-VE"/>
        </w:rPr>
        <w:t>El Estado soli</w:t>
      </w:r>
      <w:r w:rsidR="00302DD3" w:rsidRPr="00B56CF7">
        <w:rPr>
          <w:rFonts w:asciiTheme="majorHAnsi" w:hAnsiTheme="majorHAnsi"/>
          <w:color w:val="000000"/>
          <w:sz w:val="20"/>
          <w:szCs w:val="20"/>
          <w:shd w:val="clear" w:color="auto" w:fill="FFFFFF"/>
          <w:lang w:val="es-VE"/>
        </w:rPr>
        <w:t xml:space="preserve">citó a la Comisión que declare </w:t>
      </w:r>
      <w:r w:rsidR="002854DD" w:rsidRPr="00B56CF7">
        <w:rPr>
          <w:rFonts w:asciiTheme="majorHAnsi" w:hAnsiTheme="majorHAnsi"/>
          <w:color w:val="000000"/>
          <w:sz w:val="20"/>
          <w:szCs w:val="20"/>
          <w:shd w:val="clear" w:color="auto" w:fill="FFFFFF"/>
          <w:lang w:val="es-VE"/>
        </w:rPr>
        <w:t>que no es</w:t>
      </w:r>
      <w:r w:rsidR="00302DD3" w:rsidRPr="00B56CF7">
        <w:rPr>
          <w:rFonts w:asciiTheme="majorHAnsi" w:hAnsiTheme="majorHAnsi"/>
          <w:color w:val="000000"/>
          <w:sz w:val="20"/>
          <w:szCs w:val="20"/>
          <w:shd w:val="clear" w:color="auto" w:fill="FFFFFF"/>
          <w:lang w:val="es-VE"/>
        </w:rPr>
        <w:t xml:space="preserve"> responsab</w:t>
      </w:r>
      <w:r w:rsidR="002854DD" w:rsidRPr="00B56CF7">
        <w:rPr>
          <w:rFonts w:asciiTheme="majorHAnsi" w:hAnsiTheme="majorHAnsi"/>
          <w:color w:val="000000"/>
          <w:sz w:val="20"/>
          <w:szCs w:val="20"/>
          <w:shd w:val="clear" w:color="auto" w:fill="FFFFFF"/>
          <w:lang w:val="es-VE"/>
        </w:rPr>
        <w:t xml:space="preserve">le </w:t>
      </w:r>
      <w:r w:rsidR="00302DD3" w:rsidRPr="00B56CF7">
        <w:rPr>
          <w:rFonts w:asciiTheme="majorHAnsi" w:hAnsiTheme="majorHAnsi"/>
          <w:color w:val="000000"/>
          <w:sz w:val="20"/>
          <w:szCs w:val="20"/>
          <w:shd w:val="clear" w:color="auto" w:fill="FFFFFF"/>
          <w:lang w:val="es-VE"/>
        </w:rPr>
        <w:t>internacional</w:t>
      </w:r>
      <w:r w:rsidR="002854DD" w:rsidRPr="00B56CF7">
        <w:rPr>
          <w:rFonts w:asciiTheme="majorHAnsi" w:hAnsiTheme="majorHAnsi"/>
          <w:color w:val="000000"/>
          <w:sz w:val="20"/>
          <w:szCs w:val="20"/>
          <w:shd w:val="clear" w:color="auto" w:fill="FFFFFF"/>
          <w:lang w:val="es-VE"/>
        </w:rPr>
        <w:t>mente</w:t>
      </w:r>
      <w:r w:rsidR="00302DD3" w:rsidRPr="00B56CF7">
        <w:rPr>
          <w:rFonts w:asciiTheme="majorHAnsi" w:hAnsiTheme="majorHAnsi"/>
          <w:color w:val="000000"/>
          <w:sz w:val="20"/>
          <w:szCs w:val="20"/>
          <w:shd w:val="clear" w:color="auto" w:fill="FFFFFF"/>
          <w:lang w:val="es-VE"/>
        </w:rPr>
        <w:t xml:space="preserve"> por co</w:t>
      </w:r>
      <w:r w:rsidR="004D6A88" w:rsidRPr="00B56CF7">
        <w:rPr>
          <w:rFonts w:asciiTheme="majorHAnsi" w:hAnsiTheme="majorHAnsi"/>
          <w:color w:val="000000"/>
          <w:sz w:val="20"/>
          <w:szCs w:val="20"/>
          <w:shd w:val="clear" w:color="auto" w:fill="FFFFFF"/>
          <w:lang w:val="es-VE"/>
        </w:rPr>
        <w:t xml:space="preserve">nsiderar que los planteamientos del peticionario devinieron abstractos ya que el 13 de noviembre de 1997 el </w:t>
      </w:r>
      <w:r w:rsidR="00596876" w:rsidRPr="00B56CF7">
        <w:rPr>
          <w:rFonts w:asciiTheme="majorHAnsi" w:hAnsiTheme="majorHAnsi"/>
          <w:sz w:val="20"/>
          <w:szCs w:val="20"/>
          <w:lang w:val="es-VE"/>
        </w:rPr>
        <w:t>Tribunal en lo Criminal Federal No 6 de Capital Federal</w:t>
      </w:r>
      <w:r w:rsidR="00596876" w:rsidRPr="00B56CF7">
        <w:rPr>
          <w:rFonts w:asciiTheme="majorHAnsi" w:hAnsiTheme="majorHAnsi"/>
          <w:color w:val="000000"/>
          <w:sz w:val="20"/>
          <w:szCs w:val="20"/>
          <w:shd w:val="clear" w:color="auto" w:fill="FFFFFF"/>
          <w:lang w:val="es-VE"/>
        </w:rPr>
        <w:t xml:space="preserve"> </w:t>
      </w:r>
      <w:r w:rsidR="004D6A88" w:rsidRPr="00B56CF7">
        <w:rPr>
          <w:rFonts w:asciiTheme="majorHAnsi" w:hAnsiTheme="majorHAnsi"/>
          <w:color w:val="000000"/>
          <w:sz w:val="20"/>
          <w:szCs w:val="20"/>
          <w:shd w:val="clear" w:color="auto" w:fill="FFFFFF"/>
          <w:lang w:val="es-VE"/>
        </w:rPr>
        <w:t>ordenó s</w:t>
      </w:r>
      <w:r w:rsidR="00D96050" w:rsidRPr="00B56CF7">
        <w:rPr>
          <w:rFonts w:asciiTheme="majorHAnsi" w:hAnsiTheme="majorHAnsi"/>
          <w:color w:val="000000"/>
          <w:sz w:val="20"/>
          <w:szCs w:val="20"/>
          <w:shd w:val="clear" w:color="auto" w:fill="FFFFFF"/>
          <w:lang w:val="es-VE"/>
        </w:rPr>
        <w:t>u</w:t>
      </w:r>
      <w:r w:rsidR="004D6A88" w:rsidRPr="00B56CF7">
        <w:rPr>
          <w:rFonts w:asciiTheme="majorHAnsi" w:hAnsiTheme="majorHAnsi"/>
          <w:color w:val="000000"/>
          <w:sz w:val="20"/>
          <w:szCs w:val="20"/>
          <w:shd w:val="clear" w:color="auto" w:fill="FFFFFF"/>
          <w:lang w:val="es-VE"/>
        </w:rPr>
        <w:t xml:space="preserve"> libertad. Además</w:t>
      </w:r>
      <w:r w:rsidR="00D93A78" w:rsidRPr="00B56CF7">
        <w:rPr>
          <w:rFonts w:asciiTheme="majorHAnsi" w:hAnsiTheme="majorHAnsi"/>
          <w:color w:val="000000"/>
          <w:sz w:val="20"/>
          <w:szCs w:val="20"/>
          <w:shd w:val="clear" w:color="auto" w:fill="FFFFFF"/>
          <w:lang w:val="es-VE"/>
        </w:rPr>
        <w:t>, alegó que</w:t>
      </w:r>
      <w:r w:rsidR="004D6A88" w:rsidRPr="00B56CF7">
        <w:rPr>
          <w:rFonts w:asciiTheme="majorHAnsi" w:hAnsiTheme="majorHAnsi"/>
          <w:color w:val="000000"/>
          <w:sz w:val="20"/>
          <w:szCs w:val="20"/>
          <w:shd w:val="clear" w:color="auto" w:fill="FFFFFF"/>
          <w:lang w:val="es-VE"/>
        </w:rPr>
        <w:t xml:space="preserve"> </w:t>
      </w:r>
      <w:r w:rsidR="00A974AC" w:rsidRPr="00B56CF7">
        <w:rPr>
          <w:rFonts w:asciiTheme="majorHAnsi" w:hAnsiTheme="majorHAnsi"/>
          <w:color w:val="000000"/>
          <w:sz w:val="20"/>
          <w:szCs w:val="20"/>
          <w:shd w:val="clear" w:color="auto" w:fill="FFFFFF"/>
          <w:lang w:val="es-VE"/>
        </w:rPr>
        <w:t xml:space="preserve">el 23 de diciembre de 1997 fue </w:t>
      </w:r>
      <w:r w:rsidR="004D6A88" w:rsidRPr="00B56CF7">
        <w:rPr>
          <w:rFonts w:asciiTheme="majorHAnsi" w:hAnsiTheme="majorHAnsi"/>
          <w:color w:val="000000"/>
          <w:sz w:val="20"/>
          <w:szCs w:val="20"/>
          <w:shd w:val="clear" w:color="auto" w:fill="FFFFFF"/>
          <w:lang w:val="es-VE"/>
        </w:rPr>
        <w:t>absuelto en el marco del proceso penal y</w:t>
      </w:r>
      <w:r w:rsidR="00A974AC" w:rsidRPr="00B56CF7">
        <w:rPr>
          <w:rFonts w:asciiTheme="majorHAnsi" w:hAnsiTheme="majorHAnsi"/>
          <w:color w:val="000000"/>
          <w:sz w:val="20"/>
          <w:szCs w:val="20"/>
          <w:shd w:val="clear" w:color="auto" w:fill="FFFFFF"/>
          <w:lang w:val="es-VE"/>
        </w:rPr>
        <w:t xml:space="preserve"> que</w:t>
      </w:r>
      <w:r w:rsidR="004D6A88" w:rsidRPr="00B56CF7">
        <w:rPr>
          <w:rFonts w:asciiTheme="majorHAnsi" w:hAnsiTheme="majorHAnsi"/>
          <w:color w:val="000000"/>
          <w:sz w:val="20"/>
          <w:szCs w:val="20"/>
          <w:shd w:val="clear" w:color="auto" w:fill="FFFFFF"/>
          <w:lang w:val="es-VE"/>
        </w:rPr>
        <w:t xml:space="preserve"> los funcionarios que incorporaron la prueba </w:t>
      </w:r>
      <w:r w:rsidR="00D96050" w:rsidRPr="00B56CF7">
        <w:rPr>
          <w:rFonts w:asciiTheme="majorHAnsi" w:hAnsiTheme="majorHAnsi"/>
          <w:color w:val="000000"/>
          <w:sz w:val="20"/>
          <w:szCs w:val="20"/>
          <w:shd w:val="clear" w:color="auto" w:fill="FFFFFF"/>
          <w:lang w:val="es-VE"/>
        </w:rPr>
        <w:t>telefónica fueron investigados debidamente en la vía administrativa y penal</w:t>
      </w:r>
      <w:r w:rsidR="00556617" w:rsidRPr="00B56CF7">
        <w:rPr>
          <w:rFonts w:asciiTheme="majorHAnsi" w:hAnsiTheme="majorHAnsi"/>
          <w:color w:val="000000"/>
          <w:sz w:val="20"/>
          <w:szCs w:val="20"/>
          <w:shd w:val="clear" w:color="auto" w:fill="FFFFFF"/>
          <w:lang w:val="es-VE"/>
        </w:rPr>
        <w:t>,</w:t>
      </w:r>
      <w:r w:rsidR="00D96050" w:rsidRPr="00B56CF7">
        <w:rPr>
          <w:rFonts w:asciiTheme="majorHAnsi" w:hAnsiTheme="majorHAnsi"/>
          <w:color w:val="000000"/>
          <w:sz w:val="20"/>
          <w:szCs w:val="20"/>
          <w:shd w:val="clear" w:color="auto" w:fill="FFFFFF"/>
          <w:lang w:val="es-VE"/>
        </w:rPr>
        <w:t xml:space="preserve"> determinándose que no incurrieron en ninguna falta.</w:t>
      </w:r>
      <w:r w:rsidR="00AD5E46" w:rsidRPr="00B56CF7">
        <w:rPr>
          <w:rFonts w:asciiTheme="majorHAnsi" w:hAnsiTheme="majorHAnsi"/>
          <w:color w:val="000000"/>
          <w:sz w:val="20"/>
          <w:szCs w:val="20"/>
          <w:shd w:val="clear" w:color="auto" w:fill="FFFFFF"/>
          <w:lang w:val="es-VE"/>
        </w:rPr>
        <w:t xml:space="preserve"> En cuanto a la pretensión de reparación en la vía interna, el Estado alegó que fue desechada pues la detención preventiva no fue arbitraria ni infundada y la absolución no se basó en una </w:t>
      </w:r>
      <w:r w:rsidR="00B4442F" w:rsidRPr="00B56CF7">
        <w:rPr>
          <w:rFonts w:asciiTheme="majorHAnsi" w:hAnsiTheme="majorHAnsi"/>
          <w:color w:val="000000"/>
          <w:sz w:val="20"/>
          <w:szCs w:val="20"/>
          <w:shd w:val="clear" w:color="auto" w:fill="FFFFFF"/>
          <w:lang w:val="es-VE"/>
        </w:rPr>
        <w:t>declaratoria de inocencia manifi</w:t>
      </w:r>
      <w:r w:rsidR="00AD5E46" w:rsidRPr="00B56CF7">
        <w:rPr>
          <w:rFonts w:asciiTheme="majorHAnsi" w:hAnsiTheme="majorHAnsi"/>
          <w:color w:val="000000"/>
          <w:sz w:val="20"/>
          <w:szCs w:val="20"/>
          <w:shd w:val="clear" w:color="auto" w:fill="FFFFFF"/>
          <w:lang w:val="es-VE"/>
        </w:rPr>
        <w:t xml:space="preserve">esta. </w:t>
      </w:r>
    </w:p>
    <w:p w:rsidR="00051C44" w:rsidRPr="00B56CF7" w:rsidRDefault="00051C44" w:rsidP="00051C4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E40449" w:rsidRPr="00B56CF7" w:rsidRDefault="00E40449" w:rsidP="00EC250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B41CF">
        <w:rPr>
          <w:rFonts w:asciiTheme="majorHAnsi" w:eastAsia="Calibri" w:hAnsiTheme="majorHAnsi"/>
          <w:sz w:val="20"/>
          <w:szCs w:val="20"/>
          <w:lang w:val="es-VE"/>
        </w:rPr>
        <w:t>Tras analizar las posiciones de las partes, la Comisión Interamericana concluyó que el Estado</w:t>
      </w:r>
      <w:r w:rsidR="001D78C3" w:rsidRPr="00BB41CF">
        <w:rPr>
          <w:rFonts w:asciiTheme="majorHAnsi" w:eastAsia="Calibri" w:hAnsiTheme="majorHAnsi"/>
          <w:sz w:val="20"/>
          <w:szCs w:val="20"/>
          <w:lang w:val="es-VE"/>
        </w:rPr>
        <w:t xml:space="preserve"> </w:t>
      </w:r>
      <w:r w:rsidR="00051C44" w:rsidRPr="00BB41CF">
        <w:rPr>
          <w:rFonts w:asciiTheme="majorHAnsi" w:eastAsia="Calibri" w:hAnsiTheme="majorHAnsi"/>
          <w:sz w:val="20"/>
          <w:szCs w:val="20"/>
          <w:lang w:val="es-VE"/>
        </w:rPr>
        <w:t>argentino</w:t>
      </w:r>
      <w:r w:rsidRPr="00BB41CF">
        <w:rPr>
          <w:rFonts w:asciiTheme="majorHAnsi" w:eastAsia="Calibri" w:hAnsiTheme="majorHAnsi"/>
          <w:sz w:val="20"/>
          <w:szCs w:val="20"/>
          <w:lang w:val="es-VE"/>
        </w:rPr>
        <w:t xml:space="preserve"> es responsable por la violación de los derechos consagrados en los artículos</w:t>
      </w:r>
      <w:r w:rsidR="00051C44" w:rsidRPr="00BB41CF">
        <w:rPr>
          <w:rFonts w:asciiTheme="majorHAnsi" w:eastAsia="Calibri" w:hAnsiTheme="majorHAnsi"/>
          <w:sz w:val="20"/>
          <w:szCs w:val="20"/>
          <w:lang w:val="es-VE"/>
        </w:rPr>
        <w:t xml:space="preserve"> 7</w:t>
      </w:r>
      <w:r w:rsidR="00D1578E" w:rsidRPr="00BB41CF">
        <w:rPr>
          <w:rFonts w:asciiTheme="majorHAnsi" w:eastAsia="Calibri" w:hAnsiTheme="majorHAnsi"/>
          <w:sz w:val="20"/>
          <w:szCs w:val="20"/>
          <w:lang w:val="es-VE"/>
        </w:rPr>
        <w:t>.1, 7.3, 7.5 y 7.6</w:t>
      </w:r>
      <w:r w:rsidR="00051C44" w:rsidRPr="00BB41CF">
        <w:rPr>
          <w:rFonts w:asciiTheme="majorHAnsi" w:eastAsia="Calibri" w:hAnsiTheme="majorHAnsi"/>
          <w:sz w:val="20"/>
          <w:szCs w:val="20"/>
          <w:lang w:val="es-VE"/>
        </w:rPr>
        <w:t xml:space="preserve"> (de</w:t>
      </w:r>
      <w:r w:rsidR="00BB3189" w:rsidRPr="00BB41CF">
        <w:rPr>
          <w:rFonts w:asciiTheme="majorHAnsi" w:eastAsia="Calibri" w:hAnsiTheme="majorHAnsi"/>
          <w:sz w:val="20"/>
          <w:szCs w:val="20"/>
          <w:lang w:val="es-VE"/>
        </w:rPr>
        <w:t xml:space="preserve">recho a la libertad personal), </w:t>
      </w:r>
      <w:r w:rsidR="00EC250C" w:rsidRPr="00BB41CF">
        <w:rPr>
          <w:rFonts w:asciiTheme="majorHAnsi" w:eastAsia="Calibri" w:hAnsiTheme="majorHAnsi"/>
          <w:sz w:val="20"/>
          <w:szCs w:val="20"/>
          <w:lang w:val="es-VE"/>
        </w:rPr>
        <w:t>8</w:t>
      </w:r>
      <w:r w:rsidR="00D1578E" w:rsidRPr="00BB41CF">
        <w:rPr>
          <w:rFonts w:asciiTheme="majorHAnsi" w:eastAsia="Calibri" w:hAnsiTheme="majorHAnsi"/>
          <w:sz w:val="20"/>
          <w:szCs w:val="20"/>
          <w:lang w:val="es-VE"/>
        </w:rPr>
        <w:t>.1</w:t>
      </w:r>
      <w:r w:rsidR="00FF5F63" w:rsidRPr="00BB41CF">
        <w:rPr>
          <w:rFonts w:asciiTheme="majorHAnsi" w:eastAsia="Calibri" w:hAnsiTheme="majorHAnsi"/>
          <w:sz w:val="20"/>
          <w:szCs w:val="20"/>
          <w:lang w:val="es-VE"/>
        </w:rPr>
        <w:t xml:space="preserve"> y 8.2 </w:t>
      </w:r>
      <w:r w:rsidR="00EC250C" w:rsidRPr="00BB41CF">
        <w:rPr>
          <w:rFonts w:asciiTheme="majorHAnsi" w:eastAsia="Calibri" w:hAnsiTheme="majorHAnsi"/>
          <w:sz w:val="20"/>
          <w:szCs w:val="20"/>
          <w:lang w:val="es-VE"/>
        </w:rPr>
        <w:t xml:space="preserve">(garantías </w:t>
      </w:r>
      <w:r w:rsidR="00804360" w:rsidRPr="00BB41CF">
        <w:rPr>
          <w:rFonts w:asciiTheme="majorHAnsi" w:eastAsia="Calibri" w:hAnsiTheme="majorHAnsi"/>
          <w:sz w:val="20"/>
          <w:szCs w:val="20"/>
          <w:lang w:val="es-VE"/>
        </w:rPr>
        <w:t>judiciales</w:t>
      </w:r>
      <w:r w:rsidR="00556617" w:rsidRPr="00BB41CF">
        <w:rPr>
          <w:rFonts w:asciiTheme="majorHAnsi" w:eastAsia="Calibri" w:hAnsiTheme="majorHAnsi"/>
          <w:sz w:val="20"/>
          <w:szCs w:val="20"/>
          <w:lang w:val="es-VE"/>
        </w:rPr>
        <w:t>)</w:t>
      </w:r>
      <w:r w:rsidR="00804360" w:rsidRPr="00BB41CF">
        <w:rPr>
          <w:rFonts w:asciiTheme="majorHAnsi" w:eastAsia="Calibri" w:hAnsiTheme="majorHAnsi"/>
          <w:sz w:val="20"/>
          <w:szCs w:val="20"/>
          <w:lang w:val="es-VE"/>
        </w:rPr>
        <w:t xml:space="preserve">, 24 (igualdad ante la ley) y </w:t>
      </w:r>
      <w:r w:rsidR="00EC250C" w:rsidRPr="00BB41CF">
        <w:rPr>
          <w:rFonts w:asciiTheme="majorHAnsi" w:eastAsia="Calibri" w:hAnsiTheme="majorHAnsi"/>
          <w:sz w:val="20"/>
          <w:szCs w:val="20"/>
          <w:lang w:val="es-VE"/>
        </w:rPr>
        <w:t>25</w:t>
      </w:r>
      <w:r w:rsidR="00D1578E" w:rsidRPr="00BB41CF">
        <w:rPr>
          <w:rFonts w:asciiTheme="majorHAnsi" w:eastAsia="Calibri" w:hAnsiTheme="majorHAnsi"/>
          <w:sz w:val="20"/>
          <w:szCs w:val="20"/>
          <w:lang w:val="es-VE"/>
        </w:rPr>
        <w:t>.1</w:t>
      </w:r>
      <w:r w:rsidR="00EC250C" w:rsidRPr="00BB41CF">
        <w:rPr>
          <w:rFonts w:asciiTheme="majorHAnsi" w:eastAsia="Calibri" w:hAnsiTheme="majorHAnsi"/>
          <w:sz w:val="20"/>
          <w:szCs w:val="20"/>
          <w:lang w:val="es-VE"/>
        </w:rPr>
        <w:t xml:space="preserve"> (protección judicial) </w:t>
      </w:r>
      <w:r w:rsidRPr="00BB41CF">
        <w:rPr>
          <w:rFonts w:asciiTheme="majorHAnsi" w:eastAsia="Calibri" w:hAnsiTheme="majorHAnsi"/>
          <w:sz w:val="20"/>
          <w:szCs w:val="20"/>
          <w:lang w:val="es-VE"/>
        </w:rPr>
        <w:t>de la Convención Americana en relación con las obligaciones establecidas en los artículos 1.1 y 2 del mismo instrumento en perjuicio de</w:t>
      </w:r>
      <w:r w:rsidR="002676E2" w:rsidRPr="00BB41CF">
        <w:rPr>
          <w:rFonts w:asciiTheme="majorHAnsi" w:eastAsia="Calibri" w:hAnsiTheme="majorHAnsi"/>
          <w:sz w:val="20"/>
          <w:szCs w:val="20"/>
          <w:lang w:val="es-VE"/>
        </w:rPr>
        <w:t xml:space="preserve"> </w:t>
      </w:r>
      <w:r w:rsidR="00EC250C" w:rsidRPr="00BB41CF">
        <w:rPr>
          <w:rFonts w:asciiTheme="majorHAnsi" w:eastAsia="Calibri" w:hAnsiTheme="majorHAnsi"/>
          <w:sz w:val="20"/>
          <w:szCs w:val="20"/>
          <w:lang w:val="es-VE"/>
        </w:rPr>
        <w:t>Gabriel Oscar Jenkins</w:t>
      </w:r>
      <w:r w:rsidR="00A42D88" w:rsidRPr="00B56CF7">
        <w:rPr>
          <w:rFonts w:asciiTheme="majorHAnsi" w:eastAsia="Calibri" w:hAnsiTheme="majorHAnsi"/>
          <w:sz w:val="20"/>
          <w:szCs w:val="20"/>
          <w:lang w:val="es-VE"/>
        </w:rPr>
        <w:t>.</w:t>
      </w:r>
      <w:r w:rsidR="009413D3" w:rsidRPr="00B56CF7">
        <w:rPr>
          <w:rFonts w:asciiTheme="majorHAnsi" w:eastAsia="Calibri" w:hAnsiTheme="majorHAnsi"/>
          <w:sz w:val="20"/>
          <w:szCs w:val="20"/>
          <w:lang w:val="es-VE"/>
        </w:rPr>
        <w:t xml:space="preserve"> </w:t>
      </w:r>
      <w:r w:rsidR="00D1578E" w:rsidRPr="00B56CF7">
        <w:rPr>
          <w:rFonts w:asciiTheme="majorHAnsi" w:eastAsia="Calibri" w:hAnsiTheme="majorHAnsi"/>
          <w:sz w:val="20"/>
          <w:szCs w:val="20"/>
          <w:lang w:val="es-VE"/>
        </w:rPr>
        <w:t xml:space="preserve">En consecuencia, </w:t>
      </w:r>
      <w:r w:rsidRPr="00B56CF7">
        <w:rPr>
          <w:rFonts w:asciiTheme="majorHAnsi" w:eastAsia="Calibri" w:hAnsiTheme="majorHAnsi"/>
          <w:sz w:val="20"/>
          <w:szCs w:val="20"/>
          <w:lang w:val="es-VE"/>
        </w:rPr>
        <w:t xml:space="preserve">la Comisión formuló las recomendaciones respectivas. </w:t>
      </w:r>
    </w:p>
    <w:p w:rsidR="00EC250C" w:rsidRPr="00B56CF7" w:rsidRDefault="00EC250C" w:rsidP="005568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highlight w:val="yellow"/>
          <w:lang w:val="es-VE"/>
        </w:rPr>
      </w:pPr>
    </w:p>
    <w:p w:rsidR="00E40449" w:rsidRPr="00B56CF7" w:rsidRDefault="00E40449" w:rsidP="005E081B">
      <w:pPr>
        <w:pStyle w:val="Heading1"/>
        <w:numPr>
          <w:ilvl w:val="0"/>
          <w:numId w:val="55"/>
        </w:numPr>
        <w:tabs>
          <w:tab w:val="clear" w:pos="1440"/>
        </w:tabs>
      </w:pPr>
      <w:bookmarkStart w:id="9" w:name="_Toc370840744"/>
      <w:bookmarkStart w:id="10" w:name="_Toc370840840"/>
      <w:bookmarkStart w:id="11" w:name="_Toc423514406"/>
      <w:bookmarkStart w:id="12" w:name="_Toc433115982"/>
      <w:bookmarkStart w:id="13" w:name="_Toc444958125"/>
      <w:bookmarkStart w:id="14" w:name="_Toc467577906"/>
      <w:bookmarkStart w:id="15" w:name="_Toc469409077"/>
      <w:r w:rsidRPr="00B56CF7">
        <w:t xml:space="preserve">TRÁMITE ANTE LA </w:t>
      </w:r>
      <w:bookmarkStart w:id="16" w:name="_Toc370840745"/>
      <w:bookmarkStart w:id="17" w:name="_Toc370840841"/>
      <w:bookmarkEnd w:id="9"/>
      <w:bookmarkEnd w:id="10"/>
      <w:r w:rsidRPr="00B56CF7">
        <w:t>COMISIÓN</w:t>
      </w:r>
      <w:bookmarkEnd w:id="11"/>
      <w:bookmarkEnd w:id="12"/>
      <w:bookmarkEnd w:id="13"/>
      <w:bookmarkEnd w:id="14"/>
      <w:bookmarkEnd w:id="15"/>
    </w:p>
    <w:p w:rsidR="00E40449" w:rsidRPr="00B56CF7" w:rsidRDefault="00E40449" w:rsidP="00E40449">
      <w:pPr>
        <w:rPr>
          <w:rFonts w:asciiTheme="majorHAnsi" w:hAnsiTheme="majorHAnsi"/>
          <w:sz w:val="20"/>
          <w:szCs w:val="20"/>
          <w:lang w:val="es-ES"/>
        </w:rPr>
      </w:pPr>
    </w:p>
    <w:p w:rsidR="00E40449" w:rsidRPr="00B56CF7" w:rsidRDefault="00E40449" w:rsidP="00E40449">
      <w:pPr>
        <w:ind w:left="708"/>
        <w:rPr>
          <w:rFonts w:asciiTheme="majorHAnsi" w:hAnsiTheme="majorHAnsi"/>
          <w:b/>
          <w:sz w:val="20"/>
          <w:szCs w:val="20"/>
          <w:lang w:val="es-ES"/>
        </w:rPr>
      </w:pPr>
      <w:r w:rsidRPr="00B56CF7">
        <w:rPr>
          <w:rFonts w:asciiTheme="majorHAnsi" w:hAnsiTheme="majorHAnsi"/>
          <w:b/>
          <w:sz w:val="20"/>
          <w:szCs w:val="20"/>
          <w:lang w:val="es-ES"/>
        </w:rPr>
        <w:t>A.</w:t>
      </w:r>
      <w:r w:rsidRPr="00B56CF7">
        <w:rPr>
          <w:rFonts w:asciiTheme="majorHAnsi" w:hAnsiTheme="majorHAnsi"/>
          <w:b/>
          <w:sz w:val="20"/>
          <w:szCs w:val="20"/>
          <w:lang w:val="es-ES"/>
        </w:rPr>
        <w:tab/>
        <w:t>Trámite del caso desde el informe de admisibilidad</w:t>
      </w:r>
    </w:p>
    <w:p w:rsidR="00E40449" w:rsidRPr="00B56CF7" w:rsidRDefault="00E40449" w:rsidP="00E40449">
      <w:pPr>
        <w:rPr>
          <w:rFonts w:asciiTheme="majorHAnsi" w:hAnsiTheme="majorHAnsi"/>
          <w:sz w:val="20"/>
          <w:szCs w:val="20"/>
          <w:lang w:val="es-ES"/>
        </w:rPr>
      </w:pPr>
    </w:p>
    <w:p w:rsidR="007022F9" w:rsidRPr="00B56CF7" w:rsidRDefault="008825B3" w:rsidP="007022F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El 9</w:t>
      </w:r>
      <w:r w:rsidR="00E40449" w:rsidRPr="00B56CF7">
        <w:rPr>
          <w:rFonts w:asciiTheme="majorHAnsi" w:eastAsia="Calibri" w:hAnsiTheme="majorHAnsi"/>
          <w:sz w:val="20"/>
          <w:szCs w:val="20"/>
          <w:lang w:val="es-VE"/>
        </w:rPr>
        <w:t xml:space="preserve"> de </w:t>
      </w:r>
      <w:r w:rsidR="00FB3F52" w:rsidRPr="00B56CF7">
        <w:rPr>
          <w:rFonts w:asciiTheme="majorHAnsi" w:eastAsia="Calibri" w:hAnsiTheme="majorHAnsi"/>
          <w:sz w:val="20"/>
          <w:szCs w:val="20"/>
          <w:lang w:val="es-VE"/>
        </w:rPr>
        <w:t>septiembre</w:t>
      </w:r>
      <w:r w:rsidR="00C35013" w:rsidRPr="00B56CF7">
        <w:rPr>
          <w:rFonts w:asciiTheme="majorHAnsi" w:eastAsia="Calibri" w:hAnsiTheme="majorHAnsi"/>
          <w:sz w:val="20"/>
          <w:szCs w:val="20"/>
          <w:lang w:val="es-VE"/>
        </w:rPr>
        <w:t xml:space="preserve"> de </w:t>
      </w:r>
      <w:r w:rsidRPr="00B56CF7">
        <w:rPr>
          <w:rFonts w:asciiTheme="majorHAnsi" w:eastAsia="Calibri" w:hAnsiTheme="majorHAnsi"/>
          <w:sz w:val="20"/>
          <w:szCs w:val="20"/>
          <w:lang w:val="es-VE"/>
        </w:rPr>
        <w:t>1997</w:t>
      </w:r>
      <w:r w:rsidR="00E40449" w:rsidRPr="00B56CF7">
        <w:rPr>
          <w:rFonts w:asciiTheme="majorHAnsi" w:eastAsia="Calibri" w:hAnsiTheme="majorHAnsi"/>
          <w:sz w:val="20"/>
          <w:szCs w:val="20"/>
          <w:lang w:val="es-VE"/>
        </w:rPr>
        <w:t xml:space="preserve"> la Comisión recibió la petición y la registró bajo el número </w:t>
      </w:r>
      <w:r w:rsidR="00A26C11" w:rsidRPr="00B56CF7">
        <w:rPr>
          <w:rFonts w:asciiTheme="majorHAnsi" w:eastAsia="Calibri" w:hAnsiTheme="majorHAnsi"/>
          <w:sz w:val="20"/>
          <w:szCs w:val="20"/>
          <w:lang w:val="es-VE"/>
        </w:rPr>
        <w:t>12.05</w:t>
      </w:r>
      <w:r w:rsidR="00C35013" w:rsidRPr="00B56CF7">
        <w:rPr>
          <w:rFonts w:asciiTheme="majorHAnsi" w:eastAsia="Calibri" w:hAnsiTheme="majorHAnsi"/>
          <w:sz w:val="20"/>
          <w:szCs w:val="20"/>
          <w:lang w:val="es-VE"/>
        </w:rPr>
        <w:t>6</w:t>
      </w:r>
      <w:r w:rsidR="00E40449" w:rsidRPr="00B56CF7">
        <w:rPr>
          <w:rFonts w:asciiTheme="majorHAnsi" w:eastAsia="Calibri" w:hAnsiTheme="majorHAnsi"/>
          <w:sz w:val="20"/>
          <w:szCs w:val="20"/>
          <w:lang w:val="es-VE"/>
        </w:rPr>
        <w:t>. El trámite hasta la decisión sobre admisibilidad se encuentra explicad</w:t>
      </w:r>
      <w:r w:rsidR="00C35013" w:rsidRPr="00B56CF7">
        <w:rPr>
          <w:rFonts w:asciiTheme="majorHAnsi" w:eastAsia="Calibri" w:hAnsiTheme="majorHAnsi"/>
          <w:sz w:val="20"/>
          <w:szCs w:val="20"/>
          <w:lang w:val="es-VE"/>
        </w:rPr>
        <w:t>o en detalle en el Informe No.</w:t>
      </w:r>
      <w:r w:rsidR="00A26C11" w:rsidRPr="00B56CF7">
        <w:rPr>
          <w:rFonts w:asciiTheme="majorHAnsi" w:eastAsia="Calibri" w:hAnsiTheme="majorHAnsi"/>
          <w:sz w:val="20"/>
          <w:szCs w:val="20"/>
          <w:lang w:val="es-VE"/>
        </w:rPr>
        <w:t xml:space="preserve"> 50/04 de 13</w:t>
      </w:r>
      <w:r w:rsidR="00FB3F52" w:rsidRPr="00B56CF7">
        <w:rPr>
          <w:rFonts w:asciiTheme="majorHAnsi" w:eastAsia="Calibri" w:hAnsiTheme="majorHAnsi"/>
          <w:sz w:val="20"/>
          <w:szCs w:val="20"/>
          <w:lang w:val="es-VE"/>
        </w:rPr>
        <w:t xml:space="preserve"> de </w:t>
      </w:r>
      <w:r w:rsidR="00A26C11" w:rsidRPr="00B56CF7">
        <w:rPr>
          <w:rFonts w:asciiTheme="majorHAnsi" w:eastAsia="Calibri" w:hAnsiTheme="majorHAnsi"/>
          <w:sz w:val="20"/>
          <w:szCs w:val="20"/>
          <w:lang w:val="es-VE"/>
        </w:rPr>
        <w:t>octubre de 2004</w:t>
      </w:r>
      <w:r w:rsidR="00E40449" w:rsidRPr="00B56CF7">
        <w:rPr>
          <w:rFonts w:asciiTheme="majorHAnsi" w:eastAsia="Calibri" w:hAnsiTheme="majorHAnsi"/>
          <w:sz w:val="20"/>
          <w:szCs w:val="20"/>
          <w:vertAlign w:val="superscript"/>
        </w:rPr>
        <w:footnoteReference w:id="2"/>
      </w:r>
      <w:r w:rsidR="00E40449" w:rsidRPr="00B56CF7">
        <w:rPr>
          <w:rFonts w:asciiTheme="majorHAnsi" w:eastAsia="Calibri" w:hAnsiTheme="majorHAnsi"/>
          <w:sz w:val="20"/>
          <w:szCs w:val="20"/>
          <w:lang w:val="es-VE"/>
        </w:rPr>
        <w:t xml:space="preserve">. En dicho informe la CIDH declaró la petición admisible en cuanto a la posible violación de los derechos consagrados en los artículos </w:t>
      </w:r>
      <w:r w:rsidR="00D7724D" w:rsidRPr="00B56CF7">
        <w:rPr>
          <w:rFonts w:asciiTheme="majorHAnsi" w:eastAsia="Calibri" w:hAnsiTheme="majorHAnsi"/>
          <w:sz w:val="20"/>
          <w:szCs w:val="20"/>
          <w:lang w:val="es-VE"/>
        </w:rPr>
        <w:t>1</w:t>
      </w:r>
      <w:r w:rsidR="00A01FAF" w:rsidRPr="00B56CF7">
        <w:rPr>
          <w:rFonts w:asciiTheme="majorHAnsi" w:eastAsia="Calibri" w:hAnsiTheme="majorHAnsi"/>
          <w:sz w:val="20"/>
          <w:szCs w:val="20"/>
          <w:lang w:val="es-VE"/>
        </w:rPr>
        <w:t>.</w:t>
      </w:r>
      <w:r w:rsidR="00D7724D" w:rsidRPr="00B56CF7">
        <w:rPr>
          <w:rFonts w:asciiTheme="majorHAnsi" w:eastAsia="Calibri" w:hAnsiTheme="majorHAnsi"/>
          <w:sz w:val="20"/>
          <w:szCs w:val="20"/>
          <w:lang w:val="es-VE"/>
        </w:rPr>
        <w:t>1,</w:t>
      </w:r>
      <w:r w:rsidR="00A26C11" w:rsidRPr="00B56CF7">
        <w:rPr>
          <w:rFonts w:asciiTheme="majorHAnsi" w:eastAsia="Calibri" w:hAnsiTheme="majorHAnsi"/>
          <w:sz w:val="20"/>
          <w:szCs w:val="20"/>
          <w:lang w:val="es-VE"/>
        </w:rPr>
        <w:t xml:space="preserve"> 2, </w:t>
      </w:r>
      <w:r w:rsidR="00D7724D" w:rsidRPr="00B56CF7">
        <w:rPr>
          <w:rFonts w:asciiTheme="majorHAnsi" w:eastAsia="Calibri" w:hAnsiTheme="majorHAnsi"/>
          <w:sz w:val="20"/>
          <w:szCs w:val="20"/>
          <w:lang w:val="es-VE"/>
        </w:rPr>
        <w:t>7, 8</w:t>
      </w:r>
      <w:r w:rsidR="000F1BFB" w:rsidRPr="00B56CF7">
        <w:rPr>
          <w:rFonts w:asciiTheme="majorHAnsi" w:eastAsia="Calibri" w:hAnsiTheme="majorHAnsi"/>
          <w:sz w:val="20"/>
          <w:szCs w:val="20"/>
          <w:lang w:val="es-VE"/>
        </w:rPr>
        <w:t>, 24 y 25</w:t>
      </w:r>
      <w:r w:rsidR="00CF4EE8" w:rsidRPr="00B56CF7">
        <w:rPr>
          <w:rFonts w:asciiTheme="majorHAnsi" w:eastAsia="Calibri" w:hAnsiTheme="majorHAnsi"/>
          <w:sz w:val="20"/>
          <w:szCs w:val="20"/>
          <w:lang w:val="es-VE"/>
        </w:rPr>
        <w:t xml:space="preserve"> </w:t>
      </w:r>
      <w:r w:rsidR="00E40449" w:rsidRPr="00B56CF7">
        <w:rPr>
          <w:rFonts w:asciiTheme="majorHAnsi" w:eastAsia="Calibri" w:hAnsiTheme="majorHAnsi"/>
          <w:sz w:val="20"/>
          <w:szCs w:val="20"/>
          <w:lang w:val="es-VE"/>
        </w:rPr>
        <w:t>de la Convención Americana</w:t>
      </w:r>
      <w:r w:rsidR="00D7724D" w:rsidRPr="00B56CF7">
        <w:rPr>
          <w:rFonts w:asciiTheme="majorHAnsi" w:eastAsia="Calibri" w:hAnsiTheme="majorHAnsi"/>
          <w:sz w:val="20"/>
          <w:szCs w:val="20"/>
          <w:lang w:val="es-VE"/>
        </w:rPr>
        <w:t>.</w:t>
      </w:r>
    </w:p>
    <w:p w:rsidR="007022F9" w:rsidRPr="00B56CF7" w:rsidRDefault="007022F9" w:rsidP="007022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826E70" w:rsidRPr="00B56CF7" w:rsidRDefault="004F3B0B" w:rsidP="007022F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El </w:t>
      </w:r>
      <w:r w:rsidR="00B674E6" w:rsidRPr="00B56CF7">
        <w:rPr>
          <w:rFonts w:asciiTheme="majorHAnsi" w:eastAsia="Calibri" w:hAnsiTheme="majorHAnsi"/>
          <w:sz w:val="20"/>
          <w:szCs w:val="20"/>
          <w:lang w:val="es-VE"/>
        </w:rPr>
        <w:t>3</w:t>
      </w:r>
      <w:r w:rsidR="00E40449" w:rsidRPr="00B56CF7">
        <w:rPr>
          <w:rFonts w:asciiTheme="majorHAnsi" w:eastAsia="Calibri" w:hAnsiTheme="majorHAnsi"/>
          <w:sz w:val="20"/>
          <w:szCs w:val="20"/>
          <w:lang w:val="es-VE"/>
        </w:rPr>
        <w:t xml:space="preserve"> de </w:t>
      </w:r>
      <w:r w:rsidR="00B674E6" w:rsidRPr="00B56CF7">
        <w:rPr>
          <w:rFonts w:asciiTheme="majorHAnsi" w:eastAsia="Calibri" w:hAnsiTheme="majorHAnsi"/>
          <w:sz w:val="20"/>
          <w:szCs w:val="20"/>
          <w:lang w:val="es-VE"/>
        </w:rPr>
        <w:t>diciembre de 2004</w:t>
      </w:r>
      <w:r w:rsidR="00E40449" w:rsidRPr="00B56CF7">
        <w:rPr>
          <w:rFonts w:asciiTheme="majorHAnsi" w:eastAsia="Calibri" w:hAnsiTheme="majorHAnsi"/>
          <w:sz w:val="20"/>
          <w:szCs w:val="20"/>
          <w:lang w:val="es-VE"/>
        </w:rPr>
        <w:t xml:space="preserve"> la Comisión notificó a las partes el infor</w:t>
      </w:r>
      <w:r w:rsidR="00804360" w:rsidRPr="00B56CF7">
        <w:rPr>
          <w:rFonts w:asciiTheme="majorHAnsi" w:eastAsia="Calibri" w:hAnsiTheme="majorHAnsi"/>
          <w:sz w:val="20"/>
          <w:szCs w:val="20"/>
          <w:lang w:val="es-VE"/>
        </w:rPr>
        <w:t>me de admisibilidad. C</w:t>
      </w:r>
      <w:r w:rsidR="00E40449" w:rsidRPr="00B56CF7">
        <w:rPr>
          <w:rFonts w:asciiTheme="majorHAnsi" w:eastAsia="Calibri" w:hAnsiTheme="majorHAnsi"/>
          <w:sz w:val="20"/>
          <w:szCs w:val="20"/>
          <w:lang w:val="es-VE"/>
        </w:rPr>
        <w:t xml:space="preserve">onforme </w:t>
      </w:r>
      <w:r w:rsidRPr="00B56CF7">
        <w:rPr>
          <w:rFonts w:asciiTheme="majorHAnsi" w:eastAsia="Calibri" w:hAnsiTheme="majorHAnsi"/>
          <w:sz w:val="20"/>
          <w:szCs w:val="20"/>
          <w:lang w:val="es-VE"/>
        </w:rPr>
        <w:t xml:space="preserve">a </w:t>
      </w:r>
      <w:r w:rsidR="00E40449" w:rsidRPr="00B56CF7">
        <w:rPr>
          <w:rFonts w:asciiTheme="majorHAnsi" w:eastAsia="Calibri" w:hAnsiTheme="majorHAnsi"/>
          <w:sz w:val="20"/>
          <w:szCs w:val="20"/>
          <w:lang w:val="es-VE"/>
        </w:rPr>
        <w:t xml:space="preserve">su Reglamento, se puso a disposición de las partes a fin de llegar a una solución amistosa y solicitó a </w:t>
      </w:r>
      <w:r w:rsidR="00815160">
        <w:rPr>
          <w:rFonts w:asciiTheme="majorHAnsi" w:eastAsia="Calibri" w:hAnsiTheme="majorHAnsi"/>
          <w:sz w:val="20"/>
          <w:szCs w:val="20"/>
          <w:lang w:val="es-VE"/>
        </w:rPr>
        <w:t xml:space="preserve"> las dos</w:t>
      </w:r>
      <w:r w:rsidRPr="00B56CF7">
        <w:rPr>
          <w:rFonts w:asciiTheme="majorHAnsi" w:eastAsia="Calibri" w:hAnsiTheme="majorHAnsi"/>
          <w:sz w:val="20"/>
          <w:szCs w:val="20"/>
          <w:lang w:val="es-VE"/>
        </w:rPr>
        <w:t xml:space="preserve"> partes presentar sus observaciones sobre</w:t>
      </w:r>
      <w:r w:rsidR="00174C43" w:rsidRPr="00B56CF7">
        <w:rPr>
          <w:rFonts w:asciiTheme="majorHAnsi" w:eastAsia="Calibri" w:hAnsiTheme="majorHAnsi"/>
          <w:sz w:val="20"/>
          <w:szCs w:val="20"/>
          <w:lang w:val="es-VE"/>
        </w:rPr>
        <w:t xml:space="preserve"> dicha posibilidad </w:t>
      </w:r>
      <w:r w:rsidR="00D20A44" w:rsidRPr="00B56CF7">
        <w:rPr>
          <w:rFonts w:asciiTheme="majorHAnsi" w:eastAsia="Calibri" w:hAnsiTheme="majorHAnsi"/>
          <w:sz w:val="20"/>
          <w:szCs w:val="20"/>
          <w:lang w:val="es-VE"/>
        </w:rPr>
        <w:t xml:space="preserve">en el plazo de un mes. </w:t>
      </w:r>
      <w:r w:rsidRPr="00B56CF7">
        <w:rPr>
          <w:rFonts w:asciiTheme="majorHAnsi" w:eastAsia="Calibri" w:hAnsiTheme="majorHAnsi"/>
          <w:sz w:val="20"/>
          <w:szCs w:val="20"/>
          <w:lang w:val="es-VE"/>
        </w:rPr>
        <w:t xml:space="preserve">Asimismo, solicitó </w:t>
      </w:r>
      <w:r w:rsidRPr="00B56CF7">
        <w:rPr>
          <w:rFonts w:asciiTheme="majorHAnsi" w:eastAsia="Calibri" w:hAnsiTheme="majorHAnsi"/>
          <w:sz w:val="20"/>
          <w:szCs w:val="20"/>
          <w:lang w:val="es-VE"/>
        </w:rPr>
        <w:lastRenderedPageBreak/>
        <w:t xml:space="preserve">a los peticionarios presentar sus observaciones adicionales sobre el fondo en un plazo de dos meses. </w:t>
      </w:r>
      <w:r w:rsidR="00EE44D5" w:rsidRPr="00B56CF7">
        <w:rPr>
          <w:rFonts w:asciiTheme="majorHAnsi" w:eastAsia="Calibri" w:hAnsiTheme="majorHAnsi"/>
          <w:sz w:val="20"/>
          <w:szCs w:val="20"/>
          <w:lang w:val="es-VE"/>
        </w:rPr>
        <w:t>El 10 de febrero de 2005 el peticionario presentó sus observaciones adicionales sobre el fondo.</w:t>
      </w:r>
      <w:r w:rsidR="00DB0D85" w:rsidRPr="00B56CF7">
        <w:rPr>
          <w:rFonts w:asciiTheme="majorHAnsi" w:eastAsia="Calibri" w:hAnsiTheme="majorHAnsi"/>
          <w:sz w:val="20"/>
          <w:szCs w:val="20"/>
          <w:lang w:val="es-VE"/>
        </w:rPr>
        <w:t xml:space="preserve"> </w:t>
      </w:r>
      <w:r w:rsidR="00917159" w:rsidRPr="00B56CF7">
        <w:rPr>
          <w:rFonts w:asciiTheme="majorHAnsi" w:eastAsia="Calibri" w:hAnsiTheme="majorHAnsi"/>
          <w:sz w:val="20"/>
          <w:szCs w:val="20"/>
          <w:lang w:val="es-VE"/>
        </w:rPr>
        <w:t xml:space="preserve">Dichas observaciones fueron transmitidas al Estado argentino el </w:t>
      </w:r>
      <w:r w:rsidR="00BD4CE2" w:rsidRPr="00B56CF7">
        <w:rPr>
          <w:rFonts w:asciiTheme="majorHAnsi" w:eastAsia="Calibri" w:hAnsiTheme="majorHAnsi"/>
          <w:sz w:val="20"/>
          <w:szCs w:val="20"/>
          <w:lang w:val="es-VE"/>
        </w:rPr>
        <w:t xml:space="preserve">14 de abril de 2005. El </w:t>
      </w:r>
      <w:r w:rsidR="000A5E04" w:rsidRPr="00B56CF7">
        <w:rPr>
          <w:rFonts w:asciiTheme="majorHAnsi" w:eastAsia="Calibri" w:hAnsiTheme="majorHAnsi"/>
          <w:sz w:val="20"/>
          <w:szCs w:val="20"/>
          <w:lang w:val="es-VE"/>
        </w:rPr>
        <w:t>16</w:t>
      </w:r>
      <w:r w:rsidR="000574FF" w:rsidRPr="00B56CF7">
        <w:rPr>
          <w:rFonts w:asciiTheme="majorHAnsi" w:eastAsia="Calibri" w:hAnsiTheme="majorHAnsi"/>
          <w:sz w:val="20"/>
          <w:szCs w:val="20"/>
          <w:lang w:val="es-VE"/>
        </w:rPr>
        <w:t xml:space="preserve"> </w:t>
      </w:r>
      <w:r w:rsidR="003B3A0B" w:rsidRPr="00B56CF7">
        <w:rPr>
          <w:rFonts w:asciiTheme="majorHAnsi" w:eastAsia="Calibri" w:hAnsiTheme="majorHAnsi"/>
          <w:sz w:val="20"/>
          <w:szCs w:val="20"/>
          <w:lang w:val="es-VE"/>
        </w:rPr>
        <w:t xml:space="preserve">de </w:t>
      </w:r>
      <w:r w:rsidR="000A5E04" w:rsidRPr="00B56CF7">
        <w:rPr>
          <w:rFonts w:asciiTheme="majorHAnsi" w:eastAsia="Calibri" w:hAnsiTheme="majorHAnsi"/>
          <w:sz w:val="20"/>
          <w:szCs w:val="20"/>
          <w:lang w:val="es-VE"/>
        </w:rPr>
        <w:t>octu</w:t>
      </w:r>
      <w:r w:rsidR="000574FF" w:rsidRPr="00B56CF7">
        <w:rPr>
          <w:rFonts w:asciiTheme="majorHAnsi" w:eastAsia="Calibri" w:hAnsiTheme="majorHAnsi"/>
          <w:sz w:val="20"/>
          <w:szCs w:val="20"/>
          <w:lang w:val="es-VE"/>
        </w:rPr>
        <w:t>bre</w:t>
      </w:r>
      <w:r w:rsidR="00BD4CE2" w:rsidRPr="00B56CF7">
        <w:rPr>
          <w:rFonts w:asciiTheme="majorHAnsi" w:eastAsia="Calibri" w:hAnsiTheme="majorHAnsi"/>
          <w:sz w:val="20"/>
          <w:szCs w:val="20"/>
          <w:lang w:val="es-VE"/>
        </w:rPr>
        <w:t xml:space="preserve"> de 2009</w:t>
      </w:r>
      <w:r w:rsidR="003B3A0B" w:rsidRPr="00B56CF7">
        <w:rPr>
          <w:rFonts w:asciiTheme="majorHAnsi" w:eastAsia="Calibri" w:hAnsiTheme="majorHAnsi"/>
          <w:sz w:val="20"/>
          <w:szCs w:val="20"/>
          <w:lang w:val="es-VE"/>
        </w:rPr>
        <w:t xml:space="preserve"> el Estado presentó sus observaciones adicionales sobre el fondo. </w:t>
      </w:r>
    </w:p>
    <w:p w:rsidR="00826E70" w:rsidRPr="00B56CF7" w:rsidRDefault="00826E70" w:rsidP="007022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522F4D" w:rsidRPr="00B56CF7" w:rsidRDefault="00522F4D" w:rsidP="00522F4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El peticionario presentó información adicional el 10 de enero de 2007, 9 de febrero de 2007, 7 de abril de 2010, 26 de septiembre de 2011, 31 de octubre de 2012, 24 de abril de 2013, 8 de agosto de 2013, 28 de noviembre de 2014, 4 de marzo de 2015 y 4 de mayo de 2016. </w:t>
      </w:r>
    </w:p>
    <w:p w:rsidR="00522F4D" w:rsidRPr="00B56CF7" w:rsidRDefault="00522F4D" w:rsidP="007022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556617" w:rsidRPr="00B56CF7" w:rsidRDefault="0000484F" w:rsidP="00D225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E</w:t>
      </w:r>
      <w:r w:rsidR="00513755" w:rsidRPr="00B56CF7">
        <w:rPr>
          <w:rFonts w:asciiTheme="majorHAnsi" w:eastAsia="Calibri" w:hAnsiTheme="majorHAnsi"/>
          <w:sz w:val="20"/>
          <w:szCs w:val="20"/>
          <w:lang w:val="es-VE"/>
        </w:rPr>
        <w:t>l</w:t>
      </w:r>
      <w:r w:rsidRPr="00B56CF7">
        <w:rPr>
          <w:rFonts w:asciiTheme="majorHAnsi" w:eastAsia="Calibri" w:hAnsiTheme="majorHAnsi"/>
          <w:sz w:val="20"/>
          <w:szCs w:val="20"/>
          <w:lang w:val="es-VE"/>
        </w:rPr>
        <w:t xml:space="preserve"> Estado presentó información adicional</w:t>
      </w:r>
      <w:r w:rsidR="00640F7D" w:rsidRPr="00B56CF7">
        <w:rPr>
          <w:rFonts w:asciiTheme="majorHAnsi" w:eastAsia="Calibri" w:hAnsiTheme="majorHAnsi"/>
          <w:sz w:val="20"/>
          <w:szCs w:val="20"/>
          <w:lang w:val="es-VE"/>
        </w:rPr>
        <w:t xml:space="preserve"> el 14 de enero de 2011, 30 de julio de 2013, </w:t>
      </w:r>
      <w:r w:rsidR="00D0639F" w:rsidRPr="00B56CF7">
        <w:rPr>
          <w:rFonts w:asciiTheme="majorHAnsi" w:eastAsia="Calibri" w:hAnsiTheme="majorHAnsi"/>
          <w:sz w:val="20"/>
          <w:szCs w:val="20"/>
          <w:lang w:val="es-VE"/>
        </w:rPr>
        <w:t>10 de junio de 2014</w:t>
      </w:r>
      <w:r w:rsidR="002854DD" w:rsidRPr="00B56CF7">
        <w:rPr>
          <w:rFonts w:asciiTheme="majorHAnsi" w:eastAsia="Calibri" w:hAnsiTheme="majorHAnsi"/>
          <w:sz w:val="20"/>
          <w:szCs w:val="20"/>
          <w:lang w:val="es-VE"/>
        </w:rPr>
        <w:t>, 23 de abril de 2015 y</w:t>
      </w:r>
      <w:r w:rsidR="00D225CE" w:rsidRPr="00B56CF7">
        <w:rPr>
          <w:rFonts w:asciiTheme="majorHAnsi" w:eastAsia="Calibri" w:hAnsiTheme="majorHAnsi"/>
          <w:sz w:val="20"/>
          <w:szCs w:val="20"/>
          <w:lang w:val="es-VE"/>
        </w:rPr>
        <w:t xml:space="preserve"> 26 de mayo de 2016. </w:t>
      </w:r>
    </w:p>
    <w:p w:rsidR="00F400D1" w:rsidRPr="0062236D" w:rsidRDefault="00F400D1" w:rsidP="007022F9">
      <w:pPr>
        <w:rPr>
          <w:rFonts w:asciiTheme="majorHAnsi" w:hAnsiTheme="majorHAnsi"/>
          <w:sz w:val="20"/>
          <w:szCs w:val="20"/>
          <w:lang w:val="es-VE"/>
        </w:rPr>
      </w:pPr>
    </w:p>
    <w:p w:rsidR="00BB3189" w:rsidRPr="00B56CF7" w:rsidRDefault="00BB3189" w:rsidP="00BB318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El 8 de abril de 2016</w:t>
      </w:r>
      <w:r w:rsidR="00556617" w:rsidRPr="00B56CF7">
        <w:rPr>
          <w:rFonts w:asciiTheme="majorHAnsi" w:eastAsia="Calibri" w:hAnsiTheme="majorHAnsi"/>
          <w:sz w:val="20"/>
          <w:szCs w:val="20"/>
          <w:lang w:val="es-VE"/>
        </w:rPr>
        <w:t>,</w:t>
      </w:r>
      <w:r w:rsidRPr="00B56CF7">
        <w:rPr>
          <w:rFonts w:asciiTheme="majorHAnsi" w:eastAsia="Calibri" w:hAnsiTheme="majorHAnsi"/>
          <w:sz w:val="20"/>
          <w:szCs w:val="20"/>
          <w:lang w:val="es-VE"/>
        </w:rPr>
        <w:t xml:space="preserve"> durante el 157 periodo</w:t>
      </w:r>
      <w:r w:rsidR="00035E02" w:rsidRPr="00B56CF7">
        <w:rPr>
          <w:rFonts w:asciiTheme="majorHAnsi" w:eastAsia="Calibri" w:hAnsiTheme="majorHAnsi"/>
          <w:sz w:val="20"/>
          <w:szCs w:val="20"/>
          <w:lang w:val="es-VE"/>
        </w:rPr>
        <w:t xml:space="preserve"> ordinario</w:t>
      </w:r>
      <w:r w:rsidRPr="00B56CF7">
        <w:rPr>
          <w:rFonts w:asciiTheme="majorHAnsi" w:eastAsia="Calibri" w:hAnsiTheme="majorHAnsi"/>
          <w:sz w:val="20"/>
          <w:szCs w:val="20"/>
          <w:lang w:val="es-VE"/>
        </w:rPr>
        <w:t xml:space="preserve"> de sesiones, la CIDH celebró una audiencia </w:t>
      </w:r>
      <w:r w:rsidR="004B5B99" w:rsidRPr="00B56CF7">
        <w:rPr>
          <w:rFonts w:asciiTheme="majorHAnsi" w:eastAsia="Calibri" w:hAnsiTheme="majorHAnsi"/>
          <w:sz w:val="20"/>
          <w:szCs w:val="20"/>
          <w:lang w:val="es-VE"/>
        </w:rPr>
        <w:t xml:space="preserve">pública </w:t>
      </w:r>
      <w:r w:rsidRPr="00B56CF7">
        <w:rPr>
          <w:rFonts w:asciiTheme="majorHAnsi" w:eastAsia="Calibri" w:hAnsiTheme="majorHAnsi"/>
          <w:sz w:val="20"/>
          <w:szCs w:val="20"/>
          <w:lang w:val="es-VE"/>
        </w:rPr>
        <w:t>sobre</w:t>
      </w:r>
      <w:r w:rsidR="00035E02" w:rsidRPr="00B56CF7">
        <w:rPr>
          <w:rFonts w:asciiTheme="majorHAnsi" w:eastAsia="Calibri" w:hAnsiTheme="majorHAnsi"/>
          <w:sz w:val="20"/>
          <w:szCs w:val="20"/>
          <w:lang w:val="es-VE"/>
        </w:rPr>
        <w:t xml:space="preserve"> el fondo d</w:t>
      </w:r>
      <w:r w:rsidR="004064A2">
        <w:rPr>
          <w:rFonts w:asciiTheme="majorHAnsi" w:eastAsia="Calibri" w:hAnsiTheme="majorHAnsi"/>
          <w:sz w:val="20"/>
          <w:szCs w:val="20"/>
          <w:lang w:val="es-VE"/>
        </w:rPr>
        <w:t xml:space="preserve">el caso, con la participación de las dos partes. </w:t>
      </w:r>
    </w:p>
    <w:p w:rsidR="00A8571D" w:rsidRPr="00B56CF7" w:rsidRDefault="00A8571D" w:rsidP="00E40449">
      <w:pPr>
        <w:rPr>
          <w:rFonts w:asciiTheme="majorHAnsi" w:hAnsiTheme="majorHAnsi"/>
          <w:sz w:val="20"/>
          <w:szCs w:val="20"/>
          <w:lang w:val="es-VE"/>
        </w:rPr>
      </w:pPr>
    </w:p>
    <w:p w:rsidR="00E40449" w:rsidRPr="00B56CF7" w:rsidRDefault="00E40449" w:rsidP="005E081B">
      <w:pPr>
        <w:pStyle w:val="Heading1"/>
        <w:numPr>
          <w:ilvl w:val="0"/>
          <w:numId w:val="55"/>
        </w:numPr>
        <w:tabs>
          <w:tab w:val="clear" w:pos="1440"/>
        </w:tabs>
      </w:pPr>
      <w:bookmarkStart w:id="18" w:name="_Toc423514407"/>
      <w:bookmarkStart w:id="19" w:name="_Toc433115983"/>
      <w:bookmarkStart w:id="20" w:name="_Toc444958126"/>
      <w:bookmarkStart w:id="21" w:name="_Toc467577907"/>
      <w:bookmarkStart w:id="22" w:name="_Toc469409078"/>
      <w:r w:rsidRPr="00B56CF7">
        <w:t>POSICIONES DE LAS PARTES</w:t>
      </w:r>
      <w:bookmarkEnd w:id="16"/>
      <w:bookmarkEnd w:id="17"/>
      <w:bookmarkEnd w:id="18"/>
      <w:bookmarkEnd w:id="19"/>
      <w:bookmarkEnd w:id="20"/>
      <w:bookmarkEnd w:id="21"/>
      <w:bookmarkEnd w:id="22"/>
    </w:p>
    <w:p w:rsidR="00E40449" w:rsidRPr="00B56CF7" w:rsidRDefault="00E40449" w:rsidP="00E40449">
      <w:pPr>
        <w:rPr>
          <w:rFonts w:asciiTheme="majorHAnsi" w:hAnsiTheme="majorHAnsi"/>
          <w:sz w:val="20"/>
          <w:szCs w:val="20"/>
          <w:lang w:val="es-CO"/>
        </w:rPr>
      </w:pPr>
    </w:p>
    <w:p w:rsidR="00E40449" w:rsidRPr="00B56CF7" w:rsidRDefault="00E40449" w:rsidP="005E081B">
      <w:pPr>
        <w:pStyle w:val="Heading2"/>
        <w:numPr>
          <w:ilvl w:val="0"/>
          <w:numId w:val="59"/>
        </w:numPr>
      </w:pPr>
      <w:bookmarkStart w:id="23" w:name="_Toc423514408"/>
      <w:bookmarkStart w:id="24" w:name="_Toc433115984"/>
      <w:bookmarkStart w:id="25" w:name="_Toc444958127"/>
      <w:bookmarkStart w:id="26" w:name="_Toc467577908"/>
      <w:bookmarkStart w:id="27" w:name="_Toc469409079"/>
      <w:r w:rsidRPr="00B56CF7">
        <w:t>Posición d</w:t>
      </w:r>
      <w:bookmarkEnd w:id="23"/>
      <w:bookmarkEnd w:id="24"/>
      <w:bookmarkEnd w:id="25"/>
      <w:r w:rsidR="00FA084C" w:rsidRPr="00B56CF7">
        <w:t>el peticionario</w:t>
      </w:r>
      <w:bookmarkEnd w:id="26"/>
      <w:bookmarkEnd w:id="27"/>
      <w:r w:rsidR="00FA084C" w:rsidRPr="00B56CF7">
        <w:t xml:space="preserve"> </w:t>
      </w:r>
    </w:p>
    <w:p w:rsidR="008514D3" w:rsidRPr="00B56CF7" w:rsidRDefault="008514D3"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0A103F" w:rsidRPr="00B56CF7" w:rsidRDefault="000A103F" w:rsidP="000A103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Durante la etapa de fondo el peticionario ratificó en todas sus partes el contenido de su denuncia inicial de 9 de septiembre de 1997. </w:t>
      </w:r>
    </w:p>
    <w:p w:rsidR="000A103F" w:rsidRPr="00B56CF7" w:rsidRDefault="000A103F" w:rsidP="000A103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132C5C" w:rsidRPr="00B56CF7" w:rsidRDefault="000A103F" w:rsidP="00712DD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Refirió que</w:t>
      </w:r>
      <w:r w:rsidR="00D661BB" w:rsidRPr="00B56CF7">
        <w:rPr>
          <w:rFonts w:asciiTheme="majorHAnsi" w:eastAsia="Calibri" w:hAnsiTheme="majorHAnsi"/>
          <w:sz w:val="20"/>
          <w:szCs w:val="20"/>
          <w:lang w:val="es-VE"/>
        </w:rPr>
        <w:t xml:space="preserve"> fue detenido el día 8 de junio de 1994 en la ciudad Mar de</w:t>
      </w:r>
      <w:r w:rsidR="00BB3952" w:rsidRPr="00B56CF7">
        <w:rPr>
          <w:rFonts w:asciiTheme="majorHAnsi" w:eastAsia="Calibri" w:hAnsiTheme="majorHAnsi"/>
          <w:sz w:val="20"/>
          <w:szCs w:val="20"/>
          <w:lang w:val="es-VE"/>
        </w:rPr>
        <w:t>l</w:t>
      </w:r>
      <w:r w:rsidR="00D661BB" w:rsidRPr="00B56CF7">
        <w:rPr>
          <w:rFonts w:asciiTheme="majorHAnsi" w:eastAsia="Calibri" w:hAnsiTheme="majorHAnsi"/>
          <w:sz w:val="20"/>
          <w:szCs w:val="20"/>
          <w:lang w:val="es-VE"/>
        </w:rPr>
        <w:t xml:space="preserve"> Plata y recluido en la Unidad N° 2 del Servicio Penitenciario Federal en Devoto hasta el 13 de noviembre de 1997,</w:t>
      </w:r>
      <w:r w:rsidR="00712DD6" w:rsidRPr="00B56CF7">
        <w:rPr>
          <w:rFonts w:asciiTheme="majorHAnsi" w:eastAsia="Calibri" w:hAnsiTheme="majorHAnsi"/>
          <w:sz w:val="20"/>
          <w:szCs w:val="20"/>
          <w:lang w:val="es-VE"/>
        </w:rPr>
        <w:t xml:space="preserve"> en virtud de una orden dictada </w:t>
      </w:r>
      <w:r w:rsidR="00D661BB" w:rsidRPr="00B56CF7">
        <w:rPr>
          <w:rFonts w:asciiTheme="majorHAnsi" w:eastAsia="Calibri" w:hAnsiTheme="majorHAnsi"/>
          <w:sz w:val="20"/>
          <w:szCs w:val="20"/>
          <w:lang w:val="es-VE"/>
        </w:rPr>
        <w:t xml:space="preserve">por el Juzgado Nacional en lo Criminal y Correccional Federal N° 9, dentro de la causa penal N° 73 caratulada "PADILLA ECHEVERRY José Gildardo y otros s/ </w:t>
      </w:r>
      <w:proofErr w:type="spellStart"/>
      <w:r w:rsidR="00D661BB" w:rsidRPr="00B56CF7">
        <w:rPr>
          <w:rFonts w:asciiTheme="majorHAnsi" w:eastAsia="Calibri" w:hAnsiTheme="majorHAnsi"/>
          <w:sz w:val="20"/>
          <w:szCs w:val="20"/>
          <w:lang w:val="es-VE"/>
        </w:rPr>
        <w:t>inf</w:t>
      </w:r>
      <w:proofErr w:type="spellEnd"/>
      <w:r w:rsidR="00D661BB" w:rsidRPr="00B56CF7">
        <w:rPr>
          <w:rFonts w:asciiTheme="majorHAnsi" w:eastAsia="Calibri" w:hAnsiTheme="majorHAnsi"/>
          <w:sz w:val="20"/>
          <w:szCs w:val="20"/>
          <w:lang w:val="es-VE"/>
        </w:rPr>
        <w:t>. Ley N° 23.737" seguida ante el Tribunal Oral en lo Criminal Federal N° 6 de Buenos Aires</w:t>
      </w:r>
      <w:r w:rsidR="00132C5C" w:rsidRPr="00B56CF7">
        <w:rPr>
          <w:rFonts w:asciiTheme="majorHAnsi" w:eastAsia="Calibri" w:hAnsiTheme="majorHAnsi"/>
          <w:sz w:val="20"/>
          <w:szCs w:val="20"/>
          <w:lang w:val="es-VE"/>
        </w:rPr>
        <w:t xml:space="preserve"> por los delitos de tráfico de estupefacientes y asociación ilícita. </w:t>
      </w:r>
    </w:p>
    <w:p w:rsidR="00712DD6" w:rsidRPr="00B56CF7" w:rsidRDefault="00712DD6" w:rsidP="00712DD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A262AF" w:rsidRPr="00B56CF7" w:rsidRDefault="00A262AF" w:rsidP="00575E9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Indicó</w:t>
      </w:r>
      <w:r w:rsidR="00306E40" w:rsidRPr="00B56CF7">
        <w:rPr>
          <w:rFonts w:asciiTheme="majorHAnsi" w:eastAsia="Calibri" w:hAnsiTheme="majorHAnsi"/>
          <w:sz w:val="20"/>
          <w:szCs w:val="20"/>
          <w:lang w:val="es-VE"/>
        </w:rPr>
        <w:t xml:space="preserve"> que su privación de libertad y su consecuente sometimiento a juicio obedecieron a </w:t>
      </w:r>
      <w:r w:rsidR="00575E9C" w:rsidRPr="00B56CF7">
        <w:rPr>
          <w:rFonts w:asciiTheme="majorHAnsi" w:eastAsia="Calibri" w:hAnsiTheme="majorHAnsi"/>
          <w:sz w:val="20"/>
          <w:szCs w:val="20"/>
          <w:lang w:val="es-VE"/>
        </w:rPr>
        <w:t xml:space="preserve">que </w:t>
      </w:r>
      <w:r w:rsidR="00306E40" w:rsidRPr="00B56CF7">
        <w:rPr>
          <w:rFonts w:asciiTheme="majorHAnsi" w:eastAsia="Calibri" w:hAnsiTheme="majorHAnsi"/>
          <w:sz w:val="20"/>
          <w:szCs w:val="20"/>
          <w:lang w:val="es-VE"/>
        </w:rPr>
        <w:t xml:space="preserve">en la etapa de instrucción del proceso penal </w:t>
      </w:r>
      <w:r w:rsidR="00575E9C" w:rsidRPr="00B56CF7">
        <w:rPr>
          <w:rFonts w:asciiTheme="majorHAnsi" w:eastAsia="Calibri" w:hAnsiTheme="majorHAnsi"/>
          <w:sz w:val="20"/>
          <w:szCs w:val="20"/>
          <w:lang w:val="es-VE"/>
        </w:rPr>
        <w:t>el Ministerio Público presentó la transcripción adulterada</w:t>
      </w:r>
      <w:r w:rsidR="00306E40" w:rsidRPr="00B56CF7">
        <w:rPr>
          <w:rFonts w:asciiTheme="majorHAnsi" w:eastAsia="Calibri" w:hAnsiTheme="majorHAnsi"/>
          <w:sz w:val="20"/>
          <w:szCs w:val="20"/>
          <w:lang w:val="es-VE"/>
        </w:rPr>
        <w:t xml:space="preserve"> de la grabación de una conversación telefónica entre el peticionario y otro de los acusados, supuestamente </w:t>
      </w:r>
      <w:r w:rsidR="00575E9C" w:rsidRPr="00B56CF7">
        <w:rPr>
          <w:rFonts w:asciiTheme="majorHAnsi" w:eastAsia="Calibri" w:hAnsiTheme="majorHAnsi"/>
          <w:sz w:val="20"/>
          <w:szCs w:val="20"/>
          <w:lang w:val="es-VE"/>
        </w:rPr>
        <w:t xml:space="preserve">efectuada el 2 de abril de 1994, la cual se refería </w:t>
      </w:r>
      <w:r w:rsidR="00556617" w:rsidRPr="00B56CF7">
        <w:rPr>
          <w:rFonts w:asciiTheme="majorHAnsi" w:eastAsia="Calibri" w:hAnsiTheme="majorHAnsi"/>
          <w:sz w:val="20"/>
          <w:szCs w:val="20"/>
          <w:lang w:val="es-VE"/>
        </w:rPr>
        <w:t>a la compra</w:t>
      </w:r>
      <w:r w:rsidR="00306E40" w:rsidRPr="00B56CF7">
        <w:rPr>
          <w:rFonts w:asciiTheme="majorHAnsi" w:eastAsia="Calibri" w:hAnsiTheme="majorHAnsi"/>
          <w:sz w:val="20"/>
          <w:szCs w:val="20"/>
          <w:lang w:val="es-VE"/>
        </w:rPr>
        <w:t>venta de una embarcación deportiva en la que el denunciante estaba actuando como intermediario y no consistía en una invitación para asistir en la República de Panamá a una supu</w:t>
      </w:r>
      <w:r w:rsidR="002854DD" w:rsidRPr="00B56CF7">
        <w:rPr>
          <w:rFonts w:asciiTheme="majorHAnsi" w:eastAsia="Calibri" w:hAnsiTheme="majorHAnsi"/>
          <w:sz w:val="20"/>
          <w:szCs w:val="20"/>
          <w:lang w:val="es-VE"/>
        </w:rPr>
        <w:t>esta reunión del Cartel de Cali,</w:t>
      </w:r>
      <w:r w:rsidR="004A70F3" w:rsidRPr="00B56CF7">
        <w:rPr>
          <w:rFonts w:asciiTheme="majorHAnsi" w:eastAsia="Calibri" w:hAnsiTheme="majorHAnsi"/>
          <w:sz w:val="20"/>
          <w:szCs w:val="20"/>
          <w:lang w:val="es-VE"/>
        </w:rPr>
        <w:t xml:space="preserve"> </w:t>
      </w:r>
      <w:r w:rsidR="00306E40" w:rsidRPr="00B56CF7">
        <w:rPr>
          <w:rFonts w:asciiTheme="majorHAnsi" w:eastAsia="Calibri" w:hAnsiTheme="majorHAnsi"/>
          <w:sz w:val="20"/>
          <w:szCs w:val="20"/>
          <w:lang w:val="es-VE"/>
        </w:rPr>
        <w:t>como se consideró en el proceso.</w:t>
      </w:r>
      <w:r w:rsidRPr="00B56CF7">
        <w:rPr>
          <w:rFonts w:asciiTheme="majorHAnsi" w:eastAsia="Calibri" w:hAnsiTheme="majorHAnsi"/>
          <w:sz w:val="20"/>
          <w:szCs w:val="20"/>
          <w:lang w:val="es-VE"/>
        </w:rPr>
        <w:t xml:space="preserve"> </w:t>
      </w:r>
    </w:p>
    <w:p w:rsidR="00A262AF" w:rsidRPr="00B56CF7" w:rsidRDefault="00A262AF" w:rsidP="00A262AF">
      <w:pPr>
        <w:pStyle w:val="ListParagraph"/>
        <w:rPr>
          <w:rFonts w:asciiTheme="majorHAnsi" w:eastAsia="Calibri" w:hAnsiTheme="majorHAnsi"/>
          <w:sz w:val="20"/>
          <w:szCs w:val="20"/>
          <w:lang w:val="es-VE"/>
        </w:rPr>
      </w:pPr>
    </w:p>
    <w:p w:rsidR="00575E9C" w:rsidRPr="00B56CF7" w:rsidRDefault="00A262AF" w:rsidP="00575E9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Agregó que su defensa denunció que el contenido de la conversación grabada en el </w:t>
      </w:r>
      <w:proofErr w:type="spellStart"/>
      <w:r w:rsidRPr="00B56CF7">
        <w:rPr>
          <w:rFonts w:asciiTheme="majorHAnsi" w:eastAsia="Calibri" w:hAnsiTheme="majorHAnsi"/>
          <w:sz w:val="20"/>
          <w:szCs w:val="20"/>
          <w:lang w:val="es-VE"/>
        </w:rPr>
        <w:t>cassette</w:t>
      </w:r>
      <w:proofErr w:type="spellEnd"/>
      <w:r w:rsidRPr="00B56CF7">
        <w:rPr>
          <w:rFonts w:asciiTheme="majorHAnsi" w:eastAsia="Calibri" w:hAnsiTheme="majorHAnsi"/>
          <w:sz w:val="20"/>
          <w:szCs w:val="20"/>
          <w:lang w:val="es-VE"/>
        </w:rPr>
        <w:t xml:space="preserve"> </w:t>
      </w:r>
      <w:r w:rsidR="007E7D65" w:rsidRPr="00B56CF7">
        <w:rPr>
          <w:rFonts w:asciiTheme="majorHAnsi" w:eastAsia="Calibri" w:hAnsiTheme="majorHAnsi"/>
          <w:sz w:val="20"/>
          <w:szCs w:val="20"/>
          <w:lang w:val="es-VE"/>
        </w:rPr>
        <w:t>N</w:t>
      </w:r>
      <w:r w:rsidRPr="00B56CF7">
        <w:rPr>
          <w:rFonts w:asciiTheme="majorHAnsi" w:eastAsia="Calibri" w:hAnsiTheme="majorHAnsi"/>
          <w:sz w:val="20"/>
          <w:szCs w:val="20"/>
          <w:lang w:val="es-VE"/>
        </w:rPr>
        <w:t>o.</w:t>
      </w:r>
      <w:r w:rsidR="007E7D65" w:rsidRPr="00B56CF7">
        <w:rPr>
          <w:rFonts w:asciiTheme="majorHAnsi" w:eastAsia="Calibri" w:hAnsiTheme="majorHAnsi"/>
          <w:sz w:val="20"/>
          <w:szCs w:val="20"/>
          <w:lang w:val="es-VE"/>
        </w:rPr>
        <w:t xml:space="preserve"> </w:t>
      </w:r>
      <w:r w:rsidRPr="00B56CF7">
        <w:rPr>
          <w:rFonts w:asciiTheme="majorHAnsi" w:eastAsia="Calibri" w:hAnsiTheme="majorHAnsi"/>
          <w:sz w:val="20"/>
          <w:szCs w:val="20"/>
          <w:lang w:val="es-VE"/>
        </w:rPr>
        <w:t>40 y el acta de transcripción del mismo constante a fojas 1099 del expedi</w:t>
      </w:r>
      <w:r w:rsidR="00575E9C" w:rsidRPr="00B56CF7">
        <w:rPr>
          <w:rFonts w:asciiTheme="majorHAnsi" w:eastAsia="Calibri" w:hAnsiTheme="majorHAnsi"/>
          <w:sz w:val="20"/>
          <w:szCs w:val="20"/>
          <w:lang w:val="es-VE"/>
        </w:rPr>
        <w:t xml:space="preserve">ente de la causa no coincidían y una vez que </w:t>
      </w:r>
      <w:r w:rsidR="008645D3" w:rsidRPr="00B56CF7">
        <w:rPr>
          <w:rFonts w:asciiTheme="majorHAnsi" w:eastAsia="Calibri" w:hAnsiTheme="majorHAnsi"/>
          <w:sz w:val="20"/>
          <w:szCs w:val="20"/>
          <w:lang w:val="es-VE"/>
        </w:rPr>
        <w:t xml:space="preserve">el Tribunal Oral en lo Criminal Federal No. 6 de Buenos Aires determinó que el contenido de la conversación grabada en el </w:t>
      </w:r>
      <w:proofErr w:type="spellStart"/>
      <w:r w:rsidR="008645D3" w:rsidRPr="00B56CF7">
        <w:rPr>
          <w:rFonts w:asciiTheme="majorHAnsi" w:eastAsia="Calibri" w:hAnsiTheme="majorHAnsi"/>
          <w:sz w:val="20"/>
          <w:szCs w:val="20"/>
          <w:lang w:val="es-VE"/>
        </w:rPr>
        <w:t>cassette</w:t>
      </w:r>
      <w:proofErr w:type="spellEnd"/>
      <w:r w:rsidR="008645D3" w:rsidRPr="00B56CF7">
        <w:rPr>
          <w:rFonts w:asciiTheme="majorHAnsi" w:eastAsia="Calibri" w:hAnsiTheme="majorHAnsi"/>
          <w:sz w:val="20"/>
          <w:szCs w:val="20"/>
          <w:lang w:val="es-VE"/>
        </w:rPr>
        <w:t xml:space="preserve"> </w:t>
      </w:r>
      <w:r w:rsidR="00115F79" w:rsidRPr="00B56CF7">
        <w:rPr>
          <w:rFonts w:asciiTheme="majorHAnsi" w:eastAsia="Calibri" w:hAnsiTheme="majorHAnsi"/>
          <w:sz w:val="20"/>
          <w:szCs w:val="20"/>
          <w:lang w:val="es-VE"/>
        </w:rPr>
        <w:t>N</w:t>
      </w:r>
      <w:r w:rsidR="008645D3" w:rsidRPr="00B56CF7">
        <w:rPr>
          <w:rFonts w:asciiTheme="majorHAnsi" w:eastAsia="Calibri" w:hAnsiTheme="majorHAnsi"/>
          <w:sz w:val="20"/>
          <w:szCs w:val="20"/>
          <w:lang w:val="es-VE"/>
        </w:rPr>
        <w:t>o. 40 y su transcripción no coincidían</w:t>
      </w:r>
      <w:r w:rsidR="005C7F7D" w:rsidRPr="00B56CF7">
        <w:rPr>
          <w:rFonts w:asciiTheme="majorHAnsi" w:eastAsia="Calibri" w:hAnsiTheme="majorHAnsi"/>
          <w:sz w:val="20"/>
          <w:szCs w:val="20"/>
          <w:lang w:val="es-VE"/>
        </w:rPr>
        <w:t>, ordenó su inmediata libertad</w:t>
      </w:r>
      <w:r w:rsidR="000640B9" w:rsidRPr="00B56CF7">
        <w:rPr>
          <w:rFonts w:asciiTheme="majorHAnsi" w:eastAsia="Calibri" w:hAnsiTheme="majorHAnsi"/>
          <w:sz w:val="20"/>
          <w:szCs w:val="20"/>
          <w:lang w:val="es-VE"/>
        </w:rPr>
        <w:t>,</w:t>
      </w:r>
      <w:r w:rsidR="005C7F7D" w:rsidRPr="00B56CF7">
        <w:rPr>
          <w:rFonts w:asciiTheme="majorHAnsi" w:eastAsia="Calibri" w:hAnsiTheme="majorHAnsi"/>
          <w:sz w:val="20"/>
          <w:szCs w:val="20"/>
          <w:lang w:val="es-VE"/>
        </w:rPr>
        <w:t xml:space="preserve"> la cual se hizo efectiva el 13 d</w:t>
      </w:r>
      <w:r w:rsidR="00575E9C" w:rsidRPr="00B56CF7">
        <w:rPr>
          <w:rFonts w:asciiTheme="majorHAnsi" w:eastAsia="Calibri" w:hAnsiTheme="majorHAnsi"/>
          <w:sz w:val="20"/>
          <w:szCs w:val="20"/>
          <w:lang w:val="es-VE"/>
        </w:rPr>
        <w:t xml:space="preserve">e noviembre de 1997. </w:t>
      </w:r>
    </w:p>
    <w:p w:rsidR="00575E9C" w:rsidRPr="00B56CF7" w:rsidRDefault="00575E9C" w:rsidP="00575E9C">
      <w:pPr>
        <w:pStyle w:val="ListParagraph"/>
        <w:rPr>
          <w:rFonts w:asciiTheme="majorHAnsi" w:eastAsia="Calibri" w:hAnsiTheme="majorHAnsi"/>
          <w:sz w:val="20"/>
          <w:szCs w:val="20"/>
          <w:lang w:val="es-VE"/>
        </w:rPr>
      </w:pPr>
    </w:p>
    <w:p w:rsidR="00D345DE" w:rsidRPr="00B56CF7" w:rsidRDefault="00575E9C" w:rsidP="00115F7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Resaltó</w:t>
      </w:r>
      <w:r w:rsidR="005C7F7D" w:rsidRPr="00B56CF7">
        <w:rPr>
          <w:rFonts w:asciiTheme="majorHAnsi" w:eastAsia="Calibri" w:hAnsiTheme="majorHAnsi"/>
          <w:sz w:val="20"/>
          <w:szCs w:val="20"/>
          <w:lang w:val="es-VE"/>
        </w:rPr>
        <w:t xml:space="preserve"> que permaneció en la cárcel por 3 años y 5 meses con base en una sola prueba en su contra.</w:t>
      </w:r>
      <w:r w:rsidR="00115F79" w:rsidRPr="00B56CF7">
        <w:rPr>
          <w:rFonts w:asciiTheme="majorHAnsi" w:eastAsia="Calibri" w:hAnsiTheme="majorHAnsi"/>
          <w:sz w:val="20"/>
          <w:szCs w:val="20"/>
          <w:lang w:val="es-VE"/>
        </w:rPr>
        <w:t xml:space="preserve"> </w:t>
      </w:r>
      <w:r w:rsidR="00D345DE" w:rsidRPr="00B56CF7">
        <w:rPr>
          <w:rFonts w:asciiTheme="majorHAnsi" w:eastAsia="Calibri" w:hAnsiTheme="majorHAnsi"/>
          <w:sz w:val="20"/>
          <w:szCs w:val="20"/>
          <w:lang w:val="es-VE"/>
        </w:rPr>
        <w:t xml:space="preserve">Agregó que el 23 de diciembre de 1997 el Tribunal </w:t>
      </w:r>
      <w:r w:rsidR="00612AAA" w:rsidRPr="00B56CF7">
        <w:rPr>
          <w:rFonts w:asciiTheme="majorHAnsi" w:eastAsia="Calibri" w:hAnsiTheme="majorHAnsi"/>
          <w:sz w:val="20"/>
          <w:szCs w:val="20"/>
          <w:lang w:val="es-VE"/>
        </w:rPr>
        <w:t>Oral dictó sentencia absolutoria a su favor y ordenó a la Procuración General de la Nación, a la Cámara Nacional en lo Criminal y Corrección Federal y a un Juzgado Federal en lo Criminal</w:t>
      </w:r>
      <w:r w:rsidR="00E66142" w:rsidRPr="00B56CF7">
        <w:rPr>
          <w:rFonts w:asciiTheme="majorHAnsi" w:eastAsia="Calibri" w:hAnsiTheme="majorHAnsi"/>
          <w:sz w:val="20"/>
          <w:szCs w:val="20"/>
          <w:lang w:val="es-VE"/>
        </w:rPr>
        <w:t>,</w:t>
      </w:r>
      <w:r w:rsidR="00612AAA" w:rsidRPr="00B56CF7">
        <w:rPr>
          <w:rFonts w:asciiTheme="majorHAnsi" w:eastAsia="Calibri" w:hAnsiTheme="majorHAnsi"/>
          <w:sz w:val="20"/>
          <w:szCs w:val="20"/>
          <w:lang w:val="es-VE"/>
        </w:rPr>
        <w:t xml:space="preserve"> iniciar las investigaciones correspondientes para investigar si se incurrió en un delito en la presentación de pruebas a</w:t>
      </w:r>
      <w:r w:rsidR="005C0569" w:rsidRPr="00B56CF7">
        <w:rPr>
          <w:rFonts w:asciiTheme="majorHAnsi" w:eastAsia="Calibri" w:hAnsiTheme="majorHAnsi"/>
          <w:sz w:val="20"/>
          <w:szCs w:val="20"/>
          <w:lang w:val="es-VE"/>
        </w:rPr>
        <w:t xml:space="preserve">dulteradas en el juicio penal. </w:t>
      </w:r>
    </w:p>
    <w:p w:rsidR="00017A0C" w:rsidRPr="00B56CF7" w:rsidRDefault="00017A0C" w:rsidP="00017A0C">
      <w:pPr>
        <w:pStyle w:val="ListParagraph"/>
        <w:rPr>
          <w:rFonts w:asciiTheme="majorHAnsi" w:eastAsia="Calibri" w:hAnsiTheme="majorHAnsi"/>
          <w:sz w:val="20"/>
          <w:szCs w:val="20"/>
          <w:lang w:val="es-VE"/>
        </w:rPr>
      </w:pPr>
    </w:p>
    <w:p w:rsidR="00A129D6" w:rsidRPr="00B56CF7" w:rsidRDefault="00017A0C" w:rsidP="00D661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Indicó que tanto la causa penal como el procedimiento administrativo fueron desestimados en abril de 1998 y septiembre de 1999</w:t>
      </w:r>
      <w:r w:rsidR="005C0569" w:rsidRPr="00B56CF7">
        <w:rPr>
          <w:rFonts w:asciiTheme="majorHAnsi" w:eastAsia="Calibri" w:hAnsiTheme="majorHAnsi"/>
          <w:sz w:val="20"/>
          <w:szCs w:val="20"/>
          <w:lang w:val="es-VE"/>
        </w:rPr>
        <w:t xml:space="preserve"> respectivamente</w:t>
      </w:r>
      <w:r w:rsidR="000640B9" w:rsidRPr="00B56CF7">
        <w:rPr>
          <w:rFonts w:asciiTheme="majorHAnsi" w:eastAsia="Calibri" w:hAnsiTheme="majorHAnsi"/>
          <w:sz w:val="20"/>
          <w:szCs w:val="20"/>
          <w:lang w:val="es-VE"/>
        </w:rPr>
        <w:t>,</w:t>
      </w:r>
      <w:r w:rsidRPr="00B56CF7">
        <w:rPr>
          <w:rFonts w:asciiTheme="majorHAnsi" w:eastAsia="Calibri" w:hAnsiTheme="majorHAnsi"/>
          <w:sz w:val="20"/>
          <w:szCs w:val="20"/>
          <w:lang w:val="es-VE"/>
        </w:rPr>
        <w:t xml:space="preserve"> por considerarse que las conductas de los fiscales en la causa no constituía</w:t>
      </w:r>
      <w:r w:rsidR="005C0569" w:rsidRPr="00B56CF7">
        <w:rPr>
          <w:rFonts w:asciiTheme="majorHAnsi" w:eastAsia="Calibri" w:hAnsiTheme="majorHAnsi"/>
          <w:sz w:val="20"/>
          <w:szCs w:val="20"/>
          <w:lang w:val="es-VE"/>
        </w:rPr>
        <w:t>n infracción alguna</w:t>
      </w:r>
      <w:r w:rsidR="004A70F3" w:rsidRPr="00B56CF7">
        <w:rPr>
          <w:rFonts w:asciiTheme="majorHAnsi" w:eastAsia="Calibri" w:hAnsiTheme="majorHAnsi"/>
          <w:sz w:val="20"/>
          <w:szCs w:val="20"/>
          <w:lang w:val="es-VE"/>
        </w:rPr>
        <w:t>. A</w:t>
      </w:r>
      <w:r w:rsidR="00985C45" w:rsidRPr="00B56CF7">
        <w:rPr>
          <w:rFonts w:asciiTheme="majorHAnsi" w:eastAsia="Calibri" w:hAnsiTheme="majorHAnsi"/>
          <w:sz w:val="20"/>
          <w:szCs w:val="20"/>
          <w:lang w:val="es-VE"/>
        </w:rPr>
        <w:t xml:space="preserve">rgumentó que </w:t>
      </w:r>
      <w:r w:rsidR="00E66142" w:rsidRPr="00B56CF7">
        <w:rPr>
          <w:rFonts w:asciiTheme="majorHAnsi" w:eastAsia="Calibri" w:hAnsiTheme="majorHAnsi"/>
          <w:sz w:val="20"/>
          <w:szCs w:val="20"/>
          <w:lang w:val="es-VE"/>
        </w:rPr>
        <w:t xml:space="preserve">este resultado </w:t>
      </w:r>
      <w:r w:rsidR="00985C45" w:rsidRPr="00B56CF7">
        <w:rPr>
          <w:rFonts w:asciiTheme="majorHAnsi" w:eastAsia="Calibri" w:hAnsiTheme="majorHAnsi"/>
          <w:sz w:val="20"/>
          <w:szCs w:val="20"/>
          <w:lang w:val="es-VE"/>
        </w:rPr>
        <w:t>obedeció al carácter</w:t>
      </w:r>
      <w:r w:rsidR="00A129D6" w:rsidRPr="00B56CF7">
        <w:rPr>
          <w:rFonts w:asciiTheme="majorHAnsi" w:eastAsia="Calibri" w:hAnsiTheme="majorHAnsi"/>
          <w:sz w:val="20"/>
          <w:szCs w:val="20"/>
          <w:lang w:val="es-VE"/>
        </w:rPr>
        <w:t xml:space="preserve"> superficial </w:t>
      </w:r>
      <w:r w:rsidR="005E730B">
        <w:rPr>
          <w:rFonts w:asciiTheme="majorHAnsi" w:eastAsia="Calibri" w:hAnsiTheme="majorHAnsi"/>
          <w:sz w:val="20"/>
          <w:szCs w:val="20"/>
          <w:lang w:val="es-VE"/>
        </w:rPr>
        <w:t xml:space="preserve">y negligente </w:t>
      </w:r>
      <w:r w:rsidR="00A129D6" w:rsidRPr="00B56CF7">
        <w:rPr>
          <w:rFonts w:asciiTheme="majorHAnsi" w:eastAsia="Calibri" w:hAnsiTheme="majorHAnsi"/>
          <w:sz w:val="20"/>
          <w:szCs w:val="20"/>
          <w:lang w:val="es-VE"/>
        </w:rPr>
        <w:t>de las investigaciones.</w:t>
      </w:r>
    </w:p>
    <w:p w:rsidR="00A129D6" w:rsidRPr="00B56CF7" w:rsidRDefault="00A129D6" w:rsidP="00A129D6">
      <w:pPr>
        <w:pStyle w:val="ListParagraph"/>
        <w:rPr>
          <w:rFonts w:asciiTheme="majorHAnsi" w:eastAsia="Calibri" w:hAnsiTheme="majorHAnsi"/>
          <w:sz w:val="20"/>
          <w:szCs w:val="20"/>
          <w:lang w:val="es-VE"/>
        </w:rPr>
      </w:pPr>
    </w:p>
    <w:p w:rsidR="004A70F3" w:rsidRPr="00B56CF7" w:rsidRDefault="00A129D6" w:rsidP="004A70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Consideró que los fiscales incurrieron en el delito de falsedad ideológica y que no se trató de un simple error, porque tenían la obligación de contra</w:t>
      </w:r>
      <w:r w:rsidR="00EB7C0C" w:rsidRPr="00B56CF7">
        <w:rPr>
          <w:rFonts w:asciiTheme="majorHAnsi" w:eastAsia="Calibri" w:hAnsiTheme="majorHAnsi"/>
          <w:sz w:val="20"/>
          <w:szCs w:val="20"/>
          <w:lang w:val="es-VE"/>
        </w:rPr>
        <w:t xml:space="preserve">star el </w:t>
      </w:r>
      <w:proofErr w:type="spellStart"/>
      <w:r w:rsidR="00694478" w:rsidRPr="00B56CF7">
        <w:rPr>
          <w:rFonts w:asciiTheme="majorHAnsi" w:eastAsia="Calibri" w:hAnsiTheme="majorHAnsi"/>
          <w:sz w:val="20"/>
          <w:szCs w:val="20"/>
          <w:lang w:val="es-VE"/>
        </w:rPr>
        <w:t>cassette</w:t>
      </w:r>
      <w:proofErr w:type="spellEnd"/>
      <w:r w:rsidR="00694478" w:rsidRPr="00B56CF7">
        <w:rPr>
          <w:rFonts w:asciiTheme="majorHAnsi" w:eastAsia="Calibri" w:hAnsiTheme="majorHAnsi"/>
          <w:sz w:val="20"/>
          <w:szCs w:val="20"/>
          <w:lang w:val="es-VE"/>
        </w:rPr>
        <w:t xml:space="preserve"> con su transcripción. Además</w:t>
      </w:r>
      <w:r w:rsidR="006D424B" w:rsidRPr="00B56CF7">
        <w:rPr>
          <w:rFonts w:asciiTheme="majorHAnsi" w:eastAsia="Calibri" w:hAnsiTheme="majorHAnsi"/>
          <w:sz w:val="20"/>
          <w:szCs w:val="20"/>
          <w:lang w:val="es-VE"/>
        </w:rPr>
        <w:t>,</w:t>
      </w:r>
      <w:r w:rsidR="00694478" w:rsidRPr="00B56CF7">
        <w:rPr>
          <w:rFonts w:asciiTheme="majorHAnsi" w:eastAsia="Calibri" w:hAnsiTheme="majorHAnsi"/>
          <w:sz w:val="20"/>
          <w:szCs w:val="20"/>
          <w:lang w:val="es-VE"/>
        </w:rPr>
        <w:t xml:space="preserve"> </w:t>
      </w:r>
      <w:r w:rsidR="000640B9" w:rsidRPr="00B56CF7">
        <w:rPr>
          <w:rFonts w:asciiTheme="majorHAnsi" w:eastAsia="Calibri" w:hAnsiTheme="majorHAnsi"/>
          <w:sz w:val="20"/>
          <w:szCs w:val="20"/>
          <w:lang w:val="es-VE"/>
        </w:rPr>
        <w:t>estimó</w:t>
      </w:r>
      <w:r w:rsidR="00694478" w:rsidRPr="00B56CF7">
        <w:rPr>
          <w:rFonts w:asciiTheme="majorHAnsi" w:eastAsia="Calibri" w:hAnsiTheme="majorHAnsi"/>
          <w:sz w:val="20"/>
          <w:szCs w:val="20"/>
          <w:lang w:val="es-VE"/>
        </w:rPr>
        <w:t xml:space="preserve"> que </w:t>
      </w:r>
      <w:r w:rsidR="00694478" w:rsidRPr="00B56CF7">
        <w:rPr>
          <w:rFonts w:asciiTheme="majorHAnsi" w:eastAsia="Calibri" w:hAnsiTheme="majorHAnsi"/>
          <w:sz w:val="20"/>
          <w:szCs w:val="20"/>
          <w:lang w:val="es-VE"/>
        </w:rPr>
        <w:lastRenderedPageBreak/>
        <w:t>el j</w:t>
      </w:r>
      <w:r w:rsidR="00EB7C0C" w:rsidRPr="00B56CF7">
        <w:rPr>
          <w:rFonts w:asciiTheme="majorHAnsi" w:eastAsia="Calibri" w:hAnsiTheme="majorHAnsi"/>
          <w:sz w:val="20"/>
          <w:szCs w:val="20"/>
          <w:lang w:val="es-VE"/>
        </w:rPr>
        <w:t xml:space="preserve">uez incurrió en el delito de incumplimiento de los deberes de funcionario público porque tenía el deber de controlar la prueba, la labor de los fiscales de grado y la actuación de la policía. </w:t>
      </w:r>
    </w:p>
    <w:p w:rsidR="007022F9" w:rsidRPr="00B56CF7" w:rsidRDefault="007022F9" w:rsidP="007022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694478" w:rsidRPr="00B56CF7" w:rsidRDefault="00410A7A" w:rsidP="00D661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Agregó que mientras se</w:t>
      </w:r>
      <w:r w:rsidR="00694478" w:rsidRPr="00B56CF7">
        <w:rPr>
          <w:rFonts w:asciiTheme="majorHAnsi" w:eastAsia="Calibri" w:hAnsiTheme="majorHAnsi"/>
          <w:sz w:val="20"/>
          <w:szCs w:val="20"/>
          <w:lang w:val="es-VE"/>
        </w:rPr>
        <w:t xml:space="preserve"> encontraba privado de libertad</w:t>
      </w:r>
      <w:r w:rsidRPr="00B56CF7">
        <w:rPr>
          <w:rFonts w:asciiTheme="majorHAnsi" w:eastAsia="Calibri" w:hAnsiTheme="majorHAnsi"/>
          <w:sz w:val="20"/>
          <w:szCs w:val="20"/>
          <w:lang w:val="es-VE"/>
        </w:rPr>
        <w:t xml:space="preserve"> intentó en diversas ocasiones obtener el beneficio de excarcelación, </w:t>
      </w:r>
      <w:r w:rsidR="00694478" w:rsidRPr="00B56CF7">
        <w:rPr>
          <w:rFonts w:asciiTheme="majorHAnsi" w:eastAsia="Calibri" w:hAnsiTheme="majorHAnsi"/>
          <w:sz w:val="20"/>
          <w:szCs w:val="20"/>
          <w:lang w:val="es-VE"/>
        </w:rPr>
        <w:t xml:space="preserve">sin embargo le fue negado porque el artículo 10 de la ley 24.390 niega </w:t>
      </w:r>
      <w:r w:rsidR="00200B39">
        <w:rPr>
          <w:rFonts w:asciiTheme="majorHAnsi" w:eastAsia="Calibri" w:hAnsiTheme="majorHAnsi"/>
          <w:sz w:val="20"/>
          <w:szCs w:val="20"/>
          <w:lang w:val="es-VE"/>
        </w:rPr>
        <w:t>este beneficio a las</w:t>
      </w:r>
      <w:r w:rsidR="00694478" w:rsidRPr="00B56CF7">
        <w:rPr>
          <w:rFonts w:asciiTheme="majorHAnsi" w:eastAsia="Calibri" w:hAnsiTheme="majorHAnsi"/>
          <w:sz w:val="20"/>
          <w:szCs w:val="20"/>
          <w:lang w:val="es-VE"/>
        </w:rPr>
        <w:t xml:space="preserve"> personas acusadas de tenencia y tráfico de estu</w:t>
      </w:r>
      <w:r w:rsidR="000640B9" w:rsidRPr="00B56CF7">
        <w:rPr>
          <w:rFonts w:asciiTheme="majorHAnsi" w:eastAsia="Calibri" w:hAnsiTheme="majorHAnsi"/>
          <w:sz w:val="20"/>
          <w:szCs w:val="20"/>
          <w:lang w:val="es-VE"/>
        </w:rPr>
        <w:t xml:space="preserve">pefacientes, como era su caso. </w:t>
      </w:r>
      <w:r w:rsidR="00694478" w:rsidRPr="00B56CF7">
        <w:rPr>
          <w:rFonts w:asciiTheme="majorHAnsi" w:eastAsia="Calibri" w:hAnsiTheme="majorHAnsi"/>
          <w:sz w:val="20"/>
          <w:szCs w:val="20"/>
          <w:lang w:val="es-VE"/>
        </w:rPr>
        <w:t>Indicó que incluso atacó la constitucionalidad de la norma, sin embargo su acción</w:t>
      </w:r>
      <w:r w:rsidR="00985C45" w:rsidRPr="00B56CF7">
        <w:rPr>
          <w:rFonts w:asciiTheme="majorHAnsi" w:eastAsia="Calibri" w:hAnsiTheme="majorHAnsi"/>
          <w:sz w:val="20"/>
          <w:szCs w:val="20"/>
          <w:lang w:val="es-VE"/>
        </w:rPr>
        <w:t xml:space="preserve"> no tuvo éxito y</w:t>
      </w:r>
      <w:r w:rsidR="000640B9" w:rsidRPr="00B56CF7">
        <w:rPr>
          <w:rFonts w:asciiTheme="majorHAnsi" w:eastAsia="Calibri" w:hAnsiTheme="majorHAnsi"/>
          <w:sz w:val="20"/>
          <w:szCs w:val="20"/>
          <w:lang w:val="es-VE"/>
        </w:rPr>
        <w:t xml:space="preserve"> se confirmó la validez de dicha</w:t>
      </w:r>
      <w:r w:rsidR="00985C45" w:rsidRPr="00B56CF7">
        <w:rPr>
          <w:rFonts w:asciiTheme="majorHAnsi" w:eastAsia="Calibri" w:hAnsiTheme="majorHAnsi"/>
          <w:sz w:val="20"/>
          <w:szCs w:val="20"/>
          <w:lang w:val="es-VE"/>
        </w:rPr>
        <w:t xml:space="preserve"> disposición.</w:t>
      </w:r>
    </w:p>
    <w:p w:rsidR="00694478" w:rsidRPr="00B56CF7" w:rsidRDefault="00694478" w:rsidP="00694478">
      <w:pPr>
        <w:rPr>
          <w:rFonts w:asciiTheme="majorHAnsi" w:eastAsia="Calibri" w:hAnsiTheme="majorHAnsi"/>
          <w:sz w:val="20"/>
          <w:szCs w:val="20"/>
          <w:lang w:val="es-VE"/>
        </w:rPr>
      </w:pPr>
    </w:p>
    <w:p w:rsidR="00410A7A" w:rsidRPr="00B56CF7" w:rsidRDefault="00B630CF" w:rsidP="00410A7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Indicó que promovió un proceso contencioso administrativo con el fin de obtener una compensación por el tiempo que permaneció ilegítimamente privado de libertad</w:t>
      </w:r>
      <w:r w:rsidR="00F71E40" w:rsidRPr="00B56CF7">
        <w:rPr>
          <w:rFonts w:asciiTheme="majorHAnsi" w:eastAsia="Calibri" w:hAnsiTheme="majorHAnsi"/>
          <w:sz w:val="20"/>
          <w:szCs w:val="20"/>
          <w:lang w:val="es-VE"/>
        </w:rPr>
        <w:t xml:space="preserve">. Señaló que esta acción fue </w:t>
      </w:r>
      <w:r w:rsidR="00C2045A" w:rsidRPr="00B56CF7">
        <w:rPr>
          <w:rFonts w:asciiTheme="majorHAnsi" w:eastAsia="Calibri" w:hAnsiTheme="majorHAnsi"/>
          <w:sz w:val="20"/>
          <w:szCs w:val="20"/>
          <w:lang w:val="es-VE"/>
        </w:rPr>
        <w:t xml:space="preserve">declarada sin lugar por medio de decisiones </w:t>
      </w:r>
      <w:r w:rsidR="00156E26" w:rsidRPr="00B56CF7">
        <w:rPr>
          <w:rFonts w:asciiTheme="majorHAnsi" w:eastAsia="Calibri" w:hAnsiTheme="majorHAnsi"/>
          <w:sz w:val="20"/>
          <w:szCs w:val="20"/>
          <w:lang w:val="es-VE"/>
        </w:rPr>
        <w:t xml:space="preserve">que calificó de </w:t>
      </w:r>
      <w:r w:rsidR="00C2045A" w:rsidRPr="00B56CF7">
        <w:rPr>
          <w:rFonts w:asciiTheme="majorHAnsi" w:eastAsia="Calibri" w:hAnsiTheme="majorHAnsi"/>
          <w:sz w:val="20"/>
          <w:szCs w:val="20"/>
          <w:lang w:val="es-VE"/>
        </w:rPr>
        <w:t>arbitrarias.</w:t>
      </w:r>
    </w:p>
    <w:p w:rsidR="00017A0C" w:rsidRPr="00B56CF7" w:rsidRDefault="00017A0C" w:rsidP="00017A0C">
      <w:pPr>
        <w:pStyle w:val="ListParagraph"/>
        <w:rPr>
          <w:rFonts w:asciiTheme="majorHAnsi" w:eastAsia="Calibri" w:hAnsiTheme="majorHAnsi"/>
          <w:sz w:val="20"/>
          <w:szCs w:val="20"/>
          <w:lang w:val="es-VE"/>
        </w:rPr>
      </w:pPr>
    </w:p>
    <w:p w:rsidR="00C2045A" w:rsidRPr="00B56CF7" w:rsidRDefault="00C2045A" w:rsidP="00C204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Argumen</w:t>
      </w:r>
      <w:r w:rsidR="003E3EAA" w:rsidRPr="00B56CF7">
        <w:rPr>
          <w:rFonts w:asciiTheme="majorHAnsi" w:eastAsia="Calibri" w:hAnsiTheme="majorHAnsi"/>
          <w:sz w:val="20"/>
          <w:szCs w:val="20"/>
          <w:lang w:val="es-VE"/>
        </w:rPr>
        <w:t>tó que a raíz de su búsqueda de</w:t>
      </w:r>
      <w:r w:rsidRPr="00B56CF7">
        <w:rPr>
          <w:rFonts w:asciiTheme="majorHAnsi" w:eastAsia="Calibri" w:hAnsiTheme="majorHAnsi"/>
          <w:sz w:val="20"/>
          <w:szCs w:val="20"/>
          <w:lang w:val="es-VE"/>
        </w:rPr>
        <w:t xml:space="preserve"> justi</w:t>
      </w:r>
      <w:r w:rsidR="00F90433" w:rsidRPr="00B56CF7">
        <w:rPr>
          <w:rFonts w:asciiTheme="majorHAnsi" w:eastAsia="Calibri" w:hAnsiTheme="majorHAnsi"/>
          <w:sz w:val="20"/>
          <w:szCs w:val="20"/>
          <w:lang w:val="es-VE"/>
        </w:rPr>
        <w:t>cia</w:t>
      </w:r>
      <w:r w:rsidR="000640B9" w:rsidRPr="00B56CF7">
        <w:rPr>
          <w:rFonts w:asciiTheme="majorHAnsi" w:eastAsia="Calibri" w:hAnsiTheme="majorHAnsi"/>
          <w:sz w:val="20"/>
          <w:szCs w:val="20"/>
          <w:lang w:val="es-VE"/>
        </w:rPr>
        <w:t xml:space="preserve"> sufrió</w:t>
      </w:r>
      <w:r w:rsidR="00F90433" w:rsidRPr="00B56CF7">
        <w:rPr>
          <w:rFonts w:asciiTheme="majorHAnsi" w:eastAsia="Calibri" w:hAnsiTheme="majorHAnsi"/>
          <w:sz w:val="20"/>
          <w:szCs w:val="20"/>
          <w:lang w:val="es-VE"/>
        </w:rPr>
        <w:t xml:space="preserve"> amenazas y que</w:t>
      </w:r>
      <w:r w:rsidRPr="00B56CF7">
        <w:rPr>
          <w:rFonts w:asciiTheme="majorHAnsi" w:eastAsia="Calibri" w:hAnsiTheme="majorHAnsi"/>
          <w:sz w:val="20"/>
          <w:szCs w:val="20"/>
          <w:lang w:val="es-VE"/>
        </w:rPr>
        <w:t xml:space="preserve"> uno de los clientes de su despacho profesional fue amenazado en plena calle por dos personas que le indicaron que dejara de apoyar al “loquito de Jenkins” y le aconsejaron que no se metiera con la </w:t>
      </w:r>
      <w:r w:rsidR="00472DCC" w:rsidRPr="00B56CF7">
        <w:rPr>
          <w:rFonts w:asciiTheme="majorHAnsi" w:eastAsia="Calibri" w:hAnsiTheme="majorHAnsi"/>
          <w:sz w:val="20"/>
          <w:szCs w:val="20"/>
          <w:lang w:val="es-VE"/>
        </w:rPr>
        <w:t>“</w:t>
      </w:r>
      <w:r w:rsidRPr="00B56CF7">
        <w:rPr>
          <w:rFonts w:asciiTheme="majorHAnsi" w:eastAsia="Calibri" w:hAnsiTheme="majorHAnsi"/>
          <w:sz w:val="20"/>
          <w:szCs w:val="20"/>
          <w:lang w:val="es-VE"/>
        </w:rPr>
        <w:t>familia judicial</w:t>
      </w:r>
      <w:r w:rsidR="00472DCC" w:rsidRPr="00B56CF7">
        <w:rPr>
          <w:rFonts w:asciiTheme="majorHAnsi" w:eastAsia="Calibri" w:hAnsiTheme="majorHAnsi"/>
          <w:sz w:val="20"/>
          <w:szCs w:val="20"/>
          <w:lang w:val="es-VE"/>
        </w:rPr>
        <w:t>”</w:t>
      </w:r>
      <w:r w:rsidRPr="00B56CF7">
        <w:rPr>
          <w:rFonts w:asciiTheme="majorHAnsi" w:eastAsia="Calibri" w:hAnsiTheme="majorHAnsi"/>
          <w:sz w:val="20"/>
          <w:szCs w:val="20"/>
          <w:lang w:val="es-VE"/>
        </w:rPr>
        <w:t>. Indicó que esta situación nunca fue investigada.</w:t>
      </w:r>
    </w:p>
    <w:p w:rsidR="005E65A6" w:rsidRPr="00B56CF7" w:rsidRDefault="005E65A6" w:rsidP="005E65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7019A7" w:rsidRPr="00B56CF7" w:rsidRDefault="00424BA4" w:rsidP="004A70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En cuanto al derecho, </w:t>
      </w:r>
      <w:r w:rsidR="00FD0576" w:rsidRPr="00B56CF7">
        <w:rPr>
          <w:rFonts w:asciiTheme="majorHAnsi" w:eastAsia="Calibri" w:hAnsiTheme="majorHAnsi"/>
          <w:sz w:val="20"/>
          <w:szCs w:val="20"/>
          <w:lang w:val="es-VE"/>
        </w:rPr>
        <w:t>el peticionario argumentó</w:t>
      </w:r>
      <w:r w:rsidR="00667BC7" w:rsidRPr="00B56CF7">
        <w:rPr>
          <w:rFonts w:asciiTheme="majorHAnsi" w:eastAsia="Calibri" w:hAnsiTheme="majorHAnsi"/>
          <w:sz w:val="20"/>
          <w:szCs w:val="20"/>
          <w:lang w:val="es-VE"/>
        </w:rPr>
        <w:t xml:space="preserve"> </w:t>
      </w:r>
      <w:r w:rsidR="00315471" w:rsidRPr="00B56CF7">
        <w:rPr>
          <w:rFonts w:asciiTheme="majorHAnsi" w:eastAsia="Calibri" w:hAnsiTheme="majorHAnsi"/>
          <w:sz w:val="20"/>
          <w:szCs w:val="20"/>
          <w:lang w:val="es-VE"/>
        </w:rPr>
        <w:t>que</w:t>
      </w:r>
      <w:r w:rsidR="007019A7" w:rsidRPr="00B56CF7">
        <w:rPr>
          <w:rFonts w:asciiTheme="majorHAnsi" w:eastAsia="Calibri" w:hAnsiTheme="majorHAnsi"/>
          <w:sz w:val="20"/>
          <w:szCs w:val="20"/>
          <w:lang w:val="es-VE"/>
        </w:rPr>
        <w:t xml:space="preserve"> se violó el </w:t>
      </w:r>
      <w:r w:rsidR="007019A7" w:rsidRPr="00B56CF7">
        <w:rPr>
          <w:rFonts w:asciiTheme="majorHAnsi" w:eastAsia="Calibri" w:hAnsiTheme="majorHAnsi"/>
          <w:b/>
          <w:sz w:val="20"/>
          <w:szCs w:val="20"/>
          <w:lang w:val="es-VE"/>
        </w:rPr>
        <w:t>derecho a la libertad personal</w:t>
      </w:r>
      <w:r w:rsidR="002F7310" w:rsidRPr="00B56CF7">
        <w:rPr>
          <w:rFonts w:asciiTheme="majorHAnsi" w:eastAsia="Calibri" w:hAnsiTheme="majorHAnsi"/>
          <w:b/>
          <w:sz w:val="20"/>
          <w:szCs w:val="20"/>
          <w:lang w:val="es-VE"/>
        </w:rPr>
        <w:t xml:space="preserve"> y</w:t>
      </w:r>
      <w:r w:rsidR="00FA5737" w:rsidRPr="00B56CF7">
        <w:rPr>
          <w:rFonts w:asciiTheme="majorHAnsi" w:eastAsia="Calibri" w:hAnsiTheme="majorHAnsi"/>
          <w:b/>
          <w:sz w:val="20"/>
          <w:szCs w:val="20"/>
          <w:lang w:val="es-VE"/>
        </w:rPr>
        <w:t xml:space="preserve"> a las</w:t>
      </w:r>
      <w:r w:rsidR="002F7310" w:rsidRPr="00B56CF7">
        <w:rPr>
          <w:rFonts w:asciiTheme="majorHAnsi" w:eastAsia="Calibri" w:hAnsiTheme="majorHAnsi"/>
          <w:b/>
          <w:sz w:val="20"/>
          <w:szCs w:val="20"/>
          <w:lang w:val="es-VE"/>
        </w:rPr>
        <w:t xml:space="preserve"> garantías judiciales</w:t>
      </w:r>
      <w:r w:rsidR="007019A7" w:rsidRPr="00B56CF7">
        <w:rPr>
          <w:rFonts w:asciiTheme="majorHAnsi" w:eastAsia="Calibri" w:hAnsiTheme="majorHAnsi"/>
          <w:sz w:val="20"/>
          <w:szCs w:val="20"/>
          <w:lang w:val="es-VE"/>
        </w:rPr>
        <w:t xml:space="preserve"> </w:t>
      </w:r>
      <w:r w:rsidR="00925733" w:rsidRPr="00B56CF7">
        <w:rPr>
          <w:rFonts w:asciiTheme="majorHAnsi" w:eastAsia="Calibri" w:hAnsiTheme="majorHAnsi"/>
          <w:sz w:val="20"/>
          <w:szCs w:val="20"/>
          <w:lang w:val="es-VE"/>
        </w:rPr>
        <w:t>porque fue sometido a un proceso arbitrario donde se violó recurrentemente su derecho de defensa en juicio, negándose a proveer pruebas solicitadas por la defensa y negando la libertad sin con</w:t>
      </w:r>
      <w:r w:rsidR="001707AB" w:rsidRPr="00B56CF7">
        <w:rPr>
          <w:rFonts w:asciiTheme="majorHAnsi" w:eastAsia="Calibri" w:hAnsiTheme="majorHAnsi"/>
          <w:sz w:val="20"/>
          <w:szCs w:val="20"/>
          <w:lang w:val="es-VE"/>
        </w:rPr>
        <w:t>dicionarla a fines procesales. Agregó</w:t>
      </w:r>
      <w:r w:rsidR="00925733" w:rsidRPr="00B56CF7">
        <w:rPr>
          <w:rFonts w:asciiTheme="majorHAnsi" w:eastAsia="Calibri" w:hAnsiTheme="majorHAnsi"/>
          <w:sz w:val="20"/>
          <w:szCs w:val="20"/>
          <w:lang w:val="es-VE"/>
        </w:rPr>
        <w:t xml:space="preserve"> que </w:t>
      </w:r>
      <w:r w:rsidR="001707AB" w:rsidRPr="00B56CF7">
        <w:rPr>
          <w:rFonts w:asciiTheme="majorHAnsi" w:eastAsia="Calibri" w:hAnsiTheme="majorHAnsi"/>
          <w:sz w:val="20"/>
          <w:szCs w:val="20"/>
          <w:lang w:val="es-VE"/>
        </w:rPr>
        <w:t>su privación de libertad desde el 8 de junio de 1994 hasta el</w:t>
      </w:r>
      <w:r w:rsidR="00925733" w:rsidRPr="00B56CF7">
        <w:rPr>
          <w:rFonts w:asciiTheme="majorHAnsi" w:eastAsia="Calibri" w:hAnsiTheme="majorHAnsi"/>
          <w:sz w:val="20"/>
          <w:szCs w:val="20"/>
          <w:lang w:val="es-VE"/>
        </w:rPr>
        <w:t xml:space="preserve"> 19 de noviembre de 1997 </w:t>
      </w:r>
      <w:r w:rsidR="007150A7" w:rsidRPr="00B56CF7">
        <w:rPr>
          <w:rFonts w:asciiTheme="majorHAnsi" w:eastAsia="Calibri" w:hAnsiTheme="majorHAnsi"/>
          <w:sz w:val="20"/>
          <w:szCs w:val="20"/>
          <w:lang w:val="es-VE"/>
        </w:rPr>
        <w:t>es una viola</w:t>
      </w:r>
      <w:r w:rsidR="001707AB" w:rsidRPr="00B56CF7">
        <w:rPr>
          <w:rFonts w:asciiTheme="majorHAnsi" w:eastAsia="Calibri" w:hAnsiTheme="majorHAnsi"/>
          <w:sz w:val="20"/>
          <w:szCs w:val="20"/>
          <w:lang w:val="es-VE"/>
        </w:rPr>
        <w:t>ción de</w:t>
      </w:r>
      <w:r w:rsidR="007150A7" w:rsidRPr="00B56CF7">
        <w:rPr>
          <w:rFonts w:asciiTheme="majorHAnsi" w:eastAsia="Calibri" w:hAnsiTheme="majorHAnsi"/>
          <w:sz w:val="20"/>
          <w:szCs w:val="20"/>
          <w:lang w:val="es-VE"/>
        </w:rPr>
        <w:t xml:space="preserve">l plazo razonable de la detención. </w:t>
      </w:r>
    </w:p>
    <w:p w:rsidR="007150A7" w:rsidRPr="00B56CF7" w:rsidRDefault="007150A7" w:rsidP="000A103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847E88" w:rsidRPr="00B56CF7" w:rsidRDefault="00FD0576" w:rsidP="00847E8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Alegó</w:t>
      </w:r>
      <w:r w:rsidR="007150A7" w:rsidRPr="00B56CF7">
        <w:rPr>
          <w:rFonts w:asciiTheme="majorHAnsi" w:eastAsia="Calibri" w:hAnsiTheme="majorHAnsi"/>
          <w:sz w:val="20"/>
          <w:szCs w:val="20"/>
          <w:lang w:val="es-VE"/>
        </w:rPr>
        <w:t xml:space="preserve"> que el Estado </w:t>
      </w:r>
      <w:r w:rsidR="00FA5737" w:rsidRPr="00B56CF7">
        <w:rPr>
          <w:rFonts w:asciiTheme="majorHAnsi" w:eastAsia="Calibri" w:hAnsiTheme="majorHAnsi"/>
          <w:sz w:val="20"/>
          <w:szCs w:val="20"/>
          <w:lang w:val="es-VE"/>
        </w:rPr>
        <w:t xml:space="preserve">también </w:t>
      </w:r>
      <w:r w:rsidR="007150A7" w:rsidRPr="00B56CF7">
        <w:rPr>
          <w:rFonts w:asciiTheme="majorHAnsi" w:eastAsia="Calibri" w:hAnsiTheme="majorHAnsi"/>
          <w:sz w:val="20"/>
          <w:szCs w:val="20"/>
          <w:lang w:val="es-VE"/>
        </w:rPr>
        <w:t xml:space="preserve">violó </w:t>
      </w:r>
      <w:r w:rsidR="007150A7" w:rsidRPr="00B56CF7">
        <w:rPr>
          <w:rFonts w:asciiTheme="majorHAnsi" w:eastAsia="Calibri" w:hAnsiTheme="majorHAnsi"/>
          <w:b/>
          <w:sz w:val="20"/>
          <w:szCs w:val="20"/>
          <w:lang w:val="es-VE"/>
        </w:rPr>
        <w:t>el derecho a las garantías judiciales</w:t>
      </w:r>
      <w:r w:rsidR="007150A7" w:rsidRPr="00B56CF7">
        <w:rPr>
          <w:rFonts w:asciiTheme="majorHAnsi" w:eastAsia="Calibri" w:hAnsiTheme="majorHAnsi"/>
          <w:sz w:val="20"/>
          <w:szCs w:val="20"/>
          <w:lang w:val="es-VE"/>
        </w:rPr>
        <w:t xml:space="preserve"> y</w:t>
      </w:r>
      <w:r w:rsidR="005B0E0E" w:rsidRPr="00B56CF7">
        <w:rPr>
          <w:rFonts w:asciiTheme="majorHAnsi" w:eastAsia="Calibri" w:hAnsiTheme="majorHAnsi"/>
          <w:sz w:val="20"/>
          <w:szCs w:val="20"/>
          <w:lang w:val="es-VE"/>
        </w:rPr>
        <w:t>,</w:t>
      </w:r>
      <w:r w:rsidR="007150A7" w:rsidRPr="00B56CF7">
        <w:rPr>
          <w:rFonts w:asciiTheme="majorHAnsi" w:eastAsia="Calibri" w:hAnsiTheme="majorHAnsi"/>
          <w:sz w:val="20"/>
          <w:szCs w:val="20"/>
          <w:lang w:val="es-VE"/>
        </w:rPr>
        <w:t xml:space="preserve"> en particular</w:t>
      </w:r>
      <w:r w:rsidR="005B0E0E" w:rsidRPr="00B56CF7">
        <w:rPr>
          <w:rFonts w:asciiTheme="majorHAnsi" w:eastAsia="Calibri" w:hAnsiTheme="majorHAnsi"/>
          <w:sz w:val="20"/>
          <w:szCs w:val="20"/>
          <w:lang w:val="es-VE"/>
        </w:rPr>
        <w:t>,</w:t>
      </w:r>
      <w:r w:rsidR="007150A7" w:rsidRPr="00B56CF7">
        <w:rPr>
          <w:rFonts w:asciiTheme="majorHAnsi" w:eastAsia="Calibri" w:hAnsiTheme="majorHAnsi"/>
          <w:sz w:val="20"/>
          <w:szCs w:val="20"/>
          <w:lang w:val="es-VE"/>
        </w:rPr>
        <w:t xml:space="preserve"> </w:t>
      </w:r>
      <w:r w:rsidR="007150A7" w:rsidRPr="00B56CF7">
        <w:rPr>
          <w:rFonts w:asciiTheme="majorHAnsi" w:eastAsia="Calibri" w:hAnsiTheme="majorHAnsi"/>
          <w:b/>
          <w:sz w:val="20"/>
          <w:szCs w:val="20"/>
          <w:lang w:val="es-VE"/>
        </w:rPr>
        <w:t>el principio de presunción de inocencia</w:t>
      </w:r>
      <w:r w:rsidR="007150A7" w:rsidRPr="00B56CF7">
        <w:rPr>
          <w:rFonts w:asciiTheme="majorHAnsi" w:eastAsia="Calibri" w:hAnsiTheme="majorHAnsi"/>
          <w:sz w:val="20"/>
          <w:szCs w:val="20"/>
          <w:lang w:val="es-VE"/>
        </w:rPr>
        <w:t xml:space="preserve"> contenido en el artículo 8.2 de la Convención Americana pues al utilizar la prisión preventiva sin fines procesal</w:t>
      </w:r>
      <w:r w:rsidR="0096763A" w:rsidRPr="00B56CF7">
        <w:rPr>
          <w:rFonts w:asciiTheme="majorHAnsi" w:eastAsia="Calibri" w:hAnsiTheme="majorHAnsi"/>
          <w:sz w:val="20"/>
          <w:szCs w:val="20"/>
          <w:lang w:val="es-VE"/>
        </w:rPr>
        <w:t>es</w:t>
      </w:r>
      <w:r w:rsidR="007150A7" w:rsidRPr="00B56CF7">
        <w:rPr>
          <w:rFonts w:asciiTheme="majorHAnsi" w:eastAsia="Calibri" w:hAnsiTheme="majorHAnsi"/>
          <w:sz w:val="20"/>
          <w:szCs w:val="20"/>
          <w:lang w:val="es-VE"/>
        </w:rPr>
        <w:t xml:space="preserve"> el Estado </w:t>
      </w:r>
      <w:r w:rsidR="005B0E0E" w:rsidRPr="00B56CF7">
        <w:rPr>
          <w:rFonts w:asciiTheme="majorHAnsi" w:eastAsia="Calibri" w:hAnsiTheme="majorHAnsi"/>
          <w:sz w:val="20"/>
          <w:szCs w:val="20"/>
          <w:lang w:val="es-VE"/>
        </w:rPr>
        <w:t>a</w:t>
      </w:r>
      <w:r w:rsidR="007150A7" w:rsidRPr="00B56CF7">
        <w:rPr>
          <w:rFonts w:asciiTheme="majorHAnsi" w:eastAsia="Calibri" w:hAnsiTheme="majorHAnsi"/>
          <w:sz w:val="20"/>
          <w:szCs w:val="20"/>
          <w:lang w:val="es-VE"/>
        </w:rPr>
        <w:t>rgentino transformó dicha medida en un</w:t>
      </w:r>
      <w:r w:rsidR="005B0E0E" w:rsidRPr="00B56CF7">
        <w:rPr>
          <w:rFonts w:asciiTheme="majorHAnsi" w:eastAsia="Calibri" w:hAnsiTheme="majorHAnsi"/>
          <w:sz w:val="20"/>
          <w:szCs w:val="20"/>
          <w:lang w:val="es-VE"/>
        </w:rPr>
        <w:t xml:space="preserve"> mecanismo</w:t>
      </w:r>
      <w:r w:rsidR="007150A7" w:rsidRPr="00B56CF7">
        <w:rPr>
          <w:rFonts w:asciiTheme="majorHAnsi" w:eastAsia="Calibri" w:hAnsiTheme="majorHAnsi"/>
          <w:sz w:val="20"/>
          <w:szCs w:val="20"/>
          <w:lang w:val="es-VE"/>
        </w:rPr>
        <w:t xml:space="preserve"> punitiv</w:t>
      </w:r>
      <w:r w:rsidR="005B0E0E" w:rsidRPr="00B56CF7">
        <w:rPr>
          <w:rFonts w:asciiTheme="majorHAnsi" w:eastAsia="Calibri" w:hAnsiTheme="majorHAnsi"/>
          <w:sz w:val="20"/>
          <w:szCs w:val="20"/>
          <w:lang w:val="es-VE"/>
        </w:rPr>
        <w:t>o</w:t>
      </w:r>
      <w:r w:rsidR="007150A7" w:rsidRPr="00B56CF7">
        <w:rPr>
          <w:rFonts w:asciiTheme="majorHAnsi" w:eastAsia="Calibri" w:hAnsiTheme="majorHAnsi"/>
          <w:sz w:val="20"/>
          <w:szCs w:val="20"/>
          <w:lang w:val="es-VE"/>
        </w:rPr>
        <w:t xml:space="preserve"> contra una persona cuya responsabilidad no había sido establecida y que lueg</w:t>
      </w:r>
      <w:r w:rsidR="0096763A" w:rsidRPr="00B56CF7">
        <w:rPr>
          <w:rFonts w:asciiTheme="majorHAnsi" w:eastAsia="Calibri" w:hAnsiTheme="majorHAnsi"/>
          <w:sz w:val="20"/>
          <w:szCs w:val="20"/>
          <w:lang w:val="es-VE"/>
        </w:rPr>
        <w:t>o fue declarada inocente.</w:t>
      </w:r>
      <w:r w:rsidR="0072111C" w:rsidRPr="00B56CF7">
        <w:rPr>
          <w:rFonts w:asciiTheme="majorHAnsi" w:eastAsia="Calibri" w:hAnsiTheme="majorHAnsi"/>
          <w:sz w:val="20"/>
          <w:szCs w:val="20"/>
          <w:lang w:val="es-VE"/>
        </w:rPr>
        <w:t xml:space="preserve"> </w:t>
      </w:r>
    </w:p>
    <w:p w:rsidR="009D5770" w:rsidRPr="00B56CF7" w:rsidRDefault="009D5770" w:rsidP="009D5770">
      <w:pPr>
        <w:pStyle w:val="ListParagraph"/>
        <w:rPr>
          <w:rFonts w:asciiTheme="majorHAnsi" w:eastAsia="Calibri" w:hAnsiTheme="majorHAnsi"/>
          <w:sz w:val="20"/>
          <w:szCs w:val="20"/>
          <w:lang w:val="es-VE"/>
        </w:rPr>
      </w:pPr>
    </w:p>
    <w:p w:rsidR="00847E88" w:rsidRPr="00B56CF7" w:rsidRDefault="00847E88" w:rsidP="00847E8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Agregó que el Estado incumplió con su deber de debida diligencia por la falta de investigación y sanción de todos los funcionarios involucrados en la incorporación de pruebas adulteradas en el proceso penal en su contra. Al respecto, señaló l</w:t>
      </w:r>
      <w:r w:rsidR="00C20CA9" w:rsidRPr="00B56CF7">
        <w:rPr>
          <w:rFonts w:asciiTheme="majorHAnsi" w:eastAsia="Calibri" w:hAnsiTheme="majorHAnsi"/>
          <w:sz w:val="20"/>
          <w:szCs w:val="20"/>
          <w:lang w:val="es-VE"/>
        </w:rPr>
        <w:t>os</w:t>
      </w:r>
      <w:r w:rsidRPr="00B56CF7">
        <w:rPr>
          <w:rFonts w:asciiTheme="majorHAnsi" w:eastAsia="Calibri" w:hAnsiTheme="majorHAnsi"/>
          <w:sz w:val="20"/>
          <w:szCs w:val="20"/>
          <w:lang w:val="es-VE"/>
        </w:rPr>
        <w:t xml:space="preserve"> siguientes</w:t>
      </w:r>
      <w:r w:rsidR="00C20CA9" w:rsidRPr="00B56CF7">
        <w:rPr>
          <w:rFonts w:asciiTheme="majorHAnsi" w:eastAsia="Calibri" w:hAnsiTheme="majorHAnsi"/>
          <w:sz w:val="20"/>
          <w:szCs w:val="20"/>
          <w:lang w:val="es-VE"/>
        </w:rPr>
        <w:t xml:space="preserve"> aspectos que calificó como </w:t>
      </w:r>
      <w:r w:rsidR="00150511" w:rsidRPr="00B56CF7">
        <w:rPr>
          <w:rFonts w:asciiTheme="majorHAnsi" w:eastAsia="Calibri" w:hAnsiTheme="majorHAnsi"/>
          <w:sz w:val="20"/>
          <w:szCs w:val="20"/>
          <w:lang w:val="es-VE"/>
        </w:rPr>
        <w:t>“</w:t>
      </w:r>
      <w:r w:rsidRPr="00B56CF7">
        <w:rPr>
          <w:rFonts w:asciiTheme="majorHAnsi" w:eastAsia="Calibri" w:hAnsiTheme="majorHAnsi"/>
          <w:sz w:val="20"/>
          <w:szCs w:val="20"/>
          <w:lang w:val="es-VE"/>
        </w:rPr>
        <w:t>anomalías</w:t>
      </w:r>
      <w:r w:rsidR="00150511" w:rsidRPr="00B56CF7">
        <w:rPr>
          <w:rFonts w:asciiTheme="majorHAnsi" w:eastAsia="Calibri" w:hAnsiTheme="majorHAnsi"/>
          <w:sz w:val="20"/>
          <w:szCs w:val="20"/>
          <w:lang w:val="es-VE"/>
        </w:rPr>
        <w:t>”</w:t>
      </w:r>
      <w:r w:rsidR="00200B39">
        <w:rPr>
          <w:rFonts w:asciiTheme="majorHAnsi" w:eastAsia="Calibri" w:hAnsiTheme="majorHAnsi"/>
          <w:sz w:val="20"/>
          <w:szCs w:val="20"/>
          <w:lang w:val="es-VE"/>
        </w:rPr>
        <w:t xml:space="preserve"> del proceso</w:t>
      </w:r>
      <w:r w:rsidRPr="00B56CF7">
        <w:rPr>
          <w:rFonts w:asciiTheme="majorHAnsi" w:eastAsia="Calibri" w:hAnsiTheme="majorHAnsi"/>
          <w:sz w:val="20"/>
          <w:szCs w:val="20"/>
          <w:lang w:val="es-VE"/>
        </w:rPr>
        <w:t>: i) el principal Salomone de la Policía Federal, quien transcribió el acta pública de fs. 1099</w:t>
      </w:r>
      <w:r w:rsidR="00697A5E" w:rsidRPr="00B56CF7">
        <w:rPr>
          <w:rFonts w:asciiTheme="majorHAnsi" w:eastAsia="Calibri" w:hAnsiTheme="majorHAnsi"/>
          <w:sz w:val="20"/>
          <w:szCs w:val="20"/>
          <w:lang w:val="es-VE"/>
        </w:rPr>
        <w:t>,</w:t>
      </w:r>
      <w:r w:rsidRPr="00B56CF7">
        <w:rPr>
          <w:rFonts w:asciiTheme="majorHAnsi" w:eastAsia="Calibri" w:hAnsiTheme="majorHAnsi"/>
          <w:sz w:val="20"/>
          <w:szCs w:val="20"/>
          <w:lang w:val="es-VE"/>
        </w:rPr>
        <w:t xml:space="preserve"> afirmó que existe una conversación de su persona con el principal imputado</w:t>
      </w:r>
      <w:r w:rsidR="00200B39">
        <w:rPr>
          <w:rFonts w:asciiTheme="majorHAnsi" w:eastAsia="Calibri" w:hAnsiTheme="majorHAnsi"/>
          <w:sz w:val="20"/>
          <w:szCs w:val="20"/>
          <w:lang w:val="es-VE"/>
        </w:rPr>
        <w:t>,</w:t>
      </w:r>
      <w:r w:rsidRPr="00B56CF7">
        <w:rPr>
          <w:rFonts w:asciiTheme="majorHAnsi" w:eastAsia="Calibri" w:hAnsiTheme="majorHAnsi"/>
          <w:sz w:val="20"/>
          <w:szCs w:val="20"/>
          <w:lang w:val="es-VE"/>
        </w:rPr>
        <w:t xml:space="preserve"> que corrobora su participación en operaciones de narcotráfico; ii) el Comisario Jorge Palacios que también firma el acta de fs. 1099 corroboró lo que afirmó el principal Salomone; iii)</w:t>
      </w:r>
      <w:r w:rsidR="00150511" w:rsidRPr="00B56CF7">
        <w:rPr>
          <w:rFonts w:asciiTheme="majorHAnsi" w:eastAsia="Calibri" w:hAnsiTheme="majorHAnsi"/>
          <w:sz w:val="20"/>
          <w:szCs w:val="20"/>
          <w:lang w:val="es-VE"/>
        </w:rPr>
        <w:t xml:space="preserve"> </w:t>
      </w:r>
      <w:r w:rsidRPr="00B56CF7">
        <w:rPr>
          <w:rFonts w:asciiTheme="majorHAnsi" w:eastAsia="Calibri" w:hAnsiTheme="majorHAnsi"/>
          <w:sz w:val="20"/>
          <w:szCs w:val="20"/>
          <w:lang w:val="es-VE"/>
        </w:rPr>
        <w:t xml:space="preserve">los fiscales </w:t>
      </w:r>
      <w:proofErr w:type="spellStart"/>
      <w:r w:rsidRPr="00B56CF7">
        <w:rPr>
          <w:rFonts w:asciiTheme="majorHAnsi" w:eastAsia="Calibri" w:hAnsiTheme="majorHAnsi"/>
          <w:sz w:val="20"/>
          <w:szCs w:val="20"/>
          <w:lang w:val="es-VE"/>
        </w:rPr>
        <w:t>Eamon</w:t>
      </w:r>
      <w:proofErr w:type="spellEnd"/>
      <w:r w:rsidRPr="00B56CF7">
        <w:rPr>
          <w:rFonts w:asciiTheme="majorHAnsi" w:eastAsia="Calibri" w:hAnsiTheme="majorHAnsi"/>
          <w:sz w:val="20"/>
          <w:szCs w:val="20"/>
          <w:lang w:val="es-VE"/>
        </w:rPr>
        <w:t xml:space="preserve"> Mullen y José </w:t>
      </w:r>
      <w:proofErr w:type="spellStart"/>
      <w:r w:rsidRPr="00B56CF7">
        <w:rPr>
          <w:rFonts w:asciiTheme="majorHAnsi" w:eastAsia="Calibri" w:hAnsiTheme="majorHAnsi"/>
          <w:sz w:val="20"/>
          <w:szCs w:val="20"/>
          <w:lang w:val="es-VE"/>
        </w:rPr>
        <w:t>Barbaccia</w:t>
      </w:r>
      <w:proofErr w:type="spellEnd"/>
      <w:r w:rsidRPr="00B56CF7">
        <w:rPr>
          <w:rFonts w:asciiTheme="majorHAnsi" w:eastAsia="Calibri" w:hAnsiTheme="majorHAnsi"/>
          <w:sz w:val="20"/>
          <w:szCs w:val="20"/>
          <w:lang w:val="es-VE"/>
        </w:rPr>
        <w:t xml:space="preserve"> utilizaron esta prueba falsa para negar su excarcelación y solicitar su elevación a juicio; iv) el Juez de Instrucción Juan José Galeano avaló toda esta situación.</w:t>
      </w:r>
    </w:p>
    <w:p w:rsidR="00847E88" w:rsidRPr="00B56CF7" w:rsidRDefault="00847E88" w:rsidP="00847E88">
      <w:pPr>
        <w:rPr>
          <w:rFonts w:asciiTheme="majorHAnsi" w:eastAsia="Calibri" w:hAnsiTheme="majorHAnsi"/>
          <w:sz w:val="20"/>
          <w:szCs w:val="20"/>
          <w:lang w:val="es-VE"/>
        </w:rPr>
      </w:pPr>
    </w:p>
    <w:p w:rsidR="009D5770" w:rsidRPr="00B56CF7" w:rsidRDefault="009D5770" w:rsidP="000A103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Argumentó </w:t>
      </w:r>
      <w:r w:rsidR="004A70F3" w:rsidRPr="00B56CF7">
        <w:rPr>
          <w:rFonts w:asciiTheme="majorHAnsi" w:eastAsia="Calibri" w:hAnsiTheme="majorHAnsi"/>
          <w:sz w:val="20"/>
          <w:szCs w:val="20"/>
          <w:lang w:val="es-VE"/>
        </w:rPr>
        <w:t xml:space="preserve">que el Estado violó su </w:t>
      </w:r>
      <w:r w:rsidR="004A70F3" w:rsidRPr="00B56CF7">
        <w:rPr>
          <w:rFonts w:asciiTheme="majorHAnsi" w:eastAsia="Calibri" w:hAnsiTheme="majorHAnsi"/>
          <w:b/>
          <w:sz w:val="20"/>
          <w:szCs w:val="20"/>
          <w:lang w:val="es-VE"/>
        </w:rPr>
        <w:t>derecho de igualdad ante la ley</w:t>
      </w:r>
      <w:r w:rsidR="00945A2C" w:rsidRPr="00B56CF7">
        <w:rPr>
          <w:rFonts w:asciiTheme="majorHAnsi" w:eastAsia="Calibri" w:hAnsiTheme="majorHAnsi"/>
          <w:sz w:val="20"/>
          <w:szCs w:val="20"/>
          <w:lang w:val="es-VE"/>
        </w:rPr>
        <w:t xml:space="preserve"> porque el artículo 10 de la ley 24.390 niega el beneficio de excarcelación previsto en el artículo 1 de la misma ley a las pe</w:t>
      </w:r>
      <w:r w:rsidR="005E730B">
        <w:rPr>
          <w:rFonts w:asciiTheme="majorHAnsi" w:eastAsia="Calibri" w:hAnsiTheme="majorHAnsi"/>
          <w:sz w:val="20"/>
          <w:szCs w:val="20"/>
          <w:lang w:val="es-VE"/>
        </w:rPr>
        <w:t xml:space="preserve">rsonas acusadas de narcotráfico. Indicó que este artículo le impidió acceder a salvaguardas que aplican a otras personas. </w:t>
      </w:r>
    </w:p>
    <w:p w:rsidR="009D5770" w:rsidRPr="00B56CF7" w:rsidRDefault="009D5770" w:rsidP="009D5770">
      <w:pPr>
        <w:pStyle w:val="ListParagraph"/>
        <w:rPr>
          <w:rFonts w:asciiTheme="majorHAnsi" w:eastAsia="Calibri" w:hAnsiTheme="majorHAnsi"/>
          <w:sz w:val="20"/>
          <w:szCs w:val="20"/>
          <w:lang w:val="es-VE"/>
        </w:rPr>
      </w:pPr>
    </w:p>
    <w:p w:rsidR="00925733" w:rsidRPr="00B56CF7" w:rsidRDefault="0072111C" w:rsidP="000A103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A</w:t>
      </w:r>
      <w:r w:rsidR="00FD0576" w:rsidRPr="00B56CF7">
        <w:rPr>
          <w:rFonts w:asciiTheme="majorHAnsi" w:eastAsia="Calibri" w:hAnsiTheme="majorHAnsi"/>
          <w:sz w:val="20"/>
          <w:szCs w:val="20"/>
          <w:lang w:val="es-VE"/>
        </w:rPr>
        <w:t>gregó</w:t>
      </w:r>
      <w:r w:rsidRPr="00B56CF7">
        <w:rPr>
          <w:rFonts w:asciiTheme="majorHAnsi" w:eastAsia="Calibri" w:hAnsiTheme="majorHAnsi"/>
          <w:sz w:val="20"/>
          <w:szCs w:val="20"/>
          <w:lang w:val="es-VE"/>
        </w:rPr>
        <w:t xml:space="preserve"> que también se violó el </w:t>
      </w:r>
      <w:r w:rsidRPr="00B56CF7">
        <w:rPr>
          <w:rFonts w:asciiTheme="majorHAnsi" w:eastAsia="Calibri" w:hAnsiTheme="majorHAnsi"/>
          <w:b/>
          <w:sz w:val="20"/>
          <w:szCs w:val="20"/>
          <w:lang w:val="es-VE"/>
        </w:rPr>
        <w:t>derecho a la protección judicial</w:t>
      </w:r>
      <w:r w:rsidRPr="00B56CF7">
        <w:rPr>
          <w:rFonts w:asciiTheme="majorHAnsi" w:eastAsia="Calibri" w:hAnsiTheme="majorHAnsi"/>
          <w:sz w:val="20"/>
          <w:szCs w:val="20"/>
          <w:lang w:val="es-VE"/>
        </w:rPr>
        <w:t xml:space="preserve"> contenido en el artículo 25 de la Convención Americana porque </w:t>
      </w:r>
      <w:r w:rsidR="00C12104" w:rsidRPr="00B56CF7">
        <w:rPr>
          <w:rFonts w:asciiTheme="majorHAnsi" w:eastAsia="Calibri" w:hAnsiTheme="majorHAnsi"/>
          <w:sz w:val="20"/>
          <w:szCs w:val="20"/>
          <w:lang w:val="es-VE"/>
        </w:rPr>
        <w:t>el peticionario no contó con un recurso efectivo para ampararse contra actos que violen sus derechos fundamentales. En particular, su solicitud de beneficio de excarcelación y recurso de inconstitucionalidad fueron declarados sin lugar. Además,</w:t>
      </w:r>
      <w:r w:rsidR="00FD0576" w:rsidRPr="00B56CF7">
        <w:rPr>
          <w:rFonts w:asciiTheme="majorHAnsi" w:eastAsia="Calibri" w:hAnsiTheme="majorHAnsi"/>
          <w:sz w:val="20"/>
          <w:szCs w:val="20"/>
          <w:lang w:val="es-VE"/>
        </w:rPr>
        <w:t xml:space="preserve"> indicó</w:t>
      </w:r>
      <w:r w:rsidR="00C12104" w:rsidRPr="00B56CF7">
        <w:rPr>
          <w:rFonts w:asciiTheme="majorHAnsi" w:eastAsia="Calibri" w:hAnsiTheme="majorHAnsi"/>
          <w:sz w:val="20"/>
          <w:szCs w:val="20"/>
          <w:lang w:val="es-VE"/>
        </w:rPr>
        <w:t xml:space="preserve"> que presentó otra solicitud para ejercer la defensa del debate del juicio sin estar privado de libertad, sin embargo el Tribunal Oral</w:t>
      </w:r>
      <w:r w:rsidR="000640B9" w:rsidRPr="00B56CF7">
        <w:rPr>
          <w:rFonts w:asciiTheme="majorHAnsi" w:eastAsia="Calibri" w:hAnsiTheme="majorHAnsi"/>
          <w:sz w:val="20"/>
          <w:szCs w:val="20"/>
          <w:lang w:val="es-VE"/>
        </w:rPr>
        <w:t xml:space="preserve"> nunca resolvió dicho recurso. </w:t>
      </w:r>
    </w:p>
    <w:p w:rsidR="00F94F45" w:rsidRPr="00B56CF7" w:rsidRDefault="00F94F45" w:rsidP="00BB336D">
      <w:pPr>
        <w:rPr>
          <w:rFonts w:asciiTheme="majorHAnsi" w:eastAsia="Calibri" w:hAnsiTheme="majorHAnsi"/>
          <w:sz w:val="20"/>
          <w:szCs w:val="20"/>
          <w:lang w:val="es-VE"/>
        </w:rPr>
      </w:pPr>
    </w:p>
    <w:p w:rsidR="0035634C" w:rsidRDefault="00F94F45" w:rsidP="0035634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Indicó</w:t>
      </w:r>
      <w:r w:rsidR="00FC721A" w:rsidRPr="00B56CF7">
        <w:rPr>
          <w:rFonts w:asciiTheme="majorHAnsi" w:eastAsia="Calibri" w:hAnsiTheme="majorHAnsi"/>
          <w:sz w:val="20"/>
          <w:szCs w:val="20"/>
          <w:lang w:val="es-VE"/>
        </w:rPr>
        <w:t xml:space="preserve"> que el 25 de septiembre de 1997 se agotaron sin éxito los recursos disponibles para lograr el beneficio de excarcelación previsto </w:t>
      </w:r>
      <w:r w:rsidR="00794BE2" w:rsidRPr="00B56CF7">
        <w:rPr>
          <w:rFonts w:asciiTheme="majorHAnsi" w:eastAsia="Calibri" w:hAnsiTheme="majorHAnsi"/>
          <w:sz w:val="20"/>
          <w:szCs w:val="20"/>
          <w:lang w:val="es-VE"/>
        </w:rPr>
        <w:t>en</w:t>
      </w:r>
      <w:r w:rsidR="00FC721A" w:rsidRPr="00B56CF7">
        <w:rPr>
          <w:rFonts w:asciiTheme="majorHAnsi" w:eastAsia="Calibri" w:hAnsiTheme="majorHAnsi"/>
          <w:sz w:val="20"/>
          <w:szCs w:val="20"/>
          <w:lang w:val="es-VE"/>
        </w:rPr>
        <w:t xml:space="preserve"> el artículo 1 de la ley 24.390 y la declaratoria de inconstitucionalidad del artículo 10 de dicha norma. </w:t>
      </w:r>
    </w:p>
    <w:p w:rsidR="00A47809" w:rsidRDefault="00A47809" w:rsidP="00A47809">
      <w:pPr>
        <w:pStyle w:val="ListParagraph"/>
        <w:rPr>
          <w:rFonts w:asciiTheme="majorHAnsi" w:eastAsia="Calibri" w:hAnsiTheme="majorHAnsi"/>
          <w:sz w:val="20"/>
          <w:szCs w:val="20"/>
          <w:lang w:val="es-VE"/>
        </w:rPr>
      </w:pPr>
    </w:p>
    <w:p w:rsidR="00A47809" w:rsidRPr="00B56CF7" w:rsidRDefault="00A47809" w:rsidP="0035634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Finalmente, a lo largo del trámite el peticionario ha venido haciendo referencia al impacto de las violaciones alegadas en su vida personal, familiar y profesional. </w:t>
      </w:r>
    </w:p>
    <w:p w:rsidR="006D6521" w:rsidRPr="00B56CF7" w:rsidRDefault="006D6521" w:rsidP="006D65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E40449" w:rsidRPr="00B56CF7" w:rsidRDefault="00E40449" w:rsidP="005E081B">
      <w:pPr>
        <w:pStyle w:val="Heading2"/>
        <w:numPr>
          <w:ilvl w:val="0"/>
          <w:numId w:val="59"/>
        </w:numPr>
      </w:pPr>
      <w:bookmarkStart w:id="28" w:name="_Toc370840747"/>
      <w:bookmarkStart w:id="29" w:name="_Toc370840843"/>
      <w:bookmarkStart w:id="30" w:name="_Toc423514409"/>
      <w:bookmarkStart w:id="31" w:name="_Toc433115985"/>
      <w:bookmarkStart w:id="32" w:name="_Toc444958128"/>
      <w:bookmarkStart w:id="33" w:name="_Toc467577909"/>
      <w:bookmarkStart w:id="34" w:name="_Toc469409080"/>
      <w:r w:rsidRPr="00B56CF7">
        <w:t>Posición del Estado</w:t>
      </w:r>
      <w:bookmarkEnd w:id="28"/>
      <w:bookmarkEnd w:id="29"/>
      <w:bookmarkEnd w:id="30"/>
      <w:bookmarkEnd w:id="31"/>
      <w:bookmarkEnd w:id="32"/>
      <w:bookmarkEnd w:id="33"/>
      <w:bookmarkEnd w:id="34"/>
    </w:p>
    <w:p w:rsidR="0044096C" w:rsidRPr="00B56CF7" w:rsidRDefault="0044096C" w:rsidP="00BE253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44096C" w:rsidRPr="00B56CF7" w:rsidRDefault="0044096C" w:rsidP="00AB119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En cuanto a los hechos del caso</w:t>
      </w:r>
      <w:r w:rsidR="00DB22F3" w:rsidRPr="00B56CF7">
        <w:rPr>
          <w:rFonts w:asciiTheme="majorHAnsi" w:eastAsia="Calibri" w:hAnsiTheme="majorHAnsi"/>
          <w:sz w:val="20"/>
          <w:szCs w:val="20"/>
          <w:lang w:val="es-VE"/>
        </w:rPr>
        <w:t>, el Estado</w:t>
      </w:r>
      <w:r w:rsidRPr="00B56CF7">
        <w:rPr>
          <w:rFonts w:asciiTheme="majorHAnsi" w:eastAsia="Calibri" w:hAnsiTheme="majorHAnsi"/>
          <w:sz w:val="20"/>
          <w:szCs w:val="20"/>
          <w:lang w:val="es-VE"/>
        </w:rPr>
        <w:t xml:space="preserve"> manifestó que en junio de 1994 se produjo un allanamiento en la ciudad de Mar del Plata en virtud de </w:t>
      </w:r>
      <w:r w:rsidR="00847E88" w:rsidRPr="00B56CF7">
        <w:rPr>
          <w:rFonts w:asciiTheme="majorHAnsi" w:eastAsia="Calibri" w:hAnsiTheme="majorHAnsi"/>
          <w:sz w:val="20"/>
          <w:szCs w:val="20"/>
          <w:lang w:val="es-VE"/>
        </w:rPr>
        <w:t xml:space="preserve">la </w:t>
      </w:r>
      <w:r w:rsidRPr="00B56CF7">
        <w:rPr>
          <w:rFonts w:asciiTheme="majorHAnsi" w:eastAsia="Calibri" w:hAnsiTheme="majorHAnsi"/>
          <w:sz w:val="20"/>
          <w:szCs w:val="20"/>
          <w:lang w:val="es-VE"/>
        </w:rPr>
        <w:t>orden dictada por el Juez Federal No. 9, Juan José Galeano, el cual resultó en la detención de</w:t>
      </w:r>
      <w:r w:rsidR="00847E88" w:rsidRPr="00B56CF7">
        <w:rPr>
          <w:rFonts w:asciiTheme="majorHAnsi" w:eastAsia="Calibri" w:hAnsiTheme="majorHAnsi"/>
          <w:sz w:val="20"/>
          <w:szCs w:val="20"/>
          <w:lang w:val="es-VE"/>
        </w:rPr>
        <w:t xml:space="preserve"> Gabriel Oscar Jenkins,</w:t>
      </w:r>
      <w:r w:rsidRPr="00B56CF7">
        <w:rPr>
          <w:rFonts w:asciiTheme="majorHAnsi" w:eastAsia="Calibri" w:hAnsiTheme="majorHAnsi"/>
          <w:sz w:val="20"/>
          <w:szCs w:val="20"/>
          <w:lang w:val="es-VE"/>
        </w:rPr>
        <w:t xml:space="preserve"> en el marco de la causa “Padilla Echeverry y otros” seguida por el Tribunal Oral en lo Criminal Federal No. 6. </w:t>
      </w:r>
    </w:p>
    <w:p w:rsidR="0044096C" w:rsidRPr="00B56CF7" w:rsidRDefault="0044096C" w:rsidP="00F94442">
      <w:pPr>
        <w:rPr>
          <w:rFonts w:asciiTheme="majorHAnsi" w:eastAsia="Calibri" w:hAnsiTheme="majorHAnsi"/>
          <w:sz w:val="20"/>
          <w:szCs w:val="20"/>
          <w:lang w:val="es-VE"/>
        </w:rPr>
      </w:pPr>
    </w:p>
    <w:p w:rsidR="00F94442" w:rsidRPr="00B56CF7" w:rsidRDefault="00F62C58" w:rsidP="00F9444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Indicó que d</w:t>
      </w:r>
      <w:r w:rsidR="0044096C" w:rsidRPr="00B56CF7">
        <w:rPr>
          <w:rFonts w:asciiTheme="majorHAnsi" w:eastAsia="Calibri" w:hAnsiTheme="majorHAnsi"/>
          <w:sz w:val="20"/>
          <w:szCs w:val="20"/>
          <w:lang w:val="es-VE"/>
        </w:rPr>
        <w:t xml:space="preserve">urante su detención el peticionario solicitó acogerse al beneficio de excarcelación establecido en </w:t>
      </w:r>
      <w:r w:rsidR="00291690" w:rsidRPr="00B56CF7">
        <w:rPr>
          <w:rFonts w:asciiTheme="majorHAnsi" w:eastAsia="Calibri" w:hAnsiTheme="majorHAnsi"/>
          <w:sz w:val="20"/>
          <w:szCs w:val="20"/>
          <w:lang w:val="es-VE"/>
        </w:rPr>
        <w:t>el artículo 1 de la ley 24.390</w:t>
      </w:r>
      <w:r w:rsidR="003F4E60" w:rsidRPr="00B56CF7">
        <w:rPr>
          <w:rFonts w:asciiTheme="majorHAnsi" w:eastAsia="Calibri" w:hAnsiTheme="majorHAnsi"/>
          <w:sz w:val="20"/>
          <w:szCs w:val="20"/>
          <w:lang w:val="es-VE"/>
        </w:rPr>
        <w:t>,</w:t>
      </w:r>
      <w:r w:rsidR="00291690" w:rsidRPr="00B56CF7">
        <w:rPr>
          <w:rFonts w:asciiTheme="majorHAnsi" w:eastAsia="Calibri" w:hAnsiTheme="majorHAnsi"/>
          <w:sz w:val="20"/>
          <w:szCs w:val="20"/>
          <w:lang w:val="es-VE"/>
        </w:rPr>
        <w:t xml:space="preserve"> </w:t>
      </w:r>
      <w:r w:rsidR="0044096C" w:rsidRPr="00B56CF7">
        <w:rPr>
          <w:rFonts w:asciiTheme="majorHAnsi" w:eastAsia="Calibri" w:hAnsiTheme="majorHAnsi"/>
          <w:sz w:val="20"/>
          <w:szCs w:val="20"/>
          <w:lang w:val="es-VE"/>
        </w:rPr>
        <w:t>el cual fue denegado por el Tribunal Oral Federal conforme a lo dispuesto por el artículo 1</w:t>
      </w:r>
      <w:r w:rsidR="003F4E60" w:rsidRPr="00B56CF7">
        <w:rPr>
          <w:rFonts w:asciiTheme="majorHAnsi" w:eastAsia="Calibri" w:hAnsiTheme="majorHAnsi"/>
          <w:sz w:val="20"/>
          <w:szCs w:val="20"/>
          <w:lang w:val="es-VE"/>
        </w:rPr>
        <w:t>0</w:t>
      </w:r>
      <w:r w:rsidR="0044096C" w:rsidRPr="00B56CF7">
        <w:rPr>
          <w:rFonts w:asciiTheme="majorHAnsi" w:eastAsia="Calibri" w:hAnsiTheme="majorHAnsi"/>
          <w:sz w:val="20"/>
          <w:szCs w:val="20"/>
          <w:lang w:val="es-VE"/>
        </w:rPr>
        <w:t xml:space="preserve"> de dicha ley, que niega dicho beneficio a las personas acusadas bajo la ley 23.737 (tenencia y</w:t>
      </w:r>
      <w:r w:rsidR="00F94442" w:rsidRPr="00B56CF7">
        <w:rPr>
          <w:rFonts w:asciiTheme="majorHAnsi" w:eastAsia="Calibri" w:hAnsiTheme="majorHAnsi"/>
          <w:sz w:val="20"/>
          <w:szCs w:val="20"/>
          <w:lang w:val="es-VE"/>
        </w:rPr>
        <w:t xml:space="preserve"> tráfico de estupefacientes). </w:t>
      </w:r>
      <w:r w:rsidR="0044096C" w:rsidRPr="00B56CF7">
        <w:rPr>
          <w:rFonts w:asciiTheme="majorHAnsi" w:eastAsia="Calibri" w:hAnsiTheme="majorHAnsi"/>
          <w:sz w:val="20"/>
          <w:szCs w:val="20"/>
          <w:lang w:val="es-VE"/>
        </w:rPr>
        <w:t>Agregó que dicha decisión fue impugnada por el peticionario ante la Cámara Nacional de Casación Penal, la c</w:t>
      </w:r>
      <w:r w:rsidR="00035642" w:rsidRPr="00B56CF7">
        <w:rPr>
          <w:rFonts w:asciiTheme="majorHAnsi" w:eastAsia="Calibri" w:hAnsiTheme="majorHAnsi"/>
          <w:sz w:val="20"/>
          <w:szCs w:val="20"/>
          <w:lang w:val="es-VE"/>
        </w:rPr>
        <w:t>ual ratificó la resolución de primera instancia</w:t>
      </w:r>
      <w:r w:rsidR="002260D4" w:rsidRPr="00B56CF7">
        <w:rPr>
          <w:rFonts w:asciiTheme="majorHAnsi" w:eastAsia="Calibri" w:hAnsiTheme="majorHAnsi"/>
          <w:sz w:val="20"/>
          <w:szCs w:val="20"/>
          <w:lang w:val="es-VE"/>
        </w:rPr>
        <w:t xml:space="preserve">, por lo que </w:t>
      </w:r>
      <w:r w:rsidR="00035642" w:rsidRPr="00B56CF7">
        <w:rPr>
          <w:rFonts w:asciiTheme="majorHAnsi" w:eastAsia="Calibri" w:hAnsiTheme="majorHAnsi"/>
          <w:sz w:val="20"/>
          <w:szCs w:val="20"/>
          <w:lang w:val="es-VE"/>
        </w:rPr>
        <w:t>finalmente acudió a la Corte Suprema de Justicia de la Nación que desestimó la pretensión del peticionario en diciembre de 1997.</w:t>
      </w:r>
    </w:p>
    <w:p w:rsidR="00527E01" w:rsidRPr="00B56CF7" w:rsidRDefault="00527E01" w:rsidP="00527E0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C72302" w:rsidRPr="00B56CF7" w:rsidRDefault="00F62C58" w:rsidP="00C7230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Agregó</w:t>
      </w:r>
      <w:r w:rsidR="00F94442" w:rsidRPr="00B56CF7">
        <w:rPr>
          <w:rFonts w:asciiTheme="majorHAnsi" w:eastAsia="Calibri" w:hAnsiTheme="majorHAnsi"/>
          <w:sz w:val="20"/>
          <w:szCs w:val="20"/>
          <w:lang w:val="es-VE"/>
        </w:rPr>
        <w:t xml:space="preserve"> que </w:t>
      </w:r>
      <w:r w:rsidR="00C72302" w:rsidRPr="00B56CF7">
        <w:rPr>
          <w:rFonts w:asciiTheme="majorHAnsi" w:eastAsia="Calibri" w:hAnsiTheme="majorHAnsi"/>
          <w:sz w:val="20"/>
          <w:szCs w:val="20"/>
          <w:lang w:val="es-VE"/>
        </w:rPr>
        <w:t>por resolución de 13 de noviembre de 1997</w:t>
      </w:r>
      <w:r w:rsidR="00FB43C8">
        <w:rPr>
          <w:rFonts w:asciiTheme="majorHAnsi" w:eastAsia="Calibri" w:hAnsiTheme="majorHAnsi"/>
          <w:sz w:val="20"/>
          <w:szCs w:val="20"/>
          <w:lang w:val="es-VE"/>
        </w:rPr>
        <w:t>,</w:t>
      </w:r>
      <w:r w:rsidR="00C72302" w:rsidRPr="00B56CF7">
        <w:rPr>
          <w:rFonts w:asciiTheme="majorHAnsi" w:eastAsia="Calibri" w:hAnsiTheme="majorHAnsi"/>
          <w:sz w:val="20"/>
          <w:szCs w:val="20"/>
          <w:lang w:val="es-VE"/>
        </w:rPr>
        <w:t xml:space="preserve"> el Tribunal Oral Federal ordenó la libertad de la presunta víctima</w:t>
      </w:r>
      <w:r w:rsidR="00FB43C8">
        <w:rPr>
          <w:rFonts w:asciiTheme="majorHAnsi" w:eastAsia="Calibri" w:hAnsiTheme="majorHAnsi"/>
          <w:sz w:val="20"/>
          <w:szCs w:val="20"/>
          <w:lang w:val="es-VE"/>
        </w:rPr>
        <w:t>,</w:t>
      </w:r>
      <w:r w:rsidR="00C72302" w:rsidRPr="00B56CF7">
        <w:rPr>
          <w:rFonts w:asciiTheme="majorHAnsi" w:eastAsia="Calibri" w:hAnsiTheme="majorHAnsi"/>
          <w:sz w:val="20"/>
          <w:szCs w:val="20"/>
          <w:lang w:val="es-VE"/>
        </w:rPr>
        <w:t xml:space="preserve"> al constatar la falsedad ideológica de ciertas constancias probatorias que obraban en su contra y que</w:t>
      </w:r>
      <w:r w:rsidR="00582AE1" w:rsidRPr="00B56CF7">
        <w:rPr>
          <w:rFonts w:asciiTheme="majorHAnsi" w:eastAsia="Calibri" w:hAnsiTheme="majorHAnsi"/>
          <w:sz w:val="20"/>
          <w:szCs w:val="20"/>
          <w:lang w:val="es-VE"/>
        </w:rPr>
        <w:t>,</w:t>
      </w:r>
      <w:r w:rsidR="00C72302" w:rsidRPr="00B56CF7">
        <w:rPr>
          <w:rFonts w:asciiTheme="majorHAnsi" w:eastAsia="Calibri" w:hAnsiTheme="majorHAnsi"/>
          <w:sz w:val="20"/>
          <w:szCs w:val="20"/>
          <w:lang w:val="es-VE"/>
        </w:rPr>
        <w:t xml:space="preserve"> el 23 de diciembre de 1997</w:t>
      </w:r>
      <w:r w:rsidR="00582AE1" w:rsidRPr="00B56CF7">
        <w:rPr>
          <w:rFonts w:asciiTheme="majorHAnsi" w:eastAsia="Calibri" w:hAnsiTheme="majorHAnsi"/>
          <w:sz w:val="20"/>
          <w:szCs w:val="20"/>
          <w:lang w:val="es-VE"/>
        </w:rPr>
        <w:t>,</w:t>
      </w:r>
      <w:r w:rsidR="00C72302" w:rsidRPr="00B56CF7">
        <w:rPr>
          <w:rFonts w:asciiTheme="majorHAnsi" w:eastAsia="Calibri" w:hAnsiTheme="majorHAnsi"/>
          <w:sz w:val="20"/>
          <w:szCs w:val="20"/>
          <w:lang w:val="es-VE"/>
        </w:rPr>
        <w:t xml:space="preserve"> dictó sentencia</w:t>
      </w:r>
      <w:r w:rsidR="00F94442" w:rsidRPr="00B56CF7">
        <w:rPr>
          <w:rFonts w:asciiTheme="majorHAnsi" w:eastAsia="Calibri" w:hAnsiTheme="majorHAnsi"/>
          <w:sz w:val="20"/>
          <w:szCs w:val="20"/>
          <w:lang w:val="es-VE"/>
        </w:rPr>
        <w:t xml:space="preserve"> absolviendo a </w:t>
      </w:r>
      <w:r w:rsidR="00C97979" w:rsidRPr="00B56CF7">
        <w:rPr>
          <w:rFonts w:asciiTheme="majorHAnsi" w:eastAsia="Calibri" w:hAnsiTheme="majorHAnsi"/>
          <w:sz w:val="20"/>
          <w:szCs w:val="20"/>
          <w:lang w:val="es-VE"/>
        </w:rPr>
        <w:t>la presunta víctima</w:t>
      </w:r>
      <w:r w:rsidR="00F94442" w:rsidRPr="00B56CF7">
        <w:rPr>
          <w:rFonts w:asciiTheme="majorHAnsi" w:eastAsia="Calibri" w:hAnsiTheme="majorHAnsi"/>
          <w:sz w:val="20"/>
          <w:szCs w:val="20"/>
          <w:lang w:val="es-VE"/>
        </w:rPr>
        <w:t xml:space="preserve"> por no haberse producido acusación fiscal </w:t>
      </w:r>
      <w:r w:rsidR="00C72302" w:rsidRPr="00B56CF7">
        <w:rPr>
          <w:rFonts w:asciiTheme="majorHAnsi" w:eastAsia="Calibri" w:hAnsiTheme="majorHAnsi"/>
          <w:sz w:val="20"/>
          <w:szCs w:val="20"/>
          <w:lang w:val="es-VE"/>
        </w:rPr>
        <w:t>en su contra</w:t>
      </w:r>
      <w:r w:rsidR="00702EFA" w:rsidRPr="00B56CF7">
        <w:rPr>
          <w:rFonts w:asciiTheme="majorHAnsi" w:eastAsia="Calibri" w:hAnsiTheme="majorHAnsi"/>
          <w:sz w:val="20"/>
          <w:szCs w:val="20"/>
          <w:lang w:val="es-VE"/>
        </w:rPr>
        <w:t xml:space="preserve">. Señaló que en la misma sentencia se </w:t>
      </w:r>
      <w:r w:rsidR="00F94442" w:rsidRPr="00B56CF7">
        <w:rPr>
          <w:rFonts w:asciiTheme="majorHAnsi" w:eastAsia="Calibri" w:hAnsiTheme="majorHAnsi"/>
          <w:sz w:val="20"/>
          <w:szCs w:val="20"/>
          <w:lang w:val="es-VE"/>
        </w:rPr>
        <w:t xml:space="preserve">ordenó investigar la prueba </w:t>
      </w:r>
      <w:r w:rsidR="00C72302" w:rsidRPr="00B56CF7">
        <w:rPr>
          <w:rFonts w:asciiTheme="majorHAnsi" w:eastAsia="Calibri" w:hAnsiTheme="majorHAnsi"/>
          <w:sz w:val="20"/>
          <w:szCs w:val="20"/>
          <w:lang w:val="es-VE"/>
        </w:rPr>
        <w:t xml:space="preserve">telefónica y su transcripción, </w:t>
      </w:r>
      <w:r w:rsidR="00F94442" w:rsidRPr="00B56CF7">
        <w:rPr>
          <w:rFonts w:asciiTheme="majorHAnsi" w:eastAsia="Calibri" w:hAnsiTheme="majorHAnsi"/>
          <w:sz w:val="20"/>
          <w:szCs w:val="20"/>
          <w:lang w:val="es-VE"/>
        </w:rPr>
        <w:t>utilizada</w:t>
      </w:r>
      <w:r w:rsidR="00C72302" w:rsidRPr="00B56CF7">
        <w:rPr>
          <w:rFonts w:asciiTheme="majorHAnsi" w:eastAsia="Calibri" w:hAnsiTheme="majorHAnsi"/>
          <w:sz w:val="20"/>
          <w:szCs w:val="20"/>
          <w:lang w:val="es-VE"/>
        </w:rPr>
        <w:t>s</w:t>
      </w:r>
      <w:r w:rsidR="00F94442" w:rsidRPr="00B56CF7">
        <w:rPr>
          <w:rFonts w:asciiTheme="majorHAnsi" w:eastAsia="Calibri" w:hAnsiTheme="majorHAnsi"/>
          <w:sz w:val="20"/>
          <w:szCs w:val="20"/>
          <w:lang w:val="es-VE"/>
        </w:rPr>
        <w:t xml:space="preserve"> como elemento de cargo por los fiscales de instrucción Mullen y </w:t>
      </w:r>
      <w:proofErr w:type="spellStart"/>
      <w:r w:rsidR="00F94442" w:rsidRPr="00B56CF7">
        <w:rPr>
          <w:rFonts w:asciiTheme="majorHAnsi" w:eastAsia="Calibri" w:hAnsiTheme="majorHAnsi"/>
          <w:sz w:val="20"/>
          <w:szCs w:val="20"/>
          <w:lang w:val="es-VE"/>
        </w:rPr>
        <w:t>Barbaccia</w:t>
      </w:r>
      <w:proofErr w:type="spellEnd"/>
      <w:r w:rsidR="00F94442" w:rsidRPr="00B56CF7">
        <w:rPr>
          <w:rFonts w:asciiTheme="majorHAnsi" w:eastAsia="Calibri" w:hAnsiTheme="majorHAnsi"/>
          <w:sz w:val="20"/>
          <w:szCs w:val="20"/>
          <w:lang w:val="es-VE"/>
        </w:rPr>
        <w:t xml:space="preserve"> para formular solicitud de elevación a juicio del peticionario. </w:t>
      </w:r>
    </w:p>
    <w:p w:rsidR="0065540B" w:rsidRPr="00B56CF7" w:rsidRDefault="0065540B" w:rsidP="00D812CF">
      <w:pPr>
        <w:rPr>
          <w:rFonts w:asciiTheme="majorHAnsi" w:eastAsia="Calibri" w:hAnsiTheme="majorHAnsi"/>
          <w:sz w:val="20"/>
          <w:szCs w:val="20"/>
          <w:lang w:val="es-VE"/>
        </w:rPr>
      </w:pPr>
    </w:p>
    <w:p w:rsidR="00F94442" w:rsidRPr="00B56CF7" w:rsidRDefault="00F94442" w:rsidP="009F552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Agregó que en virtud de ello se iniciaron sendas investigaciones administrativa y penal ante la Procuraci</w:t>
      </w:r>
      <w:r w:rsidR="00C72302" w:rsidRPr="00B56CF7">
        <w:rPr>
          <w:rFonts w:asciiTheme="majorHAnsi" w:eastAsia="Calibri" w:hAnsiTheme="majorHAnsi"/>
          <w:sz w:val="20"/>
          <w:szCs w:val="20"/>
          <w:lang w:val="es-VE"/>
        </w:rPr>
        <w:t>ón</w:t>
      </w:r>
      <w:r w:rsidRPr="00B56CF7">
        <w:rPr>
          <w:rFonts w:asciiTheme="majorHAnsi" w:eastAsia="Calibri" w:hAnsiTheme="majorHAnsi"/>
          <w:sz w:val="20"/>
          <w:szCs w:val="20"/>
          <w:lang w:val="es-VE"/>
        </w:rPr>
        <w:t xml:space="preserve"> General de la Nación y </w:t>
      </w:r>
      <w:r w:rsidR="005032BD" w:rsidRPr="00B56CF7">
        <w:rPr>
          <w:rFonts w:asciiTheme="majorHAnsi" w:eastAsia="Calibri" w:hAnsiTheme="majorHAnsi"/>
          <w:sz w:val="20"/>
          <w:szCs w:val="20"/>
          <w:lang w:val="es-VE"/>
        </w:rPr>
        <w:t xml:space="preserve">ante </w:t>
      </w:r>
      <w:r w:rsidRPr="00B56CF7">
        <w:rPr>
          <w:rFonts w:asciiTheme="majorHAnsi" w:eastAsia="Calibri" w:hAnsiTheme="majorHAnsi"/>
          <w:sz w:val="20"/>
          <w:szCs w:val="20"/>
          <w:lang w:val="es-VE"/>
        </w:rPr>
        <w:t xml:space="preserve">un juzgado criminal respectivamente. </w:t>
      </w:r>
    </w:p>
    <w:p w:rsidR="00F94442" w:rsidRPr="00B56CF7" w:rsidRDefault="00F94442" w:rsidP="00F94442">
      <w:pPr>
        <w:pStyle w:val="ListParagraph"/>
        <w:rPr>
          <w:rFonts w:asciiTheme="majorHAnsi" w:eastAsia="Calibri" w:hAnsiTheme="majorHAnsi"/>
          <w:sz w:val="20"/>
          <w:szCs w:val="20"/>
          <w:lang w:val="es-VE"/>
        </w:rPr>
      </w:pPr>
    </w:p>
    <w:p w:rsidR="002A2373" w:rsidRPr="00B56CF7" w:rsidRDefault="00F94442" w:rsidP="00F9444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Con respecto a la investigación administrativa</w:t>
      </w:r>
      <w:r w:rsidR="00FB43C8">
        <w:rPr>
          <w:rFonts w:asciiTheme="majorHAnsi" w:eastAsia="Calibri" w:hAnsiTheme="majorHAnsi"/>
          <w:sz w:val="20"/>
          <w:szCs w:val="20"/>
          <w:lang w:val="es-VE"/>
        </w:rPr>
        <w:t>,</w:t>
      </w:r>
      <w:r w:rsidRPr="00B56CF7">
        <w:rPr>
          <w:rFonts w:asciiTheme="majorHAnsi" w:eastAsia="Calibri" w:hAnsiTheme="majorHAnsi"/>
          <w:sz w:val="20"/>
          <w:szCs w:val="20"/>
          <w:lang w:val="es-VE"/>
        </w:rPr>
        <w:t xml:space="preserve"> </w:t>
      </w:r>
      <w:r w:rsidR="00D811FC" w:rsidRPr="00B56CF7">
        <w:rPr>
          <w:rFonts w:asciiTheme="majorHAnsi" w:eastAsia="Calibri" w:hAnsiTheme="majorHAnsi"/>
          <w:sz w:val="20"/>
          <w:szCs w:val="20"/>
          <w:lang w:val="es-VE"/>
        </w:rPr>
        <w:t xml:space="preserve">el Estado </w:t>
      </w:r>
      <w:r w:rsidRPr="00B56CF7">
        <w:rPr>
          <w:rFonts w:asciiTheme="majorHAnsi" w:eastAsia="Calibri" w:hAnsiTheme="majorHAnsi"/>
          <w:sz w:val="20"/>
          <w:szCs w:val="20"/>
          <w:lang w:val="es-VE"/>
        </w:rPr>
        <w:t xml:space="preserve">indicó que la </w:t>
      </w:r>
      <w:r w:rsidR="002A2373" w:rsidRPr="00B56CF7">
        <w:rPr>
          <w:rFonts w:asciiTheme="majorHAnsi" w:eastAsia="Calibri" w:hAnsiTheme="majorHAnsi"/>
          <w:sz w:val="20"/>
          <w:szCs w:val="20"/>
          <w:lang w:val="es-VE"/>
        </w:rPr>
        <w:t>Procuració</w:t>
      </w:r>
      <w:r w:rsidRPr="00B56CF7">
        <w:rPr>
          <w:rFonts w:asciiTheme="majorHAnsi" w:eastAsia="Calibri" w:hAnsiTheme="majorHAnsi"/>
          <w:sz w:val="20"/>
          <w:szCs w:val="20"/>
          <w:lang w:val="es-VE"/>
        </w:rPr>
        <w:t>n General de la Nación desestimó</w:t>
      </w:r>
      <w:r w:rsidR="002A2373" w:rsidRPr="00B56CF7">
        <w:rPr>
          <w:rFonts w:asciiTheme="majorHAnsi" w:eastAsia="Calibri" w:hAnsiTheme="majorHAnsi"/>
          <w:sz w:val="20"/>
          <w:szCs w:val="20"/>
          <w:lang w:val="es-VE"/>
        </w:rPr>
        <w:t xml:space="preserve"> la denuncia por inexistencia de delito y ordenó el archivo de las actuaciones </w:t>
      </w:r>
      <w:r w:rsidRPr="00B56CF7">
        <w:rPr>
          <w:rFonts w:asciiTheme="majorHAnsi" w:eastAsia="Calibri" w:hAnsiTheme="majorHAnsi"/>
          <w:sz w:val="20"/>
          <w:szCs w:val="20"/>
          <w:lang w:val="es-VE"/>
        </w:rPr>
        <w:t>al considerar</w:t>
      </w:r>
      <w:r w:rsidR="002A2373" w:rsidRPr="00B56CF7">
        <w:rPr>
          <w:rFonts w:asciiTheme="majorHAnsi" w:eastAsia="Calibri" w:hAnsiTheme="majorHAnsi"/>
          <w:sz w:val="20"/>
          <w:szCs w:val="20"/>
          <w:lang w:val="es-VE"/>
        </w:rPr>
        <w:t xml:space="preserve"> que la constancia del expediente correspondía con la conversación grabada en el </w:t>
      </w:r>
      <w:proofErr w:type="spellStart"/>
      <w:r w:rsidR="002A2373" w:rsidRPr="00B56CF7">
        <w:rPr>
          <w:rFonts w:asciiTheme="majorHAnsi" w:eastAsia="Calibri" w:hAnsiTheme="majorHAnsi"/>
          <w:sz w:val="20"/>
          <w:szCs w:val="20"/>
          <w:lang w:val="es-VE"/>
        </w:rPr>
        <w:t>cassette</w:t>
      </w:r>
      <w:proofErr w:type="spellEnd"/>
      <w:r w:rsidR="002A2373" w:rsidRPr="00B56CF7">
        <w:rPr>
          <w:rFonts w:asciiTheme="majorHAnsi" w:eastAsia="Calibri" w:hAnsiTheme="majorHAnsi"/>
          <w:sz w:val="20"/>
          <w:szCs w:val="20"/>
          <w:lang w:val="es-VE"/>
        </w:rPr>
        <w:t>, además de q</w:t>
      </w:r>
      <w:r w:rsidR="00D812CF" w:rsidRPr="00B56CF7">
        <w:rPr>
          <w:rFonts w:asciiTheme="majorHAnsi" w:eastAsia="Calibri" w:hAnsiTheme="majorHAnsi"/>
          <w:sz w:val="20"/>
          <w:szCs w:val="20"/>
          <w:lang w:val="es-VE"/>
        </w:rPr>
        <w:t>ue</w:t>
      </w:r>
      <w:r w:rsidR="002A2373" w:rsidRPr="00B56CF7">
        <w:rPr>
          <w:rFonts w:asciiTheme="majorHAnsi" w:eastAsia="Calibri" w:hAnsiTheme="majorHAnsi"/>
          <w:sz w:val="20"/>
          <w:szCs w:val="20"/>
          <w:lang w:val="es-VE"/>
        </w:rPr>
        <w:t xml:space="preserve"> dicho elemento de cargo fue tenido en cuenta como un elemento probatorio más</w:t>
      </w:r>
      <w:r w:rsidR="00FB43C8">
        <w:rPr>
          <w:rFonts w:asciiTheme="majorHAnsi" w:eastAsia="Calibri" w:hAnsiTheme="majorHAnsi"/>
          <w:sz w:val="20"/>
          <w:szCs w:val="20"/>
          <w:lang w:val="es-VE"/>
        </w:rPr>
        <w:t>,</w:t>
      </w:r>
      <w:r w:rsidRPr="00B56CF7">
        <w:rPr>
          <w:rFonts w:asciiTheme="majorHAnsi" w:eastAsia="Calibri" w:hAnsiTheme="majorHAnsi"/>
          <w:sz w:val="20"/>
          <w:szCs w:val="20"/>
          <w:lang w:val="es-VE"/>
        </w:rPr>
        <w:t xml:space="preserve"> entre</w:t>
      </w:r>
      <w:r w:rsidR="002A2373" w:rsidRPr="00B56CF7">
        <w:rPr>
          <w:rFonts w:asciiTheme="majorHAnsi" w:eastAsia="Calibri" w:hAnsiTheme="majorHAnsi"/>
          <w:sz w:val="20"/>
          <w:szCs w:val="20"/>
          <w:lang w:val="es-VE"/>
        </w:rPr>
        <w:t xml:space="preserve"> los varios</w:t>
      </w:r>
      <w:r w:rsidRPr="00B56CF7">
        <w:rPr>
          <w:rFonts w:asciiTheme="majorHAnsi" w:eastAsia="Calibri" w:hAnsiTheme="majorHAnsi"/>
          <w:sz w:val="20"/>
          <w:szCs w:val="20"/>
          <w:lang w:val="es-VE"/>
        </w:rPr>
        <w:t xml:space="preserve"> que</w:t>
      </w:r>
      <w:r w:rsidR="002A2373" w:rsidRPr="00B56CF7">
        <w:rPr>
          <w:rFonts w:asciiTheme="majorHAnsi" w:eastAsia="Calibri" w:hAnsiTheme="majorHAnsi"/>
          <w:sz w:val="20"/>
          <w:szCs w:val="20"/>
          <w:lang w:val="es-VE"/>
        </w:rPr>
        <w:t xml:space="preserve"> hacían referencia a la relación entre el peticionario y los demás imputados. </w:t>
      </w:r>
    </w:p>
    <w:p w:rsidR="00F94442" w:rsidRPr="00B56CF7" w:rsidRDefault="00F94442" w:rsidP="00F94442">
      <w:pPr>
        <w:pStyle w:val="ListParagraph"/>
        <w:rPr>
          <w:rFonts w:asciiTheme="majorHAnsi" w:eastAsia="Calibri" w:hAnsiTheme="majorHAnsi"/>
          <w:sz w:val="20"/>
          <w:szCs w:val="20"/>
          <w:lang w:val="es-VE"/>
        </w:rPr>
      </w:pPr>
    </w:p>
    <w:p w:rsidR="002A2373" w:rsidRPr="00B56CF7" w:rsidRDefault="00F94442" w:rsidP="008F2D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Con relación a la causa penal </w:t>
      </w:r>
      <w:r w:rsidR="00277E0C">
        <w:rPr>
          <w:rFonts w:asciiTheme="majorHAnsi" w:eastAsia="Calibri" w:hAnsiTheme="majorHAnsi"/>
          <w:sz w:val="20"/>
          <w:szCs w:val="20"/>
          <w:lang w:val="es-VE"/>
        </w:rPr>
        <w:t>abierta respecto a l</w:t>
      </w:r>
      <w:r w:rsidR="00DD73F4">
        <w:rPr>
          <w:rFonts w:asciiTheme="majorHAnsi" w:eastAsia="Calibri" w:hAnsiTheme="majorHAnsi"/>
          <w:sz w:val="20"/>
          <w:szCs w:val="20"/>
          <w:lang w:val="es-VE"/>
        </w:rPr>
        <w:t>a prueba relativa a la llamada t</w:t>
      </w:r>
      <w:r w:rsidR="00277E0C">
        <w:rPr>
          <w:rFonts w:asciiTheme="majorHAnsi" w:eastAsia="Calibri" w:hAnsiTheme="majorHAnsi"/>
          <w:sz w:val="20"/>
          <w:szCs w:val="20"/>
          <w:lang w:val="es-VE"/>
        </w:rPr>
        <w:t xml:space="preserve">elefónica, </w:t>
      </w:r>
      <w:r w:rsidRPr="00B56CF7">
        <w:rPr>
          <w:rFonts w:asciiTheme="majorHAnsi" w:eastAsia="Calibri" w:hAnsiTheme="majorHAnsi"/>
          <w:sz w:val="20"/>
          <w:szCs w:val="20"/>
          <w:lang w:val="es-VE"/>
        </w:rPr>
        <w:t xml:space="preserve">indicó que el Juzgado Nacional Criminal y Correccional No. 2 </w:t>
      </w:r>
      <w:r w:rsidR="008F2D9D" w:rsidRPr="00B56CF7">
        <w:rPr>
          <w:rFonts w:asciiTheme="majorHAnsi" w:eastAsia="Calibri" w:hAnsiTheme="majorHAnsi"/>
          <w:sz w:val="20"/>
          <w:szCs w:val="20"/>
          <w:lang w:val="es-VE"/>
        </w:rPr>
        <w:t>desestimó la causa por el delito de estafa procesal</w:t>
      </w:r>
      <w:r w:rsidR="00FB43C8">
        <w:rPr>
          <w:rFonts w:asciiTheme="majorHAnsi" w:eastAsia="Calibri" w:hAnsiTheme="majorHAnsi"/>
          <w:sz w:val="20"/>
          <w:szCs w:val="20"/>
          <w:lang w:val="es-VE"/>
        </w:rPr>
        <w:t>,</w:t>
      </w:r>
      <w:r w:rsidR="008F2D9D" w:rsidRPr="00B56CF7">
        <w:rPr>
          <w:rFonts w:asciiTheme="majorHAnsi" w:eastAsia="Calibri" w:hAnsiTheme="majorHAnsi"/>
          <w:sz w:val="20"/>
          <w:szCs w:val="20"/>
          <w:lang w:val="es-VE"/>
        </w:rPr>
        <w:t xml:space="preserve"> considerando que la prueba utilizada por los fiscales fue </w:t>
      </w:r>
      <w:r w:rsidR="009F38F6" w:rsidRPr="00B56CF7">
        <w:rPr>
          <w:rFonts w:asciiTheme="majorHAnsi" w:eastAsia="Calibri" w:hAnsiTheme="majorHAnsi"/>
          <w:sz w:val="20"/>
          <w:szCs w:val="20"/>
          <w:lang w:val="es-VE"/>
        </w:rPr>
        <w:t xml:space="preserve">utilizada </w:t>
      </w:r>
      <w:r w:rsidR="008F2D9D" w:rsidRPr="00B56CF7">
        <w:rPr>
          <w:rFonts w:asciiTheme="majorHAnsi" w:eastAsia="Calibri" w:hAnsiTheme="majorHAnsi"/>
          <w:sz w:val="20"/>
          <w:szCs w:val="20"/>
          <w:lang w:val="es-VE"/>
        </w:rPr>
        <w:t>como medio de prueba no concluyente y</w:t>
      </w:r>
      <w:r w:rsidR="00271392" w:rsidRPr="00B56CF7">
        <w:rPr>
          <w:rFonts w:asciiTheme="majorHAnsi" w:eastAsia="Calibri" w:hAnsiTheme="majorHAnsi"/>
          <w:sz w:val="20"/>
          <w:szCs w:val="20"/>
          <w:lang w:val="es-VE"/>
        </w:rPr>
        <w:t xml:space="preserve"> dentro de un contexto de indicios que llevaron a los mismos a solicitar la elevación a juicio del peticionario. </w:t>
      </w:r>
    </w:p>
    <w:p w:rsidR="00271392" w:rsidRPr="00B56CF7" w:rsidRDefault="00271392" w:rsidP="00271392">
      <w:pPr>
        <w:pStyle w:val="ListParagraph"/>
        <w:rPr>
          <w:rFonts w:asciiTheme="majorHAnsi" w:eastAsia="Calibri" w:hAnsiTheme="majorHAnsi"/>
          <w:sz w:val="20"/>
          <w:szCs w:val="20"/>
          <w:lang w:val="es-VE"/>
        </w:rPr>
      </w:pPr>
    </w:p>
    <w:p w:rsidR="00271392" w:rsidRPr="00B56CF7" w:rsidRDefault="008F2D9D" w:rsidP="008F2D9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Agregó que en diciembre de 1999</w:t>
      </w:r>
      <w:r w:rsidR="00271392" w:rsidRPr="00B56CF7">
        <w:rPr>
          <w:rFonts w:asciiTheme="majorHAnsi" w:eastAsia="Calibri" w:hAnsiTheme="majorHAnsi"/>
          <w:sz w:val="20"/>
          <w:szCs w:val="20"/>
          <w:lang w:val="es-VE"/>
        </w:rPr>
        <w:t xml:space="preserve"> el peticionario promovió </w:t>
      </w:r>
      <w:r w:rsidR="00B06FE4" w:rsidRPr="00B56CF7">
        <w:rPr>
          <w:rFonts w:asciiTheme="majorHAnsi" w:eastAsia="Calibri" w:hAnsiTheme="majorHAnsi"/>
          <w:sz w:val="20"/>
          <w:szCs w:val="20"/>
          <w:lang w:val="es-VE"/>
        </w:rPr>
        <w:t>demanda por daños y perjuicios contra el Estado Nacional (Ministerio del Interior y Ministerio de Justicia), contra el Ex Juez Correccional Federa</w:t>
      </w:r>
      <w:r w:rsidR="007D0278" w:rsidRPr="00B56CF7">
        <w:rPr>
          <w:rFonts w:asciiTheme="majorHAnsi" w:eastAsia="Calibri" w:hAnsiTheme="majorHAnsi"/>
          <w:sz w:val="20"/>
          <w:szCs w:val="20"/>
          <w:lang w:val="es-VE"/>
        </w:rPr>
        <w:t>l</w:t>
      </w:r>
      <w:r w:rsidR="00B06FE4" w:rsidRPr="00B56CF7">
        <w:rPr>
          <w:rFonts w:asciiTheme="majorHAnsi" w:eastAsia="Calibri" w:hAnsiTheme="majorHAnsi"/>
          <w:sz w:val="20"/>
          <w:szCs w:val="20"/>
          <w:lang w:val="es-VE"/>
        </w:rPr>
        <w:t xml:space="preserve"> </w:t>
      </w:r>
      <w:r w:rsidR="00DD73F4">
        <w:rPr>
          <w:rFonts w:asciiTheme="majorHAnsi" w:eastAsia="Calibri" w:hAnsiTheme="majorHAnsi"/>
          <w:sz w:val="20"/>
          <w:szCs w:val="20"/>
          <w:lang w:val="es-VE"/>
        </w:rPr>
        <w:t xml:space="preserve">Galeano </w:t>
      </w:r>
      <w:r w:rsidR="00B06FE4" w:rsidRPr="00B56CF7">
        <w:rPr>
          <w:rFonts w:asciiTheme="majorHAnsi" w:eastAsia="Calibri" w:hAnsiTheme="majorHAnsi"/>
          <w:sz w:val="20"/>
          <w:szCs w:val="20"/>
          <w:lang w:val="es-VE"/>
        </w:rPr>
        <w:t>a cargo del Juzgado No 9 y contra los Fiscales</w:t>
      </w:r>
      <w:r w:rsidR="004866BC" w:rsidRPr="00B56CF7">
        <w:rPr>
          <w:rFonts w:asciiTheme="majorHAnsi" w:eastAsia="Calibri" w:hAnsiTheme="majorHAnsi"/>
          <w:sz w:val="20"/>
          <w:szCs w:val="20"/>
          <w:lang w:val="es-VE"/>
        </w:rPr>
        <w:t>,</w:t>
      </w:r>
      <w:r w:rsidR="00B06FE4" w:rsidRPr="00B56CF7">
        <w:rPr>
          <w:rFonts w:asciiTheme="majorHAnsi" w:eastAsia="Calibri" w:hAnsiTheme="majorHAnsi"/>
          <w:sz w:val="20"/>
          <w:szCs w:val="20"/>
          <w:lang w:val="es-VE"/>
        </w:rPr>
        <w:t xml:space="preserve"> en la causa denominada “Jenkins c. </w:t>
      </w:r>
      <w:proofErr w:type="spellStart"/>
      <w:r w:rsidR="00B06FE4" w:rsidRPr="00B56CF7">
        <w:rPr>
          <w:rFonts w:asciiTheme="majorHAnsi" w:eastAsia="Calibri" w:hAnsiTheme="majorHAnsi"/>
          <w:sz w:val="20"/>
          <w:szCs w:val="20"/>
          <w:lang w:val="es-VE"/>
        </w:rPr>
        <w:t>e.N</w:t>
      </w:r>
      <w:proofErr w:type="spellEnd"/>
      <w:r w:rsidR="00B06FE4" w:rsidRPr="00B56CF7">
        <w:rPr>
          <w:rFonts w:asciiTheme="majorHAnsi" w:eastAsia="Calibri" w:hAnsiTheme="majorHAnsi"/>
          <w:sz w:val="20"/>
          <w:szCs w:val="20"/>
          <w:lang w:val="es-VE"/>
        </w:rPr>
        <w:t xml:space="preserve">. s/Daños y perjuicios” ante el Juzgado Nacional Contencioso </w:t>
      </w:r>
      <w:r w:rsidRPr="00B56CF7">
        <w:rPr>
          <w:rFonts w:asciiTheme="majorHAnsi" w:eastAsia="Calibri" w:hAnsiTheme="majorHAnsi"/>
          <w:sz w:val="20"/>
          <w:szCs w:val="20"/>
          <w:lang w:val="es-VE"/>
        </w:rPr>
        <w:t xml:space="preserve">Administrativo Federal No. 10, </w:t>
      </w:r>
      <w:r w:rsidR="00B06FE4" w:rsidRPr="00B56CF7">
        <w:rPr>
          <w:rFonts w:asciiTheme="majorHAnsi" w:eastAsia="Calibri" w:hAnsiTheme="majorHAnsi"/>
          <w:sz w:val="20"/>
          <w:szCs w:val="20"/>
          <w:lang w:val="es-VE"/>
        </w:rPr>
        <w:t xml:space="preserve">con el fin de </w:t>
      </w:r>
      <w:r w:rsidR="00A90BE4" w:rsidRPr="00B56CF7">
        <w:rPr>
          <w:rFonts w:asciiTheme="majorHAnsi" w:eastAsia="Calibri" w:hAnsiTheme="majorHAnsi"/>
          <w:sz w:val="20"/>
          <w:szCs w:val="20"/>
          <w:lang w:val="es-VE"/>
        </w:rPr>
        <w:t>obtener</w:t>
      </w:r>
      <w:r w:rsidR="00B06FE4" w:rsidRPr="00B56CF7">
        <w:rPr>
          <w:rFonts w:asciiTheme="majorHAnsi" w:eastAsia="Calibri" w:hAnsiTheme="majorHAnsi"/>
          <w:sz w:val="20"/>
          <w:szCs w:val="20"/>
          <w:lang w:val="es-VE"/>
        </w:rPr>
        <w:t xml:space="preserve"> el pago de una compensación por el tiempo </w:t>
      </w:r>
      <w:r w:rsidR="00DF7ADF" w:rsidRPr="00B56CF7">
        <w:rPr>
          <w:rFonts w:asciiTheme="majorHAnsi" w:eastAsia="Calibri" w:hAnsiTheme="majorHAnsi"/>
          <w:sz w:val="20"/>
          <w:szCs w:val="20"/>
          <w:lang w:val="es-VE"/>
        </w:rPr>
        <w:t xml:space="preserve">en que </w:t>
      </w:r>
      <w:r w:rsidR="00B06FE4" w:rsidRPr="00B56CF7">
        <w:rPr>
          <w:rFonts w:asciiTheme="majorHAnsi" w:eastAsia="Calibri" w:hAnsiTheme="majorHAnsi"/>
          <w:sz w:val="20"/>
          <w:szCs w:val="20"/>
          <w:lang w:val="es-VE"/>
        </w:rPr>
        <w:t>permaneció privado de libertad</w:t>
      </w:r>
      <w:r w:rsidR="00DF7ADF" w:rsidRPr="00B56CF7">
        <w:rPr>
          <w:rFonts w:asciiTheme="majorHAnsi" w:eastAsia="Calibri" w:hAnsiTheme="majorHAnsi"/>
          <w:sz w:val="20"/>
          <w:szCs w:val="20"/>
          <w:lang w:val="es-VE"/>
        </w:rPr>
        <w:t>, en su consideración, de manera ilegítima.</w:t>
      </w:r>
    </w:p>
    <w:p w:rsidR="00B06FE4" w:rsidRPr="00B56CF7" w:rsidRDefault="00B06FE4" w:rsidP="00B06FE4">
      <w:pPr>
        <w:pStyle w:val="ListParagraph"/>
        <w:rPr>
          <w:rFonts w:asciiTheme="majorHAnsi" w:eastAsia="Calibri" w:hAnsiTheme="majorHAnsi"/>
          <w:sz w:val="20"/>
          <w:szCs w:val="20"/>
          <w:lang w:val="es-VE"/>
        </w:rPr>
      </w:pPr>
    </w:p>
    <w:p w:rsidR="009F552D" w:rsidRPr="00B56CF7" w:rsidRDefault="00B54749" w:rsidP="008E22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Indicó que e</w:t>
      </w:r>
      <w:r w:rsidR="00B06FE4" w:rsidRPr="00B56CF7">
        <w:rPr>
          <w:rFonts w:asciiTheme="majorHAnsi" w:eastAsia="Calibri" w:hAnsiTheme="majorHAnsi"/>
          <w:sz w:val="20"/>
          <w:szCs w:val="20"/>
          <w:lang w:val="es-VE"/>
        </w:rPr>
        <w:t xml:space="preserve">l 30 de abril de 2007 </w:t>
      </w:r>
      <w:r w:rsidR="00395C27" w:rsidRPr="00B56CF7">
        <w:rPr>
          <w:rFonts w:asciiTheme="majorHAnsi" w:eastAsia="Calibri" w:hAnsiTheme="majorHAnsi"/>
          <w:sz w:val="20"/>
          <w:szCs w:val="20"/>
          <w:lang w:val="es-VE"/>
        </w:rPr>
        <w:t>se dictó sentencia rechazando la demanda</w:t>
      </w:r>
      <w:r w:rsidR="00FB43C8">
        <w:rPr>
          <w:rFonts w:asciiTheme="majorHAnsi" w:eastAsia="Calibri" w:hAnsiTheme="majorHAnsi"/>
          <w:sz w:val="20"/>
          <w:szCs w:val="20"/>
          <w:lang w:val="es-VE"/>
        </w:rPr>
        <w:t>,</w:t>
      </w:r>
      <w:r w:rsidR="00395C27" w:rsidRPr="00B56CF7">
        <w:rPr>
          <w:rFonts w:asciiTheme="majorHAnsi" w:eastAsia="Calibri" w:hAnsiTheme="majorHAnsi"/>
          <w:sz w:val="20"/>
          <w:szCs w:val="20"/>
          <w:lang w:val="es-VE"/>
        </w:rPr>
        <w:t xml:space="preserve"> por considerar la juzgadora que para que el Estado sea responsable del perjuicio ocasionado a quien sufre prisión preventiva y luego es absuelto, se requiere que la absolución haya sido dictada en virtud de su inocencia manifiesta </w:t>
      </w:r>
      <w:r w:rsidR="00D52D7B" w:rsidRPr="00B56CF7">
        <w:rPr>
          <w:rFonts w:asciiTheme="majorHAnsi" w:eastAsia="Calibri" w:hAnsiTheme="majorHAnsi"/>
          <w:sz w:val="20"/>
          <w:szCs w:val="20"/>
          <w:lang w:val="es-VE"/>
        </w:rPr>
        <w:t>y</w:t>
      </w:r>
      <w:r w:rsidR="008220D0" w:rsidRPr="00B56CF7">
        <w:rPr>
          <w:rFonts w:asciiTheme="majorHAnsi" w:eastAsia="Calibri" w:hAnsiTheme="majorHAnsi"/>
          <w:sz w:val="20"/>
          <w:szCs w:val="20"/>
          <w:lang w:val="es-VE"/>
        </w:rPr>
        <w:t>,</w:t>
      </w:r>
      <w:r w:rsidR="00D52D7B" w:rsidRPr="00B56CF7">
        <w:rPr>
          <w:rFonts w:asciiTheme="majorHAnsi" w:eastAsia="Calibri" w:hAnsiTheme="majorHAnsi"/>
          <w:sz w:val="20"/>
          <w:szCs w:val="20"/>
          <w:lang w:val="es-VE"/>
        </w:rPr>
        <w:t xml:space="preserve"> </w:t>
      </w:r>
      <w:r w:rsidR="00395C27" w:rsidRPr="00B56CF7">
        <w:rPr>
          <w:rFonts w:asciiTheme="majorHAnsi" w:eastAsia="Calibri" w:hAnsiTheme="majorHAnsi"/>
          <w:sz w:val="20"/>
          <w:szCs w:val="20"/>
          <w:lang w:val="es-VE"/>
        </w:rPr>
        <w:t>en el presente caso</w:t>
      </w:r>
      <w:r w:rsidR="008220D0" w:rsidRPr="00B56CF7">
        <w:rPr>
          <w:rFonts w:asciiTheme="majorHAnsi" w:eastAsia="Calibri" w:hAnsiTheme="majorHAnsi"/>
          <w:sz w:val="20"/>
          <w:szCs w:val="20"/>
          <w:lang w:val="es-VE"/>
        </w:rPr>
        <w:t>,</w:t>
      </w:r>
      <w:r w:rsidR="00395C27" w:rsidRPr="00B56CF7">
        <w:rPr>
          <w:rFonts w:asciiTheme="majorHAnsi" w:eastAsia="Calibri" w:hAnsiTheme="majorHAnsi"/>
          <w:sz w:val="20"/>
          <w:szCs w:val="20"/>
          <w:lang w:val="es-VE"/>
        </w:rPr>
        <w:t xml:space="preserve"> el peticionario fue absuelto debido a que no hubo acusación fiscal </w:t>
      </w:r>
      <w:r w:rsidR="008220D0" w:rsidRPr="00B56CF7">
        <w:rPr>
          <w:rFonts w:asciiTheme="majorHAnsi" w:eastAsia="Calibri" w:hAnsiTheme="majorHAnsi"/>
          <w:sz w:val="20"/>
          <w:szCs w:val="20"/>
          <w:lang w:val="es-VE"/>
        </w:rPr>
        <w:t>con</w:t>
      </w:r>
      <w:r w:rsidR="00395C27" w:rsidRPr="00B56CF7">
        <w:rPr>
          <w:rFonts w:asciiTheme="majorHAnsi" w:eastAsia="Calibri" w:hAnsiTheme="majorHAnsi"/>
          <w:sz w:val="20"/>
          <w:szCs w:val="20"/>
          <w:lang w:val="es-VE"/>
        </w:rPr>
        <w:t xml:space="preserve"> relación a su persona. Por otra parte, </w:t>
      </w:r>
      <w:r w:rsidR="00163541" w:rsidRPr="00B56CF7">
        <w:rPr>
          <w:rFonts w:asciiTheme="majorHAnsi" w:eastAsia="Calibri" w:hAnsiTheme="majorHAnsi"/>
          <w:sz w:val="20"/>
          <w:szCs w:val="20"/>
          <w:lang w:val="es-VE"/>
        </w:rPr>
        <w:t xml:space="preserve">en </w:t>
      </w:r>
      <w:r w:rsidR="00395C27" w:rsidRPr="00B56CF7">
        <w:rPr>
          <w:rFonts w:asciiTheme="majorHAnsi" w:eastAsia="Calibri" w:hAnsiTheme="majorHAnsi"/>
          <w:sz w:val="20"/>
          <w:szCs w:val="20"/>
          <w:lang w:val="es-VE"/>
        </w:rPr>
        <w:t>la sentencia</w:t>
      </w:r>
      <w:r w:rsidR="00163541" w:rsidRPr="00B56CF7">
        <w:rPr>
          <w:rFonts w:asciiTheme="majorHAnsi" w:eastAsia="Calibri" w:hAnsiTheme="majorHAnsi"/>
          <w:sz w:val="20"/>
          <w:szCs w:val="20"/>
          <w:lang w:val="es-VE"/>
        </w:rPr>
        <w:t xml:space="preserve"> se</w:t>
      </w:r>
      <w:r w:rsidR="00395C27" w:rsidRPr="00B56CF7">
        <w:rPr>
          <w:rFonts w:asciiTheme="majorHAnsi" w:eastAsia="Calibri" w:hAnsiTheme="majorHAnsi"/>
          <w:sz w:val="20"/>
          <w:szCs w:val="20"/>
          <w:lang w:val="es-VE"/>
        </w:rPr>
        <w:t xml:space="preserve"> expresó que el auto de prisión preventiva debería haber sido incuestionablemente infundado o arbitrario para generar derecho a indemnización, lo cual no ocurrió en el </w:t>
      </w:r>
      <w:r w:rsidR="00395C27" w:rsidRPr="00B56CF7">
        <w:rPr>
          <w:rFonts w:asciiTheme="majorHAnsi" w:eastAsia="Calibri" w:hAnsiTheme="majorHAnsi"/>
          <w:sz w:val="20"/>
          <w:szCs w:val="20"/>
          <w:lang w:val="es-VE"/>
        </w:rPr>
        <w:lastRenderedPageBreak/>
        <w:t>presente caso</w:t>
      </w:r>
      <w:r w:rsidR="00FB43C8">
        <w:rPr>
          <w:rFonts w:asciiTheme="majorHAnsi" w:eastAsia="Calibri" w:hAnsiTheme="majorHAnsi"/>
          <w:sz w:val="20"/>
          <w:szCs w:val="20"/>
          <w:lang w:val="es-VE"/>
        </w:rPr>
        <w:t>,</w:t>
      </w:r>
      <w:r w:rsidR="00395C27" w:rsidRPr="00B56CF7">
        <w:rPr>
          <w:rFonts w:asciiTheme="majorHAnsi" w:eastAsia="Calibri" w:hAnsiTheme="majorHAnsi"/>
          <w:sz w:val="20"/>
          <w:szCs w:val="20"/>
          <w:lang w:val="es-VE"/>
        </w:rPr>
        <w:t xml:space="preserve"> debido a que al momento de dictar prisión preventiva existían suficientes elementos de prueba susceptibles de generar una legítima sospecha respecto de </w:t>
      </w:r>
      <w:r w:rsidR="00E722E2" w:rsidRPr="00B56CF7">
        <w:rPr>
          <w:rFonts w:asciiTheme="majorHAnsi" w:eastAsia="Calibri" w:hAnsiTheme="majorHAnsi"/>
          <w:sz w:val="20"/>
          <w:szCs w:val="20"/>
          <w:lang w:val="es-VE"/>
        </w:rPr>
        <w:t>la responsabilidad del peticionario.</w:t>
      </w:r>
    </w:p>
    <w:p w:rsidR="00E722E2" w:rsidRPr="00B56CF7" w:rsidRDefault="00E722E2" w:rsidP="00E722E2">
      <w:pPr>
        <w:pStyle w:val="ListParagraph"/>
        <w:rPr>
          <w:rFonts w:asciiTheme="majorHAnsi" w:eastAsia="Calibri" w:hAnsiTheme="majorHAnsi"/>
          <w:sz w:val="20"/>
          <w:szCs w:val="20"/>
          <w:lang w:val="es-VE"/>
        </w:rPr>
      </w:pPr>
    </w:p>
    <w:p w:rsidR="00E722E2" w:rsidRPr="00B56CF7" w:rsidRDefault="00B54749" w:rsidP="008E22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Agregó que el</w:t>
      </w:r>
      <w:r w:rsidR="00EB0A73" w:rsidRPr="00B56CF7">
        <w:rPr>
          <w:rFonts w:asciiTheme="majorHAnsi" w:eastAsia="Calibri" w:hAnsiTheme="majorHAnsi"/>
          <w:sz w:val="20"/>
          <w:szCs w:val="20"/>
          <w:lang w:val="es-VE"/>
        </w:rPr>
        <w:t xml:space="preserve"> peticionario apeló dicha sentencia ante la Cámara Nacional de Apelaciones Contencioso Administrativo, la cual resolvió declarar desierto el recurso</w:t>
      </w:r>
      <w:r w:rsidR="0039447A">
        <w:rPr>
          <w:rFonts w:asciiTheme="majorHAnsi" w:eastAsia="Calibri" w:hAnsiTheme="majorHAnsi"/>
          <w:sz w:val="20"/>
          <w:szCs w:val="20"/>
          <w:lang w:val="es-VE"/>
        </w:rPr>
        <w:t xml:space="preserve"> debido a que no se habrían impugnado concretamente las motivaciones de la decisión de primera instancia,</w:t>
      </w:r>
      <w:r w:rsidR="00EB0A73" w:rsidRPr="00B56CF7">
        <w:rPr>
          <w:rFonts w:asciiTheme="majorHAnsi" w:eastAsia="Calibri" w:hAnsiTheme="majorHAnsi"/>
          <w:sz w:val="20"/>
          <w:szCs w:val="20"/>
          <w:lang w:val="es-VE"/>
        </w:rPr>
        <w:t xml:space="preserve"> quedando firme la sentencia dene</w:t>
      </w:r>
      <w:r w:rsidRPr="00B56CF7">
        <w:rPr>
          <w:rFonts w:asciiTheme="majorHAnsi" w:eastAsia="Calibri" w:hAnsiTheme="majorHAnsi"/>
          <w:sz w:val="20"/>
          <w:szCs w:val="20"/>
          <w:lang w:val="es-VE"/>
        </w:rPr>
        <w:t>gatoria el 25 de marzo de 2008.</w:t>
      </w:r>
      <w:r w:rsidR="0039447A">
        <w:rPr>
          <w:rFonts w:asciiTheme="majorHAnsi" w:eastAsia="Calibri" w:hAnsiTheme="majorHAnsi"/>
          <w:sz w:val="20"/>
          <w:szCs w:val="20"/>
          <w:lang w:val="es-VE"/>
        </w:rPr>
        <w:t xml:space="preserve"> </w:t>
      </w:r>
    </w:p>
    <w:p w:rsidR="00F90433" w:rsidRPr="00B56CF7" w:rsidRDefault="00F90433" w:rsidP="003527E2">
      <w:pPr>
        <w:pStyle w:val="ListParagraph"/>
        <w:rPr>
          <w:rFonts w:asciiTheme="majorHAnsi" w:eastAsia="Calibri" w:hAnsiTheme="majorHAnsi"/>
          <w:sz w:val="20"/>
          <w:szCs w:val="20"/>
          <w:lang w:val="es-VE"/>
        </w:rPr>
      </w:pPr>
    </w:p>
    <w:p w:rsidR="00F90433" w:rsidRPr="00B56CF7" w:rsidRDefault="00F90433" w:rsidP="008E22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En cuanto a las amenazas que el peticionario alega haber recibido como represalia a su búsqueda por justicia, el Estado indicó que no es de “buena fe” imputar la ola de asaltos que se da en el país a una supuesta persecución de funcionarios del Estado</w:t>
      </w:r>
      <w:r w:rsidR="00BD403B" w:rsidRPr="00B56CF7">
        <w:rPr>
          <w:rFonts w:asciiTheme="majorHAnsi" w:eastAsia="Calibri" w:hAnsiTheme="majorHAnsi"/>
          <w:sz w:val="20"/>
          <w:szCs w:val="20"/>
          <w:lang w:val="es-VE"/>
        </w:rPr>
        <w:t xml:space="preserve">. Agregó que </w:t>
      </w:r>
      <w:r w:rsidR="00DA326B" w:rsidRPr="00B56CF7">
        <w:rPr>
          <w:rFonts w:asciiTheme="majorHAnsi" w:eastAsia="Calibri" w:hAnsiTheme="majorHAnsi"/>
          <w:sz w:val="20"/>
          <w:szCs w:val="20"/>
          <w:lang w:val="es-VE"/>
        </w:rPr>
        <w:t xml:space="preserve">ese argumento se utilizó </w:t>
      </w:r>
      <w:r w:rsidRPr="00B56CF7">
        <w:rPr>
          <w:rFonts w:asciiTheme="majorHAnsi" w:eastAsia="Calibri" w:hAnsiTheme="majorHAnsi"/>
          <w:sz w:val="20"/>
          <w:szCs w:val="20"/>
          <w:lang w:val="es-VE"/>
        </w:rPr>
        <w:t xml:space="preserve">como pretexto para no </w:t>
      </w:r>
      <w:r w:rsidR="00E35520" w:rsidRPr="00B56CF7">
        <w:rPr>
          <w:rFonts w:asciiTheme="majorHAnsi" w:eastAsia="Calibri" w:hAnsiTheme="majorHAnsi"/>
          <w:sz w:val="20"/>
          <w:szCs w:val="20"/>
          <w:lang w:val="es-VE"/>
        </w:rPr>
        <w:t xml:space="preserve">agotar </w:t>
      </w:r>
      <w:r w:rsidRPr="00B56CF7">
        <w:rPr>
          <w:rFonts w:asciiTheme="majorHAnsi" w:eastAsia="Calibri" w:hAnsiTheme="majorHAnsi"/>
          <w:sz w:val="20"/>
          <w:szCs w:val="20"/>
          <w:lang w:val="es-VE"/>
        </w:rPr>
        <w:t>los recurso</w:t>
      </w:r>
      <w:r w:rsidR="00E35520" w:rsidRPr="00B56CF7">
        <w:rPr>
          <w:rFonts w:asciiTheme="majorHAnsi" w:eastAsia="Calibri" w:hAnsiTheme="majorHAnsi"/>
          <w:sz w:val="20"/>
          <w:szCs w:val="20"/>
          <w:lang w:val="es-VE"/>
        </w:rPr>
        <w:t>s</w:t>
      </w:r>
      <w:r w:rsidRPr="00B56CF7">
        <w:rPr>
          <w:rFonts w:asciiTheme="majorHAnsi" w:eastAsia="Calibri" w:hAnsiTheme="majorHAnsi"/>
          <w:sz w:val="20"/>
          <w:szCs w:val="20"/>
          <w:lang w:val="es-VE"/>
        </w:rPr>
        <w:t xml:space="preserve"> internos. </w:t>
      </w:r>
    </w:p>
    <w:p w:rsidR="00F90433" w:rsidRPr="00B56CF7" w:rsidRDefault="00F90433" w:rsidP="00F90433">
      <w:pPr>
        <w:rPr>
          <w:rFonts w:asciiTheme="majorHAnsi" w:eastAsia="Calibri" w:hAnsiTheme="majorHAnsi"/>
          <w:sz w:val="20"/>
          <w:szCs w:val="20"/>
          <w:lang w:val="es-VE"/>
        </w:rPr>
      </w:pPr>
    </w:p>
    <w:p w:rsidR="00B25D3C" w:rsidRPr="00B56CF7" w:rsidRDefault="00B54749" w:rsidP="00B5474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En cuanto al derecho, el Estado argumentó que </w:t>
      </w:r>
      <w:r w:rsidR="00FD0576" w:rsidRPr="00B56CF7">
        <w:rPr>
          <w:rFonts w:asciiTheme="majorHAnsi" w:eastAsia="Calibri" w:hAnsiTheme="majorHAnsi"/>
          <w:sz w:val="20"/>
          <w:szCs w:val="20"/>
          <w:lang w:val="es-VE"/>
        </w:rPr>
        <w:t xml:space="preserve">los alegatos relacionados con violaciones a </w:t>
      </w:r>
      <w:r w:rsidR="00FD0576" w:rsidRPr="00B56CF7">
        <w:rPr>
          <w:rFonts w:asciiTheme="majorHAnsi" w:eastAsia="Calibri" w:hAnsiTheme="majorHAnsi"/>
          <w:b/>
          <w:sz w:val="20"/>
          <w:szCs w:val="20"/>
          <w:lang w:val="es-VE"/>
        </w:rPr>
        <w:t xml:space="preserve">los derechos a libertad personal, garantías judiciales y protección judicial </w:t>
      </w:r>
      <w:r w:rsidR="00FD0576" w:rsidRPr="00B56CF7">
        <w:rPr>
          <w:rFonts w:asciiTheme="majorHAnsi" w:eastAsia="Calibri" w:hAnsiTheme="majorHAnsi"/>
          <w:sz w:val="20"/>
          <w:szCs w:val="20"/>
          <w:lang w:val="es-VE"/>
        </w:rPr>
        <w:t xml:space="preserve">devinieron abstractos debido a que el peticionario fue sometido a proceso penal en la causa </w:t>
      </w:r>
      <w:r w:rsidR="00AB5881" w:rsidRPr="00B56CF7">
        <w:rPr>
          <w:rFonts w:asciiTheme="majorHAnsi" w:eastAsia="Calibri" w:hAnsiTheme="majorHAnsi"/>
          <w:sz w:val="20"/>
          <w:szCs w:val="20"/>
          <w:lang w:val="es-VE"/>
        </w:rPr>
        <w:t>N</w:t>
      </w:r>
      <w:r w:rsidR="00FD0576" w:rsidRPr="00B56CF7">
        <w:rPr>
          <w:rFonts w:asciiTheme="majorHAnsi" w:eastAsia="Calibri" w:hAnsiTheme="majorHAnsi"/>
          <w:sz w:val="20"/>
          <w:szCs w:val="20"/>
          <w:lang w:val="es-VE"/>
        </w:rPr>
        <w:t xml:space="preserve">o. 73 </w:t>
      </w:r>
      <w:r w:rsidR="00C36DFD" w:rsidRPr="00B56CF7">
        <w:rPr>
          <w:rFonts w:asciiTheme="majorHAnsi" w:eastAsia="Calibri" w:hAnsiTheme="majorHAnsi"/>
          <w:sz w:val="20"/>
          <w:szCs w:val="20"/>
          <w:lang w:val="es-VE"/>
        </w:rPr>
        <w:t xml:space="preserve">“Padilla Echeverry, José </w:t>
      </w:r>
      <w:proofErr w:type="spellStart"/>
      <w:r w:rsidR="00C36DFD" w:rsidRPr="00B56CF7">
        <w:rPr>
          <w:rFonts w:asciiTheme="majorHAnsi" w:eastAsia="Calibri" w:hAnsiTheme="majorHAnsi"/>
          <w:sz w:val="20"/>
          <w:szCs w:val="20"/>
          <w:lang w:val="es-VE"/>
        </w:rPr>
        <w:t>Gilardo</w:t>
      </w:r>
      <w:proofErr w:type="spellEnd"/>
      <w:r w:rsidR="00C36DFD" w:rsidRPr="00B56CF7">
        <w:rPr>
          <w:rFonts w:asciiTheme="majorHAnsi" w:eastAsia="Calibri" w:hAnsiTheme="majorHAnsi"/>
          <w:sz w:val="20"/>
          <w:szCs w:val="20"/>
          <w:lang w:val="es-VE"/>
        </w:rPr>
        <w:t xml:space="preserve"> y otros s/ Infracción Ley 23.737- Falsificación de documentos públicos y tenencia de armas de guerra”, la</w:t>
      </w:r>
      <w:r w:rsidR="00FD0576" w:rsidRPr="00B56CF7">
        <w:rPr>
          <w:rFonts w:asciiTheme="majorHAnsi" w:eastAsia="Calibri" w:hAnsiTheme="majorHAnsi"/>
          <w:sz w:val="20"/>
          <w:szCs w:val="20"/>
          <w:lang w:val="es-VE"/>
        </w:rPr>
        <w:t xml:space="preserve"> cual se sustanció en la fase oral ante el Tribunal en lo Criminal Federal No 6</w:t>
      </w:r>
      <w:r w:rsidR="00914361" w:rsidRPr="00B56CF7">
        <w:rPr>
          <w:rFonts w:asciiTheme="majorHAnsi" w:eastAsia="Calibri" w:hAnsiTheme="majorHAnsi"/>
          <w:sz w:val="20"/>
          <w:szCs w:val="20"/>
          <w:lang w:val="es-VE"/>
        </w:rPr>
        <w:t xml:space="preserve">. Indicó que </w:t>
      </w:r>
      <w:r w:rsidR="00FD0576" w:rsidRPr="00B56CF7">
        <w:rPr>
          <w:rFonts w:asciiTheme="majorHAnsi" w:eastAsia="Calibri" w:hAnsiTheme="majorHAnsi"/>
          <w:sz w:val="20"/>
          <w:szCs w:val="20"/>
          <w:lang w:val="es-VE"/>
        </w:rPr>
        <w:t>por resolución de 13 de noviembre de 1997 dicho tribu</w:t>
      </w:r>
      <w:r w:rsidR="00B25D3C" w:rsidRPr="00B56CF7">
        <w:rPr>
          <w:rFonts w:asciiTheme="majorHAnsi" w:eastAsia="Calibri" w:hAnsiTheme="majorHAnsi"/>
          <w:sz w:val="20"/>
          <w:szCs w:val="20"/>
          <w:lang w:val="es-VE"/>
        </w:rPr>
        <w:t>n</w:t>
      </w:r>
      <w:r w:rsidR="00FD0576" w:rsidRPr="00B56CF7">
        <w:rPr>
          <w:rFonts w:asciiTheme="majorHAnsi" w:eastAsia="Calibri" w:hAnsiTheme="majorHAnsi"/>
          <w:sz w:val="20"/>
          <w:szCs w:val="20"/>
          <w:lang w:val="es-VE"/>
        </w:rPr>
        <w:t xml:space="preserve">al ordenó su libertad </w:t>
      </w:r>
      <w:r w:rsidR="00B25D3C" w:rsidRPr="00B56CF7">
        <w:rPr>
          <w:rFonts w:asciiTheme="majorHAnsi" w:eastAsia="Calibri" w:hAnsiTheme="majorHAnsi"/>
          <w:sz w:val="20"/>
          <w:szCs w:val="20"/>
          <w:lang w:val="es-VE"/>
        </w:rPr>
        <w:t>al constatar la falsedad ideológica de ciertas constancias probato</w:t>
      </w:r>
      <w:r w:rsidRPr="00B56CF7">
        <w:rPr>
          <w:rFonts w:asciiTheme="majorHAnsi" w:eastAsia="Calibri" w:hAnsiTheme="majorHAnsi"/>
          <w:sz w:val="20"/>
          <w:szCs w:val="20"/>
          <w:lang w:val="es-VE"/>
        </w:rPr>
        <w:t xml:space="preserve">rias que obraban en su contra. </w:t>
      </w:r>
      <w:r w:rsidR="00B25D3C" w:rsidRPr="00B56CF7">
        <w:rPr>
          <w:rFonts w:asciiTheme="majorHAnsi" w:eastAsia="Calibri" w:hAnsiTheme="majorHAnsi"/>
          <w:sz w:val="20"/>
          <w:szCs w:val="20"/>
          <w:lang w:val="es-VE"/>
        </w:rPr>
        <w:t xml:space="preserve">Agregó que dicho tribunal absolvió al peticionario el 23 de diciembre de 1997 y que en el marco de dicho proceso el peticionario tuvo acceso a los recursos legalmente disponibles así como a un defensor oficial. </w:t>
      </w:r>
    </w:p>
    <w:p w:rsidR="00B25D3C" w:rsidRPr="00B56CF7" w:rsidRDefault="00B25D3C" w:rsidP="00B25D3C">
      <w:pPr>
        <w:pStyle w:val="ListParagraph"/>
        <w:rPr>
          <w:rFonts w:asciiTheme="majorHAnsi" w:eastAsia="Calibri" w:hAnsiTheme="majorHAnsi"/>
          <w:sz w:val="20"/>
          <w:szCs w:val="20"/>
          <w:lang w:val="es-VE"/>
        </w:rPr>
      </w:pPr>
    </w:p>
    <w:p w:rsidR="00285A70" w:rsidRPr="00B56CF7" w:rsidRDefault="00B25D3C" w:rsidP="00BF559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En relación con la falta de investigación y sanción de los funcionarios judiciales</w:t>
      </w:r>
      <w:r w:rsidR="000E5533" w:rsidRPr="00B56CF7">
        <w:rPr>
          <w:rFonts w:asciiTheme="majorHAnsi" w:eastAsia="Calibri" w:hAnsiTheme="majorHAnsi"/>
          <w:sz w:val="20"/>
          <w:szCs w:val="20"/>
          <w:lang w:val="es-VE"/>
        </w:rPr>
        <w:t>,</w:t>
      </w:r>
      <w:r w:rsidRPr="00B56CF7">
        <w:rPr>
          <w:rFonts w:asciiTheme="majorHAnsi" w:eastAsia="Calibri" w:hAnsiTheme="majorHAnsi"/>
          <w:sz w:val="20"/>
          <w:szCs w:val="20"/>
          <w:lang w:val="es-VE"/>
        </w:rPr>
        <w:t xml:space="preserve"> </w:t>
      </w:r>
      <w:r w:rsidR="00C36DFD" w:rsidRPr="00B56CF7">
        <w:rPr>
          <w:rFonts w:asciiTheme="majorHAnsi" w:eastAsia="Calibri" w:hAnsiTheme="majorHAnsi"/>
          <w:sz w:val="20"/>
          <w:szCs w:val="20"/>
          <w:lang w:val="es-VE"/>
        </w:rPr>
        <w:t xml:space="preserve">el Estado argumentó que la causa a la que fue sometido el peticionario implicó una investigación sumamente compleja que contó con 19 imputados, de los cuales 9 fueron condenados con penas entre 4 y 17 años de prisión. </w:t>
      </w:r>
      <w:r w:rsidR="00163082" w:rsidRPr="00B56CF7">
        <w:rPr>
          <w:rFonts w:asciiTheme="majorHAnsi" w:eastAsia="Calibri" w:hAnsiTheme="majorHAnsi"/>
          <w:sz w:val="20"/>
          <w:szCs w:val="20"/>
          <w:lang w:val="es-VE"/>
        </w:rPr>
        <w:t xml:space="preserve">Indicó que en el marco de dicha investigación se dispuso la intervención de más de 40 líneas telefónicas y se secuestró una importante cantidad de </w:t>
      </w:r>
      <w:r w:rsidR="00A95835" w:rsidRPr="00B56CF7">
        <w:rPr>
          <w:rFonts w:asciiTheme="majorHAnsi" w:eastAsia="Calibri" w:hAnsiTheme="majorHAnsi"/>
          <w:sz w:val="20"/>
          <w:szCs w:val="20"/>
          <w:lang w:val="es-VE"/>
        </w:rPr>
        <w:t>estupefacientes correspondientes a una red internacional de narcotráfico.</w:t>
      </w:r>
      <w:r w:rsidR="00692DE8" w:rsidRPr="00B56CF7">
        <w:rPr>
          <w:rFonts w:asciiTheme="majorHAnsi" w:eastAsia="Calibri" w:hAnsiTheme="majorHAnsi"/>
          <w:sz w:val="20"/>
          <w:szCs w:val="20"/>
          <w:lang w:val="es-VE"/>
        </w:rPr>
        <w:t xml:space="preserve"> Alegó que en ese marco</w:t>
      </w:r>
      <w:r w:rsidR="007B2A71">
        <w:rPr>
          <w:rFonts w:asciiTheme="majorHAnsi" w:eastAsia="Calibri" w:hAnsiTheme="majorHAnsi"/>
          <w:sz w:val="20"/>
          <w:szCs w:val="20"/>
          <w:lang w:val="es-VE"/>
        </w:rPr>
        <w:t>,</w:t>
      </w:r>
      <w:r w:rsidR="00692DE8" w:rsidRPr="00B56CF7">
        <w:rPr>
          <w:rFonts w:asciiTheme="majorHAnsi" w:eastAsia="Calibri" w:hAnsiTheme="majorHAnsi"/>
          <w:sz w:val="20"/>
          <w:szCs w:val="20"/>
          <w:lang w:val="es-VE"/>
        </w:rPr>
        <w:t xml:space="preserve"> el Tribunal Oral Criminal Federal No. 6 impulsó la investigación de la presunta falsedad ideológica de la transcripción de las escuchas telefónicas que fueron utilizadas como prueba de cargo contra el peticionario, para lo cual ordenó la promoción de actuaciones administrativas que se tramitaron ante la Procuración General de la Nación y de actuaciones judiciales que se tramitaron ante el Juzgado Nacional en lo Criminal y Correccional Federal No</w:t>
      </w:r>
      <w:r w:rsidR="00EF47C6" w:rsidRPr="00B56CF7">
        <w:rPr>
          <w:rFonts w:asciiTheme="majorHAnsi" w:eastAsia="Calibri" w:hAnsiTheme="majorHAnsi"/>
          <w:sz w:val="20"/>
          <w:szCs w:val="20"/>
          <w:lang w:val="es-VE"/>
        </w:rPr>
        <w:t>.</w:t>
      </w:r>
      <w:r w:rsidR="00692DE8" w:rsidRPr="00B56CF7">
        <w:rPr>
          <w:rFonts w:asciiTheme="majorHAnsi" w:eastAsia="Calibri" w:hAnsiTheme="majorHAnsi"/>
          <w:sz w:val="20"/>
          <w:szCs w:val="20"/>
          <w:lang w:val="es-VE"/>
        </w:rPr>
        <w:t xml:space="preserve"> 2 en la causa no. 19.756 caratulada “ NN s/Delito de acción pública”. </w:t>
      </w:r>
    </w:p>
    <w:p w:rsidR="00625E2A" w:rsidRPr="0062236D" w:rsidRDefault="00625E2A" w:rsidP="00910B7A">
      <w:pPr>
        <w:rPr>
          <w:rFonts w:asciiTheme="majorHAnsi" w:hAnsiTheme="majorHAnsi"/>
          <w:sz w:val="20"/>
          <w:szCs w:val="20"/>
          <w:lang w:val="es-VE"/>
        </w:rPr>
      </w:pPr>
    </w:p>
    <w:p w:rsidR="00625E2A" w:rsidRPr="00B56CF7" w:rsidRDefault="00625E2A" w:rsidP="00B25D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En cuanto a las actuaciones administrativas</w:t>
      </w:r>
      <w:r w:rsidR="007B2A71">
        <w:rPr>
          <w:rFonts w:asciiTheme="majorHAnsi" w:eastAsia="Calibri" w:hAnsiTheme="majorHAnsi"/>
          <w:sz w:val="20"/>
          <w:szCs w:val="20"/>
          <w:lang w:val="es-VE"/>
        </w:rPr>
        <w:t>,</w:t>
      </w:r>
      <w:r w:rsidRPr="00B56CF7">
        <w:rPr>
          <w:rFonts w:asciiTheme="majorHAnsi" w:eastAsia="Calibri" w:hAnsiTheme="majorHAnsi"/>
          <w:sz w:val="20"/>
          <w:szCs w:val="20"/>
          <w:lang w:val="es-VE"/>
        </w:rPr>
        <w:t xml:space="preserve"> </w:t>
      </w:r>
      <w:r w:rsidR="006415F5" w:rsidRPr="00B56CF7">
        <w:rPr>
          <w:rFonts w:asciiTheme="majorHAnsi" w:eastAsia="Calibri" w:hAnsiTheme="majorHAnsi"/>
          <w:sz w:val="20"/>
          <w:szCs w:val="20"/>
          <w:lang w:val="es-VE"/>
        </w:rPr>
        <w:t xml:space="preserve">indicó que por resolución 108/99 de 6 de septiembre de 1999, la Procuración de la Nación resolvió que no correspondía efectuar reproches de </w:t>
      </w:r>
      <w:r w:rsidR="00767453" w:rsidRPr="00B56CF7">
        <w:rPr>
          <w:rFonts w:asciiTheme="majorHAnsi" w:eastAsia="Calibri" w:hAnsiTheme="majorHAnsi"/>
          <w:sz w:val="20"/>
          <w:szCs w:val="20"/>
          <w:lang w:val="es-VE"/>
        </w:rPr>
        <w:t>índole</w:t>
      </w:r>
      <w:r w:rsidR="006415F5" w:rsidRPr="00B56CF7">
        <w:rPr>
          <w:rFonts w:asciiTheme="majorHAnsi" w:eastAsia="Calibri" w:hAnsiTheme="majorHAnsi"/>
          <w:sz w:val="20"/>
          <w:szCs w:val="20"/>
          <w:lang w:val="es-VE"/>
        </w:rPr>
        <w:t xml:space="preserve"> funcional a los fiscales de la Fiscalía No. 9</w:t>
      </w:r>
      <w:r w:rsidR="00D52D7B" w:rsidRPr="00B56CF7">
        <w:rPr>
          <w:rFonts w:asciiTheme="majorHAnsi" w:eastAsia="Calibri" w:hAnsiTheme="majorHAnsi"/>
          <w:sz w:val="20"/>
          <w:szCs w:val="20"/>
          <w:lang w:val="es-VE"/>
        </w:rPr>
        <w:t xml:space="preserve">. </w:t>
      </w:r>
      <w:r w:rsidR="00CE4419" w:rsidRPr="00B56CF7">
        <w:rPr>
          <w:rFonts w:asciiTheme="majorHAnsi" w:eastAsia="Calibri" w:hAnsiTheme="majorHAnsi"/>
          <w:sz w:val="20"/>
          <w:szCs w:val="20"/>
          <w:lang w:val="es-VE"/>
        </w:rPr>
        <w:t>Además</w:t>
      </w:r>
      <w:r w:rsidR="00161CB4" w:rsidRPr="00B56CF7">
        <w:rPr>
          <w:rFonts w:asciiTheme="majorHAnsi" w:eastAsia="Calibri" w:hAnsiTheme="majorHAnsi"/>
          <w:sz w:val="20"/>
          <w:szCs w:val="20"/>
          <w:lang w:val="es-VE"/>
        </w:rPr>
        <w:t>,</w:t>
      </w:r>
      <w:r w:rsidR="00CE4419" w:rsidRPr="00B56CF7">
        <w:rPr>
          <w:rFonts w:asciiTheme="majorHAnsi" w:eastAsia="Calibri" w:hAnsiTheme="majorHAnsi"/>
          <w:sz w:val="20"/>
          <w:szCs w:val="20"/>
          <w:lang w:val="es-VE"/>
        </w:rPr>
        <w:t xml:space="preserve"> concluyó que los fiscales no habían incurrido en una falta funcional, tomando en cuenta que </w:t>
      </w:r>
      <w:r w:rsidR="00161CB4" w:rsidRPr="00B56CF7">
        <w:rPr>
          <w:rFonts w:asciiTheme="majorHAnsi" w:eastAsia="Calibri" w:hAnsiTheme="majorHAnsi"/>
          <w:sz w:val="20"/>
          <w:szCs w:val="20"/>
          <w:lang w:val="es-VE"/>
        </w:rPr>
        <w:t xml:space="preserve">las escuchas telefónicas en el </w:t>
      </w:r>
      <w:proofErr w:type="spellStart"/>
      <w:r w:rsidR="00161CB4" w:rsidRPr="00B56CF7">
        <w:rPr>
          <w:rFonts w:asciiTheme="majorHAnsi" w:eastAsia="Calibri" w:hAnsiTheme="majorHAnsi"/>
          <w:sz w:val="20"/>
          <w:szCs w:val="20"/>
          <w:lang w:val="es-VE"/>
        </w:rPr>
        <w:t>cassette</w:t>
      </w:r>
      <w:proofErr w:type="spellEnd"/>
      <w:r w:rsidR="00161CB4" w:rsidRPr="00B56CF7">
        <w:rPr>
          <w:rFonts w:asciiTheme="majorHAnsi" w:eastAsia="Calibri" w:hAnsiTheme="majorHAnsi"/>
          <w:sz w:val="20"/>
          <w:szCs w:val="20"/>
          <w:lang w:val="es-VE"/>
        </w:rPr>
        <w:t xml:space="preserve"> </w:t>
      </w:r>
      <w:r w:rsidR="00EF47C6" w:rsidRPr="00B56CF7">
        <w:rPr>
          <w:rFonts w:asciiTheme="majorHAnsi" w:eastAsia="Calibri" w:hAnsiTheme="majorHAnsi"/>
          <w:sz w:val="20"/>
          <w:szCs w:val="20"/>
          <w:lang w:val="es-VE"/>
        </w:rPr>
        <w:t>N</w:t>
      </w:r>
      <w:r w:rsidR="00161CB4" w:rsidRPr="00B56CF7">
        <w:rPr>
          <w:rFonts w:asciiTheme="majorHAnsi" w:eastAsia="Calibri" w:hAnsiTheme="majorHAnsi"/>
          <w:sz w:val="20"/>
          <w:szCs w:val="20"/>
          <w:lang w:val="es-VE"/>
        </w:rPr>
        <w:t>o. 40 si bien fueron conside</w:t>
      </w:r>
      <w:r w:rsidR="00C72302" w:rsidRPr="00B56CF7">
        <w:rPr>
          <w:rFonts w:asciiTheme="majorHAnsi" w:eastAsia="Calibri" w:hAnsiTheme="majorHAnsi"/>
          <w:sz w:val="20"/>
          <w:szCs w:val="20"/>
          <w:lang w:val="es-VE"/>
        </w:rPr>
        <w:t xml:space="preserve">rados como elementos de cargo, </w:t>
      </w:r>
      <w:r w:rsidR="00161CB4" w:rsidRPr="00B56CF7">
        <w:rPr>
          <w:rFonts w:asciiTheme="majorHAnsi" w:eastAsia="Calibri" w:hAnsiTheme="majorHAnsi"/>
          <w:sz w:val="20"/>
          <w:szCs w:val="20"/>
          <w:lang w:val="es-VE"/>
        </w:rPr>
        <w:t>fueron utilizados como un medio de prueba no concluyente, dentro de un contexto de indicios que llevaron a los funcionarios a solicitar la elevación a juicio de Gabriel Jenkins.</w:t>
      </w:r>
    </w:p>
    <w:p w:rsidR="00161CB4" w:rsidRPr="00B56CF7" w:rsidRDefault="00161CB4" w:rsidP="00161CB4">
      <w:pPr>
        <w:pStyle w:val="ListParagraph"/>
        <w:rPr>
          <w:rFonts w:asciiTheme="majorHAnsi" w:eastAsia="Calibri" w:hAnsiTheme="majorHAnsi"/>
          <w:sz w:val="20"/>
          <w:szCs w:val="20"/>
          <w:lang w:val="es-VE"/>
        </w:rPr>
      </w:pPr>
    </w:p>
    <w:p w:rsidR="00161CB4" w:rsidRPr="00B56CF7" w:rsidRDefault="001E2ACA" w:rsidP="00B25D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En cuanto a la causa penal 19.756, el Estado informó que en la misma se concluyó que no existían diferencias entre el acta de fs. 1099 y el contenido del </w:t>
      </w:r>
      <w:proofErr w:type="spellStart"/>
      <w:r w:rsidRPr="00B56CF7">
        <w:rPr>
          <w:rFonts w:asciiTheme="majorHAnsi" w:eastAsia="Calibri" w:hAnsiTheme="majorHAnsi"/>
          <w:sz w:val="20"/>
          <w:szCs w:val="20"/>
          <w:lang w:val="es-VE"/>
        </w:rPr>
        <w:t>cassette</w:t>
      </w:r>
      <w:proofErr w:type="spellEnd"/>
      <w:r w:rsidRPr="00B56CF7">
        <w:rPr>
          <w:rFonts w:asciiTheme="majorHAnsi" w:eastAsia="Calibri" w:hAnsiTheme="majorHAnsi"/>
          <w:sz w:val="20"/>
          <w:szCs w:val="20"/>
          <w:lang w:val="es-VE"/>
        </w:rPr>
        <w:t xml:space="preserve"> </w:t>
      </w:r>
      <w:proofErr w:type="spellStart"/>
      <w:r w:rsidR="00D53D62" w:rsidRPr="00B56CF7">
        <w:rPr>
          <w:rFonts w:asciiTheme="majorHAnsi" w:eastAsia="Calibri" w:hAnsiTheme="majorHAnsi"/>
          <w:sz w:val="20"/>
          <w:szCs w:val="20"/>
          <w:lang w:val="es-VE"/>
        </w:rPr>
        <w:t>desgrab</w:t>
      </w:r>
      <w:r w:rsidRPr="00B56CF7">
        <w:rPr>
          <w:rFonts w:asciiTheme="majorHAnsi" w:eastAsia="Calibri" w:hAnsiTheme="majorHAnsi"/>
          <w:sz w:val="20"/>
          <w:szCs w:val="20"/>
          <w:lang w:val="es-VE"/>
        </w:rPr>
        <w:t>ado</w:t>
      </w:r>
      <w:proofErr w:type="spellEnd"/>
      <w:r w:rsidRPr="00B56CF7">
        <w:rPr>
          <w:rFonts w:asciiTheme="majorHAnsi" w:eastAsia="Calibri" w:hAnsiTheme="majorHAnsi"/>
          <w:sz w:val="20"/>
          <w:szCs w:val="20"/>
          <w:lang w:val="es-VE"/>
        </w:rPr>
        <w:t xml:space="preserve"> ya que ambos se referían a un viaje al exterior; no obstante en el auto de elevación a juicio, los fiscales hicieron alusión a un viaje a “Panamá” en lugar de un “viaje al exterior”</w:t>
      </w:r>
      <w:r w:rsidR="00D53D62" w:rsidRPr="00B56CF7">
        <w:rPr>
          <w:rFonts w:asciiTheme="majorHAnsi" w:eastAsia="Calibri" w:hAnsiTheme="majorHAnsi"/>
          <w:sz w:val="20"/>
          <w:szCs w:val="20"/>
          <w:lang w:val="es-VE"/>
        </w:rPr>
        <w:t>, como genéricamente se lo menciona en la gr</w:t>
      </w:r>
      <w:r w:rsidR="00C72302" w:rsidRPr="00B56CF7">
        <w:rPr>
          <w:rFonts w:asciiTheme="majorHAnsi" w:eastAsia="Calibri" w:hAnsiTheme="majorHAnsi"/>
          <w:sz w:val="20"/>
          <w:szCs w:val="20"/>
          <w:lang w:val="es-VE"/>
        </w:rPr>
        <w:t xml:space="preserve">abación y el acta de fs. 1099. </w:t>
      </w:r>
      <w:r w:rsidR="00EF47C6" w:rsidRPr="00B56CF7">
        <w:rPr>
          <w:rFonts w:asciiTheme="majorHAnsi" w:eastAsia="Calibri" w:hAnsiTheme="majorHAnsi"/>
          <w:sz w:val="20"/>
          <w:szCs w:val="20"/>
          <w:lang w:val="es-VE"/>
        </w:rPr>
        <w:t>Indicó que a</w:t>
      </w:r>
      <w:r w:rsidR="00D53D62" w:rsidRPr="00B56CF7">
        <w:rPr>
          <w:rFonts w:asciiTheme="majorHAnsi" w:eastAsia="Calibri" w:hAnsiTheme="majorHAnsi"/>
          <w:sz w:val="20"/>
          <w:szCs w:val="20"/>
          <w:lang w:val="es-VE"/>
        </w:rPr>
        <w:t xml:space="preserve"> pesar de dicha diferencia, se concluyó que los fiscales no se refirieron exclusivamente al acta de fs. 1099, la cual no constituyó ni el único ni el más importante indicio que tuvieron en cuenta para solicitar la elevaci</w:t>
      </w:r>
      <w:r w:rsidR="00C72302" w:rsidRPr="00B56CF7">
        <w:rPr>
          <w:rFonts w:asciiTheme="majorHAnsi" w:eastAsia="Calibri" w:hAnsiTheme="majorHAnsi"/>
          <w:sz w:val="20"/>
          <w:szCs w:val="20"/>
          <w:lang w:val="es-VE"/>
        </w:rPr>
        <w:t xml:space="preserve">ón a juicio del peticionario. </w:t>
      </w:r>
      <w:r w:rsidR="003E2D79" w:rsidRPr="00B56CF7">
        <w:rPr>
          <w:rFonts w:asciiTheme="majorHAnsi" w:eastAsia="Calibri" w:hAnsiTheme="majorHAnsi"/>
          <w:sz w:val="20"/>
          <w:szCs w:val="20"/>
          <w:lang w:val="es-VE"/>
        </w:rPr>
        <w:t>Agregó que e</w:t>
      </w:r>
      <w:r w:rsidR="00D53D62" w:rsidRPr="00B56CF7">
        <w:rPr>
          <w:rFonts w:asciiTheme="majorHAnsi" w:eastAsia="Calibri" w:hAnsiTheme="majorHAnsi"/>
          <w:sz w:val="20"/>
          <w:szCs w:val="20"/>
          <w:lang w:val="es-VE"/>
        </w:rPr>
        <w:t>n vista de ello, por medio de sentencia de 20 de abril de 1998 se ordenó desestimar la cau</w:t>
      </w:r>
      <w:r w:rsidR="00677345" w:rsidRPr="00B56CF7">
        <w:rPr>
          <w:rFonts w:asciiTheme="majorHAnsi" w:eastAsia="Calibri" w:hAnsiTheme="majorHAnsi"/>
          <w:sz w:val="20"/>
          <w:szCs w:val="20"/>
          <w:lang w:val="es-VE"/>
        </w:rPr>
        <w:t>sa por inexistencia de delito.</w:t>
      </w:r>
    </w:p>
    <w:p w:rsidR="003F7FAD" w:rsidRPr="00B56CF7" w:rsidRDefault="003F7FAD" w:rsidP="003F7FAD">
      <w:pPr>
        <w:pStyle w:val="ListParagraph"/>
        <w:rPr>
          <w:rFonts w:asciiTheme="majorHAnsi" w:eastAsia="Calibri" w:hAnsiTheme="majorHAnsi"/>
          <w:sz w:val="20"/>
          <w:szCs w:val="20"/>
          <w:lang w:val="es-VE"/>
        </w:rPr>
      </w:pPr>
    </w:p>
    <w:p w:rsidR="003F7FAD" w:rsidRPr="00B56CF7" w:rsidRDefault="003F7FAD" w:rsidP="00B25D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Alegó que en vista de las razones anteriores, el Estado cumplió con su deber de investigar</w:t>
      </w:r>
      <w:r w:rsidR="00B47060" w:rsidRPr="00B56CF7">
        <w:rPr>
          <w:rFonts w:asciiTheme="majorHAnsi" w:eastAsia="Calibri" w:hAnsiTheme="majorHAnsi"/>
          <w:sz w:val="20"/>
          <w:szCs w:val="20"/>
          <w:lang w:val="es-VE"/>
        </w:rPr>
        <w:t xml:space="preserve"> con la debida diligencia</w:t>
      </w:r>
      <w:r w:rsidRPr="00B56CF7">
        <w:rPr>
          <w:rFonts w:asciiTheme="majorHAnsi" w:eastAsia="Calibri" w:hAnsiTheme="majorHAnsi"/>
          <w:sz w:val="20"/>
          <w:szCs w:val="20"/>
          <w:lang w:val="es-VE"/>
        </w:rPr>
        <w:t xml:space="preserve"> al declarar judicialmente la falsedad ideológica de la prueba, ordenar la inmediata libertad del peticionario y su posterior absolución, así como las actuaciones administrativas y penales para establecer las </w:t>
      </w:r>
      <w:r w:rsidR="00130393" w:rsidRPr="00B56CF7">
        <w:rPr>
          <w:rFonts w:asciiTheme="majorHAnsi" w:eastAsia="Calibri" w:hAnsiTheme="majorHAnsi"/>
          <w:sz w:val="20"/>
          <w:szCs w:val="20"/>
          <w:lang w:val="es-VE"/>
        </w:rPr>
        <w:t xml:space="preserve">posibles </w:t>
      </w:r>
      <w:r w:rsidRPr="00B56CF7">
        <w:rPr>
          <w:rFonts w:asciiTheme="majorHAnsi" w:eastAsia="Calibri" w:hAnsiTheme="majorHAnsi"/>
          <w:sz w:val="20"/>
          <w:szCs w:val="20"/>
          <w:lang w:val="es-VE"/>
        </w:rPr>
        <w:t xml:space="preserve">responsabilidades por los hechos. </w:t>
      </w:r>
    </w:p>
    <w:p w:rsidR="003F7FAD" w:rsidRPr="00B56CF7" w:rsidRDefault="003F7FAD" w:rsidP="003F7FAD">
      <w:pPr>
        <w:pStyle w:val="ListParagraph"/>
        <w:rPr>
          <w:rFonts w:asciiTheme="majorHAnsi" w:eastAsia="Calibri" w:hAnsiTheme="majorHAnsi"/>
          <w:sz w:val="20"/>
          <w:szCs w:val="20"/>
          <w:lang w:val="es-VE"/>
        </w:rPr>
      </w:pPr>
    </w:p>
    <w:p w:rsidR="003A557C" w:rsidRPr="00B56CF7" w:rsidRDefault="003A557C" w:rsidP="00B25D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Con respecto a la violación del </w:t>
      </w:r>
      <w:r w:rsidRPr="00B56CF7">
        <w:rPr>
          <w:rFonts w:asciiTheme="majorHAnsi" w:eastAsia="Calibri" w:hAnsiTheme="majorHAnsi"/>
          <w:b/>
          <w:sz w:val="20"/>
          <w:szCs w:val="20"/>
          <w:lang w:val="es-VE"/>
        </w:rPr>
        <w:t>derecho a la igualdad</w:t>
      </w:r>
      <w:r w:rsidRPr="00B56CF7">
        <w:rPr>
          <w:rFonts w:asciiTheme="majorHAnsi" w:eastAsia="Calibri" w:hAnsiTheme="majorHAnsi"/>
          <w:sz w:val="20"/>
          <w:szCs w:val="20"/>
          <w:lang w:val="es-VE"/>
        </w:rPr>
        <w:t xml:space="preserve"> el Estado indicó que la le</w:t>
      </w:r>
      <w:r w:rsidR="00DF22C9" w:rsidRPr="00B56CF7">
        <w:rPr>
          <w:rFonts w:asciiTheme="majorHAnsi" w:eastAsia="Calibri" w:hAnsiTheme="majorHAnsi"/>
          <w:sz w:val="20"/>
          <w:szCs w:val="20"/>
          <w:lang w:val="es-VE"/>
        </w:rPr>
        <w:t>y</w:t>
      </w:r>
      <w:r w:rsidRPr="00B56CF7">
        <w:rPr>
          <w:rFonts w:asciiTheme="majorHAnsi" w:eastAsia="Calibri" w:hAnsiTheme="majorHAnsi"/>
          <w:sz w:val="20"/>
          <w:szCs w:val="20"/>
          <w:lang w:val="es-VE"/>
        </w:rPr>
        <w:t xml:space="preserve"> 24.390 niega el beneficio de excarcelación a las personas acusadas de narcotráfico, en consonancia con los compromisos internacionales asumidos por Argentina respecto del flagelo del tráfico de drogas y la delincuencia organizada, los cuales requieren ser armonizados con las disposiciones del derecho interno. </w:t>
      </w:r>
    </w:p>
    <w:p w:rsidR="003A557C" w:rsidRPr="00B56CF7" w:rsidRDefault="003A557C" w:rsidP="003A557C">
      <w:pPr>
        <w:pStyle w:val="ListParagraph"/>
        <w:rPr>
          <w:rFonts w:asciiTheme="majorHAnsi" w:eastAsia="Calibri" w:hAnsiTheme="majorHAnsi"/>
          <w:sz w:val="20"/>
          <w:szCs w:val="20"/>
          <w:lang w:val="es-VE"/>
        </w:rPr>
      </w:pPr>
    </w:p>
    <w:p w:rsidR="003F7FAD" w:rsidRPr="00B56CF7" w:rsidRDefault="003F7FAD" w:rsidP="00B25D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Por otra parte, en cuanto a la falta de reparación en el proceso por daños y perjuicios seguidos contra el Estado Nacional,</w:t>
      </w:r>
      <w:r w:rsidR="009301F7" w:rsidRPr="00B56CF7">
        <w:rPr>
          <w:rFonts w:asciiTheme="majorHAnsi" w:eastAsia="Calibri" w:hAnsiTheme="majorHAnsi"/>
          <w:sz w:val="20"/>
          <w:szCs w:val="20"/>
          <w:lang w:val="es-VE"/>
        </w:rPr>
        <w:t xml:space="preserve"> </w:t>
      </w:r>
      <w:r w:rsidRPr="00B56CF7">
        <w:rPr>
          <w:rFonts w:asciiTheme="majorHAnsi" w:eastAsia="Calibri" w:hAnsiTheme="majorHAnsi"/>
          <w:sz w:val="20"/>
          <w:szCs w:val="20"/>
          <w:lang w:val="es-VE"/>
        </w:rPr>
        <w:t xml:space="preserve">argumentó que </w:t>
      </w:r>
      <w:r w:rsidR="009301F7" w:rsidRPr="00B56CF7">
        <w:rPr>
          <w:rFonts w:asciiTheme="majorHAnsi" w:eastAsia="Calibri" w:hAnsiTheme="majorHAnsi"/>
          <w:sz w:val="20"/>
          <w:szCs w:val="20"/>
          <w:lang w:val="es-VE"/>
        </w:rPr>
        <w:t>la causa por daños y perjuicios promovida por el peticionario contra el Estado Nacional</w:t>
      </w:r>
      <w:r w:rsidR="00FA2208">
        <w:rPr>
          <w:rFonts w:asciiTheme="majorHAnsi" w:eastAsia="Calibri" w:hAnsiTheme="majorHAnsi"/>
          <w:sz w:val="20"/>
          <w:szCs w:val="20"/>
          <w:lang w:val="es-VE"/>
        </w:rPr>
        <w:t>,</w:t>
      </w:r>
      <w:r w:rsidR="009301F7" w:rsidRPr="00B56CF7">
        <w:rPr>
          <w:rFonts w:asciiTheme="majorHAnsi" w:eastAsia="Calibri" w:hAnsiTheme="majorHAnsi"/>
          <w:sz w:val="20"/>
          <w:szCs w:val="20"/>
          <w:lang w:val="es-VE"/>
        </w:rPr>
        <w:t xml:space="preserve"> concluyó con el rechazo de la demanda por sentencia de segunda instancia de la Cámara Nacional de Apelaciones en lo Contencioso Administrativo Federal de 25 de marzo de 2008. </w:t>
      </w:r>
      <w:r w:rsidR="00D735F6" w:rsidRPr="00B56CF7">
        <w:rPr>
          <w:rFonts w:asciiTheme="majorHAnsi" w:eastAsia="Calibri" w:hAnsiTheme="majorHAnsi"/>
          <w:sz w:val="20"/>
          <w:szCs w:val="20"/>
          <w:lang w:val="es-VE"/>
        </w:rPr>
        <w:t>Señaló que e</w:t>
      </w:r>
      <w:r w:rsidR="009301F7" w:rsidRPr="00B56CF7">
        <w:rPr>
          <w:rFonts w:asciiTheme="majorHAnsi" w:eastAsia="Calibri" w:hAnsiTheme="majorHAnsi"/>
          <w:sz w:val="20"/>
          <w:szCs w:val="20"/>
          <w:lang w:val="es-VE"/>
        </w:rPr>
        <w:t xml:space="preserve">l Tribunal de alzada desestimó el recurso de apelación interpuesto por el peticionario por considerar que la absolución del señor Jenkins obedeció no a su “inocencia manifiesta” sino a la insuficiencia de elementos probatorios. </w:t>
      </w:r>
    </w:p>
    <w:p w:rsidR="00A6411A" w:rsidRPr="00B56CF7" w:rsidRDefault="00A6411A" w:rsidP="00A6411A">
      <w:pPr>
        <w:pStyle w:val="ListParagraph"/>
        <w:rPr>
          <w:rFonts w:asciiTheme="majorHAnsi" w:eastAsia="Calibri" w:hAnsiTheme="majorHAnsi"/>
          <w:sz w:val="20"/>
          <w:szCs w:val="20"/>
          <w:lang w:val="es-VE"/>
        </w:rPr>
      </w:pPr>
    </w:p>
    <w:p w:rsidR="00A6411A" w:rsidRPr="00B56CF7" w:rsidRDefault="00A6411A" w:rsidP="00B25D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Indicó que de conformidad con la declaración interpretativa formulada por</w:t>
      </w:r>
      <w:r w:rsidR="00C83458" w:rsidRPr="00B56CF7">
        <w:rPr>
          <w:rFonts w:asciiTheme="majorHAnsi" w:eastAsia="Calibri" w:hAnsiTheme="majorHAnsi"/>
          <w:sz w:val="20"/>
          <w:szCs w:val="20"/>
          <w:lang w:val="es-VE"/>
        </w:rPr>
        <w:t xml:space="preserve"> el Estado </w:t>
      </w:r>
      <w:r w:rsidRPr="00B56CF7">
        <w:rPr>
          <w:rFonts w:asciiTheme="majorHAnsi" w:eastAsia="Calibri" w:hAnsiTheme="majorHAnsi"/>
          <w:sz w:val="20"/>
          <w:szCs w:val="20"/>
          <w:lang w:val="es-VE"/>
        </w:rPr>
        <w:t>respecto del artículo 10 de la Convención Americana, se requiere la determinación del error judicial por un tribunal nacional para que proceda la indemnización.</w:t>
      </w:r>
    </w:p>
    <w:p w:rsidR="009301F7" w:rsidRPr="00B56CF7" w:rsidRDefault="009301F7" w:rsidP="009301F7">
      <w:pPr>
        <w:pStyle w:val="ListParagraph"/>
        <w:rPr>
          <w:rFonts w:asciiTheme="majorHAnsi" w:eastAsia="Calibri" w:hAnsiTheme="majorHAnsi"/>
          <w:sz w:val="20"/>
          <w:szCs w:val="20"/>
          <w:lang w:val="es-VE"/>
        </w:rPr>
      </w:pPr>
    </w:p>
    <w:p w:rsidR="0065540B" w:rsidRPr="00B56CF7" w:rsidRDefault="00C2211A" w:rsidP="00B25D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Agregó </w:t>
      </w:r>
      <w:r w:rsidR="00A6411A" w:rsidRPr="00B56CF7">
        <w:rPr>
          <w:rFonts w:asciiTheme="majorHAnsi" w:eastAsia="Calibri" w:hAnsiTheme="majorHAnsi"/>
          <w:sz w:val="20"/>
          <w:szCs w:val="20"/>
          <w:lang w:val="es-VE"/>
        </w:rPr>
        <w:t xml:space="preserve">con respecto a la prisión preventiva, </w:t>
      </w:r>
      <w:r w:rsidRPr="00B56CF7">
        <w:rPr>
          <w:rFonts w:asciiTheme="majorHAnsi" w:eastAsia="Calibri" w:hAnsiTheme="majorHAnsi"/>
          <w:sz w:val="20"/>
          <w:szCs w:val="20"/>
          <w:lang w:val="es-VE"/>
        </w:rPr>
        <w:t>que la Cámara Nacional de Apelaciones consider</w:t>
      </w:r>
      <w:r w:rsidR="007E5655" w:rsidRPr="00B56CF7">
        <w:rPr>
          <w:rFonts w:asciiTheme="majorHAnsi" w:eastAsia="Calibri" w:hAnsiTheme="majorHAnsi"/>
          <w:sz w:val="20"/>
          <w:szCs w:val="20"/>
          <w:lang w:val="es-VE"/>
        </w:rPr>
        <w:t xml:space="preserve">ó que el dictado de </w:t>
      </w:r>
      <w:r w:rsidR="00A6411A" w:rsidRPr="00B56CF7">
        <w:rPr>
          <w:rFonts w:asciiTheme="majorHAnsi" w:eastAsia="Calibri" w:hAnsiTheme="majorHAnsi"/>
          <w:sz w:val="20"/>
          <w:szCs w:val="20"/>
          <w:lang w:val="es-VE"/>
        </w:rPr>
        <w:t>dicha medida</w:t>
      </w:r>
      <w:r w:rsidRPr="00B56CF7">
        <w:rPr>
          <w:rFonts w:asciiTheme="majorHAnsi" w:eastAsia="Calibri" w:hAnsiTheme="majorHAnsi"/>
          <w:sz w:val="20"/>
          <w:szCs w:val="20"/>
          <w:lang w:val="es-VE"/>
        </w:rPr>
        <w:t xml:space="preserve"> no resultó arbitrario o infundado ya que no solamente tuvo en cuenta la prueba </w:t>
      </w:r>
      <w:r w:rsidR="007E5655" w:rsidRPr="00B56CF7">
        <w:rPr>
          <w:rFonts w:asciiTheme="majorHAnsi" w:eastAsia="Calibri" w:hAnsiTheme="majorHAnsi"/>
          <w:sz w:val="20"/>
          <w:szCs w:val="20"/>
          <w:lang w:val="es-VE"/>
        </w:rPr>
        <w:t>cuestionada</w:t>
      </w:r>
      <w:r w:rsidR="007B2A71">
        <w:rPr>
          <w:rFonts w:asciiTheme="majorHAnsi" w:eastAsia="Calibri" w:hAnsiTheme="majorHAnsi"/>
          <w:sz w:val="20"/>
          <w:szCs w:val="20"/>
          <w:lang w:val="es-VE"/>
        </w:rPr>
        <w:t>,</w:t>
      </w:r>
      <w:r w:rsidR="007E5655" w:rsidRPr="00B56CF7">
        <w:rPr>
          <w:rFonts w:asciiTheme="majorHAnsi" w:eastAsia="Calibri" w:hAnsiTheme="majorHAnsi"/>
          <w:sz w:val="20"/>
          <w:szCs w:val="20"/>
          <w:lang w:val="es-VE"/>
        </w:rPr>
        <w:t xml:space="preserve"> sino una serie de elementos probatorios que convencieron al juzgador en el sentido de disponer esa medida </w:t>
      </w:r>
      <w:r w:rsidR="00E950CD" w:rsidRPr="00B56CF7">
        <w:rPr>
          <w:rFonts w:asciiTheme="majorHAnsi" w:eastAsia="Calibri" w:hAnsiTheme="majorHAnsi"/>
          <w:sz w:val="20"/>
          <w:szCs w:val="20"/>
          <w:lang w:val="es-VE"/>
        </w:rPr>
        <w:t>procesal</w:t>
      </w:r>
      <w:r w:rsidR="007E5655" w:rsidRPr="00B56CF7">
        <w:rPr>
          <w:rFonts w:asciiTheme="majorHAnsi" w:eastAsia="Calibri" w:hAnsiTheme="majorHAnsi"/>
          <w:sz w:val="20"/>
          <w:szCs w:val="20"/>
          <w:lang w:val="es-VE"/>
        </w:rPr>
        <w:t xml:space="preserve">. </w:t>
      </w:r>
    </w:p>
    <w:p w:rsidR="0065540B" w:rsidRPr="00B56CF7" w:rsidRDefault="0065540B" w:rsidP="0065540B">
      <w:pPr>
        <w:pStyle w:val="ListParagraph"/>
        <w:rPr>
          <w:rFonts w:asciiTheme="majorHAnsi" w:eastAsia="Calibri" w:hAnsiTheme="majorHAnsi"/>
          <w:sz w:val="20"/>
          <w:szCs w:val="20"/>
          <w:lang w:val="es-VE"/>
        </w:rPr>
      </w:pPr>
    </w:p>
    <w:p w:rsidR="00BE2530" w:rsidRPr="00B56CF7" w:rsidRDefault="00906820" w:rsidP="00BE253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eastAsia="Calibri" w:hAnsiTheme="majorHAnsi"/>
          <w:sz w:val="20"/>
          <w:szCs w:val="20"/>
          <w:lang w:val="es-VE"/>
        </w:rPr>
        <w:t xml:space="preserve"> Concluyó indicando que lo que el peticionario presenta como falta de una adecuada reparación, no es sino el rechazo en el ámbito interno de las pretensiones indemnizatorias </w:t>
      </w:r>
      <w:r w:rsidR="00505527" w:rsidRPr="00B56CF7">
        <w:rPr>
          <w:rFonts w:asciiTheme="majorHAnsi" w:eastAsia="Calibri" w:hAnsiTheme="majorHAnsi"/>
          <w:sz w:val="20"/>
          <w:szCs w:val="20"/>
          <w:lang w:val="es-VE"/>
        </w:rPr>
        <w:t>que han sido consideradas carentes de fun</w:t>
      </w:r>
      <w:r w:rsidR="00C72302" w:rsidRPr="00B56CF7">
        <w:rPr>
          <w:rFonts w:asciiTheme="majorHAnsi" w:eastAsia="Calibri" w:hAnsiTheme="majorHAnsi"/>
          <w:sz w:val="20"/>
          <w:szCs w:val="20"/>
          <w:lang w:val="es-VE"/>
        </w:rPr>
        <w:t>damento jurídico</w:t>
      </w:r>
      <w:r w:rsidR="0082100E" w:rsidRPr="00B56CF7">
        <w:rPr>
          <w:rFonts w:asciiTheme="majorHAnsi" w:eastAsia="Calibri" w:hAnsiTheme="majorHAnsi"/>
          <w:sz w:val="20"/>
          <w:szCs w:val="20"/>
          <w:lang w:val="es-VE"/>
        </w:rPr>
        <w:t>. Agregó</w:t>
      </w:r>
      <w:r w:rsidR="00C05A94" w:rsidRPr="00B56CF7">
        <w:rPr>
          <w:rFonts w:asciiTheme="majorHAnsi" w:eastAsia="Calibri" w:hAnsiTheme="majorHAnsi"/>
          <w:sz w:val="20"/>
          <w:szCs w:val="20"/>
          <w:lang w:val="es-VE"/>
        </w:rPr>
        <w:t xml:space="preserve"> que</w:t>
      </w:r>
      <w:r w:rsidR="00A1622F" w:rsidRPr="00B56CF7">
        <w:rPr>
          <w:rFonts w:asciiTheme="majorHAnsi" w:eastAsia="Calibri" w:hAnsiTheme="majorHAnsi"/>
          <w:sz w:val="20"/>
          <w:szCs w:val="20"/>
          <w:lang w:val="es-VE"/>
        </w:rPr>
        <w:t xml:space="preserve"> la revisión de dichas decisiones por la CIDH vulneraría la </w:t>
      </w:r>
      <w:r w:rsidR="00BE2530" w:rsidRPr="00B56CF7">
        <w:rPr>
          <w:rFonts w:asciiTheme="majorHAnsi" w:eastAsia="Calibri" w:hAnsiTheme="majorHAnsi"/>
          <w:sz w:val="20"/>
          <w:szCs w:val="20"/>
          <w:lang w:val="es-VE"/>
        </w:rPr>
        <w:t xml:space="preserve">doctrina de la cuarta instancia y solicitó a la Comisión que declare que no es responsable internacionalmente en el presente caso. </w:t>
      </w:r>
    </w:p>
    <w:p w:rsidR="00BE2530" w:rsidRPr="00B56CF7" w:rsidRDefault="00BE2530"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E40449" w:rsidRPr="00B56CF7" w:rsidRDefault="00E40449" w:rsidP="00985C1C">
      <w:pPr>
        <w:pStyle w:val="Heading1"/>
        <w:numPr>
          <w:ilvl w:val="0"/>
          <w:numId w:val="55"/>
        </w:numPr>
        <w:tabs>
          <w:tab w:val="clear" w:pos="1440"/>
        </w:tabs>
      </w:pPr>
      <w:bookmarkStart w:id="35" w:name="_Toc370840748"/>
      <w:bookmarkStart w:id="36" w:name="_Toc370840844"/>
      <w:bookmarkStart w:id="37" w:name="_Toc423514410"/>
      <w:bookmarkStart w:id="38" w:name="_Toc433115986"/>
      <w:bookmarkStart w:id="39" w:name="_Toc444958129"/>
      <w:bookmarkStart w:id="40" w:name="_Toc467577910"/>
      <w:bookmarkStart w:id="41" w:name="_Toc469409081"/>
      <w:r w:rsidRPr="00B56CF7">
        <w:t>HECHOS PROBADOS</w:t>
      </w:r>
      <w:bookmarkEnd w:id="35"/>
      <w:bookmarkEnd w:id="36"/>
      <w:bookmarkEnd w:id="37"/>
      <w:bookmarkEnd w:id="38"/>
      <w:bookmarkEnd w:id="39"/>
      <w:bookmarkEnd w:id="40"/>
      <w:bookmarkEnd w:id="41"/>
    </w:p>
    <w:p w:rsidR="00F75A47" w:rsidRPr="00B56CF7" w:rsidRDefault="00E40449" w:rsidP="00F75A47">
      <w:pPr>
        <w:ind w:right="720"/>
        <w:jc w:val="both"/>
        <w:rPr>
          <w:rFonts w:asciiTheme="majorHAnsi" w:hAnsiTheme="majorHAnsi"/>
          <w:sz w:val="20"/>
          <w:szCs w:val="20"/>
          <w:highlight w:val="yellow"/>
          <w:lang w:val="es-VE"/>
        </w:rPr>
      </w:pPr>
      <w:r w:rsidRPr="00B56CF7">
        <w:rPr>
          <w:rFonts w:asciiTheme="majorHAnsi" w:hAnsiTheme="majorHAnsi"/>
          <w:sz w:val="20"/>
          <w:szCs w:val="20"/>
          <w:highlight w:val="yellow"/>
          <w:lang w:val="es-VE"/>
        </w:rPr>
        <w:t xml:space="preserve"> </w:t>
      </w:r>
    </w:p>
    <w:p w:rsidR="00241518" w:rsidRPr="00B56CF7" w:rsidRDefault="008E07BC" w:rsidP="00C7651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Tomando en cuenta la información disponible en el expediente,</w:t>
      </w:r>
      <w:r w:rsidR="00924C27" w:rsidRPr="00B56CF7">
        <w:rPr>
          <w:rFonts w:asciiTheme="majorHAnsi" w:eastAsia="Times New Roman" w:hAnsiTheme="majorHAnsi"/>
          <w:sz w:val="20"/>
          <w:szCs w:val="20"/>
          <w:bdr w:val="none" w:sz="0" w:space="0" w:color="auto"/>
          <w:lang w:val="es-AR"/>
        </w:rPr>
        <w:t xml:space="preserve"> los alegatos de las partes</w:t>
      </w:r>
      <w:r w:rsidRPr="00B56CF7">
        <w:rPr>
          <w:rFonts w:asciiTheme="majorHAnsi" w:eastAsia="Times New Roman" w:hAnsiTheme="majorHAnsi"/>
          <w:sz w:val="20"/>
          <w:szCs w:val="20"/>
          <w:bdr w:val="none" w:sz="0" w:space="0" w:color="auto"/>
          <w:lang w:val="es-AR"/>
        </w:rPr>
        <w:t xml:space="preserve"> </w:t>
      </w:r>
      <w:r w:rsidR="00924C27" w:rsidRPr="00B56CF7">
        <w:rPr>
          <w:rFonts w:asciiTheme="majorHAnsi" w:eastAsia="Times New Roman" w:hAnsiTheme="majorHAnsi"/>
          <w:sz w:val="20"/>
          <w:szCs w:val="20"/>
          <w:bdr w:val="none" w:sz="0" w:space="0" w:color="auto"/>
          <w:lang w:val="es-AR"/>
        </w:rPr>
        <w:t xml:space="preserve">e </w:t>
      </w:r>
      <w:r w:rsidRPr="00B56CF7">
        <w:rPr>
          <w:rFonts w:asciiTheme="majorHAnsi" w:eastAsia="Times New Roman" w:hAnsiTheme="majorHAnsi"/>
          <w:sz w:val="20"/>
          <w:szCs w:val="20"/>
          <w:bdr w:val="none" w:sz="0" w:space="0" w:color="auto"/>
          <w:lang w:val="es-AR"/>
        </w:rPr>
        <w:t>información de público co</w:t>
      </w:r>
      <w:r w:rsidR="000017F9" w:rsidRPr="00B56CF7">
        <w:rPr>
          <w:rFonts w:asciiTheme="majorHAnsi" w:eastAsia="Times New Roman" w:hAnsiTheme="majorHAnsi"/>
          <w:sz w:val="20"/>
          <w:szCs w:val="20"/>
          <w:bdr w:val="none" w:sz="0" w:space="0" w:color="auto"/>
          <w:lang w:val="es-AR"/>
        </w:rPr>
        <w:t>nocimiento, los hechos probados</w:t>
      </w:r>
      <w:r w:rsidR="00E40449" w:rsidRPr="00B56CF7">
        <w:rPr>
          <w:rFonts w:asciiTheme="majorHAnsi" w:eastAsia="Times New Roman" w:hAnsiTheme="majorHAnsi"/>
          <w:sz w:val="20"/>
          <w:szCs w:val="20"/>
          <w:bdr w:val="none" w:sz="0" w:space="0" w:color="auto"/>
          <w:lang w:val="es-AR"/>
        </w:rPr>
        <w:t xml:space="preserve"> serán descritos en el siguiente orden:</w:t>
      </w:r>
      <w:bookmarkStart w:id="42" w:name="_Toc420680447"/>
      <w:r w:rsidR="00C7651F" w:rsidRPr="00B56CF7">
        <w:rPr>
          <w:rFonts w:asciiTheme="majorHAnsi" w:eastAsia="Times New Roman" w:hAnsiTheme="majorHAnsi"/>
          <w:sz w:val="20"/>
          <w:szCs w:val="20"/>
          <w:bdr w:val="none" w:sz="0" w:space="0" w:color="auto"/>
          <w:lang w:val="es-AR"/>
        </w:rPr>
        <w:t xml:space="preserve"> </w:t>
      </w:r>
      <w:r w:rsidR="00C90D02" w:rsidRPr="00B56CF7">
        <w:rPr>
          <w:rFonts w:asciiTheme="majorHAnsi" w:eastAsia="Times New Roman" w:hAnsiTheme="majorHAnsi"/>
          <w:sz w:val="20"/>
          <w:szCs w:val="20"/>
          <w:bdr w:val="none" w:sz="0" w:space="0" w:color="auto"/>
          <w:lang w:val="es-AR"/>
        </w:rPr>
        <w:t>A</w:t>
      </w:r>
      <w:r w:rsidR="00C7651F" w:rsidRPr="00B56CF7">
        <w:rPr>
          <w:rFonts w:asciiTheme="majorHAnsi" w:eastAsia="Times New Roman" w:hAnsiTheme="majorHAnsi"/>
          <w:sz w:val="20"/>
          <w:szCs w:val="20"/>
          <w:bdr w:val="none" w:sz="0" w:space="0" w:color="auto"/>
          <w:lang w:val="es-AR"/>
        </w:rPr>
        <w:t xml:space="preserve">. </w:t>
      </w:r>
      <w:r w:rsidR="00C90D02" w:rsidRPr="00B56CF7">
        <w:rPr>
          <w:rFonts w:asciiTheme="majorHAnsi" w:eastAsia="Times New Roman" w:hAnsiTheme="majorHAnsi"/>
          <w:sz w:val="20"/>
          <w:szCs w:val="20"/>
          <w:bdr w:val="none" w:sz="0" w:space="0" w:color="auto"/>
          <w:lang w:val="es-AR"/>
        </w:rPr>
        <w:t xml:space="preserve">El proceso penal en contra del peticionario y su </w:t>
      </w:r>
      <w:r w:rsidR="00936F64" w:rsidRPr="00B56CF7">
        <w:rPr>
          <w:rFonts w:asciiTheme="majorHAnsi" w:eastAsia="Times New Roman" w:hAnsiTheme="majorHAnsi"/>
          <w:sz w:val="20"/>
          <w:szCs w:val="20"/>
          <w:bdr w:val="none" w:sz="0" w:space="0" w:color="auto"/>
          <w:lang w:val="es-AR"/>
        </w:rPr>
        <w:t xml:space="preserve">posterior </w:t>
      </w:r>
      <w:r w:rsidR="00C90D02" w:rsidRPr="00B56CF7">
        <w:rPr>
          <w:rFonts w:asciiTheme="majorHAnsi" w:eastAsia="Times New Roman" w:hAnsiTheme="majorHAnsi"/>
          <w:sz w:val="20"/>
          <w:szCs w:val="20"/>
          <w:bdr w:val="none" w:sz="0" w:space="0" w:color="auto"/>
          <w:lang w:val="es-AR"/>
        </w:rPr>
        <w:t xml:space="preserve">absolución; B. Los recursos intentados por el peticionario para lograr su </w:t>
      </w:r>
      <w:r w:rsidR="00505A4D" w:rsidRPr="00B56CF7">
        <w:rPr>
          <w:rFonts w:asciiTheme="majorHAnsi" w:eastAsia="Times New Roman" w:hAnsiTheme="majorHAnsi"/>
          <w:sz w:val="20"/>
          <w:szCs w:val="20"/>
          <w:bdr w:val="none" w:sz="0" w:space="0" w:color="auto"/>
          <w:lang w:val="es-AR"/>
        </w:rPr>
        <w:t>libertad</w:t>
      </w:r>
      <w:r w:rsidR="00C90D02" w:rsidRPr="00B56CF7">
        <w:rPr>
          <w:rFonts w:asciiTheme="majorHAnsi" w:eastAsia="Times New Roman" w:hAnsiTheme="majorHAnsi"/>
          <w:sz w:val="20"/>
          <w:szCs w:val="20"/>
          <w:bdr w:val="none" w:sz="0" w:space="0" w:color="auto"/>
          <w:lang w:val="es-AR"/>
        </w:rPr>
        <w:t xml:space="preserve"> mientras se encontraba </w:t>
      </w:r>
      <w:r w:rsidR="00505A4D" w:rsidRPr="00B56CF7">
        <w:rPr>
          <w:rFonts w:asciiTheme="majorHAnsi" w:eastAsia="Times New Roman" w:hAnsiTheme="majorHAnsi"/>
          <w:sz w:val="20"/>
          <w:szCs w:val="20"/>
          <w:bdr w:val="none" w:sz="0" w:space="0" w:color="auto"/>
          <w:lang w:val="es-AR"/>
        </w:rPr>
        <w:t>en prisión preventiva</w:t>
      </w:r>
      <w:r w:rsidR="00C90D02" w:rsidRPr="00B56CF7">
        <w:rPr>
          <w:rFonts w:asciiTheme="majorHAnsi" w:eastAsia="Times New Roman" w:hAnsiTheme="majorHAnsi"/>
          <w:sz w:val="20"/>
          <w:szCs w:val="20"/>
          <w:bdr w:val="none" w:sz="0" w:space="0" w:color="auto"/>
          <w:lang w:val="es-AR"/>
        </w:rPr>
        <w:t xml:space="preserve">; C. </w:t>
      </w:r>
      <w:r w:rsidR="00111511" w:rsidRPr="00B56CF7">
        <w:rPr>
          <w:rFonts w:asciiTheme="majorHAnsi" w:eastAsia="Times New Roman" w:hAnsiTheme="majorHAnsi"/>
          <w:sz w:val="20"/>
          <w:szCs w:val="20"/>
          <w:bdr w:val="none" w:sz="0" w:space="0" w:color="auto"/>
          <w:lang w:val="es-AR"/>
        </w:rPr>
        <w:t>Las i</w:t>
      </w:r>
      <w:r w:rsidR="00C90D02" w:rsidRPr="00B56CF7">
        <w:rPr>
          <w:rFonts w:asciiTheme="majorHAnsi" w:eastAsia="Times New Roman" w:hAnsiTheme="majorHAnsi"/>
          <w:sz w:val="20"/>
          <w:szCs w:val="20"/>
          <w:bdr w:val="none" w:sz="0" w:space="0" w:color="auto"/>
          <w:lang w:val="es-AR"/>
        </w:rPr>
        <w:t xml:space="preserve">nvestigaciones penales y administrativas relacionadas con la prueba telefónica </w:t>
      </w:r>
      <w:r w:rsidR="00111511" w:rsidRPr="00B56CF7">
        <w:rPr>
          <w:rFonts w:asciiTheme="majorHAnsi" w:eastAsia="Times New Roman" w:hAnsiTheme="majorHAnsi"/>
          <w:sz w:val="20"/>
          <w:szCs w:val="20"/>
          <w:bdr w:val="none" w:sz="0" w:space="0" w:color="auto"/>
          <w:lang w:val="es-AR"/>
        </w:rPr>
        <w:t xml:space="preserve">incorporada en la causa penal contra </w:t>
      </w:r>
      <w:r w:rsidR="00054691" w:rsidRPr="00B56CF7">
        <w:rPr>
          <w:rFonts w:asciiTheme="majorHAnsi" w:eastAsia="Times New Roman" w:hAnsiTheme="majorHAnsi"/>
          <w:sz w:val="20"/>
          <w:szCs w:val="20"/>
          <w:bdr w:val="none" w:sz="0" w:space="0" w:color="auto"/>
          <w:lang w:val="es-AR"/>
        </w:rPr>
        <w:t>el peticionario</w:t>
      </w:r>
      <w:r w:rsidR="00111511" w:rsidRPr="00B56CF7">
        <w:rPr>
          <w:rFonts w:asciiTheme="majorHAnsi" w:eastAsia="Times New Roman" w:hAnsiTheme="majorHAnsi"/>
          <w:sz w:val="20"/>
          <w:szCs w:val="20"/>
          <w:bdr w:val="none" w:sz="0" w:space="0" w:color="auto"/>
          <w:lang w:val="es-AR"/>
        </w:rPr>
        <w:t>;</w:t>
      </w:r>
      <w:r w:rsidR="00E44A40" w:rsidRPr="00B56CF7">
        <w:rPr>
          <w:rFonts w:asciiTheme="majorHAnsi" w:eastAsia="Times New Roman" w:hAnsiTheme="majorHAnsi"/>
          <w:sz w:val="20"/>
          <w:szCs w:val="20"/>
          <w:bdr w:val="none" w:sz="0" w:space="0" w:color="auto"/>
          <w:lang w:val="es-AR"/>
        </w:rPr>
        <w:t xml:space="preserve"> y</w:t>
      </w:r>
      <w:r w:rsidR="00111511" w:rsidRPr="00B56CF7">
        <w:rPr>
          <w:rFonts w:asciiTheme="majorHAnsi" w:eastAsia="Times New Roman" w:hAnsiTheme="majorHAnsi"/>
          <w:sz w:val="20"/>
          <w:szCs w:val="20"/>
          <w:bdr w:val="none" w:sz="0" w:space="0" w:color="auto"/>
          <w:lang w:val="es-AR"/>
        </w:rPr>
        <w:t xml:space="preserve"> </w:t>
      </w:r>
      <w:r w:rsidR="00333AB7" w:rsidRPr="00B56CF7">
        <w:rPr>
          <w:rFonts w:asciiTheme="majorHAnsi" w:eastAsia="Times New Roman" w:hAnsiTheme="majorHAnsi"/>
          <w:sz w:val="20"/>
          <w:szCs w:val="20"/>
          <w:bdr w:val="none" w:sz="0" w:space="0" w:color="auto"/>
          <w:lang w:val="es-AR"/>
        </w:rPr>
        <w:t xml:space="preserve">D. </w:t>
      </w:r>
      <w:r w:rsidR="0047664A" w:rsidRPr="00B56CF7">
        <w:rPr>
          <w:rFonts w:asciiTheme="majorHAnsi" w:eastAsia="Times New Roman" w:hAnsiTheme="majorHAnsi"/>
          <w:sz w:val="20"/>
          <w:szCs w:val="20"/>
          <w:bdr w:val="none" w:sz="0" w:space="0" w:color="auto"/>
          <w:lang w:val="es-AR"/>
        </w:rPr>
        <w:t>El proceso por daños y per</w:t>
      </w:r>
      <w:r w:rsidR="00936F64" w:rsidRPr="00B56CF7">
        <w:rPr>
          <w:rFonts w:asciiTheme="majorHAnsi" w:eastAsia="Times New Roman" w:hAnsiTheme="majorHAnsi"/>
          <w:sz w:val="20"/>
          <w:szCs w:val="20"/>
          <w:bdr w:val="none" w:sz="0" w:space="0" w:color="auto"/>
          <w:lang w:val="es-AR"/>
        </w:rPr>
        <w:t>juicios promovido por el peticionario.</w:t>
      </w:r>
    </w:p>
    <w:p w:rsidR="00C90D02" w:rsidRPr="00B56CF7" w:rsidRDefault="00C90D02" w:rsidP="00252F69">
      <w:pPr>
        <w:rPr>
          <w:rFonts w:asciiTheme="majorHAnsi" w:hAnsiTheme="majorHAnsi"/>
          <w:sz w:val="20"/>
          <w:szCs w:val="20"/>
          <w:lang w:val="es-ES_tradnl"/>
        </w:rPr>
      </w:pPr>
    </w:p>
    <w:p w:rsidR="00224155" w:rsidRPr="00B56CF7" w:rsidRDefault="003F706E" w:rsidP="00911CD9">
      <w:pPr>
        <w:pStyle w:val="Heading2"/>
        <w:numPr>
          <w:ilvl w:val="0"/>
          <w:numId w:val="60"/>
        </w:numPr>
      </w:pPr>
      <w:bookmarkStart w:id="43" w:name="_Toc467577911"/>
      <w:bookmarkStart w:id="44" w:name="_Toc469409082"/>
      <w:r w:rsidRPr="00B56CF7">
        <w:rPr>
          <w:lang w:val="es-VE"/>
        </w:rPr>
        <w:t xml:space="preserve">El proceso penal </w:t>
      </w:r>
      <w:r w:rsidR="00936F64" w:rsidRPr="00B56CF7">
        <w:rPr>
          <w:lang w:val="es-VE"/>
        </w:rPr>
        <w:t>en contra del peticionario y su posterior absolución</w:t>
      </w:r>
      <w:bookmarkEnd w:id="43"/>
      <w:bookmarkEnd w:id="44"/>
    </w:p>
    <w:p w:rsidR="00B60C61" w:rsidRPr="00B56CF7" w:rsidRDefault="00B60C61" w:rsidP="00C520A7">
      <w:pPr>
        <w:jc w:val="both"/>
        <w:rPr>
          <w:rFonts w:asciiTheme="majorHAnsi" w:hAnsiTheme="majorHAnsi"/>
          <w:b/>
          <w:sz w:val="20"/>
          <w:szCs w:val="20"/>
          <w:lang w:val="es-VE"/>
        </w:rPr>
      </w:pPr>
    </w:p>
    <w:p w:rsidR="008167A5" w:rsidRPr="00B56CF7" w:rsidRDefault="000915E1" w:rsidP="008167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E</w:t>
      </w:r>
      <w:r w:rsidR="008167A5" w:rsidRPr="00B56CF7">
        <w:rPr>
          <w:rFonts w:asciiTheme="majorHAnsi" w:eastAsia="Times New Roman" w:hAnsiTheme="majorHAnsi"/>
          <w:sz w:val="20"/>
          <w:szCs w:val="20"/>
          <w:bdr w:val="none" w:sz="0" w:space="0" w:color="auto"/>
          <w:lang w:val="es-AR"/>
        </w:rPr>
        <w:t xml:space="preserve">s un hecho no controvertido </w:t>
      </w:r>
      <w:r w:rsidR="00CB1970" w:rsidRPr="00B56CF7">
        <w:rPr>
          <w:rFonts w:asciiTheme="majorHAnsi" w:eastAsia="Times New Roman" w:hAnsiTheme="majorHAnsi"/>
          <w:sz w:val="20"/>
          <w:szCs w:val="20"/>
          <w:bdr w:val="none" w:sz="0" w:space="0" w:color="auto"/>
          <w:lang w:val="es-AR"/>
        </w:rPr>
        <w:t>entre las partes</w:t>
      </w:r>
      <w:r w:rsidR="008167A5" w:rsidRPr="00B56CF7">
        <w:rPr>
          <w:rFonts w:asciiTheme="majorHAnsi" w:eastAsia="Times New Roman" w:hAnsiTheme="majorHAnsi"/>
          <w:sz w:val="20"/>
          <w:szCs w:val="20"/>
          <w:bdr w:val="none" w:sz="0" w:space="0" w:color="auto"/>
          <w:lang w:val="es-AR"/>
        </w:rPr>
        <w:t xml:space="preserve"> que el peticionario fue detenido </w:t>
      </w:r>
      <w:r w:rsidR="00D1284F" w:rsidRPr="00B56CF7">
        <w:rPr>
          <w:rFonts w:asciiTheme="majorHAnsi" w:eastAsia="Times New Roman" w:hAnsiTheme="majorHAnsi"/>
          <w:sz w:val="20"/>
          <w:szCs w:val="20"/>
          <w:bdr w:val="none" w:sz="0" w:space="0" w:color="auto"/>
          <w:lang w:val="es-AR"/>
        </w:rPr>
        <w:t>el 8 de</w:t>
      </w:r>
      <w:r w:rsidR="00D071B0" w:rsidRPr="00B56CF7">
        <w:rPr>
          <w:rFonts w:asciiTheme="majorHAnsi" w:eastAsia="Times New Roman" w:hAnsiTheme="majorHAnsi"/>
          <w:sz w:val="20"/>
          <w:szCs w:val="20"/>
          <w:bdr w:val="none" w:sz="0" w:space="0" w:color="auto"/>
          <w:lang w:val="es-AR"/>
        </w:rPr>
        <w:t xml:space="preserve"> junio de 1994 en virtud de una orden dictada por el Juez Federal No. 9, Juan José Galeano</w:t>
      </w:r>
      <w:r w:rsidR="00B829A2" w:rsidRPr="00B56CF7">
        <w:rPr>
          <w:rFonts w:asciiTheme="majorHAnsi" w:eastAsia="Times New Roman" w:hAnsiTheme="majorHAnsi"/>
          <w:sz w:val="20"/>
          <w:szCs w:val="20"/>
          <w:bdr w:val="none" w:sz="0" w:space="0" w:color="auto"/>
          <w:lang w:val="es-AR"/>
        </w:rPr>
        <w:t>. Tampoco está en controversia que el señor Jenkins fue</w:t>
      </w:r>
      <w:r w:rsidR="00D071B0" w:rsidRPr="00B56CF7">
        <w:rPr>
          <w:rFonts w:asciiTheme="majorHAnsi" w:eastAsia="Times New Roman" w:hAnsiTheme="majorHAnsi"/>
          <w:sz w:val="20"/>
          <w:szCs w:val="20"/>
          <w:bdr w:val="none" w:sz="0" w:space="0" w:color="auto"/>
          <w:lang w:val="es-AR"/>
        </w:rPr>
        <w:t xml:space="preserve"> sometido a proceso penal en el marco de la causa “Padilla Echeverry y otros” seguida por el Tribunal Oral </w:t>
      </w:r>
      <w:r w:rsidR="00CF6C35" w:rsidRPr="00B56CF7">
        <w:rPr>
          <w:rFonts w:asciiTheme="majorHAnsi" w:eastAsia="Times New Roman" w:hAnsiTheme="majorHAnsi"/>
          <w:sz w:val="20"/>
          <w:szCs w:val="20"/>
          <w:bdr w:val="none" w:sz="0" w:space="0" w:color="auto"/>
          <w:lang w:val="es-AR"/>
        </w:rPr>
        <w:t>en lo Criminal Federal No. 6</w:t>
      </w:r>
      <w:r w:rsidR="001B17A9" w:rsidRPr="00B56CF7">
        <w:rPr>
          <w:rFonts w:asciiTheme="majorHAnsi" w:eastAsia="Times New Roman" w:hAnsiTheme="majorHAnsi"/>
          <w:sz w:val="20"/>
          <w:szCs w:val="20"/>
          <w:bdr w:val="none" w:sz="0" w:space="0" w:color="auto"/>
          <w:lang w:val="es-AR"/>
        </w:rPr>
        <w:t xml:space="preserve"> por los delitos de </w:t>
      </w:r>
      <w:r w:rsidR="00605ED0" w:rsidRPr="00B56CF7">
        <w:rPr>
          <w:rFonts w:asciiTheme="majorHAnsi" w:eastAsia="Times New Roman" w:hAnsiTheme="majorHAnsi"/>
          <w:sz w:val="20"/>
          <w:szCs w:val="20"/>
          <w:bdr w:val="none" w:sz="0" w:space="0" w:color="auto"/>
          <w:lang w:val="es-AR"/>
        </w:rPr>
        <w:t>tráfico ilícito de estupefacientes y asociación ilícita.</w:t>
      </w:r>
      <w:r w:rsidR="00CC5E22" w:rsidRPr="00B56CF7">
        <w:rPr>
          <w:rFonts w:asciiTheme="majorHAnsi" w:eastAsia="Times New Roman" w:hAnsiTheme="majorHAnsi"/>
          <w:sz w:val="20"/>
          <w:szCs w:val="20"/>
          <w:bdr w:val="none" w:sz="0" w:space="0" w:color="auto"/>
          <w:lang w:val="es-AR"/>
        </w:rPr>
        <w:t xml:space="preserve"> A continuación la Comisión efectuará una narración cronológica del referido proceso, tomando en cuenta los temas debatidos entre las partes durante la etapa de fondo del caso. </w:t>
      </w:r>
    </w:p>
    <w:p w:rsidR="008C4A05" w:rsidRPr="00B56CF7" w:rsidRDefault="008C4A05" w:rsidP="007C452A">
      <w:pPr>
        <w:jc w:val="both"/>
        <w:rPr>
          <w:rFonts w:asciiTheme="majorHAnsi" w:hAnsiTheme="majorHAnsi"/>
          <w:b/>
          <w:sz w:val="20"/>
          <w:szCs w:val="20"/>
          <w:lang w:val="es-VE"/>
        </w:rPr>
      </w:pPr>
    </w:p>
    <w:p w:rsidR="008C4A05" w:rsidRPr="005553B9" w:rsidRDefault="008C4A05" w:rsidP="005553B9">
      <w:pPr>
        <w:pStyle w:val="Heading3"/>
        <w:numPr>
          <w:ilvl w:val="1"/>
          <w:numId w:val="55"/>
        </w:numPr>
        <w:tabs>
          <w:tab w:val="clear" w:pos="1800"/>
          <w:tab w:val="num" w:pos="1440"/>
        </w:tabs>
        <w:ind w:hanging="1080"/>
        <w:rPr>
          <w:color w:val="auto"/>
          <w:sz w:val="20"/>
          <w:szCs w:val="20"/>
          <w:lang w:val="es-VE"/>
        </w:rPr>
      </w:pPr>
      <w:bookmarkStart w:id="45" w:name="_Toc469409083"/>
      <w:r w:rsidRPr="005553B9">
        <w:rPr>
          <w:color w:val="auto"/>
          <w:sz w:val="20"/>
          <w:szCs w:val="20"/>
          <w:lang w:val="es-VE"/>
        </w:rPr>
        <w:t xml:space="preserve">Incorporación de </w:t>
      </w:r>
      <w:r w:rsidR="008F627B" w:rsidRPr="005553B9">
        <w:rPr>
          <w:color w:val="auto"/>
          <w:sz w:val="20"/>
          <w:szCs w:val="20"/>
          <w:lang w:val="es-VE"/>
        </w:rPr>
        <w:t xml:space="preserve">una </w:t>
      </w:r>
      <w:r w:rsidRPr="005553B9">
        <w:rPr>
          <w:color w:val="auto"/>
          <w:sz w:val="20"/>
          <w:szCs w:val="20"/>
          <w:lang w:val="es-VE"/>
        </w:rPr>
        <w:t xml:space="preserve">grabación telefónica </w:t>
      </w:r>
      <w:r w:rsidR="00BE75DE" w:rsidRPr="005553B9">
        <w:rPr>
          <w:color w:val="auto"/>
          <w:sz w:val="20"/>
          <w:szCs w:val="20"/>
          <w:lang w:val="es-VE"/>
        </w:rPr>
        <w:t>y solicitud de elevación a juicio de Gabriel Jenkins</w:t>
      </w:r>
      <w:bookmarkEnd w:id="45"/>
    </w:p>
    <w:p w:rsidR="008C4A05" w:rsidRPr="00B56CF7" w:rsidRDefault="008C4A05" w:rsidP="008C4A0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p>
    <w:p w:rsidR="007E5462" w:rsidRPr="00B56CF7" w:rsidRDefault="007E5462" w:rsidP="00B83B2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Según consta en el </w:t>
      </w:r>
      <w:r w:rsidR="00EF5C68" w:rsidRPr="00B56CF7">
        <w:rPr>
          <w:rFonts w:asciiTheme="majorHAnsi" w:eastAsia="Times New Roman" w:hAnsiTheme="majorHAnsi"/>
          <w:sz w:val="20"/>
          <w:szCs w:val="20"/>
          <w:bdr w:val="none" w:sz="0" w:space="0" w:color="auto"/>
          <w:lang w:val="es-AR"/>
        </w:rPr>
        <w:t>expediente,</w:t>
      </w:r>
      <w:r w:rsidRPr="00B56CF7">
        <w:rPr>
          <w:rFonts w:asciiTheme="majorHAnsi" w:eastAsia="Times New Roman" w:hAnsiTheme="majorHAnsi"/>
          <w:sz w:val="20"/>
          <w:szCs w:val="20"/>
          <w:bdr w:val="none" w:sz="0" w:space="0" w:color="auto"/>
          <w:lang w:val="es-AR"/>
        </w:rPr>
        <w:t xml:space="preserve"> en el marco de dicho proceso se incorporó como prueba de cargo en contra del peticionario una conversaci</w:t>
      </w:r>
      <w:r w:rsidR="006E6E08" w:rsidRPr="00B56CF7">
        <w:rPr>
          <w:rFonts w:asciiTheme="majorHAnsi" w:eastAsia="Times New Roman" w:hAnsiTheme="majorHAnsi"/>
          <w:sz w:val="20"/>
          <w:szCs w:val="20"/>
          <w:bdr w:val="none" w:sz="0" w:space="0" w:color="auto"/>
          <w:lang w:val="es-AR"/>
        </w:rPr>
        <w:t xml:space="preserve">ón </w:t>
      </w:r>
      <w:r w:rsidR="00B83B21" w:rsidRPr="00B56CF7">
        <w:rPr>
          <w:rFonts w:asciiTheme="majorHAnsi" w:eastAsia="Times New Roman" w:hAnsiTheme="majorHAnsi"/>
          <w:sz w:val="20"/>
          <w:szCs w:val="20"/>
          <w:bdr w:val="none" w:sz="0" w:space="0" w:color="auto"/>
          <w:lang w:val="es-AR"/>
        </w:rPr>
        <w:t xml:space="preserve">que </w:t>
      </w:r>
      <w:r w:rsidR="00A44C2B" w:rsidRPr="00B56CF7">
        <w:rPr>
          <w:rFonts w:asciiTheme="majorHAnsi" w:eastAsia="Times New Roman" w:hAnsiTheme="majorHAnsi"/>
          <w:sz w:val="20"/>
          <w:szCs w:val="20"/>
          <w:bdr w:val="none" w:sz="0" w:space="0" w:color="auto"/>
          <w:lang w:val="es-AR"/>
        </w:rPr>
        <w:t>é</w:t>
      </w:r>
      <w:r w:rsidR="00B83B21" w:rsidRPr="00B56CF7">
        <w:rPr>
          <w:rFonts w:asciiTheme="majorHAnsi" w:eastAsia="Times New Roman" w:hAnsiTheme="majorHAnsi"/>
          <w:sz w:val="20"/>
          <w:szCs w:val="20"/>
          <w:bdr w:val="none" w:sz="0" w:space="0" w:color="auto"/>
          <w:lang w:val="es-AR"/>
        </w:rPr>
        <w:t>ste sostuvo con Jorge Martínez, también procesado, quien en</w:t>
      </w:r>
      <w:r w:rsidR="00A44C2B" w:rsidRPr="00B56CF7">
        <w:rPr>
          <w:rFonts w:asciiTheme="majorHAnsi" w:eastAsia="Times New Roman" w:hAnsiTheme="majorHAnsi"/>
          <w:sz w:val="20"/>
          <w:szCs w:val="20"/>
          <w:bdr w:val="none" w:sz="0" w:space="0" w:color="auto"/>
          <w:lang w:val="es-AR"/>
        </w:rPr>
        <w:t xml:space="preserve"> dicha conversación </w:t>
      </w:r>
      <w:r w:rsidR="00B83B21" w:rsidRPr="00B56CF7">
        <w:rPr>
          <w:rFonts w:asciiTheme="majorHAnsi" w:eastAsia="Times New Roman" w:hAnsiTheme="majorHAnsi"/>
          <w:sz w:val="20"/>
          <w:szCs w:val="20"/>
          <w:bdr w:val="none" w:sz="0" w:space="0" w:color="auto"/>
          <w:lang w:val="es-AR"/>
        </w:rPr>
        <w:t>quedó en llamar al peticionario a fin de que lo acompañ</w:t>
      </w:r>
      <w:r w:rsidR="00B77461" w:rsidRPr="00B56CF7">
        <w:rPr>
          <w:rFonts w:asciiTheme="majorHAnsi" w:eastAsia="Times New Roman" w:hAnsiTheme="majorHAnsi"/>
          <w:sz w:val="20"/>
          <w:szCs w:val="20"/>
          <w:bdr w:val="none" w:sz="0" w:space="0" w:color="auto"/>
          <w:lang w:val="es-AR"/>
        </w:rPr>
        <w:t>e</w:t>
      </w:r>
      <w:r w:rsidR="00B83B21" w:rsidRPr="00B56CF7">
        <w:rPr>
          <w:rFonts w:asciiTheme="majorHAnsi" w:eastAsia="Times New Roman" w:hAnsiTheme="majorHAnsi"/>
          <w:sz w:val="20"/>
          <w:szCs w:val="20"/>
          <w:bdr w:val="none" w:sz="0" w:space="0" w:color="auto"/>
          <w:lang w:val="es-AR"/>
        </w:rPr>
        <w:t xml:space="preserve"> a un viaje al exterior. </w:t>
      </w:r>
      <w:r w:rsidR="00B83B21" w:rsidRPr="00B56CF7">
        <w:rPr>
          <w:rFonts w:asciiTheme="majorHAnsi" w:eastAsia="Times New Roman" w:hAnsiTheme="majorHAnsi"/>
          <w:sz w:val="20"/>
          <w:szCs w:val="20"/>
          <w:bdr w:val="none" w:sz="0" w:space="0" w:color="auto"/>
          <w:lang w:val="es-AR"/>
        </w:rPr>
        <w:lastRenderedPageBreak/>
        <w:t xml:space="preserve">Dicha conversación quedó grabada en el </w:t>
      </w:r>
      <w:proofErr w:type="spellStart"/>
      <w:r w:rsidR="00B83B21" w:rsidRPr="00B56CF7">
        <w:rPr>
          <w:rFonts w:asciiTheme="majorHAnsi" w:eastAsia="Times New Roman" w:hAnsiTheme="majorHAnsi"/>
          <w:sz w:val="20"/>
          <w:szCs w:val="20"/>
          <w:bdr w:val="none" w:sz="0" w:space="0" w:color="auto"/>
          <w:lang w:val="es-AR"/>
        </w:rPr>
        <w:t>cassette</w:t>
      </w:r>
      <w:proofErr w:type="spellEnd"/>
      <w:r w:rsidR="00B83B21" w:rsidRPr="00B56CF7">
        <w:rPr>
          <w:rFonts w:asciiTheme="majorHAnsi" w:eastAsia="Times New Roman" w:hAnsiTheme="majorHAnsi"/>
          <w:sz w:val="20"/>
          <w:szCs w:val="20"/>
          <w:bdr w:val="none" w:sz="0" w:space="0" w:color="auto"/>
          <w:lang w:val="es-AR"/>
        </w:rPr>
        <w:t xml:space="preserve"> identificado con </w:t>
      </w:r>
      <w:r w:rsidR="00EF5C68" w:rsidRPr="00B56CF7">
        <w:rPr>
          <w:rFonts w:asciiTheme="majorHAnsi" w:eastAsia="Times New Roman" w:hAnsiTheme="majorHAnsi"/>
          <w:sz w:val="20"/>
          <w:szCs w:val="20"/>
          <w:bdr w:val="none" w:sz="0" w:space="0" w:color="auto"/>
          <w:lang w:val="es-AR"/>
        </w:rPr>
        <w:t xml:space="preserve">el </w:t>
      </w:r>
      <w:r w:rsidR="00822126" w:rsidRPr="00B56CF7">
        <w:rPr>
          <w:rFonts w:asciiTheme="majorHAnsi" w:eastAsia="Times New Roman" w:hAnsiTheme="majorHAnsi"/>
          <w:sz w:val="20"/>
          <w:szCs w:val="20"/>
          <w:bdr w:val="none" w:sz="0" w:space="0" w:color="auto"/>
          <w:lang w:val="es-AR"/>
        </w:rPr>
        <w:t>No.</w:t>
      </w:r>
      <w:r w:rsidR="00EF5C68" w:rsidRPr="00B56CF7">
        <w:rPr>
          <w:rFonts w:asciiTheme="majorHAnsi" w:eastAsia="Times New Roman" w:hAnsiTheme="majorHAnsi"/>
          <w:sz w:val="20"/>
          <w:szCs w:val="20"/>
          <w:bdr w:val="none" w:sz="0" w:space="0" w:color="auto"/>
          <w:lang w:val="es-AR"/>
        </w:rPr>
        <w:t xml:space="preserve"> 40 dentro de las constancias probatorias del proceso</w:t>
      </w:r>
      <w:r w:rsidR="00EF5C68" w:rsidRPr="00B56CF7">
        <w:rPr>
          <w:rFonts w:asciiTheme="majorHAnsi" w:eastAsia="Times New Roman" w:hAnsiTheme="majorHAnsi"/>
          <w:sz w:val="20"/>
          <w:szCs w:val="20"/>
          <w:bdr w:val="none" w:sz="0" w:space="0" w:color="auto"/>
          <w:vertAlign w:val="superscript"/>
          <w:lang w:val="es-AR"/>
        </w:rPr>
        <w:footnoteReference w:id="3"/>
      </w:r>
      <w:r w:rsidR="00EF5C68" w:rsidRPr="00B56CF7">
        <w:rPr>
          <w:rFonts w:asciiTheme="majorHAnsi" w:eastAsia="Times New Roman" w:hAnsiTheme="majorHAnsi"/>
          <w:sz w:val="20"/>
          <w:szCs w:val="20"/>
          <w:bdr w:val="none" w:sz="0" w:space="0" w:color="auto"/>
          <w:lang w:val="es-AR"/>
        </w:rPr>
        <w:t xml:space="preserve">. </w:t>
      </w:r>
    </w:p>
    <w:p w:rsidR="008F627B" w:rsidRPr="00B56CF7" w:rsidRDefault="008F627B" w:rsidP="00524D3F">
      <w:pPr>
        <w:rPr>
          <w:rFonts w:asciiTheme="majorHAnsi" w:eastAsia="Times New Roman" w:hAnsiTheme="majorHAnsi"/>
          <w:sz w:val="20"/>
          <w:szCs w:val="20"/>
          <w:bdr w:val="none" w:sz="0" w:space="0" w:color="auto"/>
          <w:lang w:val="es-AR"/>
        </w:rPr>
      </w:pPr>
    </w:p>
    <w:p w:rsidR="00B83B21" w:rsidRPr="00B56CF7" w:rsidRDefault="00E14556" w:rsidP="00B83B2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Según indicaron las partes, la constanc</w:t>
      </w:r>
      <w:r w:rsidR="00C74AF3" w:rsidRPr="00B56CF7">
        <w:rPr>
          <w:rFonts w:asciiTheme="majorHAnsi" w:eastAsia="Times New Roman" w:hAnsiTheme="majorHAnsi"/>
          <w:sz w:val="20"/>
          <w:szCs w:val="20"/>
          <w:bdr w:val="none" w:sz="0" w:space="0" w:color="auto"/>
          <w:lang w:val="es-AR"/>
        </w:rPr>
        <w:t>ia de dicha conversación quedó</w:t>
      </w:r>
      <w:r w:rsidRPr="00B56CF7">
        <w:rPr>
          <w:rFonts w:asciiTheme="majorHAnsi" w:eastAsia="Times New Roman" w:hAnsiTheme="majorHAnsi"/>
          <w:sz w:val="20"/>
          <w:szCs w:val="20"/>
          <w:bdr w:val="none" w:sz="0" w:space="0" w:color="auto"/>
          <w:lang w:val="es-AR"/>
        </w:rPr>
        <w:t xml:space="preserve"> contenida en el folio 1099 </w:t>
      </w:r>
      <w:r w:rsidR="000529B2" w:rsidRPr="00B56CF7">
        <w:rPr>
          <w:rFonts w:asciiTheme="majorHAnsi" w:eastAsia="Times New Roman" w:hAnsiTheme="majorHAnsi"/>
          <w:sz w:val="20"/>
          <w:szCs w:val="20"/>
          <w:bdr w:val="none" w:sz="0" w:space="0" w:color="auto"/>
          <w:lang w:val="es-AR"/>
        </w:rPr>
        <w:t xml:space="preserve">y estaba </w:t>
      </w:r>
      <w:r w:rsidRPr="00B56CF7">
        <w:rPr>
          <w:rFonts w:asciiTheme="majorHAnsi" w:eastAsia="Times New Roman" w:hAnsiTheme="majorHAnsi"/>
          <w:sz w:val="20"/>
          <w:szCs w:val="20"/>
          <w:bdr w:val="none" w:sz="0" w:space="0" w:color="auto"/>
          <w:lang w:val="es-AR"/>
        </w:rPr>
        <w:t>firmada por el Principal Carlos Salomone y el Comisario Jorge Alberto Palacios</w:t>
      </w:r>
      <w:r w:rsidRPr="00B56CF7">
        <w:rPr>
          <w:rFonts w:asciiTheme="majorHAnsi" w:eastAsia="Times New Roman" w:hAnsiTheme="majorHAnsi"/>
          <w:sz w:val="20"/>
          <w:szCs w:val="20"/>
          <w:bdr w:val="none" w:sz="0" w:space="0" w:color="auto"/>
          <w:vertAlign w:val="superscript"/>
          <w:lang w:val="es-AR"/>
        </w:rPr>
        <w:footnoteReference w:id="4"/>
      </w:r>
      <w:r w:rsidRPr="00B56CF7">
        <w:rPr>
          <w:rFonts w:asciiTheme="majorHAnsi" w:eastAsia="Times New Roman" w:hAnsiTheme="majorHAnsi"/>
          <w:sz w:val="20"/>
          <w:szCs w:val="20"/>
          <w:bdr w:val="none" w:sz="0" w:space="0" w:color="auto"/>
          <w:lang w:val="es-AR"/>
        </w:rPr>
        <w:t xml:space="preserve">. </w:t>
      </w:r>
    </w:p>
    <w:p w:rsidR="00126F99" w:rsidRPr="00B56CF7" w:rsidRDefault="00126F99" w:rsidP="00126F99">
      <w:pPr>
        <w:pStyle w:val="ListParagraph"/>
        <w:rPr>
          <w:rFonts w:asciiTheme="majorHAnsi" w:eastAsia="Times New Roman" w:hAnsiTheme="majorHAnsi"/>
          <w:sz w:val="20"/>
          <w:szCs w:val="20"/>
          <w:bdr w:val="none" w:sz="0" w:space="0" w:color="auto"/>
          <w:lang w:val="es-AR"/>
        </w:rPr>
      </w:pPr>
    </w:p>
    <w:p w:rsidR="00CC2D25" w:rsidRPr="00B56CF7" w:rsidRDefault="00126F99" w:rsidP="00AD1F9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eastAsia="Times New Roman" w:hAnsiTheme="majorHAnsi"/>
          <w:sz w:val="20"/>
          <w:szCs w:val="20"/>
          <w:bdr w:val="none" w:sz="0" w:space="0" w:color="auto"/>
          <w:lang w:val="es-AR"/>
        </w:rPr>
        <w:t>En dicha constancia se indica lo siguiente</w:t>
      </w:r>
      <w:r w:rsidR="00093BA5" w:rsidRPr="00B56CF7">
        <w:rPr>
          <w:rFonts w:asciiTheme="majorHAnsi" w:hAnsiTheme="majorHAnsi"/>
          <w:sz w:val="20"/>
          <w:szCs w:val="20"/>
          <w:lang w:val="es-VE"/>
        </w:rPr>
        <w:t xml:space="preserve">: </w:t>
      </w:r>
    </w:p>
    <w:p w:rsidR="00CC2D25" w:rsidRPr="00B56CF7" w:rsidRDefault="00CC2D25" w:rsidP="00CC2D25">
      <w:pPr>
        <w:pStyle w:val="ListParagraph"/>
        <w:rPr>
          <w:rFonts w:asciiTheme="majorHAnsi" w:hAnsiTheme="majorHAnsi"/>
          <w:sz w:val="20"/>
          <w:szCs w:val="20"/>
          <w:lang w:val="es-VE"/>
        </w:rPr>
      </w:pPr>
    </w:p>
    <w:p w:rsidR="00126F99" w:rsidRPr="0062236D" w:rsidRDefault="00126F99" w:rsidP="00CC2D25">
      <w:pPr>
        <w:tabs>
          <w:tab w:val="num" w:pos="1440"/>
        </w:tabs>
        <w:ind w:left="720" w:right="720"/>
        <w:jc w:val="both"/>
        <w:rPr>
          <w:rFonts w:asciiTheme="majorHAnsi" w:hAnsiTheme="majorHAnsi"/>
          <w:sz w:val="20"/>
          <w:szCs w:val="20"/>
          <w:lang w:val="es-ES"/>
        </w:rPr>
      </w:pPr>
      <w:r w:rsidRPr="0062236D">
        <w:rPr>
          <w:rFonts w:asciiTheme="majorHAnsi" w:hAnsiTheme="majorHAnsi"/>
          <w:sz w:val="20"/>
          <w:szCs w:val="20"/>
          <w:lang w:val="es-ES"/>
        </w:rPr>
        <w:t xml:space="preserve">(…) el funcionario que suscribe con la actuación del secretario que refrenda a los fines legales hace constar: que en este acto se recibe procedente de la Dirección de Observaciones Judiciales de la S.I.D.E, </w:t>
      </w:r>
      <w:proofErr w:type="spellStart"/>
      <w:r w:rsidRPr="0062236D">
        <w:rPr>
          <w:rFonts w:asciiTheme="majorHAnsi" w:hAnsiTheme="majorHAnsi"/>
          <w:sz w:val="20"/>
          <w:szCs w:val="20"/>
          <w:lang w:val="es-ES"/>
        </w:rPr>
        <w:t>cassette</w:t>
      </w:r>
      <w:proofErr w:type="spellEnd"/>
      <w:r w:rsidRPr="0062236D">
        <w:rPr>
          <w:rFonts w:asciiTheme="majorHAnsi" w:hAnsiTheme="majorHAnsi"/>
          <w:sz w:val="20"/>
          <w:szCs w:val="20"/>
          <w:lang w:val="es-ES"/>
        </w:rPr>
        <w:t xml:space="preserve"> no. 40 correspondiente al abonado 414-7004, de fecha 28 del corriente y, de las escuchas practicadas al mismo se determinaron las siguientes</w:t>
      </w:r>
      <w:r w:rsidR="008F627B" w:rsidRPr="0062236D">
        <w:rPr>
          <w:rFonts w:asciiTheme="majorHAnsi" w:hAnsiTheme="majorHAnsi"/>
          <w:sz w:val="20"/>
          <w:szCs w:val="20"/>
          <w:lang w:val="es-ES"/>
        </w:rPr>
        <w:t xml:space="preserve"> circunstancias: </w:t>
      </w:r>
      <w:r w:rsidRPr="0062236D">
        <w:rPr>
          <w:rFonts w:asciiTheme="majorHAnsi" w:hAnsiTheme="majorHAnsi"/>
          <w:sz w:val="20"/>
          <w:szCs w:val="20"/>
          <w:lang w:val="es-ES"/>
        </w:rPr>
        <w:t xml:space="preserve">surge una conversación mantenida entre JORGE MARTINEZ y ALFONSO FIGAL, en la cual, éste último le pasa los teléfonos del hotel en que está alojado en ESPAÑA, siendo los mismos el 27-8000 y 27-7905. Asimismo, una conversación mantenida entre JORGE MARTINEZ Y GABRIEL, en la cual </w:t>
      </w:r>
      <w:r w:rsidR="00994B64" w:rsidRPr="0062236D">
        <w:rPr>
          <w:rFonts w:asciiTheme="majorHAnsi" w:hAnsiTheme="majorHAnsi"/>
          <w:sz w:val="20"/>
          <w:szCs w:val="20"/>
          <w:lang w:val="es-ES"/>
        </w:rPr>
        <w:t>Martínez</w:t>
      </w:r>
      <w:r w:rsidRPr="0062236D">
        <w:rPr>
          <w:rFonts w:asciiTheme="majorHAnsi" w:hAnsiTheme="majorHAnsi"/>
          <w:sz w:val="20"/>
          <w:szCs w:val="20"/>
          <w:lang w:val="es-ES"/>
        </w:rPr>
        <w:t>, queda en llamarlo a fin de que lo acompañe a un viaje en el exterior. – Se deja constancia que no se efectúan transcripciones, quedando el cas.</w:t>
      </w:r>
      <w:r w:rsidR="00994B64" w:rsidRPr="0062236D">
        <w:rPr>
          <w:rFonts w:asciiTheme="majorHAnsi" w:hAnsiTheme="majorHAnsi"/>
          <w:sz w:val="20"/>
          <w:szCs w:val="20"/>
          <w:lang w:val="es-ES"/>
        </w:rPr>
        <w:t xml:space="preserve"> </w:t>
      </w:r>
      <w:r w:rsidRPr="0062236D">
        <w:rPr>
          <w:rFonts w:asciiTheme="majorHAnsi" w:hAnsiTheme="majorHAnsi"/>
          <w:sz w:val="20"/>
          <w:szCs w:val="20"/>
          <w:lang w:val="es-ES"/>
        </w:rPr>
        <w:t>40 afectado al presente sumario. CONSTE</w:t>
      </w:r>
      <w:r w:rsidR="00093BA5" w:rsidRPr="00B56CF7">
        <w:rPr>
          <w:rFonts w:asciiTheme="majorHAnsi" w:eastAsia="Times New Roman" w:hAnsiTheme="majorHAnsi"/>
          <w:sz w:val="20"/>
          <w:szCs w:val="20"/>
          <w:bdr w:val="none" w:sz="0" w:space="0" w:color="auto"/>
          <w:vertAlign w:val="superscript"/>
          <w:lang w:val="es-AR"/>
        </w:rPr>
        <w:footnoteReference w:id="5"/>
      </w:r>
      <w:r w:rsidRPr="0062236D">
        <w:rPr>
          <w:rFonts w:asciiTheme="majorHAnsi" w:hAnsiTheme="majorHAnsi"/>
          <w:sz w:val="20"/>
          <w:szCs w:val="20"/>
          <w:lang w:val="es-ES"/>
        </w:rPr>
        <w:t>.</w:t>
      </w:r>
    </w:p>
    <w:p w:rsidR="00126F99" w:rsidRPr="00B56CF7" w:rsidRDefault="00126F99" w:rsidP="00093BA5">
      <w:pPr>
        <w:rPr>
          <w:rFonts w:asciiTheme="majorHAnsi" w:eastAsia="Times New Roman" w:hAnsiTheme="majorHAnsi"/>
          <w:sz w:val="20"/>
          <w:szCs w:val="20"/>
          <w:bdr w:val="none" w:sz="0" w:space="0" w:color="auto"/>
          <w:lang w:val="es-AR"/>
        </w:rPr>
      </w:pPr>
    </w:p>
    <w:p w:rsidR="00F2075F" w:rsidRPr="00B56CF7" w:rsidRDefault="00F2075F" w:rsidP="0080241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La Comisión </w:t>
      </w:r>
      <w:r w:rsidR="001E582D" w:rsidRPr="00B56CF7">
        <w:rPr>
          <w:rFonts w:asciiTheme="majorHAnsi" w:eastAsia="Times New Roman" w:hAnsiTheme="majorHAnsi"/>
          <w:sz w:val="20"/>
          <w:szCs w:val="20"/>
          <w:bdr w:val="none" w:sz="0" w:space="0" w:color="auto"/>
          <w:lang w:val="es-AR"/>
        </w:rPr>
        <w:t>nota</w:t>
      </w:r>
      <w:r w:rsidRPr="00B56CF7">
        <w:rPr>
          <w:rFonts w:asciiTheme="majorHAnsi" w:eastAsia="Times New Roman" w:hAnsiTheme="majorHAnsi"/>
          <w:sz w:val="20"/>
          <w:szCs w:val="20"/>
          <w:bdr w:val="none" w:sz="0" w:space="0" w:color="auto"/>
          <w:lang w:val="es-AR"/>
        </w:rPr>
        <w:t xml:space="preserve"> que si bien no se dejó constancia o transcripc</w:t>
      </w:r>
      <w:r w:rsidR="00B16895" w:rsidRPr="00B56CF7">
        <w:rPr>
          <w:rFonts w:asciiTheme="majorHAnsi" w:eastAsia="Times New Roman" w:hAnsiTheme="majorHAnsi"/>
          <w:sz w:val="20"/>
          <w:szCs w:val="20"/>
          <w:bdr w:val="none" w:sz="0" w:space="0" w:color="auto"/>
          <w:lang w:val="es-AR"/>
        </w:rPr>
        <w:t>ión de dicha llamada telefónica</w:t>
      </w:r>
      <w:r w:rsidRPr="00B56CF7">
        <w:rPr>
          <w:rFonts w:asciiTheme="majorHAnsi" w:eastAsia="Times New Roman" w:hAnsiTheme="majorHAnsi"/>
          <w:sz w:val="20"/>
          <w:szCs w:val="20"/>
          <w:bdr w:val="none" w:sz="0" w:space="0" w:color="auto"/>
          <w:lang w:val="es-AR"/>
        </w:rPr>
        <w:t>,</w:t>
      </w:r>
      <w:r w:rsidR="00B16895" w:rsidRPr="00B56CF7">
        <w:rPr>
          <w:rFonts w:asciiTheme="majorHAnsi" w:eastAsia="Times New Roman" w:hAnsiTheme="majorHAnsi"/>
          <w:sz w:val="20"/>
          <w:szCs w:val="20"/>
          <w:bdr w:val="none" w:sz="0" w:space="0" w:color="auto"/>
          <w:lang w:val="es-AR"/>
        </w:rPr>
        <w:t xml:space="preserve"> </w:t>
      </w:r>
      <w:r w:rsidRPr="00B56CF7">
        <w:rPr>
          <w:rFonts w:asciiTheme="majorHAnsi" w:eastAsia="Times New Roman" w:hAnsiTheme="majorHAnsi"/>
          <w:sz w:val="20"/>
          <w:szCs w:val="20"/>
          <w:bdr w:val="none" w:sz="0" w:space="0" w:color="auto"/>
          <w:lang w:val="es-AR"/>
        </w:rPr>
        <w:t xml:space="preserve">en el marco del proceso se incorporaron las transcripciones de otras llamadas telefónicas </w:t>
      </w:r>
      <w:r w:rsidR="00AD3691" w:rsidRPr="00B56CF7">
        <w:rPr>
          <w:rFonts w:asciiTheme="majorHAnsi" w:eastAsia="Times New Roman" w:hAnsiTheme="majorHAnsi"/>
          <w:sz w:val="20"/>
          <w:szCs w:val="20"/>
          <w:bdr w:val="none" w:sz="0" w:space="0" w:color="auto"/>
          <w:lang w:val="es-AR"/>
        </w:rPr>
        <w:t>supuestamente sostenidas por el peticionario</w:t>
      </w:r>
      <w:r w:rsidR="00BE3A33" w:rsidRPr="00B56CF7">
        <w:rPr>
          <w:rFonts w:asciiTheme="majorHAnsi" w:eastAsia="Times New Roman" w:hAnsiTheme="majorHAnsi"/>
          <w:sz w:val="20"/>
          <w:szCs w:val="20"/>
          <w:bdr w:val="none" w:sz="0" w:space="0" w:color="auto"/>
          <w:lang w:val="es-AR"/>
        </w:rPr>
        <w:t xml:space="preserve"> y su esposa</w:t>
      </w:r>
      <w:r w:rsidR="00AD3691" w:rsidRPr="00B56CF7">
        <w:rPr>
          <w:rFonts w:asciiTheme="majorHAnsi" w:eastAsia="Times New Roman" w:hAnsiTheme="majorHAnsi"/>
          <w:sz w:val="20"/>
          <w:szCs w:val="20"/>
          <w:bdr w:val="none" w:sz="0" w:space="0" w:color="auto"/>
          <w:lang w:val="es-AR"/>
        </w:rPr>
        <w:t xml:space="preserve">, como las que </w:t>
      </w:r>
      <w:r w:rsidRPr="00B56CF7">
        <w:rPr>
          <w:rFonts w:asciiTheme="majorHAnsi" w:eastAsia="Times New Roman" w:hAnsiTheme="majorHAnsi"/>
          <w:sz w:val="20"/>
          <w:szCs w:val="20"/>
          <w:bdr w:val="none" w:sz="0" w:space="0" w:color="auto"/>
          <w:lang w:val="es-AR"/>
        </w:rPr>
        <w:t>constan en los folios 1121/22 y 130</w:t>
      </w:r>
      <w:r w:rsidR="0080241F" w:rsidRPr="00B56CF7">
        <w:rPr>
          <w:rFonts w:asciiTheme="majorHAnsi" w:eastAsia="Times New Roman" w:hAnsiTheme="majorHAnsi"/>
          <w:sz w:val="20"/>
          <w:szCs w:val="20"/>
          <w:bdr w:val="none" w:sz="0" w:space="0" w:color="auto"/>
          <w:lang w:val="es-AR"/>
        </w:rPr>
        <w:t>9/</w:t>
      </w:r>
      <w:proofErr w:type="gramStart"/>
      <w:r w:rsidR="0080241F" w:rsidRPr="00B56CF7">
        <w:rPr>
          <w:rFonts w:asciiTheme="majorHAnsi" w:eastAsia="Times New Roman" w:hAnsiTheme="majorHAnsi"/>
          <w:sz w:val="20"/>
          <w:szCs w:val="20"/>
          <w:bdr w:val="none" w:sz="0" w:space="0" w:color="auto"/>
          <w:lang w:val="es-AR"/>
        </w:rPr>
        <w:t xml:space="preserve">10 </w:t>
      </w:r>
      <w:r w:rsidR="00FA2208">
        <w:rPr>
          <w:rFonts w:asciiTheme="majorHAnsi" w:eastAsia="Times New Roman" w:hAnsiTheme="majorHAnsi"/>
          <w:sz w:val="20"/>
          <w:szCs w:val="20"/>
          <w:bdr w:val="none" w:sz="0" w:space="0" w:color="auto"/>
          <w:lang w:val="es-AR"/>
        </w:rPr>
        <w:t>,</w:t>
      </w:r>
      <w:proofErr w:type="gramEnd"/>
      <w:r w:rsidR="0080241F" w:rsidRPr="00B56CF7">
        <w:rPr>
          <w:rFonts w:asciiTheme="majorHAnsi" w:eastAsia="Times New Roman" w:hAnsiTheme="majorHAnsi"/>
          <w:sz w:val="20"/>
          <w:szCs w:val="20"/>
          <w:bdr w:val="none" w:sz="0" w:space="0" w:color="auto"/>
          <w:lang w:val="es-AR"/>
        </w:rPr>
        <w:t xml:space="preserve"> que se describen a continuación</w:t>
      </w:r>
      <w:r w:rsidR="00457DA5" w:rsidRPr="00B56CF7">
        <w:rPr>
          <w:rStyle w:val="FootnoteReference"/>
          <w:rFonts w:asciiTheme="majorHAnsi" w:eastAsia="Times New Roman" w:hAnsiTheme="majorHAnsi"/>
          <w:sz w:val="20"/>
          <w:szCs w:val="20"/>
          <w:bdr w:val="none" w:sz="0" w:space="0" w:color="auto"/>
          <w:lang w:val="es-AR"/>
        </w:rPr>
        <w:footnoteReference w:id="6"/>
      </w:r>
      <w:r w:rsidR="00457DA5" w:rsidRPr="00B56CF7">
        <w:rPr>
          <w:rFonts w:asciiTheme="majorHAnsi" w:eastAsia="Times New Roman" w:hAnsiTheme="majorHAnsi"/>
          <w:sz w:val="20"/>
          <w:szCs w:val="20"/>
          <w:bdr w:val="none" w:sz="0" w:space="0" w:color="auto"/>
          <w:lang w:val="es-AR"/>
        </w:rPr>
        <w:t>.</w:t>
      </w:r>
    </w:p>
    <w:p w:rsidR="00F2075F" w:rsidRPr="00B56CF7" w:rsidRDefault="00F2075F" w:rsidP="00F207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p>
    <w:p w:rsidR="00AD3691" w:rsidRPr="00B56CF7" w:rsidRDefault="00F2075F" w:rsidP="00524D3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En el folio 1121/22 se transcribió</w:t>
      </w:r>
      <w:r w:rsidR="00BE3A33" w:rsidRPr="00B56CF7">
        <w:rPr>
          <w:rFonts w:asciiTheme="majorHAnsi" w:eastAsia="Times New Roman" w:hAnsiTheme="majorHAnsi"/>
          <w:sz w:val="20"/>
          <w:szCs w:val="20"/>
          <w:bdr w:val="none" w:sz="0" w:space="0" w:color="auto"/>
          <w:lang w:val="es-AR"/>
        </w:rPr>
        <w:t xml:space="preserve"> </w:t>
      </w:r>
      <w:r w:rsidRPr="00B56CF7">
        <w:rPr>
          <w:rFonts w:asciiTheme="majorHAnsi" w:eastAsia="Times New Roman" w:hAnsiTheme="majorHAnsi"/>
          <w:sz w:val="20"/>
          <w:szCs w:val="20"/>
          <w:bdr w:val="none" w:sz="0" w:space="0" w:color="auto"/>
          <w:lang w:val="es-AR"/>
        </w:rPr>
        <w:t xml:space="preserve">la grabación de </w:t>
      </w:r>
      <w:r w:rsidR="00005529" w:rsidRPr="00B56CF7">
        <w:rPr>
          <w:rFonts w:asciiTheme="majorHAnsi" w:eastAsia="Times New Roman" w:hAnsiTheme="majorHAnsi"/>
          <w:sz w:val="20"/>
          <w:szCs w:val="20"/>
          <w:bdr w:val="none" w:sz="0" w:space="0" w:color="auto"/>
          <w:lang w:val="es-AR"/>
        </w:rPr>
        <w:t>una supuesta</w:t>
      </w:r>
      <w:r w:rsidRPr="00B56CF7">
        <w:rPr>
          <w:rFonts w:asciiTheme="majorHAnsi" w:eastAsia="Times New Roman" w:hAnsiTheme="majorHAnsi"/>
          <w:sz w:val="20"/>
          <w:szCs w:val="20"/>
          <w:bdr w:val="none" w:sz="0" w:space="0" w:color="auto"/>
          <w:lang w:val="es-AR"/>
        </w:rPr>
        <w:t xml:space="preserve"> conversación telefónica</w:t>
      </w:r>
      <w:r w:rsidR="00C34A62" w:rsidRPr="00B56CF7">
        <w:rPr>
          <w:rFonts w:asciiTheme="majorHAnsi" w:eastAsia="Times New Roman" w:hAnsiTheme="majorHAnsi"/>
          <w:sz w:val="20"/>
          <w:szCs w:val="20"/>
          <w:bdr w:val="none" w:sz="0" w:space="0" w:color="auto"/>
          <w:lang w:val="es-AR"/>
        </w:rPr>
        <w:t xml:space="preserve"> contenida en </w:t>
      </w:r>
      <w:r w:rsidRPr="00B56CF7">
        <w:rPr>
          <w:rFonts w:asciiTheme="majorHAnsi" w:eastAsia="Times New Roman" w:hAnsiTheme="majorHAnsi"/>
          <w:sz w:val="20"/>
          <w:szCs w:val="20"/>
          <w:bdr w:val="none" w:sz="0" w:space="0" w:color="auto"/>
          <w:lang w:val="es-AR"/>
        </w:rPr>
        <w:t xml:space="preserve">el </w:t>
      </w:r>
      <w:proofErr w:type="spellStart"/>
      <w:r w:rsidRPr="00B56CF7">
        <w:rPr>
          <w:rFonts w:asciiTheme="majorHAnsi" w:eastAsia="Times New Roman" w:hAnsiTheme="majorHAnsi"/>
          <w:sz w:val="20"/>
          <w:szCs w:val="20"/>
          <w:bdr w:val="none" w:sz="0" w:space="0" w:color="auto"/>
          <w:lang w:val="es-AR"/>
        </w:rPr>
        <w:t>casset</w:t>
      </w:r>
      <w:r w:rsidR="00BE3A33" w:rsidRPr="00B56CF7">
        <w:rPr>
          <w:rFonts w:asciiTheme="majorHAnsi" w:eastAsia="Times New Roman" w:hAnsiTheme="majorHAnsi"/>
          <w:sz w:val="20"/>
          <w:szCs w:val="20"/>
          <w:bdr w:val="none" w:sz="0" w:space="0" w:color="auto"/>
          <w:lang w:val="es-AR"/>
        </w:rPr>
        <w:t>t</w:t>
      </w:r>
      <w:r w:rsidRPr="00B56CF7">
        <w:rPr>
          <w:rFonts w:asciiTheme="majorHAnsi" w:eastAsia="Times New Roman" w:hAnsiTheme="majorHAnsi"/>
          <w:sz w:val="20"/>
          <w:szCs w:val="20"/>
          <w:bdr w:val="none" w:sz="0" w:space="0" w:color="auto"/>
          <w:lang w:val="es-AR"/>
        </w:rPr>
        <w:t>e</w:t>
      </w:r>
      <w:proofErr w:type="spellEnd"/>
      <w:r w:rsidRPr="00B56CF7">
        <w:rPr>
          <w:rFonts w:asciiTheme="majorHAnsi" w:eastAsia="Times New Roman" w:hAnsiTheme="majorHAnsi"/>
          <w:sz w:val="20"/>
          <w:szCs w:val="20"/>
          <w:bdr w:val="none" w:sz="0" w:space="0" w:color="auto"/>
          <w:lang w:val="es-AR"/>
        </w:rPr>
        <w:t xml:space="preserve"> </w:t>
      </w:r>
      <w:r w:rsidR="00A63A97" w:rsidRPr="00B56CF7">
        <w:rPr>
          <w:rFonts w:asciiTheme="majorHAnsi" w:eastAsia="Times New Roman" w:hAnsiTheme="majorHAnsi"/>
          <w:sz w:val="20"/>
          <w:szCs w:val="20"/>
          <w:bdr w:val="none" w:sz="0" w:space="0" w:color="auto"/>
          <w:lang w:val="es-AR"/>
        </w:rPr>
        <w:t>N</w:t>
      </w:r>
      <w:r w:rsidRPr="00B56CF7">
        <w:rPr>
          <w:rFonts w:asciiTheme="majorHAnsi" w:eastAsia="Times New Roman" w:hAnsiTheme="majorHAnsi"/>
          <w:sz w:val="20"/>
          <w:szCs w:val="20"/>
          <w:bdr w:val="none" w:sz="0" w:space="0" w:color="auto"/>
          <w:lang w:val="es-AR"/>
        </w:rPr>
        <w:t>o.</w:t>
      </w:r>
      <w:r w:rsidR="00A63A97" w:rsidRPr="00B56CF7">
        <w:rPr>
          <w:rFonts w:asciiTheme="majorHAnsi" w:eastAsia="Times New Roman" w:hAnsiTheme="majorHAnsi"/>
          <w:sz w:val="20"/>
          <w:szCs w:val="20"/>
          <w:bdr w:val="none" w:sz="0" w:space="0" w:color="auto"/>
          <w:lang w:val="es-AR"/>
        </w:rPr>
        <w:t xml:space="preserve"> </w:t>
      </w:r>
      <w:r w:rsidRPr="00B56CF7">
        <w:rPr>
          <w:rFonts w:asciiTheme="majorHAnsi" w:eastAsia="Times New Roman" w:hAnsiTheme="majorHAnsi"/>
          <w:sz w:val="20"/>
          <w:szCs w:val="20"/>
          <w:bdr w:val="none" w:sz="0" w:space="0" w:color="auto"/>
          <w:lang w:val="es-AR"/>
        </w:rPr>
        <w:t>41 que corresponde a una conversación entre Jorge Martínez y Gabriel Jenkins relacionada con los preparativos para un supuesto viaje</w:t>
      </w:r>
      <w:r w:rsidR="00B16895" w:rsidRPr="00B56CF7">
        <w:rPr>
          <w:rStyle w:val="FootnoteReference"/>
          <w:rFonts w:asciiTheme="majorHAnsi" w:eastAsia="Times New Roman" w:hAnsiTheme="majorHAnsi"/>
          <w:sz w:val="20"/>
          <w:szCs w:val="20"/>
          <w:bdr w:val="none" w:sz="0" w:space="0" w:color="auto"/>
          <w:lang w:val="es-AR"/>
        </w:rPr>
        <w:footnoteReference w:id="7"/>
      </w:r>
      <w:r w:rsidRPr="00B56CF7">
        <w:rPr>
          <w:rFonts w:asciiTheme="majorHAnsi" w:eastAsia="Times New Roman" w:hAnsiTheme="majorHAnsi"/>
          <w:sz w:val="20"/>
          <w:szCs w:val="20"/>
          <w:bdr w:val="none" w:sz="0" w:space="0" w:color="auto"/>
          <w:lang w:val="es-AR"/>
        </w:rPr>
        <w:t xml:space="preserve">. </w:t>
      </w:r>
      <w:r w:rsidR="00AD3691" w:rsidRPr="00B56CF7">
        <w:rPr>
          <w:rFonts w:asciiTheme="majorHAnsi" w:eastAsia="Times New Roman" w:hAnsiTheme="majorHAnsi"/>
          <w:sz w:val="20"/>
          <w:szCs w:val="20"/>
          <w:bdr w:val="none" w:sz="0" w:space="0" w:color="auto"/>
          <w:lang w:val="es-AR"/>
        </w:rPr>
        <w:t>En dicha transcripción constan</w:t>
      </w:r>
      <w:r w:rsidR="00AC46D0" w:rsidRPr="00B56CF7">
        <w:rPr>
          <w:rFonts w:asciiTheme="majorHAnsi" w:eastAsia="Times New Roman" w:hAnsiTheme="majorHAnsi"/>
          <w:sz w:val="20"/>
          <w:szCs w:val="20"/>
          <w:bdr w:val="none" w:sz="0" w:space="0" w:color="auto"/>
          <w:lang w:val="es-AR"/>
        </w:rPr>
        <w:t>,</w:t>
      </w:r>
      <w:r w:rsidR="00AD3691" w:rsidRPr="00B56CF7">
        <w:rPr>
          <w:rFonts w:asciiTheme="majorHAnsi" w:eastAsia="Times New Roman" w:hAnsiTheme="majorHAnsi"/>
          <w:sz w:val="20"/>
          <w:szCs w:val="20"/>
          <w:bdr w:val="none" w:sz="0" w:space="0" w:color="auto"/>
          <w:lang w:val="es-AR"/>
        </w:rPr>
        <w:t xml:space="preserve"> entre otros, los siguientes diálogos</w:t>
      </w:r>
      <w:r w:rsidR="00AC46D0" w:rsidRPr="00B56CF7">
        <w:rPr>
          <w:rFonts w:asciiTheme="majorHAnsi" w:eastAsia="Times New Roman" w:hAnsiTheme="majorHAnsi"/>
          <w:sz w:val="20"/>
          <w:szCs w:val="20"/>
          <w:bdr w:val="none" w:sz="0" w:space="0" w:color="auto"/>
          <w:lang w:val="es-AR"/>
        </w:rPr>
        <w:t>:</w:t>
      </w:r>
    </w:p>
    <w:p w:rsidR="00AD3691" w:rsidRPr="00B56CF7" w:rsidRDefault="00AD3691" w:rsidP="00AD3691">
      <w:pPr>
        <w:pStyle w:val="ListParagraph"/>
        <w:rPr>
          <w:rFonts w:asciiTheme="majorHAnsi" w:eastAsia="Times New Roman" w:hAnsiTheme="majorHAnsi"/>
          <w:sz w:val="20"/>
          <w:szCs w:val="20"/>
          <w:bdr w:val="none" w:sz="0" w:space="0" w:color="auto"/>
          <w:lang w:val="es-AR"/>
        </w:rPr>
      </w:pPr>
    </w:p>
    <w:p w:rsidR="00AD3691" w:rsidRPr="00B56CF7" w:rsidRDefault="00AD3691" w:rsidP="00AD36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E: Porque yo necesito estar DOS (2) días ahí…</w:t>
      </w:r>
      <w:proofErr w:type="gramStart"/>
      <w:r w:rsidRPr="00B56CF7">
        <w:rPr>
          <w:rFonts w:asciiTheme="majorHAnsi" w:eastAsia="Times New Roman" w:hAnsiTheme="majorHAnsi"/>
          <w:sz w:val="20"/>
          <w:szCs w:val="20"/>
          <w:bdr w:val="none" w:sz="0" w:space="0" w:color="auto"/>
          <w:lang w:val="es-AR"/>
        </w:rPr>
        <w:t>..</w:t>
      </w:r>
      <w:proofErr w:type="gramEnd"/>
    </w:p>
    <w:p w:rsidR="00AD3691" w:rsidRPr="00B56CF7" w:rsidRDefault="00AD3691" w:rsidP="00AD36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S: Bueno O.K., mira lo único que te digo, viste, </w:t>
      </w:r>
      <w:r w:rsidRPr="00B56CF7">
        <w:rPr>
          <w:rFonts w:asciiTheme="majorHAnsi" w:eastAsia="Times New Roman" w:hAnsiTheme="majorHAnsi"/>
          <w:sz w:val="20"/>
          <w:szCs w:val="20"/>
          <w:u w:val="single"/>
          <w:bdr w:val="none" w:sz="0" w:space="0" w:color="auto"/>
          <w:lang w:val="es-AR"/>
        </w:rPr>
        <w:t>LA FECHA LA SABES</w:t>
      </w:r>
      <w:r w:rsidRPr="00B56CF7">
        <w:rPr>
          <w:rFonts w:asciiTheme="majorHAnsi" w:eastAsia="Times New Roman" w:hAnsiTheme="majorHAnsi"/>
          <w:sz w:val="20"/>
          <w:szCs w:val="20"/>
          <w:bdr w:val="none" w:sz="0" w:space="0" w:color="auto"/>
          <w:lang w:val="es-AR"/>
        </w:rPr>
        <w:t xml:space="preserve"> (risas)…….viste…</w:t>
      </w:r>
    </w:p>
    <w:p w:rsidR="00AD3691" w:rsidRPr="00B56CF7" w:rsidRDefault="00AD3691" w:rsidP="00AD36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E: </w:t>
      </w:r>
      <w:r w:rsidR="0080241F" w:rsidRPr="00B56CF7">
        <w:rPr>
          <w:rFonts w:asciiTheme="majorHAnsi" w:eastAsia="Times New Roman" w:hAnsiTheme="majorHAnsi"/>
          <w:sz w:val="20"/>
          <w:szCs w:val="20"/>
          <w:u w:val="single"/>
          <w:bdr w:val="none" w:sz="0" w:space="0" w:color="auto"/>
          <w:lang w:val="es-AR"/>
        </w:rPr>
        <w:t>NO PERO SI YA ESTA TODO</w:t>
      </w:r>
      <w:r w:rsidR="0080241F" w:rsidRPr="00B56CF7">
        <w:rPr>
          <w:rFonts w:asciiTheme="majorHAnsi" w:eastAsia="Times New Roman" w:hAnsiTheme="majorHAnsi"/>
          <w:sz w:val="20"/>
          <w:szCs w:val="20"/>
          <w:bdr w:val="none" w:sz="0" w:space="0" w:color="auto"/>
          <w:lang w:val="es-AR"/>
        </w:rPr>
        <w:t>…..AHI…</w:t>
      </w:r>
    </w:p>
    <w:p w:rsidR="0080241F" w:rsidRPr="00B56CF7" w:rsidRDefault="0080241F" w:rsidP="00AD36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S: </w:t>
      </w:r>
      <w:r w:rsidRPr="00B56CF7">
        <w:rPr>
          <w:rFonts w:asciiTheme="majorHAnsi" w:eastAsia="Times New Roman" w:hAnsiTheme="majorHAnsi"/>
          <w:sz w:val="20"/>
          <w:szCs w:val="20"/>
          <w:u w:val="single"/>
          <w:bdr w:val="none" w:sz="0" w:space="0" w:color="auto"/>
          <w:lang w:val="es-AR"/>
        </w:rPr>
        <w:t>YA SE YA SE PERO TE DIGO QUE ESTAMOS PASADOS DE FECHA</w:t>
      </w:r>
      <w:r w:rsidRPr="00B56CF7">
        <w:rPr>
          <w:rFonts w:asciiTheme="majorHAnsi" w:eastAsia="Times New Roman" w:hAnsiTheme="majorHAnsi"/>
          <w:sz w:val="20"/>
          <w:szCs w:val="20"/>
          <w:bdr w:val="none" w:sz="0" w:space="0" w:color="auto"/>
          <w:lang w:val="es-AR"/>
        </w:rPr>
        <w:t>…</w:t>
      </w:r>
    </w:p>
    <w:p w:rsidR="0080241F" w:rsidRPr="00B56CF7" w:rsidRDefault="008F627B" w:rsidP="00AD36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u w:val="single"/>
          <w:bdr w:val="none" w:sz="0" w:space="0" w:color="auto"/>
          <w:lang w:val="es-AR"/>
        </w:rPr>
        <w:t>TENGO MIEDO POR ESTE TIPO</w:t>
      </w:r>
      <w:r w:rsidR="0080241F" w:rsidRPr="00B56CF7">
        <w:rPr>
          <w:rFonts w:asciiTheme="majorHAnsi" w:eastAsia="Times New Roman" w:hAnsiTheme="majorHAnsi"/>
          <w:sz w:val="20"/>
          <w:szCs w:val="20"/>
          <w:u w:val="single"/>
          <w:bdr w:val="none" w:sz="0" w:space="0" w:color="auto"/>
          <w:lang w:val="es-AR"/>
        </w:rPr>
        <w:t xml:space="preserve"> VISTE O PIENSE QUE NO VOY O CUALQUIER HISTORIA</w:t>
      </w:r>
      <w:r w:rsidR="0080241F" w:rsidRPr="00B56CF7">
        <w:rPr>
          <w:rFonts w:asciiTheme="majorHAnsi" w:eastAsia="Times New Roman" w:hAnsiTheme="majorHAnsi"/>
          <w:sz w:val="20"/>
          <w:szCs w:val="20"/>
          <w:bdr w:val="none" w:sz="0" w:space="0" w:color="auto"/>
          <w:lang w:val="es-AR"/>
        </w:rPr>
        <w:t xml:space="preserve"> viste</w:t>
      </w:r>
      <w:proofErr w:type="gramStart"/>
      <w:r w:rsidR="0080241F" w:rsidRPr="00B56CF7">
        <w:rPr>
          <w:rFonts w:asciiTheme="majorHAnsi" w:eastAsia="Times New Roman" w:hAnsiTheme="majorHAnsi"/>
          <w:sz w:val="20"/>
          <w:szCs w:val="20"/>
          <w:bdr w:val="none" w:sz="0" w:space="0" w:color="auto"/>
          <w:lang w:val="es-AR"/>
        </w:rPr>
        <w:t>?</w:t>
      </w:r>
      <w:proofErr w:type="gramEnd"/>
    </w:p>
    <w:p w:rsidR="0080241F" w:rsidRPr="00B56CF7" w:rsidRDefault="0080241F" w:rsidP="00AD36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E:</w:t>
      </w:r>
      <w:r w:rsidR="008F627B" w:rsidRPr="00B56CF7">
        <w:rPr>
          <w:rFonts w:asciiTheme="majorHAnsi" w:eastAsia="Times New Roman" w:hAnsiTheme="majorHAnsi"/>
          <w:sz w:val="20"/>
          <w:szCs w:val="20"/>
          <w:bdr w:val="none" w:sz="0" w:space="0" w:color="auto"/>
          <w:lang w:val="es-AR"/>
        </w:rPr>
        <w:t xml:space="preserve"> No, no, no</w:t>
      </w:r>
      <w:proofErr w:type="gramStart"/>
      <w:r w:rsidRPr="00B56CF7">
        <w:rPr>
          <w:rFonts w:asciiTheme="majorHAnsi" w:eastAsia="Times New Roman" w:hAnsiTheme="majorHAnsi"/>
          <w:sz w:val="20"/>
          <w:szCs w:val="20"/>
          <w:bdr w:val="none" w:sz="0" w:space="0" w:color="auto"/>
          <w:lang w:val="es-AR"/>
        </w:rPr>
        <w:t>, …</w:t>
      </w:r>
      <w:proofErr w:type="gramEnd"/>
      <w:r w:rsidRPr="00B56CF7">
        <w:rPr>
          <w:rFonts w:asciiTheme="majorHAnsi" w:eastAsia="Times New Roman" w:hAnsiTheme="majorHAnsi"/>
          <w:sz w:val="20"/>
          <w:szCs w:val="20"/>
          <w:bdr w:val="none" w:sz="0" w:space="0" w:color="auto"/>
          <w:lang w:val="es-AR"/>
        </w:rPr>
        <w:t xml:space="preserve">…SINO…MAÑANA A PRIMERA HORA LO LLAMAMOS o llámalo ahora a la tarde y </w:t>
      </w:r>
      <w:proofErr w:type="spellStart"/>
      <w:r w:rsidRPr="00B56CF7">
        <w:rPr>
          <w:rFonts w:asciiTheme="majorHAnsi" w:eastAsia="Times New Roman" w:hAnsiTheme="majorHAnsi"/>
          <w:sz w:val="20"/>
          <w:szCs w:val="20"/>
          <w:bdr w:val="none" w:sz="0" w:space="0" w:color="auto"/>
          <w:lang w:val="es-AR"/>
        </w:rPr>
        <w:t>dejale</w:t>
      </w:r>
      <w:proofErr w:type="spellEnd"/>
      <w:r w:rsidRPr="00B56CF7">
        <w:rPr>
          <w:rFonts w:asciiTheme="majorHAnsi" w:eastAsia="Times New Roman" w:hAnsiTheme="majorHAnsi"/>
          <w:sz w:val="20"/>
          <w:szCs w:val="20"/>
          <w:bdr w:val="none" w:sz="0" w:space="0" w:color="auto"/>
          <w:lang w:val="es-AR"/>
        </w:rPr>
        <w:t xml:space="preserve"> dicho mañana a tal hora lo llamamos….</w:t>
      </w:r>
    </w:p>
    <w:p w:rsidR="0080241F" w:rsidRPr="00B56CF7" w:rsidRDefault="0080241F" w:rsidP="00AD36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S: Bueno</w:t>
      </w:r>
      <w:proofErr w:type="gramStart"/>
      <w:r w:rsidRPr="00B56CF7">
        <w:rPr>
          <w:rFonts w:asciiTheme="majorHAnsi" w:eastAsia="Times New Roman" w:hAnsiTheme="majorHAnsi"/>
          <w:sz w:val="20"/>
          <w:szCs w:val="20"/>
          <w:bdr w:val="none" w:sz="0" w:space="0" w:color="auto"/>
          <w:lang w:val="es-AR"/>
        </w:rPr>
        <w:t>!</w:t>
      </w:r>
      <w:proofErr w:type="gramEnd"/>
      <w:r w:rsidRPr="00B56CF7">
        <w:rPr>
          <w:rFonts w:asciiTheme="majorHAnsi" w:eastAsia="Times New Roman" w:hAnsiTheme="majorHAnsi"/>
          <w:sz w:val="20"/>
          <w:szCs w:val="20"/>
          <w:bdr w:val="none" w:sz="0" w:space="0" w:color="auto"/>
          <w:lang w:val="es-AR"/>
        </w:rPr>
        <w:t xml:space="preserve"> …</w:t>
      </w:r>
    </w:p>
    <w:p w:rsidR="0080241F" w:rsidRPr="00B56CF7" w:rsidRDefault="0080241F" w:rsidP="00AD36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E: Eh?...</w:t>
      </w:r>
    </w:p>
    <w:p w:rsidR="0080241F" w:rsidRPr="00B56CF7" w:rsidRDefault="0080241F" w:rsidP="00AD36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S: Bueno ENTONCES AGUANTO ACA O.K</w:t>
      </w:r>
    </w:p>
    <w:p w:rsidR="0080241F" w:rsidRPr="00B56CF7" w:rsidRDefault="0080241F" w:rsidP="00AD36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E: Vale</w:t>
      </w:r>
      <w:proofErr w:type="gramStart"/>
      <w:r w:rsidRPr="00B56CF7">
        <w:rPr>
          <w:rFonts w:asciiTheme="majorHAnsi" w:eastAsia="Times New Roman" w:hAnsiTheme="majorHAnsi"/>
          <w:sz w:val="20"/>
          <w:szCs w:val="20"/>
          <w:bdr w:val="none" w:sz="0" w:space="0" w:color="auto"/>
          <w:lang w:val="es-AR"/>
        </w:rPr>
        <w:t>!</w:t>
      </w:r>
      <w:proofErr w:type="gramEnd"/>
    </w:p>
    <w:p w:rsidR="0080241F" w:rsidRPr="00B56CF7" w:rsidRDefault="0080241F" w:rsidP="00AD36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S: al pelo,…….nos vemos…..hasta luego……</w:t>
      </w:r>
    </w:p>
    <w:p w:rsidR="00F2075F" w:rsidRPr="00B56CF7" w:rsidRDefault="00F2075F" w:rsidP="00B1689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6D3BA3" w:rsidRPr="00B56CF7" w:rsidRDefault="00BE3A33" w:rsidP="00524D3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lastRenderedPageBreak/>
        <w:t xml:space="preserve">Asimismo, en el folio 1309 consta la transcripción </w:t>
      </w:r>
      <w:r w:rsidR="00457DA5" w:rsidRPr="00B56CF7">
        <w:rPr>
          <w:rFonts w:asciiTheme="majorHAnsi" w:eastAsia="Times New Roman" w:hAnsiTheme="majorHAnsi"/>
          <w:sz w:val="20"/>
          <w:szCs w:val="20"/>
          <w:bdr w:val="none" w:sz="0" w:space="0" w:color="auto"/>
          <w:lang w:val="es-AR"/>
        </w:rPr>
        <w:t>de una</w:t>
      </w:r>
      <w:r w:rsidR="00620105" w:rsidRPr="00B56CF7">
        <w:rPr>
          <w:rFonts w:asciiTheme="majorHAnsi" w:eastAsia="Times New Roman" w:hAnsiTheme="majorHAnsi"/>
          <w:sz w:val="20"/>
          <w:szCs w:val="20"/>
          <w:bdr w:val="none" w:sz="0" w:space="0" w:color="auto"/>
          <w:lang w:val="es-AR"/>
        </w:rPr>
        <w:t xml:space="preserve"> supuesta</w:t>
      </w:r>
      <w:r w:rsidR="00457DA5" w:rsidRPr="00B56CF7">
        <w:rPr>
          <w:rFonts w:asciiTheme="majorHAnsi" w:eastAsia="Times New Roman" w:hAnsiTheme="majorHAnsi"/>
          <w:sz w:val="20"/>
          <w:szCs w:val="20"/>
          <w:bdr w:val="none" w:sz="0" w:space="0" w:color="auto"/>
          <w:lang w:val="es-AR"/>
        </w:rPr>
        <w:t xml:space="preserve"> conversación telefónica </w:t>
      </w:r>
      <w:r w:rsidRPr="00B56CF7">
        <w:rPr>
          <w:rFonts w:asciiTheme="majorHAnsi" w:eastAsia="Times New Roman" w:hAnsiTheme="majorHAnsi"/>
          <w:sz w:val="20"/>
          <w:szCs w:val="20"/>
          <w:bdr w:val="none" w:sz="0" w:space="0" w:color="auto"/>
          <w:lang w:val="es-AR"/>
        </w:rPr>
        <w:t>entre la esposa de Gabriel Jenkins</w:t>
      </w:r>
      <w:r w:rsidR="001A10EA" w:rsidRPr="00B56CF7">
        <w:rPr>
          <w:rFonts w:asciiTheme="majorHAnsi" w:eastAsia="Times New Roman" w:hAnsiTheme="majorHAnsi"/>
          <w:sz w:val="20"/>
          <w:szCs w:val="20"/>
          <w:bdr w:val="none" w:sz="0" w:space="0" w:color="auto"/>
          <w:lang w:val="es-AR"/>
        </w:rPr>
        <w:t xml:space="preserve"> -</w:t>
      </w:r>
      <w:r w:rsidRPr="00B56CF7">
        <w:rPr>
          <w:rFonts w:asciiTheme="majorHAnsi" w:eastAsia="Times New Roman" w:hAnsiTheme="majorHAnsi"/>
          <w:sz w:val="20"/>
          <w:szCs w:val="20"/>
          <w:bdr w:val="none" w:sz="0" w:space="0" w:color="auto"/>
          <w:lang w:val="es-AR"/>
        </w:rPr>
        <w:t xml:space="preserve"> Leticia </w:t>
      </w:r>
      <w:proofErr w:type="spellStart"/>
      <w:r w:rsidRPr="00B56CF7">
        <w:rPr>
          <w:rFonts w:asciiTheme="majorHAnsi" w:eastAsia="Times New Roman" w:hAnsiTheme="majorHAnsi"/>
          <w:sz w:val="20"/>
          <w:szCs w:val="20"/>
          <w:bdr w:val="none" w:sz="0" w:space="0" w:color="auto"/>
          <w:lang w:val="es-AR"/>
        </w:rPr>
        <w:t>Pironelli</w:t>
      </w:r>
      <w:proofErr w:type="spellEnd"/>
      <w:r w:rsidR="001A10EA" w:rsidRPr="00B56CF7">
        <w:rPr>
          <w:rFonts w:asciiTheme="majorHAnsi" w:eastAsia="Times New Roman" w:hAnsiTheme="majorHAnsi"/>
          <w:sz w:val="20"/>
          <w:szCs w:val="20"/>
          <w:bdr w:val="none" w:sz="0" w:space="0" w:color="auto"/>
          <w:lang w:val="es-AR"/>
        </w:rPr>
        <w:t xml:space="preserve"> -</w:t>
      </w:r>
      <w:r w:rsidRPr="00B56CF7">
        <w:rPr>
          <w:rFonts w:asciiTheme="majorHAnsi" w:eastAsia="Times New Roman" w:hAnsiTheme="majorHAnsi"/>
          <w:sz w:val="20"/>
          <w:szCs w:val="20"/>
          <w:bdr w:val="none" w:sz="0" w:space="0" w:color="auto"/>
          <w:lang w:val="es-AR"/>
        </w:rPr>
        <w:t xml:space="preserve"> y una persona de sexo femenino</w:t>
      </w:r>
      <w:r w:rsidR="00B16895" w:rsidRPr="00B56CF7">
        <w:rPr>
          <w:rStyle w:val="FootnoteReference"/>
          <w:rFonts w:asciiTheme="majorHAnsi" w:eastAsia="Times New Roman" w:hAnsiTheme="majorHAnsi"/>
          <w:sz w:val="20"/>
          <w:szCs w:val="20"/>
          <w:bdr w:val="none" w:sz="0" w:space="0" w:color="auto"/>
          <w:lang w:val="es-AR"/>
        </w:rPr>
        <w:footnoteReference w:id="8"/>
      </w:r>
      <w:r w:rsidRPr="00B56CF7">
        <w:rPr>
          <w:rFonts w:asciiTheme="majorHAnsi" w:eastAsia="Times New Roman" w:hAnsiTheme="majorHAnsi"/>
          <w:sz w:val="20"/>
          <w:szCs w:val="20"/>
          <w:bdr w:val="none" w:sz="0" w:space="0" w:color="auto"/>
          <w:lang w:val="es-AR"/>
        </w:rPr>
        <w:t xml:space="preserve">. </w:t>
      </w:r>
    </w:p>
    <w:p w:rsidR="006D3BA3" w:rsidRPr="00B56CF7" w:rsidRDefault="006D3BA3" w:rsidP="00524D3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457DA5" w:rsidRPr="00B56CF7" w:rsidRDefault="00BE3A33" w:rsidP="00C66B0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En dicha transcripción constan entre otros, los siguientes diálogos</w:t>
      </w:r>
      <w:r w:rsidR="00A20C8B" w:rsidRPr="00B56CF7">
        <w:rPr>
          <w:rFonts w:asciiTheme="majorHAnsi" w:eastAsia="Times New Roman" w:hAnsiTheme="majorHAnsi"/>
          <w:sz w:val="20"/>
          <w:szCs w:val="20"/>
          <w:bdr w:val="none" w:sz="0" w:space="0" w:color="auto"/>
          <w:lang w:val="es-AR"/>
        </w:rPr>
        <w:t>:</w:t>
      </w:r>
    </w:p>
    <w:p w:rsidR="00C66B04" w:rsidRPr="00B56CF7" w:rsidRDefault="00C66B04" w:rsidP="00C66B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457DA5" w:rsidRPr="00B56CF7" w:rsidRDefault="00457DA5"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-Parece que se va el LUNES </w:t>
      </w:r>
      <w:proofErr w:type="gramStart"/>
      <w:r w:rsidRPr="00B56CF7">
        <w:rPr>
          <w:rFonts w:asciiTheme="majorHAnsi" w:eastAsia="Times New Roman" w:hAnsiTheme="majorHAnsi"/>
          <w:sz w:val="20"/>
          <w:szCs w:val="20"/>
          <w:bdr w:val="none" w:sz="0" w:space="0" w:color="auto"/>
          <w:lang w:val="es-AR"/>
        </w:rPr>
        <w:t>él …</w:t>
      </w:r>
      <w:proofErr w:type="gramEnd"/>
      <w:r w:rsidRPr="00B56CF7">
        <w:rPr>
          <w:rFonts w:asciiTheme="majorHAnsi" w:eastAsia="Times New Roman" w:hAnsiTheme="majorHAnsi"/>
          <w:sz w:val="20"/>
          <w:szCs w:val="20"/>
          <w:bdr w:val="none" w:sz="0" w:space="0" w:color="auto"/>
          <w:lang w:val="es-AR"/>
        </w:rPr>
        <w:t>.(por Gabriel JENKINS)</w:t>
      </w:r>
    </w:p>
    <w:p w:rsidR="00457DA5" w:rsidRPr="00B56CF7" w:rsidRDefault="00457DA5"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-que se va con PINO</w:t>
      </w:r>
      <w:proofErr w:type="gramStart"/>
      <w:r w:rsidRPr="00B56CF7">
        <w:rPr>
          <w:rFonts w:asciiTheme="majorHAnsi" w:eastAsia="Times New Roman" w:hAnsiTheme="majorHAnsi"/>
          <w:sz w:val="20"/>
          <w:szCs w:val="20"/>
          <w:bdr w:val="none" w:sz="0" w:space="0" w:color="auto"/>
          <w:lang w:val="es-AR"/>
        </w:rPr>
        <w:t>?</w:t>
      </w:r>
      <w:proofErr w:type="gramEnd"/>
    </w:p>
    <w:p w:rsidR="00457DA5" w:rsidRPr="00B56CF7" w:rsidRDefault="00457DA5"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-NO ELLOS SE VAN A OTRO LADO</w:t>
      </w:r>
    </w:p>
    <w:p w:rsidR="00457DA5" w:rsidRPr="00B56CF7" w:rsidRDefault="00457DA5"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-PINO y JORGE se van….</w:t>
      </w:r>
      <w:proofErr w:type="gramStart"/>
      <w:r w:rsidRPr="00B56CF7">
        <w:rPr>
          <w:rFonts w:asciiTheme="majorHAnsi" w:eastAsia="Times New Roman" w:hAnsiTheme="majorHAnsi"/>
          <w:sz w:val="20"/>
          <w:szCs w:val="20"/>
          <w:bdr w:val="none" w:sz="0" w:space="0" w:color="auto"/>
          <w:lang w:val="es-AR"/>
        </w:rPr>
        <w:t>?</w:t>
      </w:r>
      <w:proofErr w:type="gramEnd"/>
    </w:p>
    <w:p w:rsidR="00457DA5" w:rsidRPr="00B56CF7" w:rsidRDefault="00457DA5"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-SI</w:t>
      </w:r>
      <w:proofErr w:type="gramStart"/>
      <w:r w:rsidRPr="00B56CF7">
        <w:rPr>
          <w:rFonts w:asciiTheme="majorHAnsi" w:eastAsia="Times New Roman" w:hAnsiTheme="majorHAnsi"/>
          <w:sz w:val="20"/>
          <w:szCs w:val="20"/>
          <w:bdr w:val="none" w:sz="0" w:space="0" w:color="auto"/>
          <w:lang w:val="es-AR"/>
        </w:rPr>
        <w:t>!</w:t>
      </w:r>
      <w:proofErr w:type="gramEnd"/>
    </w:p>
    <w:p w:rsidR="00457DA5" w:rsidRPr="00B56CF7" w:rsidRDefault="00457DA5"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-ajá</w:t>
      </w:r>
      <w:proofErr w:type="gramStart"/>
      <w:r w:rsidRPr="00B56CF7">
        <w:rPr>
          <w:rFonts w:asciiTheme="majorHAnsi" w:eastAsia="Times New Roman" w:hAnsiTheme="majorHAnsi"/>
          <w:sz w:val="20"/>
          <w:szCs w:val="20"/>
          <w:bdr w:val="none" w:sz="0" w:space="0" w:color="auto"/>
          <w:lang w:val="es-AR"/>
        </w:rPr>
        <w:t>..</w:t>
      </w:r>
      <w:proofErr w:type="gramEnd"/>
    </w:p>
    <w:p w:rsidR="00457DA5" w:rsidRPr="00B56CF7" w:rsidRDefault="00457DA5"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-este no </w:t>
      </w:r>
      <w:proofErr w:type="spellStart"/>
      <w:r w:rsidRPr="00B56CF7">
        <w:rPr>
          <w:rFonts w:asciiTheme="majorHAnsi" w:eastAsia="Times New Roman" w:hAnsiTheme="majorHAnsi"/>
          <w:sz w:val="20"/>
          <w:szCs w:val="20"/>
          <w:bdr w:val="none" w:sz="0" w:space="0" w:color="auto"/>
          <w:lang w:val="es-AR"/>
        </w:rPr>
        <w:t>se</w:t>
      </w:r>
      <w:proofErr w:type="spellEnd"/>
      <w:r w:rsidRPr="00B56CF7">
        <w:rPr>
          <w:rFonts w:asciiTheme="majorHAnsi" w:eastAsia="Times New Roman" w:hAnsiTheme="majorHAnsi"/>
          <w:sz w:val="20"/>
          <w:szCs w:val="20"/>
          <w:bdr w:val="none" w:sz="0" w:space="0" w:color="auto"/>
          <w:lang w:val="es-AR"/>
        </w:rPr>
        <w:t xml:space="preserve"> </w:t>
      </w:r>
      <w:proofErr w:type="spellStart"/>
      <w:r w:rsidRPr="00B56CF7">
        <w:rPr>
          <w:rFonts w:asciiTheme="majorHAnsi" w:eastAsia="Times New Roman" w:hAnsiTheme="majorHAnsi"/>
          <w:sz w:val="20"/>
          <w:szCs w:val="20"/>
          <w:bdr w:val="none" w:sz="0" w:space="0" w:color="auto"/>
          <w:lang w:val="es-AR"/>
        </w:rPr>
        <w:t>el</w:t>
      </w:r>
      <w:proofErr w:type="spellEnd"/>
      <w:r w:rsidRPr="00B56CF7">
        <w:rPr>
          <w:rFonts w:asciiTheme="majorHAnsi" w:eastAsia="Times New Roman" w:hAnsiTheme="majorHAnsi"/>
          <w:sz w:val="20"/>
          <w:szCs w:val="20"/>
          <w:bdr w:val="none" w:sz="0" w:space="0" w:color="auto"/>
          <w:lang w:val="es-AR"/>
        </w:rPr>
        <w:t xml:space="preserve"> tendría dice que tenía que ir a Buenos Aires A BUSCAR LA PLATA, no </w:t>
      </w:r>
      <w:proofErr w:type="spellStart"/>
      <w:r w:rsidRPr="00B56CF7">
        <w:rPr>
          <w:rFonts w:asciiTheme="majorHAnsi" w:eastAsia="Times New Roman" w:hAnsiTheme="majorHAnsi"/>
          <w:sz w:val="20"/>
          <w:szCs w:val="20"/>
          <w:bdr w:val="none" w:sz="0" w:space="0" w:color="auto"/>
          <w:lang w:val="es-AR"/>
        </w:rPr>
        <w:t>se</w:t>
      </w:r>
      <w:proofErr w:type="spellEnd"/>
      <w:r w:rsidRPr="00B56CF7">
        <w:rPr>
          <w:rFonts w:asciiTheme="majorHAnsi" w:eastAsia="Times New Roman" w:hAnsiTheme="majorHAnsi"/>
          <w:sz w:val="20"/>
          <w:szCs w:val="20"/>
          <w:bdr w:val="none" w:sz="0" w:space="0" w:color="auto"/>
          <w:lang w:val="es-AR"/>
        </w:rPr>
        <w:t xml:space="preserve"> </w:t>
      </w:r>
      <w:proofErr w:type="spellStart"/>
      <w:r w:rsidRPr="00B56CF7">
        <w:rPr>
          <w:rFonts w:asciiTheme="majorHAnsi" w:eastAsia="Times New Roman" w:hAnsiTheme="majorHAnsi"/>
          <w:sz w:val="20"/>
          <w:szCs w:val="20"/>
          <w:bdr w:val="none" w:sz="0" w:space="0" w:color="auto"/>
          <w:lang w:val="es-AR"/>
        </w:rPr>
        <w:t>que</w:t>
      </w:r>
      <w:proofErr w:type="spellEnd"/>
      <w:r w:rsidRPr="00B56CF7">
        <w:rPr>
          <w:rFonts w:asciiTheme="majorHAnsi" w:eastAsia="Times New Roman" w:hAnsiTheme="majorHAnsi"/>
          <w:sz w:val="20"/>
          <w:szCs w:val="20"/>
          <w:bdr w:val="none" w:sz="0" w:space="0" w:color="auto"/>
          <w:lang w:val="es-AR"/>
        </w:rPr>
        <w:t xml:space="preserve"> hace todos los días que se es que no </w:t>
      </w:r>
      <w:proofErr w:type="spellStart"/>
      <w:r w:rsidRPr="00B56CF7">
        <w:rPr>
          <w:rFonts w:asciiTheme="majorHAnsi" w:eastAsia="Times New Roman" w:hAnsiTheme="majorHAnsi"/>
          <w:sz w:val="20"/>
          <w:szCs w:val="20"/>
          <w:bdr w:val="none" w:sz="0" w:space="0" w:color="auto"/>
          <w:lang w:val="es-AR"/>
        </w:rPr>
        <w:t>se</w:t>
      </w:r>
      <w:proofErr w:type="spellEnd"/>
      <w:r w:rsidRPr="00B56CF7">
        <w:rPr>
          <w:rFonts w:asciiTheme="majorHAnsi" w:eastAsia="Times New Roman" w:hAnsiTheme="majorHAnsi"/>
          <w:sz w:val="20"/>
          <w:szCs w:val="20"/>
          <w:bdr w:val="none" w:sz="0" w:space="0" w:color="auto"/>
          <w:lang w:val="es-AR"/>
        </w:rPr>
        <w:t xml:space="preserve"> </w:t>
      </w:r>
      <w:proofErr w:type="spellStart"/>
      <w:r w:rsidRPr="00B56CF7">
        <w:rPr>
          <w:rFonts w:asciiTheme="majorHAnsi" w:eastAsia="Times New Roman" w:hAnsiTheme="majorHAnsi"/>
          <w:sz w:val="20"/>
          <w:szCs w:val="20"/>
          <w:bdr w:val="none" w:sz="0" w:space="0" w:color="auto"/>
          <w:lang w:val="es-AR"/>
        </w:rPr>
        <w:t>que</w:t>
      </w:r>
      <w:proofErr w:type="spellEnd"/>
      <w:r w:rsidRPr="00B56CF7">
        <w:rPr>
          <w:rFonts w:asciiTheme="majorHAnsi" w:eastAsia="Times New Roman" w:hAnsiTheme="majorHAnsi"/>
          <w:sz w:val="20"/>
          <w:szCs w:val="20"/>
          <w:bdr w:val="none" w:sz="0" w:space="0" w:color="auto"/>
          <w:lang w:val="es-AR"/>
        </w:rPr>
        <w:t xml:space="preserve"> mierda hace…</w:t>
      </w:r>
      <w:proofErr w:type="gramStart"/>
      <w:r w:rsidRPr="00B56CF7">
        <w:rPr>
          <w:rFonts w:asciiTheme="majorHAnsi" w:eastAsia="Times New Roman" w:hAnsiTheme="majorHAnsi"/>
          <w:sz w:val="20"/>
          <w:szCs w:val="20"/>
          <w:bdr w:val="none" w:sz="0" w:space="0" w:color="auto"/>
          <w:lang w:val="es-AR"/>
        </w:rPr>
        <w:t>?</w:t>
      </w:r>
      <w:proofErr w:type="gramEnd"/>
    </w:p>
    <w:p w:rsidR="00457DA5" w:rsidRPr="00B56CF7" w:rsidRDefault="00457DA5"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-Aja…</w:t>
      </w:r>
    </w:p>
    <w:p w:rsidR="00457DA5" w:rsidRPr="00B56CF7" w:rsidRDefault="00457DA5"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-Todos los días va…no </w:t>
      </w:r>
      <w:proofErr w:type="spellStart"/>
      <w:r w:rsidRPr="00B56CF7">
        <w:rPr>
          <w:rFonts w:asciiTheme="majorHAnsi" w:eastAsia="Times New Roman" w:hAnsiTheme="majorHAnsi"/>
          <w:sz w:val="20"/>
          <w:szCs w:val="20"/>
          <w:bdr w:val="none" w:sz="0" w:space="0" w:color="auto"/>
          <w:lang w:val="es-AR"/>
        </w:rPr>
        <w:t>se</w:t>
      </w:r>
      <w:proofErr w:type="spellEnd"/>
      <w:r w:rsidRPr="00B56CF7">
        <w:rPr>
          <w:rFonts w:asciiTheme="majorHAnsi" w:eastAsia="Times New Roman" w:hAnsiTheme="majorHAnsi"/>
          <w:sz w:val="20"/>
          <w:szCs w:val="20"/>
          <w:bdr w:val="none" w:sz="0" w:space="0" w:color="auto"/>
          <w:lang w:val="es-AR"/>
        </w:rPr>
        <w:t xml:space="preserve"> </w:t>
      </w:r>
      <w:proofErr w:type="spellStart"/>
      <w:r w:rsidRPr="00B56CF7">
        <w:rPr>
          <w:rFonts w:asciiTheme="majorHAnsi" w:eastAsia="Times New Roman" w:hAnsiTheme="majorHAnsi"/>
          <w:sz w:val="20"/>
          <w:szCs w:val="20"/>
          <w:bdr w:val="none" w:sz="0" w:space="0" w:color="auto"/>
          <w:lang w:val="es-AR"/>
        </w:rPr>
        <w:t>que</w:t>
      </w:r>
      <w:proofErr w:type="spellEnd"/>
      <w:r w:rsidRPr="00B56CF7">
        <w:rPr>
          <w:rFonts w:asciiTheme="majorHAnsi" w:eastAsia="Times New Roman" w:hAnsiTheme="majorHAnsi"/>
          <w:sz w:val="20"/>
          <w:szCs w:val="20"/>
          <w:bdr w:val="none" w:sz="0" w:space="0" w:color="auto"/>
          <w:lang w:val="es-AR"/>
        </w:rPr>
        <w:t xml:space="preserve"> hace…porque tampoco el tipo JORGE le larga un mango….viste….siempre el mismo rollo viste</w:t>
      </w:r>
      <w:proofErr w:type="gramStart"/>
      <w:r w:rsidRPr="00B56CF7">
        <w:rPr>
          <w:rFonts w:asciiTheme="majorHAnsi" w:eastAsia="Times New Roman" w:hAnsiTheme="majorHAnsi"/>
          <w:sz w:val="20"/>
          <w:szCs w:val="20"/>
          <w:bdr w:val="none" w:sz="0" w:space="0" w:color="auto"/>
          <w:lang w:val="es-AR"/>
        </w:rPr>
        <w:t>?</w:t>
      </w:r>
      <w:proofErr w:type="gramEnd"/>
    </w:p>
    <w:p w:rsidR="00457DA5" w:rsidRPr="00B56CF7" w:rsidRDefault="00457DA5"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-Que hacen todo el día</w:t>
      </w:r>
      <w:proofErr w:type="gramStart"/>
      <w:r w:rsidRPr="00B56CF7">
        <w:rPr>
          <w:rFonts w:asciiTheme="majorHAnsi" w:eastAsia="Times New Roman" w:hAnsiTheme="majorHAnsi"/>
          <w:sz w:val="20"/>
          <w:szCs w:val="20"/>
          <w:bdr w:val="none" w:sz="0" w:space="0" w:color="auto"/>
          <w:lang w:val="es-AR"/>
        </w:rPr>
        <w:t>?</w:t>
      </w:r>
      <w:proofErr w:type="gramEnd"/>
    </w:p>
    <w:p w:rsidR="00457DA5" w:rsidRPr="00B56CF7" w:rsidRDefault="00457DA5"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-no </w:t>
      </w:r>
      <w:proofErr w:type="spellStart"/>
      <w:r w:rsidRPr="00B56CF7">
        <w:rPr>
          <w:rFonts w:asciiTheme="majorHAnsi" w:eastAsia="Times New Roman" w:hAnsiTheme="majorHAnsi"/>
          <w:sz w:val="20"/>
          <w:szCs w:val="20"/>
          <w:bdr w:val="none" w:sz="0" w:space="0" w:color="auto"/>
          <w:lang w:val="es-AR"/>
        </w:rPr>
        <w:t>se</w:t>
      </w:r>
      <w:proofErr w:type="spellEnd"/>
      <w:r w:rsidRPr="00B56CF7">
        <w:rPr>
          <w:rFonts w:asciiTheme="majorHAnsi" w:eastAsia="Times New Roman" w:hAnsiTheme="majorHAnsi"/>
          <w:sz w:val="20"/>
          <w:szCs w:val="20"/>
          <w:bdr w:val="none" w:sz="0" w:space="0" w:color="auto"/>
          <w:lang w:val="es-AR"/>
        </w:rPr>
        <w:t xml:space="preserve">, no </w:t>
      </w:r>
      <w:proofErr w:type="spellStart"/>
      <w:proofErr w:type="gramStart"/>
      <w:r w:rsidRPr="00B56CF7">
        <w:rPr>
          <w:rFonts w:asciiTheme="majorHAnsi" w:eastAsia="Times New Roman" w:hAnsiTheme="majorHAnsi"/>
          <w:sz w:val="20"/>
          <w:szCs w:val="20"/>
          <w:bdr w:val="none" w:sz="0" w:space="0" w:color="auto"/>
          <w:lang w:val="es-AR"/>
        </w:rPr>
        <w:t>se</w:t>
      </w:r>
      <w:proofErr w:type="spellEnd"/>
      <w:r w:rsidRPr="00B56CF7">
        <w:rPr>
          <w:rFonts w:asciiTheme="majorHAnsi" w:eastAsia="Times New Roman" w:hAnsiTheme="majorHAnsi"/>
          <w:sz w:val="20"/>
          <w:szCs w:val="20"/>
          <w:bdr w:val="none" w:sz="0" w:space="0" w:color="auto"/>
          <w:lang w:val="es-AR"/>
        </w:rPr>
        <w:t xml:space="preserve"> ,</w:t>
      </w:r>
      <w:proofErr w:type="gramEnd"/>
      <w:r w:rsidRPr="00B56CF7">
        <w:rPr>
          <w:rFonts w:asciiTheme="majorHAnsi" w:eastAsia="Times New Roman" w:hAnsiTheme="majorHAnsi"/>
          <w:sz w:val="20"/>
          <w:szCs w:val="20"/>
          <w:bdr w:val="none" w:sz="0" w:space="0" w:color="auto"/>
          <w:lang w:val="es-AR"/>
        </w:rPr>
        <w:t xml:space="preserve"> no se….no tengo ni idea</w:t>
      </w:r>
      <w:r w:rsidR="009F1993" w:rsidRPr="00B56CF7">
        <w:rPr>
          <w:rFonts w:asciiTheme="majorHAnsi" w:eastAsia="Times New Roman" w:hAnsiTheme="majorHAnsi"/>
          <w:sz w:val="20"/>
          <w:szCs w:val="20"/>
          <w:bdr w:val="none" w:sz="0" w:space="0" w:color="auto"/>
          <w:lang w:val="es-AR"/>
        </w:rPr>
        <w:t>.</w:t>
      </w:r>
    </w:p>
    <w:p w:rsidR="00457DA5" w:rsidRPr="00B56CF7" w:rsidRDefault="00457DA5" w:rsidP="009C78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9C7859" w:rsidRPr="00B56CF7" w:rsidRDefault="009C7859" w:rsidP="009C78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La Comisión hace notar que en la solicitud de elevación a juicio se </w:t>
      </w:r>
      <w:r w:rsidR="001C0386" w:rsidRPr="00B56CF7">
        <w:rPr>
          <w:rFonts w:asciiTheme="majorHAnsi" w:eastAsia="Times New Roman" w:hAnsiTheme="majorHAnsi"/>
          <w:sz w:val="20"/>
          <w:szCs w:val="20"/>
          <w:bdr w:val="none" w:sz="0" w:space="0" w:color="auto"/>
          <w:lang w:val="es-AR"/>
        </w:rPr>
        <w:t>hizo referencia a los folios citados en los párrafos precedentes y, específicamente, se hizo referencia a un viaje a Panamá</w:t>
      </w:r>
      <w:r w:rsidR="007A6847" w:rsidRPr="00B56CF7">
        <w:rPr>
          <w:rFonts w:asciiTheme="majorHAnsi" w:hAnsiTheme="majorHAnsi"/>
          <w:sz w:val="20"/>
          <w:szCs w:val="20"/>
          <w:vertAlign w:val="superscript"/>
        </w:rPr>
        <w:footnoteReference w:id="9"/>
      </w:r>
      <w:r w:rsidRPr="00B56CF7">
        <w:rPr>
          <w:rFonts w:asciiTheme="majorHAnsi" w:eastAsia="Times New Roman" w:hAnsiTheme="majorHAnsi"/>
          <w:sz w:val="20"/>
          <w:szCs w:val="20"/>
          <w:bdr w:val="none" w:sz="0" w:space="0" w:color="auto"/>
          <w:lang w:val="es-AR"/>
        </w:rPr>
        <w:t>.</w:t>
      </w:r>
      <w:r w:rsidR="001C0386" w:rsidRPr="00B56CF7">
        <w:rPr>
          <w:rFonts w:asciiTheme="majorHAnsi" w:eastAsia="Times New Roman" w:hAnsiTheme="majorHAnsi"/>
          <w:sz w:val="20"/>
          <w:szCs w:val="20"/>
          <w:bdr w:val="none" w:sz="0" w:space="0" w:color="auto"/>
          <w:lang w:val="es-AR"/>
        </w:rPr>
        <w:t xml:space="preserve"> Textualmente se ind</w:t>
      </w:r>
      <w:r w:rsidR="00524D3F" w:rsidRPr="00B56CF7">
        <w:rPr>
          <w:rFonts w:asciiTheme="majorHAnsi" w:eastAsia="Times New Roman" w:hAnsiTheme="majorHAnsi"/>
          <w:sz w:val="20"/>
          <w:szCs w:val="20"/>
          <w:bdr w:val="none" w:sz="0" w:space="0" w:color="auto"/>
          <w:lang w:val="es-AR"/>
        </w:rPr>
        <w:t>ic</w:t>
      </w:r>
      <w:r w:rsidR="001C0386" w:rsidRPr="00B56CF7">
        <w:rPr>
          <w:rFonts w:asciiTheme="majorHAnsi" w:eastAsia="Times New Roman" w:hAnsiTheme="majorHAnsi"/>
          <w:sz w:val="20"/>
          <w:szCs w:val="20"/>
          <w:bdr w:val="none" w:sz="0" w:space="0" w:color="auto"/>
          <w:lang w:val="es-AR"/>
        </w:rPr>
        <w:t xml:space="preserve">ó en dicha solicitud que: </w:t>
      </w:r>
      <w:r w:rsidRPr="00B56CF7">
        <w:rPr>
          <w:rFonts w:asciiTheme="majorHAnsi" w:eastAsia="Times New Roman" w:hAnsiTheme="majorHAnsi"/>
          <w:sz w:val="20"/>
          <w:szCs w:val="20"/>
          <w:bdr w:val="none" w:sz="0" w:space="0" w:color="auto"/>
          <w:lang w:val="es-AR"/>
        </w:rPr>
        <w:t xml:space="preserve"> </w:t>
      </w:r>
    </w:p>
    <w:p w:rsidR="009C7859" w:rsidRPr="00B56CF7" w:rsidRDefault="009C7859" w:rsidP="009C78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p>
    <w:p w:rsidR="00C74AF3" w:rsidRPr="0062236D" w:rsidRDefault="00F13B62" w:rsidP="00AA027F">
      <w:pPr>
        <w:tabs>
          <w:tab w:val="num" w:pos="1440"/>
        </w:tabs>
        <w:ind w:left="720" w:right="720"/>
        <w:jc w:val="both"/>
        <w:rPr>
          <w:rFonts w:asciiTheme="majorHAnsi" w:hAnsiTheme="majorHAnsi"/>
          <w:sz w:val="20"/>
          <w:szCs w:val="20"/>
          <w:lang w:val="es-ES"/>
        </w:rPr>
      </w:pPr>
      <w:r w:rsidRPr="0062236D">
        <w:rPr>
          <w:rFonts w:asciiTheme="majorHAnsi" w:hAnsiTheme="majorHAnsi"/>
          <w:sz w:val="20"/>
          <w:szCs w:val="20"/>
          <w:lang w:val="es-ES"/>
        </w:rPr>
        <w:t>“</w:t>
      </w:r>
      <w:r w:rsidR="00AA027F" w:rsidRPr="0062236D">
        <w:rPr>
          <w:rFonts w:asciiTheme="majorHAnsi" w:hAnsiTheme="majorHAnsi"/>
          <w:sz w:val="20"/>
          <w:szCs w:val="20"/>
          <w:lang w:val="es-ES"/>
        </w:rPr>
        <w:t xml:space="preserve">(…) </w:t>
      </w:r>
      <w:r w:rsidR="00A807F2" w:rsidRPr="0062236D">
        <w:rPr>
          <w:rFonts w:asciiTheme="majorHAnsi" w:hAnsiTheme="majorHAnsi"/>
          <w:sz w:val="20"/>
          <w:szCs w:val="20"/>
          <w:lang w:val="es-ES"/>
        </w:rPr>
        <w:t>GABRIEL JENKINS: utilizaba sus contactos en España para la venta del estupefaciente</w:t>
      </w:r>
      <w:r w:rsidR="008F627B" w:rsidRPr="0062236D">
        <w:rPr>
          <w:rFonts w:asciiTheme="majorHAnsi" w:hAnsiTheme="majorHAnsi"/>
          <w:sz w:val="20"/>
          <w:szCs w:val="20"/>
          <w:lang w:val="es-ES"/>
        </w:rPr>
        <w:t xml:space="preserve"> que exportaba la organización; </w:t>
      </w:r>
      <w:r w:rsidR="00A807F2" w:rsidRPr="0062236D">
        <w:rPr>
          <w:rFonts w:asciiTheme="majorHAnsi" w:hAnsiTheme="majorHAnsi"/>
          <w:sz w:val="20"/>
          <w:szCs w:val="20"/>
          <w:lang w:val="es-ES"/>
        </w:rPr>
        <w:t>estaba preparando dichos contactos para el envío que efectuarían los colombianos desde Centroamérica; utilizaba la palabra clave “LIBERTADO” para intercambiar números de teléfonos; tenía continuos contactos con RAUL FERNANDEZ- hoy prófugo</w:t>
      </w:r>
      <w:r w:rsidR="00F539AD" w:rsidRPr="0062236D">
        <w:rPr>
          <w:rFonts w:asciiTheme="majorHAnsi" w:hAnsiTheme="majorHAnsi"/>
          <w:sz w:val="20"/>
          <w:szCs w:val="20"/>
          <w:lang w:val="es-ES"/>
        </w:rPr>
        <w:t xml:space="preserve">-; siempre respondía a las directivas de JORGE CARLOS MARTINEZ; no sólo </w:t>
      </w:r>
      <w:r w:rsidR="00083645" w:rsidRPr="0062236D">
        <w:rPr>
          <w:rFonts w:asciiTheme="majorHAnsi" w:hAnsiTheme="majorHAnsi"/>
          <w:sz w:val="20"/>
          <w:szCs w:val="20"/>
          <w:lang w:val="es-ES"/>
        </w:rPr>
        <w:t xml:space="preserve">trataba frecuentemente con éste y SUSANA OLIVERA, sino que también conocía a los restantes, incluyendo a PINO FERNANDEZ y CELSO RUBINSTEIN-este </w:t>
      </w:r>
      <w:r w:rsidR="00022CE6" w:rsidRPr="0062236D">
        <w:rPr>
          <w:rFonts w:asciiTheme="majorHAnsi" w:hAnsiTheme="majorHAnsi"/>
          <w:sz w:val="20"/>
          <w:szCs w:val="20"/>
          <w:lang w:val="es-ES"/>
        </w:rPr>
        <w:t xml:space="preserve">último también prófugo-; también </w:t>
      </w:r>
      <w:r w:rsidRPr="0062236D">
        <w:rPr>
          <w:rFonts w:asciiTheme="majorHAnsi" w:hAnsiTheme="majorHAnsi"/>
          <w:sz w:val="20"/>
          <w:szCs w:val="20"/>
          <w:lang w:val="es-ES"/>
        </w:rPr>
        <w:t>Jorge Carlos MARTINEZ le ofreció a JENKINS viajar a la reunión de Panamá (fs. 1099 y 1309/10), a quien además le mencionó, en relación a cantidades para llevar “afuera del agua, que estaban pasados de fecha y que ya estaba todo” (ver fs. 1121/2)”</w:t>
      </w:r>
      <w:r w:rsidR="00A807F2" w:rsidRPr="0062236D">
        <w:rPr>
          <w:rFonts w:asciiTheme="majorHAnsi" w:hAnsiTheme="majorHAnsi"/>
          <w:sz w:val="20"/>
          <w:szCs w:val="20"/>
          <w:vertAlign w:val="superscript"/>
          <w:lang w:val="es-ES"/>
        </w:rPr>
        <w:footnoteReference w:id="10"/>
      </w:r>
      <w:r w:rsidRPr="0062236D">
        <w:rPr>
          <w:rFonts w:asciiTheme="majorHAnsi" w:hAnsiTheme="majorHAnsi"/>
          <w:sz w:val="20"/>
          <w:szCs w:val="20"/>
          <w:lang w:val="es-ES"/>
        </w:rPr>
        <w:t xml:space="preserve">. </w:t>
      </w:r>
    </w:p>
    <w:p w:rsidR="00022CE6" w:rsidRPr="00B56CF7" w:rsidRDefault="00022CE6" w:rsidP="00022CE6">
      <w:pPr>
        <w:pStyle w:val="ListParagraph"/>
        <w:rPr>
          <w:rFonts w:asciiTheme="majorHAnsi" w:eastAsia="Times New Roman" w:hAnsiTheme="majorHAnsi"/>
          <w:sz w:val="20"/>
          <w:szCs w:val="20"/>
          <w:bdr w:val="none" w:sz="0" w:space="0" w:color="auto"/>
          <w:lang w:val="es-AR"/>
        </w:rPr>
      </w:pPr>
    </w:p>
    <w:p w:rsidR="0070693D" w:rsidRPr="00B56CF7" w:rsidRDefault="00022CE6" w:rsidP="0070693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En la etapa de juicio, el Principal Carlos Alberto Salomone</w:t>
      </w:r>
      <w:r w:rsidR="0070693D" w:rsidRPr="00B56CF7">
        <w:rPr>
          <w:rFonts w:asciiTheme="majorHAnsi" w:eastAsia="Times New Roman" w:hAnsiTheme="majorHAnsi"/>
          <w:sz w:val="20"/>
          <w:szCs w:val="20"/>
          <w:bdr w:val="none" w:sz="0" w:space="0" w:color="auto"/>
          <w:lang w:val="es-AR"/>
        </w:rPr>
        <w:t>, encargado de efectuar las escuchas telefónicas</w:t>
      </w:r>
      <w:r w:rsidR="00FA2208">
        <w:rPr>
          <w:rFonts w:asciiTheme="majorHAnsi" w:eastAsia="Times New Roman" w:hAnsiTheme="majorHAnsi"/>
          <w:sz w:val="20"/>
          <w:szCs w:val="20"/>
          <w:bdr w:val="none" w:sz="0" w:space="0" w:color="auto"/>
          <w:lang w:val="es-AR"/>
        </w:rPr>
        <w:t>,</w:t>
      </w:r>
      <w:r w:rsidRPr="00B56CF7">
        <w:rPr>
          <w:rFonts w:asciiTheme="majorHAnsi" w:eastAsia="Times New Roman" w:hAnsiTheme="majorHAnsi"/>
          <w:sz w:val="20"/>
          <w:szCs w:val="20"/>
          <w:bdr w:val="none" w:sz="0" w:space="0" w:color="auto"/>
          <w:lang w:val="es-AR"/>
        </w:rPr>
        <w:t xml:space="preserve"> </w:t>
      </w:r>
      <w:r w:rsidR="0070693D" w:rsidRPr="00B56CF7">
        <w:rPr>
          <w:rFonts w:asciiTheme="majorHAnsi" w:eastAsia="Times New Roman" w:hAnsiTheme="majorHAnsi"/>
          <w:sz w:val="20"/>
          <w:szCs w:val="20"/>
          <w:bdr w:val="none" w:sz="0" w:space="0" w:color="auto"/>
          <w:lang w:val="es-AR"/>
        </w:rPr>
        <w:t xml:space="preserve">refirió </w:t>
      </w:r>
      <w:r w:rsidR="00842534" w:rsidRPr="00B56CF7">
        <w:rPr>
          <w:rFonts w:asciiTheme="majorHAnsi" w:eastAsia="Times New Roman" w:hAnsiTheme="majorHAnsi"/>
          <w:sz w:val="20"/>
          <w:szCs w:val="20"/>
          <w:bdr w:val="none" w:sz="0" w:space="0" w:color="auto"/>
          <w:lang w:val="es-AR"/>
        </w:rPr>
        <w:t xml:space="preserve">lo siguiente: </w:t>
      </w:r>
      <w:r w:rsidR="0070693D" w:rsidRPr="00B56CF7">
        <w:rPr>
          <w:rFonts w:asciiTheme="majorHAnsi" w:eastAsia="Times New Roman" w:hAnsiTheme="majorHAnsi"/>
          <w:sz w:val="20"/>
          <w:szCs w:val="20"/>
          <w:bdr w:val="none" w:sz="0" w:space="0" w:color="auto"/>
          <w:lang w:val="es-AR"/>
        </w:rPr>
        <w:t>“JENKINS toma contacto con MARTINEZ, y conocía a “Pino” FERNANDEZ. Tomó contacto con JUAN, MARTINEZ le ofreció llevarlo a Panamá. Parecía que lo quería reemplazar por CAÑETE, que cometió errores con la gente que seleccionó para los trabajos, y tenía irregularidades”</w:t>
      </w:r>
      <w:r w:rsidR="0070693D" w:rsidRPr="00B56CF7">
        <w:rPr>
          <w:rStyle w:val="FootnoteReference"/>
          <w:rFonts w:asciiTheme="majorHAnsi" w:eastAsia="Times New Roman" w:hAnsiTheme="majorHAnsi"/>
          <w:sz w:val="20"/>
          <w:szCs w:val="20"/>
          <w:bdr w:val="none" w:sz="0" w:space="0" w:color="auto"/>
          <w:lang w:val="es-AR"/>
        </w:rPr>
        <w:footnoteReference w:id="11"/>
      </w:r>
      <w:r w:rsidR="0070693D" w:rsidRPr="00B56CF7">
        <w:rPr>
          <w:rFonts w:asciiTheme="majorHAnsi" w:eastAsia="Times New Roman" w:hAnsiTheme="majorHAnsi"/>
          <w:sz w:val="20"/>
          <w:szCs w:val="20"/>
          <w:bdr w:val="none" w:sz="0" w:space="0" w:color="auto"/>
          <w:lang w:val="es-AR"/>
        </w:rPr>
        <w:t>.</w:t>
      </w:r>
    </w:p>
    <w:p w:rsidR="0070693D" w:rsidRPr="00B56CF7" w:rsidRDefault="0070693D" w:rsidP="0070693D">
      <w:pPr>
        <w:pStyle w:val="ListParagraph"/>
        <w:rPr>
          <w:rFonts w:asciiTheme="majorHAnsi" w:eastAsia="Times New Roman" w:hAnsiTheme="majorHAnsi"/>
          <w:sz w:val="20"/>
          <w:szCs w:val="20"/>
          <w:bdr w:val="none" w:sz="0" w:space="0" w:color="auto"/>
          <w:lang w:val="es-AR"/>
        </w:rPr>
      </w:pPr>
    </w:p>
    <w:p w:rsidR="009C7859" w:rsidRPr="00B56CF7" w:rsidRDefault="0070693D" w:rsidP="009C78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La Comisión </w:t>
      </w:r>
      <w:r w:rsidR="006A4720" w:rsidRPr="00B56CF7">
        <w:rPr>
          <w:rFonts w:asciiTheme="majorHAnsi" w:eastAsia="Times New Roman" w:hAnsiTheme="majorHAnsi"/>
          <w:sz w:val="20"/>
          <w:szCs w:val="20"/>
          <w:bdr w:val="none" w:sz="0" w:space="0" w:color="auto"/>
          <w:lang w:val="es-AR"/>
        </w:rPr>
        <w:t xml:space="preserve">observa que </w:t>
      </w:r>
      <w:r w:rsidR="00D24ED7" w:rsidRPr="00B56CF7">
        <w:rPr>
          <w:rFonts w:asciiTheme="majorHAnsi" w:eastAsia="Times New Roman" w:hAnsiTheme="majorHAnsi"/>
          <w:sz w:val="20"/>
          <w:szCs w:val="20"/>
          <w:bdr w:val="none" w:sz="0" w:space="0" w:color="auto"/>
          <w:lang w:val="es-AR"/>
        </w:rPr>
        <w:t xml:space="preserve">el peticionario alegó que </w:t>
      </w:r>
      <w:r w:rsidR="00D67780" w:rsidRPr="00B56CF7">
        <w:rPr>
          <w:rFonts w:asciiTheme="majorHAnsi" w:eastAsia="Times New Roman" w:hAnsiTheme="majorHAnsi"/>
          <w:sz w:val="20"/>
          <w:szCs w:val="20"/>
          <w:bdr w:val="none" w:sz="0" w:space="0" w:color="auto"/>
          <w:lang w:val="es-AR"/>
        </w:rPr>
        <w:t xml:space="preserve">el </w:t>
      </w:r>
      <w:proofErr w:type="spellStart"/>
      <w:r w:rsidR="00D67780" w:rsidRPr="00B56CF7">
        <w:rPr>
          <w:rFonts w:asciiTheme="majorHAnsi" w:eastAsia="Times New Roman" w:hAnsiTheme="majorHAnsi"/>
          <w:sz w:val="20"/>
          <w:szCs w:val="20"/>
          <w:bdr w:val="none" w:sz="0" w:space="0" w:color="auto"/>
          <w:lang w:val="es-AR"/>
        </w:rPr>
        <w:t>cassette</w:t>
      </w:r>
      <w:proofErr w:type="spellEnd"/>
      <w:r w:rsidR="00D67780" w:rsidRPr="00B56CF7">
        <w:rPr>
          <w:rFonts w:asciiTheme="majorHAnsi" w:eastAsia="Times New Roman" w:hAnsiTheme="majorHAnsi"/>
          <w:sz w:val="20"/>
          <w:szCs w:val="20"/>
          <w:bdr w:val="none" w:sz="0" w:space="0" w:color="auto"/>
          <w:lang w:val="es-AR"/>
        </w:rPr>
        <w:t xml:space="preserve"> </w:t>
      </w:r>
      <w:r w:rsidR="00DE6E4D" w:rsidRPr="00B56CF7">
        <w:rPr>
          <w:rFonts w:asciiTheme="majorHAnsi" w:eastAsia="Times New Roman" w:hAnsiTheme="majorHAnsi"/>
          <w:sz w:val="20"/>
          <w:szCs w:val="20"/>
          <w:bdr w:val="none" w:sz="0" w:space="0" w:color="auto"/>
          <w:lang w:val="es-AR"/>
        </w:rPr>
        <w:t>N</w:t>
      </w:r>
      <w:r w:rsidR="00D67780" w:rsidRPr="00B56CF7">
        <w:rPr>
          <w:rFonts w:asciiTheme="majorHAnsi" w:eastAsia="Times New Roman" w:hAnsiTheme="majorHAnsi"/>
          <w:sz w:val="20"/>
          <w:szCs w:val="20"/>
          <w:bdr w:val="none" w:sz="0" w:space="0" w:color="auto"/>
          <w:lang w:val="es-AR"/>
        </w:rPr>
        <w:t xml:space="preserve">o. 40 tenía un contenido distinto del que se afirmaba en la constancia </w:t>
      </w:r>
      <w:proofErr w:type="spellStart"/>
      <w:r w:rsidR="00D67780" w:rsidRPr="00B56CF7">
        <w:rPr>
          <w:rFonts w:asciiTheme="majorHAnsi" w:eastAsia="Times New Roman" w:hAnsiTheme="majorHAnsi"/>
          <w:sz w:val="20"/>
          <w:szCs w:val="20"/>
          <w:bdr w:val="none" w:sz="0" w:space="0" w:color="auto"/>
          <w:lang w:val="es-AR"/>
        </w:rPr>
        <w:t>prevencional</w:t>
      </w:r>
      <w:proofErr w:type="spellEnd"/>
      <w:r w:rsidR="00D67780" w:rsidRPr="00B56CF7">
        <w:rPr>
          <w:rFonts w:asciiTheme="majorHAnsi" w:eastAsia="Times New Roman" w:hAnsiTheme="majorHAnsi"/>
          <w:sz w:val="20"/>
          <w:szCs w:val="20"/>
          <w:bdr w:val="none" w:sz="0" w:space="0" w:color="auto"/>
          <w:lang w:val="es-AR"/>
        </w:rPr>
        <w:t xml:space="preserve"> agregada en el folio 1099 de la causa. </w:t>
      </w:r>
      <w:r w:rsidR="00DE6E4D" w:rsidRPr="00B56CF7">
        <w:rPr>
          <w:rFonts w:asciiTheme="majorHAnsi" w:eastAsia="Times New Roman" w:hAnsiTheme="majorHAnsi"/>
          <w:sz w:val="20"/>
          <w:szCs w:val="20"/>
          <w:bdr w:val="none" w:sz="0" w:space="0" w:color="auto"/>
          <w:lang w:val="es-AR"/>
        </w:rPr>
        <w:t>P</w:t>
      </w:r>
      <w:r w:rsidR="00D67780" w:rsidRPr="00B56CF7">
        <w:rPr>
          <w:rFonts w:asciiTheme="majorHAnsi" w:eastAsia="Times New Roman" w:hAnsiTheme="majorHAnsi"/>
          <w:sz w:val="20"/>
          <w:szCs w:val="20"/>
          <w:bdr w:val="none" w:sz="0" w:space="0" w:color="auto"/>
          <w:lang w:val="es-AR"/>
        </w:rPr>
        <w:t>articular</w:t>
      </w:r>
      <w:r w:rsidR="00DE6E4D" w:rsidRPr="00B56CF7">
        <w:rPr>
          <w:rFonts w:asciiTheme="majorHAnsi" w:eastAsia="Times New Roman" w:hAnsiTheme="majorHAnsi"/>
          <w:sz w:val="20"/>
          <w:szCs w:val="20"/>
          <w:bdr w:val="none" w:sz="0" w:space="0" w:color="auto"/>
          <w:lang w:val="es-AR"/>
        </w:rPr>
        <w:t>mente</w:t>
      </w:r>
      <w:r w:rsidR="00D67780" w:rsidRPr="00B56CF7">
        <w:rPr>
          <w:rFonts w:asciiTheme="majorHAnsi" w:eastAsia="Times New Roman" w:hAnsiTheme="majorHAnsi"/>
          <w:sz w:val="20"/>
          <w:szCs w:val="20"/>
          <w:bdr w:val="none" w:sz="0" w:space="0" w:color="auto"/>
          <w:lang w:val="es-AR"/>
        </w:rPr>
        <w:t>, en la etapa del juicio la defensa del peticionario solicitó al Tribunal que se investigue</w:t>
      </w:r>
      <w:r w:rsidR="00DE6E4D" w:rsidRPr="00B56CF7">
        <w:rPr>
          <w:rFonts w:asciiTheme="majorHAnsi" w:eastAsia="Times New Roman" w:hAnsiTheme="majorHAnsi"/>
          <w:sz w:val="20"/>
          <w:szCs w:val="20"/>
          <w:bdr w:val="none" w:sz="0" w:space="0" w:color="auto"/>
          <w:lang w:val="es-AR"/>
        </w:rPr>
        <w:t>n</w:t>
      </w:r>
      <w:r w:rsidR="00F23B45" w:rsidRPr="00B56CF7">
        <w:rPr>
          <w:rFonts w:asciiTheme="majorHAnsi" w:eastAsia="Times New Roman" w:hAnsiTheme="majorHAnsi"/>
          <w:sz w:val="20"/>
          <w:szCs w:val="20"/>
          <w:bdr w:val="none" w:sz="0" w:space="0" w:color="auto"/>
          <w:lang w:val="es-AR"/>
        </w:rPr>
        <w:t xml:space="preserve"> </w:t>
      </w:r>
      <w:r w:rsidR="00D67780" w:rsidRPr="00B56CF7">
        <w:rPr>
          <w:rFonts w:asciiTheme="majorHAnsi" w:hAnsiTheme="majorHAnsi"/>
          <w:sz w:val="20"/>
          <w:szCs w:val="20"/>
          <w:lang w:val="es-VE"/>
        </w:rPr>
        <w:t xml:space="preserve">las </w:t>
      </w:r>
      <w:r w:rsidR="00D67780" w:rsidRPr="00B56CF7">
        <w:rPr>
          <w:rFonts w:asciiTheme="majorHAnsi" w:hAnsiTheme="majorHAnsi"/>
          <w:sz w:val="20"/>
          <w:szCs w:val="20"/>
          <w:lang w:val="es-VE"/>
        </w:rPr>
        <w:lastRenderedPageBreak/>
        <w:t xml:space="preserve">diferencias existentes entre el contenido de la </w:t>
      </w:r>
      <w:proofErr w:type="spellStart"/>
      <w:r w:rsidR="00D67780" w:rsidRPr="00B56CF7">
        <w:rPr>
          <w:rFonts w:asciiTheme="majorHAnsi" w:hAnsiTheme="majorHAnsi"/>
          <w:sz w:val="20"/>
          <w:szCs w:val="20"/>
          <w:lang w:val="es-VE"/>
        </w:rPr>
        <w:t>cassette</w:t>
      </w:r>
      <w:proofErr w:type="spellEnd"/>
      <w:r w:rsidR="00D67780" w:rsidRPr="00B56CF7">
        <w:rPr>
          <w:rFonts w:asciiTheme="majorHAnsi" w:hAnsiTheme="majorHAnsi"/>
          <w:sz w:val="20"/>
          <w:szCs w:val="20"/>
          <w:lang w:val="es-VE"/>
        </w:rPr>
        <w:t xml:space="preserve"> No</w:t>
      </w:r>
      <w:r w:rsidR="008228F4" w:rsidRPr="00B56CF7">
        <w:rPr>
          <w:rFonts w:asciiTheme="majorHAnsi" w:hAnsiTheme="majorHAnsi"/>
          <w:sz w:val="20"/>
          <w:szCs w:val="20"/>
          <w:lang w:val="es-VE"/>
        </w:rPr>
        <w:t>.</w:t>
      </w:r>
      <w:r w:rsidR="00D67780" w:rsidRPr="00B56CF7">
        <w:rPr>
          <w:rFonts w:asciiTheme="majorHAnsi" w:hAnsiTheme="majorHAnsi"/>
          <w:sz w:val="20"/>
          <w:szCs w:val="20"/>
          <w:lang w:val="es-VE"/>
        </w:rPr>
        <w:t xml:space="preserve"> 40 del abonado 91-2614 y la constancia </w:t>
      </w:r>
      <w:proofErr w:type="spellStart"/>
      <w:r w:rsidR="00D67780" w:rsidRPr="00B56CF7">
        <w:rPr>
          <w:rFonts w:asciiTheme="majorHAnsi" w:hAnsiTheme="majorHAnsi"/>
          <w:sz w:val="20"/>
          <w:szCs w:val="20"/>
          <w:lang w:val="es-VE"/>
        </w:rPr>
        <w:t>prevencional</w:t>
      </w:r>
      <w:proofErr w:type="spellEnd"/>
      <w:r w:rsidR="00D67780" w:rsidRPr="00B56CF7">
        <w:rPr>
          <w:rFonts w:asciiTheme="majorHAnsi" w:hAnsiTheme="majorHAnsi"/>
          <w:sz w:val="20"/>
          <w:szCs w:val="20"/>
          <w:lang w:val="es-VE"/>
        </w:rPr>
        <w:t xml:space="preserve"> agregada a fs. 1099, dado que en </w:t>
      </w:r>
      <w:r w:rsidR="00DE6E4D" w:rsidRPr="00B56CF7">
        <w:rPr>
          <w:rFonts w:asciiTheme="majorHAnsi" w:hAnsiTheme="majorHAnsi"/>
          <w:sz w:val="20"/>
          <w:szCs w:val="20"/>
          <w:lang w:val="es-VE"/>
        </w:rPr>
        <w:t>e</w:t>
      </w:r>
      <w:r w:rsidR="00D67780" w:rsidRPr="00B56CF7">
        <w:rPr>
          <w:rFonts w:asciiTheme="majorHAnsi" w:hAnsiTheme="majorHAnsi"/>
          <w:sz w:val="20"/>
          <w:szCs w:val="20"/>
          <w:lang w:val="es-VE"/>
        </w:rPr>
        <w:t>sta última se alude a un viaje a la ciudad de Panamá, que no consta en aqu</w:t>
      </w:r>
      <w:r w:rsidR="002A08C4" w:rsidRPr="00B56CF7">
        <w:rPr>
          <w:rFonts w:asciiTheme="majorHAnsi" w:hAnsiTheme="majorHAnsi"/>
          <w:sz w:val="20"/>
          <w:szCs w:val="20"/>
          <w:lang w:val="es-VE"/>
        </w:rPr>
        <w:t>e</w:t>
      </w:r>
      <w:r w:rsidR="00D67780" w:rsidRPr="00B56CF7">
        <w:rPr>
          <w:rFonts w:asciiTheme="majorHAnsi" w:hAnsiTheme="majorHAnsi"/>
          <w:sz w:val="20"/>
          <w:szCs w:val="20"/>
          <w:lang w:val="es-VE"/>
        </w:rPr>
        <w:t xml:space="preserve">lla, siendo que tal circunstancia habría sido utilizada como </w:t>
      </w:r>
      <w:r w:rsidR="000571A9" w:rsidRPr="00B56CF7">
        <w:rPr>
          <w:rFonts w:asciiTheme="majorHAnsi" w:hAnsiTheme="majorHAnsi"/>
          <w:sz w:val="20"/>
          <w:szCs w:val="20"/>
          <w:lang w:val="es-VE"/>
        </w:rPr>
        <w:t>“</w:t>
      </w:r>
      <w:r w:rsidR="00D67780" w:rsidRPr="00B56CF7">
        <w:rPr>
          <w:rFonts w:asciiTheme="majorHAnsi" w:hAnsiTheme="majorHAnsi"/>
          <w:sz w:val="20"/>
          <w:szCs w:val="20"/>
          <w:lang w:val="es-VE"/>
        </w:rPr>
        <w:t>elemento cargoso</w:t>
      </w:r>
      <w:r w:rsidR="000571A9" w:rsidRPr="00B56CF7">
        <w:rPr>
          <w:rFonts w:asciiTheme="majorHAnsi" w:hAnsiTheme="majorHAnsi"/>
          <w:sz w:val="20"/>
          <w:szCs w:val="20"/>
          <w:lang w:val="es-VE"/>
        </w:rPr>
        <w:t>”</w:t>
      </w:r>
      <w:r w:rsidR="00D67780" w:rsidRPr="00B56CF7">
        <w:rPr>
          <w:rFonts w:asciiTheme="majorHAnsi" w:hAnsiTheme="majorHAnsi"/>
          <w:sz w:val="20"/>
          <w:szCs w:val="20"/>
          <w:lang w:val="es-VE"/>
        </w:rPr>
        <w:t xml:space="preserve"> por los Fiscales de grado para formular el requerimiento de elevación a juicio</w:t>
      </w:r>
      <w:r w:rsidR="00D15D15" w:rsidRPr="00B56CF7">
        <w:rPr>
          <w:rFonts w:asciiTheme="majorHAnsi" w:hAnsiTheme="majorHAnsi"/>
          <w:sz w:val="20"/>
          <w:szCs w:val="20"/>
          <w:lang w:val="es-VE"/>
        </w:rPr>
        <w:t xml:space="preserve"> del señor Jenkins</w:t>
      </w:r>
      <w:r w:rsidR="00D67780" w:rsidRPr="00B56CF7">
        <w:rPr>
          <w:rStyle w:val="FootnoteReference"/>
          <w:rFonts w:asciiTheme="majorHAnsi" w:hAnsiTheme="majorHAnsi"/>
          <w:sz w:val="20"/>
          <w:szCs w:val="20"/>
          <w:lang w:val="es-VE"/>
        </w:rPr>
        <w:footnoteReference w:id="12"/>
      </w:r>
      <w:r w:rsidR="00D92961" w:rsidRPr="00B56CF7">
        <w:rPr>
          <w:rFonts w:asciiTheme="majorHAnsi" w:hAnsiTheme="majorHAnsi"/>
          <w:sz w:val="20"/>
          <w:szCs w:val="20"/>
          <w:lang w:val="es-VE"/>
        </w:rPr>
        <w:t>.</w:t>
      </w:r>
    </w:p>
    <w:p w:rsidR="008F627B" w:rsidRPr="00B56CF7" w:rsidRDefault="008F627B" w:rsidP="008F62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0B3F89" w:rsidRPr="00B56CF7" w:rsidRDefault="00F96EE6" w:rsidP="00BF180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Tal como se indicó en la sección de posición de las parte</w:t>
      </w:r>
      <w:r w:rsidR="00556012" w:rsidRPr="00B56CF7">
        <w:rPr>
          <w:rFonts w:asciiTheme="majorHAnsi" w:eastAsia="Times New Roman" w:hAnsiTheme="majorHAnsi"/>
          <w:sz w:val="20"/>
          <w:szCs w:val="20"/>
          <w:bdr w:val="none" w:sz="0" w:space="0" w:color="auto"/>
          <w:lang w:val="es-AR"/>
        </w:rPr>
        <w:t>s</w:t>
      </w:r>
      <w:r w:rsidRPr="00B56CF7">
        <w:rPr>
          <w:rFonts w:asciiTheme="majorHAnsi" w:eastAsia="Times New Roman" w:hAnsiTheme="majorHAnsi"/>
          <w:sz w:val="20"/>
          <w:szCs w:val="20"/>
          <w:bdr w:val="none" w:sz="0" w:space="0" w:color="auto"/>
          <w:lang w:val="es-AR"/>
        </w:rPr>
        <w:t xml:space="preserve">, </w:t>
      </w:r>
      <w:r w:rsidR="000B3F89" w:rsidRPr="00B56CF7">
        <w:rPr>
          <w:rFonts w:asciiTheme="majorHAnsi" w:eastAsia="Times New Roman" w:hAnsiTheme="majorHAnsi"/>
          <w:sz w:val="20"/>
          <w:szCs w:val="20"/>
          <w:bdr w:val="none" w:sz="0" w:space="0" w:color="auto"/>
          <w:lang w:val="es-AR"/>
        </w:rPr>
        <w:t>el Estado afirmó que posteriormente se demostró en la investigación por la incorporación de dicha prueba</w:t>
      </w:r>
      <w:r w:rsidR="00721EF2">
        <w:rPr>
          <w:rFonts w:asciiTheme="majorHAnsi" w:eastAsia="Times New Roman" w:hAnsiTheme="majorHAnsi"/>
          <w:sz w:val="20"/>
          <w:szCs w:val="20"/>
          <w:bdr w:val="none" w:sz="0" w:space="0" w:color="auto"/>
          <w:lang w:val="es-AR"/>
        </w:rPr>
        <w:t>,</w:t>
      </w:r>
      <w:r w:rsidR="00701BD7" w:rsidRPr="00B56CF7">
        <w:rPr>
          <w:rFonts w:asciiTheme="majorHAnsi" w:eastAsia="Times New Roman" w:hAnsiTheme="majorHAnsi"/>
          <w:sz w:val="20"/>
          <w:szCs w:val="20"/>
          <w:bdr w:val="none" w:sz="0" w:space="0" w:color="auto"/>
          <w:lang w:val="es-AR"/>
        </w:rPr>
        <w:t xml:space="preserve"> que</w:t>
      </w:r>
      <w:r w:rsidR="000B3F89" w:rsidRPr="00B56CF7">
        <w:rPr>
          <w:rFonts w:asciiTheme="majorHAnsi" w:eastAsia="Times New Roman" w:hAnsiTheme="majorHAnsi"/>
          <w:sz w:val="20"/>
          <w:szCs w:val="20"/>
          <w:bdr w:val="none" w:sz="0" w:space="0" w:color="auto"/>
          <w:lang w:val="es-AR"/>
        </w:rPr>
        <w:t xml:space="preserve"> no existían diferencias entre</w:t>
      </w:r>
      <w:r w:rsidR="008F627B" w:rsidRPr="00B56CF7">
        <w:rPr>
          <w:rFonts w:asciiTheme="majorHAnsi" w:eastAsia="Times New Roman" w:hAnsiTheme="majorHAnsi"/>
          <w:sz w:val="20"/>
          <w:szCs w:val="20"/>
          <w:bdr w:val="none" w:sz="0" w:space="0" w:color="auto"/>
          <w:lang w:val="es-AR"/>
        </w:rPr>
        <w:t xml:space="preserve"> el acta agregada al folio 1099 y</w:t>
      </w:r>
      <w:r w:rsidR="000B3F89" w:rsidRPr="00B56CF7">
        <w:rPr>
          <w:rFonts w:asciiTheme="majorHAnsi" w:eastAsia="Times New Roman" w:hAnsiTheme="majorHAnsi"/>
          <w:sz w:val="20"/>
          <w:szCs w:val="20"/>
          <w:bdr w:val="none" w:sz="0" w:space="0" w:color="auto"/>
          <w:lang w:val="es-AR"/>
        </w:rPr>
        <w:t xml:space="preserve"> el contenido del </w:t>
      </w:r>
      <w:proofErr w:type="spellStart"/>
      <w:r w:rsidR="000B3F89" w:rsidRPr="00B56CF7">
        <w:rPr>
          <w:rFonts w:asciiTheme="majorHAnsi" w:eastAsia="Times New Roman" w:hAnsiTheme="majorHAnsi"/>
          <w:sz w:val="20"/>
          <w:szCs w:val="20"/>
          <w:bdr w:val="none" w:sz="0" w:space="0" w:color="auto"/>
          <w:lang w:val="es-AR"/>
        </w:rPr>
        <w:t>cassette</w:t>
      </w:r>
      <w:proofErr w:type="spellEnd"/>
      <w:r w:rsidR="008F627B" w:rsidRPr="00B56CF7">
        <w:rPr>
          <w:rFonts w:asciiTheme="majorHAnsi" w:eastAsia="Times New Roman" w:hAnsiTheme="majorHAnsi"/>
          <w:sz w:val="20"/>
          <w:szCs w:val="20"/>
          <w:bdr w:val="none" w:sz="0" w:space="0" w:color="auto"/>
          <w:lang w:val="es-AR"/>
        </w:rPr>
        <w:t>,</w:t>
      </w:r>
      <w:r w:rsidR="000B3F89" w:rsidRPr="00B56CF7">
        <w:rPr>
          <w:rFonts w:asciiTheme="majorHAnsi" w:eastAsia="Times New Roman" w:hAnsiTheme="majorHAnsi"/>
          <w:sz w:val="20"/>
          <w:szCs w:val="20"/>
          <w:bdr w:val="none" w:sz="0" w:space="0" w:color="auto"/>
          <w:lang w:val="es-AR"/>
        </w:rPr>
        <w:t xml:space="preserve"> pues ambos se referían </w:t>
      </w:r>
      <w:r w:rsidR="00B83B56" w:rsidRPr="00B56CF7">
        <w:rPr>
          <w:rFonts w:asciiTheme="majorHAnsi" w:eastAsia="Times New Roman" w:hAnsiTheme="majorHAnsi"/>
          <w:sz w:val="20"/>
          <w:szCs w:val="20"/>
          <w:bdr w:val="none" w:sz="0" w:space="0" w:color="auto"/>
          <w:lang w:val="es-AR"/>
        </w:rPr>
        <w:t xml:space="preserve">a un viaje al exterior. Agregó que si bien en el auto de elevación a juicio los fiscales hicieron alusión a un viaje a “Panamá”, en lugar de un “viaje al </w:t>
      </w:r>
      <w:r w:rsidR="00BF1807" w:rsidRPr="00B56CF7">
        <w:rPr>
          <w:rFonts w:asciiTheme="majorHAnsi" w:eastAsia="Times New Roman" w:hAnsiTheme="majorHAnsi"/>
          <w:sz w:val="20"/>
          <w:szCs w:val="20"/>
          <w:bdr w:val="none" w:sz="0" w:space="0" w:color="auto"/>
          <w:lang w:val="es-AR"/>
        </w:rPr>
        <w:t xml:space="preserve">exterior” como genéricamente consta en el </w:t>
      </w:r>
      <w:proofErr w:type="spellStart"/>
      <w:r w:rsidR="00BF1807" w:rsidRPr="00B56CF7">
        <w:rPr>
          <w:rFonts w:asciiTheme="majorHAnsi" w:eastAsia="Times New Roman" w:hAnsiTheme="majorHAnsi"/>
          <w:sz w:val="20"/>
          <w:szCs w:val="20"/>
          <w:bdr w:val="none" w:sz="0" w:space="0" w:color="auto"/>
          <w:lang w:val="es-AR"/>
        </w:rPr>
        <w:t>cassette</w:t>
      </w:r>
      <w:proofErr w:type="spellEnd"/>
      <w:r w:rsidR="00BF1807" w:rsidRPr="00B56CF7">
        <w:rPr>
          <w:rFonts w:asciiTheme="majorHAnsi" w:eastAsia="Times New Roman" w:hAnsiTheme="majorHAnsi"/>
          <w:sz w:val="20"/>
          <w:szCs w:val="20"/>
          <w:bdr w:val="none" w:sz="0" w:space="0" w:color="auto"/>
          <w:lang w:val="es-AR"/>
        </w:rPr>
        <w:t xml:space="preserve"> y acta de </w:t>
      </w:r>
      <w:proofErr w:type="spellStart"/>
      <w:r w:rsidR="00BF1807" w:rsidRPr="00B56CF7">
        <w:rPr>
          <w:rFonts w:asciiTheme="majorHAnsi" w:eastAsia="Times New Roman" w:hAnsiTheme="majorHAnsi"/>
          <w:sz w:val="20"/>
          <w:szCs w:val="20"/>
          <w:bdr w:val="none" w:sz="0" w:space="0" w:color="auto"/>
          <w:lang w:val="es-AR"/>
        </w:rPr>
        <w:t>fs</w:t>
      </w:r>
      <w:proofErr w:type="spellEnd"/>
      <w:r w:rsidR="00BF1807" w:rsidRPr="00B56CF7">
        <w:rPr>
          <w:rFonts w:asciiTheme="majorHAnsi" w:eastAsia="Times New Roman" w:hAnsiTheme="majorHAnsi"/>
          <w:sz w:val="20"/>
          <w:szCs w:val="20"/>
          <w:bdr w:val="none" w:sz="0" w:space="0" w:color="auto"/>
          <w:lang w:val="es-AR"/>
        </w:rPr>
        <w:t xml:space="preserve"> 109</w:t>
      </w:r>
      <w:r w:rsidR="00045F69" w:rsidRPr="00B56CF7">
        <w:rPr>
          <w:rFonts w:asciiTheme="majorHAnsi" w:eastAsia="Times New Roman" w:hAnsiTheme="majorHAnsi"/>
          <w:sz w:val="20"/>
          <w:szCs w:val="20"/>
          <w:bdr w:val="none" w:sz="0" w:space="0" w:color="auto"/>
          <w:lang w:val="es-AR"/>
        </w:rPr>
        <w:t>9</w:t>
      </w:r>
      <w:r w:rsidR="00BF1807" w:rsidRPr="00B56CF7">
        <w:rPr>
          <w:rFonts w:asciiTheme="majorHAnsi" w:eastAsia="Times New Roman" w:hAnsiTheme="majorHAnsi"/>
          <w:sz w:val="20"/>
          <w:szCs w:val="20"/>
          <w:bdr w:val="none" w:sz="0" w:space="0" w:color="auto"/>
          <w:lang w:val="es-AR"/>
        </w:rPr>
        <w:t>, este no fue el único indicio que tuvieron en cuenta</w:t>
      </w:r>
      <w:r w:rsidR="00B83B56" w:rsidRPr="00B56CF7">
        <w:rPr>
          <w:rFonts w:asciiTheme="majorHAnsi" w:eastAsia="Times New Roman" w:hAnsiTheme="majorHAnsi"/>
          <w:sz w:val="20"/>
          <w:szCs w:val="20"/>
          <w:bdr w:val="none" w:sz="0" w:space="0" w:color="auto"/>
          <w:lang w:val="es-AR"/>
        </w:rPr>
        <w:t xml:space="preserve"> los fiscales para solicitar la elevación a juicio</w:t>
      </w:r>
      <w:r w:rsidR="00D72716" w:rsidRPr="00B56CF7">
        <w:rPr>
          <w:rStyle w:val="FootnoteReference"/>
          <w:rFonts w:asciiTheme="majorHAnsi" w:eastAsia="Times New Roman" w:hAnsiTheme="majorHAnsi"/>
          <w:sz w:val="20"/>
          <w:szCs w:val="20"/>
          <w:bdr w:val="none" w:sz="0" w:space="0" w:color="auto"/>
          <w:lang w:val="es-AR"/>
        </w:rPr>
        <w:footnoteReference w:id="13"/>
      </w:r>
      <w:r w:rsidR="00B83B56" w:rsidRPr="00B56CF7">
        <w:rPr>
          <w:rFonts w:asciiTheme="majorHAnsi" w:eastAsia="Times New Roman" w:hAnsiTheme="majorHAnsi"/>
          <w:sz w:val="20"/>
          <w:szCs w:val="20"/>
          <w:bdr w:val="none" w:sz="0" w:space="0" w:color="auto"/>
          <w:lang w:val="es-AR"/>
        </w:rPr>
        <w:t xml:space="preserve">. </w:t>
      </w:r>
      <w:r w:rsidR="00BF1807" w:rsidRPr="00B56CF7">
        <w:rPr>
          <w:rFonts w:asciiTheme="majorHAnsi" w:eastAsia="Times New Roman" w:hAnsiTheme="majorHAnsi"/>
          <w:sz w:val="20"/>
          <w:szCs w:val="20"/>
          <w:bdr w:val="none" w:sz="0" w:space="0" w:color="auto"/>
          <w:lang w:val="es-AR"/>
        </w:rPr>
        <w:t xml:space="preserve">Indicó que en la solicitud de elevación a juicio también se consideraron otras constancias probatorias como las que constan en los </w:t>
      </w:r>
      <w:r w:rsidR="00B4182B" w:rsidRPr="00B56CF7">
        <w:rPr>
          <w:rFonts w:asciiTheme="majorHAnsi" w:eastAsia="Times New Roman" w:hAnsiTheme="majorHAnsi"/>
          <w:sz w:val="20"/>
          <w:szCs w:val="20"/>
          <w:bdr w:val="none" w:sz="0" w:space="0" w:color="auto"/>
          <w:lang w:val="es-AR"/>
        </w:rPr>
        <w:t>folios</w:t>
      </w:r>
      <w:r w:rsidR="00BF1807" w:rsidRPr="00B56CF7">
        <w:rPr>
          <w:rFonts w:asciiTheme="majorHAnsi" w:eastAsia="Times New Roman" w:hAnsiTheme="majorHAnsi"/>
          <w:sz w:val="20"/>
          <w:szCs w:val="20"/>
          <w:bdr w:val="none" w:sz="0" w:space="0" w:color="auto"/>
          <w:lang w:val="es-AR"/>
        </w:rPr>
        <w:t xml:space="preserve"> 1309/10 y  1121/22</w:t>
      </w:r>
      <w:r w:rsidR="00721EF2">
        <w:rPr>
          <w:rFonts w:asciiTheme="majorHAnsi" w:eastAsia="Times New Roman" w:hAnsiTheme="majorHAnsi"/>
          <w:sz w:val="20"/>
          <w:szCs w:val="20"/>
          <w:bdr w:val="none" w:sz="0" w:space="0" w:color="auto"/>
          <w:lang w:val="es-AR"/>
        </w:rPr>
        <w:t>,</w:t>
      </w:r>
      <w:r w:rsidR="00BF1807" w:rsidRPr="00B56CF7">
        <w:rPr>
          <w:rFonts w:asciiTheme="majorHAnsi" w:eastAsia="Times New Roman" w:hAnsiTheme="majorHAnsi"/>
          <w:sz w:val="20"/>
          <w:szCs w:val="20"/>
          <w:bdr w:val="none" w:sz="0" w:space="0" w:color="auto"/>
          <w:lang w:val="es-AR"/>
        </w:rPr>
        <w:t xml:space="preserve"> así como las tareas llevadas a cabo en Mar del Plata</w:t>
      </w:r>
      <w:r w:rsidR="00BF1807" w:rsidRPr="00B56CF7">
        <w:rPr>
          <w:rStyle w:val="FootnoteReference"/>
          <w:rFonts w:asciiTheme="majorHAnsi" w:eastAsia="Times New Roman" w:hAnsiTheme="majorHAnsi"/>
          <w:sz w:val="20"/>
          <w:szCs w:val="20"/>
          <w:bdr w:val="none" w:sz="0" w:space="0" w:color="auto"/>
          <w:lang w:val="es-AR"/>
        </w:rPr>
        <w:footnoteReference w:id="14"/>
      </w:r>
      <w:r w:rsidR="00BF1807" w:rsidRPr="00B56CF7">
        <w:rPr>
          <w:rFonts w:asciiTheme="majorHAnsi" w:eastAsia="Times New Roman" w:hAnsiTheme="majorHAnsi"/>
          <w:sz w:val="20"/>
          <w:szCs w:val="20"/>
          <w:bdr w:val="none" w:sz="0" w:space="0" w:color="auto"/>
          <w:lang w:val="es-AR"/>
        </w:rPr>
        <w:t xml:space="preserve">. </w:t>
      </w:r>
    </w:p>
    <w:p w:rsidR="009C7859" w:rsidRPr="00B56CF7" w:rsidRDefault="009C7859" w:rsidP="009C7859">
      <w:pPr>
        <w:pStyle w:val="ListParagraph"/>
        <w:rPr>
          <w:rFonts w:asciiTheme="majorHAnsi" w:eastAsia="Times New Roman" w:hAnsiTheme="majorHAnsi"/>
          <w:sz w:val="20"/>
          <w:szCs w:val="20"/>
          <w:bdr w:val="none" w:sz="0" w:space="0" w:color="auto"/>
          <w:lang w:val="es-AR"/>
        </w:rPr>
      </w:pPr>
    </w:p>
    <w:p w:rsidR="009C7859" w:rsidRPr="00B56CF7" w:rsidRDefault="009C7859" w:rsidP="00BF180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La Comisión hace notar que</w:t>
      </w:r>
      <w:r w:rsidR="00B6189E" w:rsidRPr="00B56CF7">
        <w:rPr>
          <w:rFonts w:asciiTheme="majorHAnsi" w:eastAsia="Times New Roman" w:hAnsiTheme="majorHAnsi"/>
          <w:sz w:val="20"/>
          <w:szCs w:val="20"/>
          <w:bdr w:val="none" w:sz="0" w:space="0" w:color="auto"/>
          <w:lang w:val="es-AR"/>
        </w:rPr>
        <w:t>, en efecto,</w:t>
      </w:r>
      <w:r w:rsidRPr="00B56CF7">
        <w:rPr>
          <w:rFonts w:asciiTheme="majorHAnsi" w:eastAsia="Times New Roman" w:hAnsiTheme="majorHAnsi"/>
          <w:sz w:val="20"/>
          <w:szCs w:val="20"/>
          <w:bdr w:val="none" w:sz="0" w:space="0" w:color="auto"/>
          <w:lang w:val="es-AR"/>
        </w:rPr>
        <w:t xml:space="preserve"> según los documentos aportados por el Estado ni en el folio 10</w:t>
      </w:r>
      <w:r w:rsidR="00281E6C" w:rsidRPr="00B56CF7">
        <w:rPr>
          <w:rFonts w:asciiTheme="majorHAnsi" w:eastAsia="Times New Roman" w:hAnsiTheme="majorHAnsi"/>
          <w:sz w:val="20"/>
          <w:szCs w:val="20"/>
          <w:bdr w:val="none" w:sz="0" w:space="0" w:color="auto"/>
          <w:lang w:val="es-AR"/>
        </w:rPr>
        <w:t>9</w:t>
      </w:r>
      <w:r w:rsidRPr="00B56CF7">
        <w:rPr>
          <w:rFonts w:asciiTheme="majorHAnsi" w:eastAsia="Times New Roman" w:hAnsiTheme="majorHAnsi"/>
          <w:sz w:val="20"/>
          <w:szCs w:val="20"/>
          <w:bdr w:val="none" w:sz="0" w:space="0" w:color="auto"/>
          <w:lang w:val="es-AR"/>
        </w:rPr>
        <w:t xml:space="preserve">9 ni en los folios 1309/10 </w:t>
      </w:r>
      <w:r w:rsidR="00B66B23" w:rsidRPr="00B56CF7">
        <w:rPr>
          <w:rFonts w:asciiTheme="majorHAnsi" w:eastAsia="Times New Roman" w:hAnsiTheme="majorHAnsi"/>
          <w:sz w:val="20"/>
          <w:szCs w:val="20"/>
          <w:bdr w:val="none" w:sz="0" w:space="0" w:color="auto"/>
          <w:lang w:val="es-AR"/>
        </w:rPr>
        <w:t>y</w:t>
      </w:r>
      <w:r w:rsidRPr="00B56CF7">
        <w:rPr>
          <w:rFonts w:asciiTheme="majorHAnsi" w:eastAsia="Times New Roman" w:hAnsiTheme="majorHAnsi"/>
          <w:sz w:val="20"/>
          <w:szCs w:val="20"/>
          <w:bdr w:val="none" w:sz="0" w:space="0" w:color="auto"/>
          <w:lang w:val="es-AR"/>
        </w:rPr>
        <w:t xml:space="preserve"> 1121/22 se hace referencia expresa a un viaje a Panamá que realizaría la presunta víctima</w:t>
      </w:r>
      <w:r w:rsidR="00721EF2">
        <w:rPr>
          <w:rFonts w:asciiTheme="majorHAnsi" w:eastAsia="Times New Roman" w:hAnsiTheme="majorHAnsi"/>
          <w:sz w:val="20"/>
          <w:szCs w:val="20"/>
          <w:bdr w:val="none" w:sz="0" w:space="0" w:color="auto"/>
          <w:lang w:val="es-AR"/>
        </w:rPr>
        <w:t>,</w:t>
      </w:r>
      <w:r w:rsidR="005C3AF8" w:rsidRPr="00B56CF7">
        <w:rPr>
          <w:rFonts w:asciiTheme="majorHAnsi" w:eastAsia="Times New Roman" w:hAnsiTheme="majorHAnsi"/>
          <w:sz w:val="20"/>
          <w:szCs w:val="20"/>
          <w:bdr w:val="none" w:sz="0" w:space="0" w:color="auto"/>
          <w:lang w:val="es-AR"/>
        </w:rPr>
        <w:t xml:space="preserve"> y</w:t>
      </w:r>
      <w:r w:rsidR="007A6847" w:rsidRPr="00B56CF7">
        <w:rPr>
          <w:rFonts w:asciiTheme="majorHAnsi" w:eastAsia="Times New Roman" w:hAnsiTheme="majorHAnsi"/>
          <w:sz w:val="20"/>
          <w:szCs w:val="20"/>
          <w:bdr w:val="none" w:sz="0" w:space="0" w:color="auto"/>
          <w:lang w:val="es-AR"/>
        </w:rPr>
        <w:t xml:space="preserve"> existen solamente referencias respecto de un viaje al exterior</w:t>
      </w:r>
      <w:r w:rsidR="007A6847" w:rsidRPr="00B56CF7">
        <w:rPr>
          <w:rStyle w:val="FootnoteReference"/>
          <w:rFonts w:asciiTheme="majorHAnsi" w:eastAsia="Times New Roman" w:hAnsiTheme="majorHAnsi"/>
          <w:sz w:val="20"/>
          <w:szCs w:val="20"/>
          <w:bdr w:val="none" w:sz="0" w:space="0" w:color="auto"/>
          <w:lang w:val="es-AR"/>
        </w:rPr>
        <w:footnoteReference w:id="15"/>
      </w:r>
      <w:r w:rsidR="0048489E" w:rsidRPr="00B56CF7">
        <w:rPr>
          <w:rFonts w:asciiTheme="majorHAnsi" w:eastAsia="Times New Roman" w:hAnsiTheme="majorHAnsi"/>
          <w:sz w:val="20"/>
          <w:szCs w:val="20"/>
          <w:bdr w:val="none" w:sz="0" w:space="0" w:color="auto"/>
          <w:lang w:val="es-AR"/>
        </w:rPr>
        <w:t xml:space="preserve">. Esta referencia aparece únicamente en el auto de elevación a juicio. </w:t>
      </w:r>
      <w:r w:rsidR="007A6847" w:rsidRPr="00B56CF7">
        <w:rPr>
          <w:rFonts w:asciiTheme="majorHAnsi" w:eastAsia="Times New Roman" w:hAnsiTheme="majorHAnsi"/>
          <w:sz w:val="20"/>
          <w:szCs w:val="20"/>
          <w:bdr w:val="none" w:sz="0" w:space="0" w:color="auto"/>
          <w:lang w:val="es-AR"/>
        </w:rPr>
        <w:t xml:space="preserve"> </w:t>
      </w:r>
    </w:p>
    <w:p w:rsidR="008C4A05" w:rsidRPr="00B56CF7" w:rsidRDefault="008C4A05" w:rsidP="007C452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8C4A05" w:rsidRPr="005553B9" w:rsidRDefault="00843F3D" w:rsidP="005553B9">
      <w:pPr>
        <w:pStyle w:val="Heading3"/>
        <w:numPr>
          <w:ilvl w:val="1"/>
          <w:numId w:val="55"/>
        </w:numPr>
        <w:tabs>
          <w:tab w:val="clear" w:pos="1800"/>
          <w:tab w:val="num" w:pos="1440"/>
        </w:tabs>
        <w:ind w:hanging="1080"/>
        <w:rPr>
          <w:color w:val="auto"/>
          <w:sz w:val="20"/>
          <w:szCs w:val="20"/>
          <w:lang w:val="es-VE"/>
        </w:rPr>
      </w:pPr>
      <w:bookmarkStart w:id="46" w:name="_Toc469409084"/>
      <w:r w:rsidRPr="005553B9">
        <w:rPr>
          <w:color w:val="auto"/>
          <w:sz w:val="20"/>
          <w:szCs w:val="20"/>
          <w:lang w:val="es-VE"/>
        </w:rPr>
        <w:t xml:space="preserve">Falta de acusación fiscal </w:t>
      </w:r>
      <w:r w:rsidR="007C452A" w:rsidRPr="005553B9">
        <w:rPr>
          <w:color w:val="auto"/>
          <w:sz w:val="20"/>
          <w:szCs w:val="20"/>
          <w:lang w:val="es-VE"/>
        </w:rPr>
        <w:t>y absolución del peticionario</w:t>
      </w:r>
      <w:bookmarkEnd w:id="46"/>
    </w:p>
    <w:p w:rsidR="007C452A" w:rsidRPr="00B56CF7" w:rsidRDefault="007C452A" w:rsidP="00F218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7C452A" w:rsidRPr="0062236D" w:rsidRDefault="00D92961" w:rsidP="00F218B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Durante la etapa de juicio</w:t>
      </w:r>
      <w:r w:rsidR="00F218B3" w:rsidRPr="00B56CF7">
        <w:rPr>
          <w:rFonts w:asciiTheme="majorHAnsi" w:hAnsiTheme="majorHAnsi"/>
          <w:sz w:val="20"/>
          <w:szCs w:val="20"/>
          <w:lang w:val="es-VE"/>
        </w:rPr>
        <w:t xml:space="preserve">, el </w:t>
      </w:r>
      <w:r w:rsidR="00C42213" w:rsidRPr="00B56CF7">
        <w:rPr>
          <w:rFonts w:asciiTheme="majorHAnsi" w:hAnsiTheme="majorHAnsi"/>
          <w:sz w:val="20"/>
          <w:szCs w:val="20"/>
          <w:lang w:val="es-VE"/>
        </w:rPr>
        <w:t>F</w:t>
      </w:r>
      <w:r w:rsidR="00F218B3" w:rsidRPr="00B56CF7">
        <w:rPr>
          <w:rFonts w:asciiTheme="majorHAnsi" w:hAnsiTheme="majorHAnsi"/>
          <w:sz w:val="20"/>
          <w:szCs w:val="20"/>
          <w:lang w:val="es-VE"/>
        </w:rPr>
        <w:t xml:space="preserve">iscal al presentar sus alegatos refirió que </w:t>
      </w:r>
      <w:r w:rsidR="00EC699E" w:rsidRPr="00B56CF7">
        <w:rPr>
          <w:rFonts w:asciiTheme="majorHAnsi" w:eastAsia="Times New Roman" w:hAnsiTheme="majorHAnsi"/>
          <w:sz w:val="20"/>
          <w:szCs w:val="20"/>
          <w:bdr w:val="none" w:sz="0" w:space="0" w:color="auto"/>
          <w:lang w:val="es-AR"/>
        </w:rPr>
        <w:t>“respecto de Oscar Gabriel Jenkins, y valorando la prueba colectada no encontró elementos de imputación en su contra”</w:t>
      </w:r>
      <w:r w:rsidR="00F218B3" w:rsidRPr="00B56CF7">
        <w:rPr>
          <w:rFonts w:asciiTheme="majorHAnsi" w:eastAsia="Times New Roman" w:hAnsiTheme="majorHAnsi"/>
          <w:sz w:val="20"/>
          <w:szCs w:val="20"/>
          <w:bdr w:val="none" w:sz="0" w:space="0" w:color="auto"/>
          <w:lang w:val="es-AR"/>
        </w:rPr>
        <w:t xml:space="preserve"> por lo que solicitó su absolución de culpa y cargo</w:t>
      </w:r>
      <w:r w:rsidR="007C452A" w:rsidRPr="00B56CF7">
        <w:rPr>
          <w:rStyle w:val="FootnoteReference"/>
          <w:rFonts w:asciiTheme="majorHAnsi" w:hAnsiTheme="majorHAnsi"/>
          <w:sz w:val="20"/>
          <w:szCs w:val="20"/>
          <w:lang w:val="es-VE"/>
        </w:rPr>
        <w:footnoteReference w:id="16"/>
      </w:r>
      <w:r w:rsidR="007C452A" w:rsidRPr="00B56CF7">
        <w:rPr>
          <w:rFonts w:asciiTheme="majorHAnsi" w:hAnsiTheme="majorHAnsi"/>
          <w:sz w:val="20"/>
          <w:szCs w:val="20"/>
          <w:lang w:val="es-VE"/>
        </w:rPr>
        <w:t xml:space="preserve">. </w:t>
      </w:r>
    </w:p>
    <w:p w:rsidR="00D52EDC" w:rsidRPr="00B56CF7" w:rsidRDefault="00D52EDC" w:rsidP="00D52EDC">
      <w:pPr>
        <w:jc w:val="both"/>
        <w:rPr>
          <w:rFonts w:asciiTheme="majorHAnsi" w:hAnsiTheme="majorHAnsi"/>
          <w:b/>
          <w:sz w:val="20"/>
          <w:szCs w:val="20"/>
          <w:lang w:val="es-VE"/>
        </w:rPr>
      </w:pPr>
    </w:p>
    <w:p w:rsidR="007C452A" w:rsidRPr="00B56CF7" w:rsidRDefault="00D52EDC" w:rsidP="00BF559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El 23 de diciembre de 1997 </w:t>
      </w:r>
      <w:r w:rsidR="00A4206A" w:rsidRPr="00B56CF7">
        <w:rPr>
          <w:rFonts w:asciiTheme="majorHAnsi" w:eastAsia="Times New Roman" w:hAnsiTheme="majorHAnsi"/>
          <w:sz w:val="20"/>
          <w:szCs w:val="20"/>
          <w:bdr w:val="none" w:sz="0" w:space="0" w:color="auto"/>
          <w:lang w:val="es-AR"/>
        </w:rPr>
        <w:t xml:space="preserve">el Tribunal Oral en lo Criminal Federal No. 6 de la Capital Federal </w:t>
      </w:r>
      <w:r w:rsidR="00BE4AE9" w:rsidRPr="00B56CF7">
        <w:rPr>
          <w:rFonts w:asciiTheme="majorHAnsi" w:eastAsia="Times New Roman" w:hAnsiTheme="majorHAnsi"/>
          <w:sz w:val="20"/>
          <w:szCs w:val="20"/>
          <w:bdr w:val="none" w:sz="0" w:space="0" w:color="auto"/>
          <w:lang w:val="es-AR"/>
        </w:rPr>
        <w:t xml:space="preserve">dictó sentencia en la causa </w:t>
      </w:r>
      <w:r w:rsidR="000E08AE" w:rsidRPr="00B56CF7">
        <w:rPr>
          <w:rFonts w:asciiTheme="majorHAnsi" w:eastAsia="Times New Roman" w:hAnsiTheme="majorHAnsi"/>
          <w:sz w:val="20"/>
          <w:szCs w:val="20"/>
          <w:bdr w:val="none" w:sz="0" w:space="0" w:color="auto"/>
          <w:lang w:val="es-AR"/>
        </w:rPr>
        <w:t>“</w:t>
      </w:r>
      <w:r w:rsidR="00BE4AE9" w:rsidRPr="00B56CF7">
        <w:rPr>
          <w:rFonts w:asciiTheme="majorHAnsi" w:eastAsia="Times New Roman" w:hAnsiTheme="majorHAnsi"/>
          <w:sz w:val="20"/>
          <w:szCs w:val="20"/>
          <w:bdr w:val="none" w:sz="0" w:space="0" w:color="auto"/>
          <w:lang w:val="es-AR"/>
        </w:rPr>
        <w:t>Padilla Echeverry</w:t>
      </w:r>
      <w:r w:rsidR="000E08AE" w:rsidRPr="00B56CF7">
        <w:rPr>
          <w:rFonts w:asciiTheme="majorHAnsi" w:eastAsia="Times New Roman" w:hAnsiTheme="majorHAnsi"/>
          <w:sz w:val="20"/>
          <w:szCs w:val="20"/>
          <w:bdr w:val="none" w:sz="0" w:space="0" w:color="auto"/>
          <w:lang w:val="es-AR"/>
        </w:rPr>
        <w:t>”</w:t>
      </w:r>
      <w:r w:rsidR="00BE4AE9" w:rsidRPr="00B56CF7">
        <w:rPr>
          <w:rFonts w:asciiTheme="majorHAnsi" w:eastAsia="Times New Roman" w:hAnsiTheme="majorHAnsi"/>
          <w:sz w:val="20"/>
          <w:szCs w:val="20"/>
          <w:bdr w:val="none" w:sz="0" w:space="0" w:color="auto"/>
          <w:lang w:val="es-AR"/>
        </w:rPr>
        <w:t xml:space="preserve"> </w:t>
      </w:r>
      <w:r w:rsidR="00786126" w:rsidRPr="00B56CF7">
        <w:rPr>
          <w:rFonts w:asciiTheme="majorHAnsi" w:eastAsia="Times New Roman" w:hAnsiTheme="majorHAnsi"/>
          <w:sz w:val="20"/>
          <w:szCs w:val="20"/>
          <w:bdr w:val="none" w:sz="0" w:space="0" w:color="auto"/>
          <w:lang w:val="es-AR"/>
        </w:rPr>
        <w:t xml:space="preserve">seguida en contra de Gabriel Oscar Jenkins y otros imputados por los delitos de tráfico ilícito de estupefacientes y asociación ilícita. </w:t>
      </w:r>
      <w:r w:rsidR="00E150F2" w:rsidRPr="00B56CF7">
        <w:rPr>
          <w:rFonts w:asciiTheme="majorHAnsi" w:eastAsia="Times New Roman" w:hAnsiTheme="majorHAnsi"/>
          <w:sz w:val="20"/>
          <w:szCs w:val="20"/>
          <w:bdr w:val="none" w:sz="0" w:space="0" w:color="auto"/>
          <w:lang w:val="es-AR"/>
        </w:rPr>
        <w:t>En dicha sentencia e</w:t>
      </w:r>
      <w:r w:rsidR="00370085" w:rsidRPr="00B56CF7">
        <w:rPr>
          <w:rFonts w:asciiTheme="majorHAnsi" w:eastAsia="Times New Roman" w:hAnsiTheme="majorHAnsi"/>
          <w:sz w:val="20"/>
          <w:szCs w:val="20"/>
          <w:bdr w:val="none" w:sz="0" w:space="0" w:color="auto"/>
          <w:lang w:val="es-AR"/>
        </w:rPr>
        <w:t xml:space="preserve">l Tribunal decidió por mayoría </w:t>
      </w:r>
      <w:r w:rsidR="007C452A" w:rsidRPr="00B56CF7">
        <w:rPr>
          <w:rFonts w:asciiTheme="majorHAnsi" w:hAnsiTheme="majorHAnsi"/>
          <w:sz w:val="20"/>
          <w:szCs w:val="20"/>
          <w:lang w:val="es-VE"/>
        </w:rPr>
        <w:t>absolver a Gabriel Oscar Jenkins y otros por e</w:t>
      </w:r>
      <w:r w:rsidR="00D92961" w:rsidRPr="00B56CF7">
        <w:rPr>
          <w:rFonts w:asciiTheme="majorHAnsi" w:hAnsiTheme="majorHAnsi"/>
          <w:sz w:val="20"/>
          <w:szCs w:val="20"/>
          <w:lang w:val="es-VE"/>
        </w:rPr>
        <w:t xml:space="preserve">l delito de asociación ilícita contemplado en el </w:t>
      </w:r>
      <w:r w:rsidR="007C452A" w:rsidRPr="00B56CF7">
        <w:rPr>
          <w:rFonts w:asciiTheme="majorHAnsi" w:hAnsiTheme="majorHAnsi"/>
          <w:sz w:val="20"/>
          <w:szCs w:val="20"/>
          <w:lang w:val="es-VE"/>
        </w:rPr>
        <w:t>artículo 21</w:t>
      </w:r>
      <w:r w:rsidR="00D92961" w:rsidRPr="00B56CF7">
        <w:rPr>
          <w:rFonts w:asciiTheme="majorHAnsi" w:hAnsiTheme="majorHAnsi"/>
          <w:sz w:val="20"/>
          <w:szCs w:val="20"/>
          <w:lang w:val="es-VE"/>
        </w:rPr>
        <w:t xml:space="preserve">0 del Código Penal de la </w:t>
      </w:r>
      <w:r w:rsidR="00D22BD4" w:rsidRPr="00B56CF7">
        <w:rPr>
          <w:rFonts w:asciiTheme="majorHAnsi" w:hAnsiTheme="majorHAnsi"/>
          <w:sz w:val="20"/>
          <w:szCs w:val="20"/>
          <w:lang w:val="es-VE"/>
        </w:rPr>
        <w:t>N</w:t>
      </w:r>
      <w:r w:rsidR="00D92961" w:rsidRPr="00B56CF7">
        <w:rPr>
          <w:rFonts w:asciiTheme="majorHAnsi" w:hAnsiTheme="majorHAnsi"/>
          <w:sz w:val="20"/>
          <w:szCs w:val="20"/>
          <w:lang w:val="es-VE"/>
        </w:rPr>
        <w:t>ación</w:t>
      </w:r>
      <w:r w:rsidR="00721EF2">
        <w:rPr>
          <w:rFonts w:asciiTheme="majorHAnsi" w:hAnsiTheme="majorHAnsi"/>
          <w:sz w:val="20"/>
          <w:szCs w:val="20"/>
          <w:lang w:val="es-VE"/>
        </w:rPr>
        <w:t>,</w:t>
      </w:r>
      <w:r w:rsidR="007C452A" w:rsidRPr="00B56CF7">
        <w:rPr>
          <w:rFonts w:asciiTheme="majorHAnsi" w:hAnsiTheme="majorHAnsi"/>
          <w:sz w:val="20"/>
          <w:szCs w:val="20"/>
          <w:lang w:val="es-VE"/>
        </w:rPr>
        <w:t xml:space="preserve"> </w:t>
      </w:r>
      <w:r w:rsidR="003E01DC" w:rsidRPr="00B56CF7">
        <w:rPr>
          <w:rFonts w:asciiTheme="majorHAnsi" w:hAnsiTheme="majorHAnsi"/>
          <w:sz w:val="20"/>
          <w:szCs w:val="20"/>
          <w:lang w:val="es-VE"/>
        </w:rPr>
        <w:t>y por el delito</w:t>
      </w:r>
      <w:r w:rsidR="007C452A" w:rsidRPr="00B56CF7">
        <w:rPr>
          <w:rFonts w:asciiTheme="majorHAnsi" w:hAnsiTheme="majorHAnsi"/>
          <w:sz w:val="20"/>
          <w:szCs w:val="20"/>
          <w:lang w:val="es-VE"/>
        </w:rPr>
        <w:t xml:space="preserve"> de tráfico ilícito de estupefacientes en su modalidad de comercio, agravado por la intervención de más de tres persona</w:t>
      </w:r>
      <w:r w:rsidR="00721EF2">
        <w:rPr>
          <w:rFonts w:asciiTheme="majorHAnsi" w:hAnsiTheme="majorHAnsi"/>
          <w:sz w:val="20"/>
          <w:szCs w:val="20"/>
          <w:lang w:val="es-VE"/>
        </w:rPr>
        <w:t>s</w:t>
      </w:r>
      <w:r w:rsidR="00E150F2" w:rsidRPr="00B56CF7">
        <w:rPr>
          <w:rFonts w:asciiTheme="majorHAnsi" w:hAnsiTheme="majorHAnsi"/>
          <w:sz w:val="20"/>
          <w:szCs w:val="20"/>
          <w:lang w:val="es-VE"/>
        </w:rPr>
        <w:t xml:space="preserve"> contenido en el artículo 5, literal</w:t>
      </w:r>
      <w:r w:rsidR="007C452A" w:rsidRPr="00B56CF7">
        <w:rPr>
          <w:rFonts w:asciiTheme="majorHAnsi" w:hAnsiTheme="majorHAnsi"/>
          <w:sz w:val="20"/>
          <w:szCs w:val="20"/>
          <w:lang w:val="es-VE"/>
        </w:rPr>
        <w:t xml:space="preserve"> “c” y </w:t>
      </w:r>
      <w:r w:rsidR="00E150F2" w:rsidRPr="00B56CF7">
        <w:rPr>
          <w:rFonts w:asciiTheme="majorHAnsi" w:hAnsiTheme="majorHAnsi"/>
          <w:sz w:val="20"/>
          <w:szCs w:val="20"/>
          <w:lang w:val="es-VE"/>
        </w:rPr>
        <w:t>artículo 11 literal “c” de la ley 23.737</w:t>
      </w:r>
      <w:r w:rsidR="007C452A" w:rsidRPr="00B56CF7">
        <w:rPr>
          <w:rFonts w:asciiTheme="majorHAnsi" w:hAnsiTheme="majorHAnsi"/>
          <w:sz w:val="20"/>
          <w:szCs w:val="20"/>
          <w:lang w:val="es-VE"/>
        </w:rPr>
        <w:t xml:space="preserve"> por no haberse producido acusación fiscal respecto de ellos</w:t>
      </w:r>
      <w:r w:rsidR="007C452A" w:rsidRPr="00B56CF7">
        <w:rPr>
          <w:rFonts w:asciiTheme="majorHAnsi" w:hAnsiTheme="majorHAnsi"/>
          <w:sz w:val="20"/>
          <w:szCs w:val="20"/>
          <w:vertAlign w:val="superscript"/>
        </w:rPr>
        <w:footnoteReference w:id="17"/>
      </w:r>
      <w:proofErr w:type="gramStart"/>
      <w:r w:rsidR="007C452A" w:rsidRPr="00B56CF7">
        <w:rPr>
          <w:rFonts w:asciiTheme="majorHAnsi" w:hAnsiTheme="majorHAnsi"/>
          <w:sz w:val="20"/>
          <w:szCs w:val="20"/>
          <w:vertAlign w:val="superscript"/>
          <w:lang w:val="es-VE"/>
        </w:rPr>
        <w:t>.</w:t>
      </w:r>
      <w:r w:rsidR="003E2CF6" w:rsidRPr="00B56CF7">
        <w:rPr>
          <w:rFonts w:asciiTheme="majorHAnsi" w:hAnsiTheme="majorHAnsi"/>
          <w:sz w:val="20"/>
          <w:szCs w:val="20"/>
          <w:lang w:val="es-VE"/>
        </w:rPr>
        <w:t>.</w:t>
      </w:r>
      <w:proofErr w:type="gramEnd"/>
    </w:p>
    <w:p w:rsidR="00F70FB8" w:rsidRPr="00B56CF7" w:rsidRDefault="00F70FB8" w:rsidP="00721EF2">
      <w:pPr>
        <w:jc w:val="both"/>
        <w:rPr>
          <w:rFonts w:asciiTheme="majorHAnsi" w:hAnsiTheme="majorHAnsi"/>
          <w:sz w:val="20"/>
          <w:szCs w:val="20"/>
          <w:lang w:val="es-VE"/>
        </w:rPr>
      </w:pPr>
    </w:p>
    <w:p w:rsidR="007C452A" w:rsidRPr="00B56CF7" w:rsidRDefault="007C452A" w:rsidP="005553B9">
      <w:pPr>
        <w:pStyle w:val="Heading3"/>
        <w:numPr>
          <w:ilvl w:val="1"/>
          <w:numId w:val="55"/>
        </w:numPr>
        <w:tabs>
          <w:tab w:val="clear" w:pos="1800"/>
          <w:tab w:val="num" w:pos="1440"/>
        </w:tabs>
        <w:ind w:hanging="1080"/>
        <w:rPr>
          <w:b w:val="0"/>
          <w:sz w:val="20"/>
          <w:szCs w:val="20"/>
          <w:lang w:val="es-VE"/>
        </w:rPr>
      </w:pPr>
      <w:bookmarkStart w:id="47" w:name="_Toc469409085"/>
      <w:r w:rsidRPr="005553B9">
        <w:rPr>
          <w:color w:val="auto"/>
          <w:sz w:val="20"/>
          <w:szCs w:val="20"/>
          <w:lang w:val="es-VE"/>
        </w:rPr>
        <w:t>Solicitud de investigación de las diferencias entre la grabación y su constancia</w:t>
      </w:r>
      <w:bookmarkEnd w:id="47"/>
      <w:r w:rsidRPr="00B56CF7">
        <w:rPr>
          <w:b w:val="0"/>
          <w:sz w:val="20"/>
          <w:szCs w:val="20"/>
          <w:lang w:val="es-VE"/>
        </w:rPr>
        <w:t xml:space="preserve"> </w:t>
      </w:r>
    </w:p>
    <w:p w:rsidR="00184A77" w:rsidRPr="00B56CF7" w:rsidRDefault="00184A77" w:rsidP="00184A7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051C33" w:rsidRPr="00B56CF7" w:rsidRDefault="009D2C16" w:rsidP="00051C3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En la</w:t>
      </w:r>
      <w:r w:rsidR="00D279B7" w:rsidRPr="00B56CF7">
        <w:rPr>
          <w:rFonts w:asciiTheme="majorHAnsi" w:eastAsia="Times New Roman" w:hAnsiTheme="majorHAnsi"/>
          <w:sz w:val="20"/>
          <w:szCs w:val="20"/>
          <w:bdr w:val="none" w:sz="0" w:space="0" w:color="auto"/>
          <w:lang w:val="es-AR"/>
        </w:rPr>
        <w:t xml:space="preserve"> referida</w:t>
      </w:r>
      <w:r w:rsidRPr="00B56CF7">
        <w:rPr>
          <w:rFonts w:asciiTheme="majorHAnsi" w:eastAsia="Times New Roman" w:hAnsiTheme="majorHAnsi"/>
          <w:sz w:val="20"/>
          <w:szCs w:val="20"/>
          <w:bdr w:val="none" w:sz="0" w:space="0" w:color="auto"/>
          <w:lang w:val="es-AR"/>
        </w:rPr>
        <w:t xml:space="preserve"> decisión judicial</w:t>
      </w:r>
      <w:r w:rsidR="00721EF2">
        <w:rPr>
          <w:rFonts w:asciiTheme="majorHAnsi" w:eastAsia="Times New Roman" w:hAnsiTheme="majorHAnsi"/>
          <w:sz w:val="20"/>
          <w:szCs w:val="20"/>
          <w:bdr w:val="none" w:sz="0" w:space="0" w:color="auto"/>
          <w:lang w:val="es-AR"/>
        </w:rPr>
        <w:t>,</w:t>
      </w:r>
      <w:r w:rsidRPr="00B56CF7">
        <w:rPr>
          <w:rFonts w:asciiTheme="majorHAnsi" w:eastAsia="Times New Roman" w:hAnsiTheme="majorHAnsi"/>
          <w:sz w:val="20"/>
          <w:szCs w:val="20"/>
          <w:bdr w:val="none" w:sz="0" w:space="0" w:color="auto"/>
          <w:lang w:val="es-AR"/>
        </w:rPr>
        <w:t xml:space="preserve"> el Tribunal también </w:t>
      </w:r>
      <w:r w:rsidR="00AB2E03" w:rsidRPr="00B56CF7">
        <w:rPr>
          <w:rFonts w:asciiTheme="majorHAnsi" w:eastAsia="Times New Roman" w:hAnsiTheme="majorHAnsi"/>
          <w:sz w:val="20"/>
          <w:szCs w:val="20"/>
          <w:bdr w:val="none" w:sz="0" w:space="0" w:color="auto"/>
          <w:lang w:val="es-AR"/>
        </w:rPr>
        <w:t>mencionó</w:t>
      </w:r>
      <w:r w:rsidRPr="00B56CF7">
        <w:rPr>
          <w:rFonts w:asciiTheme="majorHAnsi" w:eastAsia="Times New Roman" w:hAnsiTheme="majorHAnsi"/>
          <w:sz w:val="20"/>
          <w:szCs w:val="20"/>
          <w:bdr w:val="none" w:sz="0" w:space="0" w:color="auto"/>
          <w:lang w:val="es-AR"/>
        </w:rPr>
        <w:t xml:space="preserve"> las </w:t>
      </w:r>
      <w:r w:rsidR="00051C33" w:rsidRPr="00B56CF7">
        <w:rPr>
          <w:rFonts w:asciiTheme="majorHAnsi" w:eastAsia="Times New Roman" w:hAnsiTheme="majorHAnsi"/>
          <w:sz w:val="20"/>
          <w:szCs w:val="20"/>
          <w:bdr w:val="none" w:sz="0" w:space="0" w:color="auto"/>
          <w:lang w:val="es-AR"/>
        </w:rPr>
        <w:t xml:space="preserve">diferencias entre la grabación telefónica del peticionario con Jorge Martínez y la constancia de la misma que obraba en el expediente del proceso. </w:t>
      </w:r>
      <w:r w:rsidR="00301BA8" w:rsidRPr="00B56CF7">
        <w:rPr>
          <w:rFonts w:asciiTheme="majorHAnsi" w:eastAsia="Times New Roman" w:hAnsiTheme="majorHAnsi"/>
          <w:sz w:val="20"/>
          <w:szCs w:val="20"/>
          <w:bdr w:val="none" w:sz="0" w:space="0" w:color="auto"/>
          <w:lang w:val="es-AR"/>
        </w:rPr>
        <w:t>La Comisión</w:t>
      </w:r>
      <w:r w:rsidR="0072009E" w:rsidRPr="00B56CF7">
        <w:rPr>
          <w:rFonts w:asciiTheme="majorHAnsi" w:eastAsia="Times New Roman" w:hAnsiTheme="majorHAnsi"/>
          <w:sz w:val="20"/>
          <w:szCs w:val="20"/>
          <w:bdr w:val="none" w:sz="0" w:space="0" w:color="auto"/>
          <w:lang w:val="es-AR"/>
        </w:rPr>
        <w:t xml:space="preserve"> reitera </w:t>
      </w:r>
      <w:r w:rsidR="00301BA8" w:rsidRPr="00B56CF7">
        <w:rPr>
          <w:rFonts w:asciiTheme="majorHAnsi" w:eastAsia="Times New Roman" w:hAnsiTheme="majorHAnsi"/>
          <w:sz w:val="20"/>
          <w:szCs w:val="20"/>
          <w:bdr w:val="none" w:sz="0" w:space="0" w:color="auto"/>
          <w:lang w:val="es-AR"/>
        </w:rPr>
        <w:t xml:space="preserve">que, tal como se describió anteriormente, la inconsistencia no era entre la grabación telefónica y la constancia de la misma, sino entre estas dos y la solicitud de elevación a juicio, en la que se hizo referencia expresa a un viaje a Panamá. </w:t>
      </w:r>
      <w:r w:rsidR="00687BF9" w:rsidRPr="00B56CF7">
        <w:rPr>
          <w:rFonts w:asciiTheme="majorHAnsi" w:eastAsia="Times New Roman" w:hAnsiTheme="majorHAnsi"/>
          <w:sz w:val="20"/>
          <w:szCs w:val="20"/>
          <w:bdr w:val="none" w:sz="0" w:space="0" w:color="auto"/>
          <w:lang w:val="es-AR"/>
        </w:rPr>
        <w:t xml:space="preserve">Sin perjuicio de ello, a continuación </w:t>
      </w:r>
      <w:r w:rsidR="000E4EF2">
        <w:rPr>
          <w:rFonts w:asciiTheme="majorHAnsi" w:eastAsia="Times New Roman" w:hAnsiTheme="majorHAnsi"/>
          <w:sz w:val="20"/>
          <w:szCs w:val="20"/>
          <w:bdr w:val="none" w:sz="0" w:space="0" w:color="auto"/>
          <w:lang w:val="es-AR"/>
        </w:rPr>
        <w:t>s</w:t>
      </w:r>
      <w:r w:rsidR="00687BF9" w:rsidRPr="00B56CF7">
        <w:rPr>
          <w:rFonts w:asciiTheme="majorHAnsi" w:eastAsia="Times New Roman" w:hAnsiTheme="majorHAnsi"/>
          <w:sz w:val="20"/>
          <w:szCs w:val="20"/>
          <w:bdr w:val="none" w:sz="0" w:space="0" w:color="auto"/>
          <w:lang w:val="es-AR"/>
        </w:rPr>
        <w:t>e describe lo ordenado mediante la decisión de absolución, en sus propios</w:t>
      </w:r>
      <w:r w:rsidR="00332E1E" w:rsidRPr="00B56CF7">
        <w:rPr>
          <w:rFonts w:asciiTheme="majorHAnsi" w:hAnsiTheme="majorHAnsi"/>
          <w:sz w:val="20"/>
          <w:szCs w:val="20"/>
          <w:lang w:val="es-VE"/>
        </w:rPr>
        <w:t xml:space="preserve"> términos</w:t>
      </w:r>
      <w:r w:rsidR="00687BF9" w:rsidRPr="00B56CF7">
        <w:rPr>
          <w:rFonts w:asciiTheme="majorHAnsi" w:eastAsia="Times New Roman" w:hAnsiTheme="majorHAnsi"/>
          <w:sz w:val="20"/>
          <w:szCs w:val="20"/>
          <w:bdr w:val="none" w:sz="0" w:space="0" w:color="auto"/>
          <w:lang w:val="es-AR"/>
        </w:rPr>
        <w:t>.</w:t>
      </w:r>
    </w:p>
    <w:p w:rsidR="00184A77" w:rsidRPr="00B56CF7" w:rsidRDefault="00184A77" w:rsidP="00184A7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p>
    <w:p w:rsidR="00D1284F" w:rsidRPr="00B56CF7" w:rsidRDefault="00051C33" w:rsidP="00BF559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Al respecto, el Tribunal indicó que </w:t>
      </w:r>
      <w:r w:rsidR="00D43F6C" w:rsidRPr="00B56CF7">
        <w:rPr>
          <w:rFonts w:asciiTheme="majorHAnsi" w:hAnsiTheme="majorHAnsi"/>
          <w:sz w:val="20"/>
          <w:szCs w:val="20"/>
          <w:lang w:val="es-VE"/>
        </w:rPr>
        <w:t xml:space="preserve">“cabe hacer mención, en primer término, al pedido formulado por el Dr. Marcelo Roberto </w:t>
      </w:r>
      <w:proofErr w:type="spellStart"/>
      <w:r w:rsidR="00D43F6C" w:rsidRPr="00B56CF7">
        <w:rPr>
          <w:rFonts w:asciiTheme="majorHAnsi" w:hAnsiTheme="majorHAnsi"/>
          <w:sz w:val="20"/>
          <w:szCs w:val="20"/>
          <w:lang w:val="es-VE"/>
        </w:rPr>
        <w:t>Buigo</w:t>
      </w:r>
      <w:proofErr w:type="spellEnd"/>
      <w:r w:rsidR="00D43F6C" w:rsidRPr="00B56CF7">
        <w:rPr>
          <w:rFonts w:asciiTheme="majorHAnsi" w:hAnsiTheme="majorHAnsi"/>
          <w:sz w:val="20"/>
          <w:szCs w:val="20"/>
          <w:lang w:val="es-VE"/>
        </w:rPr>
        <w:t xml:space="preserve">, defensor de Gabriel Jenkins el cual al momento de efectuar su alegato, solicitó se extraigan testimonios para que se investigue la eventual comisión de un delito de acción pública, respecto de las diferencias existentes entre el contenido del </w:t>
      </w:r>
      <w:proofErr w:type="spellStart"/>
      <w:r w:rsidR="00D43F6C" w:rsidRPr="00B56CF7">
        <w:rPr>
          <w:rFonts w:asciiTheme="majorHAnsi" w:hAnsiTheme="majorHAnsi"/>
          <w:sz w:val="20"/>
          <w:szCs w:val="20"/>
          <w:lang w:val="es-VE"/>
        </w:rPr>
        <w:t>casse</w:t>
      </w:r>
      <w:r w:rsidR="005134B9" w:rsidRPr="00B56CF7">
        <w:rPr>
          <w:rFonts w:asciiTheme="majorHAnsi" w:hAnsiTheme="majorHAnsi"/>
          <w:sz w:val="20"/>
          <w:szCs w:val="20"/>
          <w:lang w:val="es-VE"/>
        </w:rPr>
        <w:t>tte</w:t>
      </w:r>
      <w:proofErr w:type="spellEnd"/>
      <w:r w:rsidR="005134B9" w:rsidRPr="00B56CF7">
        <w:rPr>
          <w:rFonts w:asciiTheme="majorHAnsi" w:hAnsiTheme="majorHAnsi"/>
          <w:sz w:val="20"/>
          <w:szCs w:val="20"/>
          <w:lang w:val="es-VE"/>
        </w:rPr>
        <w:t xml:space="preserve"> No</w:t>
      </w:r>
      <w:r w:rsidR="00022DDD" w:rsidRPr="00B56CF7">
        <w:rPr>
          <w:rFonts w:asciiTheme="majorHAnsi" w:hAnsiTheme="majorHAnsi"/>
          <w:sz w:val="20"/>
          <w:szCs w:val="20"/>
          <w:lang w:val="es-VE"/>
        </w:rPr>
        <w:t xml:space="preserve">. </w:t>
      </w:r>
      <w:r w:rsidR="005134B9" w:rsidRPr="00B56CF7">
        <w:rPr>
          <w:rFonts w:asciiTheme="majorHAnsi" w:hAnsiTheme="majorHAnsi"/>
          <w:sz w:val="20"/>
          <w:szCs w:val="20"/>
          <w:lang w:val="es-VE"/>
        </w:rPr>
        <w:t>40 del abonado 91-3614</w:t>
      </w:r>
      <w:r w:rsidR="00D43F6C" w:rsidRPr="00B56CF7">
        <w:rPr>
          <w:rFonts w:asciiTheme="majorHAnsi" w:hAnsiTheme="majorHAnsi"/>
          <w:sz w:val="20"/>
          <w:szCs w:val="20"/>
          <w:lang w:val="es-VE"/>
        </w:rPr>
        <w:t xml:space="preserve"> y la constancia </w:t>
      </w:r>
      <w:proofErr w:type="spellStart"/>
      <w:r w:rsidR="00D43F6C" w:rsidRPr="00B56CF7">
        <w:rPr>
          <w:rFonts w:asciiTheme="majorHAnsi" w:hAnsiTheme="majorHAnsi"/>
          <w:sz w:val="20"/>
          <w:szCs w:val="20"/>
          <w:lang w:val="es-VE"/>
        </w:rPr>
        <w:t>prevencional</w:t>
      </w:r>
      <w:proofErr w:type="spellEnd"/>
      <w:r w:rsidR="00D43F6C" w:rsidRPr="00B56CF7">
        <w:rPr>
          <w:rFonts w:asciiTheme="majorHAnsi" w:hAnsiTheme="majorHAnsi"/>
          <w:sz w:val="20"/>
          <w:szCs w:val="20"/>
          <w:lang w:val="es-VE"/>
        </w:rPr>
        <w:t xml:space="preserve"> agregada a fs. 1099, dado que en ésta última se alude a un viaje a la ciudad de Panamá que, en realidad, no consta en aquélla, siendo que tal cir</w:t>
      </w:r>
      <w:r w:rsidR="005134B9" w:rsidRPr="00B56CF7">
        <w:rPr>
          <w:rFonts w:asciiTheme="majorHAnsi" w:hAnsiTheme="majorHAnsi"/>
          <w:sz w:val="20"/>
          <w:szCs w:val="20"/>
          <w:lang w:val="es-VE"/>
        </w:rPr>
        <w:t>cunstancia habría sido utilizada</w:t>
      </w:r>
      <w:r w:rsidR="00D43F6C" w:rsidRPr="00B56CF7">
        <w:rPr>
          <w:rFonts w:asciiTheme="majorHAnsi" w:hAnsiTheme="majorHAnsi"/>
          <w:sz w:val="20"/>
          <w:szCs w:val="20"/>
          <w:lang w:val="es-VE"/>
        </w:rPr>
        <w:t xml:space="preserve"> como elemento cargoso por los Fiscales de Grado para formular el pertinente requerimiento de elevación a juicio respecto de su defendido</w:t>
      </w:r>
      <w:r w:rsidR="00461473" w:rsidRPr="00B56CF7">
        <w:rPr>
          <w:rFonts w:asciiTheme="majorHAnsi" w:hAnsiTheme="majorHAnsi"/>
          <w:sz w:val="20"/>
          <w:szCs w:val="20"/>
          <w:lang w:val="es-VE"/>
        </w:rPr>
        <w:t>”</w:t>
      </w:r>
      <w:r w:rsidR="00D43F6C" w:rsidRPr="00B56CF7">
        <w:rPr>
          <w:rFonts w:asciiTheme="majorHAnsi" w:hAnsiTheme="majorHAnsi"/>
          <w:sz w:val="20"/>
          <w:szCs w:val="20"/>
          <w:lang w:val="es-VE"/>
        </w:rPr>
        <w:t xml:space="preserve">. </w:t>
      </w:r>
      <w:r w:rsidR="00AA09AD" w:rsidRPr="00B56CF7">
        <w:rPr>
          <w:rFonts w:asciiTheme="majorHAnsi" w:hAnsiTheme="majorHAnsi"/>
          <w:sz w:val="20"/>
          <w:szCs w:val="20"/>
          <w:lang w:val="es-VE"/>
        </w:rPr>
        <w:t>El Tribunal concluyó</w:t>
      </w:r>
      <w:r w:rsidR="00F218B3" w:rsidRPr="00B56CF7">
        <w:rPr>
          <w:rFonts w:asciiTheme="majorHAnsi" w:hAnsiTheme="majorHAnsi"/>
          <w:sz w:val="20"/>
          <w:szCs w:val="20"/>
          <w:lang w:val="es-VE"/>
        </w:rPr>
        <w:t xml:space="preserve"> que “la circunstancia señalada por el letrado mencionado es correcta y por ello su petición tendrá favorable acogida por parte de este Tribunal”</w:t>
      </w:r>
      <w:r w:rsidR="00F218B3" w:rsidRPr="00B56CF7">
        <w:rPr>
          <w:rStyle w:val="FootnoteReference"/>
          <w:rFonts w:asciiTheme="majorHAnsi" w:hAnsiTheme="majorHAnsi"/>
          <w:sz w:val="20"/>
          <w:szCs w:val="20"/>
          <w:lang w:val="es-VE"/>
        </w:rPr>
        <w:footnoteReference w:id="18"/>
      </w:r>
      <w:r w:rsidR="00F218B3" w:rsidRPr="00B56CF7">
        <w:rPr>
          <w:rFonts w:asciiTheme="majorHAnsi" w:hAnsiTheme="majorHAnsi"/>
          <w:sz w:val="20"/>
          <w:szCs w:val="20"/>
          <w:lang w:val="es-VE"/>
        </w:rPr>
        <w:t xml:space="preserve">. </w:t>
      </w:r>
    </w:p>
    <w:p w:rsidR="00D1284F" w:rsidRPr="00B56CF7" w:rsidRDefault="00D1284F" w:rsidP="00D1284F">
      <w:pPr>
        <w:pStyle w:val="ListParagraph"/>
        <w:rPr>
          <w:rFonts w:asciiTheme="majorHAnsi" w:hAnsiTheme="majorHAnsi"/>
          <w:sz w:val="20"/>
          <w:szCs w:val="20"/>
          <w:lang w:val="es-VE"/>
        </w:rPr>
      </w:pPr>
    </w:p>
    <w:p w:rsidR="003E7ECF" w:rsidRPr="00B56CF7" w:rsidRDefault="00651248" w:rsidP="00D1284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hAnsiTheme="majorHAnsi"/>
          <w:sz w:val="20"/>
          <w:szCs w:val="20"/>
          <w:lang w:val="es-VE"/>
        </w:rPr>
        <w:t xml:space="preserve">Asimismo, decidió en el </w:t>
      </w:r>
      <w:proofErr w:type="spellStart"/>
      <w:r w:rsidRPr="00B56CF7">
        <w:rPr>
          <w:rFonts w:asciiTheme="majorHAnsi" w:hAnsiTheme="majorHAnsi"/>
          <w:sz w:val="20"/>
          <w:szCs w:val="20"/>
          <w:lang w:val="es-VE"/>
        </w:rPr>
        <w:t>númeral</w:t>
      </w:r>
      <w:proofErr w:type="spellEnd"/>
      <w:r w:rsidRPr="00B56CF7">
        <w:rPr>
          <w:rFonts w:asciiTheme="majorHAnsi" w:hAnsiTheme="majorHAnsi"/>
          <w:sz w:val="20"/>
          <w:szCs w:val="20"/>
          <w:lang w:val="es-VE"/>
        </w:rPr>
        <w:t xml:space="preserve"> XXVIII</w:t>
      </w:r>
      <w:r w:rsidR="003E7ECF" w:rsidRPr="00B56CF7">
        <w:rPr>
          <w:rFonts w:asciiTheme="majorHAnsi" w:hAnsiTheme="majorHAnsi"/>
          <w:sz w:val="20"/>
          <w:szCs w:val="20"/>
          <w:lang w:val="es-VE"/>
        </w:rPr>
        <w:t>:</w:t>
      </w:r>
    </w:p>
    <w:p w:rsidR="003E7ECF" w:rsidRPr="00B56CF7" w:rsidRDefault="003E7ECF" w:rsidP="00BF559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VE"/>
        </w:rPr>
      </w:pPr>
    </w:p>
    <w:p w:rsidR="00651248" w:rsidRPr="00B56CF7" w:rsidRDefault="00651248"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sz w:val="20"/>
          <w:szCs w:val="20"/>
          <w:bdr w:val="none" w:sz="0" w:space="0" w:color="auto"/>
          <w:lang w:val="es-AR"/>
        </w:rPr>
      </w:pPr>
      <w:r w:rsidRPr="00B56CF7">
        <w:rPr>
          <w:rFonts w:asciiTheme="majorHAnsi" w:hAnsiTheme="majorHAnsi"/>
          <w:sz w:val="20"/>
          <w:szCs w:val="20"/>
          <w:lang w:val="es-VE"/>
        </w:rPr>
        <w:t>EXTRAER testimonios de la presente</w:t>
      </w:r>
      <w:r w:rsidR="00470568" w:rsidRPr="00B56CF7">
        <w:rPr>
          <w:rFonts w:asciiTheme="majorHAnsi" w:hAnsiTheme="majorHAnsi"/>
          <w:sz w:val="20"/>
          <w:szCs w:val="20"/>
          <w:lang w:val="es-VE"/>
        </w:rPr>
        <w:t>,</w:t>
      </w:r>
      <w:r w:rsidRPr="00B56CF7">
        <w:rPr>
          <w:rFonts w:asciiTheme="majorHAnsi" w:hAnsiTheme="majorHAnsi"/>
          <w:sz w:val="20"/>
          <w:szCs w:val="20"/>
          <w:lang w:val="es-VE"/>
        </w:rPr>
        <w:t xml:space="preserve"> de la pertinent</w:t>
      </w:r>
      <w:r w:rsidR="008D29D4" w:rsidRPr="00B56CF7">
        <w:rPr>
          <w:rFonts w:asciiTheme="majorHAnsi" w:hAnsiTheme="majorHAnsi"/>
          <w:sz w:val="20"/>
          <w:szCs w:val="20"/>
          <w:lang w:val="es-VE"/>
        </w:rPr>
        <w:t>e Acta de Debate y de las piezas</w:t>
      </w:r>
      <w:r w:rsidRPr="00B56CF7">
        <w:rPr>
          <w:rFonts w:asciiTheme="majorHAnsi" w:hAnsiTheme="majorHAnsi"/>
          <w:sz w:val="20"/>
          <w:szCs w:val="20"/>
          <w:lang w:val="es-VE"/>
        </w:rPr>
        <w:t xml:space="preserve"> de este legajo que correspondan, para que se investigue la eventual comisión de un delito de acción pública, respecto de las diferencias entre el contenido d</w:t>
      </w:r>
      <w:r w:rsidR="00B25DC3" w:rsidRPr="00B56CF7">
        <w:rPr>
          <w:rFonts w:asciiTheme="majorHAnsi" w:hAnsiTheme="majorHAnsi"/>
          <w:sz w:val="20"/>
          <w:szCs w:val="20"/>
          <w:lang w:val="es-VE"/>
        </w:rPr>
        <w:t>el</w:t>
      </w:r>
      <w:r w:rsidRPr="00B56CF7">
        <w:rPr>
          <w:rFonts w:asciiTheme="majorHAnsi" w:hAnsiTheme="majorHAnsi"/>
          <w:sz w:val="20"/>
          <w:szCs w:val="20"/>
          <w:lang w:val="es-VE"/>
        </w:rPr>
        <w:t xml:space="preserve"> </w:t>
      </w:r>
      <w:proofErr w:type="spellStart"/>
      <w:r w:rsidRPr="00B56CF7">
        <w:rPr>
          <w:rFonts w:asciiTheme="majorHAnsi" w:hAnsiTheme="majorHAnsi"/>
          <w:sz w:val="20"/>
          <w:szCs w:val="20"/>
          <w:lang w:val="es-VE"/>
        </w:rPr>
        <w:t>cassette</w:t>
      </w:r>
      <w:proofErr w:type="spellEnd"/>
      <w:r w:rsidRPr="00B56CF7">
        <w:rPr>
          <w:rFonts w:asciiTheme="majorHAnsi" w:hAnsiTheme="majorHAnsi"/>
          <w:sz w:val="20"/>
          <w:szCs w:val="20"/>
          <w:lang w:val="es-VE"/>
        </w:rPr>
        <w:t xml:space="preserve"> No. 40 del abonado 41-3614 y de la constancia </w:t>
      </w:r>
      <w:proofErr w:type="spellStart"/>
      <w:r w:rsidRPr="00B56CF7">
        <w:rPr>
          <w:rFonts w:asciiTheme="majorHAnsi" w:hAnsiTheme="majorHAnsi"/>
          <w:sz w:val="20"/>
          <w:szCs w:val="20"/>
          <w:lang w:val="es-VE"/>
        </w:rPr>
        <w:t>prevencional</w:t>
      </w:r>
      <w:proofErr w:type="spellEnd"/>
      <w:r w:rsidRPr="00B56CF7">
        <w:rPr>
          <w:rFonts w:asciiTheme="majorHAnsi" w:hAnsiTheme="majorHAnsi"/>
          <w:sz w:val="20"/>
          <w:szCs w:val="20"/>
          <w:lang w:val="es-VE"/>
        </w:rPr>
        <w:t xml:space="preserve"> agregada a fs. 1099, </w:t>
      </w:r>
      <w:r w:rsidR="001E3EFF" w:rsidRPr="00B56CF7">
        <w:rPr>
          <w:rFonts w:asciiTheme="majorHAnsi" w:hAnsiTheme="majorHAnsi"/>
          <w:sz w:val="20"/>
          <w:szCs w:val="20"/>
          <w:lang w:val="es-VE"/>
        </w:rPr>
        <w:t>debido</w:t>
      </w:r>
      <w:r w:rsidR="00F70FB8" w:rsidRPr="00B56CF7">
        <w:rPr>
          <w:rFonts w:asciiTheme="majorHAnsi" w:hAnsiTheme="majorHAnsi"/>
          <w:sz w:val="20"/>
          <w:szCs w:val="20"/>
          <w:lang w:val="es-VE"/>
        </w:rPr>
        <w:t xml:space="preserve"> al planteamiento de la defensa de la presunta víctima según la cual </w:t>
      </w:r>
      <w:r w:rsidRPr="00B56CF7">
        <w:rPr>
          <w:rFonts w:asciiTheme="majorHAnsi" w:hAnsiTheme="majorHAnsi"/>
          <w:sz w:val="20"/>
          <w:szCs w:val="20"/>
          <w:lang w:val="es-VE"/>
        </w:rPr>
        <w:t xml:space="preserve">y que fuera solicitado por el Dr. Marcelo Roberto </w:t>
      </w:r>
      <w:proofErr w:type="spellStart"/>
      <w:r w:rsidRPr="00B56CF7">
        <w:rPr>
          <w:rFonts w:asciiTheme="majorHAnsi" w:hAnsiTheme="majorHAnsi"/>
          <w:sz w:val="20"/>
          <w:szCs w:val="20"/>
          <w:lang w:val="es-VE"/>
        </w:rPr>
        <w:t>Buigo</w:t>
      </w:r>
      <w:proofErr w:type="spellEnd"/>
      <w:r w:rsidRPr="00B56CF7">
        <w:rPr>
          <w:rFonts w:asciiTheme="majorHAnsi" w:hAnsiTheme="majorHAnsi"/>
          <w:sz w:val="20"/>
          <w:szCs w:val="20"/>
          <w:lang w:val="es-VE"/>
        </w:rPr>
        <w:t xml:space="preserve">, y siendo que tal </w:t>
      </w:r>
      <w:r w:rsidR="001C1303" w:rsidRPr="00B56CF7">
        <w:rPr>
          <w:rFonts w:asciiTheme="majorHAnsi" w:hAnsiTheme="majorHAnsi"/>
          <w:sz w:val="20"/>
          <w:szCs w:val="20"/>
          <w:lang w:val="es-VE"/>
        </w:rPr>
        <w:t>circunstancia</w:t>
      </w:r>
      <w:r w:rsidRPr="00B56CF7">
        <w:rPr>
          <w:rFonts w:asciiTheme="majorHAnsi" w:hAnsiTheme="majorHAnsi"/>
          <w:sz w:val="20"/>
          <w:szCs w:val="20"/>
          <w:lang w:val="es-VE"/>
        </w:rPr>
        <w:t xml:space="preserve"> habría sido uti</w:t>
      </w:r>
      <w:r w:rsidR="00470568" w:rsidRPr="00B56CF7">
        <w:rPr>
          <w:rFonts w:asciiTheme="majorHAnsi" w:hAnsiTheme="majorHAnsi"/>
          <w:sz w:val="20"/>
          <w:szCs w:val="20"/>
          <w:lang w:val="es-VE"/>
        </w:rPr>
        <w:t>l</w:t>
      </w:r>
      <w:r w:rsidRPr="00B56CF7">
        <w:rPr>
          <w:rFonts w:asciiTheme="majorHAnsi" w:hAnsiTheme="majorHAnsi"/>
          <w:sz w:val="20"/>
          <w:szCs w:val="20"/>
          <w:lang w:val="es-VE"/>
        </w:rPr>
        <w:t>izado como elemento cargoso por los Sres. Fiscales de grado para formular el pertinente requerimiento de Elevación a Juicio respecto de Gabriel Oscar Jenkins, hágase saber tal anomalía al Sr. Procurador General de la Nación mediante oficio de estilo</w:t>
      </w:r>
      <w:r w:rsidRPr="00B56CF7">
        <w:rPr>
          <w:rFonts w:asciiTheme="majorHAnsi" w:hAnsiTheme="majorHAnsi"/>
          <w:sz w:val="20"/>
          <w:szCs w:val="20"/>
          <w:vertAlign w:val="superscript"/>
        </w:rPr>
        <w:footnoteReference w:id="19"/>
      </w:r>
      <w:r w:rsidRPr="00B56CF7">
        <w:rPr>
          <w:rFonts w:asciiTheme="majorHAnsi" w:hAnsiTheme="majorHAnsi"/>
          <w:sz w:val="20"/>
          <w:szCs w:val="20"/>
          <w:lang w:val="es-VE"/>
        </w:rPr>
        <w:t>.</w:t>
      </w:r>
    </w:p>
    <w:p w:rsidR="009249B2" w:rsidRPr="0062236D" w:rsidRDefault="009249B2" w:rsidP="006860C3">
      <w:pPr>
        <w:jc w:val="both"/>
        <w:rPr>
          <w:rFonts w:asciiTheme="majorHAnsi" w:hAnsiTheme="majorHAnsi"/>
          <w:sz w:val="20"/>
          <w:szCs w:val="20"/>
          <w:lang w:val="es-AR"/>
        </w:rPr>
      </w:pPr>
    </w:p>
    <w:p w:rsidR="009249B2" w:rsidRPr="00B56CF7" w:rsidRDefault="009249B2" w:rsidP="009249B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hAnsiTheme="majorHAnsi"/>
          <w:sz w:val="20"/>
          <w:szCs w:val="20"/>
          <w:lang w:val="es-VE"/>
        </w:rPr>
        <w:t>En virtud de lo anterior</w:t>
      </w:r>
      <w:r w:rsidR="00721EF2">
        <w:rPr>
          <w:rFonts w:asciiTheme="majorHAnsi" w:hAnsiTheme="majorHAnsi"/>
          <w:sz w:val="20"/>
          <w:szCs w:val="20"/>
          <w:lang w:val="es-VE"/>
        </w:rPr>
        <w:t>,</w:t>
      </w:r>
      <w:r w:rsidRPr="00B56CF7">
        <w:rPr>
          <w:rFonts w:asciiTheme="majorHAnsi" w:hAnsiTheme="majorHAnsi"/>
          <w:sz w:val="20"/>
          <w:szCs w:val="20"/>
          <w:lang w:val="es-VE"/>
        </w:rPr>
        <w:t xml:space="preserve"> se inició tanto una investigación penal como</w:t>
      </w:r>
      <w:r w:rsidR="00462F3B" w:rsidRPr="00B56CF7">
        <w:rPr>
          <w:rFonts w:asciiTheme="majorHAnsi" w:hAnsiTheme="majorHAnsi"/>
          <w:sz w:val="20"/>
          <w:szCs w:val="20"/>
          <w:lang w:val="es-VE"/>
        </w:rPr>
        <w:t xml:space="preserve"> una</w:t>
      </w:r>
      <w:r w:rsidRPr="00B56CF7">
        <w:rPr>
          <w:rFonts w:asciiTheme="majorHAnsi" w:hAnsiTheme="majorHAnsi"/>
          <w:sz w:val="20"/>
          <w:szCs w:val="20"/>
          <w:lang w:val="es-VE"/>
        </w:rPr>
        <w:t xml:space="preserve"> administrativa</w:t>
      </w:r>
      <w:r w:rsidR="00721EF2">
        <w:rPr>
          <w:rFonts w:asciiTheme="majorHAnsi" w:hAnsiTheme="majorHAnsi"/>
          <w:sz w:val="20"/>
          <w:szCs w:val="20"/>
          <w:lang w:val="es-VE"/>
        </w:rPr>
        <w:t>,</w:t>
      </w:r>
      <w:r w:rsidRPr="00B56CF7">
        <w:rPr>
          <w:rFonts w:asciiTheme="majorHAnsi" w:hAnsiTheme="majorHAnsi"/>
          <w:sz w:val="20"/>
          <w:szCs w:val="20"/>
          <w:lang w:val="es-VE"/>
        </w:rPr>
        <w:t xml:space="preserve"> para determinar si se incurrió en algún delito </w:t>
      </w:r>
      <w:r w:rsidR="005C5371">
        <w:rPr>
          <w:rFonts w:asciiTheme="majorHAnsi" w:hAnsiTheme="majorHAnsi"/>
          <w:sz w:val="20"/>
          <w:szCs w:val="20"/>
          <w:lang w:val="es-VE"/>
        </w:rPr>
        <w:t>o falta administrativa</w:t>
      </w:r>
      <w:r w:rsidR="002D0F59">
        <w:rPr>
          <w:rFonts w:asciiTheme="majorHAnsi" w:hAnsiTheme="majorHAnsi"/>
          <w:sz w:val="20"/>
          <w:szCs w:val="20"/>
          <w:lang w:val="es-VE"/>
        </w:rPr>
        <w:t xml:space="preserve"> </w:t>
      </w:r>
      <w:r w:rsidRPr="00B56CF7">
        <w:rPr>
          <w:rFonts w:asciiTheme="majorHAnsi" w:hAnsiTheme="majorHAnsi"/>
          <w:sz w:val="20"/>
          <w:szCs w:val="20"/>
          <w:lang w:val="es-VE"/>
        </w:rPr>
        <w:t>en la incorporación de la prueba telefónica y su constancia</w:t>
      </w:r>
      <w:r w:rsidR="00B13C95" w:rsidRPr="00B56CF7">
        <w:rPr>
          <w:rFonts w:asciiTheme="majorHAnsi" w:hAnsiTheme="majorHAnsi"/>
          <w:sz w:val="20"/>
          <w:szCs w:val="20"/>
          <w:lang w:val="es-VE"/>
        </w:rPr>
        <w:t xml:space="preserve">. Los resultados de dichas investigaciones se describen en </w:t>
      </w:r>
      <w:r w:rsidR="00470568" w:rsidRPr="00B56CF7">
        <w:rPr>
          <w:rFonts w:asciiTheme="majorHAnsi" w:hAnsiTheme="majorHAnsi"/>
          <w:sz w:val="20"/>
          <w:szCs w:val="20"/>
          <w:lang w:val="es-VE"/>
        </w:rPr>
        <w:t>el literal</w:t>
      </w:r>
      <w:r w:rsidR="00B13C95" w:rsidRPr="00B56CF7">
        <w:rPr>
          <w:rFonts w:asciiTheme="majorHAnsi" w:hAnsiTheme="majorHAnsi"/>
          <w:sz w:val="20"/>
          <w:szCs w:val="20"/>
          <w:lang w:val="es-VE"/>
        </w:rPr>
        <w:t xml:space="preserve"> C de</w:t>
      </w:r>
      <w:r w:rsidR="00470568" w:rsidRPr="00B56CF7">
        <w:rPr>
          <w:rFonts w:asciiTheme="majorHAnsi" w:hAnsiTheme="majorHAnsi"/>
          <w:sz w:val="20"/>
          <w:szCs w:val="20"/>
          <w:lang w:val="es-VE"/>
        </w:rPr>
        <w:t xml:space="preserve"> la presente secc</w:t>
      </w:r>
      <w:r w:rsidR="003E7ECF" w:rsidRPr="00B56CF7">
        <w:rPr>
          <w:rFonts w:asciiTheme="majorHAnsi" w:hAnsiTheme="majorHAnsi"/>
          <w:sz w:val="20"/>
          <w:szCs w:val="20"/>
          <w:lang w:val="es-VE"/>
        </w:rPr>
        <w:t>i</w:t>
      </w:r>
      <w:r w:rsidR="00470568" w:rsidRPr="00B56CF7">
        <w:rPr>
          <w:rFonts w:asciiTheme="majorHAnsi" w:hAnsiTheme="majorHAnsi"/>
          <w:sz w:val="20"/>
          <w:szCs w:val="20"/>
          <w:lang w:val="es-VE"/>
        </w:rPr>
        <w:t xml:space="preserve">ón </w:t>
      </w:r>
      <w:r w:rsidR="00752A97" w:rsidRPr="00B56CF7">
        <w:rPr>
          <w:rFonts w:asciiTheme="majorHAnsi" w:hAnsiTheme="majorHAnsi"/>
          <w:sz w:val="20"/>
          <w:szCs w:val="20"/>
          <w:lang w:val="es-VE"/>
        </w:rPr>
        <w:t>de hechos probados.</w:t>
      </w:r>
      <w:r w:rsidR="00B13C95" w:rsidRPr="00B56CF7">
        <w:rPr>
          <w:rFonts w:asciiTheme="majorHAnsi" w:hAnsiTheme="majorHAnsi"/>
          <w:sz w:val="20"/>
          <w:szCs w:val="20"/>
          <w:lang w:val="es-VE"/>
        </w:rPr>
        <w:t xml:space="preserve"> </w:t>
      </w:r>
    </w:p>
    <w:p w:rsidR="009249B2" w:rsidRPr="0062236D" w:rsidRDefault="009249B2" w:rsidP="006860C3">
      <w:pPr>
        <w:jc w:val="both"/>
        <w:rPr>
          <w:rFonts w:asciiTheme="majorHAnsi" w:hAnsiTheme="majorHAnsi"/>
          <w:sz w:val="20"/>
          <w:szCs w:val="20"/>
          <w:lang w:val="es-AR"/>
        </w:rPr>
      </w:pPr>
    </w:p>
    <w:p w:rsidR="006860C3" w:rsidRPr="00B56CF7" w:rsidRDefault="006860C3" w:rsidP="006860C3">
      <w:pPr>
        <w:pStyle w:val="Heading2"/>
        <w:numPr>
          <w:ilvl w:val="0"/>
          <w:numId w:val="60"/>
        </w:numPr>
        <w:rPr>
          <w:lang w:val="es-VE"/>
        </w:rPr>
      </w:pPr>
      <w:bookmarkStart w:id="48" w:name="_Toc467577912"/>
      <w:bookmarkStart w:id="49" w:name="_Toc469409086"/>
      <w:r w:rsidRPr="00B56CF7">
        <w:rPr>
          <w:lang w:val="es-VE"/>
        </w:rPr>
        <w:t xml:space="preserve">Recursos intentados por el peticionario para lograr su </w:t>
      </w:r>
      <w:r w:rsidR="00067A21" w:rsidRPr="00B56CF7">
        <w:rPr>
          <w:lang w:val="es-VE"/>
        </w:rPr>
        <w:t>libertad mientras se encontraba en prisión preventiva</w:t>
      </w:r>
      <w:bookmarkEnd w:id="48"/>
      <w:bookmarkEnd w:id="49"/>
    </w:p>
    <w:p w:rsidR="006860C3" w:rsidRPr="00B56CF7" w:rsidRDefault="006860C3" w:rsidP="006860C3">
      <w:pPr>
        <w:jc w:val="both"/>
        <w:rPr>
          <w:rFonts w:asciiTheme="majorHAnsi" w:hAnsiTheme="majorHAnsi"/>
          <w:b/>
          <w:sz w:val="20"/>
          <w:szCs w:val="20"/>
          <w:lang w:val="es-VE"/>
        </w:rPr>
      </w:pPr>
    </w:p>
    <w:p w:rsidR="00164A61" w:rsidRPr="0062236D" w:rsidRDefault="00B25DC3" w:rsidP="00164A6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hAnsiTheme="majorHAnsi"/>
          <w:sz w:val="20"/>
          <w:szCs w:val="20"/>
          <w:lang w:val="es-VE"/>
        </w:rPr>
        <w:t>E</w:t>
      </w:r>
      <w:r w:rsidR="006860C3" w:rsidRPr="00B56CF7">
        <w:rPr>
          <w:rFonts w:asciiTheme="majorHAnsi" w:hAnsiTheme="majorHAnsi"/>
          <w:sz w:val="20"/>
          <w:szCs w:val="20"/>
          <w:lang w:val="es-VE"/>
        </w:rPr>
        <w:t xml:space="preserve">s un hecho no controvertido que el peticionario estuvo </w:t>
      </w:r>
      <w:r w:rsidR="005E3B7F" w:rsidRPr="00B56CF7">
        <w:rPr>
          <w:rFonts w:asciiTheme="majorHAnsi" w:hAnsiTheme="majorHAnsi"/>
          <w:sz w:val="20"/>
          <w:szCs w:val="20"/>
          <w:lang w:val="es-VE"/>
        </w:rPr>
        <w:t xml:space="preserve">privado de libertad en detención preventiva </w:t>
      </w:r>
      <w:r w:rsidR="00AD4156" w:rsidRPr="00B56CF7">
        <w:rPr>
          <w:rFonts w:asciiTheme="majorHAnsi" w:hAnsiTheme="majorHAnsi"/>
          <w:sz w:val="20"/>
          <w:szCs w:val="20"/>
          <w:lang w:val="es-VE"/>
        </w:rPr>
        <w:t>desde el 8 de junio de 1994 h</w:t>
      </w:r>
      <w:r w:rsidR="005C3AF8" w:rsidRPr="00B56CF7">
        <w:rPr>
          <w:rFonts w:asciiTheme="majorHAnsi" w:hAnsiTheme="majorHAnsi"/>
          <w:sz w:val="20"/>
          <w:szCs w:val="20"/>
          <w:lang w:val="es-VE"/>
        </w:rPr>
        <w:t>asta e</w:t>
      </w:r>
      <w:r w:rsidR="004F57FF" w:rsidRPr="00B56CF7">
        <w:rPr>
          <w:rFonts w:asciiTheme="majorHAnsi" w:hAnsiTheme="majorHAnsi"/>
          <w:sz w:val="20"/>
          <w:szCs w:val="20"/>
          <w:lang w:val="es-VE"/>
        </w:rPr>
        <w:t>l 1</w:t>
      </w:r>
      <w:r w:rsidR="005C3AF8" w:rsidRPr="00B56CF7">
        <w:rPr>
          <w:rFonts w:asciiTheme="majorHAnsi" w:hAnsiTheme="majorHAnsi"/>
          <w:sz w:val="20"/>
          <w:szCs w:val="20"/>
          <w:lang w:val="es-VE"/>
        </w:rPr>
        <w:t xml:space="preserve">3 de </w:t>
      </w:r>
      <w:r w:rsidR="004F57FF" w:rsidRPr="00B56CF7">
        <w:rPr>
          <w:rFonts w:asciiTheme="majorHAnsi" w:hAnsiTheme="majorHAnsi"/>
          <w:sz w:val="20"/>
          <w:szCs w:val="20"/>
          <w:lang w:val="es-VE"/>
        </w:rPr>
        <w:t>noviembre</w:t>
      </w:r>
      <w:r w:rsidR="005C3AF8" w:rsidRPr="00B56CF7">
        <w:rPr>
          <w:rFonts w:asciiTheme="majorHAnsi" w:hAnsiTheme="majorHAnsi"/>
          <w:sz w:val="20"/>
          <w:szCs w:val="20"/>
          <w:lang w:val="es-VE"/>
        </w:rPr>
        <w:t xml:space="preserve"> de 1997;</w:t>
      </w:r>
      <w:r w:rsidR="00AD4156" w:rsidRPr="00B56CF7">
        <w:rPr>
          <w:rFonts w:asciiTheme="majorHAnsi" w:hAnsiTheme="majorHAnsi"/>
          <w:sz w:val="20"/>
          <w:szCs w:val="20"/>
          <w:lang w:val="es-VE"/>
        </w:rPr>
        <w:t xml:space="preserve"> es decir por m</w:t>
      </w:r>
      <w:r w:rsidR="004F57FF" w:rsidRPr="00B56CF7">
        <w:rPr>
          <w:rFonts w:asciiTheme="majorHAnsi" w:hAnsiTheme="majorHAnsi"/>
          <w:sz w:val="20"/>
          <w:szCs w:val="20"/>
          <w:lang w:val="es-VE"/>
        </w:rPr>
        <w:t>ás de 3 años y 5</w:t>
      </w:r>
      <w:r w:rsidR="00AD4156" w:rsidRPr="00B56CF7">
        <w:rPr>
          <w:rFonts w:asciiTheme="majorHAnsi" w:hAnsiTheme="majorHAnsi"/>
          <w:sz w:val="20"/>
          <w:szCs w:val="20"/>
          <w:lang w:val="es-VE"/>
        </w:rPr>
        <w:t xml:space="preserve"> meses. </w:t>
      </w:r>
    </w:p>
    <w:p w:rsidR="00164A61" w:rsidRDefault="00164A61" w:rsidP="00164A6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C22A90" w:rsidRPr="00B56CF7" w:rsidRDefault="00C22A90" w:rsidP="00C22A9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eastAsia="Times New Roman" w:hAnsiTheme="majorHAnsi"/>
          <w:sz w:val="20"/>
          <w:szCs w:val="20"/>
          <w:lang w:val="es-ES"/>
        </w:rPr>
        <w:t xml:space="preserve">En el artículo 1 de la ley 24.390 se indicaba que </w:t>
      </w:r>
      <w:r w:rsidRPr="00B56CF7">
        <w:rPr>
          <w:rFonts w:asciiTheme="majorHAnsi" w:hAnsiTheme="majorHAnsi"/>
          <w:sz w:val="20"/>
          <w:szCs w:val="20"/>
          <w:lang w:val="es-VE"/>
        </w:rPr>
        <w:t>“la prisión preventiva no podrá ser superior a dos años. No obstante, cuando la cantidad de los delitos atribuidos al procesado o la evidente complejidad de las causas hayan impedido la finalización del proceso en el plazo indicado, ésta podrá prorrogarse un año más por resolución fundada que deberá comunicarse de inmediato al tribunal de apelación que correspondiese para su debido contralor”</w:t>
      </w:r>
      <w:r w:rsidR="00115414" w:rsidRPr="001C1303">
        <w:rPr>
          <w:rStyle w:val="FootnoteReference"/>
          <w:rFonts w:asciiTheme="majorHAnsi" w:hAnsiTheme="majorHAnsi"/>
          <w:sz w:val="20"/>
          <w:szCs w:val="20"/>
          <w:lang w:val="es-VE"/>
        </w:rPr>
        <w:footnoteReference w:id="20"/>
      </w:r>
      <w:r w:rsidRPr="00B56CF7">
        <w:rPr>
          <w:rFonts w:asciiTheme="majorHAnsi" w:hAnsiTheme="majorHAnsi"/>
          <w:sz w:val="20"/>
          <w:szCs w:val="20"/>
          <w:lang w:val="es-VE"/>
        </w:rPr>
        <w:t>.</w:t>
      </w:r>
    </w:p>
    <w:p w:rsidR="00C22A90" w:rsidRPr="00B56CF7" w:rsidRDefault="00C22A90" w:rsidP="00C22A90">
      <w:pPr>
        <w:pStyle w:val="ListParagraph"/>
        <w:rPr>
          <w:rFonts w:asciiTheme="majorHAnsi" w:hAnsiTheme="majorHAnsi"/>
          <w:sz w:val="20"/>
          <w:szCs w:val="20"/>
          <w:lang w:val="es-VE"/>
        </w:rPr>
      </w:pPr>
    </w:p>
    <w:p w:rsidR="00C22A90" w:rsidRDefault="00C22A90" w:rsidP="00C22A9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No obstante</w:t>
      </w:r>
      <w:r w:rsidR="00932C88">
        <w:rPr>
          <w:rFonts w:asciiTheme="majorHAnsi" w:hAnsiTheme="majorHAnsi"/>
          <w:sz w:val="20"/>
          <w:szCs w:val="20"/>
          <w:lang w:val="es-VE"/>
        </w:rPr>
        <w:t>,</w:t>
      </w:r>
      <w:r w:rsidRPr="00B56CF7">
        <w:rPr>
          <w:rFonts w:asciiTheme="majorHAnsi" w:hAnsiTheme="majorHAnsi"/>
          <w:sz w:val="20"/>
          <w:szCs w:val="20"/>
          <w:lang w:val="es-VE"/>
        </w:rPr>
        <w:t xml:space="preserve"> su artículo 10 expresaba que quedaban “expresamente excluidos de los alcances de la presente ley los imputados por el delito previsto en el artículo 7 de la ley 23.737 y aquellos a quienes resultaren aplicables las agravantes previstas en el artículo 11 de la misma ley</w:t>
      </w:r>
      <w:r w:rsidR="00EE7652">
        <w:rPr>
          <w:rFonts w:asciiTheme="majorHAnsi" w:hAnsiTheme="majorHAnsi"/>
          <w:sz w:val="20"/>
          <w:szCs w:val="20"/>
          <w:lang w:val="es-VE"/>
        </w:rPr>
        <w:t>”</w:t>
      </w:r>
      <w:r w:rsidR="00EE7652" w:rsidRPr="001C1303">
        <w:rPr>
          <w:rStyle w:val="FootnoteReference"/>
          <w:rFonts w:asciiTheme="majorHAnsi" w:hAnsiTheme="majorHAnsi"/>
          <w:sz w:val="20"/>
          <w:szCs w:val="20"/>
          <w:lang w:val="es-VE"/>
        </w:rPr>
        <w:footnoteReference w:id="21"/>
      </w:r>
      <w:r w:rsidRPr="00B56CF7">
        <w:rPr>
          <w:rFonts w:asciiTheme="majorHAnsi" w:hAnsiTheme="majorHAnsi"/>
          <w:sz w:val="20"/>
          <w:szCs w:val="20"/>
          <w:lang w:val="es-VE"/>
        </w:rPr>
        <w:t xml:space="preserve">. </w:t>
      </w:r>
    </w:p>
    <w:p w:rsidR="00CD563B" w:rsidRDefault="00CD563B" w:rsidP="00BB41CF">
      <w:pPr>
        <w:pStyle w:val="ListParagraph"/>
        <w:rPr>
          <w:rFonts w:asciiTheme="majorHAnsi" w:hAnsiTheme="majorHAnsi"/>
          <w:sz w:val="20"/>
          <w:szCs w:val="20"/>
          <w:lang w:val="es-VE"/>
        </w:rPr>
      </w:pPr>
    </w:p>
    <w:p w:rsidR="00CD563B" w:rsidRPr="00B56CF7" w:rsidRDefault="00CD563B" w:rsidP="00CD563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lastRenderedPageBreak/>
        <w:t>A su vez, el artículo 7 indicaba que “será reprimido con reclusión o prisión de tres a doce años y multa de tres mil a cincuenta mil australes el que facilitare, aunque sea a título gratuito, un lugar o elementos, para que se lleve a cabo alguno de los hechos previstos por los artículos anteriores. La misma pena se aplicará al que facilitare un lugar para que concurran personas con el objeto de usar estupefacientes”</w:t>
      </w:r>
      <w:r w:rsidRPr="00B56CF7">
        <w:rPr>
          <w:rStyle w:val="FootnoteReference"/>
          <w:rFonts w:asciiTheme="majorHAnsi" w:hAnsiTheme="majorHAnsi"/>
          <w:sz w:val="20"/>
          <w:szCs w:val="20"/>
          <w:lang w:val="es-VE"/>
        </w:rPr>
        <w:footnoteReference w:id="22"/>
      </w:r>
      <w:r>
        <w:rPr>
          <w:rFonts w:asciiTheme="majorHAnsi" w:hAnsiTheme="majorHAnsi"/>
          <w:sz w:val="20"/>
          <w:szCs w:val="20"/>
          <w:lang w:val="es-VE"/>
        </w:rPr>
        <w:t>.</w:t>
      </w:r>
      <w:r w:rsidRPr="00B56CF7">
        <w:rPr>
          <w:rFonts w:asciiTheme="majorHAnsi" w:hAnsiTheme="majorHAnsi"/>
          <w:sz w:val="20"/>
          <w:szCs w:val="20"/>
          <w:lang w:val="es-VE"/>
        </w:rPr>
        <w:t xml:space="preserve"> </w:t>
      </w:r>
    </w:p>
    <w:p w:rsidR="00CD563B" w:rsidRPr="00B56CF7" w:rsidRDefault="00CD563B" w:rsidP="00CD563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CD563B" w:rsidRPr="00B56CF7" w:rsidRDefault="00CD563B" w:rsidP="00CD563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Los artículos a los que se refiere el artículo 7 que se indicó en el párrafo anterior, contienen tipos penales que sancionan actividades relacionadas con drogas.</w:t>
      </w:r>
    </w:p>
    <w:p w:rsidR="00355242" w:rsidRDefault="00355242" w:rsidP="00164A6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E15153" w:rsidRPr="00B56CF7" w:rsidRDefault="00AD4156" w:rsidP="0062236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Durante el tiempo en que el peticionario estuvo detenido,</w:t>
      </w:r>
      <w:r w:rsidR="00E15153" w:rsidRPr="00B56CF7">
        <w:rPr>
          <w:rFonts w:asciiTheme="majorHAnsi" w:hAnsiTheme="majorHAnsi"/>
          <w:sz w:val="20"/>
          <w:szCs w:val="20"/>
          <w:lang w:val="es-VE"/>
        </w:rPr>
        <w:t xml:space="preserve"> planteó diversos recursos para</w:t>
      </w:r>
      <w:r w:rsidRPr="00B56CF7">
        <w:rPr>
          <w:rFonts w:asciiTheme="majorHAnsi" w:hAnsiTheme="majorHAnsi"/>
          <w:sz w:val="20"/>
          <w:szCs w:val="20"/>
          <w:lang w:val="es-VE"/>
        </w:rPr>
        <w:t xml:space="preserve"> obtener su excarcelac</w:t>
      </w:r>
      <w:r w:rsidR="00B13C95" w:rsidRPr="00B56CF7">
        <w:rPr>
          <w:rFonts w:asciiTheme="majorHAnsi" w:hAnsiTheme="majorHAnsi"/>
          <w:sz w:val="20"/>
          <w:szCs w:val="20"/>
          <w:lang w:val="es-VE"/>
        </w:rPr>
        <w:t xml:space="preserve">ión, sin embargo dicho beneficio le fue denegado </w:t>
      </w:r>
      <w:r w:rsidRPr="00B56CF7">
        <w:rPr>
          <w:rFonts w:asciiTheme="majorHAnsi" w:hAnsiTheme="majorHAnsi"/>
          <w:sz w:val="20"/>
          <w:szCs w:val="20"/>
          <w:lang w:val="es-VE"/>
        </w:rPr>
        <w:t xml:space="preserve">en </w:t>
      </w:r>
      <w:r w:rsidR="00B8292C" w:rsidRPr="00B56CF7">
        <w:rPr>
          <w:rFonts w:asciiTheme="majorHAnsi" w:hAnsiTheme="majorHAnsi"/>
          <w:sz w:val="20"/>
          <w:szCs w:val="20"/>
          <w:lang w:val="es-VE"/>
        </w:rPr>
        <w:t>aplicación d</w:t>
      </w:r>
      <w:r w:rsidR="005C3AF8" w:rsidRPr="00B56CF7">
        <w:rPr>
          <w:rFonts w:asciiTheme="majorHAnsi" w:hAnsiTheme="majorHAnsi"/>
          <w:sz w:val="20"/>
          <w:szCs w:val="20"/>
          <w:lang w:val="es-VE"/>
        </w:rPr>
        <w:t xml:space="preserve">el artículo 10 de la ley 24.390 </w:t>
      </w:r>
      <w:r w:rsidR="001338D3" w:rsidRPr="00B56CF7">
        <w:rPr>
          <w:rFonts w:asciiTheme="majorHAnsi" w:hAnsiTheme="majorHAnsi"/>
          <w:sz w:val="20"/>
          <w:szCs w:val="20"/>
          <w:lang w:val="es-VE"/>
        </w:rPr>
        <w:t xml:space="preserve">que establecía que no </w:t>
      </w:r>
      <w:r w:rsidR="008B2B80" w:rsidRPr="00B56CF7">
        <w:rPr>
          <w:rFonts w:asciiTheme="majorHAnsi" w:hAnsiTheme="majorHAnsi"/>
          <w:sz w:val="20"/>
          <w:szCs w:val="20"/>
          <w:lang w:val="es-VE"/>
        </w:rPr>
        <w:t xml:space="preserve">era procedente respecto de </w:t>
      </w:r>
      <w:r w:rsidR="005C3AF8" w:rsidRPr="00B56CF7">
        <w:rPr>
          <w:rFonts w:asciiTheme="majorHAnsi" w:hAnsiTheme="majorHAnsi"/>
          <w:sz w:val="20"/>
          <w:szCs w:val="20"/>
          <w:lang w:val="es-VE"/>
        </w:rPr>
        <w:t>las personas procesadas por delitos relacionados con</w:t>
      </w:r>
      <w:r w:rsidR="00AC10EC" w:rsidRPr="00B56CF7">
        <w:rPr>
          <w:rFonts w:asciiTheme="majorHAnsi" w:hAnsiTheme="majorHAnsi"/>
          <w:sz w:val="20"/>
          <w:szCs w:val="20"/>
          <w:lang w:val="es-VE"/>
        </w:rPr>
        <w:t xml:space="preserve"> narcotráfico, incluyendo la tenencia de estupefacientes,</w:t>
      </w:r>
      <w:r w:rsidR="00EC2CD7" w:rsidRPr="00B56CF7">
        <w:rPr>
          <w:rFonts w:asciiTheme="majorHAnsi" w:hAnsiTheme="majorHAnsi"/>
          <w:sz w:val="20"/>
          <w:szCs w:val="20"/>
          <w:lang w:val="es-VE"/>
        </w:rPr>
        <w:t xml:space="preserve"> uno</w:t>
      </w:r>
      <w:r w:rsidR="00AC10EC" w:rsidRPr="00B56CF7">
        <w:rPr>
          <w:rFonts w:asciiTheme="majorHAnsi" w:hAnsiTheme="majorHAnsi"/>
          <w:sz w:val="20"/>
          <w:szCs w:val="20"/>
          <w:lang w:val="es-VE"/>
        </w:rPr>
        <w:t xml:space="preserve"> de los delitos por los cuales estaba procesado el señor Jenkins</w:t>
      </w:r>
      <w:r w:rsidR="005C3AF8" w:rsidRPr="00B56CF7">
        <w:rPr>
          <w:rFonts w:asciiTheme="majorHAnsi" w:hAnsiTheme="majorHAnsi"/>
          <w:sz w:val="20"/>
          <w:szCs w:val="20"/>
          <w:lang w:val="es-VE"/>
        </w:rPr>
        <w:t xml:space="preserve">. </w:t>
      </w:r>
      <w:r w:rsidR="00E15153" w:rsidRPr="00B56CF7">
        <w:rPr>
          <w:rFonts w:asciiTheme="majorHAnsi" w:hAnsiTheme="majorHAnsi"/>
          <w:sz w:val="20"/>
          <w:szCs w:val="20"/>
          <w:lang w:val="es-VE"/>
        </w:rPr>
        <w:t xml:space="preserve">A continuación se </w:t>
      </w:r>
      <w:r w:rsidR="00FD7769" w:rsidRPr="00B56CF7">
        <w:rPr>
          <w:rFonts w:asciiTheme="majorHAnsi" w:hAnsiTheme="majorHAnsi"/>
          <w:sz w:val="20"/>
          <w:szCs w:val="20"/>
          <w:lang w:val="es-VE"/>
        </w:rPr>
        <w:t xml:space="preserve">describen </w:t>
      </w:r>
      <w:r w:rsidR="00E15153" w:rsidRPr="00B56CF7">
        <w:rPr>
          <w:rFonts w:asciiTheme="majorHAnsi" w:hAnsiTheme="majorHAnsi"/>
          <w:sz w:val="20"/>
          <w:szCs w:val="20"/>
          <w:lang w:val="es-VE"/>
        </w:rPr>
        <w:t xml:space="preserve">las principales acciones intentadas por el peticionario para lograr su excarcelación. </w:t>
      </w:r>
    </w:p>
    <w:p w:rsidR="00E931CF" w:rsidRPr="00B56CF7" w:rsidRDefault="00E931CF" w:rsidP="00E931CF">
      <w:pPr>
        <w:jc w:val="both"/>
        <w:rPr>
          <w:rFonts w:asciiTheme="majorHAnsi" w:hAnsiTheme="majorHAnsi"/>
          <w:b/>
          <w:sz w:val="20"/>
          <w:szCs w:val="20"/>
          <w:lang w:val="es-VE"/>
        </w:rPr>
      </w:pPr>
    </w:p>
    <w:p w:rsidR="00E931CF" w:rsidRPr="00C12F43" w:rsidRDefault="00E931CF" w:rsidP="00C12F43">
      <w:pPr>
        <w:pStyle w:val="Heading3"/>
        <w:numPr>
          <w:ilvl w:val="0"/>
          <w:numId w:val="73"/>
        </w:numPr>
        <w:ind w:firstLine="0"/>
        <w:rPr>
          <w:color w:val="auto"/>
          <w:sz w:val="20"/>
          <w:szCs w:val="20"/>
          <w:lang w:val="es-VE"/>
        </w:rPr>
      </w:pPr>
      <w:bookmarkStart w:id="50" w:name="_Toc469409087"/>
      <w:r w:rsidRPr="00C12F43">
        <w:rPr>
          <w:color w:val="auto"/>
          <w:sz w:val="20"/>
          <w:szCs w:val="20"/>
          <w:lang w:val="es-VE"/>
        </w:rPr>
        <w:t>Queja ante el Defensor del Pueblo de la Ciudad de Buenos Aires</w:t>
      </w:r>
      <w:bookmarkEnd w:id="50"/>
      <w:r w:rsidRPr="00C12F43">
        <w:rPr>
          <w:color w:val="auto"/>
          <w:sz w:val="20"/>
          <w:szCs w:val="20"/>
          <w:lang w:val="es-VE"/>
        </w:rPr>
        <w:t xml:space="preserve"> </w:t>
      </w:r>
    </w:p>
    <w:p w:rsidR="00E931CF" w:rsidRPr="00B56CF7" w:rsidRDefault="00E931CF" w:rsidP="00E931CF">
      <w:pPr>
        <w:jc w:val="both"/>
        <w:rPr>
          <w:rFonts w:asciiTheme="majorHAnsi" w:hAnsiTheme="majorHAnsi"/>
          <w:b/>
          <w:sz w:val="20"/>
          <w:szCs w:val="20"/>
          <w:lang w:val="es-VE"/>
        </w:rPr>
      </w:pPr>
    </w:p>
    <w:p w:rsidR="00B80B1E" w:rsidRPr="00B56CF7" w:rsidRDefault="00E931CF" w:rsidP="00E931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Según consta en el expediente</w:t>
      </w:r>
      <w:r w:rsidR="00B80B1E" w:rsidRPr="00B56CF7">
        <w:rPr>
          <w:rFonts w:asciiTheme="majorHAnsi" w:hAnsiTheme="majorHAnsi"/>
          <w:sz w:val="20"/>
          <w:szCs w:val="20"/>
          <w:lang w:val="es-VE"/>
        </w:rPr>
        <w:t>,</w:t>
      </w:r>
      <w:r w:rsidRPr="00B56CF7">
        <w:rPr>
          <w:rFonts w:asciiTheme="majorHAnsi" w:hAnsiTheme="majorHAnsi"/>
          <w:sz w:val="20"/>
          <w:szCs w:val="20"/>
          <w:lang w:val="es-VE"/>
        </w:rPr>
        <w:t xml:space="preserve"> </w:t>
      </w:r>
      <w:r w:rsidR="00B80B1E" w:rsidRPr="00B56CF7">
        <w:rPr>
          <w:rFonts w:asciiTheme="majorHAnsi" w:hAnsiTheme="majorHAnsi"/>
          <w:sz w:val="20"/>
          <w:szCs w:val="20"/>
          <w:lang w:val="es-VE"/>
        </w:rPr>
        <w:t xml:space="preserve">Leticia </w:t>
      </w:r>
      <w:proofErr w:type="spellStart"/>
      <w:r w:rsidR="00B80B1E" w:rsidRPr="00B56CF7">
        <w:rPr>
          <w:rFonts w:asciiTheme="majorHAnsi" w:hAnsiTheme="majorHAnsi"/>
          <w:sz w:val="20"/>
          <w:szCs w:val="20"/>
          <w:lang w:val="es-VE"/>
        </w:rPr>
        <w:t>Pironelli</w:t>
      </w:r>
      <w:proofErr w:type="spellEnd"/>
      <w:r w:rsidR="00B80B1E" w:rsidRPr="00B56CF7">
        <w:rPr>
          <w:rFonts w:asciiTheme="majorHAnsi" w:hAnsiTheme="majorHAnsi"/>
          <w:sz w:val="20"/>
          <w:szCs w:val="20"/>
          <w:lang w:val="es-VE"/>
        </w:rPr>
        <w:t xml:space="preserve">, esposa del peticionario, presentó una queja ante el Defensor del Pueblo </w:t>
      </w:r>
      <w:r w:rsidRPr="00B56CF7">
        <w:rPr>
          <w:rFonts w:asciiTheme="majorHAnsi" w:hAnsiTheme="majorHAnsi"/>
          <w:sz w:val="20"/>
          <w:szCs w:val="20"/>
          <w:lang w:val="es-VE"/>
        </w:rPr>
        <w:t>de la Ciudad de Buenos Aires</w:t>
      </w:r>
      <w:r w:rsidR="00EB7027">
        <w:rPr>
          <w:rFonts w:asciiTheme="majorHAnsi" w:hAnsiTheme="majorHAnsi"/>
          <w:sz w:val="20"/>
          <w:szCs w:val="20"/>
          <w:lang w:val="es-VE"/>
        </w:rPr>
        <w:t>,</w:t>
      </w:r>
      <w:r w:rsidRPr="00B56CF7">
        <w:rPr>
          <w:rFonts w:asciiTheme="majorHAnsi" w:hAnsiTheme="majorHAnsi"/>
          <w:sz w:val="20"/>
          <w:szCs w:val="20"/>
          <w:lang w:val="es-VE"/>
        </w:rPr>
        <w:t xml:space="preserve"> por la “prolongada detención de su esposo, procesado en la causa No. 73 del registro del Tribunal Oral en lo Criminal Federal no. 6 de esta ciudad</w:t>
      </w:r>
      <w:r w:rsidR="00B80B1E" w:rsidRPr="00B56CF7">
        <w:rPr>
          <w:rFonts w:asciiTheme="majorHAnsi" w:hAnsiTheme="majorHAnsi"/>
          <w:sz w:val="20"/>
          <w:szCs w:val="20"/>
          <w:lang w:val="es-VE"/>
        </w:rPr>
        <w:t>”</w:t>
      </w:r>
      <w:r w:rsidR="00B80B1E" w:rsidRPr="00B56CF7">
        <w:rPr>
          <w:rStyle w:val="FootnoteReference"/>
          <w:rFonts w:asciiTheme="majorHAnsi" w:hAnsiTheme="majorHAnsi"/>
          <w:sz w:val="20"/>
          <w:szCs w:val="20"/>
          <w:lang w:val="es-VE"/>
        </w:rPr>
        <w:footnoteReference w:id="23"/>
      </w:r>
      <w:r w:rsidRPr="00B56CF7">
        <w:rPr>
          <w:rFonts w:asciiTheme="majorHAnsi" w:hAnsiTheme="majorHAnsi"/>
          <w:sz w:val="20"/>
          <w:szCs w:val="20"/>
          <w:lang w:val="es-VE"/>
        </w:rPr>
        <w:t xml:space="preserve">. </w:t>
      </w:r>
    </w:p>
    <w:p w:rsidR="00B80B1E" w:rsidRPr="00B56CF7" w:rsidRDefault="00B80B1E" w:rsidP="00B80B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B80B1E" w:rsidRPr="00B56CF7" w:rsidRDefault="00E931CF" w:rsidP="00C7081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El 23 de junio de 1997 el Defensor del Pueblo de la Ciudad de Buenos Aires</w:t>
      </w:r>
      <w:r w:rsidR="00472C8A" w:rsidRPr="00B56CF7">
        <w:rPr>
          <w:rFonts w:asciiTheme="majorHAnsi" w:hAnsiTheme="majorHAnsi"/>
          <w:sz w:val="20"/>
          <w:szCs w:val="20"/>
          <w:lang w:val="es-VE"/>
        </w:rPr>
        <w:t xml:space="preserve"> emitió su resolución respecto de la queja </w:t>
      </w:r>
      <w:r w:rsidR="00692E60" w:rsidRPr="00B56CF7">
        <w:rPr>
          <w:rFonts w:asciiTheme="majorHAnsi" w:hAnsiTheme="majorHAnsi"/>
          <w:sz w:val="20"/>
          <w:szCs w:val="20"/>
          <w:lang w:val="es-VE"/>
        </w:rPr>
        <w:t xml:space="preserve">en la que decidió entre otras cosas </w:t>
      </w:r>
      <w:r w:rsidRPr="00B56CF7">
        <w:rPr>
          <w:rFonts w:asciiTheme="majorHAnsi" w:hAnsiTheme="majorHAnsi"/>
          <w:sz w:val="20"/>
          <w:szCs w:val="20"/>
          <w:lang w:val="es-VE"/>
        </w:rPr>
        <w:t>“exhortar al Tribunal Oral en lo Criminal Federal no. 6 de la Capital Federal a disponer la soltura, bajo la caución que se estime oportuna, de GABRIEL OSCAR JENKINS y de quienes como él no haya podido juzgar dentro de un plazo razonable, poniendo fin así a su actual privación de libertad en condiciones de hacinamiento inhumano en un establecimiento carcelario edificado inicialmente para alojar a contraventores o a personas sometidas a un proceso legal de duración razonable”</w:t>
      </w:r>
      <w:r w:rsidRPr="00B56CF7">
        <w:rPr>
          <w:rStyle w:val="FootnoteReference"/>
          <w:rFonts w:asciiTheme="majorHAnsi" w:hAnsiTheme="majorHAnsi"/>
          <w:sz w:val="20"/>
          <w:szCs w:val="20"/>
          <w:lang w:val="es-VE"/>
        </w:rPr>
        <w:footnoteReference w:id="24"/>
      </w:r>
      <w:r w:rsidRPr="00B56CF7">
        <w:rPr>
          <w:rFonts w:asciiTheme="majorHAnsi" w:hAnsiTheme="majorHAnsi"/>
          <w:sz w:val="20"/>
          <w:szCs w:val="20"/>
          <w:lang w:val="es-VE"/>
        </w:rPr>
        <w:t xml:space="preserve">. </w:t>
      </w:r>
    </w:p>
    <w:p w:rsidR="00692E60" w:rsidRPr="00B56CF7" w:rsidRDefault="00692E60" w:rsidP="00692E60">
      <w:pPr>
        <w:pStyle w:val="ListParagraph"/>
        <w:rPr>
          <w:rFonts w:asciiTheme="majorHAnsi" w:hAnsiTheme="majorHAnsi"/>
          <w:sz w:val="20"/>
          <w:szCs w:val="20"/>
          <w:lang w:val="es-VE"/>
        </w:rPr>
      </w:pPr>
    </w:p>
    <w:p w:rsidR="00692E60" w:rsidRPr="00B56CF7" w:rsidRDefault="00962B4C" w:rsidP="00C7081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En dicha resolución se indicó</w:t>
      </w:r>
      <w:r w:rsidR="00692E60" w:rsidRPr="00B56CF7">
        <w:rPr>
          <w:rFonts w:asciiTheme="majorHAnsi" w:hAnsiTheme="majorHAnsi"/>
          <w:sz w:val="20"/>
          <w:szCs w:val="20"/>
          <w:lang w:val="es-VE"/>
        </w:rPr>
        <w:t xml:space="preserve"> que se realizó una inspección en la cárce</w:t>
      </w:r>
      <w:r w:rsidR="00111D6D" w:rsidRPr="00B56CF7">
        <w:rPr>
          <w:rFonts w:asciiTheme="majorHAnsi" w:hAnsiTheme="majorHAnsi"/>
          <w:sz w:val="20"/>
          <w:szCs w:val="20"/>
          <w:lang w:val="es-VE"/>
        </w:rPr>
        <w:t>l</w:t>
      </w:r>
      <w:r w:rsidR="00692E60" w:rsidRPr="00B56CF7">
        <w:rPr>
          <w:rFonts w:asciiTheme="majorHAnsi" w:hAnsiTheme="majorHAnsi"/>
          <w:sz w:val="20"/>
          <w:szCs w:val="20"/>
          <w:lang w:val="es-VE"/>
        </w:rPr>
        <w:t xml:space="preserve"> de Devoto, donde se encontraba detenido Gabriel Jenkins y se verific</w:t>
      </w:r>
      <w:r w:rsidR="00630F51" w:rsidRPr="00B56CF7">
        <w:rPr>
          <w:rFonts w:asciiTheme="majorHAnsi" w:hAnsiTheme="majorHAnsi"/>
          <w:sz w:val="20"/>
          <w:szCs w:val="20"/>
          <w:lang w:val="es-VE"/>
        </w:rPr>
        <w:t>aron</w:t>
      </w:r>
      <w:r w:rsidR="00692E60" w:rsidRPr="00B56CF7">
        <w:rPr>
          <w:rFonts w:asciiTheme="majorHAnsi" w:hAnsiTheme="majorHAnsi"/>
          <w:sz w:val="20"/>
          <w:szCs w:val="20"/>
          <w:lang w:val="es-VE"/>
        </w:rPr>
        <w:t xml:space="preserve"> “sus pésimas condiciones de infraestructura y el hacinamiento al que son sometidas las personas en él alojadas”</w:t>
      </w:r>
      <w:r w:rsidR="00111D6D" w:rsidRPr="00B56CF7">
        <w:rPr>
          <w:rStyle w:val="FootnoteReference"/>
          <w:rFonts w:asciiTheme="majorHAnsi" w:hAnsiTheme="majorHAnsi"/>
          <w:sz w:val="20"/>
          <w:szCs w:val="20"/>
          <w:lang w:val="es-VE"/>
        </w:rPr>
        <w:t xml:space="preserve"> </w:t>
      </w:r>
      <w:r w:rsidR="00111D6D" w:rsidRPr="00B56CF7">
        <w:rPr>
          <w:rStyle w:val="FootnoteReference"/>
          <w:rFonts w:asciiTheme="majorHAnsi" w:hAnsiTheme="majorHAnsi"/>
          <w:sz w:val="20"/>
          <w:szCs w:val="20"/>
          <w:lang w:val="es-VE"/>
        </w:rPr>
        <w:footnoteReference w:id="25"/>
      </w:r>
      <w:r w:rsidR="00111D6D" w:rsidRPr="00B56CF7">
        <w:rPr>
          <w:rFonts w:asciiTheme="majorHAnsi" w:hAnsiTheme="majorHAnsi"/>
          <w:sz w:val="20"/>
          <w:szCs w:val="20"/>
          <w:lang w:val="es-VE"/>
        </w:rPr>
        <w:t>.</w:t>
      </w:r>
      <w:r w:rsidRPr="00B56CF7">
        <w:rPr>
          <w:rFonts w:asciiTheme="majorHAnsi" w:hAnsiTheme="majorHAnsi"/>
          <w:sz w:val="20"/>
          <w:szCs w:val="20"/>
          <w:lang w:val="es-VE"/>
        </w:rPr>
        <w:t xml:space="preserve"> </w:t>
      </w:r>
      <w:r w:rsidR="00111D6D" w:rsidRPr="00B56CF7">
        <w:rPr>
          <w:rFonts w:asciiTheme="majorHAnsi" w:hAnsiTheme="majorHAnsi"/>
          <w:sz w:val="20"/>
          <w:szCs w:val="20"/>
          <w:lang w:val="es-VE"/>
        </w:rPr>
        <w:t xml:space="preserve">En la resolución se concluyó que en el caso bajo estudio no se han respetado las normas procesales y </w:t>
      </w:r>
      <w:r w:rsidR="00630F51" w:rsidRPr="00B56CF7">
        <w:rPr>
          <w:rFonts w:asciiTheme="majorHAnsi" w:hAnsiTheme="majorHAnsi"/>
          <w:sz w:val="20"/>
          <w:szCs w:val="20"/>
          <w:lang w:val="es-VE"/>
        </w:rPr>
        <w:t xml:space="preserve">que el señor </w:t>
      </w:r>
      <w:r w:rsidR="00111D6D" w:rsidRPr="00B56CF7">
        <w:rPr>
          <w:rFonts w:asciiTheme="majorHAnsi" w:hAnsiTheme="majorHAnsi"/>
          <w:sz w:val="20"/>
          <w:szCs w:val="20"/>
          <w:lang w:val="es-VE"/>
        </w:rPr>
        <w:t xml:space="preserve"> Jenkins debió haber sido liberado en cumplimiento de la Convención Americana y las normas procesales argentinas</w:t>
      </w:r>
      <w:r w:rsidR="00111D6D" w:rsidRPr="00B56CF7">
        <w:rPr>
          <w:rStyle w:val="FootnoteReference"/>
          <w:rFonts w:asciiTheme="majorHAnsi" w:hAnsiTheme="majorHAnsi"/>
          <w:sz w:val="20"/>
          <w:szCs w:val="20"/>
          <w:lang w:val="es-VE"/>
        </w:rPr>
        <w:footnoteReference w:id="26"/>
      </w:r>
      <w:r w:rsidR="00111D6D" w:rsidRPr="00B56CF7">
        <w:rPr>
          <w:rFonts w:asciiTheme="majorHAnsi" w:hAnsiTheme="majorHAnsi"/>
          <w:sz w:val="20"/>
          <w:szCs w:val="20"/>
          <w:lang w:val="es-VE"/>
        </w:rPr>
        <w:t xml:space="preserve">. </w:t>
      </w:r>
    </w:p>
    <w:p w:rsidR="00692E60" w:rsidRPr="00B56CF7" w:rsidRDefault="00692E60" w:rsidP="00692E60">
      <w:pPr>
        <w:pStyle w:val="ListParagraph"/>
        <w:rPr>
          <w:rFonts w:asciiTheme="majorHAnsi" w:hAnsiTheme="majorHAnsi"/>
          <w:sz w:val="20"/>
          <w:szCs w:val="20"/>
          <w:lang w:val="es-VE"/>
        </w:rPr>
      </w:pPr>
    </w:p>
    <w:p w:rsidR="00280702" w:rsidRPr="00B56CF7" w:rsidRDefault="00692E60" w:rsidP="0028070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Durante el trámite de la queja</w:t>
      </w:r>
      <w:r w:rsidR="006A34DF" w:rsidRPr="00B56CF7">
        <w:rPr>
          <w:rFonts w:asciiTheme="majorHAnsi" w:hAnsiTheme="majorHAnsi"/>
          <w:sz w:val="20"/>
          <w:szCs w:val="20"/>
          <w:lang w:val="es-VE"/>
        </w:rPr>
        <w:t>,</w:t>
      </w:r>
      <w:r w:rsidRPr="00B56CF7">
        <w:rPr>
          <w:rFonts w:asciiTheme="majorHAnsi" w:hAnsiTheme="majorHAnsi"/>
          <w:sz w:val="20"/>
          <w:szCs w:val="20"/>
          <w:lang w:val="es-VE"/>
        </w:rPr>
        <w:t xml:space="preserve"> </w:t>
      </w:r>
      <w:r w:rsidR="00111D6D" w:rsidRPr="00B56CF7">
        <w:rPr>
          <w:rFonts w:asciiTheme="majorHAnsi" w:hAnsiTheme="majorHAnsi"/>
          <w:sz w:val="20"/>
          <w:szCs w:val="20"/>
          <w:lang w:val="es-VE"/>
        </w:rPr>
        <w:t xml:space="preserve">el </w:t>
      </w:r>
      <w:r w:rsidR="00425F29" w:rsidRPr="00B56CF7">
        <w:rPr>
          <w:rFonts w:asciiTheme="majorHAnsi" w:hAnsiTheme="majorHAnsi"/>
          <w:sz w:val="20"/>
          <w:szCs w:val="20"/>
          <w:lang w:val="es-VE"/>
        </w:rPr>
        <w:t xml:space="preserve">Defensor del Pueblo solicitó información al </w:t>
      </w:r>
      <w:r w:rsidR="00111D6D" w:rsidRPr="00B56CF7">
        <w:rPr>
          <w:rFonts w:asciiTheme="majorHAnsi" w:hAnsiTheme="majorHAnsi"/>
          <w:sz w:val="20"/>
          <w:szCs w:val="20"/>
          <w:lang w:val="es-VE"/>
        </w:rPr>
        <w:t>Tribunal a cargo del proceso en contra de la presunta víctima</w:t>
      </w:r>
      <w:r w:rsidR="00425F29" w:rsidRPr="00B56CF7">
        <w:rPr>
          <w:rFonts w:asciiTheme="majorHAnsi" w:hAnsiTheme="majorHAnsi"/>
          <w:sz w:val="20"/>
          <w:szCs w:val="20"/>
          <w:lang w:val="es-VE"/>
        </w:rPr>
        <w:t>. Dicho Tribunal</w:t>
      </w:r>
      <w:r w:rsidR="00111D6D" w:rsidRPr="00B56CF7">
        <w:rPr>
          <w:rFonts w:asciiTheme="majorHAnsi" w:hAnsiTheme="majorHAnsi"/>
          <w:sz w:val="20"/>
          <w:szCs w:val="20"/>
          <w:lang w:val="es-VE"/>
        </w:rPr>
        <w:t xml:space="preserve"> omitió pronunciarse respecto de los méritos de la </w:t>
      </w:r>
      <w:r w:rsidR="00360076" w:rsidRPr="00B56CF7">
        <w:rPr>
          <w:rFonts w:asciiTheme="majorHAnsi" w:hAnsiTheme="majorHAnsi"/>
          <w:sz w:val="20"/>
          <w:szCs w:val="20"/>
          <w:lang w:val="es-VE"/>
        </w:rPr>
        <w:t>solicitud</w:t>
      </w:r>
      <w:r w:rsidR="00425F29" w:rsidRPr="00B56CF7">
        <w:rPr>
          <w:rFonts w:asciiTheme="majorHAnsi" w:hAnsiTheme="majorHAnsi"/>
          <w:sz w:val="20"/>
          <w:szCs w:val="20"/>
          <w:lang w:val="es-VE"/>
        </w:rPr>
        <w:t>, limitándose a señalar la falta de competencia del Defensor del Pueblo para requerir</w:t>
      </w:r>
      <w:r w:rsidR="00E531A1" w:rsidRPr="00B56CF7">
        <w:rPr>
          <w:rFonts w:asciiTheme="majorHAnsi" w:hAnsiTheme="majorHAnsi"/>
          <w:sz w:val="20"/>
          <w:szCs w:val="20"/>
          <w:lang w:val="es-VE"/>
        </w:rPr>
        <w:t xml:space="preserve"> tal</w:t>
      </w:r>
      <w:r w:rsidR="00425F29" w:rsidRPr="00B56CF7">
        <w:rPr>
          <w:rFonts w:asciiTheme="majorHAnsi" w:hAnsiTheme="majorHAnsi"/>
          <w:sz w:val="20"/>
          <w:szCs w:val="20"/>
          <w:lang w:val="es-VE"/>
        </w:rPr>
        <w:t xml:space="preserve"> información</w:t>
      </w:r>
      <w:r w:rsidR="00425F29" w:rsidRPr="00B56CF7">
        <w:rPr>
          <w:rStyle w:val="FootnoteReference"/>
          <w:rFonts w:asciiTheme="majorHAnsi" w:hAnsiTheme="majorHAnsi"/>
          <w:sz w:val="20"/>
          <w:szCs w:val="20"/>
          <w:lang w:val="es-VE"/>
        </w:rPr>
        <w:footnoteReference w:id="27"/>
      </w:r>
      <w:r w:rsidR="00425F29" w:rsidRPr="00B56CF7">
        <w:rPr>
          <w:rFonts w:asciiTheme="majorHAnsi" w:hAnsiTheme="majorHAnsi"/>
          <w:sz w:val="20"/>
          <w:szCs w:val="20"/>
          <w:lang w:val="es-VE"/>
        </w:rPr>
        <w:t>.</w:t>
      </w:r>
    </w:p>
    <w:p w:rsidR="00280702" w:rsidRPr="00B56CF7" w:rsidRDefault="00280702" w:rsidP="00280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6860C3" w:rsidRPr="00C12F43" w:rsidRDefault="006860C3" w:rsidP="00C12F43">
      <w:pPr>
        <w:pStyle w:val="Heading3"/>
        <w:numPr>
          <w:ilvl w:val="0"/>
          <w:numId w:val="73"/>
        </w:numPr>
        <w:ind w:firstLine="0"/>
        <w:rPr>
          <w:color w:val="auto"/>
          <w:sz w:val="20"/>
          <w:szCs w:val="20"/>
          <w:lang w:val="es-VE"/>
        </w:rPr>
      </w:pPr>
      <w:bookmarkStart w:id="51" w:name="_Toc469409088"/>
      <w:r w:rsidRPr="00C12F43">
        <w:rPr>
          <w:color w:val="auto"/>
          <w:sz w:val="20"/>
          <w:szCs w:val="20"/>
          <w:lang w:val="es-VE"/>
        </w:rPr>
        <w:t xml:space="preserve">Acción de </w:t>
      </w:r>
      <w:r w:rsidR="00716E77" w:rsidRPr="00C12F43">
        <w:rPr>
          <w:color w:val="auto"/>
          <w:sz w:val="20"/>
          <w:szCs w:val="20"/>
          <w:lang w:val="es-VE"/>
        </w:rPr>
        <w:t>i</w:t>
      </w:r>
      <w:r w:rsidRPr="00C12F43">
        <w:rPr>
          <w:color w:val="auto"/>
          <w:sz w:val="20"/>
          <w:szCs w:val="20"/>
          <w:lang w:val="es-VE"/>
        </w:rPr>
        <w:t>nconstitucionalidad</w:t>
      </w:r>
      <w:r w:rsidR="00D868E2" w:rsidRPr="00C12F43">
        <w:rPr>
          <w:color w:val="auto"/>
          <w:sz w:val="20"/>
          <w:szCs w:val="20"/>
          <w:lang w:val="es-VE"/>
        </w:rPr>
        <w:t xml:space="preserve"> y solicitud de excarcelación</w:t>
      </w:r>
      <w:bookmarkEnd w:id="51"/>
      <w:r w:rsidR="00D868E2" w:rsidRPr="00C12F43">
        <w:rPr>
          <w:color w:val="auto"/>
          <w:sz w:val="20"/>
          <w:szCs w:val="20"/>
          <w:lang w:val="es-VE"/>
        </w:rPr>
        <w:t xml:space="preserve"> </w:t>
      </w:r>
    </w:p>
    <w:p w:rsidR="006860C3" w:rsidRPr="00B56CF7" w:rsidRDefault="006860C3" w:rsidP="006860C3">
      <w:pPr>
        <w:ind w:left="720"/>
        <w:jc w:val="both"/>
        <w:rPr>
          <w:rFonts w:asciiTheme="majorHAnsi" w:hAnsiTheme="majorHAnsi"/>
          <w:b/>
          <w:sz w:val="20"/>
          <w:szCs w:val="20"/>
          <w:lang w:val="es-VE"/>
        </w:rPr>
      </w:pPr>
    </w:p>
    <w:p w:rsidR="006A17CB" w:rsidRPr="00B56CF7" w:rsidRDefault="00675923" w:rsidP="002449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lastRenderedPageBreak/>
        <w:t xml:space="preserve">La presunta víctima también intentó </w:t>
      </w:r>
      <w:r w:rsidR="006820CE" w:rsidRPr="00B56CF7">
        <w:rPr>
          <w:rFonts w:asciiTheme="majorHAnsi" w:hAnsiTheme="majorHAnsi"/>
          <w:sz w:val="20"/>
          <w:szCs w:val="20"/>
          <w:lang w:val="es-VE"/>
        </w:rPr>
        <w:t xml:space="preserve">obtener su </w:t>
      </w:r>
      <w:r w:rsidR="00B4264B" w:rsidRPr="00B56CF7">
        <w:rPr>
          <w:rFonts w:asciiTheme="majorHAnsi" w:hAnsiTheme="majorHAnsi"/>
          <w:sz w:val="20"/>
          <w:szCs w:val="20"/>
          <w:lang w:val="es-VE"/>
        </w:rPr>
        <w:t>libertad</w:t>
      </w:r>
      <w:r w:rsidR="006820CE" w:rsidRPr="00B56CF7">
        <w:rPr>
          <w:rFonts w:asciiTheme="majorHAnsi" w:hAnsiTheme="majorHAnsi"/>
          <w:sz w:val="20"/>
          <w:szCs w:val="20"/>
          <w:lang w:val="es-VE"/>
        </w:rPr>
        <w:t xml:space="preserve"> por medio de una acción</w:t>
      </w:r>
      <w:r w:rsidR="002E17BB" w:rsidRPr="00B56CF7">
        <w:rPr>
          <w:rFonts w:asciiTheme="majorHAnsi" w:hAnsiTheme="majorHAnsi"/>
          <w:sz w:val="20"/>
          <w:szCs w:val="20"/>
          <w:lang w:val="es-VE"/>
        </w:rPr>
        <w:t xml:space="preserve"> conjunta de inconstitucionalidad y </w:t>
      </w:r>
      <w:r w:rsidR="006820CE" w:rsidRPr="00B56CF7">
        <w:rPr>
          <w:rFonts w:asciiTheme="majorHAnsi" w:hAnsiTheme="majorHAnsi"/>
          <w:sz w:val="20"/>
          <w:szCs w:val="20"/>
          <w:lang w:val="es-VE"/>
        </w:rPr>
        <w:t xml:space="preserve">solicitud de </w:t>
      </w:r>
      <w:r w:rsidR="00B4264B" w:rsidRPr="00B56CF7">
        <w:rPr>
          <w:rFonts w:asciiTheme="majorHAnsi" w:hAnsiTheme="majorHAnsi"/>
          <w:sz w:val="20"/>
          <w:szCs w:val="20"/>
          <w:lang w:val="es-VE"/>
        </w:rPr>
        <w:t>“</w:t>
      </w:r>
      <w:r w:rsidR="006A17CB" w:rsidRPr="00B56CF7">
        <w:rPr>
          <w:rFonts w:asciiTheme="majorHAnsi" w:hAnsiTheme="majorHAnsi"/>
          <w:sz w:val="20"/>
          <w:szCs w:val="20"/>
          <w:lang w:val="es-VE"/>
        </w:rPr>
        <w:t>excarcelación</w:t>
      </w:r>
      <w:r w:rsidR="00B4264B" w:rsidRPr="00B56CF7">
        <w:rPr>
          <w:rFonts w:asciiTheme="majorHAnsi" w:hAnsiTheme="majorHAnsi"/>
          <w:sz w:val="20"/>
          <w:szCs w:val="20"/>
          <w:lang w:val="es-VE"/>
        </w:rPr>
        <w:t>”</w:t>
      </w:r>
      <w:r w:rsidR="006A17CB" w:rsidRPr="00B56CF7">
        <w:rPr>
          <w:rFonts w:asciiTheme="majorHAnsi" w:hAnsiTheme="majorHAnsi"/>
          <w:sz w:val="20"/>
          <w:szCs w:val="20"/>
          <w:lang w:val="es-VE"/>
        </w:rPr>
        <w:t xml:space="preserve"> ante el Tribunal </w:t>
      </w:r>
      <w:r w:rsidR="00C93D7B" w:rsidRPr="00B56CF7">
        <w:rPr>
          <w:rFonts w:asciiTheme="majorHAnsi" w:hAnsiTheme="majorHAnsi"/>
          <w:sz w:val="20"/>
          <w:szCs w:val="20"/>
          <w:lang w:val="es-VE"/>
        </w:rPr>
        <w:t>Oral Federal No</w:t>
      </w:r>
      <w:r w:rsidR="00F01F5F" w:rsidRPr="00B56CF7">
        <w:rPr>
          <w:rFonts w:asciiTheme="majorHAnsi" w:hAnsiTheme="majorHAnsi"/>
          <w:sz w:val="20"/>
          <w:szCs w:val="20"/>
          <w:lang w:val="es-VE"/>
        </w:rPr>
        <w:t>.</w:t>
      </w:r>
      <w:r w:rsidR="00C93D7B" w:rsidRPr="00B56CF7">
        <w:rPr>
          <w:rFonts w:asciiTheme="majorHAnsi" w:hAnsiTheme="majorHAnsi"/>
          <w:sz w:val="20"/>
          <w:szCs w:val="20"/>
          <w:lang w:val="es-VE"/>
        </w:rPr>
        <w:t xml:space="preserve"> 6.</w:t>
      </w:r>
    </w:p>
    <w:p w:rsidR="0024495A" w:rsidRPr="00B56CF7" w:rsidRDefault="0024495A" w:rsidP="0024495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E931CF" w:rsidRPr="00B56CF7" w:rsidRDefault="008934E9" w:rsidP="00F9392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 xml:space="preserve">En la </w:t>
      </w:r>
      <w:r w:rsidR="00152A76" w:rsidRPr="00B56CF7">
        <w:rPr>
          <w:rFonts w:asciiTheme="majorHAnsi" w:hAnsiTheme="majorHAnsi"/>
          <w:sz w:val="20"/>
          <w:szCs w:val="20"/>
          <w:lang w:val="es-VE"/>
        </w:rPr>
        <w:t>acción de inco</w:t>
      </w:r>
      <w:r w:rsidR="00F9392B" w:rsidRPr="00B56CF7">
        <w:rPr>
          <w:rFonts w:asciiTheme="majorHAnsi" w:hAnsiTheme="majorHAnsi"/>
          <w:sz w:val="20"/>
          <w:szCs w:val="20"/>
          <w:lang w:val="es-VE"/>
        </w:rPr>
        <w:t>nstitucionalidad el peticionario planteó que la</w:t>
      </w:r>
      <w:r w:rsidR="00895472" w:rsidRPr="00B56CF7">
        <w:rPr>
          <w:rFonts w:asciiTheme="majorHAnsi" w:hAnsiTheme="majorHAnsi"/>
          <w:sz w:val="20"/>
          <w:szCs w:val="20"/>
          <w:lang w:val="es-VE"/>
        </w:rPr>
        <w:t xml:space="preserve"> prohibición de excarcelación que contempla el artículo 10 de la ley 24.390 no es razonable </w:t>
      </w:r>
      <w:r w:rsidR="00F9392B" w:rsidRPr="00B56CF7">
        <w:rPr>
          <w:rFonts w:asciiTheme="majorHAnsi" w:hAnsiTheme="majorHAnsi"/>
          <w:sz w:val="20"/>
          <w:szCs w:val="20"/>
          <w:lang w:val="es-VE"/>
        </w:rPr>
        <w:t>porque no protege bienes jurídicos esenciales e indicó que inclusive aquellos delitos cuyo bien jurídico protegido es la vida</w:t>
      </w:r>
      <w:r w:rsidR="00D471E9" w:rsidRPr="00B56CF7">
        <w:rPr>
          <w:rFonts w:asciiTheme="majorHAnsi" w:hAnsiTheme="majorHAnsi"/>
          <w:sz w:val="20"/>
          <w:szCs w:val="20"/>
          <w:lang w:val="es-VE"/>
        </w:rPr>
        <w:t>, como el homicidio calificado, admiten excarcelación</w:t>
      </w:r>
      <w:r w:rsidR="00F9392B" w:rsidRPr="00B56CF7">
        <w:rPr>
          <w:rFonts w:asciiTheme="majorHAnsi" w:hAnsiTheme="majorHAnsi"/>
          <w:sz w:val="20"/>
          <w:szCs w:val="20"/>
          <w:lang w:val="es-VE"/>
        </w:rPr>
        <w:t xml:space="preserve">. Agregó que ello es contrario al </w:t>
      </w:r>
      <w:r w:rsidRPr="00B56CF7">
        <w:rPr>
          <w:rFonts w:asciiTheme="majorHAnsi" w:hAnsiTheme="majorHAnsi"/>
          <w:sz w:val="20"/>
          <w:szCs w:val="20"/>
          <w:lang w:val="es-VE"/>
        </w:rPr>
        <w:t>artículo 16</w:t>
      </w:r>
      <w:r w:rsidR="00287BD8" w:rsidRPr="00B56CF7">
        <w:rPr>
          <w:rFonts w:asciiTheme="majorHAnsi" w:hAnsiTheme="majorHAnsi"/>
          <w:sz w:val="20"/>
          <w:szCs w:val="20"/>
          <w:lang w:val="es-VE"/>
        </w:rPr>
        <w:t xml:space="preserve"> de la Constitución Nacional que prescribe la igualdad ante la ley</w:t>
      </w:r>
      <w:r w:rsidR="00721568" w:rsidRPr="00B56CF7">
        <w:rPr>
          <w:rFonts w:asciiTheme="majorHAnsi" w:hAnsiTheme="majorHAnsi"/>
          <w:sz w:val="20"/>
          <w:szCs w:val="20"/>
          <w:lang w:val="es-VE"/>
        </w:rPr>
        <w:t>,</w:t>
      </w:r>
      <w:r w:rsidR="00287BD8" w:rsidRPr="00B56CF7">
        <w:rPr>
          <w:rFonts w:asciiTheme="majorHAnsi" w:hAnsiTheme="majorHAnsi"/>
          <w:sz w:val="20"/>
          <w:szCs w:val="20"/>
          <w:lang w:val="es-VE"/>
        </w:rPr>
        <w:t xml:space="preserve"> ya que hace </w:t>
      </w:r>
      <w:r w:rsidR="007C0B70" w:rsidRPr="00B56CF7">
        <w:rPr>
          <w:rFonts w:asciiTheme="majorHAnsi" w:hAnsiTheme="majorHAnsi"/>
          <w:sz w:val="20"/>
          <w:szCs w:val="20"/>
          <w:lang w:val="es-VE"/>
        </w:rPr>
        <w:t>una excepción arbitraria y crea “</w:t>
      </w:r>
      <w:r w:rsidR="002E17BB" w:rsidRPr="00B56CF7">
        <w:rPr>
          <w:rFonts w:asciiTheme="majorHAnsi" w:hAnsiTheme="majorHAnsi"/>
          <w:sz w:val="20"/>
          <w:szCs w:val="20"/>
          <w:lang w:val="es-VE"/>
        </w:rPr>
        <w:t xml:space="preserve">desigualdades </w:t>
      </w:r>
      <w:r w:rsidR="006860C3" w:rsidRPr="00B56CF7">
        <w:rPr>
          <w:rFonts w:asciiTheme="majorHAnsi" w:hAnsiTheme="majorHAnsi"/>
          <w:sz w:val="20"/>
          <w:szCs w:val="20"/>
          <w:lang w:val="es-VE"/>
        </w:rPr>
        <w:t>en el tratamiento de situaciones procesales idénticas”</w:t>
      </w:r>
      <w:r w:rsidR="006860C3" w:rsidRPr="00B56CF7">
        <w:rPr>
          <w:rStyle w:val="FootnoteReference"/>
          <w:rFonts w:asciiTheme="majorHAnsi" w:hAnsiTheme="majorHAnsi"/>
          <w:sz w:val="20"/>
          <w:szCs w:val="20"/>
          <w:lang w:val="es-VE"/>
        </w:rPr>
        <w:footnoteReference w:id="28"/>
      </w:r>
      <w:r w:rsidR="006860C3" w:rsidRPr="00B56CF7">
        <w:rPr>
          <w:rFonts w:asciiTheme="majorHAnsi" w:hAnsiTheme="majorHAnsi"/>
          <w:sz w:val="20"/>
          <w:szCs w:val="20"/>
          <w:lang w:val="es-VE"/>
        </w:rPr>
        <w:t xml:space="preserve">. </w:t>
      </w:r>
    </w:p>
    <w:p w:rsidR="00E931CF" w:rsidRPr="00B56CF7" w:rsidRDefault="00E931CF" w:rsidP="00E931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E24A7E" w:rsidRPr="00B56CF7" w:rsidRDefault="006860C3" w:rsidP="0062236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 xml:space="preserve"> El 2 de octubre de 1996 el Tribunal Oral</w:t>
      </w:r>
      <w:r w:rsidR="00C805CF" w:rsidRPr="00B56CF7">
        <w:rPr>
          <w:rFonts w:asciiTheme="majorHAnsi" w:hAnsiTheme="majorHAnsi"/>
          <w:sz w:val="20"/>
          <w:szCs w:val="20"/>
          <w:lang w:val="es-VE"/>
        </w:rPr>
        <w:t xml:space="preserve"> Federal</w:t>
      </w:r>
      <w:r w:rsidRPr="00B56CF7">
        <w:rPr>
          <w:rFonts w:asciiTheme="majorHAnsi" w:hAnsiTheme="majorHAnsi"/>
          <w:sz w:val="20"/>
          <w:szCs w:val="20"/>
          <w:lang w:val="es-VE"/>
        </w:rPr>
        <w:t xml:space="preserve"> No. 6 resolvió declarar sin lugar el pedido de inconstitucionalidad del artículo 10 de la ley 24.390 y la solicitud de excarcelación de Gabriel Jenkins</w:t>
      </w:r>
      <w:r w:rsidRPr="00B56CF7">
        <w:rPr>
          <w:rFonts w:asciiTheme="majorHAnsi" w:hAnsiTheme="majorHAnsi"/>
          <w:sz w:val="20"/>
          <w:szCs w:val="20"/>
          <w:vertAlign w:val="superscript"/>
        </w:rPr>
        <w:footnoteReference w:id="29"/>
      </w:r>
      <w:r w:rsidR="00FE554C" w:rsidRPr="00B56CF7">
        <w:rPr>
          <w:rFonts w:asciiTheme="majorHAnsi" w:hAnsiTheme="majorHAnsi"/>
          <w:sz w:val="20"/>
          <w:szCs w:val="20"/>
          <w:lang w:val="es-VE"/>
        </w:rPr>
        <w:t xml:space="preserve">. </w:t>
      </w:r>
    </w:p>
    <w:p w:rsidR="00E24A7E" w:rsidRPr="00B56CF7" w:rsidRDefault="00E24A7E" w:rsidP="0062236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VE"/>
        </w:rPr>
      </w:pPr>
    </w:p>
    <w:p w:rsidR="00E24A7E" w:rsidRDefault="006860C3" w:rsidP="00E24A7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Al respecto</w:t>
      </w:r>
      <w:r w:rsidR="003848FF" w:rsidRPr="00B56CF7">
        <w:rPr>
          <w:rFonts w:asciiTheme="majorHAnsi" w:hAnsiTheme="majorHAnsi"/>
          <w:sz w:val="20"/>
          <w:szCs w:val="20"/>
          <w:lang w:val="es-VE"/>
        </w:rPr>
        <w:t>,</w:t>
      </w:r>
      <w:r w:rsidRPr="00B56CF7">
        <w:rPr>
          <w:rFonts w:asciiTheme="majorHAnsi" w:hAnsiTheme="majorHAnsi"/>
          <w:sz w:val="20"/>
          <w:szCs w:val="20"/>
          <w:lang w:val="es-VE"/>
        </w:rPr>
        <w:t xml:space="preserve"> consideró que las cuesti</w:t>
      </w:r>
      <w:r w:rsidR="00D73420" w:rsidRPr="00B56CF7">
        <w:rPr>
          <w:rFonts w:asciiTheme="majorHAnsi" w:hAnsiTheme="majorHAnsi"/>
          <w:sz w:val="20"/>
          <w:szCs w:val="20"/>
          <w:lang w:val="es-VE"/>
        </w:rPr>
        <w:t>ones planteadas por la defensa fueron ya planteadas</w:t>
      </w:r>
      <w:r w:rsidR="002E17BB" w:rsidRPr="00B56CF7">
        <w:rPr>
          <w:rFonts w:asciiTheme="majorHAnsi" w:hAnsiTheme="majorHAnsi"/>
          <w:sz w:val="20"/>
          <w:szCs w:val="20"/>
          <w:lang w:val="es-VE"/>
        </w:rPr>
        <w:t xml:space="preserve"> y resueltas por </w:t>
      </w:r>
      <w:r w:rsidR="00D73420" w:rsidRPr="00B56CF7">
        <w:rPr>
          <w:rFonts w:asciiTheme="majorHAnsi" w:hAnsiTheme="majorHAnsi"/>
          <w:sz w:val="20"/>
          <w:szCs w:val="20"/>
          <w:lang w:val="es-VE"/>
        </w:rPr>
        <w:t xml:space="preserve">el Tribunal </w:t>
      </w:r>
      <w:r w:rsidR="002E17BB" w:rsidRPr="00B56CF7">
        <w:rPr>
          <w:rFonts w:asciiTheme="majorHAnsi" w:hAnsiTheme="majorHAnsi"/>
          <w:sz w:val="20"/>
          <w:szCs w:val="20"/>
          <w:lang w:val="es-VE"/>
        </w:rPr>
        <w:t>en el caso</w:t>
      </w:r>
      <w:r w:rsidRPr="00B56CF7">
        <w:rPr>
          <w:rFonts w:asciiTheme="majorHAnsi" w:hAnsiTheme="majorHAnsi"/>
          <w:sz w:val="20"/>
          <w:szCs w:val="20"/>
          <w:lang w:val="es-VE"/>
        </w:rPr>
        <w:t xml:space="preserve"> “</w:t>
      </w:r>
      <w:proofErr w:type="spellStart"/>
      <w:r w:rsidRPr="00B56CF7">
        <w:rPr>
          <w:rFonts w:asciiTheme="majorHAnsi" w:hAnsiTheme="majorHAnsi"/>
          <w:sz w:val="20"/>
          <w:szCs w:val="20"/>
          <w:lang w:val="es-VE"/>
        </w:rPr>
        <w:t>Nuñez</w:t>
      </w:r>
      <w:proofErr w:type="spellEnd"/>
      <w:r w:rsidRPr="00B56CF7">
        <w:rPr>
          <w:rFonts w:asciiTheme="majorHAnsi" w:hAnsiTheme="majorHAnsi"/>
          <w:sz w:val="20"/>
          <w:szCs w:val="20"/>
          <w:lang w:val="es-VE"/>
        </w:rPr>
        <w:t>” por lo que correspond</w:t>
      </w:r>
      <w:r w:rsidR="003848FF" w:rsidRPr="00B56CF7">
        <w:rPr>
          <w:rFonts w:asciiTheme="majorHAnsi" w:hAnsiTheme="majorHAnsi"/>
          <w:sz w:val="20"/>
          <w:szCs w:val="20"/>
          <w:lang w:val="es-VE"/>
        </w:rPr>
        <w:t>ía</w:t>
      </w:r>
      <w:r w:rsidRPr="00B56CF7">
        <w:rPr>
          <w:rFonts w:asciiTheme="majorHAnsi" w:hAnsiTheme="majorHAnsi"/>
          <w:sz w:val="20"/>
          <w:szCs w:val="20"/>
          <w:lang w:val="es-VE"/>
        </w:rPr>
        <w:t xml:space="preserve"> reiterar los fundamentos denegato</w:t>
      </w:r>
      <w:r w:rsidR="00D73420" w:rsidRPr="00B56CF7">
        <w:rPr>
          <w:rFonts w:asciiTheme="majorHAnsi" w:hAnsiTheme="majorHAnsi"/>
          <w:sz w:val="20"/>
          <w:szCs w:val="20"/>
          <w:lang w:val="es-VE"/>
        </w:rPr>
        <w:t xml:space="preserve">rios del beneficio solicitado. </w:t>
      </w:r>
      <w:r w:rsidR="003848FF" w:rsidRPr="00B56CF7">
        <w:rPr>
          <w:rFonts w:asciiTheme="majorHAnsi" w:hAnsiTheme="majorHAnsi"/>
          <w:sz w:val="20"/>
          <w:szCs w:val="20"/>
          <w:lang w:val="es-VE"/>
        </w:rPr>
        <w:t xml:space="preserve">Citando dicho precedente, el mismo Tribunal indicó que </w:t>
      </w:r>
      <w:r w:rsidRPr="00B56CF7">
        <w:rPr>
          <w:rFonts w:asciiTheme="majorHAnsi" w:hAnsiTheme="majorHAnsi"/>
          <w:sz w:val="20"/>
          <w:szCs w:val="20"/>
          <w:lang w:val="es-VE"/>
        </w:rPr>
        <w:t>las conductas detalladas en el artículo 10 de la ley 24.390 relacionadas con el tráfico de estupefacientes han merecido un es</w:t>
      </w:r>
      <w:r w:rsidR="00D73420" w:rsidRPr="00B56CF7">
        <w:rPr>
          <w:rFonts w:asciiTheme="majorHAnsi" w:hAnsiTheme="majorHAnsi"/>
          <w:sz w:val="20"/>
          <w:szCs w:val="20"/>
          <w:lang w:val="es-VE"/>
        </w:rPr>
        <w:t>pecial tratamiento del Estado</w:t>
      </w:r>
      <w:r w:rsidR="002E17BB" w:rsidRPr="00B56CF7">
        <w:rPr>
          <w:rFonts w:asciiTheme="majorHAnsi" w:hAnsiTheme="majorHAnsi"/>
          <w:sz w:val="20"/>
          <w:szCs w:val="20"/>
          <w:lang w:val="es-VE"/>
        </w:rPr>
        <w:t xml:space="preserve"> debido a las obligaciones que contrajo al suscribir </w:t>
      </w:r>
      <w:r w:rsidR="007B1B67" w:rsidRPr="00B56CF7">
        <w:rPr>
          <w:rFonts w:asciiTheme="majorHAnsi" w:hAnsiTheme="majorHAnsi"/>
          <w:sz w:val="20"/>
          <w:szCs w:val="20"/>
          <w:lang w:val="es-VE"/>
        </w:rPr>
        <w:t>tratados internacionales en la materia</w:t>
      </w:r>
      <w:r w:rsidRPr="00B56CF7">
        <w:rPr>
          <w:rStyle w:val="FootnoteReference"/>
          <w:rFonts w:asciiTheme="majorHAnsi" w:hAnsiTheme="majorHAnsi"/>
          <w:sz w:val="20"/>
          <w:szCs w:val="20"/>
          <w:lang w:val="es-VE"/>
        </w:rPr>
        <w:footnoteReference w:id="30"/>
      </w:r>
      <w:r w:rsidRPr="00B56CF7">
        <w:rPr>
          <w:rFonts w:asciiTheme="majorHAnsi" w:hAnsiTheme="majorHAnsi"/>
          <w:sz w:val="20"/>
          <w:szCs w:val="20"/>
          <w:lang w:val="es-VE"/>
        </w:rPr>
        <w:t xml:space="preserve">. </w:t>
      </w:r>
      <w:r w:rsidR="00205CEE">
        <w:rPr>
          <w:rFonts w:asciiTheme="majorHAnsi" w:hAnsiTheme="majorHAnsi"/>
          <w:sz w:val="20"/>
          <w:szCs w:val="20"/>
          <w:lang w:val="es-VE"/>
        </w:rPr>
        <w:t xml:space="preserve">En palabras del Tribunal: </w:t>
      </w:r>
    </w:p>
    <w:p w:rsidR="00205CEE" w:rsidRDefault="00205CEE" w:rsidP="00205CEE">
      <w:pPr>
        <w:pStyle w:val="ListParagraph"/>
        <w:rPr>
          <w:rFonts w:asciiTheme="majorHAnsi" w:hAnsiTheme="majorHAnsi"/>
          <w:sz w:val="20"/>
          <w:szCs w:val="20"/>
          <w:lang w:val="es-VE"/>
        </w:rPr>
      </w:pPr>
    </w:p>
    <w:p w:rsidR="00205CEE" w:rsidRPr="00B56CF7" w:rsidRDefault="00205CEE" w:rsidP="00E76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VE"/>
        </w:rPr>
      </w:pPr>
      <w:r w:rsidRPr="00B92779">
        <w:rPr>
          <w:rFonts w:ascii="Cambria" w:hAnsi="Cambria"/>
          <w:sz w:val="20"/>
          <w:szCs w:val="20"/>
          <w:lang w:val="es-ES"/>
        </w:rPr>
        <w:t>no le parece irrazonable a los miembros de este Tribunal la exclusión de los alcances de los artículos primero a séptimo de la ley 24.390 fijada en el artículo décimo de dicho cuerpo normativo, atento que las conductas detalladas en dicho precepto han merecido un especial tratamiento de los órganos del estado competentes, en el caso concreto el Congreso Nacional, al conminar con penas harto elevadas los tipos penales indicados “supra”, mostrando a las claras el interés en perseguir a esa clase de organizaciones criminales, -y a sus integrantes-, dedicadas al tráfico de sustancias estupefacientes, como correlato de las obligaciones contraídas por la Nación al suscribir la Convención de Viena sobre la represión al</w:t>
      </w:r>
      <w:r>
        <w:rPr>
          <w:rFonts w:ascii="Cambria" w:hAnsi="Cambria"/>
          <w:sz w:val="20"/>
          <w:szCs w:val="20"/>
          <w:lang w:val="es-ES"/>
        </w:rPr>
        <w:t xml:space="preserve"> tráfico de aquellas sustancias</w:t>
      </w:r>
      <w:r w:rsidRPr="00B92779">
        <w:rPr>
          <w:rFonts w:ascii="Cambria" w:hAnsi="Cambria"/>
          <w:sz w:val="20"/>
          <w:szCs w:val="20"/>
          <w:vertAlign w:val="superscript"/>
        </w:rPr>
        <w:footnoteReference w:id="31"/>
      </w:r>
      <w:r w:rsidRPr="00B92779">
        <w:rPr>
          <w:rFonts w:ascii="Cambria" w:hAnsi="Cambria"/>
          <w:sz w:val="20"/>
          <w:szCs w:val="20"/>
          <w:lang w:val="es-ES"/>
        </w:rPr>
        <w:t>.</w:t>
      </w:r>
    </w:p>
    <w:p w:rsidR="00E24A7E" w:rsidRPr="00B56CF7" w:rsidRDefault="00E24A7E" w:rsidP="0062236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6860C3" w:rsidRPr="00B56CF7" w:rsidRDefault="00640C5B" w:rsidP="00E24A7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Agregó que por la gravedad y el interés superior que tales conductas afectan</w:t>
      </w:r>
      <w:r w:rsidR="00E761D6" w:rsidRPr="00B56CF7">
        <w:rPr>
          <w:rFonts w:asciiTheme="majorHAnsi" w:hAnsiTheme="majorHAnsi"/>
          <w:sz w:val="20"/>
          <w:szCs w:val="20"/>
          <w:lang w:val="es-VE"/>
        </w:rPr>
        <w:t xml:space="preserve"> es necesario </w:t>
      </w:r>
      <w:r w:rsidR="004A0B3F" w:rsidRPr="00B56CF7">
        <w:rPr>
          <w:rFonts w:asciiTheme="majorHAnsi" w:hAnsiTheme="majorHAnsi"/>
          <w:sz w:val="20"/>
          <w:szCs w:val="20"/>
          <w:lang w:val="es-VE"/>
        </w:rPr>
        <w:t xml:space="preserve">“vedar a aquellos sometidos a proceso </w:t>
      </w:r>
      <w:r w:rsidR="006860C3" w:rsidRPr="00B56CF7">
        <w:rPr>
          <w:rFonts w:asciiTheme="majorHAnsi" w:hAnsiTheme="majorHAnsi"/>
          <w:sz w:val="20"/>
          <w:szCs w:val="20"/>
          <w:lang w:val="es-VE"/>
        </w:rPr>
        <w:t>por la comisión de cualquiera de estos tipos penales la posibilidad de gozar, durante el trámite de los mismos, del derecho a la soltura provisoria, para garantizar la presencia de éstos durante toda la sustanciación de aquellos”</w:t>
      </w:r>
      <w:r w:rsidR="006860C3" w:rsidRPr="00B56CF7">
        <w:rPr>
          <w:rStyle w:val="FootnoteReference"/>
          <w:rFonts w:asciiTheme="majorHAnsi" w:hAnsiTheme="majorHAnsi"/>
          <w:sz w:val="20"/>
          <w:szCs w:val="20"/>
          <w:lang w:val="es-VE"/>
        </w:rPr>
        <w:footnoteReference w:id="32"/>
      </w:r>
      <w:r w:rsidR="006860C3" w:rsidRPr="00B56CF7">
        <w:rPr>
          <w:rFonts w:asciiTheme="majorHAnsi" w:hAnsiTheme="majorHAnsi"/>
          <w:sz w:val="20"/>
          <w:szCs w:val="20"/>
          <w:lang w:val="es-VE"/>
        </w:rPr>
        <w:t xml:space="preserve">. </w:t>
      </w:r>
      <w:r w:rsidR="004A0B3F" w:rsidRPr="00B56CF7">
        <w:rPr>
          <w:rFonts w:asciiTheme="majorHAnsi" w:hAnsiTheme="majorHAnsi"/>
          <w:sz w:val="20"/>
          <w:szCs w:val="20"/>
          <w:lang w:val="es-VE"/>
        </w:rPr>
        <w:t xml:space="preserve">También indicó que el artículo cuestionado es compatible con </w:t>
      </w:r>
      <w:r w:rsidR="006860C3" w:rsidRPr="00B56CF7">
        <w:rPr>
          <w:rFonts w:asciiTheme="majorHAnsi" w:hAnsiTheme="majorHAnsi"/>
          <w:sz w:val="20"/>
          <w:szCs w:val="20"/>
          <w:lang w:val="es-VE"/>
        </w:rPr>
        <w:t xml:space="preserve">el artículo 7.5 de la Convención Americana puesto que </w:t>
      </w:r>
      <w:r w:rsidR="007521AE" w:rsidRPr="00B56CF7">
        <w:rPr>
          <w:rFonts w:asciiTheme="majorHAnsi" w:hAnsiTheme="majorHAnsi"/>
          <w:sz w:val="20"/>
          <w:szCs w:val="20"/>
          <w:lang w:val="es-VE"/>
        </w:rPr>
        <w:t xml:space="preserve">dicho tratado </w:t>
      </w:r>
      <w:r w:rsidR="006860C3" w:rsidRPr="00B56CF7">
        <w:rPr>
          <w:rFonts w:asciiTheme="majorHAnsi" w:hAnsiTheme="majorHAnsi"/>
          <w:sz w:val="20"/>
          <w:szCs w:val="20"/>
          <w:lang w:val="es-VE"/>
        </w:rPr>
        <w:t xml:space="preserve">exige que toda persona sea juzgada o </w:t>
      </w:r>
      <w:r w:rsidR="006860C3" w:rsidRPr="00B56CF7">
        <w:rPr>
          <w:rFonts w:asciiTheme="majorHAnsi" w:hAnsiTheme="majorHAnsi"/>
          <w:sz w:val="20"/>
          <w:szCs w:val="20"/>
          <w:lang w:val="es-VE"/>
        </w:rPr>
        <w:lastRenderedPageBreak/>
        <w:t>puesta en libertad dentro de un plazo razonable</w:t>
      </w:r>
      <w:r w:rsidR="00403AC1">
        <w:rPr>
          <w:rFonts w:asciiTheme="majorHAnsi" w:hAnsiTheme="majorHAnsi"/>
          <w:sz w:val="20"/>
          <w:szCs w:val="20"/>
          <w:lang w:val="es-VE"/>
        </w:rPr>
        <w:t>,</w:t>
      </w:r>
      <w:r w:rsidR="006860C3" w:rsidRPr="00B56CF7">
        <w:rPr>
          <w:rFonts w:asciiTheme="majorHAnsi" w:hAnsiTheme="majorHAnsi"/>
          <w:sz w:val="20"/>
          <w:szCs w:val="20"/>
          <w:lang w:val="es-VE"/>
        </w:rPr>
        <w:t xml:space="preserve"> pero “no impide que cada estado adecue esos plazos según criterios de política criminal relacionados fundamentalmente con razones de interés público”</w:t>
      </w:r>
      <w:r w:rsidR="006860C3" w:rsidRPr="00B56CF7">
        <w:rPr>
          <w:rStyle w:val="FootnoteReference"/>
          <w:rFonts w:asciiTheme="majorHAnsi" w:hAnsiTheme="majorHAnsi"/>
          <w:sz w:val="20"/>
          <w:szCs w:val="20"/>
          <w:lang w:val="es-VE"/>
        </w:rPr>
        <w:footnoteReference w:id="33"/>
      </w:r>
      <w:r w:rsidR="006860C3" w:rsidRPr="00B56CF7">
        <w:rPr>
          <w:rFonts w:asciiTheme="majorHAnsi" w:hAnsiTheme="majorHAnsi"/>
          <w:sz w:val="20"/>
          <w:szCs w:val="20"/>
          <w:lang w:val="es-VE"/>
        </w:rPr>
        <w:t xml:space="preserve">. </w:t>
      </w:r>
    </w:p>
    <w:p w:rsidR="00205CEE" w:rsidRPr="00B56CF7" w:rsidRDefault="00205CEE" w:rsidP="004A0B3F">
      <w:pPr>
        <w:pStyle w:val="ListParagraph"/>
        <w:rPr>
          <w:rFonts w:asciiTheme="majorHAnsi" w:hAnsiTheme="majorHAnsi"/>
          <w:sz w:val="20"/>
          <w:szCs w:val="20"/>
          <w:lang w:val="es-VE"/>
        </w:rPr>
      </w:pPr>
    </w:p>
    <w:p w:rsidR="00C93D7B" w:rsidRPr="00B56CF7" w:rsidRDefault="006860C3" w:rsidP="0062236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Concluyó indicando que a Gab</w:t>
      </w:r>
      <w:r w:rsidR="0088678D" w:rsidRPr="00B56CF7">
        <w:rPr>
          <w:rFonts w:asciiTheme="majorHAnsi" w:hAnsiTheme="majorHAnsi"/>
          <w:sz w:val="20"/>
          <w:szCs w:val="20"/>
          <w:lang w:val="es-VE"/>
        </w:rPr>
        <w:t>riel Jenkins se le imputa</w:t>
      </w:r>
      <w:r w:rsidR="006953A8" w:rsidRPr="00B56CF7">
        <w:rPr>
          <w:rFonts w:asciiTheme="majorHAnsi" w:hAnsiTheme="majorHAnsi"/>
          <w:sz w:val="20"/>
          <w:szCs w:val="20"/>
          <w:lang w:val="es-VE"/>
        </w:rPr>
        <w:t>ba</w:t>
      </w:r>
      <w:r w:rsidRPr="00B56CF7">
        <w:rPr>
          <w:rFonts w:asciiTheme="majorHAnsi" w:hAnsiTheme="majorHAnsi"/>
          <w:sz w:val="20"/>
          <w:szCs w:val="20"/>
          <w:lang w:val="es-VE"/>
        </w:rPr>
        <w:t xml:space="preserve"> la calidad de coautor de los delitos de tráfico ilícito de estupefacientes, en su modalidad de transporte, agravado por la intervención de más de tres personas (arts. 5to. Inc. c, y 11 inc. c de la ley 23.737) y </w:t>
      </w:r>
      <w:r w:rsidR="00F80E66" w:rsidRPr="00B56CF7">
        <w:rPr>
          <w:rFonts w:asciiTheme="majorHAnsi" w:hAnsiTheme="majorHAnsi"/>
          <w:sz w:val="20"/>
          <w:szCs w:val="20"/>
          <w:lang w:val="es-VE"/>
        </w:rPr>
        <w:t>asociación</w:t>
      </w:r>
      <w:r w:rsidR="004A0B3F" w:rsidRPr="00B56CF7">
        <w:rPr>
          <w:rFonts w:asciiTheme="majorHAnsi" w:hAnsiTheme="majorHAnsi"/>
          <w:sz w:val="20"/>
          <w:szCs w:val="20"/>
          <w:lang w:val="es-VE"/>
        </w:rPr>
        <w:t xml:space="preserve"> ilícita</w:t>
      </w:r>
      <w:r w:rsidRPr="00B56CF7">
        <w:rPr>
          <w:rFonts w:asciiTheme="majorHAnsi" w:hAnsiTheme="majorHAnsi"/>
          <w:sz w:val="20"/>
          <w:szCs w:val="20"/>
          <w:lang w:val="es-VE"/>
        </w:rPr>
        <w:t xml:space="preserve"> (art. 210 primera parte del C.P) en concurso real; y habida cuenta de la penalidad fijada para dichas figuras y que no se configura</w:t>
      </w:r>
      <w:r w:rsidR="00682CEA" w:rsidRPr="00B56CF7">
        <w:rPr>
          <w:rFonts w:asciiTheme="majorHAnsi" w:hAnsiTheme="majorHAnsi"/>
          <w:sz w:val="20"/>
          <w:szCs w:val="20"/>
          <w:lang w:val="es-VE"/>
        </w:rPr>
        <w:t>ba</w:t>
      </w:r>
      <w:r w:rsidRPr="00B56CF7">
        <w:rPr>
          <w:rFonts w:asciiTheme="majorHAnsi" w:hAnsiTheme="majorHAnsi"/>
          <w:sz w:val="20"/>
          <w:szCs w:val="20"/>
          <w:lang w:val="es-VE"/>
        </w:rPr>
        <w:t xml:space="preserve">n los supuestos contemplados en el artículo 317 del Código Procesal Penal de la Nación, no </w:t>
      </w:r>
      <w:r w:rsidR="00F80E66" w:rsidRPr="00B56CF7">
        <w:rPr>
          <w:rFonts w:asciiTheme="majorHAnsi" w:hAnsiTheme="majorHAnsi"/>
          <w:sz w:val="20"/>
          <w:szCs w:val="20"/>
          <w:lang w:val="es-VE"/>
        </w:rPr>
        <w:t>correspond</w:t>
      </w:r>
      <w:r w:rsidR="00682CEA" w:rsidRPr="00B56CF7">
        <w:rPr>
          <w:rFonts w:asciiTheme="majorHAnsi" w:hAnsiTheme="majorHAnsi"/>
          <w:sz w:val="20"/>
          <w:szCs w:val="20"/>
          <w:lang w:val="es-VE"/>
        </w:rPr>
        <w:t>ía</w:t>
      </w:r>
      <w:r w:rsidRPr="00B56CF7">
        <w:rPr>
          <w:rFonts w:asciiTheme="majorHAnsi" w:hAnsiTheme="majorHAnsi"/>
          <w:sz w:val="20"/>
          <w:szCs w:val="20"/>
          <w:lang w:val="es-VE"/>
        </w:rPr>
        <w:t xml:space="preserve"> el beneficio solicitado</w:t>
      </w:r>
      <w:r w:rsidRPr="00B56CF7">
        <w:rPr>
          <w:rStyle w:val="FootnoteReference"/>
          <w:rFonts w:asciiTheme="majorHAnsi" w:hAnsiTheme="majorHAnsi"/>
          <w:sz w:val="20"/>
          <w:szCs w:val="20"/>
          <w:lang w:val="es-VE"/>
        </w:rPr>
        <w:footnoteReference w:id="34"/>
      </w:r>
      <w:r w:rsidRPr="00B56CF7">
        <w:rPr>
          <w:rFonts w:asciiTheme="majorHAnsi" w:hAnsiTheme="majorHAnsi"/>
          <w:sz w:val="20"/>
          <w:szCs w:val="20"/>
          <w:lang w:val="es-VE"/>
        </w:rPr>
        <w:t xml:space="preserve">. </w:t>
      </w:r>
    </w:p>
    <w:p w:rsidR="006860C3" w:rsidRPr="00B56CF7" w:rsidRDefault="006860C3" w:rsidP="006860C3">
      <w:pPr>
        <w:ind w:left="720"/>
        <w:jc w:val="both"/>
        <w:rPr>
          <w:rFonts w:asciiTheme="majorHAnsi" w:hAnsiTheme="majorHAnsi"/>
          <w:b/>
          <w:sz w:val="20"/>
          <w:szCs w:val="20"/>
          <w:lang w:val="es-VE"/>
        </w:rPr>
      </w:pPr>
    </w:p>
    <w:p w:rsidR="00C93D7B" w:rsidRPr="00B56CF7" w:rsidRDefault="00575DBB" w:rsidP="007A30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E</w:t>
      </w:r>
      <w:r w:rsidR="00D471E9" w:rsidRPr="00B56CF7">
        <w:rPr>
          <w:rFonts w:asciiTheme="majorHAnsi" w:hAnsiTheme="majorHAnsi"/>
          <w:sz w:val="20"/>
          <w:szCs w:val="20"/>
          <w:lang w:val="es-VE"/>
        </w:rPr>
        <w:t>l peticionario</w:t>
      </w:r>
      <w:r w:rsidR="00306F10" w:rsidRPr="00B56CF7">
        <w:rPr>
          <w:rFonts w:asciiTheme="majorHAnsi" w:hAnsiTheme="majorHAnsi"/>
          <w:sz w:val="20"/>
          <w:szCs w:val="20"/>
          <w:lang w:val="es-VE"/>
        </w:rPr>
        <w:t xml:space="preserve"> </w:t>
      </w:r>
      <w:r w:rsidR="00C07B37" w:rsidRPr="00B56CF7">
        <w:rPr>
          <w:rFonts w:asciiTheme="majorHAnsi" w:hAnsiTheme="majorHAnsi"/>
          <w:sz w:val="20"/>
          <w:szCs w:val="20"/>
          <w:lang w:val="es-VE"/>
        </w:rPr>
        <w:t>interpus</w:t>
      </w:r>
      <w:r w:rsidR="00D471E9" w:rsidRPr="00B56CF7">
        <w:rPr>
          <w:rFonts w:asciiTheme="majorHAnsi" w:hAnsiTheme="majorHAnsi"/>
          <w:sz w:val="20"/>
          <w:szCs w:val="20"/>
          <w:lang w:val="es-VE"/>
        </w:rPr>
        <w:t>o</w:t>
      </w:r>
      <w:r w:rsidR="00C07B37" w:rsidRPr="00B56CF7">
        <w:rPr>
          <w:rFonts w:asciiTheme="majorHAnsi" w:hAnsiTheme="majorHAnsi"/>
          <w:sz w:val="20"/>
          <w:szCs w:val="20"/>
          <w:lang w:val="es-VE"/>
        </w:rPr>
        <w:t xml:space="preserve"> un recurso de inconstitucionalidad </w:t>
      </w:r>
      <w:r w:rsidR="00C93D7B" w:rsidRPr="00B56CF7">
        <w:rPr>
          <w:rFonts w:asciiTheme="majorHAnsi" w:hAnsiTheme="majorHAnsi"/>
          <w:sz w:val="20"/>
          <w:szCs w:val="20"/>
          <w:lang w:val="es-VE"/>
        </w:rPr>
        <w:t xml:space="preserve">en contra de la resolución del </w:t>
      </w:r>
      <w:r w:rsidR="006860C3" w:rsidRPr="00B56CF7">
        <w:rPr>
          <w:rFonts w:asciiTheme="majorHAnsi" w:hAnsiTheme="majorHAnsi"/>
          <w:sz w:val="20"/>
          <w:szCs w:val="20"/>
          <w:lang w:val="es-VE"/>
        </w:rPr>
        <w:t>Tribunal Oral Federal No</w:t>
      </w:r>
      <w:r w:rsidR="007703E6" w:rsidRPr="00B56CF7">
        <w:rPr>
          <w:rFonts w:asciiTheme="majorHAnsi" w:hAnsiTheme="majorHAnsi"/>
          <w:sz w:val="20"/>
          <w:szCs w:val="20"/>
          <w:lang w:val="es-VE"/>
        </w:rPr>
        <w:t>.</w:t>
      </w:r>
      <w:r w:rsidR="006860C3" w:rsidRPr="00B56CF7">
        <w:rPr>
          <w:rFonts w:asciiTheme="majorHAnsi" w:hAnsiTheme="majorHAnsi"/>
          <w:sz w:val="20"/>
          <w:szCs w:val="20"/>
          <w:lang w:val="es-VE"/>
        </w:rPr>
        <w:t xml:space="preserve"> 6</w:t>
      </w:r>
      <w:r w:rsidR="007703E6" w:rsidRPr="00B56CF7">
        <w:rPr>
          <w:rFonts w:asciiTheme="majorHAnsi" w:hAnsiTheme="majorHAnsi"/>
          <w:sz w:val="20"/>
          <w:szCs w:val="20"/>
          <w:lang w:val="es-VE"/>
        </w:rPr>
        <w:t xml:space="preserve"> citada en los párrafos precedentes</w:t>
      </w:r>
      <w:r w:rsidR="006860C3" w:rsidRPr="00B56CF7">
        <w:rPr>
          <w:rFonts w:asciiTheme="majorHAnsi" w:hAnsiTheme="majorHAnsi"/>
          <w:sz w:val="20"/>
          <w:szCs w:val="20"/>
          <w:vertAlign w:val="superscript"/>
        </w:rPr>
        <w:footnoteReference w:id="35"/>
      </w:r>
      <w:r w:rsidR="006860C3" w:rsidRPr="00B56CF7">
        <w:rPr>
          <w:rFonts w:asciiTheme="majorHAnsi" w:hAnsiTheme="majorHAnsi"/>
          <w:sz w:val="20"/>
          <w:szCs w:val="20"/>
          <w:lang w:val="es-VE"/>
        </w:rPr>
        <w:t xml:space="preserve">. </w:t>
      </w:r>
      <w:r w:rsidR="00D471E9" w:rsidRPr="00B56CF7">
        <w:rPr>
          <w:rFonts w:asciiTheme="majorHAnsi" w:hAnsiTheme="majorHAnsi"/>
          <w:sz w:val="20"/>
          <w:szCs w:val="20"/>
          <w:lang w:val="es-VE"/>
        </w:rPr>
        <w:t>Al respecto</w:t>
      </w:r>
      <w:r w:rsidR="007A30BB" w:rsidRPr="00B56CF7">
        <w:rPr>
          <w:rFonts w:asciiTheme="majorHAnsi" w:hAnsiTheme="majorHAnsi"/>
          <w:sz w:val="20"/>
          <w:szCs w:val="20"/>
          <w:lang w:val="es-VE"/>
        </w:rPr>
        <w:t>,</w:t>
      </w:r>
      <w:r w:rsidR="00D471E9" w:rsidRPr="00B56CF7">
        <w:rPr>
          <w:rFonts w:asciiTheme="majorHAnsi" w:hAnsiTheme="majorHAnsi"/>
          <w:sz w:val="20"/>
          <w:szCs w:val="20"/>
          <w:lang w:val="es-VE"/>
        </w:rPr>
        <w:t xml:space="preserve"> indicó</w:t>
      </w:r>
      <w:r w:rsidR="006860C3" w:rsidRPr="00B56CF7">
        <w:rPr>
          <w:rFonts w:asciiTheme="majorHAnsi" w:hAnsiTheme="majorHAnsi"/>
          <w:sz w:val="20"/>
          <w:szCs w:val="20"/>
          <w:lang w:val="es-VE"/>
        </w:rPr>
        <w:t xml:space="preserve"> que la decisión es arbitraria porque no tom</w:t>
      </w:r>
      <w:r w:rsidR="007A30BB" w:rsidRPr="00B56CF7">
        <w:rPr>
          <w:rFonts w:asciiTheme="majorHAnsi" w:hAnsiTheme="majorHAnsi"/>
          <w:sz w:val="20"/>
          <w:szCs w:val="20"/>
          <w:lang w:val="es-VE"/>
        </w:rPr>
        <w:t>ó</w:t>
      </w:r>
      <w:r w:rsidR="006860C3" w:rsidRPr="00B56CF7">
        <w:rPr>
          <w:rFonts w:asciiTheme="majorHAnsi" w:hAnsiTheme="majorHAnsi"/>
          <w:sz w:val="20"/>
          <w:szCs w:val="20"/>
          <w:lang w:val="es-VE"/>
        </w:rPr>
        <w:t xml:space="preserve"> en cuenta sus argumentos y se limit</w:t>
      </w:r>
      <w:r w:rsidR="007A30BB" w:rsidRPr="00B56CF7">
        <w:rPr>
          <w:rFonts w:asciiTheme="majorHAnsi" w:hAnsiTheme="majorHAnsi"/>
          <w:sz w:val="20"/>
          <w:szCs w:val="20"/>
          <w:lang w:val="es-VE"/>
        </w:rPr>
        <w:t>ó</w:t>
      </w:r>
      <w:r w:rsidR="006860C3" w:rsidRPr="00B56CF7">
        <w:rPr>
          <w:rFonts w:asciiTheme="majorHAnsi" w:hAnsiTheme="majorHAnsi"/>
          <w:sz w:val="20"/>
          <w:szCs w:val="20"/>
          <w:lang w:val="es-VE"/>
        </w:rPr>
        <w:t xml:space="preserve"> a reproducir un fallo anterior del mismo tribunal.</w:t>
      </w:r>
      <w:r w:rsidR="007A30BB" w:rsidRPr="00B56CF7">
        <w:rPr>
          <w:rFonts w:asciiTheme="majorHAnsi" w:hAnsiTheme="majorHAnsi"/>
          <w:sz w:val="20"/>
          <w:szCs w:val="20"/>
          <w:lang w:val="es-VE"/>
        </w:rPr>
        <w:t xml:space="preserve"> </w:t>
      </w:r>
      <w:r w:rsidR="00D471E9" w:rsidRPr="00B56CF7">
        <w:rPr>
          <w:rFonts w:asciiTheme="majorHAnsi" w:hAnsiTheme="majorHAnsi"/>
          <w:sz w:val="20"/>
          <w:szCs w:val="20"/>
          <w:lang w:val="es-VE"/>
        </w:rPr>
        <w:t>Argumentó</w:t>
      </w:r>
      <w:r w:rsidR="006860C3" w:rsidRPr="00B56CF7">
        <w:rPr>
          <w:rFonts w:asciiTheme="majorHAnsi" w:hAnsiTheme="majorHAnsi"/>
          <w:sz w:val="20"/>
          <w:szCs w:val="20"/>
          <w:lang w:val="es-VE"/>
        </w:rPr>
        <w:t xml:space="preserve"> que la prohibición de excarcelación para aquellas personas que resulten imputadas “por el delito previsto en el artículo 7 de la ley 23.737 y aquellos a quienes resultaren aplicables las agravantes previstas en el artículo 11 de la misma ley” resulta incoherente con el ordenamiento jurídico penal </w:t>
      </w:r>
      <w:r w:rsidR="00306F10" w:rsidRPr="00B56CF7">
        <w:rPr>
          <w:rFonts w:asciiTheme="majorHAnsi" w:hAnsiTheme="majorHAnsi"/>
          <w:sz w:val="20"/>
          <w:szCs w:val="20"/>
          <w:lang w:val="es-VE"/>
        </w:rPr>
        <w:t xml:space="preserve">argentino, </w:t>
      </w:r>
      <w:r w:rsidR="006860C3" w:rsidRPr="00B56CF7">
        <w:rPr>
          <w:rFonts w:asciiTheme="majorHAnsi" w:hAnsiTheme="majorHAnsi"/>
          <w:sz w:val="20"/>
          <w:szCs w:val="20"/>
          <w:lang w:val="es-VE"/>
        </w:rPr>
        <w:t>por cuanto restringe los derechos de quienes realizaron acciones que para la comunidad son menos graves que otras para las cuales no existe semejante restricción</w:t>
      </w:r>
      <w:r w:rsidR="006860C3" w:rsidRPr="00B56CF7">
        <w:rPr>
          <w:rFonts w:asciiTheme="majorHAnsi" w:hAnsiTheme="majorHAnsi"/>
          <w:sz w:val="20"/>
          <w:szCs w:val="20"/>
          <w:vertAlign w:val="superscript"/>
        </w:rPr>
        <w:footnoteReference w:id="36"/>
      </w:r>
      <w:r w:rsidR="006860C3" w:rsidRPr="00B56CF7">
        <w:rPr>
          <w:rFonts w:asciiTheme="majorHAnsi" w:hAnsiTheme="majorHAnsi"/>
          <w:sz w:val="20"/>
          <w:szCs w:val="20"/>
          <w:lang w:val="es-VE"/>
        </w:rPr>
        <w:t>.</w:t>
      </w:r>
    </w:p>
    <w:p w:rsidR="00C93D7B" w:rsidRPr="00B56CF7" w:rsidRDefault="00C93D7B" w:rsidP="00C93D7B">
      <w:pPr>
        <w:pStyle w:val="ListParagraph"/>
        <w:rPr>
          <w:rFonts w:asciiTheme="majorHAnsi" w:hAnsiTheme="majorHAnsi"/>
          <w:sz w:val="20"/>
          <w:szCs w:val="20"/>
          <w:lang w:val="es-VE"/>
        </w:rPr>
      </w:pPr>
    </w:p>
    <w:p w:rsidR="006860C3" w:rsidRPr="00B56CF7" w:rsidRDefault="006860C3" w:rsidP="006860C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El 24 de febrero de 1997 la Sala I de la Cámara Nacional de Casación Penal resolvió rechazar el recurso de inconstitucionalidad y confirmar la resolución que denegó la excarcelación de Gabriel Oscar Jenkins</w:t>
      </w:r>
      <w:r w:rsidRPr="00B56CF7">
        <w:rPr>
          <w:rStyle w:val="FootnoteReference"/>
          <w:rFonts w:asciiTheme="majorHAnsi" w:hAnsiTheme="majorHAnsi"/>
          <w:sz w:val="20"/>
          <w:szCs w:val="20"/>
          <w:lang w:val="es-VE"/>
        </w:rPr>
        <w:footnoteReference w:id="37"/>
      </w:r>
      <w:r w:rsidRPr="00B56CF7">
        <w:rPr>
          <w:rFonts w:asciiTheme="majorHAnsi" w:hAnsiTheme="majorHAnsi"/>
          <w:sz w:val="20"/>
          <w:szCs w:val="20"/>
          <w:lang w:val="es-VE"/>
        </w:rPr>
        <w:t>.</w:t>
      </w:r>
      <w:r w:rsidR="00C93D7B" w:rsidRPr="00B56CF7">
        <w:rPr>
          <w:rFonts w:asciiTheme="majorHAnsi" w:hAnsiTheme="majorHAnsi"/>
          <w:sz w:val="20"/>
          <w:szCs w:val="20"/>
          <w:lang w:val="es-VE"/>
        </w:rPr>
        <w:t xml:space="preserve"> </w:t>
      </w:r>
    </w:p>
    <w:p w:rsidR="005A4311" w:rsidRPr="00B56CF7" w:rsidRDefault="005A4311" w:rsidP="005A4311">
      <w:pPr>
        <w:pStyle w:val="ListParagraph"/>
        <w:ind w:left="1440"/>
        <w:jc w:val="both"/>
        <w:rPr>
          <w:rFonts w:asciiTheme="majorHAnsi" w:hAnsiTheme="majorHAnsi"/>
          <w:b/>
          <w:sz w:val="20"/>
          <w:szCs w:val="20"/>
          <w:lang w:val="es-VE"/>
        </w:rPr>
      </w:pPr>
    </w:p>
    <w:p w:rsidR="00967BDC" w:rsidRPr="00B56CF7" w:rsidRDefault="006860C3" w:rsidP="006860C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La defensa de la presunta víctima interpuso un recurso extraordinario contra la resolución que denegó el recurso de inconstitucionalidad</w:t>
      </w:r>
      <w:r w:rsidR="00967BDC" w:rsidRPr="00B56CF7">
        <w:rPr>
          <w:rFonts w:asciiTheme="majorHAnsi" w:hAnsiTheme="majorHAnsi"/>
          <w:sz w:val="20"/>
          <w:szCs w:val="20"/>
          <w:lang w:val="es-VE"/>
        </w:rPr>
        <w:t>,</w:t>
      </w:r>
      <w:r w:rsidR="00C07B37" w:rsidRPr="00B56CF7">
        <w:rPr>
          <w:rFonts w:asciiTheme="majorHAnsi" w:hAnsiTheme="majorHAnsi"/>
          <w:sz w:val="20"/>
          <w:szCs w:val="20"/>
          <w:lang w:val="es-VE"/>
        </w:rPr>
        <w:t xml:space="preserve"> </w:t>
      </w:r>
      <w:r w:rsidRPr="00B56CF7">
        <w:rPr>
          <w:rFonts w:asciiTheme="majorHAnsi" w:hAnsiTheme="majorHAnsi"/>
          <w:sz w:val="20"/>
          <w:szCs w:val="20"/>
          <w:lang w:val="es-VE"/>
        </w:rPr>
        <w:t>por considerar que la Sala emitió una decisión arbitraria al no pronunciarse sobre los argumentos presentados por la defensa, sobre todo respecto de la inconstitucionalidad del artículo 10 de la ley 24.390</w:t>
      </w:r>
      <w:r w:rsidRPr="00B56CF7">
        <w:rPr>
          <w:rFonts w:asciiTheme="majorHAnsi" w:hAnsiTheme="majorHAnsi"/>
          <w:sz w:val="20"/>
          <w:szCs w:val="20"/>
          <w:vertAlign w:val="superscript"/>
        </w:rPr>
        <w:footnoteReference w:id="38"/>
      </w:r>
      <w:r w:rsidRPr="00B56CF7">
        <w:rPr>
          <w:rFonts w:asciiTheme="majorHAnsi" w:hAnsiTheme="majorHAnsi"/>
          <w:sz w:val="20"/>
          <w:szCs w:val="20"/>
          <w:lang w:val="es-VE"/>
        </w:rPr>
        <w:t>.</w:t>
      </w:r>
    </w:p>
    <w:p w:rsidR="00967BDC" w:rsidRPr="00B56CF7" w:rsidRDefault="00967BDC" w:rsidP="00967BD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6860C3" w:rsidRPr="00B56CF7" w:rsidRDefault="006860C3" w:rsidP="006860C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 xml:space="preserve">El 10 de abril de 1997 la Sala I de la Cámara Nacional de Casación Penal </w:t>
      </w:r>
      <w:r w:rsidR="00962B4C" w:rsidRPr="00B56CF7">
        <w:rPr>
          <w:rFonts w:asciiTheme="majorHAnsi" w:hAnsiTheme="majorHAnsi"/>
          <w:sz w:val="20"/>
          <w:szCs w:val="20"/>
          <w:lang w:val="es-VE"/>
        </w:rPr>
        <w:t>declaró</w:t>
      </w:r>
      <w:r w:rsidRPr="00B56CF7">
        <w:rPr>
          <w:rFonts w:asciiTheme="majorHAnsi" w:hAnsiTheme="majorHAnsi"/>
          <w:sz w:val="20"/>
          <w:szCs w:val="20"/>
          <w:lang w:val="es-VE"/>
        </w:rPr>
        <w:t xml:space="preserve"> inadmisible el recurso extraordinario interpuesto</w:t>
      </w:r>
      <w:r w:rsidR="00403AC1">
        <w:rPr>
          <w:rFonts w:asciiTheme="majorHAnsi" w:hAnsiTheme="majorHAnsi"/>
          <w:sz w:val="20"/>
          <w:szCs w:val="20"/>
          <w:lang w:val="es-VE"/>
        </w:rPr>
        <w:t>,</w:t>
      </w:r>
      <w:r w:rsidRPr="00B56CF7">
        <w:rPr>
          <w:rFonts w:asciiTheme="majorHAnsi" w:hAnsiTheme="majorHAnsi"/>
          <w:sz w:val="20"/>
          <w:szCs w:val="20"/>
          <w:lang w:val="es-VE"/>
        </w:rPr>
        <w:t xml:space="preserve"> por </w:t>
      </w:r>
      <w:r w:rsidR="00F735AE" w:rsidRPr="00B56CF7">
        <w:rPr>
          <w:rFonts w:asciiTheme="majorHAnsi" w:hAnsiTheme="majorHAnsi"/>
          <w:sz w:val="20"/>
          <w:szCs w:val="20"/>
          <w:lang w:val="es-VE"/>
        </w:rPr>
        <w:t>estimar</w:t>
      </w:r>
      <w:r w:rsidRPr="00B56CF7">
        <w:rPr>
          <w:rFonts w:asciiTheme="majorHAnsi" w:hAnsiTheme="majorHAnsi"/>
          <w:sz w:val="20"/>
          <w:szCs w:val="20"/>
          <w:lang w:val="es-VE"/>
        </w:rPr>
        <w:t xml:space="preserve"> que las cuestiones planteadas ya fueron resueltas en los precedentes de la Corte Suprema de Justicia</w:t>
      </w:r>
      <w:r w:rsidRPr="00B56CF7">
        <w:rPr>
          <w:rStyle w:val="FootnoteReference"/>
          <w:rFonts w:asciiTheme="majorHAnsi" w:hAnsiTheme="majorHAnsi"/>
          <w:sz w:val="20"/>
          <w:szCs w:val="20"/>
          <w:lang w:val="es-VE"/>
        </w:rPr>
        <w:footnoteReference w:id="39"/>
      </w:r>
      <w:r w:rsidRPr="00B56CF7">
        <w:rPr>
          <w:rFonts w:asciiTheme="majorHAnsi" w:hAnsiTheme="majorHAnsi"/>
          <w:sz w:val="20"/>
          <w:szCs w:val="20"/>
          <w:lang w:val="es-VE"/>
        </w:rPr>
        <w:t xml:space="preserve"> y que los agravios esgrimidos indican una interpretación</w:t>
      </w:r>
      <w:r w:rsidR="00F92604" w:rsidRPr="00B56CF7">
        <w:rPr>
          <w:rFonts w:asciiTheme="majorHAnsi" w:hAnsiTheme="majorHAnsi"/>
          <w:sz w:val="20"/>
          <w:szCs w:val="20"/>
          <w:lang w:val="es-VE"/>
        </w:rPr>
        <w:t xml:space="preserve"> </w:t>
      </w:r>
      <w:r w:rsidR="00F92604" w:rsidRPr="00B56CF7">
        <w:rPr>
          <w:rFonts w:asciiTheme="majorHAnsi" w:hAnsiTheme="majorHAnsi"/>
          <w:sz w:val="20"/>
          <w:szCs w:val="20"/>
          <w:lang w:val="es-VE"/>
        </w:rPr>
        <w:lastRenderedPageBreak/>
        <w:t>personal</w:t>
      </w:r>
      <w:r w:rsidRPr="00B56CF7">
        <w:rPr>
          <w:rFonts w:asciiTheme="majorHAnsi" w:hAnsiTheme="majorHAnsi"/>
          <w:sz w:val="20"/>
          <w:szCs w:val="20"/>
          <w:lang w:val="es-VE"/>
        </w:rPr>
        <w:t xml:space="preserve"> de la defen</w:t>
      </w:r>
      <w:r w:rsidR="00F735AE" w:rsidRPr="00B56CF7">
        <w:rPr>
          <w:rFonts w:asciiTheme="majorHAnsi" w:hAnsiTheme="majorHAnsi"/>
          <w:sz w:val="20"/>
          <w:szCs w:val="20"/>
          <w:lang w:val="es-VE"/>
        </w:rPr>
        <w:t xml:space="preserve">sa </w:t>
      </w:r>
      <w:r w:rsidR="00F92604" w:rsidRPr="00B56CF7">
        <w:rPr>
          <w:rFonts w:asciiTheme="majorHAnsi" w:hAnsiTheme="majorHAnsi"/>
          <w:sz w:val="20"/>
          <w:szCs w:val="20"/>
          <w:lang w:val="es-VE"/>
        </w:rPr>
        <w:t>de</w:t>
      </w:r>
      <w:r w:rsidR="00F735AE" w:rsidRPr="00B56CF7">
        <w:rPr>
          <w:rFonts w:asciiTheme="majorHAnsi" w:hAnsiTheme="majorHAnsi"/>
          <w:sz w:val="20"/>
          <w:szCs w:val="20"/>
          <w:lang w:val="es-VE"/>
        </w:rPr>
        <w:t xml:space="preserve"> las normas internacionales</w:t>
      </w:r>
      <w:r w:rsidR="00403AC1">
        <w:rPr>
          <w:rFonts w:asciiTheme="majorHAnsi" w:hAnsiTheme="majorHAnsi"/>
          <w:sz w:val="20"/>
          <w:szCs w:val="20"/>
          <w:lang w:val="es-VE"/>
        </w:rPr>
        <w:t>,</w:t>
      </w:r>
      <w:r w:rsidRPr="00B56CF7">
        <w:rPr>
          <w:rFonts w:asciiTheme="majorHAnsi" w:hAnsiTheme="majorHAnsi"/>
          <w:sz w:val="20"/>
          <w:szCs w:val="20"/>
          <w:lang w:val="es-VE"/>
        </w:rPr>
        <w:t xml:space="preserve"> </w:t>
      </w:r>
      <w:r w:rsidR="00C07B37" w:rsidRPr="00B56CF7">
        <w:rPr>
          <w:rFonts w:asciiTheme="majorHAnsi" w:hAnsiTheme="majorHAnsi"/>
          <w:sz w:val="20"/>
          <w:szCs w:val="20"/>
          <w:lang w:val="es-VE"/>
        </w:rPr>
        <w:t>así</w:t>
      </w:r>
      <w:r w:rsidRPr="00B56CF7">
        <w:rPr>
          <w:rFonts w:asciiTheme="majorHAnsi" w:hAnsiTheme="majorHAnsi"/>
          <w:sz w:val="20"/>
          <w:szCs w:val="20"/>
          <w:lang w:val="es-VE"/>
        </w:rPr>
        <w:t xml:space="preserve"> como del precedente “Arana” de la Corte Suprema de Justicia, sin que se advierta ninguna arbitrariedad</w:t>
      </w:r>
      <w:r w:rsidRPr="00B56CF7">
        <w:rPr>
          <w:rStyle w:val="FootnoteReference"/>
          <w:rFonts w:asciiTheme="majorHAnsi" w:hAnsiTheme="majorHAnsi"/>
          <w:sz w:val="20"/>
          <w:szCs w:val="20"/>
          <w:lang w:val="es-VE"/>
        </w:rPr>
        <w:footnoteReference w:id="40"/>
      </w:r>
      <w:r w:rsidRPr="00B56CF7">
        <w:rPr>
          <w:rFonts w:asciiTheme="majorHAnsi" w:hAnsiTheme="majorHAnsi"/>
          <w:sz w:val="20"/>
          <w:szCs w:val="20"/>
          <w:lang w:val="es-VE"/>
        </w:rPr>
        <w:t xml:space="preserve">. </w:t>
      </w:r>
    </w:p>
    <w:p w:rsidR="004604B5" w:rsidRPr="0062236D" w:rsidRDefault="004604B5" w:rsidP="0062236D">
      <w:pPr>
        <w:rPr>
          <w:rFonts w:asciiTheme="majorHAnsi" w:hAnsiTheme="majorHAnsi"/>
          <w:sz w:val="20"/>
          <w:szCs w:val="20"/>
          <w:lang w:val="es-VE"/>
        </w:rPr>
      </w:pPr>
    </w:p>
    <w:p w:rsidR="004604B5" w:rsidRPr="00B56CF7" w:rsidRDefault="009565D1" w:rsidP="002241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Según consta en el expediente, con posterioridad a la denegatoria del recurso extraordinario</w:t>
      </w:r>
      <w:r w:rsidR="00F735AE" w:rsidRPr="00B56CF7">
        <w:rPr>
          <w:rFonts w:asciiTheme="majorHAnsi" w:hAnsiTheme="majorHAnsi"/>
          <w:sz w:val="20"/>
          <w:szCs w:val="20"/>
          <w:lang w:val="es-VE"/>
        </w:rPr>
        <w:t>,</w:t>
      </w:r>
      <w:r w:rsidRPr="00B56CF7">
        <w:rPr>
          <w:rFonts w:asciiTheme="majorHAnsi" w:hAnsiTheme="majorHAnsi"/>
          <w:sz w:val="20"/>
          <w:szCs w:val="20"/>
          <w:lang w:val="es-VE"/>
        </w:rPr>
        <w:t xml:space="preserve"> el peticionario interpuso un</w:t>
      </w:r>
      <w:r w:rsidR="00A24527" w:rsidRPr="00B56CF7">
        <w:rPr>
          <w:rFonts w:asciiTheme="majorHAnsi" w:hAnsiTheme="majorHAnsi"/>
          <w:sz w:val="20"/>
          <w:szCs w:val="20"/>
          <w:lang w:val="es-VE"/>
        </w:rPr>
        <w:t>a serie de recursos adicionales</w:t>
      </w:r>
      <w:r w:rsidR="00D34C63" w:rsidRPr="00B56CF7">
        <w:rPr>
          <w:rFonts w:asciiTheme="majorHAnsi" w:hAnsiTheme="majorHAnsi"/>
          <w:sz w:val="20"/>
          <w:szCs w:val="20"/>
          <w:lang w:val="es-VE"/>
        </w:rPr>
        <w:t xml:space="preserve"> contra </w:t>
      </w:r>
      <w:r w:rsidR="00457DCE" w:rsidRPr="00B56CF7">
        <w:rPr>
          <w:rFonts w:asciiTheme="majorHAnsi" w:hAnsiTheme="majorHAnsi"/>
          <w:sz w:val="20"/>
          <w:szCs w:val="20"/>
          <w:lang w:val="es-VE"/>
        </w:rPr>
        <w:t>dicha</w:t>
      </w:r>
      <w:r w:rsidR="00D34C63" w:rsidRPr="00B56CF7">
        <w:rPr>
          <w:rFonts w:asciiTheme="majorHAnsi" w:hAnsiTheme="majorHAnsi"/>
          <w:sz w:val="20"/>
          <w:szCs w:val="20"/>
          <w:lang w:val="es-VE"/>
        </w:rPr>
        <w:t xml:space="preserve"> deneg</w:t>
      </w:r>
      <w:r w:rsidR="00B24F59" w:rsidRPr="00B56CF7">
        <w:rPr>
          <w:rFonts w:asciiTheme="majorHAnsi" w:hAnsiTheme="majorHAnsi"/>
          <w:sz w:val="20"/>
          <w:szCs w:val="20"/>
          <w:lang w:val="es-VE"/>
        </w:rPr>
        <w:t>at</w:t>
      </w:r>
      <w:r w:rsidR="00D34C63" w:rsidRPr="00B56CF7">
        <w:rPr>
          <w:rFonts w:asciiTheme="majorHAnsi" w:hAnsiTheme="majorHAnsi"/>
          <w:sz w:val="20"/>
          <w:szCs w:val="20"/>
          <w:lang w:val="es-VE"/>
        </w:rPr>
        <w:t>oria</w:t>
      </w:r>
      <w:r w:rsidR="00457DCE" w:rsidRPr="00B56CF7">
        <w:rPr>
          <w:rFonts w:asciiTheme="majorHAnsi" w:hAnsiTheme="majorHAnsi"/>
          <w:sz w:val="20"/>
          <w:szCs w:val="20"/>
          <w:lang w:val="es-VE"/>
        </w:rPr>
        <w:t>.</w:t>
      </w:r>
      <w:r w:rsidRPr="00B56CF7">
        <w:rPr>
          <w:rFonts w:asciiTheme="majorHAnsi" w:hAnsiTheme="majorHAnsi"/>
          <w:sz w:val="20"/>
          <w:szCs w:val="20"/>
          <w:lang w:val="es-VE"/>
        </w:rPr>
        <w:t xml:space="preserve"> </w:t>
      </w:r>
      <w:r w:rsidR="00457DCE" w:rsidRPr="00B56CF7">
        <w:rPr>
          <w:rFonts w:asciiTheme="majorHAnsi" w:hAnsiTheme="majorHAnsi"/>
          <w:sz w:val="20"/>
          <w:szCs w:val="20"/>
          <w:lang w:val="es-VE"/>
        </w:rPr>
        <w:t>E</w:t>
      </w:r>
      <w:r w:rsidRPr="00B56CF7">
        <w:rPr>
          <w:rFonts w:asciiTheme="majorHAnsi" w:hAnsiTheme="majorHAnsi"/>
          <w:sz w:val="20"/>
          <w:szCs w:val="20"/>
          <w:lang w:val="es-VE"/>
        </w:rPr>
        <w:t>n particular</w:t>
      </w:r>
      <w:r w:rsidR="007D0758" w:rsidRPr="00B56CF7">
        <w:rPr>
          <w:rFonts w:asciiTheme="majorHAnsi" w:hAnsiTheme="majorHAnsi"/>
          <w:sz w:val="20"/>
          <w:szCs w:val="20"/>
          <w:lang w:val="es-VE"/>
        </w:rPr>
        <w:t>,</w:t>
      </w:r>
      <w:r w:rsidR="000D180C" w:rsidRPr="00B56CF7">
        <w:rPr>
          <w:rFonts w:asciiTheme="majorHAnsi" w:hAnsiTheme="majorHAnsi"/>
          <w:sz w:val="20"/>
          <w:szCs w:val="20"/>
          <w:lang w:val="es-VE"/>
        </w:rPr>
        <w:t xml:space="preserve"> interpuso</w:t>
      </w:r>
      <w:r w:rsidRPr="00B56CF7">
        <w:rPr>
          <w:rFonts w:asciiTheme="majorHAnsi" w:hAnsiTheme="majorHAnsi"/>
          <w:sz w:val="20"/>
          <w:szCs w:val="20"/>
          <w:lang w:val="es-VE"/>
        </w:rPr>
        <w:t xml:space="preserve"> un recurso de queja, un recurso titulado </w:t>
      </w:r>
      <w:r w:rsidR="00F735AE" w:rsidRPr="00B56CF7">
        <w:rPr>
          <w:rFonts w:asciiTheme="majorHAnsi" w:hAnsiTheme="majorHAnsi"/>
          <w:sz w:val="20"/>
          <w:szCs w:val="20"/>
          <w:lang w:val="es-VE"/>
        </w:rPr>
        <w:t>“</w:t>
      </w:r>
      <w:r w:rsidRPr="00B56CF7">
        <w:rPr>
          <w:rFonts w:asciiTheme="majorHAnsi" w:hAnsiTheme="majorHAnsi"/>
          <w:sz w:val="20"/>
          <w:szCs w:val="20"/>
          <w:lang w:val="es-VE"/>
        </w:rPr>
        <w:t>garantía de libertad</w:t>
      </w:r>
      <w:r w:rsidR="00F735AE" w:rsidRPr="00B56CF7">
        <w:rPr>
          <w:rFonts w:asciiTheme="majorHAnsi" w:hAnsiTheme="majorHAnsi"/>
          <w:sz w:val="20"/>
          <w:szCs w:val="20"/>
          <w:lang w:val="es-VE"/>
        </w:rPr>
        <w:t>”</w:t>
      </w:r>
      <w:r w:rsidRPr="00B56CF7">
        <w:rPr>
          <w:rFonts w:asciiTheme="majorHAnsi" w:hAnsiTheme="majorHAnsi"/>
          <w:sz w:val="20"/>
          <w:szCs w:val="20"/>
          <w:lang w:val="es-VE"/>
        </w:rPr>
        <w:t xml:space="preserve"> y un recurso de reposici</w:t>
      </w:r>
      <w:r w:rsidR="001B38EF" w:rsidRPr="00B56CF7">
        <w:rPr>
          <w:rFonts w:asciiTheme="majorHAnsi" w:hAnsiTheme="majorHAnsi"/>
          <w:sz w:val="20"/>
          <w:szCs w:val="20"/>
          <w:lang w:val="es-VE"/>
        </w:rPr>
        <w:t>ón.</w:t>
      </w:r>
      <w:r w:rsidRPr="00B56CF7">
        <w:rPr>
          <w:rFonts w:asciiTheme="majorHAnsi" w:hAnsiTheme="majorHAnsi"/>
          <w:sz w:val="20"/>
          <w:szCs w:val="20"/>
          <w:lang w:val="es-VE"/>
        </w:rPr>
        <w:t xml:space="preserve"> La Comisión no tiene conocimiento del resultado </w:t>
      </w:r>
      <w:r w:rsidR="00894765" w:rsidRPr="00B56CF7">
        <w:rPr>
          <w:rFonts w:asciiTheme="majorHAnsi" w:hAnsiTheme="majorHAnsi"/>
          <w:sz w:val="20"/>
          <w:szCs w:val="20"/>
          <w:lang w:val="es-VE"/>
        </w:rPr>
        <w:t>de</w:t>
      </w:r>
      <w:r w:rsidRPr="00B56CF7">
        <w:rPr>
          <w:rFonts w:asciiTheme="majorHAnsi" w:hAnsiTheme="majorHAnsi"/>
          <w:sz w:val="20"/>
          <w:szCs w:val="20"/>
          <w:lang w:val="es-VE"/>
        </w:rPr>
        <w:t xml:space="preserve"> dichos recursos</w:t>
      </w:r>
      <w:r w:rsidRPr="00B56CF7">
        <w:rPr>
          <w:rStyle w:val="FootnoteReference"/>
          <w:rFonts w:asciiTheme="majorHAnsi" w:hAnsiTheme="majorHAnsi"/>
          <w:sz w:val="20"/>
          <w:szCs w:val="20"/>
          <w:lang w:val="es-VE"/>
        </w:rPr>
        <w:footnoteReference w:id="41"/>
      </w:r>
      <w:r w:rsidRPr="00B56CF7">
        <w:rPr>
          <w:rFonts w:asciiTheme="majorHAnsi" w:hAnsiTheme="majorHAnsi"/>
          <w:sz w:val="20"/>
          <w:szCs w:val="20"/>
          <w:lang w:val="es-VE"/>
        </w:rPr>
        <w:t xml:space="preserve">. </w:t>
      </w:r>
    </w:p>
    <w:p w:rsidR="00AC0D64" w:rsidRPr="00B56CF7" w:rsidRDefault="00AC0D64" w:rsidP="00AC0D6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AC0D64" w:rsidRPr="00B56CF7" w:rsidRDefault="00AC0D64" w:rsidP="002241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Según informaron las partes, el peticionario fue liber</w:t>
      </w:r>
      <w:r w:rsidR="007F27F6" w:rsidRPr="00B56CF7">
        <w:rPr>
          <w:rFonts w:asciiTheme="majorHAnsi" w:hAnsiTheme="majorHAnsi"/>
          <w:sz w:val="20"/>
          <w:szCs w:val="20"/>
          <w:lang w:val="es-VE"/>
        </w:rPr>
        <w:t>ado el 13 de noviembre de 1997 a través de resolución del Tribunal en lo Criminal Federal No</w:t>
      </w:r>
      <w:r w:rsidR="004264E0" w:rsidRPr="00B56CF7">
        <w:rPr>
          <w:rFonts w:asciiTheme="majorHAnsi" w:hAnsiTheme="majorHAnsi"/>
          <w:sz w:val="20"/>
          <w:szCs w:val="20"/>
          <w:lang w:val="es-VE"/>
        </w:rPr>
        <w:t>.</w:t>
      </w:r>
      <w:r w:rsidR="007F27F6" w:rsidRPr="00B56CF7">
        <w:rPr>
          <w:rFonts w:asciiTheme="majorHAnsi" w:hAnsiTheme="majorHAnsi"/>
          <w:sz w:val="20"/>
          <w:szCs w:val="20"/>
          <w:lang w:val="es-VE"/>
        </w:rPr>
        <w:t xml:space="preserve"> 6 de Capital Federal, luego de constatar, según indicó el Estado</w:t>
      </w:r>
      <w:r w:rsidR="007D0758" w:rsidRPr="00B56CF7">
        <w:rPr>
          <w:rFonts w:asciiTheme="majorHAnsi" w:hAnsiTheme="majorHAnsi"/>
          <w:sz w:val="20"/>
          <w:szCs w:val="20"/>
          <w:lang w:val="es-VE"/>
        </w:rPr>
        <w:t>,</w:t>
      </w:r>
      <w:r w:rsidR="007F27F6" w:rsidRPr="00B56CF7">
        <w:rPr>
          <w:rFonts w:asciiTheme="majorHAnsi" w:hAnsiTheme="majorHAnsi"/>
          <w:sz w:val="20"/>
          <w:szCs w:val="20"/>
          <w:lang w:val="es-VE"/>
        </w:rPr>
        <w:t xml:space="preserve"> “la falsedad ideológica de ciertas constancias probatorias” que obraban en contra del peticionario. </w:t>
      </w:r>
      <w:r w:rsidR="00736B68" w:rsidRPr="00B56CF7">
        <w:rPr>
          <w:rFonts w:asciiTheme="majorHAnsi" w:hAnsiTheme="majorHAnsi"/>
          <w:sz w:val="20"/>
          <w:szCs w:val="20"/>
          <w:lang w:val="es-VE"/>
        </w:rPr>
        <w:t xml:space="preserve">Como se describió arriba, esta liberación fue seguida de la absolución del señor Jenkins que tuvo lugar semanas después. </w:t>
      </w:r>
    </w:p>
    <w:p w:rsidR="009249B2" w:rsidRPr="00B56CF7" w:rsidRDefault="009249B2" w:rsidP="004F57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3F706E" w:rsidRPr="00B56CF7" w:rsidRDefault="003F706E" w:rsidP="009C1821">
      <w:pPr>
        <w:pStyle w:val="Heading2"/>
        <w:numPr>
          <w:ilvl w:val="0"/>
          <w:numId w:val="60"/>
        </w:numPr>
        <w:rPr>
          <w:lang w:val="es-VE"/>
        </w:rPr>
      </w:pPr>
      <w:bookmarkStart w:id="52" w:name="_Toc467577913"/>
      <w:bookmarkStart w:id="53" w:name="_Toc469409089"/>
      <w:r w:rsidRPr="00B56CF7">
        <w:rPr>
          <w:lang w:val="es-VE"/>
        </w:rPr>
        <w:t>Las investigaciones penal y administrativa por la prueba incorporada en la causa penal contra la presunta víctima</w:t>
      </w:r>
      <w:bookmarkEnd w:id="52"/>
      <w:bookmarkEnd w:id="53"/>
      <w:r w:rsidRPr="00B56CF7">
        <w:rPr>
          <w:lang w:val="es-VE"/>
        </w:rPr>
        <w:t xml:space="preserve"> </w:t>
      </w:r>
    </w:p>
    <w:p w:rsidR="00FA0908" w:rsidRPr="00B56CF7" w:rsidRDefault="00FA0908" w:rsidP="009249B2">
      <w:pPr>
        <w:jc w:val="both"/>
        <w:rPr>
          <w:rFonts w:asciiTheme="majorHAnsi" w:hAnsiTheme="majorHAnsi"/>
          <w:b/>
          <w:sz w:val="20"/>
          <w:szCs w:val="20"/>
          <w:lang w:val="es-VE"/>
        </w:rPr>
      </w:pPr>
    </w:p>
    <w:p w:rsidR="009C1821" w:rsidRPr="00B56CF7" w:rsidRDefault="009C1821" w:rsidP="00FA090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hAnsiTheme="majorHAnsi"/>
          <w:sz w:val="20"/>
          <w:szCs w:val="20"/>
          <w:lang w:val="es-VE"/>
        </w:rPr>
        <w:t>Tal como se indicó con anterioridad, en la sentencia que absolvió al peticionario por los</w:t>
      </w:r>
      <w:r w:rsidRPr="00B56CF7">
        <w:rPr>
          <w:rFonts w:asciiTheme="majorHAnsi" w:eastAsia="Times New Roman" w:hAnsiTheme="majorHAnsi"/>
          <w:sz w:val="20"/>
          <w:szCs w:val="20"/>
          <w:bdr w:val="none" w:sz="0" w:space="0" w:color="auto"/>
          <w:lang w:val="es-AR"/>
        </w:rPr>
        <w:t xml:space="preserve"> delitos de tráfico ilícito de estupefacientes y asociación ilícita, el </w:t>
      </w:r>
      <w:r w:rsidR="00FA0908" w:rsidRPr="00B56CF7">
        <w:rPr>
          <w:rFonts w:asciiTheme="majorHAnsi" w:eastAsia="Times New Roman" w:hAnsiTheme="majorHAnsi"/>
          <w:sz w:val="20"/>
          <w:szCs w:val="20"/>
          <w:bdr w:val="none" w:sz="0" w:space="0" w:color="auto"/>
          <w:lang w:val="es-AR"/>
        </w:rPr>
        <w:t xml:space="preserve">Tribunal Oral en lo Criminal Federal No. 6 de la Capital Federal ordenó </w:t>
      </w:r>
      <w:r w:rsidR="00FA0908" w:rsidRPr="00B56CF7">
        <w:rPr>
          <w:rFonts w:asciiTheme="majorHAnsi" w:hAnsiTheme="majorHAnsi"/>
          <w:sz w:val="20"/>
          <w:szCs w:val="20"/>
          <w:lang w:val="es-VE"/>
        </w:rPr>
        <w:t xml:space="preserve">investigar la eventual comisión de un delito de acción pública por las diferencias en el contenido del </w:t>
      </w:r>
      <w:proofErr w:type="spellStart"/>
      <w:r w:rsidR="00FA0908" w:rsidRPr="00B56CF7">
        <w:rPr>
          <w:rFonts w:asciiTheme="majorHAnsi" w:hAnsiTheme="majorHAnsi"/>
          <w:sz w:val="20"/>
          <w:szCs w:val="20"/>
          <w:lang w:val="es-VE"/>
        </w:rPr>
        <w:t>cassette</w:t>
      </w:r>
      <w:proofErr w:type="spellEnd"/>
      <w:r w:rsidR="00FA0908" w:rsidRPr="00B56CF7">
        <w:rPr>
          <w:rFonts w:asciiTheme="majorHAnsi" w:hAnsiTheme="majorHAnsi"/>
          <w:sz w:val="20"/>
          <w:szCs w:val="20"/>
          <w:lang w:val="es-VE"/>
        </w:rPr>
        <w:t xml:space="preserve"> </w:t>
      </w:r>
      <w:r w:rsidR="00297316" w:rsidRPr="00B56CF7">
        <w:rPr>
          <w:rFonts w:asciiTheme="majorHAnsi" w:hAnsiTheme="majorHAnsi"/>
          <w:sz w:val="20"/>
          <w:szCs w:val="20"/>
          <w:lang w:val="es-VE"/>
        </w:rPr>
        <w:t>N</w:t>
      </w:r>
      <w:r w:rsidR="00FA0908" w:rsidRPr="00B56CF7">
        <w:rPr>
          <w:rFonts w:asciiTheme="majorHAnsi" w:hAnsiTheme="majorHAnsi"/>
          <w:sz w:val="20"/>
          <w:szCs w:val="20"/>
          <w:lang w:val="es-VE"/>
        </w:rPr>
        <w:t xml:space="preserve">o. 40 y la constancia </w:t>
      </w:r>
      <w:proofErr w:type="spellStart"/>
      <w:r w:rsidR="00FA0908" w:rsidRPr="00B56CF7">
        <w:rPr>
          <w:rFonts w:asciiTheme="majorHAnsi" w:hAnsiTheme="majorHAnsi"/>
          <w:sz w:val="20"/>
          <w:szCs w:val="20"/>
          <w:lang w:val="es-VE"/>
        </w:rPr>
        <w:t>prevencional</w:t>
      </w:r>
      <w:proofErr w:type="spellEnd"/>
      <w:r w:rsidR="00FA0908" w:rsidRPr="00B56CF7">
        <w:rPr>
          <w:rFonts w:asciiTheme="majorHAnsi" w:hAnsiTheme="majorHAnsi"/>
          <w:sz w:val="20"/>
          <w:szCs w:val="20"/>
          <w:lang w:val="es-VE"/>
        </w:rPr>
        <w:t xml:space="preserve"> que obraba en el folio 1099 del proceso</w:t>
      </w:r>
      <w:r w:rsidR="00F109B2" w:rsidRPr="00B56CF7">
        <w:rPr>
          <w:rFonts w:asciiTheme="majorHAnsi" w:hAnsiTheme="majorHAnsi"/>
          <w:sz w:val="20"/>
          <w:szCs w:val="20"/>
          <w:lang w:val="es-VE"/>
        </w:rPr>
        <w:t>, así como por el hecho de que tales</w:t>
      </w:r>
      <w:r w:rsidR="00FA0908" w:rsidRPr="00B56CF7">
        <w:rPr>
          <w:rFonts w:asciiTheme="majorHAnsi" w:hAnsiTheme="majorHAnsi"/>
          <w:sz w:val="20"/>
          <w:szCs w:val="20"/>
          <w:lang w:val="es-VE"/>
        </w:rPr>
        <w:t xml:space="preserve"> elementos fueron considerados como prueba de cargo en contra del peticionario</w:t>
      </w:r>
      <w:r w:rsidR="00C8073A" w:rsidRPr="0062236D">
        <w:rPr>
          <w:rStyle w:val="FootnoteReference"/>
          <w:rFonts w:asciiTheme="majorHAnsi" w:hAnsiTheme="majorHAnsi"/>
          <w:sz w:val="20"/>
          <w:szCs w:val="20"/>
          <w:lang w:val="es-VE"/>
        </w:rPr>
        <w:footnoteReference w:id="42"/>
      </w:r>
      <w:r w:rsidR="00FA0908" w:rsidRPr="00B56CF7">
        <w:rPr>
          <w:rFonts w:asciiTheme="majorHAnsi" w:hAnsiTheme="majorHAnsi"/>
          <w:sz w:val="20"/>
          <w:szCs w:val="20"/>
          <w:lang w:val="es-VE"/>
        </w:rPr>
        <w:t>.</w:t>
      </w:r>
      <w:r w:rsidR="00297316" w:rsidRPr="00B56CF7">
        <w:rPr>
          <w:rFonts w:asciiTheme="majorHAnsi" w:hAnsiTheme="majorHAnsi"/>
          <w:sz w:val="20"/>
          <w:szCs w:val="20"/>
          <w:lang w:val="es-VE"/>
        </w:rPr>
        <w:t xml:space="preserve"> </w:t>
      </w:r>
    </w:p>
    <w:p w:rsidR="00FA0908" w:rsidRPr="00B56CF7" w:rsidRDefault="00FA0908" w:rsidP="00FA090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p>
    <w:p w:rsidR="00FA0908" w:rsidRPr="00B56CF7" w:rsidRDefault="00FA0908" w:rsidP="00FA090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eastAsia="Times New Roman" w:hAnsiTheme="majorHAnsi"/>
          <w:sz w:val="20"/>
          <w:szCs w:val="20"/>
          <w:bdr w:val="none" w:sz="0" w:space="0" w:color="auto"/>
          <w:lang w:val="es-AR"/>
        </w:rPr>
        <w:t xml:space="preserve">En virtud de ello se iniciaron </w:t>
      </w:r>
      <w:r w:rsidR="00CE20B6" w:rsidRPr="00B56CF7">
        <w:rPr>
          <w:rFonts w:asciiTheme="majorHAnsi" w:eastAsia="Times New Roman" w:hAnsiTheme="majorHAnsi"/>
          <w:sz w:val="20"/>
          <w:szCs w:val="20"/>
          <w:bdr w:val="none" w:sz="0" w:space="0" w:color="auto"/>
          <w:lang w:val="es-AR"/>
        </w:rPr>
        <w:t>dos</w:t>
      </w:r>
      <w:r w:rsidRPr="00B56CF7">
        <w:rPr>
          <w:rFonts w:asciiTheme="majorHAnsi" w:eastAsia="Times New Roman" w:hAnsiTheme="majorHAnsi"/>
          <w:sz w:val="20"/>
          <w:szCs w:val="20"/>
          <w:bdr w:val="none" w:sz="0" w:space="0" w:color="auto"/>
          <w:lang w:val="es-AR"/>
        </w:rPr>
        <w:t xml:space="preserve"> investigaciones en sede penal y en sede administrativa</w:t>
      </w:r>
      <w:r w:rsidR="00CE20B6" w:rsidRPr="00B56CF7">
        <w:rPr>
          <w:rFonts w:asciiTheme="majorHAnsi" w:eastAsia="Times New Roman" w:hAnsiTheme="majorHAnsi"/>
          <w:sz w:val="20"/>
          <w:szCs w:val="20"/>
          <w:bdr w:val="none" w:sz="0" w:space="0" w:color="auto"/>
          <w:lang w:val="es-AR"/>
        </w:rPr>
        <w:t xml:space="preserve"> respectivamente</w:t>
      </w:r>
      <w:r w:rsidRPr="00B56CF7">
        <w:rPr>
          <w:rFonts w:asciiTheme="majorHAnsi" w:eastAsia="Times New Roman" w:hAnsiTheme="majorHAnsi"/>
          <w:sz w:val="20"/>
          <w:szCs w:val="20"/>
          <w:bdr w:val="none" w:sz="0" w:space="0" w:color="auto"/>
          <w:lang w:val="es-AR"/>
        </w:rPr>
        <w:t>, las cuales se describen a continuación.</w:t>
      </w:r>
    </w:p>
    <w:p w:rsidR="00894765" w:rsidRPr="00B56CF7" w:rsidRDefault="00894765" w:rsidP="00224155">
      <w:pPr>
        <w:jc w:val="both"/>
        <w:rPr>
          <w:rFonts w:asciiTheme="majorHAnsi" w:hAnsiTheme="majorHAnsi"/>
          <w:b/>
          <w:sz w:val="20"/>
          <w:szCs w:val="20"/>
          <w:lang w:val="es-VE"/>
        </w:rPr>
      </w:pPr>
    </w:p>
    <w:p w:rsidR="00D31F3C" w:rsidRPr="00B760A7" w:rsidRDefault="0087528D" w:rsidP="00B760A7">
      <w:pPr>
        <w:pStyle w:val="Heading3"/>
        <w:numPr>
          <w:ilvl w:val="0"/>
          <w:numId w:val="74"/>
        </w:numPr>
        <w:ind w:firstLine="0"/>
        <w:rPr>
          <w:color w:val="auto"/>
          <w:sz w:val="20"/>
          <w:szCs w:val="20"/>
          <w:lang w:val="es-VE"/>
        </w:rPr>
      </w:pPr>
      <w:bookmarkStart w:id="54" w:name="_Toc469409090"/>
      <w:r w:rsidRPr="00B760A7">
        <w:rPr>
          <w:color w:val="auto"/>
          <w:sz w:val="20"/>
          <w:szCs w:val="20"/>
          <w:lang w:val="es-VE"/>
        </w:rPr>
        <w:t>Investigaciones en sede penal</w:t>
      </w:r>
      <w:bookmarkEnd w:id="54"/>
      <w:r w:rsidRPr="00B760A7">
        <w:rPr>
          <w:color w:val="auto"/>
          <w:sz w:val="20"/>
          <w:szCs w:val="20"/>
          <w:lang w:val="es-VE"/>
        </w:rPr>
        <w:t xml:space="preserve"> </w:t>
      </w:r>
    </w:p>
    <w:p w:rsidR="009B6C83" w:rsidRPr="00B56CF7" w:rsidRDefault="009B6C83" w:rsidP="009B6C83">
      <w:pPr>
        <w:ind w:left="1440"/>
        <w:jc w:val="both"/>
        <w:rPr>
          <w:rFonts w:asciiTheme="majorHAnsi" w:hAnsiTheme="majorHAnsi"/>
          <w:b/>
          <w:sz w:val="20"/>
          <w:szCs w:val="20"/>
          <w:lang w:val="es-VE"/>
        </w:rPr>
      </w:pPr>
    </w:p>
    <w:p w:rsidR="00911CD9" w:rsidRPr="00B56CF7" w:rsidRDefault="00D31F3C" w:rsidP="002241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El 25 de febrero de 1998 el Tribunal Oral en lo Criminal Federal remitió un oficio a la Cámara Nacional en lo C</w:t>
      </w:r>
      <w:r w:rsidR="00760390" w:rsidRPr="00B56CF7">
        <w:rPr>
          <w:rFonts w:asciiTheme="majorHAnsi" w:hAnsiTheme="majorHAnsi"/>
          <w:sz w:val="20"/>
          <w:szCs w:val="20"/>
          <w:lang w:val="es-VE"/>
        </w:rPr>
        <w:t xml:space="preserve">riminal y Correccional Federal </w:t>
      </w:r>
      <w:r w:rsidRPr="00B56CF7">
        <w:rPr>
          <w:rFonts w:asciiTheme="majorHAnsi" w:hAnsiTheme="majorHAnsi"/>
          <w:sz w:val="20"/>
          <w:szCs w:val="20"/>
          <w:lang w:val="es-VE"/>
        </w:rPr>
        <w:t>con el objeto de que investigue la</w:t>
      </w:r>
      <w:r w:rsidR="00891ADA">
        <w:rPr>
          <w:rFonts w:asciiTheme="majorHAnsi" w:hAnsiTheme="majorHAnsi"/>
          <w:sz w:val="20"/>
          <w:szCs w:val="20"/>
          <w:lang w:val="es-VE"/>
        </w:rPr>
        <w:t xml:space="preserve"> posible</w:t>
      </w:r>
      <w:r w:rsidRPr="00B56CF7">
        <w:rPr>
          <w:rFonts w:asciiTheme="majorHAnsi" w:hAnsiTheme="majorHAnsi"/>
          <w:sz w:val="20"/>
          <w:szCs w:val="20"/>
          <w:lang w:val="es-VE"/>
        </w:rPr>
        <w:t xml:space="preserve"> comisión de un delito en el marco de la causa “Padilla Echeverry”</w:t>
      </w:r>
      <w:r w:rsidRPr="00B56CF7">
        <w:rPr>
          <w:rFonts w:asciiTheme="majorHAnsi" w:hAnsiTheme="majorHAnsi"/>
          <w:sz w:val="20"/>
          <w:szCs w:val="20"/>
          <w:vertAlign w:val="superscript"/>
        </w:rPr>
        <w:footnoteReference w:id="43"/>
      </w:r>
      <w:r w:rsidRPr="00B56CF7">
        <w:rPr>
          <w:rFonts w:asciiTheme="majorHAnsi" w:hAnsiTheme="majorHAnsi"/>
          <w:sz w:val="20"/>
          <w:szCs w:val="20"/>
          <w:lang w:val="es-VE"/>
        </w:rPr>
        <w:t xml:space="preserve">. </w:t>
      </w:r>
    </w:p>
    <w:p w:rsidR="00911CD9" w:rsidRPr="00B56CF7" w:rsidRDefault="00911CD9" w:rsidP="00911CD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911CD9" w:rsidRPr="00B56CF7" w:rsidRDefault="008D29D4" w:rsidP="00911CD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 xml:space="preserve">El 26 de febrero de 1998 el Juzgado Nacional en lo Criminal y Correccional Federal No. 2 </w:t>
      </w:r>
      <w:r w:rsidR="00DF5598" w:rsidRPr="00B56CF7">
        <w:rPr>
          <w:rFonts w:asciiTheme="majorHAnsi" w:hAnsiTheme="majorHAnsi"/>
          <w:sz w:val="20"/>
          <w:szCs w:val="20"/>
          <w:lang w:val="es-VE"/>
        </w:rPr>
        <w:t>inició</w:t>
      </w:r>
      <w:r w:rsidRPr="00B56CF7">
        <w:rPr>
          <w:rFonts w:asciiTheme="majorHAnsi" w:hAnsiTheme="majorHAnsi"/>
          <w:sz w:val="20"/>
          <w:szCs w:val="20"/>
          <w:lang w:val="es-VE"/>
        </w:rPr>
        <w:t xml:space="preserve"> </w:t>
      </w:r>
      <w:r w:rsidR="00D31F3C" w:rsidRPr="00B56CF7">
        <w:rPr>
          <w:rFonts w:asciiTheme="majorHAnsi" w:hAnsiTheme="majorHAnsi"/>
          <w:sz w:val="20"/>
          <w:szCs w:val="20"/>
          <w:lang w:val="es-VE"/>
        </w:rPr>
        <w:t>la investigación</w:t>
      </w:r>
      <w:r w:rsidR="00D94765" w:rsidRPr="00B56CF7">
        <w:rPr>
          <w:rStyle w:val="FootnoteReference"/>
          <w:rFonts w:asciiTheme="majorHAnsi" w:hAnsiTheme="majorHAnsi"/>
          <w:sz w:val="20"/>
          <w:szCs w:val="20"/>
          <w:lang w:val="es-VE"/>
        </w:rPr>
        <w:footnoteReference w:id="44"/>
      </w:r>
      <w:r w:rsidR="00D94765" w:rsidRPr="00B56CF7">
        <w:rPr>
          <w:rFonts w:asciiTheme="majorHAnsi" w:hAnsiTheme="majorHAnsi"/>
          <w:sz w:val="20"/>
          <w:szCs w:val="20"/>
          <w:lang w:val="es-VE"/>
        </w:rPr>
        <w:t xml:space="preserve">. </w:t>
      </w:r>
      <w:r w:rsidR="00D31F3C" w:rsidRPr="00B56CF7">
        <w:rPr>
          <w:rFonts w:asciiTheme="majorHAnsi" w:hAnsiTheme="majorHAnsi"/>
          <w:sz w:val="20"/>
          <w:szCs w:val="20"/>
          <w:lang w:val="es-VE"/>
        </w:rPr>
        <w:t xml:space="preserve">En el marco de dicho proceso el </w:t>
      </w:r>
      <w:r w:rsidR="002A4AC6" w:rsidRPr="00B56CF7">
        <w:rPr>
          <w:rFonts w:asciiTheme="majorHAnsi" w:hAnsiTheme="majorHAnsi"/>
          <w:sz w:val="20"/>
          <w:szCs w:val="20"/>
          <w:lang w:val="es-VE"/>
        </w:rPr>
        <w:t xml:space="preserve">Ministerio Público </w:t>
      </w:r>
      <w:r w:rsidR="00C675D4" w:rsidRPr="00B56CF7">
        <w:rPr>
          <w:rFonts w:asciiTheme="majorHAnsi" w:hAnsiTheme="majorHAnsi"/>
          <w:sz w:val="20"/>
          <w:szCs w:val="20"/>
          <w:lang w:val="es-VE"/>
        </w:rPr>
        <w:t xml:space="preserve">confrontó el </w:t>
      </w:r>
      <w:proofErr w:type="spellStart"/>
      <w:r w:rsidR="00C675D4" w:rsidRPr="00B56CF7">
        <w:rPr>
          <w:rFonts w:asciiTheme="majorHAnsi" w:hAnsiTheme="majorHAnsi"/>
          <w:sz w:val="20"/>
          <w:szCs w:val="20"/>
          <w:lang w:val="es-VE"/>
        </w:rPr>
        <w:t>cassette</w:t>
      </w:r>
      <w:proofErr w:type="spellEnd"/>
      <w:r w:rsidR="00C675D4" w:rsidRPr="00B56CF7">
        <w:rPr>
          <w:rFonts w:asciiTheme="majorHAnsi" w:hAnsiTheme="majorHAnsi"/>
          <w:sz w:val="20"/>
          <w:szCs w:val="20"/>
          <w:lang w:val="es-VE"/>
        </w:rPr>
        <w:t xml:space="preserve"> con la </w:t>
      </w:r>
      <w:r w:rsidR="00CE20B6" w:rsidRPr="00B56CF7">
        <w:rPr>
          <w:rFonts w:asciiTheme="majorHAnsi" w:hAnsiTheme="majorHAnsi"/>
          <w:sz w:val="20"/>
          <w:szCs w:val="20"/>
          <w:lang w:val="es-VE"/>
        </w:rPr>
        <w:t>constancia</w:t>
      </w:r>
      <w:r w:rsidR="00C27349" w:rsidRPr="00B56CF7">
        <w:rPr>
          <w:rFonts w:asciiTheme="majorHAnsi" w:hAnsiTheme="majorHAnsi"/>
          <w:sz w:val="20"/>
          <w:szCs w:val="20"/>
          <w:lang w:val="es-VE"/>
        </w:rPr>
        <w:t xml:space="preserve"> del mismo y solicitó que se desestime el proceso por inexistencia de delito</w:t>
      </w:r>
      <w:r w:rsidR="0084626F" w:rsidRPr="00B56CF7">
        <w:rPr>
          <w:rStyle w:val="FootnoteReference"/>
          <w:rFonts w:asciiTheme="majorHAnsi" w:hAnsiTheme="majorHAnsi"/>
          <w:sz w:val="20"/>
          <w:szCs w:val="20"/>
          <w:lang w:val="es-VE"/>
        </w:rPr>
        <w:footnoteReference w:id="45"/>
      </w:r>
      <w:r w:rsidR="00A86C0A" w:rsidRPr="00B56CF7">
        <w:rPr>
          <w:rFonts w:asciiTheme="majorHAnsi" w:hAnsiTheme="majorHAnsi"/>
          <w:sz w:val="20"/>
          <w:szCs w:val="20"/>
          <w:lang w:val="es-VE"/>
        </w:rPr>
        <w:t>.</w:t>
      </w:r>
    </w:p>
    <w:p w:rsidR="00FC2925" w:rsidRPr="00B56CF7" w:rsidRDefault="00FC2925" w:rsidP="00FC292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C27349" w:rsidRPr="0062236D" w:rsidRDefault="00004302" w:rsidP="0074338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lastRenderedPageBreak/>
        <w:t xml:space="preserve">El 20 de abril de 1998 </w:t>
      </w:r>
      <w:r w:rsidR="0056548E" w:rsidRPr="00B56CF7">
        <w:rPr>
          <w:rFonts w:asciiTheme="majorHAnsi" w:hAnsiTheme="majorHAnsi"/>
          <w:sz w:val="20"/>
          <w:szCs w:val="20"/>
          <w:lang w:val="es-VE"/>
        </w:rPr>
        <w:t xml:space="preserve">el Juzgado Nacional en lo Criminal y Correccional Federal No. 2 </w:t>
      </w:r>
      <w:r w:rsidR="00C44508" w:rsidRPr="00B56CF7">
        <w:rPr>
          <w:rFonts w:asciiTheme="majorHAnsi" w:hAnsiTheme="majorHAnsi"/>
          <w:sz w:val="20"/>
          <w:szCs w:val="20"/>
          <w:lang w:val="es-VE"/>
        </w:rPr>
        <w:t xml:space="preserve">acogió dicha solicitud del Ministerio Público. </w:t>
      </w:r>
      <w:r w:rsidR="0056548E" w:rsidRPr="00B56CF7">
        <w:rPr>
          <w:rFonts w:asciiTheme="majorHAnsi" w:hAnsiTheme="majorHAnsi"/>
          <w:sz w:val="20"/>
          <w:szCs w:val="20"/>
          <w:lang w:val="es-VE"/>
        </w:rPr>
        <w:t>Para tal efecto</w:t>
      </w:r>
      <w:r w:rsidR="00890B04" w:rsidRPr="00B56CF7">
        <w:rPr>
          <w:rFonts w:asciiTheme="majorHAnsi" w:hAnsiTheme="majorHAnsi"/>
          <w:sz w:val="20"/>
          <w:szCs w:val="20"/>
          <w:lang w:val="es-VE"/>
        </w:rPr>
        <w:t>,</w:t>
      </w:r>
      <w:r w:rsidR="0056548E" w:rsidRPr="00B56CF7">
        <w:rPr>
          <w:rFonts w:asciiTheme="majorHAnsi" w:hAnsiTheme="majorHAnsi"/>
          <w:sz w:val="20"/>
          <w:szCs w:val="20"/>
          <w:lang w:val="es-VE"/>
        </w:rPr>
        <w:t xml:space="preserve"> consideró que </w:t>
      </w:r>
      <w:r w:rsidR="00EF758E" w:rsidRPr="00B56CF7">
        <w:rPr>
          <w:rFonts w:asciiTheme="majorHAnsi" w:hAnsiTheme="majorHAnsi"/>
          <w:sz w:val="20"/>
          <w:szCs w:val="20"/>
          <w:lang w:val="es-VE"/>
        </w:rPr>
        <w:t xml:space="preserve">el acta de fs. 1099 es coincidente con el contenido del </w:t>
      </w:r>
      <w:proofErr w:type="spellStart"/>
      <w:r w:rsidR="00EF758E" w:rsidRPr="00B56CF7">
        <w:rPr>
          <w:rFonts w:asciiTheme="majorHAnsi" w:hAnsiTheme="majorHAnsi"/>
          <w:sz w:val="20"/>
          <w:szCs w:val="20"/>
          <w:lang w:val="es-VE"/>
        </w:rPr>
        <w:t>cassette</w:t>
      </w:r>
      <w:proofErr w:type="spellEnd"/>
      <w:r w:rsidR="00EF758E" w:rsidRPr="00B56CF7">
        <w:rPr>
          <w:rFonts w:asciiTheme="majorHAnsi" w:hAnsiTheme="majorHAnsi"/>
          <w:sz w:val="20"/>
          <w:szCs w:val="20"/>
          <w:lang w:val="es-VE"/>
        </w:rPr>
        <w:t xml:space="preserve"> </w:t>
      </w:r>
      <w:r w:rsidR="00C84C1A" w:rsidRPr="00B56CF7">
        <w:rPr>
          <w:rFonts w:asciiTheme="majorHAnsi" w:hAnsiTheme="majorHAnsi"/>
          <w:sz w:val="20"/>
          <w:szCs w:val="20"/>
          <w:lang w:val="es-VE"/>
        </w:rPr>
        <w:t>N</w:t>
      </w:r>
      <w:r w:rsidR="00EF758E" w:rsidRPr="00B56CF7">
        <w:rPr>
          <w:rFonts w:asciiTheme="majorHAnsi" w:hAnsiTheme="majorHAnsi"/>
          <w:sz w:val="20"/>
          <w:szCs w:val="20"/>
          <w:lang w:val="es-VE"/>
        </w:rPr>
        <w:t xml:space="preserve">o. 40 en cuanto a que </w:t>
      </w:r>
      <w:r w:rsidR="007525DE" w:rsidRPr="00B56CF7">
        <w:rPr>
          <w:rFonts w:asciiTheme="majorHAnsi" w:hAnsiTheme="majorHAnsi"/>
          <w:sz w:val="20"/>
          <w:szCs w:val="20"/>
          <w:lang w:val="es-VE"/>
        </w:rPr>
        <w:t xml:space="preserve">se hace referencia a un viaje al exterior, sin mención del destino. </w:t>
      </w:r>
      <w:r w:rsidR="00A25182" w:rsidRPr="00B56CF7">
        <w:rPr>
          <w:rFonts w:asciiTheme="majorHAnsi" w:hAnsiTheme="majorHAnsi"/>
          <w:sz w:val="20"/>
          <w:szCs w:val="20"/>
          <w:lang w:val="es-VE"/>
        </w:rPr>
        <w:t>A su vez, estimó que el acta de fs. 1099 no fue el único ni el más importante indi</w:t>
      </w:r>
      <w:r w:rsidR="00CE20B6" w:rsidRPr="00B56CF7">
        <w:rPr>
          <w:rFonts w:asciiTheme="majorHAnsi" w:hAnsiTheme="majorHAnsi"/>
          <w:sz w:val="20"/>
          <w:szCs w:val="20"/>
          <w:lang w:val="es-VE"/>
        </w:rPr>
        <w:t>cio que tuvieron en cuenta los f</w:t>
      </w:r>
      <w:r w:rsidR="00A25182" w:rsidRPr="00B56CF7">
        <w:rPr>
          <w:rFonts w:asciiTheme="majorHAnsi" w:hAnsiTheme="majorHAnsi"/>
          <w:sz w:val="20"/>
          <w:szCs w:val="20"/>
          <w:lang w:val="es-VE"/>
        </w:rPr>
        <w:t>iscales para solicitar la elevación a juicio</w:t>
      </w:r>
      <w:r w:rsidR="00BA42C6" w:rsidRPr="00B56CF7">
        <w:rPr>
          <w:rFonts w:asciiTheme="majorHAnsi" w:hAnsiTheme="majorHAnsi"/>
          <w:sz w:val="20"/>
          <w:szCs w:val="20"/>
          <w:lang w:val="es-VE"/>
        </w:rPr>
        <w:t xml:space="preserve"> de la presunta víctima</w:t>
      </w:r>
      <w:r w:rsidR="00BA42C6" w:rsidRPr="00B56CF7">
        <w:rPr>
          <w:rStyle w:val="FootnoteReference"/>
          <w:rFonts w:asciiTheme="majorHAnsi" w:hAnsiTheme="majorHAnsi"/>
          <w:sz w:val="20"/>
          <w:szCs w:val="20"/>
          <w:lang w:val="es-VE"/>
        </w:rPr>
        <w:footnoteReference w:id="46"/>
      </w:r>
      <w:r w:rsidR="00BA42C6" w:rsidRPr="00B56CF7">
        <w:rPr>
          <w:rFonts w:asciiTheme="majorHAnsi" w:hAnsiTheme="majorHAnsi"/>
          <w:sz w:val="20"/>
          <w:szCs w:val="20"/>
          <w:lang w:val="es-VE"/>
        </w:rPr>
        <w:t>. Agreg</w:t>
      </w:r>
      <w:r w:rsidR="00962B4C" w:rsidRPr="00B56CF7">
        <w:rPr>
          <w:rFonts w:asciiTheme="majorHAnsi" w:hAnsiTheme="majorHAnsi"/>
          <w:sz w:val="20"/>
          <w:szCs w:val="20"/>
          <w:lang w:val="es-VE"/>
        </w:rPr>
        <w:t>ó</w:t>
      </w:r>
      <w:r w:rsidR="00BA42C6" w:rsidRPr="00B56CF7">
        <w:rPr>
          <w:rFonts w:asciiTheme="majorHAnsi" w:hAnsiTheme="majorHAnsi"/>
          <w:sz w:val="20"/>
          <w:szCs w:val="20"/>
          <w:lang w:val="es-VE"/>
        </w:rPr>
        <w:t xml:space="preserve"> que </w:t>
      </w:r>
      <w:r w:rsidR="00B9049A" w:rsidRPr="00B56CF7">
        <w:rPr>
          <w:rFonts w:asciiTheme="majorHAnsi" w:hAnsiTheme="majorHAnsi"/>
          <w:sz w:val="20"/>
          <w:szCs w:val="20"/>
          <w:lang w:val="es-VE"/>
        </w:rPr>
        <w:t>la referencia de un viaje al exterior que haría la presunta víctima tampoco fue un factor relevante para solicitar la elevación a juicio del peticionario</w:t>
      </w:r>
      <w:r w:rsidR="00A25182" w:rsidRPr="00B56CF7">
        <w:rPr>
          <w:rStyle w:val="FootnoteReference"/>
          <w:rFonts w:asciiTheme="majorHAnsi" w:hAnsiTheme="majorHAnsi"/>
          <w:sz w:val="20"/>
          <w:szCs w:val="20"/>
          <w:lang w:val="es-VE"/>
        </w:rPr>
        <w:footnoteReference w:id="47"/>
      </w:r>
      <w:r w:rsidR="00A25182" w:rsidRPr="00B56CF7">
        <w:rPr>
          <w:rFonts w:asciiTheme="majorHAnsi" w:hAnsiTheme="majorHAnsi"/>
          <w:sz w:val="20"/>
          <w:szCs w:val="20"/>
          <w:lang w:val="es-VE"/>
        </w:rPr>
        <w:t>.</w:t>
      </w:r>
    </w:p>
    <w:p w:rsidR="00D31F3C" w:rsidRPr="00B56CF7" w:rsidRDefault="00D31F3C" w:rsidP="00224155">
      <w:pPr>
        <w:jc w:val="both"/>
        <w:rPr>
          <w:rFonts w:asciiTheme="majorHAnsi" w:hAnsiTheme="majorHAnsi"/>
          <w:b/>
          <w:sz w:val="20"/>
          <w:szCs w:val="20"/>
          <w:lang w:val="es-VE"/>
        </w:rPr>
      </w:pPr>
    </w:p>
    <w:p w:rsidR="003B0CA0" w:rsidRPr="00B760A7" w:rsidRDefault="00BC0A95" w:rsidP="00B760A7">
      <w:pPr>
        <w:pStyle w:val="Heading3"/>
        <w:numPr>
          <w:ilvl w:val="0"/>
          <w:numId w:val="74"/>
        </w:numPr>
        <w:ind w:firstLine="0"/>
        <w:rPr>
          <w:color w:val="auto"/>
          <w:sz w:val="20"/>
          <w:szCs w:val="20"/>
          <w:lang w:val="es-VE"/>
        </w:rPr>
      </w:pPr>
      <w:bookmarkStart w:id="55" w:name="_Toc469409091"/>
      <w:r>
        <w:rPr>
          <w:color w:val="auto"/>
          <w:sz w:val="20"/>
          <w:szCs w:val="20"/>
          <w:lang w:val="es-VE"/>
        </w:rPr>
        <w:t xml:space="preserve">Investigaciones </w:t>
      </w:r>
      <w:r w:rsidR="0087528D" w:rsidRPr="00B760A7">
        <w:rPr>
          <w:color w:val="auto"/>
          <w:sz w:val="20"/>
          <w:szCs w:val="20"/>
          <w:lang w:val="es-VE"/>
        </w:rPr>
        <w:t>en sede administrativa</w:t>
      </w:r>
      <w:bookmarkEnd w:id="55"/>
    </w:p>
    <w:p w:rsidR="00542560" w:rsidRDefault="00542560" w:rsidP="005425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ajorEastAsia" w:hAnsiTheme="majorHAnsi" w:cstheme="majorBidi"/>
          <w:b/>
          <w:bCs/>
          <w:sz w:val="20"/>
          <w:szCs w:val="20"/>
          <w:lang w:val="es-VE"/>
        </w:rPr>
      </w:pPr>
    </w:p>
    <w:p w:rsidR="00B74317" w:rsidRPr="00B56CF7" w:rsidRDefault="00D22575" w:rsidP="005425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Con respecto a las in</w:t>
      </w:r>
      <w:r w:rsidR="00A05A90" w:rsidRPr="00B56CF7">
        <w:rPr>
          <w:rFonts w:asciiTheme="majorHAnsi" w:hAnsiTheme="majorHAnsi"/>
          <w:sz w:val="20"/>
          <w:szCs w:val="20"/>
          <w:lang w:val="es-VE"/>
        </w:rPr>
        <w:t xml:space="preserve">vestigaciones administrativas, </w:t>
      </w:r>
      <w:r w:rsidRPr="00B56CF7">
        <w:rPr>
          <w:rFonts w:asciiTheme="majorHAnsi" w:hAnsiTheme="majorHAnsi"/>
          <w:sz w:val="20"/>
          <w:szCs w:val="20"/>
          <w:lang w:val="es-VE"/>
        </w:rPr>
        <w:t>también el</w:t>
      </w:r>
      <w:r w:rsidR="00D31F3C" w:rsidRPr="00B56CF7">
        <w:rPr>
          <w:rFonts w:asciiTheme="majorHAnsi" w:hAnsiTheme="majorHAnsi"/>
          <w:sz w:val="20"/>
          <w:szCs w:val="20"/>
          <w:lang w:val="es-VE"/>
        </w:rPr>
        <w:t xml:space="preserve"> 25 de febrero de 1998 el Tribunal Oral en lo Criminal Federal remitió un oficio al Procurador General de la Nación </w:t>
      </w:r>
      <w:r w:rsidR="001B1C23" w:rsidRPr="00B56CF7">
        <w:rPr>
          <w:rFonts w:asciiTheme="majorHAnsi" w:hAnsiTheme="majorHAnsi"/>
          <w:sz w:val="20"/>
          <w:szCs w:val="20"/>
          <w:lang w:val="es-VE"/>
        </w:rPr>
        <w:t xml:space="preserve">poniendo en su conocimiento la “anomalía” en la que incurrieron los Fiscales Mullen y José </w:t>
      </w:r>
      <w:proofErr w:type="spellStart"/>
      <w:r w:rsidR="001B1C23" w:rsidRPr="00B56CF7">
        <w:rPr>
          <w:rFonts w:asciiTheme="majorHAnsi" w:hAnsiTheme="majorHAnsi"/>
          <w:sz w:val="20"/>
          <w:szCs w:val="20"/>
          <w:lang w:val="es-VE"/>
        </w:rPr>
        <w:t>Barbaccia</w:t>
      </w:r>
      <w:proofErr w:type="spellEnd"/>
      <w:r w:rsidR="001B1C23" w:rsidRPr="00B56CF7">
        <w:rPr>
          <w:rFonts w:asciiTheme="majorHAnsi" w:hAnsiTheme="majorHAnsi"/>
          <w:sz w:val="20"/>
          <w:szCs w:val="20"/>
          <w:lang w:val="es-VE"/>
        </w:rPr>
        <w:t xml:space="preserve"> al utilizar como prueba de cargo en contra de uno de los procesados “una información policial que no se condecía con lo ocurrido</w:t>
      </w:r>
      <w:r w:rsidR="000A395F" w:rsidRPr="00B56CF7">
        <w:rPr>
          <w:rFonts w:asciiTheme="majorHAnsi" w:hAnsiTheme="majorHAnsi"/>
          <w:sz w:val="20"/>
          <w:szCs w:val="20"/>
          <w:lang w:val="es-VE"/>
        </w:rPr>
        <w:t>”</w:t>
      </w:r>
      <w:r w:rsidR="001B1C23" w:rsidRPr="00542560">
        <w:rPr>
          <w:rFonts w:asciiTheme="majorHAnsi" w:hAnsiTheme="majorHAnsi"/>
          <w:sz w:val="20"/>
          <w:szCs w:val="20"/>
          <w:vertAlign w:val="superscript"/>
          <w:lang w:val="es-VE"/>
        </w:rPr>
        <w:footnoteReference w:id="48"/>
      </w:r>
      <w:r w:rsidR="001B1C23" w:rsidRPr="00B56CF7">
        <w:rPr>
          <w:rFonts w:asciiTheme="majorHAnsi" w:hAnsiTheme="majorHAnsi"/>
          <w:sz w:val="20"/>
          <w:szCs w:val="20"/>
          <w:lang w:val="es-VE"/>
        </w:rPr>
        <w:t>.</w:t>
      </w:r>
      <w:r w:rsidR="00C164B9" w:rsidRPr="00B56CF7">
        <w:rPr>
          <w:rFonts w:asciiTheme="majorHAnsi" w:hAnsiTheme="majorHAnsi"/>
          <w:sz w:val="20"/>
          <w:szCs w:val="20"/>
          <w:lang w:val="es-VE"/>
        </w:rPr>
        <w:t xml:space="preserve"> </w:t>
      </w:r>
      <w:r w:rsidRPr="00B56CF7">
        <w:rPr>
          <w:rFonts w:asciiTheme="majorHAnsi" w:hAnsiTheme="majorHAnsi"/>
          <w:sz w:val="20"/>
          <w:szCs w:val="20"/>
          <w:lang w:val="es-VE"/>
        </w:rPr>
        <w:t>En virtud de ello, l</w:t>
      </w:r>
      <w:r w:rsidR="00B74317" w:rsidRPr="00B56CF7">
        <w:rPr>
          <w:rFonts w:asciiTheme="majorHAnsi" w:hAnsiTheme="majorHAnsi"/>
          <w:sz w:val="20"/>
          <w:szCs w:val="20"/>
          <w:lang w:val="es-VE"/>
        </w:rPr>
        <w:t>a</w:t>
      </w:r>
      <w:r w:rsidR="00045C17" w:rsidRPr="00B56CF7">
        <w:rPr>
          <w:rFonts w:asciiTheme="majorHAnsi" w:hAnsiTheme="majorHAnsi"/>
          <w:sz w:val="20"/>
          <w:szCs w:val="20"/>
          <w:lang w:val="es-VE"/>
        </w:rPr>
        <w:t xml:space="preserve"> Procuración General de la Nación inició un expediente administrativo</w:t>
      </w:r>
      <w:r w:rsidR="00B74317" w:rsidRPr="00B56CF7">
        <w:rPr>
          <w:rFonts w:asciiTheme="majorHAnsi" w:hAnsiTheme="majorHAnsi"/>
          <w:sz w:val="20"/>
          <w:szCs w:val="20"/>
          <w:lang w:val="es-VE"/>
        </w:rPr>
        <w:t xml:space="preserve"> para deducir posibles responsabilidad</w:t>
      </w:r>
      <w:r w:rsidR="006A34DF" w:rsidRPr="00B56CF7">
        <w:rPr>
          <w:rFonts w:asciiTheme="majorHAnsi" w:hAnsiTheme="majorHAnsi"/>
          <w:sz w:val="20"/>
          <w:szCs w:val="20"/>
          <w:lang w:val="es-VE"/>
        </w:rPr>
        <w:t>es funcionales en que hubieran in</w:t>
      </w:r>
      <w:r w:rsidR="00B74317" w:rsidRPr="00B56CF7">
        <w:rPr>
          <w:rFonts w:asciiTheme="majorHAnsi" w:hAnsiTheme="majorHAnsi"/>
          <w:sz w:val="20"/>
          <w:szCs w:val="20"/>
          <w:lang w:val="es-VE"/>
        </w:rPr>
        <w:t>currido los fiscales que obraron en la causa penal contra el peticionario</w:t>
      </w:r>
      <w:r w:rsidR="00045C17" w:rsidRPr="00B56CF7">
        <w:rPr>
          <w:rFonts w:asciiTheme="majorHAnsi" w:hAnsiTheme="majorHAnsi"/>
          <w:sz w:val="20"/>
          <w:szCs w:val="20"/>
          <w:lang w:val="es-VE"/>
        </w:rPr>
        <w:t xml:space="preserve">. </w:t>
      </w:r>
    </w:p>
    <w:p w:rsidR="00B74317" w:rsidRPr="00B56CF7" w:rsidRDefault="00B74317" w:rsidP="00B74317">
      <w:pPr>
        <w:pStyle w:val="ListParagraph"/>
        <w:rPr>
          <w:rFonts w:asciiTheme="majorHAnsi" w:hAnsiTheme="majorHAnsi"/>
          <w:sz w:val="20"/>
          <w:szCs w:val="20"/>
          <w:lang w:val="es-VE"/>
        </w:rPr>
      </w:pPr>
    </w:p>
    <w:p w:rsidR="00284873" w:rsidRPr="00B56CF7" w:rsidRDefault="00045C17" w:rsidP="00B743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 xml:space="preserve">El 6 de septiembre de 1999 la Procuración General de la Nación dictó </w:t>
      </w:r>
      <w:r w:rsidR="00CB3AA7" w:rsidRPr="00B56CF7">
        <w:rPr>
          <w:rFonts w:asciiTheme="majorHAnsi" w:hAnsiTheme="majorHAnsi"/>
          <w:sz w:val="20"/>
          <w:szCs w:val="20"/>
          <w:lang w:val="es-VE"/>
        </w:rPr>
        <w:t>la resoluci</w:t>
      </w:r>
      <w:r w:rsidR="00777F44" w:rsidRPr="00B56CF7">
        <w:rPr>
          <w:rFonts w:asciiTheme="majorHAnsi" w:hAnsiTheme="majorHAnsi"/>
          <w:sz w:val="20"/>
          <w:szCs w:val="20"/>
          <w:lang w:val="es-VE"/>
        </w:rPr>
        <w:t>ón 108/99 ordenando el archivo de las actuaciones</w:t>
      </w:r>
      <w:r w:rsidR="001E0915">
        <w:rPr>
          <w:rFonts w:asciiTheme="majorHAnsi" w:hAnsiTheme="majorHAnsi"/>
          <w:sz w:val="20"/>
          <w:szCs w:val="20"/>
          <w:lang w:val="es-VE"/>
        </w:rPr>
        <w:t>, al considerar que</w:t>
      </w:r>
      <w:r w:rsidR="00777F44" w:rsidRPr="00B56CF7">
        <w:rPr>
          <w:rFonts w:asciiTheme="majorHAnsi" w:hAnsiTheme="majorHAnsi"/>
          <w:sz w:val="20"/>
          <w:szCs w:val="20"/>
          <w:lang w:val="es-VE"/>
        </w:rPr>
        <w:t xml:space="preserve"> no corresponde efectuar reproche de índole funcional a los Fiscales </w:t>
      </w:r>
      <w:proofErr w:type="spellStart"/>
      <w:r w:rsidR="00777F44" w:rsidRPr="00B56CF7">
        <w:rPr>
          <w:rFonts w:asciiTheme="majorHAnsi" w:hAnsiTheme="majorHAnsi"/>
          <w:sz w:val="20"/>
          <w:szCs w:val="20"/>
          <w:lang w:val="es-VE"/>
        </w:rPr>
        <w:t>Eamón</w:t>
      </w:r>
      <w:proofErr w:type="spellEnd"/>
      <w:r w:rsidR="00777F44" w:rsidRPr="00B56CF7">
        <w:rPr>
          <w:rFonts w:asciiTheme="majorHAnsi" w:hAnsiTheme="majorHAnsi"/>
          <w:sz w:val="20"/>
          <w:szCs w:val="20"/>
          <w:lang w:val="es-VE"/>
        </w:rPr>
        <w:t xml:space="preserve"> Mullen y José C. </w:t>
      </w:r>
      <w:proofErr w:type="spellStart"/>
      <w:r w:rsidR="00777F44" w:rsidRPr="00B56CF7">
        <w:rPr>
          <w:rFonts w:asciiTheme="majorHAnsi" w:hAnsiTheme="majorHAnsi"/>
          <w:sz w:val="20"/>
          <w:szCs w:val="20"/>
          <w:lang w:val="es-VE"/>
        </w:rPr>
        <w:t>Barbaccia</w:t>
      </w:r>
      <w:proofErr w:type="spellEnd"/>
      <w:r w:rsidR="00777F44" w:rsidRPr="00B56CF7">
        <w:rPr>
          <w:rFonts w:asciiTheme="majorHAnsi" w:hAnsiTheme="majorHAnsi"/>
          <w:sz w:val="20"/>
          <w:szCs w:val="20"/>
          <w:lang w:val="es-VE"/>
        </w:rPr>
        <w:t xml:space="preserve"> por su desempeño en la causa Padilla Etcheverry y otros</w:t>
      </w:r>
      <w:r w:rsidR="009312A3" w:rsidRPr="00B56CF7">
        <w:rPr>
          <w:rStyle w:val="FootnoteReference"/>
          <w:rFonts w:asciiTheme="majorHAnsi" w:hAnsiTheme="majorHAnsi"/>
          <w:sz w:val="20"/>
          <w:szCs w:val="20"/>
          <w:lang w:val="es-VE"/>
        </w:rPr>
        <w:footnoteReference w:id="49"/>
      </w:r>
      <w:r w:rsidR="00777F44" w:rsidRPr="00B56CF7">
        <w:rPr>
          <w:rFonts w:asciiTheme="majorHAnsi" w:hAnsiTheme="majorHAnsi"/>
          <w:sz w:val="20"/>
          <w:szCs w:val="20"/>
          <w:lang w:val="es-VE"/>
        </w:rPr>
        <w:t xml:space="preserve">. </w:t>
      </w:r>
    </w:p>
    <w:p w:rsidR="006E33B3" w:rsidRPr="00B56CF7" w:rsidRDefault="006E33B3" w:rsidP="006E33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6E2908" w:rsidRPr="00B56CF7" w:rsidRDefault="00251E70" w:rsidP="002241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 xml:space="preserve">Al respecto, agregó que la constancia de fojas 1099, “si bien fue considerada por los fiscales como elemento de cargo, fue utilizado como un medio de prueba no concluyente, dentro de un contexto de indicios que llevaron a los citados Magistrados del Ministerio Público Fiscal a solicitar la elevación a juicio </w:t>
      </w:r>
      <w:r w:rsidR="008E4946" w:rsidRPr="00B56CF7">
        <w:rPr>
          <w:rFonts w:asciiTheme="majorHAnsi" w:hAnsiTheme="majorHAnsi"/>
          <w:sz w:val="20"/>
          <w:szCs w:val="20"/>
          <w:lang w:val="es-VE"/>
        </w:rPr>
        <w:t>del encartado Gabriel Jenkins</w:t>
      </w:r>
      <w:r w:rsidR="00D2631B" w:rsidRPr="00B56CF7">
        <w:rPr>
          <w:rFonts w:asciiTheme="majorHAnsi" w:hAnsiTheme="majorHAnsi"/>
          <w:sz w:val="20"/>
          <w:szCs w:val="20"/>
          <w:lang w:val="es-VE"/>
        </w:rPr>
        <w:t>”</w:t>
      </w:r>
      <w:r w:rsidR="008E4946" w:rsidRPr="00B56CF7">
        <w:rPr>
          <w:rFonts w:asciiTheme="majorHAnsi" w:hAnsiTheme="majorHAnsi"/>
          <w:sz w:val="20"/>
          <w:szCs w:val="20"/>
          <w:lang w:val="es-VE"/>
        </w:rPr>
        <w:t xml:space="preserve">. </w:t>
      </w:r>
      <w:r w:rsidRPr="00B56CF7">
        <w:rPr>
          <w:rFonts w:asciiTheme="majorHAnsi" w:hAnsiTheme="majorHAnsi"/>
          <w:sz w:val="20"/>
          <w:szCs w:val="20"/>
          <w:lang w:val="es-VE"/>
        </w:rPr>
        <w:t xml:space="preserve">Indicó que lo que permitió a los fiscales Mullen y </w:t>
      </w:r>
      <w:proofErr w:type="spellStart"/>
      <w:r w:rsidRPr="00B56CF7">
        <w:rPr>
          <w:rFonts w:asciiTheme="majorHAnsi" w:hAnsiTheme="majorHAnsi"/>
          <w:sz w:val="20"/>
          <w:szCs w:val="20"/>
          <w:lang w:val="es-VE"/>
        </w:rPr>
        <w:t>Barbaccia</w:t>
      </w:r>
      <w:proofErr w:type="spellEnd"/>
      <w:r w:rsidRPr="00B56CF7">
        <w:rPr>
          <w:rFonts w:asciiTheme="majorHAnsi" w:hAnsiTheme="majorHAnsi"/>
          <w:sz w:val="20"/>
          <w:szCs w:val="20"/>
          <w:lang w:val="es-VE"/>
        </w:rPr>
        <w:t xml:space="preserve"> inferir de una posible reunión en Panamá fue relacionar la totalidad de las pruebas aportadas a la causa</w:t>
      </w:r>
      <w:r w:rsidRPr="00B56CF7">
        <w:rPr>
          <w:rStyle w:val="FootnoteReference"/>
          <w:rFonts w:asciiTheme="majorHAnsi" w:hAnsiTheme="majorHAnsi"/>
          <w:sz w:val="20"/>
          <w:szCs w:val="20"/>
          <w:lang w:val="es-VE"/>
        </w:rPr>
        <w:footnoteReference w:id="50"/>
      </w:r>
      <w:r w:rsidRPr="00B56CF7">
        <w:rPr>
          <w:rFonts w:asciiTheme="majorHAnsi" w:hAnsiTheme="majorHAnsi"/>
          <w:sz w:val="20"/>
          <w:szCs w:val="20"/>
          <w:lang w:val="es-VE"/>
        </w:rPr>
        <w:t xml:space="preserve">. </w:t>
      </w:r>
    </w:p>
    <w:p w:rsidR="00275A82" w:rsidRPr="00B56CF7" w:rsidRDefault="00275A82" w:rsidP="00275A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275A82" w:rsidRPr="00B56CF7" w:rsidRDefault="00275A82" w:rsidP="002241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Con posterioridad Gabriel Jenkins solicitó la revisión de dicha decisión, no obstante el 15 de octubre de 2009 le fue informado por la Procuraduría General de la Nación que</w:t>
      </w:r>
      <w:r w:rsidR="001E0915">
        <w:rPr>
          <w:rFonts w:asciiTheme="majorHAnsi" w:hAnsiTheme="majorHAnsi"/>
          <w:sz w:val="20"/>
          <w:szCs w:val="20"/>
          <w:lang w:val="es-VE"/>
        </w:rPr>
        <w:t>,</w:t>
      </w:r>
      <w:r w:rsidRPr="00B56CF7">
        <w:rPr>
          <w:rFonts w:asciiTheme="majorHAnsi" w:hAnsiTheme="majorHAnsi"/>
          <w:sz w:val="20"/>
          <w:szCs w:val="20"/>
          <w:lang w:val="es-VE"/>
        </w:rPr>
        <w:t xml:space="preserve"> en virtud de las renuncias a sus cargos de Mullen y </w:t>
      </w:r>
      <w:proofErr w:type="spellStart"/>
      <w:r w:rsidRPr="00B56CF7">
        <w:rPr>
          <w:rFonts w:asciiTheme="majorHAnsi" w:hAnsiTheme="majorHAnsi"/>
          <w:sz w:val="20"/>
          <w:szCs w:val="20"/>
          <w:lang w:val="es-VE"/>
        </w:rPr>
        <w:t>Barbaccia</w:t>
      </w:r>
      <w:proofErr w:type="spellEnd"/>
      <w:r w:rsidR="001E0915">
        <w:rPr>
          <w:rFonts w:asciiTheme="majorHAnsi" w:hAnsiTheme="majorHAnsi"/>
          <w:sz w:val="20"/>
          <w:szCs w:val="20"/>
          <w:lang w:val="es-VE"/>
        </w:rPr>
        <w:t>,</w:t>
      </w:r>
      <w:r w:rsidRPr="00B56CF7">
        <w:rPr>
          <w:rFonts w:asciiTheme="majorHAnsi" w:hAnsiTheme="majorHAnsi"/>
          <w:sz w:val="20"/>
          <w:szCs w:val="20"/>
          <w:lang w:val="es-VE"/>
        </w:rPr>
        <w:t xml:space="preserve"> “ha cesado toda potestad disciplinaria de esta Procuración General sobre ellos, por tanto su revisión deviene abstracta”</w:t>
      </w:r>
      <w:r w:rsidR="0034641D" w:rsidRPr="00B56CF7">
        <w:rPr>
          <w:rStyle w:val="FootnoteReference"/>
          <w:rFonts w:asciiTheme="majorHAnsi" w:hAnsiTheme="majorHAnsi"/>
          <w:sz w:val="20"/>
          <w:szCs w:val="20"/>
          <w:lang w:val="es-VE"/>
        </w:rPr>
        <w:footnoteReference w:id="51"/>
      </w:r>
      <w:r w:rsidRPr="00B56CF7">
        <w:rPr>
          <w:rFonts w:asciiTheme="majorHAnsi" w:hAnsiTheme="majorHAnsi"/>
          <w:sz w:val="20"/>
          <w:szCs w:val="20"/>
          <w:lang w:val="es-VE"/>
        </w:rPr>
        <w:t xml:space="preserve">. </w:t>
      </w:r>
    </w:p>
    <w:p w:rsidR="005F7F85" w:rsidRPr="00B56CF7" w:rsidRDefault="005F7F85" w:rsidP="002F5C30">
      <w:pPr>
        <w:jc w:val="both"/>
        <w:rPr>
          <w:rFonts w:asciiTheme="majorHAnsi" w:hAnsiTheme="majorHAnsi"/>
          <w:b/>
          <w:sz w:val="20"/>
          <w:szCs w:val="20"/>
          <w:lang w:val="es-VE"/>
        </w:rPr>
      </w:pPr>
    </w:p>
    <w:p w:rsidR="002F5C30" w:rsidRPr="00B56CF7" w:rsidRDefault="003F706E" w:rsidP="005F7F85">
      <w:pPr>
        <w:pStyle w:val="Heading2"/>
        <w:numPr>
          <w:ilvl w:val="0"/>
          <w:numId w:val="60"/>
        </w:numPr>
        <w:rPr>
          <w:lang w:val="es-VE"/>
        </w:rPr>
      </w:pPr>
      <w:bookmarkStart w:id="56" w:name="_Toc467577914"/>
      <w:bookmarkStart w:id="57" w:name="_Toc469409092"/>
      <w:r w:rsidRPr="00B56CF7">
        <w:rPr>
          <w:lang w:val="es-VE"/>
        </w:rPr>
        <w:t xml:space="preserve">El </w:t>
      </w:r>
      <w:r w:rsidR="006A177B" w:rsidRPr="00B56CF7">
        <w:rPr>
          <w:lang w:val="es-VE"/>
        </w:rPr>
        <w:t>p</w:t>
      </w:r>
      <w:r w:rsidR="002F5C30" w:rsidRPr="00B56CF7">
        <w:rPr>
          <w:lang w:val="es-VE"/>
        </w:rPr>
        <w:t>roceso</w:t>
      </w:r>
      <w:r w:rsidR="0047664A" w:rsidRPr="00B56CF7">
        <w:rPr>
          <w:lang w:val="es-VE"/>
        </w:rPr>
        <w:t xml:space="preserve"> por</w:t>
      </w:r>
      <w:r w:rsidR="005F7F85" w:rsidRPr="00B56CF7">
        <w:rPr>
          <w:lang w:val="es-VE"/>
        </w:rPr>
        <w:t xml:space="preserve"> daños y perjuicios</w:t>
      </w:r>
      <w:r w:rsidR="002F5C30" w:rsidRPr="00B56CF7">
        <w:rPr>
          <w:lang w:val="es-VE"/>
        </w:rPr>
        <w:t xml:space="preserve"> promovido por el peticionario</w:t>
      </w:r>
      <w:bookmarkEnd w:id="56"/>
      <w:bookmarkEnd w:id="57"/>
    </w:p>
    <w:p w:rsidR="000817EB" w:rsidRPr="00B56CF7" w:rsidRDefault="000817EB" w:rsidP="005A61C9">
      <w:pPr>
        <w:jc w:val="both"/>
        <w:rPr>
          <w:rFonts w:asciiTheme="majorHAnsi" w:hAnsiTheme="majorHAnsi"/>
          <w:b/>
          <w:sz w:val="20"/>
          <w:szCs w:val="20"/>
          <w:lang w:val="es-VE"/>
        </w:rPr>
      </w:pPr>
    </w:p>
    <w:p w:rsidR="000817EB" w:rsidRPr="00EE24AD" w:rsidRDefault="000817EB" w:rsidP="00EE24AD">
      <w:pPr>
        <w:pStyle w:val="Heading3"/>
        <w:numPr>
          <w:ilvl w:val="0"/>
          <w:numId w:val="72"/>
        </w:numPr>
        <w:ind w:firstLine="0"/>
        <w:rPr>
          <w:sz w:val="20"/>
          <w:szCs w:val="20"/>
          <w:lang w:val="es-VE"/>
        </w:rPr>
      </w:pPr>
      <w:bookmarkStart w:id="58" w:name="_Toc469409093"/>
      <w:r w:rsidRPr="00EE24AD">
        <w:rPr>
          <w:color w:val="auto"/>
          <w:sz w:val="20"/>
          <w:szCs w:val="20"/>
          <w:lang w:val="es-VE"/>
        </w:rPr>
        <w:lastRenderedPageBreak/>
        <w:t xml:space="preserve">Acción por daños y perjuicios </w:t>
      </w:r>
      <w:r w:rsidR="00F50D1D" w:rsidRPr="00EE24AD">
        <w:rPr>
          <w:color w:val="auto"/>
          <w:sz w:val="20"/>
          <w:szCs w:val="20"/>
          <w:lang w:val="es-VE"/>
        </w:rPr>
        <w:t>y decisión de primera instancia</w:t>
      </w:r>
      <w:bookmarkEnd w:id="58"/>
      <w:r w:rsidR="00F50D1D" w:rsidRPr="00EE24AD">
        <w:rPr>
          <w:color w:val="auto"/>
          <w:sz w:val="20"/>
          <w:szCs w:val="20"/>
          <w:lang w:val="es-VE"/>
        </w:rPr>
        <w:t xml:space="preserve"> </w:t>
      </w:r>
    </w:p>
    <w:p w:rsidR="000F1847" w:rsidRPr="00B56CF7" w:rsidRDefault="000F1847" w:rsidP="000F1847">
      <w:pPr>
        <w:pStyle w:val="ListParagraph"/>
        <w:ind w:left="1800"/>
        <w:jc w:val="both"/>
        <w:rPr>
          <w:rFonts w:asciiTheme="majorHAnsi" w:hAnsiTheme="majorHAnsi"/>
          <w:b/>
          <w:sz w:val="20"/>
          <w:szCs w:val="20"/>
          <w:lang w:val="es-VE"/>
        </w:rPr>
      </w:pPr>
    </w:p>
    <w:p w:rsidR="00EC456F" w:rsidRPr="00B56CF7" w:rsidRDefault="005A61C9" w:rsidP="00B13AD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 xml:space="preserve">Además de las acciones descritas con anterioridad, </w:t>
      </w:r>
      <w:r w:rsidR="007F0E4E" w:rsidRPr="00B56CF7">
        <w:rPr>
          <w:rFonts w:asciiTheme="majorHAnsi" w:hAnsiTheme="majorHAnsi"/>
          <w:sz w:val="20"/>
          <w:szCs w:val="20"/>
          <w:lang w:val="es-VE"/>
        </w:rPr>
        <w:t xml:space="preserve">en diciembre de 1999 </w:t>
      </w:r>
      <w:r w:rsidRPr="00B56CF7">
        <w:rPr>
          <w:rFonts w:asciiTheme="majorHAnsi" w:hAnsiTheme="majorHAnsi"/>
          <w:sz w:val="20"/>
          <w:szCs w:val="20"/>
          <w:lang w:val="es-VE"/>
        </w:rPr>
        <w:t>el peticionario</w:t>
      </w:r>
      <w:r w:rsidR="00E956AD" w:rsidRPr="00B56CF7">
        <w:rPr>
          <w:rFonts w:asciiTheme="majorHAnsi" w:hAnsiTheme="majorHAnsi"/>
          <w:sz w:val="20"/>
          <w:szCs w:val="20"/>
          <w:lang w:val="es-VE"/>
        </w:rPr>
        <w:t xml:space="preserve"> presentó una</w:t>
      </w:r>
      <w:r w:rsidR="00EC456F" w:rsidRPr="00B56CF7">
        <w:rPr>
          <w:rFonts w:asciiTheme="majorHAnsi" w:hAnsiTheme="majorHAnsi"/>
          <w:sz w:val="20"/>
          <w:szCs w:val="20"/>
          <w:lang w:val="es-VE"/>
        </w:rPr>
        <w:t xml:space="preserve"> </w:t>
      </w:r>
      <w:r w:rsidR="00B13ADD" w:rsidRPr="00B56CF7">
        <w:rPr>
          <w:rFonts w:asciiTheme="majorHAnsi" w:hAnsiTheme="majorHAnsi"/>
          <w:sz w:val="20"/>
          <w:szCs w:val="20"/>
          <w:lang w:val="es-VE"/>
        </w:rPr>
        <w:t>demanda</w:t>
      </w:r>
      <w:r w:rsidR="00EC456F" w:rsidRPr="00B56CF7">
        <w:rPr>
          <w:rFonts w:asciiTheme="majorHAnsi" w:hAnsiTheme="majorHAnsi"/>
          <w:sz w:val="20"/>
          <w:szCs w:val="20"/>
          <w:lang w:val="es-VE"/>
        </w:rPr>
        <w:t xml:space="preserve"> por daños y perjuicios </w:t>
      </w:r>
      <w:r w:rsidR="00B13ADD" w:rsidRPr="00B56CF7">
        <w:rPr>
          <w:rFonts w:asciiTheme="majorHAnsi" w:hAnsiTheme="majorHAnsi"/>
          <w:sz w:val="20"/>
          <w:szCs w:val="20"/>
          <w:lang w:val="es-VE"/>
        </w:rPr>
        <w:t xml:space="preserve">contra el Estado y contra </w:t>
      </w:r>
      <w:r w:rsidR="004F57FF" w:rsidRPr="00B56CF7">
        <w:rPr>
          <w:rFonts w:asciiTheme="majorHAnsi" w:hAnsiTheme="majorHAnsi"/>
          <w:sz w:val="20"/>
          <w:szCs w:val="20"/>
          <w:lang w:val="es-VE"/>
        </w:rPr>
        <w:t xml:space="preserve">Juan </w:t>
      </w:r>
      <w:r w:rsidR="00B13ADD" w:rsidRPr="00B56CF7">
        <w:rPr>
          <w:rFonts w:asciiTheme="majorHAnsi" w:hAnsiTheme="majorHAnsi"/>
          <w:sz w:val="20"/>
          <w:szCs w:val="20"/>
          <w:lang w:val="es-VE"/>
        </w:rPr>
        <w:t>José Galeano (Juez que ordenó su detención en 1994)</w:t>
      </w:r>
      <w:r w:rsidR="00DD515F" w:rsidRPr="00B56CF7">
        <w:rPr>
          <w:rFonts w:asciiTheme="majorHAnsi" w:hAnsiTheme="majorHAnsi"/>
          <w:sz w:val="20"/>
          <w:szCs w:val="20"/>
          <w:lang w:val="es-VE"/>
        </w:rPr>
        <w:t xml:space="preserve"> </w:t>
      </w:r>
      <w:r w:rsidR="003E0811" w:rsidRPr="00B56CF7">
        <w:rPr>
          <w:rFonts w:asciiTheme="majorHAnsi" w:hAnsiTheme="majorHAnsi"/>
          <w:sz w:val="20"/>
          <w:szCs w:val="20"/>
          <w:lang w:val="es-VE"/>
        </w:rPr>
        <w:t xml:space="preserve">la cual se tramitó ante la Jueza Federal de Primera Instancia en lo Contencioso Administrativo No. 10. </w:t>
      </w:r>
    </w:p>
    <w:p w:rsidR="00E956AD" w:rsidRPr="00B56CF7" w:rsidRDefault="00E956AD" w:rsidP="00E956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B13ADD" w:rsidRPr="00B56CF7" w:rsidRDefault="00B13ADD" w:rsidP="00F2075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El 8 de junio de 2000 la demanda de daños y perjuicios fue parcialmente rechazada al acogerse la excepción de falta de legitimación para ser demandado interpuesta por el juez de instrucción, por no haberse solicitado previamente su desafuero según lo disponían los artículos 115 y 5</w:t>
      </w:r>
      <w:r w:rsidR="00962B4C" w:rsidRPr="00B56CF7">
        <w:rPr>
          <w:rFonts w:asciiTheme="majorHAnsi" w:hAnsiTheme="majorHAnsi"/>
          <w:sz w:val="20"/>
          <w:szCs w:val="20"/>
          <w:lang w:val="es-VE"/>
        </w:rPr>
        <w:t xml:space="preserve">3 de la Constitución Nacional. </w:t>
      </w:r>
      <w:r w:rsidR="00DD515F" w:rsidRPr="00B56CF7">
        <w:rPr>
          <w:rFonts w:asciiTheme="majorHAnsi" w:hAnsiTheme="majorHAnsi"/>
          <w:sz w:val="20"/>
          <w:szCs w:val="20"/>
          <w:lang w:val="es-VE"/>
        </w:rPr>
        <w:t>En la misma providencia, la Jueza decidió continuar el trámite de la demanda respecto del Estado Nacional</w:t>
      </w:r>
      <w:r w:rsidR="00835C46" w:rsidRPr="00B56CF7">
        <w:rPr>
          <w:rStyle w:val="FootnoteReference"/>
          <w:rFonts w:asciiTheme="majorHAnsi" w:hAnsiTheme="majorHAnsi"/>
          <w:sz w:val="20"/>
          <w:szCs w:val="20"/>
          <w:lang w:val="es-VE"/>
        </w:rPr>
        <w:footnoteReference w:id="52"/>
      </w:r>
      <w:r w:rsidR="00DD515F" w:rsidRPr="00B56CF7">
        <w:rPr>
          <w:rFonts w:asciiTheme="majorHAnsi" w:hAnsiTheme="majorHAnsi"/>
          <w:sz w:val="20"/>
          <w:szCs w:val="20"/>
          <w:lang w:val="es-VE"/>
        </w:rPr>
        <w:t xml:space="preserve">. </w:t>
      </w:r>
    </w:p>
    <w:p w:rsidR="00B13ADD" w:rsidRPr="00B56CF7" w:rsidRDefault="00B13ADD" w:rsidP="00B13ADD">
      <w:pPr>
        <w:pStyle w:val="ListParagraph"/>
        <w:rPr>
          <w:rFonts w:asciiTheme="majorHAnsi" w:hAnsiTheme="majorHAnsi"/>
          <w:sz w:val="20"/>
          <w:szCs w:val="20"/>
          <w:lang w:val="es-VE"/>
        </w:rPr>
      </w:pPr>
    </w:p>
    <w:p w:rsidR="00603A60" w:rsidRPr="00B56CF7" w:rsidRDefault="007F0E4E" w:rsidP="001B36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El 30 de abril de 2007 d</w:t>
      </w:r>
      <w:r w:rsidR="003E0811" w:rsidRPr="00B56CF7">
        <w:rPr>
          <w:rFonts w:asciiTheme="majorHAnsi" w:hAnsiTheme="majorHAnsi"/>
          <w:sz w:val="20"/>
          <w:szCs w:val="20"/>
          <w:lang w:val="es-VE"/>
        </w:rPr>
        <w:t>icha jueza</w:t>
      </w:r>
      <w:r w:rsidR="00E956AD" w:rsidRPr="00B56CF7">
        <w:rPr>
          <w:rFonts w:asciiTheme="majorHAnsi" w:hAnsiTheme="majorHAnsi"/>
          <w:sz w:val="20"/>
          <w:szCs w:val="20"/>
          <w:lang w:val="es-VE"/>
        </w:rPr>
        <w:t xml:space="preserve"> </w:t>
      </w:r>
      <w:r w:rsidR="00AB190A" w:rsidRPr="00B56CF7">
        <w:rPr>
          <w:rFonts w:asciiTheme="majorHAnsi" w:hAnsiTheme="majorHAnsi"/>
          <w:sz w:val="20"/>
          <w:szCs w:val="20"/>
          <w:lang w:val="es-VE"/>
        </w:rPr>
        <w:t>dictó sentencia rechazando</w:t>
      </w:r>
      <w:r w:rsidR="00E956AD" w:rsidRPr="00B56CF7">
        <w:rPr>
          <w:rFonts w:asciiTheme="majorHAnsi" w:hAnsiTheme="majorHAnsi"/>
          <w:sz w:val="20"/>
          <w:szCs w:val="20"/>
          <w:lang w:val="es-VE"/>
        </w:rPr>
        <w:t xml:space="preserve"> la acci</w:t>
      </w:r>
      <w:r w:rsidR="0084650F" w:rsidRPr="00B56CF7">
        <w:rPr>
          <w:rFonts w:asciiTheme="majorHAnsi" w:hAnsiTheme="majorHAnsi"/>
          <w:sz w:val="20"/>
          <w:szCs w:val="20"/>
          <w:lang w:val="es-VE"/>
        </w:rPr>
        <w:t>ón de daños y perjuicios</w:t>
      </w:r>
      <w:r w:rsidR="00572700" w:rsidRPr="00B56CF7">
        <w:rPr>
          <w:rFonts w:asciiTheme="majorHAnsi" w:hAnsiTheme="majorHAnsi"/>
          <w:sz w:val="20"/>
          <w:szCs w:val="20"/>
          <w:lang w:val="es-VE"/>
        </w:rPr>
        <w:t>,</w:t>
      </w:r>
      <w:r w:rsidR="0084650F" w:rsidRPr="00B56CF7">
        <w:rPr>
          <w:rFonts w:asciiTheme="majorHAnsi" w:hAnsiTheme="majorHAnsi"/>
          <w:sz w:val="20"/>
          <w:szCs w:val="20"/>
          <w:lang w:val="es-VE"/>
        </w:rPr>
        <w:t xml:space="preserve"> </w:t>
      </w:r>
      <w:r w:rsidR="00AB190A" w:rsidRPr="00B56CF7">
        <w:rPr>
          <w:rFonts w:asciiTheme="majorHAnsi" w:hAnsiTheme="majorHAnsi"/>
          <w:sz w:val="20"/>
          <w:szCs w:val="20"/>
          <w:lang w:val="es-VE"/>
        </w:rPr>
        <w:t xml:space="preserve">indicando </w:t>
      </w:r>
      <w:r w:rsidR="0084650F" w:rsidRPr="00B56CF7">
        <w:rPr>
          <w:rFonts w:asciiTheme="majorHAnsi" w:hAnsiTheme="majorHAnsi"/>
          <w:sz w:val="20"/>
          <w:szCs w:val="20"/>
          <w:lang w:val="es-VE"/>
        </w:rPr>
        <w:t xml:space="preserve">que </w:t>
      </w:r>
      <w:r w:rsidR="00EB7CCF" w:rsidRPr="00B56CF7">
        <w:rPr>
          <w:rFonts w:asciiTheme="majorHAnsi" w:hAnsiTheme="majorHAnsi"/>
          <w:sz w:val="20"/>
          <w:szCs w:val="20"/>
          <w:lang w:val="es-VE"/>
        </w:rPr>
        <w:t>para que el Estado sea responsable del perjuicio ocasionado a quien sufre prisión preventiva y luego resulta absuelto</w:t>
      </w:r>
      <w:r w:rsidR="001E0915">
        <w:rPr>
          <w:rFonts w:asciiTheme="majorHAnsi" w:hAnsiTheme="majorHAnsi"/>
          <w:sz w:val="20"/>
          <w:szCs w:val="20"/>
          <w:lang w:val="es-VE"/>
        </w:rPr>
        <w:t>,</w:t>
      </w:r>
      <w:r w:rsidR="00EB7CCF" w:rsidRPr="00B56CF7">
        <w:rPr>
          <w:rFonts w:asciiTheme="majorHAnsi" w:hAnsiTheme="majorHAnsi"/>
          <w:sz w:val="20"/>
          <w:szCs w:val="20"/>
          <w:lang w:val="es-VE"/>
        </w:rPr>
        <w:t xml:space="preserve"> se requiere que la absolución haya sido dictada en virtud de su </w:t>
      </w:r>
      <w:r w:rsidR="00AB190A" w:rsidRPr="00B56CF7">
        <w:rPr>
          <w:rFonts w:asciiTheme="majorHAnsi" w:hAnsiTheme="majorHAnsi"/>
          <w:sz w:val="20"/>
          <w:szCs w:val="20"/>
          <w:lang w:val="es-VE"/>
        </w:rPr>
        <w:t>“</w:t>
      </w:r>
      <w:r w:rsidR="00EB7CCF" w:rsidRPr="00B56CF7">
        <w:rPr>
          <w:rFonts w:asciiTheme="majorHAnsi" w:hAnsiTheme="majorHAnsi"/>
          <w:sz w:val="20"/>
          <w:szCs w:val="20"/>
          <w:lang w:val="es-VE"/>
        </w:rPr>
        <w:t>inocencia manifiesta</w:t>
      </w:r>
      <w:r w:rsidR="00AB190A" w:rsidRPr="00B56CF7">
        <w:rPr>
          <w:rFonts w:asciiTheme="majorHAnsi" w:hAnsiTheme="majorHAnsi"/>
          <w:sz w:val="20"/>
          <w:szCs w:val="20"/>
          <w:lang w:val="es-VE"/>
        </w:rPr>
        <w:t>”</w:t>
      </w:r>
      <w:r w:rsidR="00EB7CCF" w:rsidRPr="00B56CF7">
        <w:rPr>
          <w:rFonts w:asciiTheme="majorHAnsi" w:hAnsiTheme="majorHAnsi"/>
          <w:sz w:val="20"/>
          <w:szCs w:val="20"/>
          <w:lang w:val="es-VE"/>
        </w:rPr>
        <w:t xml:space="preserve"> y que el auto de prisión preventiva se revele como incuestionablemente infundado o arbitrario</w:t>
      </w:r>
      <w:r w:rsidRPr="00B56CF7">
        <w:rPr>
          <w:rFonts w:asciiTheme="majorHAnsi" w:hAnsiTheme="majorHAnsi"/>
          <w:sz w:val="20"/>
          <w:szCs w:val="20"/>
          <w:lang w:val="es-VE"/>
        </w:rPr>
        <w:t>,</w:t>
      </w:r>
      <w:r w:rsidR="00EB7CCF" w:rsidRPr="00B56CF7">
        <w:rPr>
          <w:rFonts w:asciiTheme="majorHAnsi" w:hAnsiTheme="majorHAnsi"/>
          <w:sz w:val="20"/>
          <w:szCs w:val="20"/>
          <w:lang w:val="es-VE"/>
        </w:rPr>
        <w:t xml:space="preserve"> lo cual no surge del expediente del caso bajo su conocimiento</w:t>
      </w:r>
      <w:r w:rsidR="00EB7CCF" w:rsidRPr="00B56CF7">
        <w:rPr>
          <w:rStyle w:val="FootnoteReference"/>
          <w:rFonts w:asciiTheme="majorHAnsi" w:hAnsiTheme="majorHAnsi"/>
          <w:sz w:val="20"/>
          <w:szCs w:val="20"/>
          <w:lang w:val="es-VE"/>
        </w:rPr>
        <w:footnoteReference w:id="53"/>
      </w:r>
      <w:r w:rsidR="00EB7CCF" w:rsidRPr="00B56CF7">
        <w:rPr>
          <w:rFonts w:asciiTheme="majorHAnsi" w:hAnsiTheme="majorHAnsi"/>
          <w:sz w:val="20"/>
          <w:szCs w:val="20"/>
          <w:lang w:val="es-VE"/>
        </w:rPr>
        <w:t>.</w:t>
      </w:r>
      <w:r w:rsidR="00603A60" w:rsidRPr="00B56CF7">
        <w:rPr>
          <w:rFonts w:asciiTheme="majorHAnsi" w:hAnsiTheme="majorHAnsi"/>
          <w:sz w:val="20"/>
          <w:szCs w:val="20"/>
          <w:lang w:val="es-VE"/>
        </w:rPr>
        <w:t xml:space="preserve"> Indicó que</w:t>
      </w:r>
      <w:r w:rsidR="00375BD2" w:rsidRPr="00B56CF7">
        <w:rPr>
          <w:rFonts w:asciiTheme="majorHAnsi" w:hAnsiTheme="majorHAnsi"/>
          <w:sz w:val="20"/>
          <w:szCs w:val="20"/>
          <w:lang w:val="es-VE"/>
        </w:rPr>
        <w:t xml:space="preserve"> el señor</w:t>
      </w:r>
      <w:r w:rsidR="00603A60" w:rsidRPr="00B56CF7">
        <w:rPr>
          <w:rFonts w:asciiTheme="majorHAnsi" w:hAnsiTheme="majorHAnsi"/>
          <w:sz w:val="20"/>
          <w:szCs w:val="20"/>
          <w:lang w:val="es-VE"/>
        </w:rPr>
        <w:t xml:space="preserve"> Jenkins fue absuelto por el Tribunal Oral en lo Criminal Federal No. 6 por no haberse producido acusación fiscal en su contra, sin embargo su absolución fue decidida por mayoría simple y no fue dictada en virtud de su inocencia manifiesta sino por la insuficiencia de elementos probatorios en su contra</w:t>
      </w:r>
      <w:r w:rsidR="00603A60" w:rsidRPr="00B56CF7">
        <w:rPr>
          <w:rStyle w:val="FootnoteReference"/>
          <w:rFonts w:asciiTheme="majorHAnsi" w:hAnsiTheme="majorHAnsi"/>
          <w:sz w:val="20"/>
          <w:szCs w:val="20"/>
          <w:lang w:val="es-VE"/>
        </w:rPr>
        <w:footnoteReference w:id="54"/>
      </w:r>
      <w:r w:rsidR="00603A60" w:rsidRPr="00B56CF7">
        <w:rPr>
          <w:rFonts w:asciiTheme="majorHAnsi" w:hAnsiTheme="majorHAnsi"/>
          <w:sz w:val="20"/>
          <w:szCs w:val="20"/>
          <w:lang w:val="es-VE"/>
        </w:rPr>
        <w:t xml:space="preserve">. </w:t>
      </w:r>
    </w:p>
    <w:p w:rsidR="00603A60" w:rsidRPr="00B56CF7" w:rsidRDefault="00603A60" w:rsidP="006E33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EB7CCF" w:rsidRPr="00B56CF7" w:rsidRDefault="007E15CA" w:rsidP="00F2075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Agregó</w:t>
      </w:r>
      <w:r w:rsidR="001E0915">
        <w:rPr>
          <w:rFonts w:asciiTheme="majorHAnsi" w:hAnsiTheme="majorHAnsi"/>
          <w:sz w:val="20"/>
          <w:szCs w:val="20"/>
          <w:lang w:val="es-VE"/>
        </w:rPr>
        <w:t xml:space="preserve"> </w:t>
      </w:r>
      <w:r w:rsidRPr="00B56CF7">
        <w:rPr>
          <w:rFonts w:asciiTheme="majorHAnsi" w:hAnsiTheme="majorHAnsi"/>
          <w:sz w:val="20"/>
          <w:szCs w:val="20"/>
          <w:lang w:val="es-VE"/>
        </w:rPr>
        <w:t>en relación con el auto de prisión preventiva</w:t>
      </w:r>
      <w:r w:rsidR="00240952" w:rsidRPr="00B56CF7">
        <w:rPr>
          <w:rFonts w:asciiTheme="majorHAnsi" w:hAnsiTheme="majorHAnsi"/>
          <w:sz w:val="20"/>
          <w:szCs w:val="20"/>
          <w:lang w:val="es-VE"/>
        </w:rPr>
        <w:t>,</w:t>
      </w:r>
      <w:r w:rsidRPr="00B56CF7">
        <w:rPr>
          <w:rFonts w:asciiTheme="majorHAnsi" w:hAnsiTheme="majorHAnsi"/>
          <w:sz w:val="20"/>
          <w:szCs w:val="20"/>
          <w:lang w:val="es-VE"/>
        </w:rPr>
        <w:t xml:space="preserve"> que </w:t>
      </w:r>
      <w:r w:rsidR="00240952" w:rsidRPr="00B56CF7">
        <w:rPr>
          <w:rFonts w:asciiTheme="majorHAnsi" w:hAnsiTheme="majorHAnsi"/>
          <w:sz w:val="20"/>
          <w:szCs w:val="20"/>
          <w:lang w:val="es-VE"/>
        </w:rPr>
        <w:t xml:space="preserve">este no fue incuestionablemente infundado o arbitrario porque para dictarlo no sólo se tuvo en cuenta </w:t>
      </w:r>
      <w:r w:rsidR="005403C4" w:rsidRPr="00B56CF7">
        <w:rPr>
          <w:rFonts w:asciiTheme="majorHAnsi" w:hAnsiTheme="majorHAnsi"/>
          <w:sz w:val="20"/>
          <w:szCs w:val="20"/>
          <w:lang w:val="es-VE"/>
        </w:rPr>
        <w:t>la conversació</w:t>
      </w:r>
      <w:r w:rsidR="001B3659" w:rsidRPr="00B56CF7">
        <w:rPr>
          <w:rFonts w:asciiTheme="majorHAnsi" w:hAnsiTheme="majorHAnsi"/>
          <w:sz w:val="20"/>
          <w:szCs w:val="20"/>
          <w:lang w:val="es-VE"/>
        </w:rPr>
        <w:t xml:space="preserve">n a que se refiere el </w:t>
      </w:r>
      <w:proofErr w:type="spellStart"/>
      <w:r w:rsidR="001B3659" w:rsidRPr="00B56CF7">
        <w:rPr>
          <w:rFonts w:asciiTheme="majorHAnsi" w:hAnsiTheme="majorHAnsi"/>
          <w:sz w:val="20"/>
          <w:szCs w:val="20"/>
          <w:lang w:val="es-VE"/>
        </w:rPr>
        <w:t>cassette</w:t>
      </w:r>
      <w:proofErr w:type="spellEnd"/>
      <w:r w:rsidR="001B3659" w:rsidRPr="00B56CF7">
        <w:rPr>
          <w:rFonts w:asciiTheme="majorHAnsi" w:hAnsiTheme="majorHAnsi"/>
          <w:sz w:val="20"/>
          <w:szCs w:val="20"/>
          <w:lang w:val="es-VE"/>
        </w:rPr>
        <w:t xml:space="preserve"> N</w:t>
      </w:r>
      <w:r w:rsidR="005403C4" w:rsidRPr="00B56CF7">
        <w:rPr>
          <w:rFonts w:asciiTheme="majorHAnsi" w:hAnsiTheme="majorHAnsi"/>
          <w:sz w:val="20"/>
          <w:szCs w:val="20"/>
          <w:lang w:val="es-VE"/>
        </w:rPr>
        <w:t>o</w:t>
      </w:r>
      <w:r w:rsidR="00572700" w:rsidRPr="00B56CF7">
        <w:rPr>
          <w:rFonts w:asciiTheme="majorHAnsi" w:hAnsiTheme="majorHAnsi"/>
          <w:sz w:val="20"/>
          <w:szCs w:val="20"/>
          <w:lang w:val="es-VE"/>
        </w:rPr>
        <w:t>.</w:t>
      </w:r>
      <w:r w:rsidR="001B3659" w:rsidRPr="00B56CF7">
        <w:rPr>
          <w:rFonts w:asciiTheme="majorHAnsi" w:hAnsiTheme="majorHAnsi"/>
          <w:sz w:val="20"/>
          <w:szCs w:val="20"/>
          <w:lang w:val="es-VE"/>
        </w:rPr>
        <w:t xml:space="preserve"> </w:t>
      </w:r>
      <w:r w:rsidR="005403C4" w:rsidRPr="00B56CF7">
        <w:rPr>
          <w:rFonts w:asciiTheme="majorHAnsi" w:hAnsiTheme="majorHAnsi"/>
          <w:sz w:val="20"/>
          <w:szCs w:val="20"/>
          <w:lang w:val="es-VE"/>
        </w:rPr>
        <w:t>40, sino diversos elementos probatorios que convencieron al juez para dictar la medida preventiva</w:t>
      </w:r>
      <w:r w:rsidR="00390E1A" w:rsidRPr="00B56CF7">
        <w:rPr>
          <w:rFonts w:asciiTheme="majorHAnsi" w:hAnsiTheme="majorHAnsi"/>
          <w:sz w:val="20"/>
          <w:szCs w:val="20"/>
          <w:lang w:val="es-VE"/>
        </w:rPr>
        <w:t>. Concluyó indicando que “el hecho de que el actor hubiera permanecido en prisión por el lapso aproximado de tres años y medio no transforma, sin más, en ilegítima dicha detención ni lo habilita, en este caso a solicitar daños y perjuicios”</w:t>
      </w:r>
      <w:r w:rsidR="00390E1A" w:rsidRPr="00B56CF7">
        <w:rPr>
          <w:rStyle w:val="FootnoteReference"/>
          <w:rFonts w:asciiTheme="majorHAnsi" w:hAnsiTheme="majorHAnsi"/>
          <w:sz w:val="20"/>
          <w:szCs w:val="20"/>
          <w:lang w:val="es-VE"/>
        </w:rPr>
        <w:footnoteReference w:id="55"/>
      </w:r>
      <w:r w:rsidR="00390E1A" w:rsidRPr="00B56CF7">
        <w:rPr>
          <w:rFonts w:asciiTheme="majorHAnsi" w:hAnsiTheme="majorHAnsi"/>
          <w:sz w:val="20"/>
          <w:szCs w:val="20"/>
          <w:lang w:val="es-VE"/>
        </w:rPr>
        <w:t xml:space="preserve">. </w:t>
      </w:r>
    </w:p>
    <w:p w:rsidR="00FC0A1C" w:rsidRPr="00B56CF7" w:rsidRDefault="00FC0A1C" w:rsidP="005F7F85">
      <w:pPr>
        <w:jc w:val="both"/>
        <w:rPr>
          <w:rFonts w:asciiTheme="majorHAnsi" w:hAnsiTheme="majorHAnsi"/>
          <w:sz w:val="20"/>
          <w:szCs w:val="20"/>
          <w:lang w:val="es-VE"/>
        </w:rPr>
      </w:pPr>
    </w:p>
    <w:p w:rsidR="00F50D1D" w:rsidRPr="00B56CF7" w:rsidRDefault="00816513" w:rsidP="00EE24AD">
      <w:pPr>
        <w:pStyle w:val="Heading3"/>
        <w:numPr>
          <w:ilvl w:val="0"/>
          <w:numId w:val="72"/>
        </w:numPr>
        <w:ind w:firstLine="0"/>
        <w:rPr>
          <w:b w:val="0"/>
          <w:sz w:val="20"/>
          <w:szCs w:val="20"/>
          <w:lang w:val="es-VE"/>
        </w:rPr>
      </w:pPr>
      <w:bookmarkStart w:id="59" w:name="_Toc469409094"/>
      <w:r w:rsidRPr="00EE24AD">
        <w:rPr>
          <w:color w:val="auto"/>
          <w:sz w:val="20"/>
          <w:szCs w:val="20"/>
          <w:lang w:val="es-VE"/>
        </w:rPr>
        <w:t xml:space="preserve">Recurso de apelación, </w:t>
      </w:r>
      <w:r w:rsidR="00F50D1D" w:rsidRPr="00EE24AD">
        <w:rPr>
          <w:color w:val="auto"/>
          <w:sz w:val="20"/>
          <w:szCs w:val="20"/>
          <w:lang w:val="es-VE"/>
        </w:rPr>
        <w:t xml:space="preserve">decisión de segunda instancia </w:t>
      </w:r>
      <w:r w:rsidRPr="00EE24AD">
        <w:rPr>
          <w:color w:val="auto"/>
          <w:sz w:val="20"/>
          <w:szCs w:val="20"/>
          <w:lang w:val="es-VE"/>
        </w:rPr>
        <w:t>y recurso de queja</w:t>
      </w:r>
      <w:bookmarkEnd w:id="59"/>
    </w:p>
    <w:p w:rsidR="00F50D1D" w:rsidRPr="00B56CF7" w:rsidRDefault="00F50D1D" w:rsidP="005F7F85">
      <w:pPr>
        <w:jc w:val="both"/>
        <w:rPr>
          <w:rFonts w:asciiTheme="majorHAnsi" w:hAnsiTheme="majorHAnsi"/>
          <w:sz w:val="20"/>
          <w:szCs w:val="20"/>
          <w:lang w:val="es-VE"/>
        </w:rPr>
      </w:pPr>
    </w:p>
    <w:p w:rsidR="002F2EE9" w:rsidRPr="00B56CF7" w:rsidRDefault="009E11CC" w:rsidP="00EB4E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La defensa de la presunta víctima interpuso un recurso de apelación contra la sentencia</w:t>
      </w:r>
      <w:r w:rsidR="0024495A" w:rsidRPr="00B56CF7">
        <w:rPr>
          <w:rFonts w:asciiTheme="majorHAnsi" w:hAnsiTheme="majorHAnsi"/>
          <w:sz w:val="20"/>
          <w:szCs w:val="20"/>
          <w:lang w:val="es-VE"/>
        </w:rPr>
        <w:t xml:space="preserve"> mencionada</w:t>
      </w:r>
      <w:r w:rsidRPr="00B56CF7">
        <w:rPr>
          <w:rFonts w:asciiTheme="majorHAnsi" w:hAnsiTheme="majorHAnsi"/>
          <w:sz w:val="20"/>
          <w:szCs w:val="20"/>
          <w:lang w:val="es-VE"/>
        </w:rPr>
        <w:t xml:space="preserve">, argumentando que </w:t>
      </w:r>
      <w:r w:rsidR="00541B5A" w:rsidRPr="00B56CF7">
        <w:rPr>
          <w:rFonts w:asciiTheme="majorHAnsi" w:hAnsiTheme="majorHAnsi"/>
          <w:sz w:val="20"/>
          <w:szCs w:val="20"/>
          <w:lang w:val="es-VE"/>
        </w:rPr>
        <w:t>en la c</w:t>
      </w:r>
      <w:r w:rsidR="006D39FC" w:rsidRPr="00B56CF7">
        <w:rPr>
          <w:rFonts w:asciiTheme="majorHAnsi" w:hAnsiTheme="majorHAnsi"/>
          <w:sz w:val="20"/>
          <w:szCs w:val="20"/>
          <w:lang w:val="es-VE"/>
        </w:rPr>
        <w:t>ausa penal seguida en su contra</w:t>
      </w:r>
      <w:r w:rsidR="00541B5A" w:rsidRPr="00B56CF7">
        <w:rPr>
          <w:rFonts w:asciiTheme="majorHAnsi" w:hAnsiTheme="majorHAnsi"/>
          <w:sz w:val="20"/>
          <w:szCs w:val="20"/>
          <w:lang w:val="es-VE"/>
        </w:rPr>
        <w:t xml:space="preserve"> el juez instructor y los fiscales utilizaron prueba inexistente para decretar su prisión preve</w:t>
      </w:r>
      <w:r w:rsidR="0024495A" w:rsidRPr="00B56CF7">
        <w:rPr>
          <w:rFonts w:asciiTheme="majorHAnsi" w:hAnsiTheme="majorHAnsi"/>
          <w:sz w:val="20"/>
          <w:szCs w:val="20"/>
          <w:lang w:val="es-VE"/>
        </w:rPr>
        <w:t>ntiva y someterlo a juicio oral;</w:t>
      </w:r>
      <w:r w:rsidR="00541B5A" w:rsidRPr="00B56CF7">
        <w:rPr>
          <w:rFonts w:asciiTheme="majorHAnsi" w:hAnsiTheme="majorHAnsi"/>
          <w:sz w:val="20"/>
          <w:szCs w:val="20"/>
          <w:lang w:val="es-VE"/>
        </w:rPr>
        <w:t xml:space="preserve"> que la sentencia del Tribunal Oral en lo Criminal Federal No.</w:t>
      </w:r>
      <w:r w:rsidR="006D39FC" w:rsidRPr="00B56CF7">
        <w:rPr>
          <w:rFonts w:asciiTheme="majorHAnsi" w:hAnsiTheme="majorHAnsi"/>
          <w:sz w:val="20"/>
          <w:szCs w:val="20"/>
          <w:lang w:val="es-VE"/>
        </w:rPr>
        <w:t xml:space="preserve"> </w:t>
      </w:r>
      <w:r w:rsidR="00541B5A" w:rsidRPr="00B56CF7">
        <w:rPr>
          <w:rFonts w:asciiTheme="majorHAnsi" w:hAnsiTheme="majorHAnsi"/>
          <w:sz w:val="20"/>
          <w:szCs w:val="20"/>
          <w:lang w:val="es-VE"/>
        </w:rPr>
        <w:t>6 ordena investigar un prob</w:t>
      </w:r>
      <w:r w:rsidR="006D39FC" w:rsidRPr="00B56CF7">
        <w:rPr>
          <w:rFonts w:asciiTheme="majorHAnsi" w:hAnsiTheme="majorHAnsi"/>
          <w:sz w:val="20"/>
          <w:szCs w:val="20"/>
          <w:lang w:val="es-VE"/>
        </w:rPr>
        <w:t>able delito, lo cual no se hizo;</w:t>
      </w:r>
      <w:r w:rsidR="00541B5A" w:rsidRPr="00B56CF7">
        <w:rPr>
          <w:rFonts w:asciiTheme="majorHAnsi" w:hAnsiTheme="majorHAnsi"/>
          <w:sz w:val="20"/>
          <w:szCs w:val="20"/>
          <w:lang w:val="es-VE"/>
        </w:rPr>
        <w:t xml:space="preserve"> y que su sometimiento a prisión </w:t>
      </w:r>
      <w:r w:rsidR="0058177F" w:rsidRPr="00B56CF7">
        <w:rPr>
          <w:rFonts w:asciiTheme="majorHAnsi" w:hAnsiTheme="majorHAnsi"/>
          <w:sz w:val="20"/>
          <w:szCs w:val="20"/>
          <w:lang w:val="es-VE"/>
        </w:rPr>
        <w:t xml:space="preserve">preventiva por </w:t>
      </w:r>
      <w:r w:rsidR="00543399" w:rsidRPr="00B56CF7">
        <w:rPr>
          <w:rFonts w:asciiTheme="majorHAnsi" w:hAnsiTheme="majorHAnsi"/>
          <w:sz w:val="20"/>
          <w:szCs w:val="20"/>
          <w:lang w:val="es-VE"/>
        </w:rPr>
        <w:t>más</w:t>
      </w:r>
      <w:r w:rsidR="00541B5A" w:rsidRPr="00B56CF7">
        <w:rPr>
          <w:rFonts w:asciiTheme="majorHAnsi" w:hAnsiTheme="majorHAnsi"/>
          <w:sz w:val="20"/>
          <w:szCs w:val="20"/>
          <w:lang w:val="es-VE"/>
        </w:rPr>
        <w:t xml:space="preserve"> de dos años constituye una condena ilegítima </w:t>
      </w:r>
      <w:r w:rsidR="00572700" w:rsidRPr="00B56CF7">
        <w:rPr>
          <w:rFonts w:asciiTheme="majorHAnsi" w:hAnsiTheme="majorHAnsi"/>
          <w:sz w:val="20"/>
          <w:szCs w:val="20"/>
          <w:lang w:val="es-VE"/>
        </w:rPr>
        <w:t>que</w:t>
      </w:r>
      <w:r w:rsidR="002F2EE9" w:rsidRPr="00B56CF7">
        <w:rPr>
          <w:rFonts w:asciiTheme="majorHAnsi" w:hAnsiTheme="majorHAnsi"/>
          <w:sz w:val="20"/>
          <w:szCs w:val="20"/>
          <w:lang w:val="es-VE"/>
        </w:rPr>
        <w:t xml:space="preserve"> debe ser resarcida</w:t>
      </w:r>
      <w:r w:rsidR="002F2EE9" w:rsidRPr="00B56CF7">
        <w:rPr>
          <w:rFonts w:asciiTheme="majorHAnsi" w:hAnsiTheme="majorHAnsi"/>
          <w:sz w:val="20"/>
          <w:szCs w:val="20"/>
          <w:vertAlign w:val="superscript"/>
        </w:rPr>
        <w:footnoteReference w:id="56"/>
      </w:r>
      <w:r w:rsidR="002F2EE9" w:rsidRPr="00B56CF7">
        <w:rPr>
          <w:rFonts w:asciiTheme="majorHAnsi" w:hAnsiTheme="majorHAnsi"/>
          <w:sz w:val="20"/>
          <w:szCs w:val="20"/>
          <w:lang w:val="es-VE"/>
        </w:rPr>
        <w:t xml:space="preserve">. </w:t>
      </w:r>
    </w:p>
    <w:p w:rsidR="000D180C" w:rsidRPr="00B56CF7" w:rsidRDefault="000D180C" w:rsidP="000D18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EB4EF7" w:rsidRPr="00B56CF7" w:rsidRDefault="00004CD3" w:rsidP="005F7F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lastRenderedPageBreak/>
        <w:t>El 25 de marzo de 2008 la Sala III de la Cámara Nacional de Apelaciones en lo</w:t>
      </w:r>
      <w:r w:rsidR="00DE488D" w:rsidRPr="00B56CF7">
        <w:rPr>
          <w:rFonts w:asciiTheme="majorHAnsi" w:hAnsiTheme="majorHAnsi"/>
          <w:sz w:val="20"/>
          <w:szCs w:val="20"/>
          <w:lang w:val="es-VE"/>
        </w:rPr>
        <w:t xml:space="preserve"> Contencioso Administrativo Federal </w:t>
      </w:r>
      <w:r w:rsidR="00B54749" w:rsidRPr="00B56CF7">
        <w:rPr>
          <w:rFonts w:asciiTheme="majorHAnsi" w:hAnsiTheme="majorHAnsi"/>
          <w:sz w:val="20"/>
          <w:szCs w:val="20"/>
          <w:lang w:val="es-VE"/>
        </w:rPr>
        <w:t>declaró</w:t>
      </w:r>
      <w:r w:rsidR="0058177F" w:rsidRPr="00B56CF7">
        <w:rPr>
          <w:rFonts w:asciiTheme="majorHAnsi" w:hAnsiTheme="majorHAnsi"/>
          <w:sz w:val="20"/>
          <w:szCs w:val="20"/>
          <w:lang w:val="es-VE"/>
        </w:rPr>
        <w:t xml:space="preserve"> </w:t>
      </w:r>
      <w:r w:rsidR="00437BE0" w:rsidRPr="00B56CF7">
        <w:rPr>
          <w:rFonts w:asciiTheme="majorHAnsi" w:hAnsiTheme="majorHAnsi"/>
          <w:sz w:val="20"/>
          <w:szCs w:val="20"/>
          <w:lang w:val="es-VE"/>
        </w:rPr>
        <w:t>“desierto” el</w:t>
      </w:r>
      <w:r w:rsidR="0058177F" w:rsidRPr="00B56CF7">
        <w:rPr>
          <w:rFonts w:asciiTheme="majorHAnsi" w:hAnsiTheme="majorHAnsi"/>
          <w:sz w:val="20"/>
          <w:szCs w:val="20"/>
          <w:lang w:val="es-VE"/>
        </w:rPr>
        <w:t xml:space="preserve"> recurso de apelación por considerar que</w:t>
      </w:r>
      <w:r w:rsidR="00370549" w:rsidRPr="00B56CF7">
        <w:rPr>
          <w:rFonts w:asciiTheme="majorHAnsi" w:hAnsiTheme="majorHAnsi"/>
          <w:sz w:val="20"/>
          <w:szCs w:val="20"/>
          <w:lang w:val="es-VE"/>
        </w:rPr>
        <w:t xml:space="preserve"> en su interposición no se efectuó una controversia sobre </w:t>
      </w:r>
      <w:r w:rsidR="0058177F" w:rsidRPr="00B56CF7">
        <w:rPr>
          <w:rFonts w:asciiTheme="majorHAnsi" w:hAnsiTheme="majorHAnsi"/>
          <w:sz w:val="20"/>
          <w:szCs w:val="20"/>
          <w:lang w:val="es-VE"/>
        </w:rPr>
        <w:t>las razones esgrimidas por la jueza en la decisión de primera instancia</w:t>
      </w:r>
      <w:r w:rsidR="00463D1C" w:rsidRPr="00B56CF7">
        <w:rPr>
          <w:rFonts w:asciiTheme="majorHAnsi" w:hAnsiTheme="majorHAnsi"/>
          <w:sz w:val="20"/>
          <w:szCs w:val="20"/>
          <w:vertAlign w:val="superscript"/>
        </w:rPr>
        <w:footnoteReference w:id="57"/>
      </w:r>
      <w:r w:rsidR="00B54749" w:rsidRPr="00B56CF7">
        <w:rPr>
          <w:rFonts w:asciiTheme="majorHAnsi" w:hAnsiTheme="majorHAnsi"/>
          <w:sz w:val="20"/>
          <w:szCs w:val="20"/>
          <w:lang w:val="es-VE"/>
        </w:rPr>
        <w:t>.</w:t>
      </w:r>
    </w:p>
    <w:p w:rsidR="00EB4EF7" w:rsidRPr="00B56CF7" w:rsidRDefault="00EB4EF7" w:rsidP="00EB4E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EB4EF7" w:rsidRPr="005553B9" w:rsidRDefault="00543399" w:rsidP="00EB4E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En sus votos concurrentes los jueces de Cámara consideraron que cuando se dispuso la privación</w:t>
      </w:r>
      <w:r w:rsidR="000E49D8" w:rsidRPr="00B56CF7">
        <w:rPr>
          <w:rFonts w:asciiTheme="majorHAnsi" w:hAnsiTheme="majorHAnsi"/>
          <w:sz w:val="20"/>
          <w:szCs w:val="20"/>
          <w:lang w:val="es-VE"/>
        </w:rPr>
        <w:t xml:space="preserve"> de libertad</w:t>
      </w:r>
      <w:r w:rsidRPr="00B56CF7">
        <w:rPr>
          <w:rFonts w:asciiTheme="majorHAnsi" w:hAnsiTheme="majorHAnsi"/>
          <w:sz w:val="20"/>
          <w:szCs w:val="20"/>
          <w:lang w:val="es-VE"/>
        </w:rPr>
        <w:t xml:space="preserve"> del reclamante, existían suficientes </w:t>
      </w:r>
      <w:r w:rsidR="009C7131" w:rsidRPr="00B56CF7">
        <w:rPr>
          <w:rFonts w:asciiTheme="majorHAnsi" w:hAnsiTheme="majorHAnsi"/>
          <w:sz w:val="20"/>
          <w:szCs w:val="20"/>
          <w:lang w:val="es-VE"/>
        </w:rPr>
        <w:t>elementos de prueba susceptibles de generar una legítima sospecha respecto</w:t>
      </w:r>
      <w:r w:rsidR="00126F99" w:rsidRPr="00B56CF7">
        <w:rPr>
          <w:rFonts w:asciiTheme="majorHAnsi" w:hAnsiTheme="majorHAnsi"/>
          <w:sz w:val="20"/>
          <w:szCs w:val="20"/>
          <w:lang w:val="es-VE"/>
        </w:rPr>
        <w:t xml:space="preserve"> de la responsabilidad penal de</w:t>
      </w:r>
      <w:r w:rsidR="00761A36" w:rsidRPr="00B56CF7">
        <w:rPr>
          <w:rFonts w:asciiTheme="majorHAnsi" w:hAnsiTheme="majorHAnsi"/>
          <w:sz w:val="20"/>
          <w:szCs w:val="20"/>
          <w:lang w:val="es-VE"/>
        </w:rPr>
        <w:t xml:space="preserve">l señor </w:t>
      </w:r>
      <w:r w:rsidR="009C7131" w:rsidRPr="00B56CF7">
        <w:rPr>
          <w:rFonts w:asciiTheme="majorHAnsi" w:hAnsiTheme="majorHAnsi"/>
          <w:sz w:val="20"/>
          <w:szCs w:val="20"/>
          <w:lang w:val="es-VE"/>
        </w:rPr>
        <w:t>Jenkins</w:t>
      </w:r>
      <w:r w:rsidR="004B0689" w:rsidRPr="00B56CF7">
        <w:rPr>
          <w:rFonts w:asciiTheme="majorHAnsi" w:hAnsiTheme="majorHAnsi"/>
          <w:sz w:val="20"/>
          <w:szCs w:val="20"/>
          <w:lang w:val="es-VE"/>
        </w:rPr>
        <w:t xml:space="preserve"> y que “no cabe admitir que por la vía resarcitori</w:t>
      </w:r>
      <w:r w:rsidR="0024495A" w:rsidRPr="00B56CF7">
        <w:rPr>
          <w:rFonts w:asciiTheme="majorHAnsi" w:hAnsiTheme="majorHAnsi"/>
          <w:sz w:val="20"/>
          <w:szCs w:val="20"/>
          <w:lang w:val="es-VE"/>
        </w:rPr>
        <w:t>a se pretenda revisar el acierto</w:t>
      </w:r>
      <w:r w:rsidR="004B0689" w:rsidRPr="00B56CF7">
        <w:rPr>
          <w:rFonts w:asciiTheme="majorHAnsi" w:hAnsiTheme="majorHAnsi"/>
          <w:sz w:val="20"/>
          <w:szCs w:val="20"/>
          <w:lang w:val="es-VE"/>
        </w:rPr>
        <w:t xml:space="preserve"> o error de un pronunciamiento cautelar </w:t>
      </w:r>
      <w:r w:rsidRPr="00B56CF7">
        <w:rPr>
          <w:rFonts w:asciiTheme="majorHAnsi" w:hAnsiTheme="majorHAnsi"/>
          <w:sz w:val="20"/>
          <w:szCs w:val="20"/>
          <w:lang w:val="es-VE"/>
        </w:rPr>
        <w:t>firme”. También agregaron que la absolución de Gabriel Jenkins fue dictada por falta de acusación fiscal e insuficiencia de elementos probatorios y no por constatarse un error judicial</w:t>
      </w:r>
      <w:r w:rsidR="00463D1C" w:rsidRPr="00B56CF7">
        <w:rPr>
          <w:rStyle w:val="FootnoteReference"/>
          <w:rFonts w:asciiTheme="majorHAnsi" w:hAnsiTheme="majorHAnsi"/>
          <w:sz w:val="20"/>
          <w:szCs w:val="20"/>
          <w:lang w:val="es-VE"/>
        </w:rPr>
        <w:footnoteReference w:id="58"/>
      </w:r>
      <w:r w:rsidRPr="00B56CF7">
        <w:rPr>
          <w:rFonts w:asciiTheme="majorHAnsi" w:hAnsiTheme="majorHAnsi"/>
          <w:sz w:val="20"/>
          <w:szCs w:val="20"/>
          <w:lang w:val="es-VE"/>
        </w:rPr>
        <w:t xml:space="preserve">. </w:t>
      </w:r>
    </w:p>
    <w:p w:rsidR="00D34C63" w:rsidRPr="00B56CF7" w:rsidRDefault="00437BE0" w:rsidP="00D34C6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Con posterioridad el peticionario presentó un “recurso de hecho”</w:t>
      </w:r>
      <w:r w:rsidR="00D34C63" w:rsidRPr="00B56CF7">
        <w:rPr>
          <w:rFonts w:asciiTheme="majorHAnsi" w:hAnsiTheme="majorHAnsi"/>
          <w:sz w:val="20"/>
          <w:szCs w:val="20"/>
          <w:lang w:val="es-VE"/>
        </w:rPr>
        <w:t xml:space="preserve"> ante la Corte Suprema de Justicia de la Nación, quejándose</w:t>
      </w:r>
      <w:r w:rsidRPr="00B56CF7">
        <w:rPr>
          <w:rFonts w:asciiTheme="majorHAnsi" w:hAnsiTheme="majorHAnsi"/>
          <w:sz w:val="20"/>
          <w:szCs w:val="20"/>
          <w:lang w:val="es-VE"/>
        </w:rPr>
        <w:t xml:space="preserve"> por la denegatoria del recurso de apelación</w:t>
      </w:r>
      <w:r w:rsidR="00D34C63" w:rsidRPr="00B56CF7">
        <w:rPr>
          <w:rFonts w:asciiTheme="majorHAnsi" w:hAnsiTheme="majorHAnsi"/>
          <w:sz w:val="20"/>
          <w:szCs w:val="20"/>
          <w:lang w:val="es-VE"/>
        </w:rPr>
        <w:t>.</w:t>
      </w:r>
      <w:r w:rsidR="00743384" w:rsidRPr="00B56CF7">
        <w:rPr>
          <w:rFonts w:asciiTheme="majorHAnsi" w:hAnsiTheme="majorHAnsi"/>
          <w:sz w:val="20"/>
          <w:szCs w:val="20"/>
          <w:lang w:val="es-VE"/>
        </w:rPr>
        <w:t xml:space="preserve"> El 17 de marzo de 2009 la Corte Suprema emitió sentencia denegando dicho recurso. Fundamentó su rechazo en tres razones principales: i) la queja se ha excedido de la extensión requerida por las disposiciones reglamentarias; ii) no refuta los argumentos de la resolución contra la que se plantea</w:t>
      </w:r>
      <w:r w:rsidR="009A5824">
        <w:rPr>
          <w:rFonts w:asciiTheme="majorHAnsi" w:hAnsiTheme="majorHAnsi"/>
          <w:sz w:val="20"/>
          <w:szCs w:val="20"/>
          <w:lang w:val="es-VE"/>
        </w:rPr>
        <w:t>,</w:t>
      </w:r>
      <w:r w:rsidR="00743384" w:rsidRPr="00B56CF7">
        <w:rPr>
          <w:rFonts w:asciiTheme="majorHAnsi" w:hAnsiTheme="majorHAnsi"/>
          <w:sz w:val="20"/>
          <w:szCs w:val="20"/>
          <w:lang w:val="es-VE"/>
        </w:rPr>
        <w:t xml:space="preserve"> principalmente la afirmación según la cual no existen diferencias entre el contenido del </w:t>
      </w:r>
      <w:proofErr w:type="spellStart"/>
      <w:r w:rsidR="00743384" w:rsidRPr="00B56CF7">
        <w:rPr>
          <w:rFonts w:asciiTheme="majorHAnsi" w:hAnsiTheme="majorHAnsi"/>
          <w:sz w:val="20"/>
          <w:szCs w:val="20"/>
          <w:lang w:val="es-VE"/>
        </w:rPr>
        <w:t>cassette</w:t>
      </w:r>
      <w:proofErr w:type="spellEnd"/>
      <w:r w:rsidR="00743384" w:rsidRPr="00B56CF7">
        <w:rPr>
          <w:rFonts w:asciiTheme="majorHAnsi" w:hAnsiTheme="majorHAnsi"/>
          <w:sz w:val="20"/>
          <w:szCs w:val="20"/>
          <w:lang w:val="es-VE"/>
        </w:rPr>
        <w:t xml:space="preserve"> </w:t>
      </w:r>
      <w:r w:rsidR="00237805" w:rsidRPr="00B56CF7">
        <w:rPr>
          <w:rFonts w:asciiTheme="majorHAnsi" w:hAnsiTheme="majorHAnsi"/>
          <w:sz w:val="20"/>
          <w:szCs w:val="20"/>
          <w:lang w:val="es-VE"/>
        </w:rPr>
        <w:t>No.</w:t>
      </w:r>
      <w:r w:rsidR="00743384" w:rsidRPr="00B56CF7">
        <w:rPr>
          <w:rFonts w:asciiTheme="majorHAnsi" w:hAnsiTheme="majorHAnsi"/>
          <w:sz w:val="20"/>
          <w:szCs w:val="20"/>
          <w:lang w:val="es-VE"/>
        </w:rPr>
        <w:t xml:space="preserve"> 40 y su transcripción</w:t>
      </w:r>
      <w:r w:rsidR="002F6B9D" w:rsidRPr="00B56CF7">
        <w:rPr>
          <w:rFonts w:asciiTheme="majorHAnsi" w:hAnsiTheme="majorHAnsi"/>
          <w:sz w:val="20"/>
          <w:szCs w:val="20"/>
          <w:lang w:val="es-VE"/>
        </w:rPr>
        <w:t xml:space="preserve">, así como </w:t>
      </w:r>
      <w:r w:rsidR="00743384" w:rsidRPr="00B56CF7">
        <w:rPr>
          <w:rFonts w:asciiTheme="majorHAnsi" w:hAnsiTheme="majorHAnsi"/>
          <w:sz w:val="20"/>
          <w:szCs w:val="20"/>
          <w:lang w:val="es-VE"/>
        </w:rPr>
        <w:t>que este elemento de prueba no fue el único tomado en cuenta para dictar la prisión preventiva</w:t>
      </w:r>
      <w:r w:rsidR="00743384" w:rsidRPr="00B56CF7">
        <w:rPr>
          <w:rStyle w:val="FootnoteReference"/>
          <w:rFonts w:asciiTheme="majorHAnsi" w:hAnsiTheme="majorHAnsi"/>
          <w:sz w:val="20"/>
          <w:szCs w:val="20"/>
          <w:lang w:val="es-VE"/>
        </w:rPr>
        <w:footnoteReference w:id="59"/>
      </w:r>
      <w:r w:rsidR="00743384" w:rsidRPr="00B56CF7">
        <w:rPr>
          <w:rFonts w:asciiTheme="majorHAnsi" w:hAnsiTheme="majorHAnsi"/>
          <w:sz w:val="20"/>
          <w:szCs w:val="20"/>
          <w:lang w:val="es-VE"/>
        </w:rPr>
        <w:t>.</w:t>
      </w:r>
    </w:p>
    <w:p w:rsidR="00126F99" w:rsidRPr="00B56CF7" w:rsidRDefault="00D34C63" w:rsidP="00EB496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r w:rsidRPr="00B56CF7">
        <w:rPr>
          <w:rFonts w:asciiTheme="majorHAnsi" w:hAnsiTheme="majorHAnsi"/>
          <w:sz w:val="20"/>
          <w:szCs w:val="20"/>
          <w:lang w:val="es-VE"/>
        </w:rPr>
        <w:t xml:space="preserve"> </w:t>
      </w:r>
      <w:bookmarkEnd w:id="42"/>
    </w:p>
    <w:p w:rsidR="00E40449" w:rsidRPr="00B56CF7" w:rsidRDefault="00E40449" w:rsidP="0024495A">
      <w:pPr>
        <w:pStyle w:val="Heading1"/>
        <w:numPr>
          <w:ilvl w:val="0"/>
          <w:numId w:val="55"/>
        </w:numPr>
        <w:tabs>
          <w:tab w:val="clear" w:pos="1440"/>
        </w:tabs>
      </w:pPr>
      <w:bookmarkStart w:id="60" w:name="_Toc423514424"/>
      <w:bookmarkStart w:id="61" w:name="_Toc433115991"/>
      <w:bookmarkStart w:id="62" w:name="_Toc444958132"/>
      <w:bookmarkStart w:id="63" w:name="_Toc467577915"/>
      <w:bookmarkStart w:id="64" w:name="_Toc469409095"/>
      <w:r w:rsidRPr="00B56CF7">
        <w:t>ANALISIS DE DERECHO</w:t>
      </w:r>
      <w:bookmarkEnd w:id="60"/>
      <w:bookmarkEnd w:id="61"/>
      <w:bookmarkEnd w:id="62"/>
      <w:bookmarkEnd w:id="63"/>
      <w:bookmarkEnd w:id="64"/>
      <w:r w:rsidRPr="00B56CF7">
        <w:t xml:space="preserve"> </w:t>
      </w:r>
    </w:p>
    <w:p w:rsidR="00B91111" w:rsidRPr="0062236D" w:rsidRDefault="00B91111" w:rsidP="006105BA">
      <w:pPr>
        <w:rPr>
          <w:rFonts w:asciiTheme="majorHAnsi" w:hAnsiTheme="majorHAnsi"/>
          <w:sz w:val="20"/>
          <w:szCs w:val="20"/>
          <w:lang w:val="es-ES_tradnl"/>
        </w:rPr>
      </w:pPr>
    </w:p>
    <w:p w:rsidR="00587EDF" w:rsidRPr="00B56CF7" w:rsidRDefault="00587EDF" w:rsidP="009A72E5">
      <w:pPr>
        <w:pStyle w:val="Heading2"/>
        <w:numPr>
          <w:ilvl w:val="0"/>
          <w:numId w:val="64"/>
        </w:numPr>
        <w:rPr>
          <w:lang w:val="es-ES" w:eastAsia="es-ES"/>
        </w:rPr>
      </w:pPr>
      <w:bookmarkStart w:id="65" w:name="_Toc467577916"/>
      <w:bookmarkStart w:id="66" w:name="_Toc469409096"/>
      <w:r w:rsidRPr="00B56CF7">
        <w:rPr>
          <w:lang w:val="es-ES" w:eastAsia="es-ES"/>
        </w:rPr>
        <w:t>Cuestiones previas</w:t>
      </w:r>
      <w:bookmarkEnd w:id="65"/>
      <w:bookmarkEnd w:id="66"/>
    </w:p>
    <w:p w:rsidR="00587EDF" w:rsidRPr="0062236D" w:rsidRDefault="00587EDF" w:rsidP="006105BA">
      <w:pPr>
        <w:rPr>
          <w:rFonts w:asciiTheme="majorHAnsi" w:hAnsiTheme="majorHAnsi"/>
          <w:sz w:val="20"/>
          <w:szCs w:val="20"/>
          <w:lang w:val="es-ES_tradnl"/>
        </w:rPr>
      </w:pPr>
    </w:p>
    <w:p w:rsidR="0035634C" w:rsidRPr="00B56CF7" w:rsidRDefault="00587EDF" w:rsidP="0035634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B56CF7">
        <w:rPr>
          <w:rFonts w:asciiTheme="majorHAnsi" w:hAnsiTheme="majorHAnsi"/>
          <w:sz w:val="20"/>
          <w:szCs w:val="20"/>
          <w:lang w:val="es-VE"/>
        </w:rPr>
        <w:t xml:space="preserve">Antes de analizar los </w:t>
      </w:r>
      <w:r w:rsidR="004236B8" w:rsidRPr="00B56CF7">
        <w:rPr>
          <w:rFonts w:asciiTheme="majorHAnsi" w:hAnsiTheme="majorHAnsi"/>
          <w:sz w:val="20"/>
          <w:szCs w:val="20"/>
          <w:lang w:val="es-VE"/>
        </w:rPr>
        <w:t xml:space="preserve">hechos establecidos y los </w:t>
      </w:r>
      <w:r w:rsidRPr="00B56CF7">
        <w:rPr>
          <w:rFonts w:asciiTheme="majorHAnsi" w:hAnsiTheme="majorHAnsi"/>
          <w:sz w:val="20"/>
          <w:szCs w:val="20"/>
          <w:lang w:val="es-VE"/>
        </w:rPr>
        <w:t xml:space="preserve">alegatos de las partes, la Comisión recuerda que en su Informe de Admisibilidad </w:t>
      </w:r>
      <w:r w:rsidR="00B00B50" w:rsidRPr="00B56CF7">
        <w:rPr>
          <w:rFonts w:asciiTheme="majorHAnsi" w:hAnsiTheme="majorHAnsi"/>
          <w:sz w:val="20"/>
          <w:szCs w:val="20"/>
          <w:lang w:val="es-VE"/>
        </w:rPr>
        <w:t>50/04</w:t>
      </w:r>
      <w:r w:rsidR="001C403E" w:rsidRPr="00B56CF7">
        <w:rPr>
          <w:rFonts w:asciiTheme="majorHAnsi" w:hAnsiTheme="majorHAnsi"/>
          <w:sz w:val="20"/>
          <w:szCs w:val="20"/>
          <w:lang w:val="es-VE"/>
        </w:rPr>
        <w:t xml:space="preserve"> indicó que lo alegado en la petición podría caracterizar posibles violaciones a los derechos establecidos en los </w:t>
      </w:r>
      <w:r w:rsidR="0035634C" w:rsidRPr="00B56CF7">
        <w:rPr>
          <w:rFonts w:asciiTheme="majorHAnsi" w:hAnsiTheme="majorHAnsi"/>
          <w:sz w:val="20"/>
          <w:szCs w:val="20"/>
          <w:lang w:val="es-VE"/>
        </w:rPr>
        <w:t xml:space="preserve"> artículos 7, 8, 24 y 25 en relación con los artículos 1</w:t>
      </w:r>
      <w:r w:rsidR="0085254C" w:rsidRPr="00B56CF7">
        <w:rPr>
          <w:rFonts w:asciiTheme="majorHAnsi" w:hAnsiTheme="majorHAnsi"/>
          <w:sz w:val="20"/>
          <w:szCs w:val="20"/>
          <w:lang w:val="es-VE"/>
        </w:rPr>
        <w:t>.1</w:t>
      </w:r>
      <w:r w:rsidR="0035634C" w:rsidRPr="00B56CF7">
        <w:rPr>
          <w:rFonts w:asciiTheme="majorHAnsi" w:hAnsiTheme="majorHAnsi"/>
          <w:sz w:val="20"/>
          <w:szCs w:val="20"/>
          <w:lang w:val="es-VE"/>
        </w:rPr>
        <w:t xml:space="preserve"> y 2 de la Conven</w:t>
      </w:r>
      <w:r w:rsidR="002A7B21" w:rsidRPr="00B56CF7">
        <w:rPr>
          <w:rFonts w:asciiTheme="majorHAnsi" w:hAnsiTheme="majorHAnsi"/>
          <w:sz w:val="20"/>
          <w:szCs w:val="20"/>
          <w:lang w:val="es-VE"/>
        </w:rPr>
        <w:t xml:space="preserve">ción Americana. </w:t>
      </w:r>
      <w:r w:rsidR="000B37BF" w:rsidRPr="00B56CF7">
        <w:rPr>
          <w:rFonts w:asciiTheme="majorHAnsi" w:hAnsiTheme="majorHAnsi"/>
          <w:sz w:val="20"/>
          <w:szCs w:val="20"/>
          <w:lang w:val="es-VE"/>
        </w:rPr>
        <w:t xml:space="preserve">En el mismo informe, la Comisión indicó expresamente que los alegatos del peticionario no tendían a caracterizar posibles violaciones a los derechos establecidos </w:t>
      </w:r>
      <w:r w:rsidR="0085254C" w:rsidRPr="00B56CF7">
        <w:rPr>
          <w:rFonts w:asciiTheme="majorHAnsi" w:hAnsiTheme="majorHAnsi"/>
          <w:sz w:val="20"/>
          <w:szCs w:val="20"/>
          <w:lang w:val="es-VE"/>
        </w:rPr>
        <w:t xml:space="preserve">en los </w:t>
      </w:r>
      <w:r w:rsidR="00323AF6">
        <w:rPr>
          <w:rFonts w:asciiTheme="majorHAnsi" w:eastAsia="Calibri" w:hAnsiTheme="majorHAnsi"/>
          <w:sz w:val="20"/>
          <w:szCs w:val="20"/>
          <w:lang w:val="es-VE"/>
        </w:rPr>
        <w:t xml:space="preserve">en los </w:t>
      </w:r>
      <w:r w:rsidR="0035634C" w:rsidRPr="00B56CF7">
        <w:rPr>
          <w:rFonts w:asciiTheme="majorHAnsi" w:eastAsia="Calibri" w:hAnsiTheme="majorHAnsi"/>
          <w:sz w:val="20"/>
          <w:szCs w:val="20"/>
          <w:lang w:val="es-VE"/>
        </w:rPr>
        <w:t xml:space="preserve">artículos 3, 5, 10, 11, 17 y 19 de la Convención Americana. </w:t>
      </w:r>
      <w:r w:rsidR="002E5348" w:rsidRPr="00B56CF7">
        <w:rPr>
          <w:rFonts w:asciiTheme="majorHAnsi" w:eastAsia="Calibri" w:hAnsiTheme="majorHAnsi"/>
          <w:sz w:val="20"/>
          <w:szCs w:val="20"/>
          <w:lang w:val="es-VE"/>
        </w:rPr>
        <w:t xml:space="preserve">Si bien la Comisión tiene la facultad </w:t>
      </w:r>
      <w:r w:rsidR="000B37BF" w:rsidRPr="00B56CF7">
        <w:rPr>
          <w:rFonts w:asciiTheme="majorHAnsi" w:eastAsia="Calibri" w:hAnsiTheme="majorHAnsi"/>
          <w:sz w:val="20"/>
          <w:szCs w:val="20"/>
          <w:lang w:val="es-VE"/>
        </w:rPr>
        <w:t>de calificar jurídicamente los he</w:t>
      </w:r>
      <w:r w:rsidR="00990BAD" w:rsidRPr="00B56CF7">
        <w:rPr>
          <w:rFonts w:asciiTheme="majorHAnsi" w:eastAsia="Calibri" w:hAnsiTheme="majorHAnsi"/>
          <w:sz w:val="20"/>
          <w:szCs w:val="20"/>
          <w:lang w:val="es-VE"/>
        </w:rPr>
        <w:t xml:space="preserve">chos en la etapa de fondo, potestad que no se encuentra limitada por las disposiciones invocadas bajo un estándar de apreciación </w:t>
      </w:r>
      <w:r w:rsidR="00990BAD" w:rsidRPr="00B56CF7">
        <w:rPr>
          <w:rFonts w:asciiTheme="majorHAnsi" w:eastAsia="Calibri" w:hAnsiTheme="majorHAnsi"/>
          <w:i/>
          <w:sz w:val="20"/>
          <w:szCs w:val="20"/>
          <w:lang w:val="es-VE"/>
        </w:rPr>
        <w:t>prima facie</w:t>
      </w:r>
      <w:r w:rsidR="00990BAD" w:rsidRPr="00B56CF7">
        <w:rPr>
          <w:rFonts w:asciiTheme="majorHAnsi" w:eastAsia="Calibri" w:hAnsiTheme="majorHAnsi"/>
          <w:sz w:val="20"/>
          <w:szCs w:val="20"/>
          <w:lang w:val="es-VE"/>
        </w:rPr>
        <w:t xml:space="preserve"> en la etapa de admisibilidad, en el presente caso el peticionario no invocó </w:t>
      </w:r>
      <w:r w:rsidR="00DC176B" w:rsidRPr="00B56CF7">
        <w:rPr>
          <w:rFonts w:asciiTheme="majorHAnsi" w:eastAsia="Calibri" w:hAnsiTheme="majorHAnsi"/>
          <w:sz w:val="20"/>
          <w:szCs w:val="20"/>
          <w:lang w:val="es-VE"/>
        </w:rPr>
        <w:t>argumentos nuevos a los planteados en dicha etapa, de tal forma que la Comisión cuente con elementos para separarse de lo indicado en su informe de admisibilidad. E</w:t>
      </w:r>
      <w:r w:rsidR="0035634C" w:rsidRPr="00B56CF7">
        <w:rPr>
          <w:rFonts w:asciiTheme="majorHAnsi" w:eastAsia="Calibri" w:hAnsiTheme="majorHAnsi"/>
          <w:sz w:val="20"/>
          <w:szCs w:val="20"/>
          <w:lang w:val="es-VE"/>
        </w:rPr>
        <w:t xml:space="preserve">n tal sentido, el análisis de fondo se efectuará con base en los derechos consagrados en los artículos 7, 8, 24 y 25 de la Convención Americana en relación con las obligaciones establecidas en los artículos 1.1 y 2 del mismo instrumento. </w:t>
      </w:r>
    </w:p>
    <w:p w:rsidR="00587EDF" w:rsidRPr="00B56CF7" w:rsidRDefault="00587EDF" w:rsidP="0035634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B91111" w:rsidRPr="00542560" w:rsidRDefault="00B91111" w:rsidP="005425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t xml:space="preserve">A la luz de los alegatos de las partes y de los hechos establecidos, la Comisión pasará a efectuar sus consideraciones de </w:t>
      </w:r>
      <w:r w:rsidR="00AC4086">
        <w:rPr>
          <w:rFonts w:asciiTheme="majorHAnsi" w:hAnsiTheme="majorHAnsi"/>
          <w:sz w:val="20"/>
          <w:szCs w:val="20"/>
          <w:lang w:val="es-VE"/>
        </w:rPr>
        <w:t>derecho en el siguiente orden: B</w:t>
      </w:r>
      <w:r w:rsidRPr="00B56CF7">
        <w:rPr>
          <w:rFonts w:asciiTheme="majorHAnsi" w:hAnsiTheme="majorHAnsi"/>
          <w:sz w:val="20"/>
          <w:szCs w:val="20"/>
          <w:lang w:val="es-VE"/>
        </w:rPr>
        <w:t>. El derecho a la libertad personal</w:t>
      </w:r>
      <w:r w:rsidR="0095588A">
        <w:rPr>
          <w:rFonts w:asciiTheme="majorHAnsi" w:hAnsiTheme="majorHAnsi"/>
          <w:sz w:val="20"/>
          <w:szCs w:val="20"/>
          <w:lang w:val="es-VE"/>
        </w:rPr>
        <w:t xml:space="preserve">, a la presunción de inocencia y </w:t>
      </w:r>
      <w:r w:rsidR="00BA2004">
        <w:rPr>
          <w:rFonts w:asciiTheme="majorHAnsi" w:hAnsiTheme="majorHAnsi"/>
          <w:sz w:val="20"/>
          <w:szCs w:val="20"/>
          <w:lang w:val="es-VE"/>
        </w:rPr>
        <w:t>a la protección judicial</w:t>
      </w:r>
      <w:r w:rsidR="00CD2B79" w:rsidRPr="00B56CF7">
        <w:rPr>
          <w:rFonts w:asciiTheme="majorHAnsi" w:hAnsiTheme="majorHAnsi"/>
          <w:sz w:val="20"/>
          <w:szCs w:val="20"/>
          <w:lang w:val="es-VE"/>
        </w:rPr>
        <w:t xml:space="preserve"> </w:t>
      </w:r>
      <w:r w:rsidR="006A1E67" w:rsidRPr="00B56CF7">
        <w:rPr>
          <w:rFonts w:asciiTheme="majorHAnsi" w:hAnsiTheme="majorHAnsi"/>
          <w:sz w:val="20"/>
          <w:szCs w:val="20"/>
          <w:lang w:val="es-VE"/>
        </w:rPr>
        <w:t>respecto de la detención preventiva</w:t>
      </w:r>
      <w:r w:rsidR="00CD2B79" w:rsidRPr="00B56CF7">
        <w:rPr>
          <w:rFonts w:asciiTheme="majorHAnsi" w:hAnsiTheme="majorHAnsi"/>
          <w:sz w:val="20"/>
          <w:szCs w:val="20"/>
          <w:lang w:val="es-VE"/>
        </w:rPr>
        <w:t xml:space="preserve"> (Artículos 7.1</w:t>
      </w:r>
      <w:r w:rsidR="00B96300" w:rsidRPr="00B56CF7">
        <w:rPr>
          <w:rFonts w:asciiTheme="majorHAnsi" w:hAnsiTheme="majorHAnsi"/>
          <w:sz w:val="20"/>
          <w:szCs w:val="20"/>
          <w:lang w:val="es-VE"/>
        </w:rPr>
        <w:t>, 7.3</w:t>
      </w:r>
      <w:r w:rsidR="0010118F">
        <w:rPr>
          <w:rFonts w:asciiTheme="majorHAnsi" w:hAnsiTheme="majorHAnsi"/>
          <w:sz w:val="20"/>
          <w:szCs w:val="20"/>
          <w:lang w:val="es-VE"/>
        </w:rPr>
        <w:t>, 7.5</w:t>
      </w:r>
      <w:r w:rsidR="00BA2004">
        <w:rPr>
          <w:rFonts w:asciiTheme="majorHAnsi" w:hAnsiTheme="majorHAnsi"/>
          <w:sz w:val="20"/>
          <w:szCs w:val="20"/>
          <w:lang w:val="es-VE"/>
        </w:rPr>
        <w:t>, 7.5</w:t>
      </w:r>
      <w:r w:rsidR="00254C25">
        <w:rPr>
          <w:rFonts w:asciiTheme="majorHAnsi" w:hAnsiTheme="majorHAnsi"/>
          <w:sz w:val="20"/>
          <w:szCs w:val="20"/>
          <w:lang w:val="es-VE"/>
        </w:rPr>
        <w:t xml:space="preserve">, 7.6, </w:t>
      </w:r>
      <w:r w:rsidR="001361B4">
        <w:rPr>
          <w:rFonts w:asciiTheme="majorHAnsi" w:hAnsiTheme="majorHAnsi"/>
          <w:sz w:val="20"/>
          <w:szCs w:val="20"/>
          <w:lang w:val="es-VE"/>
        </w:rPr>
        <w:t xml:space="preserve">8.2, </w:t>
      </w:r>
      <w:r w:rsidR="00836348">
        <w:rPr>
          <w:rFonts w:asciiTheme="majorHAnsi" w:hAnsiTheme="majorHAnsi"/>
          <w:sz w:val="20"/>
          <w:szCs w:val="20"/>
          <w:lang w:val="es-VE"/>
        </w:rPr>
        <w:t xml:space="preserve">25.1, </w:t>
      </w:r>
      <w:r w:rsidR="00B96300" w:rsidRPr="00B56CF7">
        <w:rPr>
          <w:rFonts w:asciiTheme="majorHAnsi" w:hAnsiTheme="majorHAnsi"/>
          <w:sz w:val="20"/>
          <w:szCs w:val="20"/>
          <w:lang w:val="es-VE"/>
        </w:rPr>
        <w:t>1.1</w:t>
      </w:r>
      <w:r w:rsidR="00836348">
        <w:rPr>
          <w:rFonts w:asciiTheme="majorHAnsi" w:hAnsiTheme="majorHAnsi"/>
          <w:sz w:val="20"/>
          <w:szCs w:val="20"/>
          <w:lang w:val="es-VE"/>
        </w:rPr>
        <w:t xml:space="preserve"> y 2</w:t>
      </w:r>
      <w:r w:rsidR="00B96300" w:rsidRPr="00B56CF7">
        <w:rPr>
          <w:rFonts w:asciiTheme="majorHAnsi" w:hAnsiTheme="majorHAnsi"/>
          <w:sz w:val="20"/>
          <w:szCs w:val="20"/>
          <w:lang w:val="es-VE"/>
        </w:rPr>
        <w:t xml:space="preserve"> de la Convención Americana); </w:t>
      </w:r>
      <w:r w:rsidR="00AC4086">
        <w:rPr>
          <w:rFonts w:asciiTheme="majorHAnsi" w:hAnsiTheme="majorHAnsi"/>
          <w:sz w:val="20"/>
          <w:szCs w:val="20"/>
          <w:lang w:val="es-VE"/>
        </w:rPr>
        <w:t>C</w:t>
      </w:r>
      <w:r w:rsidR="00026226">
        <w:rPr>
          <w:rFonts w:asciiTheme="majorHAnsi" w:hAnsiTheme="majorHAnsi"/>
          <w:sz w:val="20"/>
          <w:szCs w:val="20"/>
          <w:lang w:val="es-VE"/>
        </w:rPr>
        <w:t xml:space="preserve">. </w:t>
      </w:r>
      <w:r w:rsidR="00F93327" w:rsidRPr="00B56CF7">
        <w:rPr>
          <w:rFonts w:asciiTheme="majorHAnsi" w:hAnsiTheme="majorHAnsi"/>
          <w:sz w:val="20"/>
          <w:szCs w:val="20"/>
          <w:lang w:val="es-VE"/>
        </w:rPr>
        <w:t xml:space="preserve">El </w:t>
      </w:r>
      <w:r w:rsidR="00572700" w:rsidRPr="00B56CF7">
        <w:rPr>
          <w:rFonts w:asciiTheme="majorHAnsi" w:hAnsiTheme="majorHAnsi"/>
          <w:sz w:val="20"/>
          <w:szCs w:val="20"/>
          <w:lang w:val="es-VE"/>
        </w:rPr>
        <w:t>derecho de igualdad ante la ley y</w:t>
      </w:r>
      <w:r w:rsidR="00F93327" w:rsidRPr="00B56CF7">
        <w:rPr>
          <w:rFonts w:asciiTheme="majorHAnsi" w:hAnsiTheme="majorHAnsi"/>
          <w:sz w:val="20"/>
          <w:szCs w:val="20"/>
          <w:lang w:val="es-VE"/>
        </w:rPr>
        <w:t xml:space="preserve"> el deber de adoptar disposiciones de derecho interno </w:t>
      </w:r>
      <w:r w:rsidR="00BC2583" w:rsidRPr="00B56CF7">
        <w:rPr>
          <w:rFonts w:asciiTheme="majorHAnsi" w:hAnsiTheme="majorHAnsi"/>
          <w:sz w:val="20"/>
          <w:szCs w:val="20"/>
          <w:lang w:val="es-VE"/>
        </w:rPr>
        <w:t>respecto</w:t>
      </w:r>
      <w:r w:rsidR="009F65C1">
        <w:rPr>
          <w:rFonts w:asciiTheme="majorHAnsi" w:hAnsiTheme="majorHAnsi"/>
          <w:sz w:val="20"/>
          <w:szCs w:val="20"/>
          <w:lang w:val="es-VE"/>
        </w:rPr>
        <w:t xml:space="preserve"> del derecho a la libertad personal en cuanto a</w:t>
      </w:r>
      <w:r w:rsidR="00BC2583" w:rsidRPr="00B56CF7">
        <w:rPr>
          <w:rFonts w:asciiTheme="majorHAnsi" w:hAnsiTheme="majorHAnsi"/>
          <w:sz w:val="20"/>
          <w:szCs w:val="20"/>
          <w:lang w:val="es-VE"/>
        </w:rPr>
        <w:t xml:space="preserve"> la imposibilidad de excarcelación </w:t>
      </w:r>
      <w:r w:rsidR="00572700" w:rsidRPr="00B56CF7">
        <w:rPr>
          <w:rFonts w:asciiTheme="majorHAnsi" w:hAnsiTheme="majorHAnsi"/>
          <w:sz w:val="20"/>
          <w:szCs w:val="20"/>
          <w:lang w:val="es-VE"/>
        </w:rPr>
        <w:t xml:space="preserve">(Artículos </w:t>
      </w:r>
      <w:r w:rsidR="004A183F">
        <w:rPr>
          <w:rFonts w:asciiTheme="majorHAnsi" w:hAnsiTheme="majorHAnsi"/>
          <w:sz w:val="20"/>
          <w:szCs w:val="20"/>
          <w:lang w:val="es-VE"/>
        </w:rPr>
        <w:t xml:space="preserve">7, </w:t>
      </w:r>
      <w:r w:rsidR="00572700" w:rsidRPr="00B56CF7">
        <w:rPr>
          <w:rFonts w:asciiTheme="majorHAnsi" w:hAnsiTheme="majorHAnsi"/>
          <w:sz w:val="20"/>
          <w:szCs w:val="20"/>
          <w:lang w:val="es-VE"/>
        </w:rPr>
        <w:t>24</w:t>
      </w:r>
      <w:r w:rsidR="004A183F">
        <w:rPr>
          <w:rFonts w:asciiTheme="majorHAnsi" w:hAnsiTheme="majorHAnsi"/>
          <w:sz w:val="20"/>
          <w:szCs w:val="20"/>
          <w:lang w:val="es-VE"/>
        </w:rPr>
        <w:t xml:space="preserve"> y</w:t>
      </w:r>
      <w:r w:rsidR="00B22340">
        <w:rPr>
          <w:rFonts w:asciiTheme="majorHAnsi" w:hAnsiTheme="majorHAnsi"/>
          <w:sz w:val="20"/>
          <w:szCs w:val="20"/>
          <w:lang w:val="es-VE"/>
        </w:rPr>
        <w:t xml:space="preserve"> </w:t>
      </w:r>
      <w:r w:rsidR="00FC2002" w:rsidRPr="00B56CF7">
        <w:rPr>
          <w:rFonts w:asciiTheme="majorHAnsi" w:hAnsiTheme="majorHAnsi"/>
          <w:sz w:val="20"/>
          <w:szCs w:val="20"/>
          <w:lang w:val="es-VE"/>
        </w:rPr>
        <w:t>2 de la Convenci</w:t>
      </w:r>
      <w:r w:rsidR="00765727" w:rsidRPr="00B56CF7">
        <w:rPr>
          <w:rFonts w:asciiTheme="majorHAnsi" w:hAnsiTheme="majorHAnsi"/>
          <w:sz w:val="20"/>
          <w:szCs w:val="20"/>
          <w:lang w:val="es-VE"/>
        </w:rPr>
        <w:t xml:space="preserve">ón Americana); </w:t>
      </w:r>
      <w:r w:rsidR="00AC4086">
        <w:rPr>
          <w:rFonts w:asciiTheme="majorHAnsi" w:hAnsiTheme="majorHAnsi"/>
          <w:sz w:val="20"/>
          <w:szCs w:val="20"/>
          <w:lang w:val="es-VE"/>
        </w:rPr>
        <w:t>D</w:t>
      </w:r>
      <w:r w:rsidR="00FC2002" w:rsidRPr="00B56CF7">
        <w:rPr>
          <w:rFonts w:asciiTheme="majorHAnsi" w:hAnsiTheme="majorHAnsi"/>
          <w:sz w:val="20"/>
          <w:szCs w:val="20"/>
          <w:lang w:val="es-VE"/>
        </w:rPr>
        <w:t>.</w:t>
      </w:r>
      <w:r w:rsidR="00F26610" w:rsidRPr="00B56CF7">
        <w:rPr>
          <w:rFonts w:asciiTheme="majorHAnsi" w:hAnsiTheme="majorHAnsi"/>
          <w:sz w:val="20"/>
          <w:szCs w:val="20"/>
          <w:lang w:val="es-VE"/>
        </w:rPr>
        <w:t xml:space="preserve"> El derecho</w:t>
      </w:r>
      <w:r w:rsidR="00942414" w:rsidRPr="00B56CF7">
        <w:rPr>
          <w:rFonts w:asciiTheme="majorHAnsi" w:hAnsiTheme="majorHAnsi"/>
          <w:sz w:val="20"/>
          <w:szCs w:val="20"/>
          <w:lang w:val="es-VE"/>
        </w:rPr>
        <w:t xml:space="preserve"> </w:t>
      </w:r>
      <w:r w:rsidR="006E3303" w:rsidRPr="00B56CF7">
        <w:rPr>
          <w:rFonts w:asciiTheme="majorHAnsi" w:hAnsiTheme="majorHAnsi"/>
          <w:sz w:val="20"/>
          <w:szCs w:val="20"/>
          <w:lang w:val="es-VE"/>
        </w:rPr>
        <w:t xml:space="preserve">a la protección judicial y al </w:t>
      </w:r>
      <w:r w:rsidR="00765727" w:rsidRPr="00B56CF7">
        <w:rPr>
          <w:rFonts w:asciiTheme="majorHAnsi" w:hAnsiTheme="majorHAnsi"/>
          <w:sz w:val="20"/>
          <w:szCs w:val="20"/>
          <w:lang w:val="es-VE"/>
        </w:rPr>
        <w:t>plazo razonable</w:t>
      </w:r>
      <w:r w:rsidR="006E3303" w:rsidRPr="00B56CF7">
        <w:rPr>
          <w:rFonts w:asciiTheme="majorHAnsi" w:hAnsiTheme="majorHAnsi"/>
          <w:sz w:val="20"/>
          <w:szCs w:val="20"/>
          <w:lang w:val="es-VE"/>
        </w:rPr>
        <w:t xml:space="preserve"> respecto del proceso contencioso administrativo</w:t>
      </w:r>
      <w:r w:rsidR="00942414" w:rsidRPr="00B56CF7">
        <w:rPr>
          <w:rFonts w:asciiTheme="majorHAnsi" w:hAnsiTheme="majorHAnsi"/>
          <w:sz w:val="20"/>
          <w:szCs w:val="20"/>
          <w:lang w:val="es-VE"/>
        </w:rPr>
        <w:t xml:space="preserve"> (Artículos 8</w:t>
      </w:r>
      <w:r w:rsidR="006E3303" w:rsidRPr="00B56CF7">
        <w:rPr>
          <w:rFonts w:asciiTheme="majorHAnsi" w:hAnsiTheme="majorHAnsi"/>
          <w:sz w:val="20"/>
          <w:szCs w:val="20"/>
          <w:lang w:val="es-VE"/>
        </w:rPr>
        <w:t>.1</w:t>
      </w:r>
      <w:r w:rsidR="0066497B" w:rsidRPr="00B56CF7">
        <w:rPr>
          <w:rFonts w:asciiTheme="majorHAnsi" w:hAnsiTheme="majorHAnsi"/>
          <w:sz w:val="20"/>
          <w:szCs w:val="20"/>
          <w:lang w:val="es-VE"/>
        </w:rPr>
        <w:t xml:space="preserve">, </w:t>
      </w:r>
      <w:r w:rsidR="00942414" w:rsidRPr="00B56CF7">
        <w:rPr>
          <w:rFonts w:asciiTheme="majorHAnsi" w:hAnsiTheme="majorHAnsi"/>
          <w:sz w:val="20"/>
          <w:szCs w:val="20"/>
          <w:lang w:val="es-VE"/>
        </w:rPr>
        <w:t>25</w:t>
      </w:r>
      <w:r w:rsidR="006E3303" w:rsidRPr="00B56CF7">
        <w:rPr>
          <w:rFonts w:asciiTheme="majorHAnsi" w:hAnsiTheme="majorHAnsi"/>
          <w:sz w:val="20"/>
          <w:szCs w:val="20"/>
          <w:lang w:val="es-VE"/>
        </w:rPr>
        <w:t>.1</w:t>
      </w:r>
      <w:r w:rsidR="0066497B" w:rsidRPr="00B56CF7">
        <w:rPr>
          <w:rFonts w:asciiTheme="majorHAnsi" w:hAnsiTheme="majorHAnsi"/>
          <w:sz w:val="20"/>
          <w:szCs w:val="20"/>
          <w:lang w:val="es-VE"/>
        </w:rPr>
        <w:t xml:space="preserve"> y 1.1</w:t>
      </w:r>
      <w:r w:rsidR="00942414" w:rsidRPr="00B56CF7">
        <w:rPr>
          <w:rFonts w:asciiTheme="majorHAnsi" w:hAnsiTheme="majorHAnsi"/>
          <w:sz w:val="20"/>
          <w:szCs w:val="20"/>
          <w:lang w:val="es-VE"/>
        </w:rPr>
        <w:t xml:space="preserve"> de la Convención Americana)</w:t>
      </w:r>
      <w:r w:rsidR="006E3303" w:rsidRPr="00B56CF7">
        <w:rPr>
          <w:rFonts w:asciiTheme="majorHAnsi" w:hAnsiTheme="majorHAnsi"/>
          <w:sz w:val="20"/>
          <w:szCs w:val="20"/>
          <w:lang w:val="es-VE"/>
        </w:rPr>
        <w:t xml:space="preserve">; y </w:t>
      </w:r>
      <w:r w:rsidR="00AC4086">
        <w:rPr>
          <w:rFonts w:asciiTheme="majorHAnsi" w:hAnsiTheme="majorHAnsi"/>
          <w:sz w:val="20"/>
          <w:szCs w:val="20"/>
          <w:lang w:val="es-VE"/>
        </w:rPr>
        <w:t>E</w:t>
      </w:r>
      <w:r w:rsidR="006E3303" w:rsidRPr="00B56CF7">
        <w:rPr>
          <w:rFonts w:asciiTheme="majorHAnsi" w:hAnsiTheme="majorHAnsi"/>
          <w:sz w:val="20"/>
          <w:szCs w:val="20"/>
          <w:lang w:val="es-VE"/>
        </w:rPr>
        <w:t xml:space="preserve">. Los derechos a las garantías judiciales y protección judicial </w:t>
      </w:r>
      <w:r w:rsidR="00887C63" w:rsidRPr="00B56CF7">
        <w:rPr>
          <w:rFonts w:asciiTheme="majorHAnsi" w:hAnsiTheme="majorHAnsi"/>
          <w:sz w:val="20"/>
          <w:szCs w:val="20"/>
          <w:lang w:val="es-VE"/>
        </w:rPr>
        <w:t>respecto de las investigaciones relativas a la supuesta falsedad ide</w:t>
      </w:r>
      <w:r w:rsidR="000F0C16" w:rsidRPr="00B56CF7">
        <w:rPr>
          <w:rFonts w:asciiTheme="majorHAnsi" w:hAnsiTheme="majorHAnsi"/>
          <w:sz w:val="20"/>
          <w:szCs w:val="20"/>
          <w:lang w:val="es-VE"/>
        </w:rPr>
        <w:t>o</w:t>
      </w:r>
      <w:r w:rsidR="00887C63" w:rsidRPr="00B56CF7">
        <w:rPr>
          <w:rFonts w:asciiTheme="majorHAnsi" w:hAnsiTheme="majorHAnsi"/>
          <w:sz w:val="20"/>
          <w:szCs w:val="20"/>
          <w:lang w:val="es-VE"/>
        </w:rPr>
        <w:t xml:space="preserve">lógica </w:t>
      </w:r>
      <w:r w:rsidR="0066497B" w:rsidRPr="00B56CF7">
        <w:rPr>
          <w:rFonts w:asciiTheme="majorHAnsi" w:hAnsiTheme="majorHAnsi"/>
          <w:sz w:val="20"/>
          <w:szCs w:val="20"/>
          <w:lang w:val="es-VE"/>
        </w:rPr>
        <w:t>(Artí</w:t>
      </w:r>
      <w:r w:rsidR="00D208F8" w:rsidRPr="00B56CF7">
        <w:rPr>
          <w:rFonts w:asciiTheme="majorHAnsi" w:hAnsiTheme="majorHAnsi"/>
          <w:sz w:val="20"/>
          <w:szCs w:val="20"/>
          <w:lang w:val="es-VE"/>
        </w:rPr>
        <w:t xml:space="preserve">culos 8.1, 25.1 y 1.1 </w:t>
      </w:r>
      <w:r w:rsidR="0066497B" w:rsidRPr="00B56CF7">
        <w:rPr>
          <w:rFonts w:asciiTheme="majorHAnsi" w:hAnsiTheme="majorHAnsi"/>
          <w:sz w:val="20"/>
          <w:szCs w:val="20"/>
          <w:lang w:val="es-VE"/>
        </w:rPr>
        <w:t>de la Convenci</w:t>
      </w:r>
      <w:r w:rsidR="00D208F8" w:rsidRPr="00B56CF7">
        <w:rPr>
          <w:rFonts w:asciiTheme="majorHAnsi" w:hAnsiTheme="majorHAnsi"/>
          <w:sz w:val="20"/>
          <w:szCs w:val="20"/>
          <w:lang w:val="es-VE"/>
        </w:rPr>
        <w:t xml:space="preserve">ón Americana. </w:t>
      </w:r>
    </w:p>
    <w:p w:rsidR="00FD2C07" w:rsidRPr="00EE24AD" w:rsidRDefault="00FD2C07" w:rsidP="00EE24AD">
      <w:pPr>
        <w:pStyle w:val="Heading2"/>
        <w:numPr>
          <w:ilvl w:val="0"/>
          <w:numId w:val="64"/>
        </w:numPr>
        <w:rPr>
          <w:lang w:val="es-ES" w:eastAsia="es-ES"/>
        </w:rPr>
      </w:pPr>
      <w:bookmarkStart w:id="67" w:name="_Toc469409097"/>
      <w:bookmarkStart w:id="68" w:name="_Toc423514425"/>
      <w:bookmarkStart w:id="69" w:name="_Toc441166737"/>
      <w:r w:rsidRPr="00EE24AD">
        <w:rPr>
          <w:lang w:val="es-ES" w:eastAsia="es-ES"/>
        </w:rPr>
        <w:lastRenderedPageBreak/>
        <w:t>El derecho a la libertad personal</w:t>
      </w:r>
      <w:r w:rsidR="006875F0" w:rsidRPr="00EE24AD">
        <w:rPr>
          <w:lang w:val="es-ES" w:eastAsia="es-ES"/>
        </w:rPr>
        <w:t xml:space="preserve">, a la presunción de inocencia y a la protección judicial </w:t>
      </w:r>
      <w:r w:rsidRPr="00EE24AD">
        <w:rPr>
          <w:lang w:val="es-ES" w:eastAsia="es-ES"/>
        </w:rPr>
        <w:t xml:space="preserve"> respecto de la motivación de la detención preventiva (Artículos 7.1, 7.3</w:t>
      </w:r>
      <w:r w:rsidR="00343A99" w:rsidRPr="00EE24AD">
        <w:rPr>
          <w:lang w:val="es-ES" w:eastAsia="es-ES"/>
        </w:rPr>
        <w:t>, 7.5, 7.6, 8.2, 25.1</w:t>
      </w:r>
      <w:r w:rsidR="004134F5" w:rsidRPr="00EE24AD">
        <w:rPr>
          <w:lang w:val="es-ES" w:eastAsia="es-ES"/>
        </w:rPr>
        <w:t>,</w:t>
      </w:r>
      <w:r w:rsidRPr="00EE24AD">
        <w:rPr>
          <w:lang w:val="es-ES" w:eastAsia="es-ES"/>
        </w:rPr>
        <w:t xml:space="preserve"> 1.1</w:t>
      </w:r>
      <w:r w:rsidR="004134F5" w:rsidRPr="00EE24AD">
        <w:rPr>
          <w:lang w:val="es-ES" w:eastAsia="es-ES"/>
        </w:rPr>
        <w:t xml:space="preserve"> y 2</w:t>
      </w:r>
      <w:r w:rsidRPr="00EE24AD">
        <w:rPr>
          <w:lang w:val="es-ES" w:eastAsia="es-ES"/>
        </w:rPr>
        <w:t xml:space="preserve"> de la Convención Americana)</w:t>
      </w:r>
      <w:bookmarkEnd w:id="67"/>
    </w:p>
    <w:p w:rsidR="002A7B21" w:rsidRPr="0062236D" w:rsidRDefault="002A7B21" w:rsidP="002A7B21">
      <w:pPr>
        <w:rPr>
          <w:rFonts w:asciiTheme="majorHAnsi" w:hAnsiTheme="majorHAnsi"/>
          <w:sz w:val="20"/>
          <w:szCs w:val="20"/>
          <w:lang w:val="es-ES" w:eastAsia="es-ES"/>
        </w:rPr>
      </w:pPr>
    </w:p>
    <w:p w:rsidR="00A43C82" w:rsidRPr="00B56CF7" w:rsidRDefault="00A43C82" w:rsidP="0062236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eastAsia="es-ES"/>
        </w:rPr>
      </w:pPr>
      <w:r w:rsidRPr="00B56CF7">
        <w:rPr>
          <w:rFonts w:asciiTheme="majorHAnsi" w:hAnsiTheme="majorHAnsi"/>
          <w:sz w:val="20"/>
          <w:szCs w:val="20"/>
          <w:lang w:val="es-ES" w:eastAsia="es-ES"/>
        </w:rPr>
        <w:t>El artículo 7 de la Convención Americana establece, en lo relevante</w:t>
      </w:r>
      <w:r w:rsidR="002902FD">
        <w:rPr>
          <w:rFonts w:asciiTheme="majorHAnsi" w:hAnsiTheme="majorHAnsi"/>
          <w:sz w:val="20"/>
          <w:szCs w:val="20"/>
          <w:lang w:val="es-ES" w:eastAsia="es-ES"/>
        </w:rPr>
        <w:t xml:space="preserve">, </w:t>
      </w:r>
      <w:r w:rsidRPr="00B56CF7">
        <w:rPr>
          <w:rFonts w:asciiTheme="majorHAnsi" w:hAnsiTheme="majorHAnsi"/>
          <w:sz w:val="20"/>
          <w:szCs w:val="20"/>
          <w:lang w:val="es-ES" w:eastAsia="es-ES"/>
        </w:rPr>
        <w:t>que:</w:t>
      </w:r>
    </w:p>
    <w:p w:rsidR="00A43C82" w:rsidRPr="00B56CF7" w:rsidRDefault="00A43C82" w:rsidP="00A43C82">
      <w:pPr>
        <w:ind w:left="720" w:right="630"/>
        <w:rPr>
          <w:rFonts w:asciiTheme="majorHAnsi" w:hAnsiTheme="majorHAnsi"/>
          <w:sz w:val="20"/>
          <w:szCs w:val="20"/>
          <w:lang w:val="es-ES" w:eastAsia="es-ES"/>
        </w:rPr>
      </w:pPr>
    </w:p>
    <w:p w:rsidR="00A43C82" w:rsidRPr="0062236D" w:rsidRDefault="00A43C82" w:rsidP="0062236D">
      <w:pPr>
        <w:tabs>
          <w:tab w:val="left" w:pos="360"/>
          <w:tab w:val="left" w:pos="1080"/>
        </w:tabs>
        <w:suppressAutoHyphens/>
        <w:ind w:left="720" w:right="630"/>
        <w:jc w:val="both"/>
        <w:rPr>
          <w:rFonts w:asciiTheme="majorHAnsi" w:hAnsiTheme="majorHAnsi"/>
          <w:spacing w:val="-3"/>
          <w:sz w:val="20"/>
          <w:szCs w:val="20"/>
          <w:lang w:val="es-ES"/>
        </w:rPr>
      </w:pPr>
      <w:r w:rsidRPr="0062236D">
        <w:rPr>
          <w:rFonts w:asciiTheme="majorHAnsi" w:hAnsiTheme="majorHAnsi"/>
          <w:spacing w:val="-3"/>
          <w:sz w:val="20"/>
          <w:szCs w:val="20"/>
          <w:lang w:val="es-ES"/>
        </w:rPr>
        <w:t xml:space="preserve">1. </w:t>
      </w:r>
      <w:r w:rsidRPr="0062236D">
        <w:rPr>
          <w:rFonts w:asciiTheme="majorHAnsi" w:hAnsiTheme="majorHAnsi"/>
          <w:spacing w:val="-3"/>
          <w:sz w:val="20"/>
          <w:szCs w:val="20"/>
          <w:lang w:val="es-ES"/>
        </w:rPr>
        <w:tab/>
        <w:t xml:space="preserve">Toda persona tiene derecho a la libertad y a </w:t>
      </w:r>
      <w:proofErr w:type="gramStart"/>
      <w:r w:rsidRPr="0062236D">
        <w:rPr>
          <w:rFonts w:asciiTheme="majorHAnsi" w:hAnsiTheme="majorHAnsi"/>
          <w:spacing w:val="-3"/>
          <w:sz w:val="20"/>
          <w:szCs w:val="20"/>
          <w:lang w:val="es-ES"/>
        </w:rPr>
        <w:t>la seguridad personales</w:t>
      </w:r>
      <w:proofErr w:type="gramEnd"/>
      <w:r w:rsidRPr="0062236D">
        <w:rPr>
          <w:rFonts w:asciiTheme="majorHAnsi" w:hAnsiTheme="majorHAnsi"/>
          <w:spacing w:val="-3"/>
          <w:sz w:val="20"/>
          <w:szCs w:val="20"/>
          <w:lang w:val="es-ES"/>
        </w:rPr>
        <w:t>.</w:t>
      </w:r>
    </w:p>
    <w:p w:rsidR="00A43C82" w:rsidRPr="0062236D" w:rsidRDefault="00A43C82" w:rsidP="00A43C82">
      <w:pPr>
        <w:tabs>
          <w:tab w:val="left" w:pos="360"/>
        </w:tabs>
        <w:suppressAutoHyphens/>
        <w:ind w:left="720" w:right="630"/>
        <w:jc w:val="both"/>
        <w:rPr>
          <w:rFonts w:asciiTheme="majorHAnsi" w:hAnsiTheme="majorHAnsi"/>
          <w:spacing w:val="-3"/>
          <w:sz w:val="20"/>
          <w:szCs w:val="20"/>
          <w:lang w:val="es-ES"/>
        </w:rPr>
      </w:pPr>
    </w:p>
    <w:p w:rsidR="00A43C82" w:rsidRPr="0062236D" w:rsidRDefault="00A43C82" w:rsidP="00A43C82">
      <w:pPr>
        <w:tabs>
          <w:tab w:val="left" w:pos="360"/>
        </w:tabs>
        <w:suppressAutoHyphens/>
        <w:ind w:left="720" w:right="630"/>
        <w:jc w:val="both"/>
        <w:rPr>
          <w:rFonts w:asciiTheme="majorHAnsi" w:hAnsiTheme="majorHAnsi"/>
          <w:spacing w:val="-3"/>
          <w:sz w:val="20"/>
          <w:szCs w:val="20"/>
          <w:lang w:val="es-ES"/>
        </w:rPr>
      </w:pPr>
      <w:r w:rsidRPr="0062236D">
        <w:rPr>
          <w:rFonts w:asciiTheme="majorHAnsi" w:hAnsiTheme="majorHAnsi"/>
          <w:spacing w:val="-3"/>
          <w:sz w:val="20"/>
          <w:szCs w:val="20"/>
          <w:lang w:val="es-ES"/>
        </w:rPr>
        <w:t>(…)</w:t>
      </w:r>
    </w:p>
    <w:p w:rsidR="00A43C82" w:rsidRPr="0062236D" w:rsidRDefault="00A43C82" w:rsidP="00A43C82">
      <w:pPr>
        <w:tabs>
          <w:tab w:val="left" w:pos="360"/>
        </w:tabs>
        <w:suppressAutoHyphens/>
        <w:ind w:left="720" w:right="630"/>
        <w:jc w:val="both"/>
        <w:rPr>
          <w:rFonts w:asciiTheme="majorHAnsi" w:hAnsiTheme="majorHAnsi"/>
          <w:spacing w:val="-3"/>
          <w:sz w:val="20"/>
          <w:szCs w:val="20"/>
          <w:lang w:val="es-ES"/>
        </w:rPr>
      </w:pPr>
    </w:p>
    <w:p w:rsidR="00A43C82" w:rsidRPr="0062236D" w:rsidRDefault="00A43C82" w:rsidP="0062236D">
      <w:pPr>
        <w:tabs>
          <w:tab w:val="left" w:pos="360"/>
          <w:tab w:val="left" w:pos="1080"/>
        </w:tabs>
        <w:suppressAutoHyphens/>
        <w:ind w:left="720" w:right="630"/>
        <w:jc w:val="both"/>
        <w:rPr>
          <w:rFonts w:asciiTheme="majorHAnsi" w:hAnsiTheme="majorHAnsi"/>
          <w:spacing w:val="-3"/>
          <w:sz w:val="20"/>
          <w:szCs w:val="20"/>
          <w:lang w:val="es-ES"/>
        </w:rPr>
      </w:pPr>
      <w:r w:rsidRPr="0062236D">
        <w:rPr>
          <w:rFonts w:asciiTheme="majorHAnsi" w:hAnsiTheme="majorHAnsi"/>
          <w:spacing w:val="-3"/>
          <w:sz w:val="20"/>
          <w:szCs w:val="20"/>
          <w:lang w:val="es-ES"/>
        </w:rPr>
        <w:t>3.</w:t>
      </w:r>
      <w:r w:rsidRPr="0062236D">
        <w:rPr>
          <w:rFonts w:asciiTheme="majorHAnsi" w:hAnsiTheme="majorHAnsi"/>
          <w:spacing w:val="-3"/>
          <w:sz w:val="20"/>
          <w:szCs w:val="20"/>
          <w:lang w:val="es-ES"/>
        </w:rPr>
        <w:tab/>
        <w:t>Nadie puede ser sometido a detención o encarcelamiento arbitrarios.</w:t>
      </w:r>
    </w:p>
    <w:p w:rsidR="00A43C82" w:rsidRPr="0062236D" w:rsidRDefault="00A43C82" w:rsidP="00A43C82">
      <w:pPr>
        <w:tabs>
          <w:tab w:val="left" w:pos="360"/>
        </w:tabs>
        <w:suppressAutoHyphens/>
        <w:ind w:left="720" w:right="630"/>
        <w:jc w:val="both"/>
        <w:rPr>
          <w:rFonts w:asciiTheme="majorHAnsi" w:hAnsiTheme="majorHAnsi"/>
          <w:spacing w:val="-3"/>
          <w:sz w:val="20"/>
          <w:szCs w:val="20"/>
          <w:lang w:val="es-ES"/>
        </w:rPr>
      </w:pPr>
    </w:p>
    <w:p w:rsidR="007E0D58" w:rsidRDefault="00A43C82" w:rsidP="00AC4086">
      <w:pPr>
        <w:tabs>
          <w:tab w:val="left" w:pos="360"/>
        </w:tabs>
        <w:suppressAutoHyphens/>
        <w:ind w:left="720" w:right="630" w:hanging="360"/>
        <w:jc w:val="both"/>
        <w:rPr>
          <w:rFonts w:asciiTheme="majorHAnsi" w:hAnsiTheme="majorHAnsi"/>
          <w:spacing w:val="-3"/>
          <w:sz w:val="20"/>
          <w:szCs w:val="20"/>
          <w:lang w:val="es-ES"/>
        </w:rPr>
      </w:pPr>
      <w:r w:rsidRPr="0062236D">
        <w:rPr>
          <w:rFonts w:asciiTheme="majorHAnsi" w:hAnsiTheme="majorHAnsi"/>
          <w:spacing w:val="-3"/>
          <w:sz w:val="20"/>
          <w:szCs w:val="20"/>
          <w:lang w:val="es-ES"/>
        </w:rPr>
        <w:tab/>
        <w:t>(…)</w:t>
      </w:r>
    </w:p>
    <w:p w:rsidR="007E0D58" w:rsidRDefault="007E0D58" w:rsidP="00A43C82">
      <w:pPr>
        <w:tabs>
          <w:tab w:val="left" w:pos="360"/>
        </w:tabs>
        <w:suppressAutoHyphens/>
        <w:ind w:left="720" w:right="630" w:hanging="360"/>
        <w:jc w:val="both"/>
        <w:rPr>
          <w:rFonts w:ascii="Cambria" w:hAnsi="Cambria"/>
          <w:spacing w:val="-3"/>
          <w:sz w:val="20"/>
          <w:lang w:val="es-ES"/>
        </w:rPr>
      </w:pPr>
      <w:r w:rsidRPr="006F706B">
        <w:rPr>
          <w:rFonts w:ascii="Cambria" w:hAnsi="Cambria"/>
          <w:spacing w:val="-3"/>
          <w:sz w:val="20"/>
          <w:lang w:val="es-ES"/>
        </w:rPr>
        <w:tab/>
      </w:r>
      <w:r w:rsidR="006F706B" w:rsidRPr="006F706B">
        <w:rPr>
          <w:rFonts w:ascii="Cambria" w:hAnsi="Cambria"/>
          <w:spacing w:val="-3"/>
          <w:sz w:val="20"/>
          <w:lang w:val="es-ES"/>
        </w:rPr>
        <w:t>5.</w:t>
      </w:r>
      <w:r w:rsidR="006F706B">
        <w:rPr>
          <w:rFonts w:ascii="Cambria" w:hAnsi="Cambria"/>
          <w:b/>
          <w:spacing w:val="-3"/>
          <w:sz w:val="20"/>
          <w:lang w:val="es-ES"/>
        </w:rPr>
        <w:t xml:space="preserve"> </w:t>
      </w:r>
      <w:r w:rsidR="00406BB0">
        <w:rPr>
          <w:rFonts w:ascii="Cambria" w:hAnsi="Cambria"/>
          <w:b/>
          <w:spacing w:val="-3"/>
          <w:sz w:val="20"/>
          <w:lang w:val="es-ES"/>
        </w:rPr>
        <w:t xml:space="preserve"> </w:t>
      </w:r>
      <w:r w:rsidRPr="007E0D58">
        <w:rPr>
          <w:rFonts w:ascii="Cambria" w:hAnsi="Cambria"/>
          <w:spacing w:val="-3"/>
          <w:sz w:val="20"/>
          <w:lang w:val="es-ES"/>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7613AB" w:rsidRPr="00916BAA" w:rsidRDefault="007613AB" w:rsidP="00A43C82">
      <w:pPr>
        <w:tabs>
          <w:tab w:val="left" w:pos="360"/>
        </w:tabs>
        <w:suppressAutoHyphens/>
        <w:ind w:left="720" w:right="630" w:hanging="360"/>
        <w:jc w:val="both"/>
        <w:rPr>
          <w:rFonts w:ascii="Cambria" w:hAnsi="Cambria"/>
          <w:spacing w:val="-3"/>
          <w:sz w:val="20"/>
          <w:lang w:val="es-ES"/>
        </w:rPr>
      </w:pPr>
    </w:p>
    <w:p w:rsidR="007613AB" w:rsidRPr="00916BAA" w:rsidRDefault="007613AB" w:rsidP="00A43C82">
      <w:pPr>
        <w:tabs>
          <w:tab w:val="left" w:pos="360"/>
        </w:tabs>
        <w:suppressAutoHyphens/>
        <w:ind w:left="720" w:right="630" w:hanging="360"/>
        <w:jc w:val="both"/>
        <w:rPr>
          <w:rFonts w:ascii="Cambria" w:hAnsi="Cambria"/>
          <w:spacing w:val="-3"/>
          <w:sz w:val="20"/>
          <w:lang w:val="es-ES"/>
        </w:rPr>
      </w:pPr>
      <w:r w:rsidRPr="00916BAA">
        <w:rPr>
          <w:rFonts w:ascii="Cambria" w:hAnsi="Cambria"/>
          <w:spacing w:val="-3"/>
          <w:sz w:val="20"/>
          <w:lang w:val="es-ES"/>
        </w:rPr>
        <w:tab/>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D239AA" w:rsidRDefault="00D239AA" w:rsidP="00A43C82">
      <w:pPr>
        <w:tabs>
          <w:tab w:val="left" w:pos="360"/>
        </w:tabs>
        <w:suppressAutoHyphens/>
        <w:ind w:left="720" w:right="630" w:hanging="360"/>
        <w:jc w:val="both"/>
        <w:rPr>
          <w:rFonts w:asciiTheme="majorHAnsi" w:hAnsiTheme="majorHAnsi"/>
          <w:spacing w:val="-3"/>
          <w:sz w:val="20"/>
          <w:szCs w:val="20"/>
          <w:lang w:val="es-ES"/>
        </w:rPr>
      </w:pPr>
    </w:p>
    <w:p w:rsidR="00A75B77" w:rsidRDefault="00A75B77" w:rsidP="00A43C82">
      <w:pPr>
        <w:tabs>
          <w:tab w:val="left" w:pos="360"/>
        </w:tabs>
        <w:suppressAutoHyphens/>
        <w:ind w:left="720" w:right="630" w:hanging="360"/>
        <w:jc w:val="both"/>
        <w:rPr>
          <w:rFonts w:asciiTheme="majorHAnsi" w:hAnsiTheme="majorHAnsi"/>
          <w:spacing w:val="-3"/>
          <w:sz w:val="20"/>
          <w:szCs w:val="20"/>
          <w:lang w:val="es-ES"/>
        </w:rPr>
      </w:pPr>
      <w:r>
        <w:rPr>
          <w:rFonts w:asciiTheme="majorHAnsi" w:hAnsiTheme="majorHAnsi"/>
          <w:spacing w:val="-3"/>
          <w:sz w:val="20"/>
          <w:szCs w:val="20"/>
          <w:lang w:val="es-ES"/>
        </w:rPr>
        <w:tab/>
        <w:t>(…)</w:t>
      </w:r>
    </w:p>
    <w:p w:rsidR="00A75B77" w:rsidRDefault="00A75B77" w:rsidP="00A43C82">
      <w:pPr>
        <w:tabs>
          <w:tab w:val="left" w:pos="360"/>
        </w:tabs>
        <w:suppressAutoHyphens/>
        <w:ind w:left="720" w:right="630" w:hanging="360"/>
        <w:jc w:val="both"/>
        <w:rPr>
          <w:rFonts w:asciiTheme="majorHAnsi" w:hAnsiTheme="majorHAnsi"/>
          <w:spacing w:val="-3"/>
          <w:sz w:val="20"/>
          <w:szCs w:val="20"/>
          <w:lang w:val="es-ES"/>
        </w:rPr>
      </w:pPr>
    </w:p>
    <w:p w:rsidR="008B391B" w:rsidRDefault="008B391B" w:rsidP="000D6C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pacing w:val="-3"/>
          <w:sz w:val="20"/>
          <w:szCs w:val="20"/>
          <w:lang w:val="es-ES"/>
        </w:rPr>
      </w:pPr>
      <w:r>
        <w:rPr>
          <w:rFonts w:asciiTheme="majorHAnsi" w:hAnsiTheme="majorHAnsi"/>
          <w:spacing w:val="-3"/>
          <w:sz w:val="20"/>
          <w:szCs w:val="20"/>
          <w:lang w:val="es-ES"/>
        </w:rPr>
        <w:t>El artículo 8.2 de la Convención America</w:t>
      </w:r>
      <w:r w:rsidR="00C8091B">
        <w:rPr>
          <w:rFonts w:asciiTheme="majorHAnsi" w:hAnsiTheme="majorHAnsi"/>
          <w:spacing w:val="-3"/>
          <w:sz w:val="20"/>
          <w:szCs w:val="20"/>
          <w:lang w:val="es-ES"/>
        </w:rPr>
        <w:t>n</w:t>
      </w:r>
      <w:r>
        <w:rPr>
          <w:rFonts w:asciiTheme="majorHAnsi" w:hAnsiTheme="majorHAnsi"/>
          <w:spacing w:val="-3"/>
          <w:sz w:val="20"/>
          <w:szCs w:val="20"/>
          <w:lang w:val="es-ES"/>
        </w:rPr>
        <w:t>a indica</w:t>
      </w:r>
      <w:r w:rsidR="00EE20C5">
        <w:rPr>
          <w:rFonts w:asciiTheme="majorHAnsi" w:hAnsiTheme="majorHAnsi"/>
          <w:spacing w:val="-3"/>
          <w:sz w:val="20"/>
          <w:szCs w:val="20"/>
          <w:lang w:val="es-ES"/>
        </w:rPr>
        <w:t>, en lo pertinente,</w:t>
      </w:r>
      <w:r w:rsidR="00C8091B">
        <w:rPr>
          <w:rFonts w:asciiTheme="majorHAnsi" w:hAnsiTheme="majorHAnsi"/>
          <w:spacing w:val="-3"/>
          <w:sz w:val="20"/>
          <w:szCs w:val="20"/>
          <w:lang w:val="es-ES"/>
        </w:rPr>
        <w:t xml:space="preserve"> </w:t>
      </w:r>
      <w:r>
        <w:rPr>
          <w:rFonts w:asciiTheme="majorHAnsi" w:hAnsiTheme="majorHAnsi"/>
          <w:spacing w:val="-3"/>
          <w:sz w:val="20"/>
          <w:szCs w:val="20"/>
          <w:lang w:val="es-ES"/>
        </w:rPr>
        <w:t xml:space="preserve">que: </w:t>
      </w:r>
    </w:p>
    <w:p w:rsidR="00C8091B" w:rsidRDefault="00C8091B" w:rsidP="00A43C82">
      <w:pPr>
        <w:tabs>
          <w:tab w:val="left" w:pos="360"/>
        </w:tabs>
        <w:suppressAutoHyphens/>
        <w:ind w:left="720" w:right="630" w:hanging="360"/>
        <w:jc w:val="both"/>
        <w:rPr>
          <w:rFonts w:asciiTheme="majorHAnsi" w:hAnsiTheme="majorHAnsi"/>
          <w:spacing w:val="-3"/>
          <w:sz w:val="20"/>
          <w:szCs w:val="20"/>
          <w:lang w:val="es-ES"/>
        </w:rPr>
      </w:pPr>
    </w:p>
    <w:p w:rsidR="00165218" w:rsidRPr="00165218" w:rsidRDefault="00165218" w:rsidP="00A43C82">
      <w:pPr>
        <w:tabs>
          <w:tab w:val="left" w:pos="360"/>
        </w:tabs>
        <w:suppressAutoHyphens/>
        <w:ind w:left="720" w:right="630" w:hanging="360"/>
        <w:jc w:val="both"/>
        <w:rPr>
          <w:rFonts w:asciiTheme="majorHAnsi" w:hAnsiTheme="majorHAnsi"/>
          <w:spacing w:val="-3"/>
          <w:sz w:val="20"/>
          <w:szCs w:val="20"/>
          <w:lang w:val="es-ES"/>
        </w:rPr>
      </w:pPr>
      <w:r w:rsidRPr="00165218">
        <w:rPr>
          <w:rFonts w:ascii="Cambria" w:hAnsi="Cambria"/>
          <w:spacing w:val="-3"/>
          <w:sz w:val="20"/>
          <w:lang w:val="es-ES"/>
        </w:rPr>
        <w:tab/>
        <w:t xml:space="preserve">Toda persona inculpada de delito tiene derecho a que se presuma su inocencia mientras no se establezca legalmente su culpabilidad.  </w:t>
      </w:r>
      <w:r w:rsidRPr="00165218">
        <w:rPr>
          <w:rFonts w:ascii="Cambria" w:hAnsi="Cambria"/>
          <w:spacing w:val="-3"/>
          <w:sz w:val="20"/>
          <w:lang w:val="es-ES"/>
        </w:rPr>
        <w:tab/>
      </w:r>
      <w:r w:rsidRPr="00165218">
        <w:rPr>
          <w:rFonts w:ascii="Cambria" w:hAnsi="Cambria"/>
          <w:spacing w:val="-3"/>
          <w:sz w:val="20"/>
          <w:lang w:val="es-ES"/>
        </w:rPr>
        <w:tab/>
      </w:r>
      <w:r w:rsidRPr="00165218">
        <w:rPr>
          <w:rFonts w:ascii="Cambria" w:hAnsi="Cambria"/>
          <w:spacing w:val="-3"/>
          <w:sz w:val="20"/>
          <w:lang w:val="es-ES"/>
        </w:rPr>
        <w:tab/>
      </w:r>
      <w:r w:rsidRPr="00165218">
        <w:rPr>
          <w:rFonts w:ascii="Cambria" w:hAnsi="Cambria"/>
          <w:spacing w:val="-3"/>
          <w:sz w:val="20"/>
          <w:lang w:val="es-ES"/>
        </w:rPr>
        <w:tab/>
      </w:r>
      <w:r w:rsidRPr="00165218">
        <w:rPr>
          <w:rFonts w:ascii="Cambria" w:hAnsi="Cambria"/>
          <w:spacing w:val="-3"/>
          <w:sz w:val="20"/>
          <w:lang w:val="es-ES"/>
        </w:rPr>
        <w:tab/>
      </w:r>
    </w:p>
    <w:p w:rsidR="008B391B" w:rsidRDefault="008B391B" w:rsidP="00A43C82">
      <w:pPr>
        <w:tabs>
          <w:tab w:val="left" w:pos="360"/>
        </w:tabs>
        <w:suppressAutoHyphens/>
        <w:ind w:left="720" w:right="630" w:hanging="360"/>
        <w:jc w:val="both"/>
        <w:rPr>
          <w:rFonts w:asciiTheme="majorHAnsi" w:hAnsiTheme="majorHAnsi"/>
          <w:spacing w:val="-3"/>
          <w:sz w:val="20"/>
          <w:szCs w:val="20"/>
          <w:lang w:val="es-ES"/>
        </w:rPr>
      </w:pPr>
    </w:p>
    <w:p w:rsidR="003F52F4" w:rsidRDefault="003F52F4" w:rsidP="003F52F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pacing w:val="-3"/>
          <w:sz w:val="20"/>
          <w:szCs w:val="20"/>
          <w:lang w:val="es-ES"/>
        </w:rPr>
      </w:pPr>
      <w:r>
        <w:rPr>
          <w:rFonts w:asciiTheme="majorHAnsi" w:hAnsiTheme="majorHAnsi"/>
          <w:spacing w:val="-3"/>
          <w:sz w:val="20"/>
          <w:szCs w:val="20"/>
          <w:lang w:val="es-ES"/>
        </w:rPr>
        <w:t>El artículo 25.1</w:t>
      </w:r>
      <w:r w:rsidR="008B391B">
        <w:rPr>
          <w:rFonts w:asciiTheme="majorHAnsi" w:hAnsiTheme="majorHAnsi"/>
          <w:spacing w:val="-3"/>
          <w:sz w:val="20"/>
          <w:szCs w:val="20"/>
          <w:lang w:val="es-ES"/>
        </w:rPr>
        <w:t xml:space="preserve"> de la Convención Americana </w:t>
      </w:r>
      <w:r>
        <w:rPr>
          <w:rFonts w:asciiTheme="majorHAnsi" w:hAnsiTheme="majorHAnsi"/>
          <w:spacing w:val="-3"/>
          <w:sz w:val="20"/>
          <w:szCs w:val="20"/>
          <w:lang w:val="es-ES"/>
        </w:rPr>
        <w:t>señala  que:</w:t>
      </w:r>
    </w:p>
    <w:p w:rsidR="003F52F4" w:rsidRDefault="003F52F4" w:rsidP="00A43C82">
      <w:pPr>
        <w:tabs>
          <w:tab w:val="left" w:pos="360"/>
        </w:tabs>
        <w:suppressAutoHyphens/>
        <w:ind w:left="720" w:right="630" w:hanging="360"/>
        <w:jc w:val="both"/>
        <w:rPr>
          <w:rFonts w:asciiTheme="majorHAnsi" w:hAnsiTheme="majorHAnsi"/>
          <w:spacing w:val="-3"/>
          <w:sz w:val="20"/>
          <w:szCs w:val="20"/>
          <w:lang w:val="es-ES"/>
        </w:rPr>
      </w:pPr>
    </w:p>
    <w:p w:rsidR="003F52F4" w:rsidRPr="003F52F4" w:rsidRDefault="003F52F4" w:rsidP="00A43C82">
      <w:pPr>
        <w:tabs>
          <w:tab w:val="left" w:pos="360"/>
        </w:tabs>
        <w:suppressAutoHyphens/>
        <w:ind w:left="720" w:right="630" w:hanging="360"/>
        <w:jc w:val="both"/>
        <w:rPr>
          <w:rFonts w:asciiTheme="majorHAnsi" w:hAnsiTheme="majorHAnsi"/>
          <w:spacing w:val="-3"/>
          <w:sz w:val="20"/>
          <w:szCs w:val="20"/>
          <w:lang w:val="es-ES"/>
        </w:rPr>
      </w:pPr>
      <w:r>
        <w:rPr>
          <w:rFonts w:ascii="Cambria" w:hAnsi="Cambria"/>
          <w:b/>
          <w:spacing w:val="-3"/>
          <w:sz w:val="20"/>
          <w:lang w:val="es-ES"/>
        </w:rPr>
        <w:tab/>
      </w:r>
      <w:r w:rsidRPr="003F52F4">
        <w:rPr>
          <w:rFonts w:ascii="Cambria" w:hAnsi="Cambria"/>
          <w:spacing w:val="-3"/>
          <w:sz w:val="20"/>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3F52F4" w:rsidRPr="007E0D58" w:rsidRDefault="003F52F4" w:rsidP="00A43C82">
      <w:pPr>
        <w:tabs>
          <w:tab w:val="left" w:pos="360"/>
        </w:tabs>
        <w:suppressAutoHyphens/>
        <w:ind w:left="720" w:right="630" w:hanging="360"/>
        <w:jc w:val="both"/>
        <w:rPr>
          <w:rFonts w:asciiTheme="majorHAnsi" w:hAnsiTheme="majorHAnsi"/>
          <w:spacing w:val="-3"/>
          <w:sz w:val="20"/>
          <w:szCs w:val="20"/>
          <w:lang w:val="es-ES"/>
        </w:rPr>
      </w:pPr>
    </w:p>
    <w:p w:rsidR="00E13F34" w:rsidRPr="0062236D" w:rsidRDefault="00E13F34" w:rsidP="0062236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eastAsia="es-ES"/>
        </w:rPr>
      </w:pPr>
      <w:r w:rsidRPr="00B56CF7">
        <w:rPr>
          <w:rFonts w:asciiTheme="majorHAnsi" w:hAnsiTheme="majorHAnsi"/>
          <w:sz w:val="20"/>
          <w:szCs w:val="20"/>
          <w:lang w:val="es-VE"/>
        </w:rPr>
        <w:t xml:space="preserve">El artículo 1.1 de la Convención Americana establece que: </w:t>
      </w:r>
    </w:p>
    <w:p w:rsidR="00E13F34" w:rsidRPr="00B56CF7" w:rsidRDefault="00E13F34" w:rsidP="0062236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E13F34" w:rsidRDefault="00E66059" w:rsidP="0062236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jc w:val="both"/>
        <w:rPr>
          <w:rFonts w:asciiTheme="majorHAnsi" w:hAnsiTheme="majorHAnsi"/>
          <w:sz w:val="20"/>
          <w:szCs w:val="20"/>
          <w:lang w:val="es-VE"/>
        </w:rPr>
      </w:pPr>
      <w:r w:rsidRPr="00B56CF7">
        <w:rPr>
          <w:rFonts w:asciiTheme="majorHAnsi" w:hAnsiTheme="majorHAnsi"/>
          <w:sz w:val="20"/>
          <w:szCs w:val="20"/>
          <w:lang w:val="es-VE"/>
        </w:rPr>
        <w:t>L</w:t>
      </w:r>
      <w:r w:rsidR="00E13F34" w:rsidRPr="00B56CF7">
        <w:rPr>
          <w:rFonts w:asciiTheme="majorHAnsi" w:hAnsiTheme="majorHAnsi"/>
          <w:sz w:val="20"/>
          <w:szCs w:val="20"/>
          <w:lang w:val="es-VE"/>
        </w:rPr>
        <w:t xml:space="preserve">os Estados Partes en esta Convención se comprometen a </w:t>
      </w:r>
      <w:r w:rsidR="00E13F34" w:rsidRPr="0062236D">
        <w:rPr>
          <w:rFonts w:asciiTheme="majorHAnsi" w:hAnsiTheme="majorHAnsi"/>
          <w:sz w:val="20"/>
          <w:szCs w:val="20"/>
          <w:lang w:val="es-ES" w:eastAsia="es-ES"/>
        </w:rPr>
        <w:t>respetar</w:t>
      </w:r>
      <w:r w:rsidR="00E13F34" w:rsidRPr="00B56CF7">
        <w:rPr>
          <w:rFonts w:asciiTheme="majorHAnsi" w:hAnsiTheme="majorHAnsi"/>
          <w:sz w:val="20"/>
          <w:szCs w:val="20"/>
          <w:lang w:val="es-VE"/>
        </w:rPr>
        <w:t xml:space="preserve"> los derechos y libertades reconocidos en ella y a garantizar su libre y pleno ejercicio a toda persona que esté sujeta a su jurisdicción, sin discriminación por motivos de raza, color, sexo, idioma, religión, opiniones políticas o de cualquier otra índole, origen nacional o social, posición económica, nacimiento o cualquier otra condición social”.</w:t>
      </w:r>
    </w:p>
    <w:p w:rsidR="00436F14" w:rsidRDefault="00436F14" w:rsidP="0062236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jc w:val="both"/>
        <w:rPr>
          <w:rFonts w:asciiTheme="majorHAnsi" w:hAnsiTheme="majorHAnsi"/>
          <w:sz w:val="20"/>
          <w:szCs w:val="20"/>
          <w:lang w:val="es-VE"/>
        </w:rPr>
      </w:pPr>
    </w:p>
    <w:p w:rsidR="00E13F34" w:rsidRDefault="00436F14" w:rsidP="00436F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ES" w:eastAsia="es-ES"/>
        </w:rPr>
        <w:t xml:space="preserve">El artículo 2 de la Convención Americana indica que: </w:t>
      </w:r>
    </w:p>
    <w:p w:rsidR="00436F14" w:rsidRDefault="00436F14" w:rsidP="00436F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eastAsia="es-ES"/>
        </w:rPr>
      </w:pPr>
    </w:p>
    <w:p w:rsidR="00436F14" w:rsidRPr="00542560" w:rsidRDefault="00436F14" w:rsidP="005425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jc w:val="both"/>
        <w:rPr>
          <w:rFonts w:asciiTheme="majorHAnsi" w:hAnsiTheme="majorHAnsi"/>
          <w:sz w:val="20"/>
          <w:szCs w:val="20"/>
          <w:lang w:val="es-ES" w:eastAsia="es-ES"/>
        </w:rPr>
      </w:pPr>
      <w:r w:rsidRPr="00436F14">
        <w:rPr>
          <w:rFonts w:ascii="Cambria" w:hAnsi="Cambria" w:cs="Tahoma"/>
          <w:sz w:val="20"/>
          <w:szCs w:val="20"/>
          <w:lang w:val="es-U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1C37F5" w:rsidRPr="00EE24AD" w:rsidRDefault="00242396" w:rsidP="00EE24AD">
      <w:pPr>
        <w:pStyle w:val="Heading3"/>
        <w:numPr>
          <w:ilvl w:val="1"/>
          <w:numId w:val="55"/>
        </w:numPr>
        <w:tabs>
          <w:tab w:val="clear" w:pos="1800"/>
          <w:tab w:val="num" w:pos="720"/>
        </w:tabs>
        <w:ind w:left="720" w:firstLine="0"/>
        <w:rPr>
          <w:sz w:val="20"/>
          <w:szCs w:val="20"/>
          <w:lang w:val="es-VE"/>
        </w:rPr>
      </w:pPr>
      <w:bookmarkStart w:id="70" w:name="_Toc469409098"/>
      <w:r w:rsidRPr="00EE24AD">
        <w:rPr>
          <w:color w:val="auto"/>
          <w:sz w:val="20"/>
          <w:szCs w:val="20"/>
          <w:lang w:val="es-VE"/>
        </w:rPr>
        <w:lastRenderedPageBreak/>
        <w:t>Consideraciones generales sobre la detención preventiva</w:t>
      </w:r>
      <w:bookmarkEnd w:id="70"/>
      <w:r w:rsidRPr="00EE24AD">
        <w:rPr>
          <w:sz w:val="20"/>
          <w:szCs w:val="20"/>
          <w:lang w:val="es-VE"/>
        </w:rPr>
        <w:tab/>
      </w:r>
    </w:p>
    <w:p w:rsidR="00E7071E" w:rsidRPr="00A63957" w:rsidRDefault="00EE24AD" w:rsidP="00EE24AD">
      <w:pPr>
        <w:pStyle w:val="ListParagraph"/>
        <w:tabs>
          <w:tab w:val="left" w:pos="3087"/>
        </w:tabs>
        <w:rPr>
          <w:rFonts w:asciiTheme="majorHAnsi" w:hAnsiTheme="majorHAnsi"/>
          <w:sz w:val="20"/>
          <w:szCs w:val="20"/>
          <w:lang w:val="es-VE"/>
        </w:rPr>
      </w:pPr>
      <w:r>
        <w:rPr>
          <w:rFonts w:asciiTheme="majorHAnsi" w:hAnsiTheme="majorHAnsi"/>
          <w:sz w:val="20"/>
          <w:szCs w:val="20"/>
          <w:lang w:val="es-VE"/>
        </w:rPr>
        <w:tab/>
      </w:r>
    </w:p>
    <w:p w:rsidR="00914517" w:rsidRPr="00A63957" w:rsidRDefault="00E32FB8" w:rsidP="0062236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CO"/>
        </w:rPr>
      </w:pPr>
      <w:r w:rsidRPr="00A63957">
        <w:rPr>
          <w:rFonts w:asciiTheme="majorHAnsi" w:hAnsiTheme="majorHAnsi" w:cs="Arial"/>
          <w:sz w:val="20"/>
          <w:szCs w:val="20"/>
          <w:lang w:val="es-MX"/>
        </w:rPr>
        <w:t>L</w:t>
      </w:r>
      <w:r w:rsidR="00914517" w:rsidRPr="00A63957">
        <w:rPr>
          <w:rFonts w:asciiTheme="majorHAnsi" w:hAnsiTheme="majorHAnsi" w:cs="Arial"/>
          <w:sz w:val="20"/>
          <w:szCs w:val="20"/>
          <w:lang w:val="es-MX"/>
        </w:rPr>
        <w:t xml:space="preserve">a </w:t>
      </w:r>
      <w:r w:rsidR="00283976" w:rsidRPr="00A63957">
        <w:rPr>
          <w:rFonts w:asciiTheme="majorHAnsi" w:hAnsiTheme="majorHAnsi" w:cs="Arial"/>
          <w:sz w:val="20"/>
          <w:szCs w:val="20"/>
          <w:lang w:val="es-MX"/>
        </w:rPr>
        <w:t xml:space="preserve">Comisión y la </w:t>
      </w:r>
      <w:r w:rsidR="00914517" w:rsidRPr="00A63957">
        <w:rPr>
          <w:rFonts w:asciiTheme="majorHAnsi" w:hAnsiTheme="majorHAnsi" w:cs="Arial"/>
          <w:sz w:val="20"/>
          <w:szCs w:val="20"/>
          <w:lang w:val="es-MX"/>
        </w:rPr>
        <w:t>Corte ha</w:t>
      </w:r>
      <w:r w:rsidR="00283976" w:rsidRPr="00A63957">
        <w:rPr>
          <w:rFonts w:asciiTheme="majorHAnsi" w:hAnsiTheme="majorHAnsi" w:cs="Arial"/>
          <w:sz w:val="20"/>
          <w:szCs w:val="20"/>
          <w:lang w:val="es-MX"/>
        </w:rPr>
        <w:t>n</w:t>
      </w:r>
      <w:r w:rsidR="00914517" w:rsidRPr="00A63957">
        <w:rPr>
          <w:rFonts w:asciiTheme="majorHAnsi" w:hAnsiTheme="majorHAnsi" w:cs="Arial"/>
          <w:sz w:val="20"/>
          <w:szCs w:val="20"/>
          <w:lang w:val="es-MX"/>
        </w:rPr>
        <w:t xml:space="preserve"> señalado que </w:t>
      </w:r>
      <w:r w:rsidR="0091708E" w:rsidRPr="00A63957">
        <w:rPr>
          <w:rFonts w:asciiTheme="majorHAnsi" w:hAnsiTheme="majorHAnsi" w:cs="Arial"/>
          <w:sz w:val="20"/>
          <w:szCs w:val="20"/>
          <w:lang w:val="es-MX"/>
        </w:rPr>
        <w:t xml:space="preserve">la detención preventiva </w:t>
      </w:r>
      <w:r w:rsidR="00914517" w:rsidRPr="00A63957">
        <w:rPr>
          <w:rFonts w:asciiTheme="majorHAnsi" w:hAnsiTheme="majorHAnsi" w:cs="Arial"/>
          <w:sz w:val="20"/>
          <w:szCs w:val="20"/>
          <w:lang w:val="es-MX"/>
        </w:rPr>
        <w:t xml:space="preserve">se encuentra limitada </w:t>
      </w:r>
      <w:r w:rsidR="00914517" w:rsidRPr="00A63957">
        <w:rPr>
          <w:rFonts w:asciiTheme="majorHAnsi" w:hAnsiTheme="majorHAnsi"/>
          <w:sz w:val="20"/>
          <w:szCs w:val="20"/>
          <w:lang w:val="es-CO"/>
        </w:rPr>
        <w:t>por los principios de legalidad, presunción de inocencia, necesidad y proporcionalidad</w:t>
      </w:r>
      <w:r w:rsidR="00914517" w:rsidRPr="00A63957">
        <w:rPr>
          <w:rStyle w:val="FootnoteReference"/>
          <w:rFonts w:asciiTheme="majorHAnsi" w:hAnsiTheme="majorHAnsi"/>
          <w:sz w:val="20"/>
          <w:szCs w:val="20"/>
        </w:rPr>
        <w:footnoteReference w:id="60"/>
      </w:r>
      <w:r w:rsidR="00914517" w:rsidRPr="00A63957">
        <w:rPr>
          <w:rFonts w:asciiTheme="majorHAnsi" w:hAnsiTheme="majorHAnsi"/>
          <w:sz w:val="20"/>
          <w:szCs w:val="20"/>
          <w:lang w:val="es-CO"/>
        </w:rPr>
        <w:t>. Asimismo, ha indicado que se trata de una medida cautelar y no punitiva</w:t>
      </w:r>
      <w:r w:rsidR="00914517" w:rsidRPr="00A63957">
        <w:rPr>
          <w:rStyle w:val="FootnoteReference"/>
          <w:rFonts w:asciiTheme="majorHAnsi" w:hAnsiTheme="majorHAnsi"/>
          <w:sz w:val="20"/>
          <w:szCs w:val="20"/>
        </w:rPr>
        <w:footnoteReference w:id="61"/>
      </w:r>
      <w:r w:rsidR="00914517" w:rsidRPr="00A63957">
        <w:rPr>
          <w:rFonts w:asciiTheme="majorHAnsi" w:hAnsiTheme="majorHAnsi"/>
          <w:sz w:val="20"/>
          <w:szCs w:val="20"/>
          <w:lang w:val="es-CO"/>
        </w:rPr>
        <w:t xml:space="preserve"> y que es la más severa que se puede imponer al imputado por lo que debe aplicarse excepcionalmente. En consideración de </w:t>
      </w:r>
      <w:r w:rsidR="00283976" w:rsidRPr="00A63957">
        <w:rPr>
          <w:rFonts w:asciiTheme="majorHAnsi" w:hAnsiTheme="majorHAnsi"/>
          <w:sz w:val="20"/>
          <w:szCs w:val="20"/>
          <w:lang w:val="es-CO"/>
        </w:rPr>
        <w:t xml:space="preserve">ambos órganos del sistema interamericano, </w:t>
      </w:r>
      <w:r w:rsidR="00914517" w:rsidRPr="00A63957">
        <w:rPr>
          <w:rFonts w:asciiTheme="majorHAnsi" w:hAnsiTheme="majorHAnsi"/>
          <w:sz w:val="20"/>
          <w:szCs w:val="20"/>
          <w:lang w:val="es-CO"/>
        </w:rPr>
        <w:t>la regla debe ser la libertad del procesado mientras se resuelve acerca de su responsabilidad penal</w:t>
      </w:r>
      <w:r w:rsidR="00914517" w:rsidRPr="00A63957">
        <w:rPr>
          <w:rStyle w:val="FootnoteReference"/>
          <w:rFonts w:asciiTheme="majorHAnsi" w:hAnsiTheme="majorHAnsi"/>
          <w:sz w:val="20"/>
          <w:szCs w:val="20"/>
        </w:rPr>
        <w:footnoteReference w:id="62"/>
      </w:r>
      <w:r w:rsidR="00914517" w:rsidRPr="00A63957">
        <w:rPr>
          <w:rFonts w:asciiTheme="majorHAnsi" w:hAnsiTheme="majorHAnsi"/>
          <w:sz w:val="20"/>
          <w:szCs w:val="20"/>
          <w:lang w:val="es-CO"/>
        </w:rPr>
        <w:t xml:space="preserve">. </w:t>
      </w:r>
    </w:p>
    <w:p w:rsidR="00914517" w:rsidRPr="00A63957" w:rsidRDefault="00914517" w:rsidP="00914517">
      <w:pPr>
        <w:ind w:firstLine="720"/>
        <w:jc w:val="both"/>
        <w:rPr>
          <w:rFonts w:asciiTheme="majorHAnsi" w:hAnsiTheme="majorHAnsi"/>
          <w:sz w:val="20"/>
          <w:szCs w:val="20"/>
          <w:lang w:val="es-CO"/>
        </w:rPr>
      </w:pPr>
    </w:p>
    <w:p w:rsidR="00914517" w:rsidRPr="00A63957" w:rsidRDefault="00914517" w:rsidP="0062236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CO"/>
        </w:rPr>
      </w:pPr>
      <w:r w:rsidRPr="00A63957">
        <w:rPr>
          <w:rFonts w:asciiTheme="majorHAnsi" w:hAnsiTheme="majorHAnsi"/>
          <w:sz w:val="20"/>
          <w:szCs w:val="20"/>
          <w:lang w:val="es-CO"/>
        </w:rPr>
        <w:t>La Corte</w:t>
      </w:r>
      <w:r w:rsidR="00E7153A">
        <w:rPr>
          <w:rFonts w:asciiTheme="majorHAnsi" w:hAnsiTheme="majorHAnsi"/>
          <w:sz w:val="20"/>
          <w:szCs w:val="20"/>
          <w:lang w:val="es-CO"/>
        </w:rPr>
        <w:t xml:space="preserve"> y la Comisión</w:t>
      </w:r>
      <w:r w:rsidRPr="00A63957">
        <w:rPr>
          <w:rFonts w:asciiTheme="majorHAnsi" w:hAnsiTheme="majorHAnsi"/>
          <w:sz w:val="20"/>
          <w:szCs w:val="20"/>
          <w:lang w:val="es-CO"/>
        </w:rPr>
        <w:t xml:space="preserve"> ha</w:t>
      </w:r>
      <w:r w:rsidR="00F1409E">
        <w:rPr>
          <w:rFonts w:asciiTheme="majorHAnsi" w:hAnsiTheme="majorHAnsi"/>
          <w:sz w:val="20"/>
          <w:szCs w:val="20"/>
          <w:lang w:val="es-CO"/>
        </w:rPr>
        <w:t>n</w:t>
      </w:r>
      <w:r w:rsidRPr="00A63957">
        <w:rPr>
          <w:rFonts w:asciiTheme="majorHAnsi" w:hAnsiTheme="majorHAnsi"/>
          <w:sz w:val="20"/>
          <w:szCs w:val="20"/>
          <w:lang w:val="es-CO"/>
        </w:rPr>
        <w:t xml:space="preserve"> resaltado que las características personales del supuesto autor y la gravedad del delito que se le imputa no son, por sí mismos, justificación suficiente de la prisión preventiva</w:t>
      </w:r>
      <w:r w:rsidRPr="00A63957">
        <w:rPr>
          <w:rStyle w:val="FootnoteReference"/>
          <w:rFonts w:asciiTheme="majorHAnsi" w:hAnsiTheme="majorHAnsi"/>
          <w:sz w:val="20"/>
          <w:szCs w:val="20"/>
        </w:rPr>
        <w:footnoteReference w:id="63"/>
      </w:r>
      <w:r w:rsidRPr="00A63957">
        <w:rPr>
          <w:rFonts w:asciiTheme="majorHAnsi" w:hAnsiTheme="majorHAnsi"/>
          <w:sz w:val="20"/>
          <w:szCs w:val="20"/>
          <w:lang w:val="es-CO"/>
        </w:rPr>
        <w:t>.</w:t>
      </w:r>
      <w:r w:rsidRPr="00A63957">
        <w:rPr>
          <w:rFonts w:asciiTheme="majorHAnsi" w:hAnsiTheme="majorHAnsi" w:cs="Univers"/>
          <w:color w:val="000000"/>
          <w:sz w:val="20"/>
          <w:szCs w:val="20"/>
          <w:lang w:val="es-CO"/>
        </w:rPr>
        <w:t xml:space="preserve"> </w:t>
      </w:r>
      <w:r w:rsidRPr="00A63957">
        <w:rPr>
          <w:rFonts w:asciiTheme="majorHAnsi" w:hAnsiTheme="majorHAnsi"/>
          <w:sz w:val="20"/>
          <w:szCs w:val="20"/>
          <w:lang w:val="es-CO"/>
        </w:rPr>
        <w:t xml:space="preserve">Respecto de las razones que pueden justificar la detención preventiva, los órganos del sistema han interpretado el artículo 7.3 de la Convención Americana en el sentido de que los indicios de responsabilidad son condición necesaria pero no suficiente para imponer tal medida. </w:t>
      </w:r>
      <w:r w:rsidR="00B56CF7" w:rsidRPr="00A63957">
        <w:rPr>
          <w:rFonts w:asciiTheme="majorHAnsi" w:hAnsiTheme="majorHAnsi"/>
          <w:sz w:val="20"/>
          <w:szCs w:val="20"/>
          <w:lang w:val="es-CO"/>
        </w:rPr>
        <w:t>En palabras de la Corte</w:t>
      </w:r>
      <w:r w:rsidR="000F1F53" w:rsidRPr="00A63957">
        <w:rPr>
          <w:rFonts w:asciiTheme="majorHAnsi" w:hAnsiTheme="majorHAnsi"/>
          <w:sz w:val="20"/>
          <w:szCs w:val="20"/>
          <w:lang w:val="es-CO"/>
        </w:rPr>
        <w:t>:</w:t>
      </w:r>
      <w:r w:rsidRPr="00A63957">
        <w:rPr>
          <w:rFonts w:asciiTheme="majorHAnsi" w:hAnsiTheme="majorHAnsi"/>
          <w:sz w:val="20"/>
          <w:szCs w:val="20"/>
          <w:lang w:val="es-CO"/>
        </w:rPr>
        <w:t xml:space="preserve"> </w:t>
      </w:r>
      <w:bookmarkStart w:id="71" w:name="_Ref242782550"/>
    </w:p>
    <w:p w:rsidR="00914517" w:rsidRPr="00A63957" w:rsidRDefault="00914517" w:rsidP="00914517">
      <w:pPr>
        <w:ind w:left="720" w:right="720"/>
        <w:jc w:val="both"/>
        <w:rPr>
          <w:rFonts w:asciiTheme="majorHAnsi" w:hAnsiTheme="majorHAnsi"/>
          <w:sz w:val="20"/>
          <w:szCs w:val="20"/>
          <w:lang w:val="es-CO"/>
        </w:rPr>
      </w:pPr>
    </w:p>
    <w:p w:rsidR="00914517" w:rsidRPr="00A63957" w:rsidRDefault="00FA7A5C" w:rsidP="00914517">
      <w:pPr>
        <w:ind w:left="720" w:right="720"/>
        <w:jc w:val="both"/>
        <w:rPr>
          <w:rFonts w:asciiTheme="majorHAnsi" w:hAnsiTheme="majorHAnsi"/>
          <w:sz w:val="20"/>
          <w:szCs w:val="20"/>
          <w:lang w:val="es-CO"/>
        </w:rPr>
      </w:pPr>
      <w:r>
        <w:rPr>
          <w:rFonts w:asciiTheme="majorHAnsi" w:hAnsiTheme="majorHAnsi"/>
          <w:sz w:val="20"/>
          <w:szCs w:val="20"/>
          <w:lang w:val="es-CO"/>
        </w:rPr>
        <w:t xml:space="preserve">(…) </w:t>
      </w:r>
      <w:r w:rsidR="00914517" w:rsidRPr="00A63957">
        <w:rPr>
          <w:rFonts w:asciiTheme="majorHAnsi" w:hAnsiTheme="majorHAnsi"/>
          <w:sz w:val="20"/>
          <w:szCs w:val="20"/>
          <w:lang w:val="es-CO"/>
        </w:rPr>
        <w:t>deben existir indicios suficientes que permitan suponer razonablemente que la persona sometida a proceso ha participado en el ilícito que se investiga</w:t>
      </w:r>
      <w:bookmarkStart w:id="72" w:name="_Ref247965465"/>
      <w:r w:rsidR="00914517" w:rsidRPr="00A63957">
        <w:rPr>
          <w:rStyle w:val="FootnoteReference"/>
          <w:rFonts w:asciiTheme="majorHAnsi" w:hAnsiTheme="majorHAnsi"/>
          <w:sz w:val="20"/>
          <w:szCs w:val="20"/>
        </w:rPr>
        <w:footnoteReference w:id="64"/>
      </w:r>
      <w:bookmarkEnd w:id="72"/>
      <w:r w:rsidR="00914517" w:rsidRPr="00A63957">
        <w:rPr>
          <w:rFonts w:asciiTheme="majorHAnsi" w:hAnsiTheme="majorHAnsi"/>
          <w:sz w:val="20"/>
          <w:szCs w:val="20"/>
          <w:lang w:val="es-CO"/>
        </w:rPr>
        <w:t>. Sin embargo, “aún verificado este extremo, la privación de libertad del imputado no puede residir en fines preventivo-generales o preventivo-especiales atribuibles a la pena, sino que sólo se puede fundamentar […] en un fin legítimo, a saber: asegurar que el acusado no impedirá el desarrollo del procedimiento ni e</w:t>
      </w:r>
      <w:r w:rsidR="00853DA5">
        <w:rPr>
          <w:rFonts w:asciiTheme="majorHAnsi" w:hAnsiTheme="majorHAnsi"/>
          <w:sz w:val="20"/>
          <w:szCs w:val="20"/>
          <w:lang w:val="es-CO"/>
        </w:rPr>
        <w:t>ludirá la acción de la justicia</w:t>
      </w:r>
      <w:r w:rsidR="00914517" w:rsidRPr="00A63957">
        <w:rPr>
          <w:rStyle w:val="FootnoteReference"/>
          <w:rFonts w:asciiTheme="majorHAnsi" w:hAnsiTheme="majorHAnsi"/>
          <w:sz w:val="20"/>
          <w:szCs w:val="20"/>
        </w:rPr>
        <w:footnoteReference w:id="65"/>
      </w:r>
      <w:r w:rsidR="00914517" w:rsidRPr="00A63957">
        <w:rPr>
          <w:rFonts w:asciiTheme="majorHAnsi" w:hAnsiTheme="majorHAnsi"/>
          <w:sz w:val="20"/>
          <w:szCs w:val="20"/>
          <w:lang w:val="es-CO"/>
        </w:rPr>
        <w:t>.</w:t>
      </w:r>
      <w:bookmarkEnd w:id="71"/>
    </w:p>
    <w:p w:rsidR="00914517" w:rsidRPr="00A63957" w:rsidRDefault="00914517" w:rsidP="0059005F">
      <w:pPr>
        <w:pStyle w:val="ListParagraph"/>
        <w:rPr>
          <w:rFonts w:asciiTheme="majorHAnsi" w:hAnsiTheme="majorHAnsi"/>
          <w:sz w:val="20"/>
          <w:szCs w:val="20"/>
          <w:lang w:val="es-VE"/>
        </w:rPr>
      </w:pPr>
    </w:p>
    <w:p w:rsidR="00680926" w:rsidRPr="00E177FA" w:rsidRDefault="00680926" w:rsidP="0059005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E177FA">
        <w:rPr>
          <w:rFonts w:asciiTheme="majorHAnsi" w:hAnsiTheme="majorHAnsi" w:cs="Calibri"/>
          <w:sz w:val="20"/>
          <w:szCs w:val="20"/>
          <w:lang w:val="es-CO" w:eastAsia="es-ES"/>
        </w:rPr>
        <w:t xml:space="preserve">En esta línea, toda decisión por medio de la cual se restrinja el derecho a la libertad personal por medio de la aplicación de la prisión preventiva deberá contener una motivación suficiente </w:t>
      </w:r>
      <w:r w:rsidR="00AB2C0B" w:rsidRPr="00E177FA">
        <w:rPr>
          <w:rFonts w:asciiTheme="majorHAnsi" w:hAnsiTheme="majorHAnsi" w:cs="Calibri"/>
          <w:sz w:val="20"/>
          <w:szCs w:val="20"/>
          <w:lang w:val="es-CO" w:eastAsia="es-ES"/>
        </w:rPr>
        <w:t xml:space="preserve">e individualizada </w:t>
      </w:r>
      <w:r w:rsidRPr="00E177FA">
        <w:rPr>
          <w:rFonts w:asciiTheme="majorHAnsi" w:hAnsiTheme="majorHAnsi" w:cs="Calibri"/>
          <w:sz w:val="20"/>
          <w:szCs w:val="20"/>
          <w:lang w:val="es-CO" w:eastAsia="es-ES"/>
        </w:rPr>
        <w:t>que permita evaluar si tal detención</w:t>
      </w:r>
      <w:r w:rsidR="00BE07EE" w:rsidRPr="00E177FA">
        <w:rPr>
          <w:rFonts w:asciiTheme="majorHAnsi" w:hAnsiTheme="majorHAnsi" w:cs="Calibri"/>
          <w:sz w:val="20"/>
          <w:szCs w:val="20"/>
          <w:lang w:val="es-CO" w:eastAsia="es-ES"/>
        </w:rPr>
        <w:t xml:space="preserve"> </w:t>
      </w:r>
      <w:r w:rsidRPr="00E177FA">
        <w:rPr>
          <w:rFonts w:asciiTheme="majorHAnsi" w:hAnsiTheme="majorHAnsi" w:cs="Calibri"/>
          <w:sz w:val="20"/>
          <w:szCs w:val="20"/>
          <w:lang w:val="es-CO" w:eastAsia="es-ES"/>
        </w:rPr>
        <w:t>se ajusta a las condiciones necesarias para su aplicación (indicios razonables que vinculen al acusado, fines legítimos, aplicación excepcional, y criterios de necesidad, razonabilidad y proporcionalidad)</w:t>
      </w:r>
      <w:r w:rsidRPr="00A63957">
        <w:rPr>
          <w:rStyle w:val="FootnoteReference"/>
          <w:rFonts w:asciiTheme="majorHAnsi" w:hAnsiTheme="majorHAnsi" w:cs="Calibri"/>
          <w:sz w:val="20"/>
          <w:szCs w:val="20"/>
          <w:lang w:val="es-CO" w:eastAsia="es-ES"/>
        </w:rPr>
        <w:footnoteReference w:id="66"/>
      </w:r>
      <w:r w:rsidRPr="00E177FA">
        <w:rPr>
          <w:rFonts w:asciiTheme="majorHAnsi" w:hAnsiTheme="majorHAnsi" w:cs="Calibri"/>
          <w:sz w:val="20"/>
          <w:szCs w:val="20"/>
          <w:lang w:val="es-CO" w:eastAsia="es-ES"/>
        </w:rPr>
        <w:t>.</w:t>
      </w:r>
      <w:r w:rsidR="00A264FE" w:rsidRPr="00E177FA">
        <w:rPr>
          <w:rFonts w:asciiTheme="majorHAnsi" w:hAnsiTheme="majorHAnsi" w:cs="Calibri"/>
          <w:sz w:val="20"/>
          <w:szCs w:val="20"/>
          <w:lang w:val="es-CO" w:eastAsia="es-ES"/>
        </w:rPr>
        <w:t xml:space="preserve"> </w:t>
      </w:r>
    </w:p>
    <w:p w:rsidR="00E177FA" w:rsidRPr="00E177FA" w:rsidRDefault="00E177FA" w:rsidP="00E177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4F1B7B" w:rsidRPr="00A63957" w:rsidRDefault="00803767" w:rsidP="004F1B7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autoSpaceDE w:val="0"/>
        <w:autoSpaceDN w:val="0"/>
        <w:adjustRightInd w:val="0"/>
        <w:ind w:left="0" w:firstLine="720"/>
        <w:jc w:val="both"/>
        <w:rPr>
          <w:rFonts w:asciiTheme="majorHAnsi" w:hAnsiTheme="majorHAnsi"/>
          <w:b/>
          <w:color w:val="000000"/>
          <w:sz w:val="20"/>
          <w:szCs w:val="20"/>
          <w:lang w:val="es-CO" w:eastAsia="es-ES"/>
        </w:rPr>
      </w:pPr>
      <w:r>
        <w:rPr>
          <w:rFonts w:asciiTheme="majorHAnsi" w:hAnsiTheme="majorHAnsi"/>
          <w:sz w:val="20"/>
          <w:szCs w:val="20"/>
          <w:lang w:val="es-VE"/>
        </w:rPr>
        <w:t xml:space="preserve">Por otra parte, </w:t>
      </w:r>
      <w:r w:rsidR="004868C6" w:rsidRPr="00A63957">
        <w:rPr>
          <w:rFonts w:asciiTheme="majorHAnsi" w:hAnsiTheme="majorHAnsi"/>
          <w:sz w:val="20"/>
          <w:szCs w:val="20"/>
          <w:lang w:val="es-VE"/>
        </w:rPr>
        <w:t>el artículo 7.5 de la Convención Americana impone límites temporales a la duración de la prisión preventiva y</w:t>
      </w:r>
      <w:r w:rsidR="000F1F53" w:rsidRPr="00A63957">
        <w:rPr>
          <w:rFonts w:asciiTheme="majorHAnsi" w:hAnsiTheme="majorHAnsi"/>
          <w:sz w:val="20"/>
          <w:szCs w:val="20"/>
          <w:lang w:val="es-VE"/>
        </w:rPr>
        <w:t>,</w:t>
      </w:r>
      <w:r w:rsidR="004868C6" w:rsidRPr="00A63957">
        <w:rPr>
          <w:rFonts w:asciiTheme="majorHAnsi" w:hAnsiTheme="majorHAnsi"/>
          <w:sz w:val="20"/>
          <w:szCs w:val="20"/>
          <w:lang w:val="es-VE"/>
        </w:rPr>
        <w:t xml:space="preserve"> en consecuencia, a las facultades del Estado para proteger los fines del proceso mediante este tipo de medida cautelar. Como ha indicado la Corte Interamericana “cuando el plazo de </w:t>
      </w:r>
      <w:r w:rsidR="004868C6" w:rsidRPr="00A63957">
        <w:rPr>
          <w:rFonts w:asciiTheme="majorHAnsi" w:hAnsiTheme="majorHAnsi"/>
          <w:sz w:val="20"/>
          <w:szCs w:val="20"/>
          <w:lang w:val="es-VE"/>
        </w:rPr>
        <w:lastRenderedPageBreak/>
        <w:t>la prisión preventiva sobrepasa lo razonable, el Estado podrá limitar la libertad del imputado con otras medidas menos lesivas que aseguren su comparecencia al juicio, distint</w:t>
      </w:r>
      <w:r w:rsidR="00E429E1" w:rsidRPr="00A63957">
        <w:rPr>
          <w:rFonts w:asciiTheme="majorHAnsi" w:hAnsiTheme="majorHAnsi"/>
          <w:sz w:val="20"/>
          <w:szCs w:val="20"/>
          <w:lang w:val="es-VE"/>
        </w:rPr>
        <w:t>as de la privación de libertad”</w:t>
      </w:r>
      <w:r w:rsidR="00E429E1" w:rsidRPr="00A63957">
        <w:rPr>
          <w:rStyle w:val="FootnoteReference"/>
          <w:rFonts w:asciiTheme="majorHAnsi" w:hAnsiTheme="majorHAnsi"/>
          <w:sz w:val="20"/>
          <w:szCs w:val="20"/>
          <w:lang w:val="es-VE"/>
        </w:rPr>
        <w:footnoteReference w:id="67"/>
      </w:r>
      <w:r w:rsidR="004868C6" w:rsidRPr="00A63957">
        <w:rPr>
          <w:rFonts w:asciiTheme="majorHAnsi" w:hAnsiTheme="majorHAnsi"/>
          <w:sz w:val="20"/>
          <w:szCs w:val="20"/>
          <w:lang w:val="es-VE"/>
        </w:rPr>
        <w:t xml:space="preserve">. </w:t>
      </w:r>
      <w:r w:rsidR="004F1B7B" w:rsidRPr="00A63957">
        <w:rPr>
          <w:rFonts w:asciiTheme="majorHAnsi" w:hAnsiTheme="majorHAnsi"/>
          <w:sz w:val="20"/>
          <w:szCs w:val="20"/>
          <w:lang w:val="es-CO"/>
        </w:rPr>
        <w:t xml:space="preserve">La Corte ha indicado que aun cuando medien razones para mantener a una persona en prisión preventiva, </w:t>
      </w:r>
      <w:r w:rsidR="004F1B7B" w:rsidRPr="00A63957">
        <w:rPr>
          <w:rFonts w:asciiTheme="majorHAnsi" w:hAnsiTheme="majorHAnsi" w:cs="Calibri"/>
          <w:sz w:val="20"/>
          <w:szCs w:val="20"/>
          <w:lang w:val="es-CO" w:eastAsia="es-ES"/>
        </w:rPr>
        <w:t>el</w:t>
      </w:r>
      <w:r w:rsidR="004F1B7B" w:rsidRPr="00A63957">
        <w:rPr>
          <w:rFonts w:asciiTheme="majorHAnsi" w:hAnsiTheme="majorHAnsi"/>
          <w:sz w:val="20"/>
          <w:szCs w:val="20"/>
          <w:lang w:val="es-CO"/>
        </w:rPr>
        <w:t xml:space="preserve"> período de la detención no debe exceder el límite de lo razonable</w:t>
      </w:r>
      <w:r w:rsidR="004F1B7B" w:rsidRPr="00A63957">
        <w:rPr>
          <w:rStyle w:val="FootnoteReference"/>
          <w:rFonts w:asciiTheme="majorHAnsi" w:hAnsiTheme="majorHAnsi"/>
          <w:sz w:val="20"/>
          <w:szCs w:val="20"/>
        </w:rPr>
        <w:footnoteReference w:id="68"/>
      </w:r>
      <w:r w:rsidR="004F1B7B" w:rsidRPr="00A63957">
        <w:rPr>
          <w:rFonts w:asciiTheme="majorHAnsi" w:hAnsiTheme="majorHAnsi"/>
          <w:sz w:val="20"/>
          <w:szCs w:val="20"/>
          <w:lang w:val="es-CO"/>
        </w:rPr>
        <w:t>.</w:t>
      </w:r>
    </w:p>
    <w:p w:rsidR="004868C6" w:rsidRPr="00A76A82" w:rsidRDefault="004868C6" w:rsidP="004868C6">
      <w:pPr>
        <w:pStyle w:val="ListParagraph"/>
        <w:rPr>
          <w:rFonts w:asciiTheme="majorHAnsi" w:hAnsiTheme="majorHAnsi"/>
          <w:sz w:val="20"/>
          <w:szCs w:val="20"/>
          <w:lang w:val="es-CO"/>
        </w:rPr>
      </w:pPr>
    </w:p>
    <w:p w:rsidR="00DC6E50" w:rsidRDefault="00DC6E50" w:rsidP="0020667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Pr>
          <w:rFonts w:asciiTheme="majorHAnsi" w:hAnsiTheme="majorHAnsi"/>
          <w:sz w:val="20"/>
          <w:szCs w:val="20"/>
          <w:lang w:val="es-ES"/>
        </w:rPr>
        <w:t xml:space="preserve">En cuanto a la necesidad de una revisión periódica de los fundamentos de la detención preventiva y de su tiempo de duración, la Corte ha indicado que: </w:t>
      </w:r>
    </w:p>
    <w:p w:rsidR="00DC6E50" w:rsidRDefault="00DC6E50" w:rsidP="00DC6E50">
      <w:pPr>
        <w:pStyle w:val="ListParagraph"/>
        <w:rPr>
          <w:rFonts w:asciiTheme="majorHAnsi" w:hAnsiTheme="majorHAnsi"/>
          <w:sz w:val="20"/>
          <w:szCs w:val="20"/>
          <w:lang w:val="es-ES"/>
        </w:rPr>
      </w:pPr>
    </w:p>
    <w:p w:rsidR="00206678" w:rsidRPr="00A63957" w:rsidRDefault="00892BA9" w:rsidP="00F91B8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jc w:val="both"/>
        <w:rPr>
          <w:rFonts w:asciiTheme="majorHAnsi" w:hAnsiTheme="majorHAnsi"/>
          <w:sz w:val="20"/>
          <w:szCs w:val="20"/>
          <w:lang w:val="es-ES"/>
        </w:rPr>
      </w:pPr>
      <w:r>
        <w:rPr>
          <w:rFonts w:asciiTheme="majorHAnsi" w:hAnsiTheme="majorHAnsi"/>
          <w:sz w:val="20"/>
          <w:szCs w:val="20"/>
          <w:lang w:val="es-ES"/>
        </w:rPr>
        <w:t xml:space="preserve">(…) </w:t>
      </w:r>
      <w:r w:rsidR="004868C6" w:rsidRPr="00A63957">
        <w:rPr>
          <w:rFonts w:asciiTheme="majorHAnsi" w:hAnsiTheme="majorHAnsi"/>
          <w:sz w:val="20"/>
          <w:szCs w:val="20"/>
          <w:lang w:val="es-ES"/>
        </w:rPr>
        <w:t>una detención o prisión preventiva debe estar sometida a revisión periódica, de tal forma que no se prolongue cuando no subsistan las razones que motivaron su adopción. En este orden de ideas, el juez no tiene que esperar hasta el momento de dictar sentencia absolutoria para que una persona detenida recupere su libertad, sino que debe valorar periódicamente si las causas, necesidad y proporcionalidad de la medida se mantienen, y si el plazo de la detención ha sobrepasado los límites que imponen la ley la razón. En cualquier momento en que aparezca que la prisión preventiva no satisface estas condiciones, deberá decretarse la libertad, sin perjuicio de que el proceso respectivo continúe</w:t>
      </w:r>
      <w:r w:rsidR="004868C6" w:rsidRPr="00A63957">
        <w:rPr>
          <w:rStyle w:val="FootnoteReference"/>
          <w:rFonts w:asciiTheme="majorHAnsi" w:hAnsiTheme="majorHAnsi"/>
          <w:sz w:val="20"/>
          <w:szCs w:val="20"/>
          <w:lang w:val="es-ES"/>
        </w:rPr>
        <w:footnoteReference w:id="69"/>
      </w:r>
      <w:r w:rsidR="004868C6" w:rsidRPr="00A63957">
        <w:rPr>
          <w:rFonts w:asciiTheme="majorHAnsi" w:hAnsiTheme="majorHAnsi"/>
          <w:sz w:val="20"/>
          <w:szCs w:val="20"/>
          <w:lang w:val="es-ES"/>
        </w:rPr>
        <w:t xml:space="preserve">. </w:t>
      </w:r>
    </w:p>
    <w:p w:rsidR="00C44880" w:rsidRPr="00A63957" w:rsidRDefault="00C44880" w:rsidP="00206678">
      <w:pPr>
        <w:pStyle w:val="ListParagraph"/>
        <w:rPr>
          <w:rFonts w:asciiTheme="majorHAnsi" w:hAnsiTheme="majorHAnsi"/>
          <w:sz w:val="20"/>
          <w:szCs w:val="20"/>
          <w:lang w:val="es-ES"/>
        </w:rPr>
      </w:pPr>
    </w:p>
    <w:p w:rsidR="00A440C1" w:rsidRPr="00AC4086" w:rsidRDefault="00C94AE5" w:rsidP="008235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Pr>
          <w:rFonts w:asciiTheme="majorHAnsi" w:hAnsiTheme="majorHAnsi"/>
          <w:sz w:val="20"/>
          <w:szCs w:val="20"/>
          <w:lang w:val="es-ES"/>
        </w:rPr>
        <w:t xml:space="preserve">Además de sus efectos en el ejercicio del </w:t>
      </w:r>
      <w:r w:rsidR="00823555">
        <w:rPr>
          <w:rFonts w:asciiTheme="majorHAnsi" w:hAnsiTheme="majorHAnsi"/>
          <w:sz w:val="20"/>
          <w:szCs w:val="20"/>
          <w:lang w:val="es-ES"/>
        </w:rPr>
        <w:t xml:space="preserve">derecho a la libertad personal, tanto la Comisión como la Corte han indicado que </w:t>
      </w:r>
      <w:r>
        <w:rPr>
          <w:rFonts w:asciiTheme="majorHAnsi" w:hAnsiTheme="majorHAnsi"/>
          <w:sz w:val="20"/>
          <w:szCs w:val="20"/>
          <w:lang w:val="es-ES"/>
        </w:rPr>
        <w:t>el</w:t>
      </w:r>
      <w:r w:rsidR="00C722BA" w:rsidRPr="00A63957">
        <w:rPr>
          <w:rFonts w:asciiTheme="majorHAnsi" w:hAnsiTheme="majorHAnsi"/>
          <w:sz w:val="20"/>
          <w:szCs w:val="20"/>
          <w:lang w:val="es-ES"/>
        </w:rPr>
        <w:t xml:space="preserve"> uso indebido de la </w:t>
      </w:r>
      <w:r w:rsidR="000F1F53" w:rsidRPr="00A63957">
        <w:rPr>
          <w:rFonts w:asciiTheme="majorHAnsi" w:hAnsiTheme="majorHAnsi"/>
          <w:sz w:val="20"/>
          <w:szCs w:val="20"/>
          <w:lang w:val="es-ES"/>
        </w:rPr>
        <w:t>detención preventiva</w:t>
      </w:r>
      <w:r>
        <w:rPr>
          <w:rFonts w:asciiTheme="majorHAnsi" w:hAnsiTheme="majorHAnsi"/>
          <w:sz w:val="20"/>
          <w:szCs w:val="20"/>
          <w:lang w:val="es-ES"/>
        </w:rPr>
        <w:t xml:space="preserve"> </w:t>
      </w:r>
      <w:r w:rsidR="00206678" w:rsidRPr="00A63957">
        <w:rPr>
          <w:rFonts w:asciiTheme="majorHAnsi" w:hAnsiTheme="majorHAnsi"/>
          <w:sz w:val="20"/>
          <w:szCs w:val="20"/>
          <w:lang w:val="es-ES"/>
        </w:rPr>
        <w:t>puede tene</w:t>
      </w:r>
      <w:r w:rsidR="000F1F53" w:rsidRPr="00A63957">
        <w:rPr>
          <w:rFonts w:asciiTheme="majorHAnsi" w:hAnsiTheme="majorHAnsi"/>
          <w:sz w:val="20"/>
          <w:szCs w:val="20"/>
          <w:lang w:val="es-ES"/>
        </w:rPr>
        <w:t>r</w:t>
      </w:r>
      <w:r w:rsidR="00206678" w:rsidRPr="00A63957">
        <w:rPr>
          <w:rFonts w:asciiTheme="majorHAnsi" w:hAnsiTheme="majorHAnsi"/>
          <w:sz w:val="20"/>
          <w:szCs w:val="20"/>
          <w:lang w:val="es-ES"/>
        </w:rPr>
        <w:t xml:space="preserve"> un impacto en </w:t>
      </w:r>
      <w:r w:rsidR="005408E8">
        <w:rPr>
          <w:rFonts w:asciiTheme="majorHAnsi" w:hAnsiTheme="majorHAnsi"/>
          <w:sz w:val="20"/>
          <w:szCs w:val="20"/>
          <w:lang w:val="es-ES"/>
        </w:rPr>
        <w:t xml:space="preserve">el principio de </w:t>
      </w:r>
      <w:r w:rsidR="00206678" w:rsidRPr="00A63957">
        <w:rPr>
          <w:rFonts w:asciiTheme="majorHAnsi" w:hAnsiTheme="majorHAnsi"/>
          <w:sz w:val="20"/>
          <w:szCs w:val="20"/>
          <w:lang w:val="es-ES"/>
        </w:rPr>
        <w:t xml:space="preserve">presunción de inocencia contenida en el artículo 8.2 de la Convención Americana. </w:t>
      </w:r>
      <w:r w:rsidR="00823555">
        <w:rPr>
          <w:rFonts w:asciiTheme="majorHAnsi" w:hAnsiTheme="majorHAnsi"/>
          <w:sz w:val="20"/>
          <w:szCs w:val="20"/>
          <w:lang w:val="es-ES"/>
        </w:rPr>
        <w:t xml:space="preserve">Al respecto se ha destacado </w:t>
      </w:r>
      <w:r w:rsidR="00956DE9" w:rsidRPr="00823555">
        <w:rPr>
          <w:rFonts w:asciiTheme="majorHAnsi" w:hAnsiTheme="majorHAnsi" w:cs="Calibri"/>
          <w:sz w:val="20"/>
          <w:szCs w:val="20"/>
          <w:lang w:val="es-CO" w:eastAsia="es-ES"/>
        </w:rPr>
        <w:t>la importancia del</w:t>
      </w:r>
      <w:r w:rsidR="00D81280" w:rsidRPr="00823555">
        <w:rPr>
          <w:rFonts w:asciiTheme="majorHAnsi" w:hAnsiTheme="majorHAnsi"/>
          <w:sz w:val="20"/>
          <w:szCs w:val="20"/>
          <w:lang w:val="es-ES"/>
        </w:rPr>
        <w:t xml:space="preserve"> </w:t>
      </w:r>
      <w:r w:rsidR="00956DE9" w:rsidRPr="00823555">
        <w:rPr>
          <w:rFonts w:asciiTheme="majorHAnsi" w:hAnsiTheme="majorHAnsi" w:cs="Calibri"/>
          <w:sz w:val="20"/>
          <w:szCs w:val="20"/>
          <w:lang w:val="es-CO" w:eastAsia="es-ES"/>
        </w:rPr>
        <w:t>criterio de razonabilidad, pues mantener privada de libertad a una persona más allá del</w:t>
      </w:r>
      <w:r w:rsidR="00D81280" w:rsidRPr="00823555">
        <w:rPr>
          <w:rFonts w:asciiTheme="majorHAnsi" w:hAnsiTheme="majorHAnsi" w:cs="Calibri"/>
          <w:sz w:val="20"/>
          <w:szCs w:val="20"/>
          <w:lang w:val="es-CO" w:eastAsia="es-ES"/>
        </w:rPr>
        <w:t xml:space="preserve"> </w:t>
      </w:r>
      <w:r w:rsidR="00956DE9" w:rsidRPr="00823555">
        <w:rPr>
          <w:rFonts w:asciiTheme="majorHAnsi" w:hAnsiTheme="majorHAnsi" w:cs="Calibri"/>
          <w:sz w:val="20"/>
          <w:szCs w:val="20"/>
          <w:lang w:val="es-CO" w:eastAsia="es-ES"/>
        </w:rPr>
        <w:t>tiempo razonable para el cumplimiento de los fines que justifican su detención equivaldría,</w:t>
      </w:r>
      <w:r w:rsidR="00D81280" w:rsidRPr="00823555">
        <w:rPr>
          <w:rFonts w:asciiTheme="majorHAnsi" w:hAnsiTheme="majorHAnsi" w:cs="Calibri"/>
          <w:sz w:val="20"/>
          <w:szCs w:val="20"/>
          <w:lang w:val="es-CO" w:eastAsia="es-ES"/>
        </w:rPr>
        <w:t xml:space="preserve"> </w:t>
      </w:r>
      <w:r w:rsidR="00956DE9" w:rsidRPr="00823555">
        <w:rPr>
          <w:rFonts w:asciiTheme="majorHAnsi" w:hAnsiTheme="majorHAnsi" w:cs="Calibri"/>
          <w:sz w:val="20"/>
          <w:szCs w:val="20"/>
          <w:lang w:val="es-CO" w:eastAsia="es-ES"/>
        </w:rPr>
        <w:t>en los hechos, a una pena anticipada</w:t>
      </w:r>
      <w:r w:rsidR="00370742" w:rsidRPr="00A63957">
        <w:rPr>
          <w:rStyle w:val="FootnoteReference"/>
          <w:rFonts w:asciiTheme="majorHAnsi" w:hAnsiTheme="majorHAnsi" w:cs="Calibri"/>
          <w:sz w:val="20"/>
          <w:szCs w:val="20"/>
          <w:lang w:val="es-CO" w:eastAsia="es-ES"/>
        </w:rPr>
        <w:footnoteReference w:id="70"/>
      </w:r>
      <w:r w:rsidR="00956DE9" w:rsidRPr="00823555">
        <w:rPr>
          <w:rFonts w:asciiTheme="majorHAnsi" w:hAnsiTheme="majorHAnsi" w:cs="Calibri"/>
          <w:sz w:val="20"/>
          <w:szCs w:val="20"/>
          <w:lang w:val="es-CO" w:eastAsia="es-ES"/>
        </w:rPr>
        <w:t xml:space="preserve">. </w:t>
      </w:r>
    </w:p>
    <w:p w:rsidR="00AC4086" w:rsidRPr="00A440C1" w:rsidRDefault="00AC4086" w:rsidP="00AC40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5B3533" w:rsidRPr="00A440C1" w:rsidRDefault="00746030" w:rsidP="008235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Pr>
          <w:rFonts w:asciiTheme="majorHAnsi" w:hAnsiTheme="majorHAnsi" w:cs="Calibri"/>
          <w:sz w:val="20"/>
          <w:szCs w:val="20"/>
          <w:lang w:val="es-CO" w:eastAsia="es-ES"/>
        </w:rPr>
        <w:t>En palabras de la CIDH, la demora irrazonable de la detención preventiva:</w:t>
      </w:r>
    </w:p>
    <w:p w:rsidR="00A440C1" w:rsidRPr="00746030" w:rsidRDefault="00A440C1" w:rsidP="00A440C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746030" w:rsidRPr="004C33DA" w:rsidRDefault="00746030" w:rsidP="00A440C1">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hAnsiTheme="majorHAnsi"/>
          <w:spacing w:val="-3"/>
          <w:sz w:val="20"/>
          <w:szCs w:val="20"/>
          <w:lang w:val="es-ES_tradnl"/>
        </w:rPr>
      </w:pPr>
      <w:r w:rsidRPr="00A440C1">
        <w:rPr>
          <w:rFonts w:asciiTheme="majorHAnsi" w:hAnsiTheme="majorHAnsi"/>
          <w:spacing w:val="-3"/>
          <w:sz w:val="20"/>
          <w:szCs w:val="20"/>
          <w:lang w:val="es-ES_tradnl"/>
        </w:rPr>
        <w:t xml:space="preserve">Además, aumenta el riesgo de que se invierta el sentido de la presunción de inocencia cuando la </w:t>
      </w:r>
      <w:r w:rsidRPr="004C33DA">
        <w:rPr>
          <w:rFonts w:asciiTheme="majorHAnsi" w:hAnsiTheme="majorHAnsi"/>
          <w:spacing w:val="-3"/>
          <w:sz w:val="20"/>
          <w:szCs w:val="20"/>
          <w:lang w:val="es-ES_tradnl"/>
        </w:rPr>
        <w:t>detención previa al juicio es de duración no razonable.  La presunción de inocencia se torna cada vez más vacía y finalmente se convierte en una burla cuando la detención previa al juicio es excesivamente prolongada dado que, a pesar de la presunción, se está privando de la libertad a una persona todavía inocente, castigo severo que legítimamente se impone a los que han sido condenados</w:t>
      </w:r>
      <w:r w:rsidR="00980707" w:rsidRPr="004C33DA">
        <w:rPr>
          <w:rStyle w:val="FootnoteReference"/>
          <w:rFonts w:asciiTheme="majorHAnsi" w:hAnsiTheme="majorHAnsi"/>
          <w:spacing w:val="-3"/>
          <w:sz w:val="20"/>
          <w:szCs w:val="20"/>
          <w:lang w:val="es-ES_tradnl"/>
        </w:rPr>
        <w:footnoteReference w:id="71"/>
      </w:r>
      <w:r w:rsidRPr="004C33DA">
        <w:rPr>
          <w:rFonts w:asciiTheme="majorHAnsi" w:hAnsiTheme="majorHAnsi"/>
          <w:spacing w:val="-3"/>
          <w:sz w:val="20"/>
          <w:szCs w:val="20"/>
          <w:lang w:val="es-ES_tradnl"/>
        </w:rPr>
        <w:t>.</w:t>
      </w:r>
    </w:p>
    <w:p w:rsidR="00A17640" w:rsidRPr="004C33DA" w:rsidRDefault="00A17640" w:rsidP="00A440C1">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hAnsiTheme="majorHAnsi"/>
          <w:spacing w:val="-3"/>
          <w:sz w:val="20"/>
          <w:szCs w:val="20"/>
          <w:lang w:val="es-ES_tradnl"/>
        </w:rPr>
      </w:pPr>
    </w:p>
    <w:p w:rsidR="00A17640" w:rsidRPr="004C33DA" w:rsidRDefault="00A17640" w:rsidP="00A440C1">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hAnsiTheme="majorHAnsi"/>
          <w:spacing w:val="-3"/>
          <w:sz w:val="20"/>
          <w:szCs w:val="20"/>
          <w:lang w:val="es-ES_tradnl"/>
        </w:rPr>
      </w:pPr>
      <w:r w:rsidRPr="004C33DA">
        <w:rPr>
          <w:rFonts w:asciiTheme="majorHAnsi" w:hAnsiTheme="majorHAnsi"/>
          <w:spacing w:val="-3"/>
          <w:sz w:val="20"/>
          <w:szCs w:val="20"/>
          <w:lang w:val="es-ES_tradnl"/>
        </w:rPr>
        <w:t>(…)</w:t>
      </w:r>
    </w:p>
    <w:p w:rsidR="00A17640" w:rsidRPr="004C33DA" w:rsidRDefault="00A17640" w:rsidP="00A440C1">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hAnsiTheme="majorHAnsi"/>
          <w:spacing w:val="-3"/>
          <w:sz w:val="20"/>
          <w:szCs w:val="20"/>
          <w:lang w:val="es-ES_tradnl"/>
        </w:rPr>
      </w:pPr>
    </w:p>
    <w:p w:rsidR="00A17640" w:rsidRPr="004C33DA" w:rsidRDefault="00A17640" w:rsidP="00A440C1">
      <w:pPr>
        <w:pBdr>
          <w:top w:val="none" w:sz="0" w:space="0" w:color="auto"/>
          <w:left w:val="none" w:sz="0" w:space="0" w:color="auto"/>
          <w:bottom w:val="none" w:sz="0" w:space="0" w:color="auto"/>
          <w:right w:val="none" w:sz="0" w:space="0" w:color="auto"/>
          <w:between w:val="none" w:sz="0" w:space="0" w:color="auto"/>
          <w:bar w:val="none" w:sz="0" w:color="auto"/>
        </w:pBdr>
        <w:ind w:left="720" w:right="630"/>
        <w:jc w:val="both"/>
        <w:rPr>
          <w:rFonts w:asciiTheme="majorHAnsi" w:hAnsiTheme="majorHAnsi"/>
          <w:sz w:val="20"/>
          <w:szCs w:val="20"/>
          <w:lang w:val="es-ES"/>
        </w:rPr>
      </w:pPr>
      <w:r w:rsidRPr="004C33DA">
        <w:rPr>
          <w:rFonts w:asciiTheme="majorHAnsi" w:hAnsiTheme="majorHAnsi"/>
          <w:spacing w:val="-3"/>
          <w:sz w:val="20"/>
          <w:szCs w:val="20"/>
          <w:lang w:val="es-ES_tradnl"/>
        </w:rPr>
        <w:lastRenderedPageBreak/>
        <w:t>Si el Estado no determina el juicio de reproche</w:t>
      </w:r>
      <w:r w:rsidR="00AC4086">
        <w:rPr>
          <w:rFonts w:asciiTheme="majorHAnsi" w:hAnsiTheme="majorHAnsi"/>
          <w:spacing w:val="-3"/>
          <w:sz w:val="20"/>
          <w:szCs w:val="20"/>
          <w:lang w:val="es-ES_tradnl"/>
        </w:rPr>
        <w:t xml:space="preserve"> dentro de un plazo razonable y</w:t>
      </w:r>
      <w:r w:rsidRPr="004C33DA">
        <w:rPr>
          <w:rFonts w:asciiTheme="majorHAnsi" w:hAnsiTheme="majorHAnsi"/>
          <w:spacing w:val="-3"/>
          <w:sz w:val="20"/>
          <w:szCs w:val="20"/>
          <w:lang w:val="es-ES_tradnl"/>
        </w:rPr>
        <w:t xml:space="preserve"> justifica la prolongación de la privación de libertad del acusado sobre la base de la sospecha que existe en su contra, está, fundamentalmente, sustituyendo la pena con la prisión preventiva</w:t>
      </w:r>
      <w:r w:rsidR="00ED1B01" w:rsidRPr="004C33DA">
        <w:rPr>
          <w:rStyle w:val="FootnoteReference"/>
          <w:rFonts w:asciiTheme="majorHAnsi" w:hAnsiTheme="majorHAnsi"/>
          <w:spacing w:val="-3"/>
          <w:sz w:val="20"/>
          <w:szCs w:val="20"/>
          <w:lang w:val="es-ES_tradnl"/>
        </w:rPr>
        <w:footnoteReference w:id="72"/>
      </w:r>
      <w:r w:rsidRPr="004C33DA">
        <w:rPr>
          <w:rFonts w:asciiTheme="majorHAnsi" w:hAnsiTheme="majorHAnsi"/>
          <w:spacing w:val="-3"/>
          <w:sz w:val="20"/>
          <w:szCs w:val="20"/>
          <w:lang w:val="es-ES_tradnl"/>
        </w:rPr>
        <w:t>.</w:t>
      </w:r>
    </w:p>
    <w:p w:rsidR="005B3533" w:rsidRPr="00A63957" w:rsidRDefault="005B3533" w:rsidP="005B3533">
      <w:pPr>
        <w:pStyle w:val="ListParagraph"/>
        <w:jc w:val="both"/>
        <w:rPr>
          <w:rFonts w:asciiTheme="majorHAnsi" w:hAnsiTheme="majorHAnsi" w:cs="Calibri"/>
          <w:sz w:val="20"/>
          <w:szCs w:val="20"/>
          <w:lang w:val="es-CO"/>
        </w:rPr>
      </w:pPr>
    </w:p>
    <w:p w:rsidR="00956DE9" w:rsidRPr="00A63957" w:rsidRDefault="00956DE9" w:rsidP="005B353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autoSpaceDE w:val="0"/>
        <w:autoSpaceDN w:val="0"/>
        <w:adjustRightInd w:val="0"/>
        <w:ind w:left="0" w:firstLine="720"/>
        <w:jc w:val="both"/>
        <w:rPr>
          <w:rFonts w:asciiTheme="majorHAnsi" w:hAnsiTheme="majorHAnsi" w:cs="Calibri"/>
          <w:sz w:val="20"/>
          <w:szCs w:val="20"/>
          <w:lang w:val="es-CO"/>
        </w:rPr>
      </w:pPr>
      <w:r w:rsidRPr="00A63957">
        <w:rPr>
          <w:rFonts w:asciiTheme="majorHAnsi" w:hAnsiTheme="majorHAnsi" w:cs="Calibri"/>
          <w:sz w:val="20"/>
          <w:szCs w:val="20"/>
          <w:lang w:val="es-CO" w:eastAsia="es-ES"/>
        </w:rPr>
        <w:t>El respeto al derecho a la presunción de inocencia exige igualmente que</w:t>
      </w:r>
      <w:r w:rsidR="005B3533" w:rsidRPr="00A63957">
        <w:rPr>
          <w:rFonts w:asciiTheme="majorHAnsi" w:hAnsiTheme="majorHAnsi" w:cs="Calibri"/>
          <w:sz w:val="20"/>
          <w:szCs w:val="20"/>
          <w:lang w:val="es-CO" w:eastAsia="es-ES"/>
        </w:rPr>
        <w:t xml:space="preserve"> </w:t>
      </w:r>
      <w:r w:rsidRPr="00A63957">
        <w:rPr>
          <w:rFonts w:asciiTheme="majorHAnsi" w:hAnsiTheme="majorHAnsi" w:cs="Calibri"/>
          <w:sz w:val="20"/>
          <w:szCs w:val="20"/>
          <w:lang w:val="es-CO" w:eastAsia="es-ES"/>
        </w:rPr>
        <w:t>el Estado fundamente y acredite, de manera clara y motivada, según cada caso concreto, la</w:t>
      </w:r>
      <w:r w:rsidR="005B3533" w:rsidRPr="00A63957">
        <w:rPr>
          <w:rFonts w:asciiTheme="majorHAnsi" w:hAnsiTheme="majorHAnsi" w:cs="Calibri"/>
          <w:sz w:val="20"/>
          <w:szCs w:val="20"/>
          <w:lang w:val="es-CO" w:eastAsia="es-ES"/>
        </w:rPr>
        <w:t xml:space="preserve"> </w:t>
      </w:r>
      <w:r w:rsidRPr="00A63957">
        <w:rPr>
          <w:rFonts w:asciiTheme="majorHAnsi" w:hAnsiTheme="majorHAnsi" w:cs="Calibri"/>
          <w:sz w:val="20"/>
          <w:szCs w:val="20"/>
          <w:lang w:val="es-CO" w:eastAsia="es-ES"/>
        </w:rPr>
        <w:t>existencia de los requisitos válidos de procedencia de la prisión preventiva</w:t>
      </w:r>
      <w:r w:rsidR="005B3533" w:rsidRPr="00A63957">
        <w:rPr>
          <w:rStyle w:val="FootnoteReference"/>
          <w:rFonts w:asciiTheme="majorHAnsi" w:hAnsiTheme="majorHAnsi" w:cs="Calibri"/>
          <w:sz w:val="20"/>
          <w:szCs w:val="20"/>
          <w:lang w:val="es-CO" w:eastAsia="es-ES"/>
        </w:rPr>
        <w:footnoteReference w:id="73"/>
      </w:r>
      <w:r w:rsidRPr="00A63957">
        <w:rPr>
          <w:rFonts w:asciiTheme="majorHAnsi" w:hAnsiTheme="majorHAnsi" w:cs="Calibri"/>
          <w:sz w:val="20"/>
          <w:szCs w:val="20"/>
          <w:lang w:val="es-CO" w:eastAsia="es-ES"/>
        </w:rPr>
        <w:t>. Por ende,</w:t>
      </w:r>
      <w:r w:rsidR="005B3533" w:rsidRPr="00A63957">
        <w:rPr>
          <w:rFonts w:asciiTheme="majorHAnsi" w:hAnsiTheme="majorHAnsi" w:cs="Calibri"/>
          <w:sz w:val="20"/>
          <w:szCs w:val="20"/>
          <w:lang w:val="es-CO" w:eastAsia="es-ES"/>
        </w:rPr>
        <w:t xml:space="preserve"> </w:t>
      </w:r>
      <w:r w:rsidRPr="00A63957">
        <w:rPr>
          <w:rFonts w:asciiTheme="majorHAnsi" w:hAnsiTheme="majorHAnsi" w:cs="Calibri"/>
          <w:sz w:val="20"/>
          <w:szCs w:val="20"/>
          <w:lang w:val="es-CO" w:eastAsia="es-ES"/>
        </w:rPr>
        <w:t>también se viola el principio de presunción de inocencia cuando la prisión preventiva se</w:t>
      </w:r>
      <w:r w:rsidR="005B3533" w:rsidRPr="00A63957">
        <w:rPr>
          <w:rFonts w:asciiTheme="majorHAnsi" w:hAnsiTheme="majorHAnsi" w:cs="Calibri"/>
          <w:sz w:val="20"/>
          <w:szCs w:val="20"/>
          <w:lang w:val="es-CO" w:eastAsia="es-ES"/>
        </w:rPr>
        <w:t xml:space="preserve"> </w:t>
      </w:r>
      <w:r w:rsidRPr="00A63957">
        <w:rPr>
          <w:rFonts w:asciiTheme="majorHAnsi" w:hAnsiTheme="majorHAnsi" w:cs="Calibri"/>
          <w:sz w:val="20"/>
          <w:szCs w:val="20"/>
          <w:lang w:val="es-CO" w:eastAsia="es-ES"/>
        </w:rPr>
        <w:t>impone arbitrariamente; o bien, cuando su aplicación está determinada esencialmente, por</w:t>
      </w:r>
      <w:r w:rsidR="005B3533" w:rsidRPr="00A63957">
        <w:rPr>
          <w:rFonts w:asciiTheme="majorHAnsi" w:hAnsiTheme="majorHAnsi" w:cs="Calibri"/>
          <w:sz w:val="20"/>
          <w:szCs w:val="20"/>
          <w:lang w:val="es-CO" w:eastAsia="es-ES"/>
        </w:rPr>
        <w:t xml:space="preserve"> </w:t>
      </w:r>
      <w:r w:rsidRPr="00A63957">
        <w:rPr>
          <w:rFonts w:asciiTheme="majorHAnsi" w:hAnsiTheme="majorHAnsi" w:cs="Calibri"/>
          <w:sz w:val="20"/>
          <w:szCs w:val="20"/>
          <w:lang w:val="es-CO" w:eastAsia="es-ES"/>
        </w:rPr>
        <w:t>ejemplo, por el tipo de delito, la expectativa de la pena o la mera existencia de indicios</w:t>
      </w:r>
      <w:r w:rsidR="005B3533" w:rsidRPr="00A63957">
        <w:rPr>
          <w:rFonts w:asciiTheme="majorHAnsi" w:hAnsiTheme="majorHAnsi" w:cs="Calibri"/>
          <w:sz w:val="20"/>
          <w:szCs w:val="20"/>
          <w:lang w:val="es-CO" w:eastAsia="es-ES"/>
        </w:rPr>
        <w:t xml:space="preserve"> </w:t>
      </w:r>
      <w:r w:rsidRPr="00A63957">
        <w:rPr>
          <w:rFonts w:asciiTheme="majorHAnsi" w:hAnsiTheme="majorHAnsi" w:cs="Calibri"/>
          <w:sz w:val="20"/>
          <w:szCs w:val="20"/>
          <w:lang w:val="es-CO" w:eastAsia="es-ES"/>
        </w:rPr>
        <w:t>razonables que vinculen al acusado</w:t>
      </w:r>
      <w:r w:rsidR="00806E7A" w:rsidRPr="00A63957">
        <w:rPr>
          <w:rStyle w:val="FootnoteReference"/>
          <w:rFonts w:asciiTheme="majorHAnsi" w:hAnsiTheme="majorHAnsi" w:cs="Calibri"/>
          <w:sz w:val="20"/>
          <w:szCs w:val="20"/>
          <w:lang w:val="es-CO" w:eastAsia="es-ES"/>
        </w:rPr>
        <w:footnoteReference w:id="74"/>
      </w:r>
      <w:r w:rsidRPr="00A63957">
        <w:rPr>
          <w:rFonts w:asciiTheme="majorHAnsi" w:hAnsiTheme="majorHAnsi" w:cs="Calibri"/>
          <w:sz w:val="20"/>
          <w:szCs w:val="20"/>
          <w:lang w:val="es-CO" w:eastAsia="es-ES"/>
        </w:rPr>
        <w:t>.</w:t>
      </w:r>
    </w:p>
    <w:p w:rsidR="00FF289C" w:rsidRPr="00A63957" w:rsidRDefault="00FF289C" w:rsidP="00FF289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heme="majorHAnsi" w:hAnsiTheme="majorHAnsi"/>
          <w:b/>
          <w:sz w:val="20"/>
          <w:szCs w:val="20"/>
          <w:lang w:val="es-VE"/>
        </w:rPr>
      </w:pPr>
    </w:p>
    <w:p w:rsidR="00C0443E" w:rsidRPr="00A63957" w:rsidRDefault="00C0443E" w:rsidP="007B628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b/>
          <w:sz w:val="20"/>
          <w:szCs w:val="20"/>
          <w:lang w:val="es-VE"/>
        </w:rPr>
      </w:pPr>
      <w:r w:rsidRPr="00A63957">
        <w:rPr>
          <w:rFonts w:asciiTheme="majorHAnsi" w:hAnsiTheme="majorHAnsi"/>
          <w:sz w:val="20"/>
          <w:szCs w:val="20"/>
          <w:lang w:val="es-VE"/>
        </w:rPr>
        <w:t>La Comisión subraya que el artículo 7.6 de la Convención protege el derecho de toda persona privada de la libertad a recurrir la legalidad de su detención ante un juez o tribunal competente, a fin de que éste decida, sin demora, sobre la legalidad de la privación de libertad, y, en su caso, decrete su libertad</w:t>
      </w:r>
      <w:r w:rsidRPr="00A63957">
        <w:rPr>
          <w:rStyle w:val="FootnoteReference"/>
          <w:rFonts w:asciiTheme="majorHAnsi" w:hAnsiTheme="majorHAnsi"/>
          <w:sz w:val="20"/>
          <w:szCs w:val="20"/>
          <w:lang w:val="es-VE"/>
        </w:rPr>
        <w:footnoteReference w:id="75"/>
      </w:r>
      <w:r w:rsidRPr="00A63957">
        <w:rPr>
          <w:rFonts w:asciiTheme="majorHAnsi" w:hAnsiTheme="majorHAnsi"/>
          <w:sz w:val="20"/>
          <w:szCs w:val="20"/>
          <w:lang w:val="es-VE"/>
        </w:rPr>
        <w:t xml:space="preserve">. Asimismo conforme al artículo 25. 1 de la Convención no basta con que los recursos existan formalmente, sino </w:t>
      </w:r>
      <w:r w:rsidR="0090341B">
        <w:rPr>
          <w:rFonts w:asciiTheme="majorHAnsi" w:hAnsiTheme="majorHAnsi"/>
          <w:sz w:val="20"/>
          <w:szCs w:val="20"/>
          <w:lang w:val="es-VE"/>
        </w:rPr>
        <w:t xml:space="preserve">que </w:t>
      </w:r>
      <w:r w:rsidRPr="00A63957">
        <w:rPr>
          <w:rFonts w:asciiTheme="majorHAnsi" w:hAnsiTheme="majorHAnsi"/>
          <w:sz w:val="20"/>
          <w:szCs w:val="20"/>
          <w:lang w:val="es-VE"/>
        </w:rPr>
        <w:t>es preciso que sean efectivos, es decir que deben brindar a la persona la posibilidad real de interponer un recurso sencillo y rápido que permita alcanzar la protección judicial requerida. La Corte Interamericana ha indicado que la existencia de estas garantías constituye uno de los pilares básicos, no solo de la Convención Americana, sino del propio Estado de Derecho en una sociedad democrática en el sentido de la Convención</w:t>
      </w:r>
      <w:r w:rsidRPr="00A63957">
        <w:rPr>
          <w:rStyle w:val="FootnoteReference"/>
          <w:rFonts w:asciiTheme="majorHAnsi" w:hAnsiTheme="majorHAnsi"/>
          <w:sz w:val="20"/>
          <w:szCs w:val="20"/>
          <w:lang w:val="es-VE"/>
        </w:rPr>
        <w:footnoteReference w:id="76"/>
      </w:r>
      <w:r w:rsidRPr="00A63957">
        <w:rPr>
          <w:rFonts w:asciiTheme="majorHAnsi" w:hAnsiTheme="majorHAnsi"/>
          <w:sz w:val="20"/>
          <w:szCs w:val="20"/>
          <w:lang w:val="es-VE"/>
        </w:rPr>
        <w:t>.</w:t>
      </w:r>
    </w:p>
    <w:p w:rsidR="00C0443E" w:rsidRPr="00A63957" w:rsidRDefault="00C0443E" w:rsidP="00C0443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lang w:val="es-VE"/>
        </w:rPr>
      </w:pPr>
    </w:p>
    <w:p w:rsidR="00C0443E" w:rsidRPr="00BB0FAF" w:rsidRDefault="00223DA9" w:rsidP="00167C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b/>
          <w:sz w:val="20"/>
          <w:szCs w:val="20"/>
          <w:lang w:val="es-VE"/>
        </w:rPr>
      </w:pPr>
      <w:r>
        <w:rPr>
          <w:rFonts w:asciiTheme="majorHAnsi" w:hAnsiTheme="majorHAnsi"/>
          <w:sz w:val="20"/>
          <w:szCs w:val="20"/>
          <w:lang w:val="es-VE"/>
        </w:rPr>
        <w:t xml:space="preserve">La Comisión y la Corte han indicado que </w:t>
      </w:r>
      <w:r w:rsidR="00C0443E" w:rsidRPr="00A63957">
        <w:rPr>
          <w:rFonts w:asciiTheme="majorHAnsi" w:hAnsiTheme="majorHAnsi"/>
          <w:sz w:val="20"/>
          <w:szCs w:val="20"/>
          <w:lang w:val="es-VE"/>
        </w:rPr>
        <w:t>en el caso de un recurso que controvierte la privación de libertad, el análisis por la autoridad competente no puede reducirse a una mera formalidad, sino debe examinar las razones invocadas por el demandante y manifestarse expresamente sobre ellas, de acuerdo a los parámetros establecidos por la Convención Americana</w:t>
      </w:r>
      <w:r w:rsidR="00C0443E" w:rsidRPr="00A63957">
        <w:rPr>
          <w:rStyle w:val="FootnoteReference"/>
          <w:rFonts w:asciiTheme="majorHAnsi" w:hAnsiTheme="majorHAnsi"/>
          <w:sz w:val="20"/>
          <w:szCs w:val="20"/>
          <w:lang w:val="es-VE"/>
        </w:rPr>
        <w:footnoteReference w:id="77"/>
      </w:r>
      <w:r w:rsidR="00C0443E" w:rsidRPr="00A63957">
        <w:rPr>
          <w:rFonts w:asciiTheme="majorHAnsi" w:hAnsiTheme="majorHAnsi"/>
          <w:sz w:val="20"/>
          <w:szCs w:val="20"/>
          <w:lang w:val="es-VE"/>
        </w:rPr>
        <w:t>.</w:t>
      </w:r>
      <w:r w:rsidR="002926CB" w:rsidRPr="00A63957">
        <w:rPr>
          <w:rFonts w:asciiTheme="majorHAnsi" w:hAnsiTheme="majorHAnsi"/>
          <w:b/>
          <w:sz w:val="20"/>
          <w:szCs w:val="20"/>
          <w:lang w:val="es-VE"/>
        </w:rPr>
        <w:t xml:space="preserve"> </w:t>
      </w:r>
      <w:r w:rsidR="00D27B82" w:rsidRPr="00167C91">
        <w:rPr>
          <w:rFonts w:asciiTheme="majorHAnsi" w:hAnsiTheme="majorHAnsi"/>
          <w:sz w:val="20"/>
          <w:szCs w:val="20"/>
          <w:lang w:val="es-VE"/>
        </w:rPr>
        <w:t>Como ha indicado la Comisión, e</w:t>
      </w:r>
      <w:r w:rsidR="00C0443E" w:rsidRPr="00167C91">
        <w:rPr>
          <w:rFonts w:asciiTheme="majorHAnsi" w:hAnsiTheme="majorHAnsi"/>
          <w:sz w:val="20"/>
          <w:szCs w:val="20"/>
          <w:lang w:val="es-VE"/>
        </w:rPr>
        <w:t>l control jurisdiccional de la detención impuesta a través de la prisión preventiva no se refiere exclusivamente a las circunstancias de la detención, sino también a la continuidad de la misma, toda vez que corresponde al juzgador “garantizar los derechos del detenido, autorizar la adopción de medidas cautelares o de coerción, cuando sea estrictamente necesario, y procurar, en general, que se trate al inculpado de manera consecuente con la presunción de inocencia”</w:t>
      </w:r>
      <w:r w:rsidR="00C0443E" w:rsidRPr="00A63957">
        <w:rPr>
          <w:rStyle w:val="FootnoteReference"/>
          <w:rFonts w:asciiTheme="majorHAnsi" w:hAnsiTheme="majorHAnsi"/>
          <w:sz w:val="20"/>
          <w:szCs w:val="20"/>
          <w:lang w:val="es-VE"/>
        </w:rPr>
        <w:footnoteReference w:id="78"/>
      </w:r>
      <w:r w:rsidR="00C0443E" w:rsidRPr="00167C91">
        <w:rPr>
          <w:rFonts w:asciiTheme="majorHAnsi" w:hAnsiTheme="majorHAnsi"/>
          <w:sz w:val="20"/>
          <w:szCs w:val="20"/>
          <w:lang w:val="es-VE"/>
        </w:rPr>
        <w:t xml:space="preserve">. </w:t>
      </w:r>
    </w:p>
    <w:p w:rsidR="00BB0FAF" w:rsidRDefault="00BB0FAF" w:rsidP="00BB0FAF">
      <w:pPr>
        <w:pStyle w:val="ListParagraph"/>
        <w:rPr>
          <w:rFonts w:asciiTheme="majorHAnsi" w:hAnsiTheme="majorHAnsi"/>
          <w:b/>
          <w:sz w:val="20"/>
          <w:szCs w:val="20"/>
          <w:lang w:val="es-VE"/>
        </w:rPr>
      </w:pPr>
    </w:p>
    <w:p w:rsidR="00C0443E" w:rsidRPr="00542560" w:rsidRDefault="00BB0FAF" w:rsidP="005425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b/>
          <w:sz w:val="20"/>
          <w:szCs w:val="20"/>
          <w:lang w:val="es-VE"/>
        </w:rPr>
      </w:pPr>
      <w:r>
        <w:rPr>
          <w:rFonts w:asciiTheme="majorHAnsi" w:eastAsia="Times New Roman" w:hAnsiTheme="majorHAnsi"/>
          <w:sz w:val="20"/>
          <w:szCs w:val="20"/>
          <w:lang w:val="es-ES"/>
        </w:rPr>
        <w:t>L</w:t>
      </w:r>
      <w:r w:rsidRPr="00B56CF7">
        <w:rPr>
          <w:rFonts w:asciiTheme="majorHAnsi" w:eastAsia="Times New Roman" w:hAnsiTheme="majorHAnsi"/>
          <w:sz w:val="20"/>
          <w:szCs w:val="20"/>
          <w:lang w:val="es-ES"/>
        </w:rPr>
        <w:t xml:space="preserve">a Comisión recuerda que en virtud del artículo 2 de la Convención Americana los Estados deben adoptar las medidas legislativas o de otro carácter que sean necesarias para hacer efectivos los derechos y libertades reconocidos en la Convención. Ello implica que los Estados Partes en la Convención no pueden dictar medidas que violen los derechos en ella consagrados; en virtud del carácter perentorio del principio básico de la igualdad y no discriminación “los Estados tienen la obligación de no introducir en su </w:t>
      </w:r>
      <w:r w:rsidRPr="00B56CF7">
        <w:rPr>
          <w:rFonts w:asciiTheme="majorHAnsi" w:eastAsia="Times New Roman" w:hAnsiTheme="majorHAnsi"/>
          <w:sz w:val="20"/>
          <w:szCs w:val="20"/>
          <w:lang w:val="es-ES"/>
        </w:rPr>
        <w:lastRenderedPageBreak/>
        <w:t>ordenamiento jurídico regulaciones discriminatorias, de eliminar de dicho ordenamiento las regulaciones de carácter discriminatorio y de combatir las prácticas discriminatorias</w:t>
      </w:r>
      <w:r w:rsidRPr="00B56CF7">
        <w:rPr>
          <w:rStyle w:val="FootnoteReference"/>
          <w:rFonts w:asciiTheme="majorHAnsi" w:eastAsia="Times New Roman" w:hAnsiTheme="majorHAnsi"/>
          <w:sz w:val="20"/>
          <w:szCs w:val="20"/>
          <w:lang w:val="es-ES"/>
        </w:rPr>
        <w:footnoteReference w:id="79"/>
      </w:r>
      <w:r w:rsidRPr="00B56CF7">
        <w:rPr>
          <w:rFonts w:asciiTheme="majorHAnsi" w:eastAsia="Times New Roman" w:hAnsiTheme="majorHAnsi"/>
          <w:sz w:val="20"/>
          <w:szCs w:val="20"/>
          <w:lang w:val="es-ES"/>
        </w:rPr>
        <w:t>.</w:t>
      </w:r>
    </w:p>
    <w:p w:rsidR="00FF289C" w:rsidRPr="00EE24AD" w:rsidRDefault="00FF289C" w:rsidP="00EE24AD">
      <w:pPr>
        <w:pStyle w:val="Heading3"/>
        <w:numPr>
          <w:ilvl w:val="1"/>
          <w:numId w:val="55"/>
        </w:numPr>
        <w:tabs>
          <w:tab w:val="clear" w:pos="1800"/>
          <w:tab w:val="num" w:pos="720"/>
        </w:tabs>
        <w:ind w:left="720" w:firstLine="0"/>
        <w:rPr>
          <w:color w:val="auto"/>
          <w:sz w:val="20"/>
          <w:szCs w:val="20"/>
          <w:lang w:val="es-VE"/>
        </w:rPr>
      </w:pPr>
      <w:bookmarkStart w:id="73" w:name="_Toc469409099"/>
      <w:r w:rsidRPr="00EE24AD">
        <w:rPr>
          <w:color w:val="auto"/>
          <w:sz w:val="20"/>
          <w:szCs w:val="20"/>
          <w:lang w:val="es-VE"/>
        </w:rPr>
        <w:t>Análisis del caso</w:t>
      </w:r>
      <w:bookmarkEnd w:id="73"/>
      <w:r w:rsidRPr="00EE24AD">
        <w:rPr>
          <w:color w:val="auto"/>
          <w:sz w:val="20"/>
          <w:szCs w:val="20"/>
          <w:lang w:val="es-VE"/>
        </w:rPr>
        <w:tab/>
      </w:r>
    </w:p>
    <w:p w:rsidR="00FF289C" w:rsidRDefault="00FF289C" w:rsidP="00956DE9">
      <w:pPr>
        <w:pStyle w:val="ListParagraph"/>
        <w:rPr>
          <w:rFonts w:asciiTheme="majorHAnsi" w:hAnsiTheme="majorHAnsi"/>
          <w:sz w:val="20"/>
          <w:szCs w:val="20"/>
          <w:lang w:val="es-CO"/>
        </w:rPr>
      </w:pPr>
    </w:p>
    <w:p w:rsidR="002E24FF" w:rsidRPr="0062236D" w:rsidRDefault="005A702E" w:rsidP="002E24F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Pr>
          <w:rFonts w:asciiTheme="majorHAnsi" w:hAnsiTheme="majorHAnsi"/>
          <w:sz w:val="20"/>
          <w:szCs w:val="20"/>
          <w:lang w:val="es-CO"/>
        </w:rPr>
        <w:t>La Comisión se referirá en primer lugar a la motivación de la detención preventiva impuesta al señor Jenkins. Al respecto, l</w:t>
      </w:r>
      <w:r w:rsidR="002E24FF" w:rsidRPr="00B56CF7">
        <w:rPr>
          <w:rFonts w:asciiTheme="majorHAnsi" w:hAnsiTheme="majorHAnsi"/>
          <w:sz w:val="20"/>
          <w:szCs w:val="20"/>
          <w:lang w:val="es-VE"/>
        </w:rPr>
        <w:t xml:space="preserve">a Comisión no cuenta con la decisión mediante la cual se dispuso la detención preventiva inicialmente, a fin de constatar la motivación </w:t>
      </w:r>
      <w:r w:rsidR="00FE0043">
        <w:rPr>
          <w:rFonts w:asciiTheme="majorHAnsi" w:hAnsiTheme="majorHAnsi"/>
          <w:sz w:val="20"/>
          <w:szCs w:val="20"/>
          <w:lang w:val="es-VE"/>
        </w:rPr>
        <w:t xml:space="preserve">original </w:t>
      </w:r>
      <w:r w:rsidR="002E24FF" w:rsidRPr="00B56CF7">
        <w:rPr>
          <w:rFonts w:asciiTheme="majorHAnsi" w:hAnsiTheme="majorHAnsi"/>
          <w:sz w:val="20"/>
          <w:szCs w:val="20"/>
          <w:lang w:val="es-VE"/>
        </w:rPr>
        <w:t xml:space="preserve">de la misma y, en especial, si persiguió fines procesales y cuáles fueron dichos fines. </w:t>
      </w:r>
    </w:p>
    <w:p w:rsidR="002E24FF" w:rsidRPr="0062236D" w:rsidRDefault="002E24FF" w:rsidP="002E24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p>
    <w:p w:rsidR="001B2FBE" w:rsidRPr="001B2FBE" w:rsidRDefault="002E24FF" w:rsidP="001B2FB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B56CF7">
        <w:rPr>
          <w:rFonts w:asciiTheme="majorHAnsi" w:hAnsiTheme="majorHAnsi"/>
          <w:sz w:val="20"/>
          <w:szCs w:val="20"/>
          <w:lang w:val="es-VE"/>
        </w:rPr>
        <w:t xml:space="preserve">Sin embargo, </w:t>
      </w:r>
      <w:r w:rsidRPr="002E24FF">
        <w:rPr>
          <w:rFonts w:asciiTheme="majorHAnsi" w:hAnsiTheme="majorHAnsi"/>
          <w:sz w:val="20"/>
          <w:szCs w:val="20"/>
          <w:lang w:val="es-VE"/>
        </w:rPr>
        <w:t>la Comisión destaca la decisión de 30 de abril de 2007 referida</w:t>
      </w:r>
      <w:r w:rsidR="00ED022D">
        <w:rPr>
          <w:rFonts w:asciiTheme="majorHAnsi" w:hAnsiTheme="majorHAnsi"/>
          <w:sz w:val="20"/>
          <w:szCs w:val="20"/>
          <w:lang w:val="es-VE"/>
        </w:rPr>
        <w:t xml:space="preserve"> en la sección de hechos probados</w:t>
      </w:r>
      <w:r w:rsidR="001E2374">
        <w:rPr>
          <w:rFonts w:asciiTheme="majorHAnsi" w:hAnsiTheme="majorHAnsi"/>
          <w:sz w:val="20"/>
          <w:szCs w:val="20"/>
          <w:lang w:val="es-VE"/>
        </w:rPr>
        <w:t>,</w:t>
      </w:r>
      <w:r w:rsidR="00ED022D">
        <w:rPr>
          <w:rFonts w:asciiTheme="majorHAnsi" w:hAnsiTheme="majorHAnsi"/>
          <w:sz w:val="20"/>
          <w:szCs w:val="20"/>
          <w:lang w:val="es-VE"/>
        </w:rPr>
        <w:t xml:space="preserve"> </w:t>
      </w:r>
      <w:r w:rsidRPr="002E24FF">
        <w:rPr>
          <w:rFonts w:asciiTheme="majorHAnsi" w:hAnsiTheme="majorHAnsi"/>
          <w:sz w:val="20"/>
          <w:szCs w:val="20"/>
          <w:lang w:val="es-VE"/>
        </w:rPr>
        <w:t xml:space="preserve">mediante la cual se rechazó la acción de daños y perjuicios interpuesta por el señor Jenkins. En dicha decisión, la Jueza Federal de Primera Instancia en lo Contencioso Administrativo No. 10 indicó que la detención preventiva no fue arbitraria ni infundada “porque para dictarlo no sólo se tuvo en cuenta la conversación a que se refiere el </w:t>
      </w:r>
      <w:proofErr w:type="spellStart"/>
      <w:r w:rsidRPr="002E24FF">
        <w:rPr>
          <w:rFonts w:asciiTheme="majorHAnsi" w:hAnsiTheme="majorHAnsi"/>
          <w:sz w:val="20"/>
          <w:szCs w:val="20"/>
          <w:lang w:val="es-VE"/>
        </w:rPr>
        <w:t>cassete</w:t>
      </w:r>
      <w:proofErr w:type="spellEnd"/>
      <w:r w:rsidRPr="002E24FF">
        <w:rPr>
          <w:rFonts w:asciiTheme="majorHAnsi" w:hAnsiTheme="majorHAnsi"/>
          <w:sz w:val="20"/>
          <w:szCs w:val="20"/>
          <w:lang w:val="es-VE"/>
        </w:rPr>
        <w:t xml:space="preserve"> No. 40 sino diversos elementos probatorios que convencieron al juez para dictar la medida preventiva”</w:t>
      </w:r>
      <w:r w:rsidRPr="002E24FF">
        <w:rPr>
          <w:rStyle w:val="FootnoteReference"/>
          <w:rFonts w:asciiTheme="majorHAnsi" w:hAnsiTheme="majorHAnsi"/>
          <w:sz w:val="20"/>
          <w:szCs w:val="20"/>
          <w:lang w:val="es-VE"/>
        </w:rPr>
        <w:footnoteReference w:id="80"/>
      </w:r>
      <w:r w:rsidRPr="002E24FF">
        <w:rPr>
          <w:rFonts w:asciiTheme="majorHAnsi" w:hAnsiTheme="majorHAnsi"/>
          <w:sz w:val="20"/>
          <w:szCs w:val="20"/>
          <w:lang w:val="es-VE"/>
        </w:rPr>
        <w:t>. En segundo lugar, la Comisión considera que el propio texto del artículo 10 de la Ley 24.390 que negaba la posibilidad de excarcelación a personas procesadas por delitos como la tenencia de estupefacientes, permite considerar que para estos casos la detención preventiva operaba de manera automática.</w:t>
      </w:r>
      <w:r w:rsidR="00CC2EBF">
        <w:rPr>
          <w:rFonts w:asciiTheme="majorHAnsi" w:hAnsiTheme="majorHAnsi"/>
          <w:sz w:val="20"/>
          <w:szCs w:val="20"/>
          <w:lang w:val="es-VE"/>
        </w:rPr>
        <w:t xml:space="preserve"> Como se analiza más adelante, esta automaticidad se vio reflejada en las decisiones neg</w:t>
      </w:r>
      <w:r w:rsidR="00363417">
        <w:rPr>
          <w:rFonts w:asciiTheme="majorHAnsi" w:hAnsiTheme="majorHAnsi"/>
          <w:sz w:val="20"/>
          <w:szCs w:val="20"/>
          <w:lang w:val="es-VE"/>
        </w:rPr>
        <w:t>a</w:t>
      </w:r>
      <w:r w:rsidR="00CC2EBF">
        <w:rPr>
          <w:rFonts w:asciiTheme="majorHAnsi" w:hAnsiTheme="majorHAnsi"/>
          <w:sz w:val="20"/>
          <w:szCs w:val="20"/>
          <w:lang w:val="es-VE"/>
        </w:rPr>
        <w:t>tivas de revisión de la detención que se basaron precisamente en dicha norma.</w:t>
      </w:r>
      <w:r w:rsidRPr="002E24FF">
        <w:rPr>
          <w:rFonts w:asciiTheme="majorHAnsi" w:hAnsiTheme="majorHAnsi"/>
          <w:sz w:val="20"/>
          <w:szCs w:val="20"/>
          <w:lang w:val="es-VE"/>
        </w:rPr>
        <w:t xml:space="preserve"> </w:t>
      </w:r>
      <w:r w:rsidRPr="001B2FBE">
        <w:rPr>
          <w:rFonts w:asciiTheme="majorHAnsi" w:hAnsiTheme="majorHAnsi"/>
          <w:sz w:val="20"/>
          <w:szCs w:val="20"/>
          <w:lang w:val="es-VE"/>
        </w:rPr>
        <w:t>A estos dos puntos se suma que el Estado no indicó ante la CIDH que la detención preventiva persiguiera fines procesales ni aportó documentación al respecto.</w:t>
      </w:r>
    </w:p>
    <w:p w:rsidR="001B2FBE" w:rsidRDefault="001B2FBE" w:rsidP="001B2FBE">
      <w:pPr>
        <w:pStyle w:val="ListParagraph"/>
        <w:rPr>
          <w:rFonts w:asciiTheme="majorHAnsi" w:hAnsiTheme="majorHAnsi"/>
          <w:sz w:val="20"/>
          <w:szCs w:val="20"/>
          <w:lang w:val="es-VE"/>
        </w:rPr>
      </w:pPr>
    </w:p>
    <w:p w:rsidR="002E24FF" w:rsidRPr="001B2FBE" w:rsidRDefault="002E24FF" w:rsidP="001B2FB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1B2FBE">
        <w:rPr>
          <w:rFonts w:asciiTheme="majorHAnsi" w:hAnsiTheme="majorHAnsi"/>
          <w:sz w:val="20"/>
          <w:szCs w:val="20"/>
          <w:lang w:val="es-VE"/>
        </w:rPr>
        <w:t>Con base en estos tres elementos, tomados en su conjunto, la Comisión considera razonable inferir que no existió una motivación individualizada sobre los fines procesales perseguidos mediante la detención preventiva y que, por el contrario, la misma tuvo como base la existencia</w:t>
      </w:r>
      <w:r w:rsidR="008C60FD">
        <w:rPr>
          <w:rFonts w:asciiTheme="majorHAnsi" w:hAnsiTheme="majorHAnsi"/>
          <w:sz w:val="20"/>
          <w:szCs w:val="20"/>
          <w:lang w:val="es-VE"/>
        </w:rPr>
        <w:t xml:space="preserve"> de indicios de responsabilidad, constituyéndose en una </w:t>
      </w:r>
      <w:r w:rsidR="00A2128F">
        <w:rPr>
          <w:rFonts w:asciiTheme="majorHAnsi" w:hAnsiTheme="majorHAnsi"/>
          <w:sz w:val="20"/>
          <w:szCs w:val="20"/>
          <w:lang w:val="es-VE"/>
        </w:rPr>
        <w:t xml:space="preserve">anticipación de la pena y no una medida cautelar. </w:t>
      </w:r>
    </w:p>
    <w:p w:rsidR="001B2FBE" w:rsidRDefault="001B2FBE" w:rsidP="001B2FBE">
      <w:pPr>
        <w:pStyle w:val="ListParagraph"/>
        <w:rPr>
          <w:rFonts w:asciiTheme="majorHAnsi" w:eastAsia="Times New Roman" w:hAnsiTheme="majorHAnsi"/>
          <w:sz w:val="20"/>
          <w:szCs w:val="20"/>
          <w:bdr w:val="none" w:sz="0" w:space="0" w:color="auto"/>
          <w:lang w:val="es-AR"/>
        </w:rPr>
      </w:pPr>
    </w:p>
    <w:p w:rsidR="00912BD6" w:rsidRDefault="001B2FBE" w:rsidP="001B2FB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Pr>
          <w:rFonts w:asciiTheme="majorHAnsi" w:eastAsia="Times New Roman" w:hAnsiTheme="majorHAnsi"/>
          <w:sz w:val="20"/>
          <w:szCs w:val="20"/>
          <w:bdr w:val="none" w:sz="0" w:space="0" w:color="auto"/>
          <w:lang w:val="es-AR"/>
        </w:rPr>
        <w:t xml:space="preserve">En consecuencia, conforme a los estándares descritos, la Comisión concluye que desde su inicio la detención preventiva del señor Jenkins fue arbitraria y </w:t>
      </w:r>
      <w:r w:rsidR="00014193">
        <w:rPr>
          <w:rFonts w:asciiTheme="majorHAnsi" w:eastAsia="Times New Roman" w:hAnsiTheme="majorHAnsi"/>
          <w:sz w:val="20"/>
          <w:szCs w:val="20"/>
          <w:bdr w:val="none" w:sz="0" w:space="0" w:color="auto"/>
          <w:lang w:val="es-AR"/>
        </w:rPr>
        <w:t xml:space="preserve">desconoció el </w:t>
      </w:r>
      <w:r>
        <w:rPr>
          <w:rFonts w:asciiTheme="majorHAnsi" w:eastAsia="Times New Roman" w:hAnsiTheme="majorHAnsi"/>
          <w:sz w:val="20"/>
          <w:szCs w:val="20"/>
          <w:bdr w:val="none" w:sz="0" w:space="0" w:color="auto"/>
          <w:lang w:val="es-AR"/>
        </w:rPr>
        <w:t>principio de presunci</w:t>
      </w:r>
      <w:r w:rsidR="00014193">
        <w:rPr>
          <w:rFonts w:asciiTheme="majorHAnsi" w:eastAsia="Times New Roman" w:hAnsiTheme="majorHAnsi"/>
          <w:sz w:val="20"/>
          <w:szCs w:val="20"/>
          <w:bdr w:val="none" w:sz="0" w:space="0" w:color="auto"/>
          <w:lang w:val="es-AR"/>
        </w:rPr>
        <w:t>ón de inocencia, en violación de los art</w:t>
      </w:r>
      <w:r w:rsidR="00267244">
        <w:rPr>
          <w:rFonts w:asciiTheme="majorHAnsi" w:eastAsia="Times New Roman" w:hAnsiTheme="majorHAnsi"/>
          <w:sz w:val="20"/>
          <w:szCs w:val="20"/>
          <w:bdr w:val="none" w:sz="0" w:space="0" w:color="auto"/>
          <w:lang w:val="es-AR"/>
        </w:rPr>
        <w:t>ículos 7.3 y 8.2 de la Convenci</w:t>
      </w:r>
      <w:r w:rsidR="001E2910">
        <w:rPr>
          <w:rFonts w:asciiTheme="majorHAnsi" w:eastAsia="Times New Roman" w:hAnsiTheme="majorHAnsi"/>
          <w:sz w:val="20"/>
          <w:szCs w:val="20"/>
          <w:bdr w:val="none" w:sz="0" w:space="0" w:color="auto"/>
          <w:lang w:val="es-AR"/>
        </w:rPr>
        <w:t xml:space="preserve">ón. </w:t>
      </w:r>
    </w:p>
    <w:p w:rsidR="00912BD6" w:rsidRDefault="00912BD6" w:rsidP="00912BD6">
      <w:pPr>
        <w:pStyle w:val="ListParagraph"/>
        <w:rPr>
          <w:rFonts w:asciiTheme="majorHAnsi" w:eastAsia="Times New Roman" w:hAnsiTheme="majorHAnsi"/>
          <w:sz w:val="20"/>
          <w:szCs w:val="20"/>
          <w:bdr w:val="none" w:sz="0" w:space="0" w:color="auto"/>
          <w:lang w:val="es-AR"/>
        </w:rPr>
      </w:pPr>
    </w:p>
    <w:p w:rsidR="001B2FBE" w:rsidRDefault="00912BD6" w:rsidP="001B2FB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Pr>
          <w:rFonts w:asciiTheme="majorHAnsi" w:eastAsia="Times New Roman" w:hAnsiTheme="majorHAnsi"/>
          <w:sz w:val="20"/>
          <w:szCs w:val="20"/>
          <w:bdr w:val="none" w:sz="0" w:space="0" w:color="auto"/>
          <w:lang w:val="es-AR"/>
        </w:rPr>
        <w:t>La Comisión pasa a referirse</w:t>
      </w:r>
      <w:r w:rsidR="00765533">
        <w:rPr>
          <w:rFonts w:asciiTheme="majorHAnsi" w:eastAsia="Times New Roman" w:hAnsiTheme="majorHAnsi"/>
          <w:sz w:val="20"/>
          <w:szCs w:val="20"/>
          <w:bdr w:val="none" w:sz="0" w:space="0" w:color="auto"/>
          <w:lang w:val="es-AR"/>
        </w:rPr>
        <w:t>,</w:t>
      </w:r>
      <w:r>
        <w:rPr>
          <w:rFonts w:asciiTheme="majorHAnsi" w:eastAsia="Times New Roman" w:hAnsiTheme="majorHAnsi"/>
          <w:sz w:val="20"/>
          <w:szCs w:val="20"/>
          <w:bdr w:val="none" w:sz="0" w:space="0" w:color="auto"/>
          <w:lang w:val="es-AR"/>
        </w:rPr>
        <w:t xml:space="preserve"> en segundo lugar</w:t>
      </w:r>
      <w:r w:rsidR="00765533">
        <w:rPr>
          <w:rFonts w:asciiTheme="majorHAnsi" w:eastAsia="Times New Roman" w:hAnsiTheme="majorHAnsi"/>
          <w:sz w:val="20"/>
          <w:szCs w:val="20"/>
          <w:bdr w:val="none" w:sz="0" w:space="0" w:color="auto"/>
          <w:lang w:val="es-AR"/>
        </w:rPr>
        <w:t>,</w:t>
      </w:r>
      <w:r>
        <w:rPr>
          <w:rFonts w:asciiTheme="majorHAnsi" w:eastAsia="Times New Roman" w:hAnsiTheme="majorHAnsi"/>
          <w:sz w:val="20"/>
          <w:szCs w:val="20"/>
          <w:bdr w:val="none" w:sz="0" w:space="0" w:color="auto"/>
          <w:lang w:val="es-AR"/>
        </w:rPr>
        <w:t xml:space="preserve"> a la duración de la detención preventiva en el presente caso. </w:t>
      </w:r>
      <w:r w:rsidR="004A0972">
        <w:rPr>
          <w:rFonts w:asciiTheme="majorHAnsi" w:eastAsia="Times New Roman" w:hAnsiTheme="majorHAnsi"/>
          <w:sz w:val="20"/>
          <w:szCs w:val="20"/>
          <w:bdr w:val="none" w:sz="0" w:space="0" w:color="auto"/>
          <w:lang w:val="es-AR"/>
        </w:rPr>
        <w:t>Según lo establecido en los hechos probados, el señor Jenkins estuvo privado de su libertad en detención preventiva</w:t>
      </w:r>
      <w:r w:rsidR="00394C06">
        <w:rPr>
          <w:rFonts w:asciiTheme="majorHAnsi" w:eastAsia="Times New Roman" w:hAnsiTheme="majorHAnsi"/>
          <w:sz w:val="20"/>
          <w:szCs w:val="20"/>
          <w:bdr w:val="none" w:sz="0" w:space="0" w:color="auto"/>
          <w:lang w:val="es-AR"/>
        </w:rPr>
        <w:t xml:space="preserve"> por tres años y cinco meses,</w:t>
      </w:r>
      <w:r w:rsidR="004A0972">
        <w:rPr>
          <w:rFonts w:asciiTheme="majorHAnsi" w:eastAsia="Times New Roman" w:hAnsiTheme="majorHAnsi"/>
          <w:sz w:val="20"/>
          <w:szCs w:val="20"/>
          <w:bdr w:val="none" w:sz="0" w:space="0" w:color="auto"/>
          <w:lang w:val="es-AR"/>
        </w:rPr>
        <w:t xml:space="preserve"> entre el 8 de junio de 199</w:t>
      </w:r>
      <w:r w:rsidR="00A42C9D">
        <w:rPr>
          <w:rFonts w:asciiTheme="majorHAnsi" w:eastAsia="Times New Roman" w:hAnsiTheme="majorHAnsi"/>
          <w:sz w:val="20"/>
          <w:szCs w:val="20"/>
          <w:bdr w:val="none" w:sz="0" w:space="0" w:color="auto"/>
          <w:lang w:val="es-AR"/>
        </w:rPr>
        <w:t xml:space="preserve">4 y el 13 de noviembre de 1997, siendo absuelto pocas semanas después de su liberación. </w:t>
      </w:r>
    </w:p>
    <w:p w:rsidR="00030BCE" w:rsidRDefault="00030BCE" w:rsidP="00030BCE">
      <w:pPr>
        <w:pStyle w:val="ListParagraph"/>
        <w:rPr>
          <w:rFonts w:asciiTheme="majorHAnsi" w:eastAsia="Times New Roman" w:hAnsiTheme="majorHAnsi"/>
          <w:sz w:val="20"/>
          <w:szCs w:val="20"/>
          <w:bdr w:val="none" w:sz="0" w:space="0" w:color="auto"/>
          <w:lang w:val="es-AR"/>
        </w:rPr>
      </w:pPr>
    </w:p>
    <w:p w:rsidR="00661472" w:rsidRDefault="00030BCE" w:rsidP="006614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sidRPr="00802E00">
        <w:rPr>
          <w:rFonts w:asciiTheme="majorHAnsi" w:eastAsia="Times New Roman" w:hAnsiTheme="majorHAnsi"/>
          <w:sz w:val="20"/>
          <w:szCs w:val="20"/>
          <w:bdr w:val="none" w:sz="0" w:space="0" w:color="auto"/>
          <w:lang w:val="es-AR"/>
        </w:rPr>
        <w:t xml:space="preserve">Al respecto, la Comisión observa que durante dicho lapso no se efectuó de oficio una revisión periódica sobre la necesidad de mantener la detención preventiva. Tal como se indicará más adelante, </w:t>
      </w:r>
      <w:r w:rsidR="00C9312E" w:rsidRPr="00802E00">
        <w:rPr>
          <w:rFonts w:asciiTheme="majorHAnsi" w:eastAsia="Times New Roman" w:hAnsiTheme="majorHAnsi"/>
          <w:sz w:val="20"/>
          <w:szCs w:val="20"/>
          <w:bdr w:val="none" w:sz="0" w:space="0" w:color="auto"/>
          <w:lang w:val="es-AR"/>
        </w:rPr>
        <w:t>e</w:t>
      </w:r>
      <w:r w:rsidRPr="00802E00">
        <w:rPr>
          <w:rFonts w:asciiTheme="majorHAnsi" w:eastAsia="Times New Roman" w:hAnsiTheme="majorHAnsi"/>
          <w:sz w:val="20"/>
          <w:szCs w:val="20"/>
          <w:bdr w:val="none" w:sz="0" w:space="0" w:color="auto"/>
          <w:lang w:val="es-AR"/>
        </w:rPr>
        <w:t xml:space="preserve">sta revisión tampoco fue efectuada en el marco de </w:t>
      </w:r>
      <w:r w:rsidR="00C9312E" w:rsidRPr="00802E00">
        <w:rPr>
          <w:rFonts w:asciiTheme="majorHAnsi" w:eastAsia="Times New Roman" w:hAnsiTheme="majorHAnsi"/>
          <w:sz w:val="20"/>
          <w:szCs w:val="20"/>
          <w:bdr w:val="none" w:sz="0" w:space="0" w:color="auto"/>
          <w:lang w:val="es-AR"/>
        </w:rPr>
        <w:t xml:space="preserve">los recursos interpuestos por el señor Jenkins para cuestionar su privación de libertad. Ante la Comisión Interamericana el Estado de Argentina </w:t>
      </w:r>
      <w:r w:rsidR="00B242EF" w:rsidRPr="00802E00">
        <w:rPr>
          <w:rFonts w:asciiTheme="majorHAnsi" w:eastAsia="Times New Roman" w:hAnsiTheme="majorHAnsi"/>
          <w:sz w:val="20"/>
          <w:szCs w:val="20"/>
          <w:bdr w:val="none" w:sz="0" w:space="0" w:color="auto"/>
          <w:lang w:val="es-AR"/>
        </w:rPr>
        <w:t xml:space="preserve">se refirió a las </w:t>
      </w:r>
      <w:r w:rsidR="00802E00" w:rsidRPr="00802E00">
        <w:rPr>
          <w:rFonts w:asciiTheme="majorHAnsi" w:eastAsia="Times New Roman" w:hAnsiTheme="majorHAnsi"/>
          <w:sz w:val="20"/>
          <w:szCs w:val="20"/>
          <w:bdr w:val="none" w:sz="0" w:space="0" w:color="auto"/>
          <w:lang w:val="es-AR"/>
        </w:rPr>
        <w:t>decisiones</w:t>
      </w:r>
      <w:r w:rsidR="00B242EF" w:rsidRPr="00802E00">
        <w:rPr>
          <w:rFonts w:asciiTheme="majorHAnsi" w:eastAsia="Times New Roman" w:hAnsiTheme="majorHAnsi"/>
          <w:sz w:val="20"/>
          <w:szCs w:val="20"/>
          <w:bdr w:val="none" w:sz="0" w:space="0" w:color="auto"/>
          <w:lang w:val="es-AR"/>
        </w:rPr>
        <w:t xml:space="preserve"> judiciales a nivel interno sin ofrecer otra explicación o elementos adicionales. </w:t>
      </w:r>
    </w:p>
    <w:p w:rsidR="00EB762E" w:rsidRPr="00802E00" w:rsidRDefault="00EB762E" w:rsidP="00EB762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A06A2E" w:rsidRDefault="00661472" w:rsidP="001B2FB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Pr>
          <w:rFonts w:asciiTheme="majorHAnsi" w:eastAsia="Times New Roman" w:hAnsiTheme="majorHAnsi"/>
          <w:sz w:val="20"/>
          <w:szCs w:val="20"/>
          <w:bdr w:val="none" w:sz="0" w:space="0" w:color="auto"/>
          <w:lang w:val="es-AR"/>
        </w:rPr>
        <w:t>Por el contrario, el marco legal aplicable pone en evidencia que la duración de la detención preventiva del señor Jenk</w:t>
      </w:r>
      <w:r w:rsidR="00E22ED3">
        <w:rPr>
          <w:rFonts w:asciiTheme="majorHAnsi" w:eastAsia="Times New Roman" w:hAnsiTheme="majorHAnsi"/>
          <w:sz w:val="20"/>
          <w:szCs w:val="20"/>
          <w:bdr w:val="none" w:sz="0" w:space="0" w:color="auto"/>
          <w:lang w:val="es-AR"/>
        </w:rPr>
        <w:t>ins se basó en su aplicación automática y en la prohibición de excarcelación cuando se trataba de ciertos delitos, específicamente el de tr</w:t>
      </w:r>
      <w:r w:rsidR="00262CBD">
        <w:rPr>
          <w:rFonts w:asciiTheme="majorHAnsi" w:eastAsia="Times New Roman" w:hAnsiTheme="majorHAnsi"/>
          <w:sz w:val="20"/>
          <w:szCs w:val="20"/>
          <w:bdr w:val="none" w:sz="0" w:space="0" w:color="auto"/>
          <w:lang w:val="es-AR"/>
        </w:rPr>
        <w:t xml:space="preserve">áfico de estupefacientes. </w:t>
      </w:r>
      <w:r w:rsidR="00BF611D">
        <w:rPr>
          <w:rFonts w:asciiTheme="majorHAnsi" w:eastAsia="Times New Roman" w:hAnsiTheme="majorHAnsi"/>
          <w:sz w:val="20"/>
          <w:szCs w:val="20"/>
          <w:bdr w:val="none" w:sz="0" w:space="0" w:color="auto"/>
          <w:lang w:val="es-AR"/>
        </w:rPr>
        <w:t xml:space="preserve">En efecto, la Ley 24.390 establecía </w:t>
      </w:r>
      <w:r w:rsidR="00A95547">
        <w:rPr>
          <w:rFonts w:asciiTheme="majorHAnsi" w:eastAsia="Times New Roman" w:hAnsiTheme="majorHAnsi"/>
          <w:sz w:val="20"/>
          <w:szCs w:val="20"/>
          <w:bdr w:val="none" w:sz="0" w:space="0" w:color="auto"/>
          <w:lang w:val="es-AR"/>
        </w:rPr>
        <w:t xml:space="preserve">que “la prisión preventiva no podrá ser superior a dos años” y permitía prorrogarla por un año </w:t>
      </w:r>
      <w:r w:rsidR="00A95547">
        <w:rPr>
          <w:rFonts w:asciiTheme="majorHAnsi" w:eastAsia="Times New Roman" w:hAnsiTheme="majorHAnsi"/>
          <w:sz w:val="20"/>
          <w:szCs w:val="20"/>
          <w:bdr w:val="none" w:sz="0" w:space="0" w:color="auto"/>
          <w:lang w:val="es-AR"/>
        </w:rPr>
        <w:lastRenderedPageBreak/>
        <w:t>ad</w:t>
      </w:r>
      <w:r w:rsidR="001E2374">
        <w:rPr>
          <w:rFonts w:asciiTheme="majorHAnsi" w:eastAsia="Times New Roman" w:hAnsiTheme="majorHAnsi"/>
          <w:sz w:val="20"/>
          <w:szCs w:val="20"/>
          <w:bdr w:val="none" w:sz="0" w:space="0" w:color="auto"/>
          <w:lang w:val="es-AR"/>
        </w:rPr>
        <w:t>icional</w:t>
      </w:r>
      <w:r w:rsidR="00A95547">
        <w:rPr>
          <w:rFonts w:asciiTheme="majorHAnsi" w:eastAsia="Times New Roman" w:hAnsiTheme="majorHAnsi"/>
          <w:sz w:val="20"/>
          <w:szCs w:val="20"/>
          <w:bdr w:val="none" w:sz="0" w:space="0" w:color="auto"/>
          <w:lang w:val="es-AR"/>
        </w:rPr>
        <w:t xml:space="preserve"> en ciertos casos. </w:t>
      </w:r>
      <w:r w:rsidR="002E3015">
        <w:rPr>
          <w:rFonts w:asciiTheme="majorHAnsi" w:eastAsia="Times New Roman" w:hAnsiTheme="majorHAnsi"/>
          <w:sz w:val="20"/>
          <w:szCs w:val="20"/>
          <w:bdr w:val="none" w:sz="0" w:space="0" w:color="auto"/>
          <w:lang w:val="es-AR"/>
        </w:rPr>
        <w:t xml:space="preserve">Sin embargo, el artículo 10 de la misma Ley excluía de la aplicación del plazo máximo de detención preventiva el referido delito. </w:t>
      </w:r>
    </w:p>
    <w:p w:rsidR="00A06A2E" w:rsidRDefault="00A06A2E" w:rsidP="00A06A2E">
      <w:pPr>
        <w:pStyle w:val="ListParagraph"/>
        <w:rPr>
          <w:rFonts w:asciiTheme="majorHAnsi" w:eastAsia="Times New Roman" w:hAnsiTheme="majorHAnsi"/>
          <w:sz w:val="20"/>
          <w:szCs w:val="20"/>
          <w:bdr w:val="none" w:sz="0" w:space="0" w:color="auto"/>
          <w:lang w:val="es-AR"/>
        </w:rPr>
      </w:pPr>
    </w:p>
    <w:p w:rsidR="00661472" w:rsidRDefault="00262CBD" w:rsidP="001B2FB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bdr w:val="none" w:sz="0" w:space="0" w:color="auto"/>
          <w:lang w:val="es-AR"/>
        </w:rPr>
      </w:pPr>
      <w:r>
        <w:rPr>
          <w:rFonts w:asciiTheme="majorHAnsi" w:eastAsia="Times New Roman" w:hAnsiTheme="majorHAnsi"/>
          <w:sz w:val="20"/>
          <w:szCs w:val="20"/>
          <w:bdr w:val="none" w:sz="0" w:space="0" w:color="auto"/>
          <w:lang w:val="es-AR"/>
        </w:rPr>
        <w:t xml:space="preserve">En la siguiente sección del informe de fondo la CIDH se pronunciará sobre dicho marco normativo a la luz del principio de igualdad y no discriminación y el deber de adoptar disposiciones de derecho interno. </w:t>
      </w:r>
      <w:r w:rsidRPr="00A06A2E">
        <w:rPr>
          <w:rFonts w:asciiTheme="majorHAnsi" w:eastAsia="Times New Roman" w:hAnsiTheme="majorHAnsi"/>
          <w:sz w:val="20"/>
          <w:szCs w:val="20"/>
          <w:bdr w:val="none" w:sz="0" w:space="0" w:color="auto"/>
          <w:lang w:val="es-AR"/>
        </w:rPr>
        <w:t xml:space="preserve">En lo relevante para este punto, la Comisión concluye que la duración </w:t>
      </w:r>
      <w:r w:rsidR="00A06A2E">
        <w:rPr>
          <w:rFonts w:asciiTheme="majorHAnsi" w:eastAsia="Times New Roman" w:hAnsiTheme="majorHAnsi"/>
          <w:sz w:val="20"/>
          <w:szCs w:val="20"/>
          <w:bdr w:val="none" w:sz="0" w:space="0" w:color="auto"/>
          <w:lang w:val="es-AR"/>
        </w:rPr>
        <w:t xml:space="preserve">de tres años y cinco meses de la detención preventiva del señor Jenkins, </w:t>
      </w:r>
      <w:r w:rsidR="00916605">
        <w:rPr>
          <w:rFonts w:asciiTheme="majorHAnsi" w:eastAsia="Times New Roman" w:hAnsiTheme="majorHAnsi"/>
          <w:sz w:val="20"/>
          <w:szCs w:val="20"/>
          <w:bdr w:val="none" w:sz="0" w:space="0" w:color="auto"/>
          <w:lang w:val="es-AR"/>
        </w:rPr>
        <w:t>fue excesiva</w:t>
      </w:r>
      <w:r w:rsidR="008854BC">
        <w:rPr>
          <w:rFonts w:asciiTheme="majorHAnsi" w:eastAsia="Times New Roman" w:hAnsiTheme="majorHAnsi"/>
          <w:sz w:val="20"/>
          <w:szCs w:val="20"/>
          <w:bdr w:val="none" w:sz="0" w:space="0" w:color="auto"/>
          <w:lang w:val="es-AR"/>
        </w:rPr>
        <w:t xml:space="preserve"> en sus términos y de manera independiente a la existencia de dicho marco normativo, lo que </w:t>
      </w:r>
      <w:r w:rsidR="00916605">
        <w:rPr>
          <w:rFonts w:asciiTheme="majorHAnsi" w:eastAsia="Times New Roman" w:hAnsiTheme="majorHAnsi"/>
          <w:sz w:val="20"/>
          <w:szCs w:val="20"/>
          <w:bdr w:val="none" w:sz="0" w:space="0" w:color="auto"/>
          <w:lang w:val="es-AR"/>
        </w:rPr>
        <w:t>viol</w:t>
      </w:r>
      <w:r w:rsidR="008854BC">
        <w:rPr>
          <w:rFonts w:asciiTheme="majorHAnsi" w:eastAsia="Times New Roman" w:hAnsiTheme="majorHAnsi"/>
          <w:sz w:val="20"/>
          <w:szCs w:val="20"/>
          <w:bdr w:val="none" w:sz="0" w:space="0" w:color="auto"/>
          <w:lang w:val="es-AR"/>
        </w:rPr>
        <w:t>ó</w:t>
      </w:r>
      <w:r w:rsidR="00916605">
        <w:rPr>
          <w:rFonts w:asciiTheme="majorHAnsi" w:eastAsia="Times New Roman" w:hAnsiTheme="majorHAnsi"/>
          <w:sz w:val="20"/>
          <w:szCs w:val="20"/>
          <w:bdr w:val="none" w:sz="0" w:space="0" w:color="auto"/>
          <w:lang w:val="es-AR"/>
        </w:rPr>
        <w:t xml:space="preserve"> </w:t>
      </w:r>
      <w:r w:rsidR="001E2374">
        <w:rPr>
          <w:rFonts w:asciiTheme="majorHAnsi" w:eastAsia="Times New Roman" w:hAnsiTheme="majorHAnsi"/>
          <w:sz w:val="20"/>
          <w:szCs w:val="20"/>
          <w:bdr w:val="none" w:sz="0" w:space="0" w:color="auto"/>
          <w:lang w:val="es-AR"/>
        </w:rPr>
        <w:t>e</w:t>
      </w:r>
      <w:r w:rsidR="001E2374" w:rsidRPr="001E2374">
        <w:rPr>
          <w:rFonts w:asciiTheme="majorHAnsi" w:eastAsia="Times New Roman" w:hAnsiTheme="majorHAnsi"/>
          <w:sz w:val="20"/>
          <w:szCs w:val="20"/>
          <w:bdr w:val="none" w:sz="0" w:space="0" w:color="auto"/>
          <w:lang w:val="es-AR"/>
        </w:rPr>
        <w:t xml:space="preserve">l principio </w:t>
      </w:r>
      <w:r w:rsidR="00916605" w:rsidRPr="001E2374">
        <w:rPr>
          <w:rFonts w:asciiTheme="majorHAnsi" w:eastAsia="Times New Roman" w:hAnsiTheme="majorHAnsi"/>
          <w:sz w:val="20"/>
          <w:szCs w:val="20"/>
          <w:bdr w:val="none" w:sz="0" w:space="0" w:color="auto"/>
          <w:lang w:val="es-AR"/>
        </w:rPr>
        <w:t>de la razonabilidad</w:t>
      </w:r>
      <w:r w:rsidR="00916605">
        <w:rPr>
          <w:rFonts w:asciiTheme="majorHAnsi" w:eastAsia="Times New Roman" w:hAnsiTheme="majorHAnsi"/>
          <w:sz w:val="20"/>
          <w:szCs w:val="20"/>
          <w:bdr w:val="none" w:sz="0" w:space="0" w:color="auto"/>
          <w:lang w:val="es-AR"/>
        </w:rPr>
        <w:t xml:space="preserve"> establecida en el artículo 7.5 de la Convención. Asimismo, dicha detención constituyó una anticipación de la pena que podría aplicársele en caso de ser condenado, en violación del principio de presunción de inocencia contemplado en el artículo 8.2 de la Convención. </w:t>
      </w:r>
      <w:r w:rsidR="00550F89">
        <w:rPr>
          <w:rFonts w:asciiTheme="majorHAnsi" w:eastAsia="Times New Roman" w:hAnsiTheme="majorHAnsi"/>
          <w:sz w:val="20"/>
          <w:szCs w:val="20"/>
          <w:bdr w:val="none" w:sz="0" w:space="0" w:color="auto"/>
          <w:lang w:val="es-AR"/>
        </w:rPr>
        <w:t xml:space="preserve">Igualmente, esta demora también estuvo relacionada con el proceso penal en sí mismo y ante </w:t>
      </w:r>
      <w:r w:rsidR="001E2374">
        <w:rPr>
          <w:rFonts w:asciiTheme="majorHAnsi" w:eastAsia="Times New Roman" w:hAnsiTheme="majorHAnsi"/>
          <w:sz w:val="20"/>
          <w:szCs w:val="20"/>
          <w:bdr w:val="none" w:sz="0" w:space="0" w:color="auto"/>
          <w:lang w:val="es-AR"/>
        </w:rPr>
        <w:t xml:space="preserve">la </w:t>
      </w:r>
      <w:r w:rsidR="00550F89">
        <w:rPr>
          <w:rFonts w:asciiTheme="majorHAnsi" w:eastAsia="Times New Roman" w:hAnsiTheme="majorHAnsi"/>
          <w:sz w:val="20"/>
          <w:szCs w:val="20"/>
          <w:bdr w:val="none" w:sz="0" w:space="0" w:color="auto"/>
          <w:lang w:val="es-AR"/>
        </w:rPr>
        <w:t xml:space="preserve">falta de justificación por parte del Estado de la demora a la luz de los criterios tomados en cuenta reiteradamente en la jurisprudencia interamericana, la Comisión también considera que se violó la garantía de plazo razonable contenida en el artículo 8.1 de la Convención. </w:t>
      </w:r>
    </w:p>
    <w:p w:rsidR="00104EC4" w:rsidRDefault="00104EC4" w:rsidP="00104EC4">
      <w:pPr>
        <w:pStyle w:val="ListParagraph"/>
        <w:rPr>
          <w:rFonts w:asciiTheme="majorHAnsi" w:eastAsia="Times New Roman" w:hAnsiTheme="majorHAnsi"/>
          <w:sz w:val="20"/>
          <w:szCs w:val="20"/>
          <w:bdr w:val="none" w:sz="0" w:space="0" w:color="auto"/>
          <w:lang w:val="es-AR"/>
        </w:rPr>
      </w:pPr>
    </w:p>
    <w:p w:rsidR="00673049" w:rsidRDefault="00765533" w:rsidP="0067304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Pr>
          <w:rFonts w:asciiTheme="majorHAnsi" w:eastAsia="Times New Roman" w:hAnsiTheme="majorHAnsi"/>
          <w:sz w:val="20"/>
          <w:szCs w:val="20"/>
          <w:bdr w:val="none" w:sz="0" w:space="0" w:color="auto"/>
          <w:lang w:val="es-AR"/>
        </w:rPr>
        <w:t xml:space="preserve">En tercer lugar la Comisión analizará la efectividad de los recursos interpuestos por el señor Jenkins para cuestionar su privación de libertad. </w:t>
      </w:r>
      <w:r w:rsidR="002A2454">
        <w:rPr>
          <w:rFonts w:asciiTheme="majorHAnsi" w:eastAsia="Times New Roman" w:hAnsiTheme="majorHAnsi"/>
          <w:sz w:val="20"/>
          <w:szCs w:val="20"/>
          <w:bdr w:val="none" w:sz="0" w:space="0" w:color="auto"/>
          <w:lang w:val="es-AR"/>
        </w:rPr>
        <w:t xml:space="preserve">Al respecto, </w:t>
      </w:r>
      <w:r w:rsidR="004E3AB5">
        <w:rPr>
          <w:rFonts w:asciiTheme="majorHAnsi" w:eastAsia="Times New Roman" w:hAnsiTheme="majorHAnsi"/>
          <w:sz w:val="20"/>
          <w:szCs w:val="20"/>
          <w:bdr w:val="none" w:sz="0" w:space="0" w:color="auto"/>
          <w:lang w:val="es-AR"/>
        </w:rPr>
        <w:t>tal como se indic</w:t>
      </w:r>
      <w:r w:rsidR="0017331D">
        <w:rPr>
          <w:rFonts w:asciiTheme="majorHAnsi" w:eastAsia="Times New Roman" w:hAnsiTheme="majorHAnsi"/>
          <w:sz w:val="20"/>
          <w:szCs w:val="20"/>
          <w:bdr w:val="none" w:sz="0" w:space="0" w:color="auto"/>
          <w:lang w:val="es-AR"/>
        </w:rPr>
        <w:t xml:space="preserve">ó en los hechos probados, </w:t>
      </w:r>
      <w:r w:rsidR="002A2454">
        <w:rPr>
          <w:rFonts w:asciiTheme="majorHAnsi" w:eastAsia="Times New Roman" w:hAnsiTheme="majorHAnsi"/>
          <w:sz w:val="20"/>
          <w:szCs w:val="20"/>
          <w:bdr w:val="none" w:sz="0" w:space="0" w:color="auto"/>
          <w:lang w:val="es-AR"/>
        </w:rPr>
        <w:t xml:space="preserve">el señor Jenkins </w:t>
      </w:r>
      <w:r w:rsidR="00DD147B" w:rsidRPr="002A2454">
        <w:rPr>
          <w:rFonts w:ascii="Cambria" w:hAnsi="Cambria"/>
          <w:sz w:val="20"/>
          <w:szCs w:val="20"/>
          <w:lang w:val="es-VE"/>
        </w:rPr>
        <w:t>interpuso una acción conjunta de inconstitucionalidad del artículo 10 de la ley 24.390 así c</w:t>
      </w:r>
      <w:r w:rsidR="00162A49">
        <w:rPr>
          <w:rFonts w:ascii="Cambria" w:hAnsi="Cambria"/>
          <w:sz w:val="20"/>
          <w:szCs w:val="20"/>
          <w:lang w:val="es-VE"/>
        </w:rPr>
        <w:t>omo solicitud de excarcelación. E</w:t>
      </w:r>
      <w:r w:rsidR="00DD147B" w:rsidRPr="002A2454">
        <w:rPr>
          <w:rFonts w:ascii="Cambria" w:hAnsi="Cambria"/>
          <w:sz w:val="20"/>
          <w:szCs w:val="20"/>
          <w:lang w:val="es-VE"/>
        </w:rPr>
        <w:t>l Tribunal Oral Federal No. 6 declaró sin lugar la acción argumentando que por la gravedad y el interés superior que las conductas relacionadas con el tráfico de estupe</w:t>
      </w:r>
      <w:r w:rsidR="00162A49">
        <w:rPr>
          <w:rFonts w:ascii="Cambria" w:hAnsi="Cambria"/>
          <w:sz w:val="20"/>
          <w:szCs w:val="20"/>
          <w:lang w:val="es-VE"/>
        </w:rPr>
        <w:t>facientes afectan era</w:t>
      </w:r>
      <w:r w:rsidR="00DD147B" w:rsidRPr="002A2454">
        <w:rPr>
          <w:rFonts w:ascii="Cambria" w:hAnsi="Cambria"/>
          <w:sz w:val="20"/>
          <w:szCs w:val="20"/>
          <w:lang w:val="es-VE"/>
        </w:rPr>
        <w:t xml:space="preserve"> necesario “vedar</w:t>
      </w:r>
      <w:r w:rsidR="00162A49">
        <w:rPr>
          <w:rFonts w:ascii="Cambria" w:hAnsi="Cambria"/>
          <w:sz w:val="20"/>
          <w:szCs w:val="20"/>
          <w:lang w:val="es-VE"/>
        </w:rPr>
        <w:t>” a las personas procesadas por dicho delito “d</w:t>
      </w:r>
      <w:r w:rsidR="00DD147B" w:rsidRPr="002A2454">
        <w:rPr>
          <w:rFonts w:ascii="Cambria" w:hAnsi="Cambria"/>
          <w:sz w:val="20"/>
          <w:szCs w:val="20"/>
          <w:lang w:val="es-VE"/>
        </w:rPr>
        <w:t xml:space="preserve">el derecho a la soltura provisoria”. </w:t>
      </w:r>
      <w:r w:rsidR="00DD147B" w:rsidRPr="004E3AB5">
        <w:rPr>
          <w:rFonts w:ascii="Cambria" w:hAnsi="Cambria"/>
          <w:sz w:val="20"/>
          <w:szCs w:val="20"/>
          <w:lang w:val="es-VE"/>
        </w:rPr>
        <w:t xml:space="preserve">Con posterioridad el peticionario interpuso un recurso de inconstitucionalidad en contra de la </w:t>
      </w:r>
      <w:r w:rsidR="00595615">
        <w:rPr>
          <w:rFonts w:ascii="Cambria" w:hAnsi="Cambria"/>
          <w:sz w:val="20"/>
          <w:szCs w:val="20"/>
          <w:lang w:val="es-VE"/>
        </w:rPr>
        <w:t xml:space="preserve">anterior decisión, la cual fue rechazada </w:t>
      </w:r>
      <w:r w:rsidR="00DD147B" w:rsidRPr="004E3AB5">
        <w:rPr>
          <w:rFonts w:ascii="Cambria" w:hAnsi="Cambria"/>
          <w:sz w:val="20"/>
          <w:szCs w:val="20"/>
          <w:lang w:val="es-VE"/>
        </w:rPr>
        <w:t xml:space="preserve">por la Sala I de la Cámara Nacional de Casación Penal, </w:t>
      </w:r>
      <w:r w:rsidR="00595615">
        <w:rPr>
          <w:rFonts w:ascii="Cambria" w:hAnsi="Cambria"/>
          <w:sz w:val="20"/>
          <w:szCs w:val="20"/>
          <w:lang w:val="es-VE"/>
        </w:rPr>
        <w:t xml:space="preserve">citando </w:t>
      </w:r>
      <w:r w:rsidR="0021633D">
        <w:rPr>
          <w:rFonts w:ascii="Cambria" w:hAnsi="Cambria"/>
          <w:sz w:val="20"/>
          <w:szCs w:val="20"/>
          <w:lang w:val="es-VE"/>
        </w:rPr>
        <w:t>el</w:t>
      </w:r>
      <w:r w:rsidR="00595615">
        <w:rPr>
          <w:rFonts w:ascii="Cambria" w:hAnsi="Cambria"/>
          <w:sz w:val="20"/>
          <w:szCs w:val="20"/>
          <w:lang w:val="es-VE"/>
        </w:rPr>
        <w:t xml:space="preserve"> precedente</w:t>
      </w:r>
      <w:r w:rsidR="0021633D">
        <w:rPr>
          <w:rFonts w:ascii="Cambria" w:hAnsi="Cambria"/>
          <w:sz w:val="20"/>
          <w:szCs w:val="20"/>
          <w:lang w:val="es-VE"/>
        </w:rPr>
        <w:t xml:space="preserve"> del caso “</w:t>
      </w:r>
      <w:proofErr w:type="spellStart"/>
      <w:r w:rsidR="0021633D">
        <w:rPr>
          <w:rFonts w:ascii="Cambria" w:hAnsi="Cambria"/>
          <w:sz w:val="20"/>
          <w:szCs w:val="20"/>
          <w:lang w:val="es-VE"/>
        </w:rPr>
        <w:t>Nuñez</w:t>
      </w:r>
      <w:proofErr w:type="spellEnd"/>
      <w:r w:rsidR="0021633D">
        <w:rPr>
          <w:rFonts w:ascii="Cambria" w:hAnsi="Cambria"/>
          <w:sz w:val="20"/>
          <w:szCs w:val="20"/>
          <w:lang w:val="es-VE"/>
        </w:rPr>
        <w:t>” en el cual ya se había efectuado un análisis determinando la constitucionalidad de la norma</w:t>
      </w:r>
      <w:r w:rsidR="00595615">
        <w:rPr>
          <w:rFonts w:ascii="Cambria" w:hAnsi="Cambria"/>
          <w:sz w:val="20"/>
          <w:szCs w:val="20"/>
          <w:lang w:val="es-VE"/>
        </w:rPr>
        <w:t xml:space="preserve">. </w:t>
      </w:r>
      <w:r w:rsidR="003D6B8B">
        <w:rPr>
          <w:rFonts w:ascii="Cambria" w:hAnsi="Cambria"/>
          <w:sz w:val="20"/>
          <w:szCs w:val="20"/>
          <w:lang w:val="es-VE"/>
        </w:rPr>
        <w:t xml:space="preserve">El recurso extraordinario interpuesto contra esta última decisión fue declarado </w:t>
      </w:r>
      <w:r w:rsidR="00DD147B" w:rsidRPr="003D6B8B">
        <w:rPr>
          <w:rFonts w:ascii="Cambria" w:hAnsi="Cambria"/>
          <w:sz w:val="20"/>
          <w:szCs w:val="20"/>
          <w:lang w:val="es-VE"/>
        </w:rPr>
        <w:t>inadmisible</w:t>
      </w:r>
      <w:r w:rsidR="003D6B8B">
        <w:rPr>
          <w:rFonts w:ascii="Cambria" w:hAnsi="Cambria"/>
          <w:sz w:val="20"/>
          <w:szCs w:val="20"/>
          <w:lang w:val="es-VE"/>
        </w:rPr>
        <w:t xml:space="preserve"> bajo el argumento de que</w:t>
      </w:r>
      <w:r w:rsidR="003470BE">
        <w:rPr>
          <w:rFonts w:ascii="Cambria" w:hAnsi="Cambria"/>
          <w:sz w:val="20"/>
          <w:szCs w:val="20"/>
          <w:lang w:val="es-VE"/>
        </w:rPr>
        <w:t xml:space="preserve"> el tema ya había sido resuelto mediante precedentes de la Corte Suprema sin que se </w:t>
      </w:r>
      <w:r w:rsidR="003D6B8B">
        <w:rPr>
          <w:rFonts w:ascii="Cambria" w:hAnsi="Cambria"/>
          <w:sz w:val="20"/>
          <w:szCs w:val="20"/>
          <w:lang w:val="es-VE"/>
        </w:rPr>
        <w:t>configur</w:t>
      </w:r>
      <w:r w:rsidR="003470BE">
        <w:rPr>
          <w:rFonts w:ascii="Cambria" w:hAnsi="Cambria"/>
          <w:sz w:val="20"/>
          <w:szCs w:val="20"/>
          <w:lang w:val="es-VE"/>
        </w:rPr>
        <w:t>ara</w:t>
      </w:r>
      <w:r w:rsidR="003D6B8B">
        <w:rPr>
          <w:rFonts w:ascii="Cambria" w:hAnsi="Cambria"/>
          <w:sz w:val="20"/>
          <w:szCs w:val="20"/>
          <w:lang w:val="es-VE"/>
        </w:rPr>
        <w:t xml:space="preserve"> una</w:t>
      </w:r>
      <w:r w:rsidR="003470BE">
        <w:rPr>
          <w:rFonts w:ascii="Cambria" w:hAnsi="Cambria"/>
          <w:sz w:val="20"/>
          <w:szCs w:val="20"/>
          <w:lang w:val="es-VE"/>
        </w:rPr>
        <w:t xml:space="preserve"> situación de arbitrariedad. </w:t>
      </w:r>
    </w:p>
    <w:p w:rsidR="00673049" w:rsidRDefault="00673049" w:rsidP="00673049">
      <w:pPr>
        <w:pStyle w:val="ListParagraph"/>
        <w:rPr>
          <w:sz w:val="20"/>
          <w:szCs w:val="20"/>
          <w:lang w:val="es-VE"/>
        </w:rPr>
      </w:pPr>
    </w:p>
    <w:p w:rsidR="00BF68CF" w:rsidRDefault="00673049" w:rsidP="0067304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A72CCE">
        <w:rPr>
          <w:rFonts w:ascii="Cambria" w:hAnsi="Cambria"/>
          <w:sz w:val="20"/>
          <w:szCs w:val="20"/>
          <w:lang w:val="es-VE"/>
        </w:rPr>
        <w:t>La Comisión advierte que</w:t>
      </w:r>
      <w:r w:rsidR="008F2A92" w:rsidRPr="00A72CCE">
        <w:rPr>
          <w:rFonts w:ascii="Cambria" w:hAnsi="Cambria"/>
          <w:sz w:val="20"/>
          <w:szCs w:val="20"/>
          <w:lang w:val="es-VE"/>
        </w:rPr>
        <w:t xml:space="preserve"> al evaluar la solicitud de excarcelación del señor Jenkins</w:t>
      </w:r>
      <w:r w:rsidR="001E2374">
        <w:rPr>
          <w:rFonts w:ascii="Cambria" w:hAnsi="Cambria"/>
          <w:sz w:val="20"/>
          <w:szCs w:val="20"/>
          <w:lang w:val="es-VE"/>
        </w:rPr>
        <w:t>,</w:t>
      </w:r>
      <w:r w:rsidR="008F2A92" w:rsidRPr="00A72CCE">
        <w:rPr>
          <w:rFonts w:ascii="Cambria" w:hAnsi="Cambria"/>
          <w:sz w:val="20"/>
          <w:szCs w:val="20"/>
          <w:lang w:val="es-VE"/>
        </w:rPr>
        <w:t xml:space="preserve"> l</w:t>
      </w:r>
      <w:r w:rsidRPr="00A72CCE">
        <w:rPr>
          <w:rFonts w:ascii="Cambria" w:hAnsi="Cambria"/>
          <w:sz w:val="20"/>
          <w:szCs w:val="20"/>
          <w:lang w:val="es-VE"/>
        </w:rPr>
        <w:t>as autoridades judiciales que</w:t>
      </w:r>
      <w:r w:rsidR="008F2A92" w:rsidRPr="00A72CCE">
        <w:rPr>
          <w:rFonts w:ascii="Cambria" w:hAnsi="Cambria"/>
          <w:sz w:val="20"/>
          <w:szCs w:val="20"/>
          <w:lang w:val="es-VE"/>
        </w:rPr>
        <w:t xml:space="preserve"> negaron los recursos citados en el párrafo precedente,</w:t>
      </w:r>
      <w:r w:rsidRPr="00A72CCE">
        <w:rPr>
          <w:rFonts w:ascii="Cambria" w:hAnsi="Cambria"/>
          <w:sz w:val="20"/>
          <w:szCs w:val="20"/>
          <w:lang w:val="es-VE"/>
        </w:rPr>
        <w:t xml:space="preserve"> </w:t>
      </w:r>
      <w:r w:rsidR="008F2A92" w:rsidRPr="00A72CCE">
        <w:rPr>
          <w:rFonts w:ascii="Cambria" w:hAnsi="Cambria"/>
          <w:sz w:val="20"/>
          <w:szCs w:val="20"/>
          <w:lang w:val="es-VE"/>
        </w:rPr>
        <w:t xml:space="preserve">lo hicieron </w:t>
      </w:r>
      <w:r w:rsidRPr="00A72CCE">
        <w:rPr>
          <w:rFonts w:ascii="Cambria" w:hAnsi="Cambria"/>
          <w:sz w:val="20"/>
          <w:szCs w:val="20"/>
          <w:lang w:val="es-VE"/>
        </w:rPr>
        <w:t>basándose exclusivamente en la naturaleza del delito o la gravedad de la pena atribuida a los delitos por los que fue procesada la presunta víctima, sin analizar ni justificar si se cumplían los fines procesales que están llamados a verificar de conformidad con</w:t>
      </w:r>
      <w:r w:rsidR="007A37BF" w:rsidRPr="00A72CCE">
        <w:rPr>
          <w:rFonts w:ascii="Cambria" w:hAnsi="Cambria"/>
          <w:sz w:val="20"/>
          <w:szCs w:val="20"/>
          <w:lang w:val="es-VE"/>
        </w:rPr>
        <w:t xml:space="preserve"> sus obligaciones bajo </w:t>
      </w:r>
      <w:r w:rsidRPr="00A72CCE">
        <w:rPr>
          <w:rFonts w:ascii="Cambria" w:hAnsi="Cambria"/>
          <w:sz w:val="20"/>
          <w:szCs w:val="20"/>
          <w:lang w:val="es-VE"/>
        </w:rPr>
        <w:t>la Convención Americana</w:t>
      </w:r>
      <w:r w:rsidR="007A37BF" w:rsidRPr="00A72CCE">
        <w:rPr>
          <w:rFonts w:ascii="Cambria" w:hAnsi="Cambria"/>
          <w:sz w:val="20"/>
          <w:szCs w:val="20"/>
          <w:lang w:val="es-VE"/>
        </w:rPr>
        <w:t>. En ese sentido, las autoridades judiciales se limitaron a validar la prohibición de excarcelación establecida en la ley</w:t>
      </w:r>
      <w:r w:rsidR="00A72CCE" w:rsidRPr="00A72CCE">
        <w:rPr>
          <w:rFonts w:ascii="Cambria" w:hAnsi="Cambria"/>
          <w:sz w:val="20"/>
          <w:szCs w:val="20"/>
          <w:lang w:val="es-VE"/>
        </w:rPr>
        <w:t xml:space="preserve"> para el delito de tráfico de estupefaciente,</w:t>
      </w:r>
      <w:r w:rsidR="007A37BF" w:rsidRPr="00A72CCE">
        <w:rPr>
          <w:rFonts w:ascii="Cambria" w:hAnsi="Cambria"/>
          <w:sz w:val="20"/>
          <w:szCs w:val="20"/>
          <w:lang w:val="es-VE"/>
        </w:rPr>
        <w:t xml:space="preserve"> sin efectuar un análisis </w:t>
      </w:r>
      <w:r w:rsidR="00A72CCE">
        <w:rPr>
          <w:rFonts w:ascii="Cambria" w:hAnsi="Cambria"/>
          <w:sz w:val="20"/>
          <w:szCs w:val="20"/>
          <w:lang w:val="es-VE"/>
        </w:rPr>
        <w:t xml:space="preserve">de convencionalidad de la misma. </w:t>
      </w:r>
    </w:p>
    <w:p w:rsidR="00BF68CF" w:rsidRDefault="00BF68CF" w:rsidP="00BF68CF">
      <w:pPr>
        <w:pStyle w:val="ListParagraph"/>
        <w:rPr>
          <w:sz w:val="20"/>
          <w:szCs w:val="20"/>
          <w:lang w:val="es-VE"/>
        </w:rPr>
      </w:pPr>
    </w:p>
    <w:p w:rsidR="00673049" w:rsidRPr="00621D0A" w:rsidRDefault="00A72CCE" w:rsidP="0067304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
        </w:rPr>
      </w:pPr>
      <w:r w:rsidRPr="00621D0A">
        <w:rPr>
          <w:rFonts w:ascii="Cambria" w:hAnsi="Cambria"/>
          <w:sz w:val="20"/>
          <w:szCs w:val="20"/>
          <w:lang w:val="es-VE"/>
        </w:rPr>
        <w:t>En suma, los recursos judiciales interpuestos no posibilitaron una revisión sin demora y efectiva tanto de la motivación como de la duración de la detención preventiva</w:t>
      </w:r>
      <w:r w:rsidR="005F3FA3" w:rsidRPr="00621D0A">
        <w:rPr>
          <w:rFonts w:ascii="Cambria" w:hAnsi="Cambria"/>
          <w:sz w:val="20"/>
          <w:szCs w:val="20"/>
          <w:lang w:val="es-VE"/>
        </w:rPr>
        <w:t xml:space="preserve"> a la luz de los est</w:t>
      </w:r>
      <w:r w:rsidR="00BF68CF" w:rsidRPr="00621D0A">
        <w:rPr>
          <w:rFonts w:ascii="Cambria" w:hAnsi="Cambria"/>
          <w:sz w:val="20"/>
          <w:szCs w:val="20"/>
          <w:lang w:val="es-VE"/>
        </w:rPr>
        <w:t xml:space="preserve">ándares descritos, lo que resultó en una violación de los artículos 7.6 y 25.1 de la Convención Americana. </w:t>
      </w:r>
    </w:p>
    <w:p w:rsidR="00621D0A" w:rsidRDefault="00621D0A" w:rsidP="00621D0A">
      <w:pPr>
        <w:pStyle w:val="ListParagraph"/>
        <w:rPr>
          <w:sz w:val="20"/>
          <w:szCs w:val="20"/>
          <w:lang w:val="es-ES"/>
        </w:rPr>
      </w:pPr>
    </w:p>
    <w:p w:rsidR="00621D0A" w:rsidRPr="00621D0A" w:rsidRDefault="00621D0A" w:rsidP="0067304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
        </w:rPr>
      </w:pPr>
      <w:r>
        <w:rPr>
          <w:rFonts w:ascii="Cambria" w:hAnsi="Cambria"/>
          <w:sz w:val="20"/>
          <w:szCs w:val="20"/>
          <w:lang w:val="es-ES"/>
        </w:rPr>
        <w:t xml:space="preserve">En virtud de todas las consideraciones vertidas en la presente sección la Comisión Interamericana concluye que el Estado de Argentina es responsable por la violación de los derechos establecidos en los artículos 7.1, 7.3, 7.5, 7.6, </w:t>
      </w:r>
      <w:r w:rsidR="002D4F17">
        <w:rPr>
          <w:rFonts w:ascii="Cambria" w:hAnsi="Cambria"/>
          <w:sz w:val="20"/>
          <w:szCs w:val="20"/>
          <w:lang w:val="es-ES"/>
        </w:rPr>
        <w:t xml:space="preserve">8.1, </w:t>
      </w:r>
      <w:r>
        <w:rPr>
          <w:rFonts w:ascii="Cambria" w:hAnsi="Cambria"/>
          <w:sz w:val="20"/>
          <w:szCs w:val="20"/>
          <w:lang w:val="es-ES"/>
        </w:rPr>
        <w:t xml:space="preserve">8.2 y 25 de la Convención Americana en relación con las obligaciones establecidas en el artículo 1.1 del mismo instrumento, en perjuicio del señor Gabriel </w:t>
      </w:r>
      <w:r w:rsidR="00796C37">
        <w:rPr>
          <w:rFonts w:ascii="Cambria" w:hAnsi="Cambria"/>
          <w:sz w:val="20"/>
          <w:szCs w:val="20"/>
          <w:lang w:val="es-ES"/>
        </w:rPr>
        <w:t xml:space="preserve">Oscar Jenkins. </w:t>
      </w:r>
      <w:r w:rsidR="00C96456">
        <w:rPr>
          <w:rFonts w:ascii="Cambria" w:hAnsi="Cambria"/>
          <w:sz w:val="20"/>
          <w:szCs w:val="20"/>
          <w:lang w:val="es-ES"/>
        </w:rPr>
        <w:t xml:space="preserve">Asimismo, tomando en cuenta que estas violaciones tuvieron lugar como consecuencia de la aplicación del artículo 10 de la Ley </w:t>
      </w:r>
      <w:r w:rsidR="009A6195">
        <w:rPr>
          <w:rFonts w:ascii="Cambria" w:hAnsi="Cambria"/>
          <w:sz w:val="20"/>
          <w:szCs w:val="20"/>
          <w:lang w:val="es-ES"/>
        </w:rPr>
        <w:t xml:space="preserve">24.390, la Comisión considera que el Estado también es responsable por la violación del artículo 2 de la Convención. </w:t>
      </w:r>
    </w:p>
    <w:p w:rsidR="00F9023E" w:rsidRPr="0056708D" w:rsidRDefault="00F9023E" w:rsidP="0056708D">
      <w:pPr>
        <w:tabs>
          <w:tab w:val="left" w:pos="3763"/>
        </w:tabs>
        <w:rPr>
          <w:rFonts w:asciiTheme="majorHAnsi" w:hAnsiTheme="majorHAnsi"/>
          <w:sz w:val="20"/>
          <w:szCs w:val="20"/>
          <w:lang w:val="es-AR"/>
        </w:rPr>
      </w:pPr>
    </w:p>
    <w:p w:rsidR="00E03501" w:rsidRPr="00B56CF7" w:rsidRDefault="00226703" w:rsidP="00EE24AD">
      <w:pPr>
        <w:pStyle w:val="Heading2"/>
        <w:numPr>
          <w:ilvl w:val="0"/>
          <w:numId w:val="64"/>
        </w:numPr>
        <w:rPr>
          <w:lang w:val="es-ES" w:eastAsia="es-ES"/>
        </w:rPr>
      </w:pPr>
      <w:bookmarkStart w:id="74" w:name="_Toc467577917"/>
      <w:bookmarkStart w:id="75" w:name="_Toc469409100"/>
      <w:r>
        <w:rPr>
          <w:lang w:val="es-ES" w:eastAsia="es-ES"/>
        </w:rPr>
        <w:t>El derecho a la libertad personal y e</w:t>
      </w:r>
      <w:r w:rsidR="00B318E3" w:rsidRPr="00B56CF7">
        <w:rPr>
          <w:lang w:val="es-ES" w:eastAsia="es-ES"/>
        </w:rPr>
        <w:t xml:space="preserve">l derecho </w:t>
      </w:r>
      <w:r w:rsidR="002A56D7" w:rsidRPr="00B56CF7">
        <w:rPr>
          <w:lang w:val="es-ES" w:eastAsia="es-ES"/>
        </w:rPr>
        <w:t>de igualdad ante la ley en relación con el deber de adoptar disposiciones de de</w:t>
      </w:r>
      <w:r w:rsidR="008B77CB" w:rsidRPr="00B56CF7">
        <w:rPr>
          <w:lang w:val="es-ES" w:eastAsia="es-ES"/>
        </w:rPr>
        <w:t xml:space="preserve">recho interno (Artículos </w:t>
      </w:r>
      <w:r w:rsidR="00DE0DF1">
        <w:rPr>
          <w:lang w:val="es-ES" w:eastAsia="es-ES"/>
        </w:rPr>
        <w:t xml:space="preserve">7, </w:t>
      </w:r>
      <w:r w:rsidR="008B77CB" w:rsidRPr="00B56CF7">
        <w:rPr>
          <w:lang w:val="es-ES" w:eastAsia="es-ES"/>
        </w:rPr>
        <w:t>24</w:t>
      </w:r>
      <w:r w:rsidR="00AB057F">
        <w:rPr>
          <w:lang w:val="es-ES" w:eastAsia="es-ES"/>
        </w:rPr>
        <w:t>, 1.1</w:t>
      </w:r>
      <w:r w:rsidR="008B77CB" w:rsidRPr="00B56CF7">
        <w:rPr>
          <w:lang w:val="es-ES" w:eastAsia="es-ES"/>
        </w:rPr>
        <w:t xml:space="preserve"> </w:t>
      </w:r>
      <w:r w:rsidR="002A56D7" w:rsidRPr="00B56CF7">
        <w:rPr>
          <w:lang w:val="es-ES" w:eastAsia="es-ES"/>
        </w:rPr>
        <w:t>y 2 de la Convención Americana)</w:t>
      </w:r>
      <w:bookmarkEnd w:id="74"/>
      <w:bookmarkEnd w:id="75"/>
      <w:r w:rsidR="002A56D7" w:rsidRPr="00B56CF7">
        <w:rPr>
          <w:lang w:val="es-ES" w:eastAsia="es-ES"/>
        </w:rPr>
        <w:t xml:space="preserve"> </w:t>
      </w:r>
    </w:p>
    <w:p w:rsidR="00D873CB" w:rsidRPr="009B2ECC" w:rsidRDefault="00D873CB" w:rsidP="00381110">
      <w:pPr>
        <w:rPr>
          <w:rFonts w:asciiTheme="majorHAnsi" w:hAnsiTheme="majorHAnsi"/>
          <w:sz w:val="20"/>
          <w:szCs w:val="20"/>
          <w:lang w:val="es-ES"/>
        </w:rPr>
      </w:pPr>
    </w:p>
    <w:p w:rsidR="003816B3" w:rsidRPr="00542560" w:rsidRDefault="00297587" w:rsidP="005425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Pr>
          <w:rFonts w:asciiTheme="majorHAnsi" w:hAnsiTheme="majorHAnsi"/>
          <w:sz w:val="20"/>
          <w:szCs w:val="20"/>
          <w:lang w:val="es-VE"/>
        </w:rPr>
        <w:t>Las secciones relevantes de</w:t>
      </w:r>
      <w:r w:rsidR="00F759DA">
        <w:rPr>
          <w:rFonts w:asciiTheme="majorHAnsi" w:hAnsiTheme="majorHAnsi"/>
          <w:sz w:val="20"/>
          <w:szCs w:val="20"/>
          <w:lang w:val="es-VE"/>
        </w:rPr>
        <w:t xml:space="preserve"> los </w:t>
      </w:r>
      <w:r>
        <w:rPr>
          <w:rFonts w:asciiTheme="majorHAnsi" w:hAnsiTheme="majorHAnsi"/>
          <w:sz w:val="20"/>
          <w:szCs w:val="20"/>
          <w:lang w:val="es-VE"/>
        </w:rPr>
        <w:t>artículo</w:t>
      </w:r>
      <w:r w:rsidR="00F759DA">
        <w:rPr>
          <w:rFonts w:asciiTheme="majorHAnsi" w:hAnsiTheme="majorHAnsi"/>
          <w:sz w:val="20"/>
          <w:szCs w:val="20"/>
          <w:lang w:val="es-VE"/>
        </w:rPr>
        <w:t>s</w:t>
      </w:r>
      <w:r>
        <w:rPr>
          <w:rFonts w:asciiTheme="majorHAnsi" w:hAnsiTheme="majorHAnsi"/>
          <w:sz w:val="20"/>
          <w:szCs w:val="20"/>
          <w:lang w:val="es-VE"/>
        </w:rPr>
        <w:t xml:space="preserve"> 7</w:t>
      </w:r>
      <w:r w:rsidR="00F759DA">
        <w:rPr>
          <w:rFonts w:asciiTheme="majorHAnsi" w:hAnsiTheme="majorHAnsi"/>
          <w:sz w:val="20"/>
          <w:szCs w:val="20"/>
          <w:lang w:val="es-VE"/>
        </w:rPr>
        <w:t xml:space="preserve"> y 2</w:t>
      </w:r>
      <w:r>
        <w:rPr>
          <w:rFonts w:asciiTheme="majorHAnsi" w:hAnsiTheme="majorHAnsi"/>
          <w:sz w:val="20"/>
          <w:szCs w:val="20"/>
          <w:lang w:val="es-VE"/>
        </w:rPr>
        <w:t xml:space="preserve"> de la Convención Americana ya fueron transcritas </w:t>
      </w:r>
      <w:r w:rsidR="0047491C" w:rsidRPr="0047491C">
        <w:rPr>
          <w:rFonts w:asciiTheme="majorHAnsi" w:hAnsiTheme="majorHAnsi"/>
          <w:sz w:val="20"/>
          <w:szCs w:val="20"/>
          <w:lang w:val="es-VE"/>
        </w:rPr>
        <w:t>anteriormente</w:t>
      </w:r>
      <w:r w:rsidRPr="0047491C">
        <w:rPr>
          <w:rFonts w:asciiTheme="majorHAnsi" w:hAnsiTheme="majorHAnsi"/>
          <w:sz w:val="20"/>
          <w:szCs w:val="20"/>
          <w:lang w:val="es-VE"/>
        </w:rPr>
        <w:t>.</w:t>
      </w:r>
      <w:r>
        <w:rPr>
          <w:rFonts w:asciiTheme="majorHAnsi" w:hAnsiTheme="majorHAnsi"/>
          <w:sz w:val="20"/>
          <w:szCs w:val="20"/>
          <w:lang w:val="es-VE"/>
        </w:rPr>
        <w:t xml:space="preserve"> </w:t>
      </w:r>
    </w:p>
    <w:p w:rsidR="00A23FFF" w:rsidRDefault="00A23FFF" w:rsidP="00A23FF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VE"/>
        </w:rPr>
        <w:lastRenderedPageBreak/>
        <w:t>El artículo 24 de la Convención establece</w:t>
      </w:r>
      <w:r w:rsidR="003816B3">
        <w:rPr>
          <w:rFonts w:asciiTheme="majorHAnsi" w:hAnsiTheme="majorHAnsi"/>
          <w:sz w:val="20"/>
          <w:szCs w:val="20"/>
          <w:lang w:val="es-VE"/>
        </w:rPr>
        <w:t xml:space="preserve"> que</w:t>
      </w:r>
      <w:r w:rsidRPr="00B56CF7">
        <w:rPr>
          <w:rFonts w:asciiTheme="majorHAnsi" w:hAnsiTheme="majorHAnsi"/>
          <w:sz w:val="20"/>
          <w:szCs w:val="20"/>
          <w:lang w:val="es-VE"/>
        </w:rPr>
        <w:t xml:space="preserve"> “todas las personas son iguales ante la ley. En consecuencia, tienen derecho, sin discriminación, a igual protección de la ley”. </w:t>
      </w:r>
    </w:p>
    <w:p w:rsidR="009B2ECC" w:rsidRDefault="009B2ECC" w:rsidP="009B2ECC">
      <w:pPr>
        <w:pStyle w:val="ListParagraph"/>
        <w:rPr>
          <w:rFonts w:asciiTheme="majorHAnsi" w:hAnsiTheme="majorHAnsi"/>
          <w:sz w:val="20"/>
          <w:szCs w:val="20"/>
          <w:lang w:val="es-VE"/>
        </w:rPr>
      </w:pPr>
    </w:p>
    <w:p w:rsidR="009B2ECC" w:rsidRPr="00B56CF7" w:rsidRDefault="009B2ECC" w:rsidP="00A23FF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Pr>
          <w:rFonts w:asciiTheme="majorHAnsi" w:hAnsiTheme="majorHAnsi"/>
          <w:sz w:val="20"/>
          <w:szCs w:val="20"/>
          <w:lang w:val="es-VE"/>
        </w:rPr>
        <w:t>En la sección anterior la Comisión ya se pronunció sobre las violaciones al artículo 7 de la Convención Americana como consecuencia de la restricción indebida del derecho a la libertad personal en aplicación del artículo 10 de la Ley 24.390.</w:t>
      </w:r>
      <w:r w:rsidR="00F561E3">
        <w:rPr>
          <w:rFonts w:asciiTheme="majorHAnsi" w:hAnsiTheme="majorHAnsi"/>
          <w:sz w:val="20"/>
          <w:szCs w:val="20"/>
          <w:lang w:val="es-VE"/>
        </w:rPr>
        <w:t xml:space="preserve"> En esta sección la Comisión analizará si, además de dichas violaciones, el señor Jenkins fue víctima de una diferencia de trato incompatible con la Convención Americana</w:t>
      </w:r>
      <w:r w:rsidR="00C3799D">
        <w:rPr>
          <w:rFonts w:asciiTheme="majorHAnsi" w:hAnsiTheme="majorHAnsi"/>
          <w:sz w:val="20"/>
          <w:szCs w:val="20"/>
          <w:lang w:val="es-VE"/>
        </w:rPr>
        <w:t xml:space="preserve">. </w:t>
      </w:r>
      <w:r w:rsidR="00F561E3">
        <w:rPr>
          <w:rFonts w:asciiTheme="majorHAnsi" w:hAnsiTheme="majorHAnsi"/>
          <w:sz w:val="20"/>
          <w:szCs w:val="20"/>
          <w:lang w:val="es-VE"/>
        </w:rPr>
        <w:t xml:space="preserve"> </w:t>
      </w:r>
    </w:p>
    <w:p w:rsidR="00A23FFF" w:rsidRPr="00B56CF7" w:rsidRDefault="00A23FFF" w:rsidP="00A23FFF">
      <w:pPr>
        <w:pStyle w:val="ListParagraph"/>
        <w:rPr>
          <w:rFonts w:asciiTheme="majorHAnsi" w:hAnsiTheme="majorHAnsi"/>
          <w:sz w:val="20"/>
          <w:szCs w:val="20"/>
          <w:lang w:val="es-VE"/>
        </w:rPr>
      </w:pPr>
    </w:p>
    <w:p w:rsidR="0048200A" w:rsidRDefault="00B90E72" w:rsidP="00FB713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color w:val="000000"/>
          <w:sz w:val="20"/>
          <w:szCs w:val="20"/>
          <w:lang w:val="es-VE"/>
        </w:rPr>
      </w:pPr>
      <w:r w:rsidRPr="00B56CF7">
        <w:rPr>
          <w:rFonts w:asciiTheme="majorHAnsi" w:eastAsia="Times New Roman" w:hAnsiTheme="majorHAnsi"/>
          <w:sz w:val="20"/>
          <w:szCs w:val="20"/>
          <w:lang w:val="es-ES"/>
        </w:rPr>
        <w:t>La Comisión recuerda que según la jurisprudencia del sistema interamericano,</w:t>
      </w:r>
      <w:r w:rsidRPr="00B56CF7">
        <w:rPr>
          <w:rFonts w:asciiTheme="majorHAnsi" w:hAnsiTheme="majorHAnsi"/>
          <w:color w:val="000000"/>
          <w:sz w:val="20"/>
          <w:szCs w:val="20"/>
          <w:lang w:val="es-VE"/>
        </w:rPr>
        <w:t xml:space="preserve"> “no toda distinción de trato puede considerarse ofensiva, por sí misma”, sino solo aquella distinción que “carece de justificación objetiva y razonable”</w:t>
      </w:r>
      <w:r w:rsidRPr="00B56CF7">
        <w:rPr>
          <w:rFonts w:asciiTheme="majorHAnsi" w:hAnsiTheme="majorHAnsi"/>
          <w:color w:val="000000"/>
          <w:sz w:val="20"/>
          <w:szCs w:val="20"/>
          <w:vertAlign w:val="superscript"/>
          <w:lang w:val="es-VE"/>
        </w:rPr>
        <w:footnoteReference w:id="81"/>
      </w:r>
      <w:r w:rsidRPr="00B56CF7">
        <w:rPr>
          <w:rFonts w:asciiTheme="majorHAnsi" w:hAnsiTheme="majorHAnsi"/>
          <w:color w:val="000000"/>
          <w:sz w:val="20"/>
          <w:szCs w:val="20"/>
          <w:lang w:val="es-VE"/>
        </w:rPr>
        <w:t xml:space="preserve">. </w:t>
      </w:r>
      <w:r w:rsidR="0048200A">
        <w:rPr>
          <w:rFonts w:asciiTheme="majorHAnsi" w:hAnsiTheme="majorHAnsi"/>
          <w:color w:val="000000"/>
          <w:sz w:val="20"/>
          <w:szCs w:val="20"/>
          <w:lang w:val="es-VE"/>
        </w:rPr>
        <w:t xml:space="preserve">A fin de </w:t>
      </w:r>
      <w:r w:rsidR="0048200A" w:rsidRPr="00B56CF7">
        <w:rPr>
          <w:rFonts w:asciiTheme="majorHAnsi" w:hAnsiTheme="majorHAnsi"/>
          <w:color w:val="000000"/>
          <w:sz w:val="20"/>
          <w:szCs w:val="20"/>
          <w:lang w:val="es-VE"/>
        </w:rPr>
        <w:t xml:space="preserve">determinar </w:t>
      </w:r>
      <w:r w:rsidR="0048200A" w:rsidRPr="00B56CF7">
        <w:rPr>
          <w:rFonts w:asciiTheme="majorHAnsi" w:hAnsiTheme="majorHAnsi"/>
          <w:sz w:val="20"/>
          <w:szCs w:val="20"/>
          <w:lang w:val="es-ES_tradnl"/>
        </w:rPr>
        <w:t>si una distinción es “objetiva y razonable”</w:t>
      </w:r>
      <w:r w:rsidR="00FC045D">
        <w:rPr>
          <w:rFonts w:asciiTheme="majorHAnsi" w:hAnsiTheme="majorHAnsi"/>
          <w:sz w:val="20"/>
          <w:szCs w:val="20"/>
          <w:lang w:val="es-ES_tradnl"/>
        </w:rPr>
        <w:t>, así como si la restricción en el ejercicio de un derecho resulta convencionalmente aceptable,</w:t>
      </w:r>
      <w:r w:rsidR="0048200A" w:rsidRPr="00B56CF7">
        <w:rPr>
          <w:rFonts w:asciiTheme="majorHAnsi" w:hAnsiTheme="majorHAnsi"/>
          <w:sz w:val="20"/>
          <w:szCs w:val="20"/>
          <w:lang w:val="es-ES_tradnl"/>
        </w:rPr>
        <w:t xml:space="preserve"> tanto la Comisión </w:t>
      </w:r>
      <w:r w:rsidR="008254E1">
        <w:rPr>
          <w:rFonts w:asciiTheme="majorHAnsi" w:hAnsiTheme="majorHAnsi"/>
          <w:sz w:val="20"/>
          <w:szCs w:val="20"/>
          <w:lang w:val="es-ES_tradnl"/>
        </w:rPr>
        <w:t>como</w:t>
      </w:r>
      <w:r w:rsidR="0048200A" w:rsidRPr="00B56CF7">
        <w:rPr>
          <w:rFonts w:asciiTheme="majorHAnsi" w:hAnsiTheme="majorHAnsi"/>
          <w:sz w:val="20"/>
          <w:szCs w:val="20"/>
          <w:lang w:val="es-ES_tradnl"/>
        </w:rPr>
        <w:t xml:space="preserve"> la Corte</w:t>
      </w:r>
      <w:r w:rsidR="00320269">
        <w:rPr>
          <w:rFonts w:asciiTheme="majorHAnsi" w:hAnsiTheme="majorHAnsi"/>
          <w:sz w:val="20"/>
          <w:szCs w:val="20"/>
          <w:lang w:val="es-ES_tradnl"/>
        </w:rPr>
        <w:t xml:space="preserve"> </w:t>
      </w:r>
      <w:r w:rsidR="0048200A" w:rsidRPr="00B56CF7">
        <w:rPr>
          <w:rFonts w:asciiTheme="majorHAnsi" w:hAnsiTheme="majorHAnsi"/>
          <w:sz w:val="20"/>
          <w:szCs w:val="20"/>
          <w:lang w:val="es-ES_tradnl"/>
        </w:rPr>
        <w:t xml:space="preserve">han acudido </w:t>
      </w:r>
      <w:r w:rsidR="00E5716B">
        <w:rPr>
          <w:rFonts w:asciiTheme="majorHAnsi" w:hAnsiTheme="majorHAnsi"/>
          <w:sz w:val="20"/>
          <w:szCs w:val="20"/>
          <w:lang w:val="es-ES_tradnl"/>
        </w:rPr>
        <w:t xml:space="preserve">a un </w:t>
      </w:r>
      <w:r w:rsidR="0048200A" w:rsidRPr="00B56CF7">
        <w:rPr>
          <w:rFonts w:asciiTheme="majorHAnsi" w:hAnsiTheme="majorHAnsi"/>
          <w:sz w:val="20"/>
          <w:szCs w:val="20"/>
          <w:lang w:val="es-ES_tradnl"/>
        </w:rPr>
        <w:t>juicio escalonado de proporcionalidad que incluye los siguientes elementos: (i) la existencia de un fin legítimo; (ii) la idoneidad, es decir la determinación de si existe una relación lógica de causalidad de medio a fin entre la distinción y el fin que se persigue; (iii) la necesidad, esto es, la determinación de si existen alternativas menos restrictivas e igualmente idóneas; y (iv) la proporcionalidad en sentido estricto, es decir, el balance de los interés en juego y el grado de sacrificio de uno respecto del otro</w:t>
      </w:r>
      <w:r w:rsidR="0048200A" w:rsidRPr="00B56CF7">
        <w:rPr>
          <w:rStyle w:val="FootnoteReference"/>
          <w:rFonts w:asciiTheme="majorHAnsi" w:hAnsiTheme="majorHAnsi"/>
          <w:sz w:val="20"/>
          <w:szCs w:val="20"/>
          <w:lang w:val="es-ES_tradnl"/>
        </w:rPr>
        <w:footnoteReference w:id="82"/>
      </w:r>
      <w:r w:rsidR="0048200A" w:rsidRPr="00B56CF7">
        <w:rPr>
          <w:rFonts w:asciiTheme="majorHAnsi" w:hAnsiTheme="majorHAnsi"/>
          <w:sz w:val="20"/>
          <w:szCs w:val="20"/>
          <w:lang w:val="es-ES_tradnl"/>
        </w:rPr>
        <w:t>.</w:t>
      </w:r>
    </w:p>
    <w:p w:rsidR="0048200A" w:rsidRDefault="0048200A" w:rsidP="0048200A">
      <w:pPr>
        <w:pStyle w:val="ListParagraph"/>
        <w:rPr>
          <w:rFonts w:asciiTheme="majorHAnsi" w:hAnsiTheme="majorHAnsi"/>
          <w:sz w:val="20"/>
          <w:szCs w:val="20"/>
          <w:lang w:val="es-VE"/>
        </w:rPr>
      </w:pPr>
    </w:p>
    <w:p w:rsidR="00A50603" w:rsidRDefault="00A50603" w:rsidP="00A5060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lang w:val="es-ES"/>
        </w:rPr>
      </w:pPr>
      <w:r w:rsidRPr="00B56CF7">
        <w:rPr>
          <w:rFonts w:asciiTheme="majorHAnsi" w:eastAsia="Times New Roman" w:hAnsiTheme="majorHAnsi"/>
          <w:sz w:val="20"/>
          <w:szCs w:val="20"/>
          <w:lang w:val="es-ES"/>
        </w:rPr>
        <w:t>Tal como se indicó con anterioridad, en el presente caso</w:t>
      </w:r>
      <w:r>
        <w:rPr>
          <w:rFonts w:asciiTheme="majorHAnsi" w:eastAsia="Times New Roman" w:hAnsiTheme="majorHAnsi"/>
          <w:sz w:val="20"/>
          <w:szCs w:val="20"/>
          <w:lang w:val="es-ES"/>
        </w:rPr>
        <w:t xml:space="preserve"> el señor Jenkins estuvo privado de libertad bajo la figura de detención preventiva en aplicación de</w:t>
      </w:r>
      <w:r w:rsidRPr="00B56CF7">
        <w:rPr>
          <w:rFonts w:asciiTheme="majorHAnsi" w:eastAsia="Times New Roman" w:hAnsiTheme="majorHAnsi"/>
          <w:sz w:val="20"/>
          <w:szCs w:val="20"/>
          <w:lang w:val="es-ES"/>
        </w:rPr>
        <w:t xml:space="preserve">l artículo 10 de la ley 24.390 (ley que regulaba los plazos de la prisión preventiva) el cual excluía de la posibilidad de excarcelación mientras durara el proceso, a personas procesadas por delitos relacionados con </w:t>
      </w:r>
      <w:r>
        <w:rPr>
          <w:rFonts w:asciiTheme="majorHAnsi" w:eastAsia="Times New Roman" w:hAnsiTheme="majorHAnsi"/>
          <w:sz w:val="20"/>
          <w:szCs w:val="20"/>
          <w:lang w:val="es-ES"/>
        </w:rPr>
        <w:t xml:space="preserve">el </w:t>
      </w:r>
      <w:r w:rsidRPr="00B56CF7">
        <w:rPr>
          <w:rFonts w:asciiTheme="majorHAnsi" w:eastAsia="Times New Roman" w:hAnsiTheme="majorHAnsi"/>
          <w:sz w:val="20"/>
          <w:szCs w:val="20"/>
          <w:lang w:val="es-ES"/>
        </w:rPr>
        <w:t xml:space="preserve">tráfico de estupefacientes. </w:t>
      </w:r>
    </w:p>
    <w:p w:rsidR="00A50603" w:rsidRPr="00B56CF7" w:rsidRDefault="00A50603" w:rsidP="00A50603">
      <w:pPr>
        <w:rPr>
          <w:rFonts w:asciiTheme="majorHAnsi" w:hAnsiTheme="majorHAnsi"/>
          <w:sz w:val="20"/>
          <w:szCs w:val="20"/>
          <w:lang w:val="es-ES"/>
        </w:rPr>
      </w:pPr>
    </w:p>
    <w:p w:rsidR="00A50603" w:rsidRPr="00B56CF7" w:rsidRDefault="00A50603" w:rsidP="00A5060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lang w:val="es-ES"/>
        </w:rPr>
      </w:pPr>
      <w:r>
        <w:rPr>
          <w:rFonts w:asciiTheme="majorHAnsi" w:eastAsia="Times New Roman" w:hAnsiTheme="majorHAnsi"/>
          <w:sz w:val="20"/>
          <w:szCs w:val="20"/>
          <w:lang w:val="es-ES"/>
        </w:rPr>
        <w:t>En ese sentido, la L</w:t>
      </w:r>
      <w:r w:rsidRPr="00B56CF7">
        <w:rPr>
          <w:rFonts w:asciiTheme="majorHAnsi" w:eastAsia="Times New Roman" w:hAnsiTheme="majorHAnsi"/>
          <w:sz w:val="20"/>
          <w:szCs w:val="20"/>
          <w:lang w:val="es-ES"/>
        </w:rPr>
        <w:t>ey 24.390 efectúa una</w:t>
      </w:r>
      <w:r>
        <w:rPr>
          <w:rFonts w:asciiTheme="majorHAnsi" w:eastAsia="Times New Roman" w:hAnsiTheme="majorHAnsi"/>
          <w:sz w:val="20"/>
          <w:szCs w:val="20"/>
          <w:lang w:val="es-ES"/>
        </w:rPr>
        <w:t xml:space="preserve"> diferencia de trato </w:t>
      </w:r>
      <w:r w:rsidRPr="00B56CF7">
        <w:rPr>
          <w:rFonts w:asciiTheme="majorHAnsi" w:eastAsia="Times New Roman" w:hAnsiTheme="majorHAnsi"/>
          <w:sz w:val="20"/>
          <w:szCs w:val="20"/>
          <w:lang w:val="es-ES"/>
        </w:rPr>
        <w:t>en su aplicación</w:t>
      </w:r>
      <w:r>
        <w:rPr>
          <w:rFonts w:asciiTheme="majorHAnsi" w:eastAsia="Times New Roman" w:hAnsiTheme="majorHAnsi"/>
          <w:sz w:val="20"/>
          <w:szCs w:val="20"/>
          <w:lang w:val="es-ES"/>
        </w:rPr>
        <w:t xml:space="preserve"> – particularmente en la posibilidad de excarcelación durante el proceso –</w:t>
      </w:r>
      <w:r w:rsidRPr="00B56CF7">
        <w:rPr>
          <w:rFonts w:asciiTheme="majorHAnsi" w:eastAsia="Times New Roman" w:hAnsiTheme="majorHAnsi"/>
          <w:sz w:val="20"/>
          <w:szCs w:val="20"/>
          <w:lang w:val="es-ES"/>
        </w:rPr>
        <w:t xml:space="preserve"> entre</w:t>
      </w:r>
      <w:r>
        <w:rPr>
          <w:rFonts w:asciiTheme="majorHAnsi" w:eastAsia="Times New Roman" w:hAnsiTheme="majorHAnsi"/>
          <w:sz w:val="20"/>
          <w:szCs w:val="20"/>
          <w:lang w:val="es-ES"/>
        </w:rPr>
        <w:t xml:space="preserve"> </w:t>
      </w:r>
      <w:r w:rsidRPr="00B56CF7">
        <w:rPr>
          <w:rFonts w:asciiTheme="majorHAnsi" w:eastAsia="Times New Roman" w:hAnsiTheme="majorHAnsi"/>
          <w:sz w:val="20"/>
          <w:szCs w:val="20"/>
          <w:lang w:val="es-ES"/>
        </w:rPr>
        <w:t>aquellas personas que se encuentran procesadas por delitos relacionad</w:t>
      </w:r>
      <w:r>
        <w:rPr>
          <w:rFonts w:asciiTheme="majorHAnsi" w:eastAsia="Times New Roman" w:hAnsiTheme="majorHAnsi"/>
          <w:sz w:val="20"/>
          <w:szCs w:val="20"/>
          <w:lang w:val="es-ES"/>
        </w:rPr>
        <w:t>o</w:t>
      </w:r>
      <w:r w:rsidRPr="00B56CF7">
        <w:rPr>
          <w:rFonts w:asciiTheme="majorHAnsi" w:eastAsia="Times New Roman" w:hAnsiTheme="majorHAnsi"/>
          <w:sz w:val="20"/>
          <w:szCs w:val="20"/>
          <w:lang w:val="es-ES"/>
        </w:rPr>
        <w:t xml:space="preserve">s con </w:t>
      </w:r>
      <w:r>
        <w:rPr>
          <w:rFonts w:asciiTheme="majorHAnsi" w:eastAsia="Times New Roman" w:hAnsiTheme="majorHAnsi"/>
          <w:sz w:val="20"/>
          <w:szCs w:val="20"/>
          <w:lang w:val="es-ES"/>
        </w:rPr>
        <w:t xml:space="preserve">el </w:t>
      </w:r>
      <w:r w:rsidRPr="00B56CF7">
        <w:rPr>
          <w:rFonts w:asciiTheme="majorHAnsi" w:eastAsia="Times New Roman" w:hAnsiTheme="majorHAnsi"/>
          <w:sz w:val="20"/>
          <w:szCs w:val="20"/>
          <w:lang w:val="es-ES"/>
        </w:rPr>
        <w:t>tráfico de estupefacientes y aquellas</w:t>
      </w:r>
      <w:r>
        <w:rPr>
          <w:rFonts w:asciiTheme="majorHAnsi" w:eastAsia="Times New Roman" w:hAnsiTheme="majorHAnsi"/>
          <w:sz w:val="20"/>
          <w:szCs w:val="20"/>
          <w:lang w:val="es-ES"/>
        </w:rPr>
        <w:t xml:space="preserve"> procesadas por otros delitos. Asimismo, dicha diferencia de trato implicó la restricción al derecho a la libertad personal del señor Jenkins ya analizada en la sección anterior. </w:t>
      </w:r>
    </w:p>
    <w:p w:rsidR="00A50603" w:rsidRDefault="00A50603" w:rsidP="0048200A">
      <w:pPr>
        <w:pStyle w:val="ListParagraph"/>
        <w:rPr>
          <w:rFonts w:asciiTheme="majorHAnsi" w:hAnsiTheme="majorHAnsi"/>
          <w:sz w:val="20"/>
          <w:szCs w:val="20"/>
          <w:lang w:val="es-VE"/>
        </w:rPr>
      </w:pPr>
    </w:p>
    <w:p w:rsidR="007B4D53" w:rsidRPr="00B56CF7" w:rsidRDefault="007B4D53" w:rsidP="007B4D5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sz w:val="20"/>
          <w:szCs w:val="20"/>
          <w:lang w:val="es-ES"/>
        </w:rPr>
      </w:pPr>
      <w:r>
        <w:rPr>
          <w:rFonts w:asciiTheme="majorHAnsi" w:eastAsia="Times New Roman" w:hAnsiTheme="majorHAnsi"/>
          <w:sz w:val="20"/>
          <w:szCs w:val="20"/>
          <w:lang w:val="es-ES"/>
        </w:rPr>
        <w:t>E</w:t>
      </w:r>
      <w:r w:rsidRPr="00B56CF7">
        <w:rPr>
          <w:rFonts w:asciiTheme="majorHAnsi" w:eastAsia="Times New Roman" w:hAnsiTheme="majorHAnsi"/>
          <w:sz w:val="20"/>
          <w:szCs w:val="20"/>
          <w:lang w:val="es-ES"/>
        </w:rPr>
        <w:t xml:space="preserve">l Estado no negó la </w:t>
      </w:r>
      <w:r>
        <w:rPr>
          <w:rFonts w:asciiTheme="majorHAnsi" w:eastAsia="Times New Roman" w:hAnsiTheme="majorHAnsi"/>
          <w:sz w:val="20"/>
          <w:szCs w:val="20"/>
          <w:lang w:val="es-ES"/>
        </w:rPr>
        <w:t xml:space="preserve">diferencia de </w:t>
      </w:r>
      <w:r w:rsidRPr="00B56CF7">
        <w:rPr>
          <w:rFonts w:asciiTheme="majorHAnsi" w:eastAsia="Times New Roman" w:hAnsiTheme="majorHAnsi"/>
          <w:sz w:val="20"/>
          <w:szCs w:val="20"/>
          <w:lang w:val="es-ES"/>
        </w:rPr>
        <w:t>trato, sino que</w:t>
      </w:r>
      <w:r>
        <w:rPr>
          <w:rFonts w:asciiTheme="majorHAnsi" w:eastAsia="Times New Roman" w:hAnsiTheme="majorHAnsi"/>
          <w:sz w:val="20"/>
          <w:szCs w:val="20"/>
          <w:lang w:val="es-ES"/>
        </w:rPr>
        <w:t xml:space="preserve"> pretendió justificarla argumentando que la ley “</w:t>
      </w:r>
      <w:r w:rsidRPr="00B56CF7">
        <w:rPr>
          <w:rFonts w:asciiTheme="majorHAnsi" w:eastAsia="Times New Roman" w:hAnsiTheme="majorHAnsi"/>
          <w:sz w:val="20"/>
          <w:szCs w:val="20"/>
          <w:lang w:val="es-ES"/>
        </w:rPr>
        <w:t xml:space="preserve">niega el beneficio de excarcelación a las personas acusadas de narcotráfico, en consonancia con los compromisos internacionales asumidos por la República Argentina respecto del flagelo del tráfico de drogas y la delincuencia organizada, los cuales requieren ser armonizados con las disposiciones del derecho interno”. </w:t>
      </w:r>
    </w:p>
    <w:p w:rsidR="007B4D53" w:rsidRPr="00363FBD" w:rsidRDefault="007B4D53" w:rsidP="00FC1F8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sz w:val="20"/>
          <w:szCs w:val="20"/>
          <w:lang w:val="es-ES"/>
        </w:rPr>
      </w:pPr>
    </w:p>
    <w:p w:rsidR="0061044D" w:rsidRPr="00B56CF7" w:rsidRDefault="00B1360F" w:rsidP="003905D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color w:val="000000"/>
          <w:sz w:val="20"/>
          <w:szCs w:val="20"/>
          <w:lang w:val="es-VE"/>
        </w:rPr>
      </w:pPr>
      <w:r>
        <w:rPr>
          <w:rFonts w:asciiTheme="majorHAnsi" w:hAnsiTheme="majorHAnsi"/>
          <w:color w:val="000000"/>
          <w:sz w:val="20"/>
          <w:szCs w:val="20"/>
          <w:lang w:val="es-VE"/>
        </w:rPr>
        <w:t xml:space="preserve">Por su parte, </w:t>
      </w:r>
      <w:r w:rsidR="008D32E6">
        <w:rPr>
          <w:rFonts w:asciiTheme="majorHAnsi" w:hAnsiTheme="majorHAnsi"/>
          <w:color w:val="000000"/>
          <w:sz w:val="20"/>
          <w:szCs w:val="20"/>
          <w:lang w:val="es-VE"/>
        </w:rPr>
        <w:t>de la decisión d</w:t>
      </w:r>
      <w:r w:rsidR="0061044D" w:rsidRPr="00B56CF7">
        <w:rPr>
          <w:rFonts w:asciiTheme="majorHAnsi" w:hAnsiTheme="majorHAnsi"/>
          <w:color w:val="000000"/>
          <w:sz w:val="20"/>
          <w:szCs w:val="20"/>
          <w:lang w:val="es-VE"/>
        </w:rPr>
        <w:t xml:space="preserve">el Tribunal Oral No. 6 </w:t>
      </w:r>
      <w:r w:rsidR="00846D9A">
        <w:rPr>
          <w:rFonts w:asciiTheme="majorHAnsi" w:hAnsiTheme="majorHAnsi"/>
          <w:color w:val="000000"/>
          <w:sz w:val="20"/>
          <w:szCs w:val="20"/>
          <w:lang w:val="es-VE"/>
        </w:rPr>
        <w:t xml:space="preserve">que declaró </w:t>
      </w:r>
      <w:r w:rsidR="0061044D" w:rsidRPr="0062236D">
        <w:rPr>
          <w:rFonts w:asciiTheme="majorHAnsi" w:hAnsiTheme="majorHAnsi"/>
          <w:sz w:val="20"/>
          <w:szCs w:val="20"/>
          <w:lang w:val="es-VE"/>
        </w:rPr>
        <w:t>sin lugar el pedido de inconstitucionalidad del artículo 10 de la ley 24.390 y la solicitud de excarcelación de Gabriel Oscar Jenkins</w:t>
      </w:r>
      <w:r w:rsidR="008D32E6">
        <w:rPr>
          <w:rFonts w:asciiTheme="majorHAnsi" w:hAnsiTheme="majorHAnsi"/>
          <w:sz w:val="20"/>
          <w:szCs w:val="20"/>
          <w:lang w:val="es-VE"/>
        </w:rPr>
        <w:t xml:space="preserve">, se desprenden los siguientes argumentos que podrían entenderse en el sentido de justificar la diferencia de trato. </w:t>
      </w:r>
      <w:r w:rsidR="00846D9A">
        <w:rPr>
          <w:rFonts w:asciiTheme="majorHAnsi" w:hAnsiTheme="majorHAnsi"/>
          <w:sz w:val="20"/>
          <w:szCs w:val="20"/>
          <w:lang w:val="es-VE"/>
        </w:rPr>
        <w:t xml:space="preserve"> </w:t>
      </w:r>
      <w:r w:rsidR="006E7804">
        <w:rPr>
          <w:rFonts w:asciiTheme="majorHAnsi" w:hAnsiTheme="majorHAnsi"/>
          <w:sz w:val="20"/>
          <w:szCs w:val="20"/>
          <w:lang w:val="es-VE"/>
        </w:rPr>
        <w:t>Al respecto,</w:t>
      </w:r>
      <w:r w:rsidR="008673C5">
        <w:rPr>
          <w:rFonts w:asciiTheme="majorHAnsi" w:hAnsiTheme="majorHAnsi"/>
          <w:sz w:val="20"/>
          <w:szCs w:val="20"/>
          <w:lang w:val="es-VE"/>
        </w:rPr>
        <w:t xml:space="preserve"> se basó en que </w:t>
      </w:r>
      <w:r w:rsidR="00846D9A">
        <w:rPr>
          <w:rFonts w:asciiTheme="majorHAnsi" w:hAnsiTheme="majorHAnsi"/>
          <w:sz w:val="20"/>
          <w:szCs w:val="20"/>
          <w:lang w:val="es-VE"/>
        </w:rPr>
        <w:t xml:space="preserve">los delitos relacionados </w:t>
      </w:r>
      <w:r w:rsidR="00413CE4" w:rsidRPr="00B56CF7">
        <w:rPr>
          <w:rFonts w:asciiTheme="majorHAnsi" w:hAnsiTheme="majorHAnsi"/>
          <w:sz w:val="20"/>
          <w:szCs w:val="20"/>
          <w:lang w:val="es-VE"/>
        </w:rPr>
        <w:t>con el tráfico de estupefacientes han merecido un especial tratamiento del Estado debido a las obligaciones que contrajo al suscribir la Convención de Viena sobre la represión al tráfico de dichas sustancias</w:t>
      </w:r>
      <w:r w:rsidR="00EA7A5D">
        <w:rPr>
          <w:rFonts w:asciiTheme="majorHAnsi" w:hAnsiTheme="majorHAnsi"/>
          <w:sz w:val="20"/>
          <w:szCs w:val="20"/>
          <w:lang w:val="es-VE"/>
        </w:rPr>
        <w:t>. Asimismo, destacó</w:t>
      </w:r>
      <w:r w:rsidR="00B07EBE">
        <w:rPr>
          <w:rFonts w:asciiTheme="majorHAnsi" w:hAnsiTheme="majorHAnsi"/>
          <w:sz w:val="20"/>
          <w:szCs w:val="20"/>
          <w:lang w:val="es-VE"/>
        </w:rPr>
        <w:t xml:space="preserve"> que por </w:t>
      </w:r>
      <w:r w:rsidR="00413CE4" w:rsidRPr="00B56CF7">
        <w:rPr>
          <w:rFonts w:asciiTheme="majorHAnsi" w:hAnsiTheme="majorHAnsi"/>
          <w:sz w:val="20"/>
          <w:szCs w:val="20"/>
          <w:lang w:val="es-VE"/>
        </w:rPr>
        <w:t>la gravedad y el interés superior que tales conductas afectan</w:t>
      </w:r>
      <w:r w:rsidR="00EA7A5D">
        <w:rPr>
          <w:rFonts w:asciiTheme="majorHAnsi" w:hAnsiTheme="majorHAnsi"/>
          <w:sz w:val="20"/>
          <w:szCs w:val="20"/>
          <w:lang w:val="es-VE"/>
        </w:rPr>
        <w:t>,</w:t>
      </w:r>
      <w:r w:rsidR="00B07EBE">
        <w:rPr>
          <w:rFonts w:asciiTheme="majorHAnsi" w:hAnsiTheme="majorHAnsi"/>
          <w:sz w:val="20"/>
          <w:szCs w:val="20"/>
          <w:lang w:val="es-VE"/>
        </w:rPr>
        <w:t xml:space="preserve"> la prohibición resulta necesaria </w:t>
      </w:r>
      <w:r w:rsidR="00413CE4" w:rsidRPr="00B56CF7">
        <w:rPr>
          <w:rFonts w:asciiTheme="majorHAnsi" w:hAnsiTheme="majorHAnsi"/>
          <w:sz w:val="20"/>
          <w:szCs w:val="20"/>
          <w:lang w:val="es-VE"/>
        </w:rPr>
        <w:t xml:space="preserve">para garantizar </w:t>
      </w:r>
      <w:r w:rsidR="00172155">
        <w:rPr>
          <w:rFonts w:asciiTheme="majorHAnsi" w:hAnsiTheme="majorHAnsi"/>
          <w:sz w:val="20"/>
          <w:szCs w:val="20"/>
          <w:lang w:val="es-VE"/>
        </w:rPr>
        <w:t xml:space="preserve">la presencia de los imputados </w:t>
      </w:r>
      <w:r w:rsidR="00413CE4" w:rsidRPr="00B56CF7">
        <w:rPr>
          <w:rFonts w:asciiTheme="majorHAnsi" w:hAnsiTheme="majorHAnsi"/>
          <w:sz w:val="20"/>
          <w:szCs w:val="20"/>
          <w:lang w:val="es-VE"/>
        </w:rPr>
        <w:t xml:space="preserve">durante la sustanciación </w:t>
      </w:r>
      <w:r w:rsidR="00617A5D" w:rsidRPr="00B56CF7">
        <w:rPr>
          <w:rFonts w:asciiTheme="majorHAnsi" w:hAnsiTheme="majorHAnsi"/>
          <w:sz w:val="20"/>
          <w:szCs w:val="20"/>
          <w:lang w:val="es-VE"/>
        </w:rPr>
        <w:t>del proceso</w:t>
      </w:r>
      <w:r w:rsidR="00A64A27">
        <w:rPr>
          <w:rFonts w:asciiTheme="majorHAnsi" w:hAnsiTheme="majorHAnsi"/>
          <w:sz w:val="20"/>
          <w:szCs w:val="20"/>
          <w:lang w:val="es-VE"/>
        </w:rPr>
        <w:t xml:space="preserve">. </w:t>
      </w:r>
      <w:r w:rsidR="004647F4">
        <w:rPr>
          <w:rFonts w:asciiTheme="majorHAnsi" w:hAnsiTheme="majorHAnsi"/>
          <w:sz w:val="20"/>
          <w:szCs w:val="20"/>
          <w:lang w:val="es-VE"/>
        </w:rPr>
        <w:t xml:space="preserve">Las decisiones judiciales posteriores se limitaron a reiterar los precedentes en la materia. </w:t>
      </w:r>
    </w:p>
    <w:p w:rsidR="00DE2A16" w:rsidRPr="00B56CF7" w:rsidRDefault="00DE2A16" w:rsidP="00DE2A16">
      <w:pPr>
        <w:pStyle w:val="ListParagraph"/>
        <w:rPr>
          <w:rFonts w:asciiTheme="majorHAnsi" w:hAnsiTheme="majorHAnsi"/>
          <w:sz w:val="20"/>
          <w:szCs w:val="20"/>
          <w:lang w:val="es-VE"/>
        </w:rPr>
      </w:pPr>
    </w:p>
    <w:p w:rsidR="00147D6E" w:rsidRPr="00B56CF7" w:rsidRDefault="00B91212" w:rsidP="00DC4DB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color w:val="000000"/>
          <w:sz w:val="20"/>
          <w:szCs w:val="20"/>
          <w:lang w:val="es-VE"/>
        </w:rPr>
      </w:pPr>
      <w:r>
        <w:rPr>
          <w:rFonts w:asciiTheme="majorHAnsi" w:hAnsiTheme="majorHAnsi"/>
          <w:color w:val="000000"/>
          <w:sz w:val="20"/>
          <w:szCs w:val="20"/>
          <w:lang w:val="es-VE"/>
        </w:rPr>
        <w:t xml:space="preserve">De lo anterior resulta que </w:t>
      </w:r>
      <w:r w:rsidR="00DC4DB4" w:rsidRPr="00B56CF7">
        <w:rPr>
          <w:rFonts w:asciiTheme="majorHAnsi" w:hAnsiTheme="majorHAnsi"/>
          <w:color w:val="000000"/>
          <w:sz w:val="20"/>
          <w:szCs w:val="20"/>
          <w:lang w:val="es-VE"/>
        </w:rPr>
        <w:t>los órganos internos al justificar la</w:t>
      </w:r>
      <w:r w:rsidR="004909C8">
        <w:rPr>
          <w:rFonts w:asciiTheme="majorHAnsi" w:hAnsiTheme="majorHAnsi"/>
          <w:color w:val="000000"/>
          <w:sz w:val="20"/>
          <w:szCs w:val="20"/>
          <w:lang w:val="es-VE"/>
        </w:rPr>
        <w:t xml:space="preserve"> diferencia de trato y la consecuente </w:t>
      </w:r>
      <w:r w:rsidR="00DC4DB4" w:rsidRPr="00B56CF7">
        <w:rPr>
          <w:rFonts w:asciiTheme="majorHAnsi" w:hAnsiTheme="majorHAnsi"/>
          <w:color w:val="000000"/>
          <w:sz w:val="20"/>
          <w:szCs w:val="20"/>
          <w:lang w:val="es-VE"/>
        </w:rPr>
        <w:t xml:space="preserve">restricción </w:t>
      </w:r>
      <w:r w:rsidR="00EA7A5D">
        <w:rPr>
          <w:rFonts w:asciiTheme="majorHAnsi" w:hAnsiTheme="majorHAnsi"/>
          <w:color w:val="000000"/>
          <w:sz w:val="20"/>
          <w:szCs w:val="20"/>
          <w:lang w:val="es-VE"/>
        </w:rPr>
        <w:t xml:space="preserve">a </w:t>
      </w:r>
      <w:r w:rsidR="00DC4DB4" w:rsidRPr="00B56CF7">
        <w:rPr>
          <w:rFonts w:asciiTheme="majorHAnsi" w:hAnsiTheme="majorHAnsi"/>
          <w:color w:val="000000"/>
          <w:sz w:val="20"/>
          <w:szCs w:val="20"/>
          <w:lang w:val="es-VE"/>
        </w:rPr>
        <w:t>la libertad personal con</w:t>
      </w:r>
      <w:r w:rsidR="00363FBD">
        <w:rPr>
          <w:rFonts w:asciiTheme="majorHAnsi" w:hAnsiTheme="majorHAnsi"/>
          <w:color w:val="000000"/>
          <w:sz w:val="20"/>
          <w:szCs w:val="20"/>
          <w:lang w:val="es-VE"/>
        </w:rPr>
        <w:t>tenida en el artículo 10 de la L</w:t>
      </w:r>
      <w:r w:rsidR="00DC4DB4" w:rsidRPr="00B56CF7">
        <w:rPr>
          <w:rFonts w:asciiTheme="majorHAnsi" w:hAnsiTheme="majorHAnsi"/>
          <w:color w:val="000000"/>
          <w:sz w:val="20"/>
          <w:szCs w:val="20"/>
          <w:lang w:val="es-VE"/>
        </w:rPr>
        <w:t>ey 24.39</w:t>
      </w:r>
      <w:r w:rsidR="00147D6E" w:rsidRPr="00B56CF7">
        <w:rPr>
          <w:rFonts w:asciiTheme="majorHAnsi" w:hAnsiTheme="majorHAnsi"/>
          <w:color w:val="000000"/>
          <w:sz w:val="20"/>
          <w:szCs w:val="20"/>
          <w:lang w:val="es-VE"/>
        </w:rPr>
        <w:t>0</w:t>
      </w:r>
      <w:r w:rsidR="008C135B">
        <w:rPr>
          <w:rFonts w:asciiTheme="majorHAnsi" w:hAnsiTheme="majorHAnsi"/>
          <w:color w:val="000000"/>
          <w:sz w:val="20"/>
          <w:szCs w:val="20"/>
          <w:lang w:val="es-VE"/>
        </w:rPr>
        <w:t>,</w:t>
      </w:r>
      <w:r w:rsidR="00147D6E" w:rsidRPr="00B56CF7">
        <w:rPr>
          <w:rFonts w:asciiTheme="majorHAnsi" w:hAnsiTheme="majorHAnsi"/>
          <w:color w:val="000000"/>
          <w:sz w:val="20"/>
          <w:szCs w:val="20"/>
          <w:lang w:val="es-VE"/>
        </w:rPr>
        <w:t xml:space="preserve"> se refirieron únicamente al fin legítimo de la medida y a enunciar </w:t>
      </w:r>
      <w:r w:rsidR="00B73967">
        <w:rPr>
          <w:rFonts w:asciiTheme="majorHAnsi" w:hAnsiTheme="majorHAnsi"/>
          <w:color w:val="000000"/>
          <w:sz w:val="20"/>
          <w:szCs w:val="20"/>
          <w:lang w:val="es-VE"/>
        </w:rPr>
        <w:t xml:space="preserve">en términos abstractos </w:t>
      </w:r>
      <w:r w:rsidR="00147D6E" w:rsidRPr="00B56CF7">
        <w:rPr>
          <w:rFonts w:asciiTheme="majorHAnsi" w:hAnsiTheme="majorHAnsi"/>
          <w:color w:val="000000"/>
          <w:sz w:val="20"/>
          <w:szCs w:val="20"/>
          <w:lang w:val="es-VE"/>
        </w:rPr>
        <w:t xml:space="preserve">la necesidad de la medida. </w:t>
      </w:r>
    </w:p>
    <w:p w:rsidR="00DC4DB4" w:rsidRPr="00B56CF7" w:rsidRDefault="00DC4DB4" w:rsidP="00147D6E">
      <w:pPr>
        <w:rPr>
          <w:rFonts w:asciiTheme="majorHAnsi" w:hAnsiTheme="majorHAnsi"/>
          <w:sz w:val="20"/>
          <w:szCs w:val="20"/>
          <w:lang w:val="es-VE"/>
        </w:rPr>
      </w:pPr>
    </w:p>
    <w:p w:rsidR="001A7869" w:rsidRPr="0025209F" w:rsidRDefault="00500E27" w:rsidP="00DC4DB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color w:val="000000"/>
          <w:sz w:val="20"/>
          <w:szCs w:val="20"/>
          <w:lang w:val="es-VE"/>
        </w:rPr>
      </w:pPr>
      <w:r w:rsidRPr="00564C6E">
        <w:rPr>
          <w:rFonts w:asciiTheme="majorHAnsi" w:hAnsiTheme="majorHAnsi"/>
          <w:color w:val="000000"/>
          <w:sz w:val="20"/>
          <w:szCs w:val="20"/>
          <w:lang w:val="es-VE"/>
        </w:rPr>
        <w:lastRenderedPageBreak/>
        <w:t>En cuanto a</w:t>
      </w:r>
      <w:r w:rsidR="001A7869" w:rsidRPr="00564C6E">
        <w:rPr>
          <w:rFonts w:asciiTheme="majorHAnsi" w:hAnsiTheme="majorHAnsi"/>
          <w:color w:val="000000"/>
          <w:sz w:val="20"/>
          <w:szCs w:val="20"/>
          <w:lang w:val="es-VE"/>
        </w:rPr>
        <w:t>l primer y segundo requisitos</w:t>
      </w:r>
      <w:r w:rsidR="00C11A75">
        <w:rPr>
          <w:rFonts w:asciiTheme="majorHAnsi" w:hAnsiTheme="majorHAnsi"/>
          <w:color w:val="000000"/>
          <w:sz w:val="20"/>
          <w:szCs w:val="20"/>
          <w:lang w:val="es-VE"/>
        </w:rPr>
        <w:t xml:space="preserve"> – fin legítimo e idoneidad –</w:t>
      </w:r>
      <w:r w:rsidR="001A7869" w:rsidRPr="00564C6E">
        <w:rPr>
          <w:rFonts w:asciiTheme="majorHAnsi" w:hAnsiTheme="majorHAnsi"/>
          <w:color w:val="000000"/>
          <w:sz w:val="20"/>
          <w:szCs w:val="20"/>
          <w:lang w:val="es-VE"/>
        </w:rPr>
        <w:t xml:space="preserve"> </w:t>
      </w:r>
      <w:r w:rsidR="00476C0C" w:rsidRPr="00564C6E">
        <w:rPr>
          <w:rFonts w:asciiTheme="majorHAnsi" w:hAnsiTheme="majorHAnsi"/>
          <w:color w:val="000000"/>
          <w:sz w:val="20"/>
          <w:szCs w:val="20"/>
          <w:lang w:val="es-VE"/>
        </w:rPr>
        <w:t xml:space="preserve">la Comisión considera que la obligación de persecución de los delitos relacionados con el narcotráfico derivada de los tratados internacionales suscritos por </w:t>
      </w:r>
      <w:r w:rsidR="001A7869" w:rsidRPr="00564C6E">
        <w:rPr>
          <w:rFonts w:asciiTheme="majorHAnsi" w:hAnsiTheme="majorHAnsi"/>
          <w:color w:val="000000"/>
          <w:sz w:val="20"/>
          <w:szCs w:val="20"/>
          <w:lang w:val="es-VE"/>
        </w:rPr>
        <w:t xml:space="preserve">el Estado, así como el objetivo de asegurar la comparecencia de los imputados al proceso, constituyen </w:t>
      </w:r>
      <w:r w:rsidR="00DC4DB4" w:rsidRPr="00564C6E">
        <w:rPr>
          <w:rFonts w:asciiTheme="majorHAnsi" w:hAnsiTheme="majorHAnsi"/>
          <w:color w:val="000000"/>
          <w:sz w:val="20"/>
          <w:szCs w:val="20"/>
          <w:lang w:val="es-VE"/>
        </w:rPr>
        <w:t>fin</w:t>
      </w:r>
      <w:r w:rsidR="001A7869" w:rsidRPr="00564C6E">
        <w:rPr>
          <w:rFonts w:asciiTheme="majorHAnsi" w:hAnsiTheme="majorHAnsi"/>
          <w:color w:val="000000"/>
          <w:sz w:val="20"/>
          <w:szCs w:val="20"/>
          <w:lang w:val="es-VE"/>
        </w:rPr>
        <w:t xml:space="preserve">es legítimos. </w:t>
      </w:r>
      <w:r w:rsidR="006E4A94" w:rsidRPr="00564C6E">
        <w:rPr>
          <w:rFonts w:asciiTheme="majorHAnsi" w:hAnsiTheme="majorHAnsi"/>
          <w:color w:val="000000"/>
          <w:sz w:val="20"/>
          <w:szCs w:val="20"/>
          <w:lang w:val="es-VE"/>
        </w:rPr>
        <w:t>Asimismo, la Comisión encuentra que al menos respecto de uno de los fines invocados, puede entenderse que en abstracto</w:t>
      </w:r>
      <w:r w:rsidR="004F18E4">
        <w:rPr>
          <w:rFonts w:asciiTheme="majorHAnsi" w:hAnsiTheme="majorHAnsi"/>
          <w:color w:val="000000"/>
          <w:sz w:val="20"/>
          <w:szCs w:val="20"/>
          <w:lang w:val="es-VE"/>
        </w:rPr>
        <w:t xml:space="preserve"> puede existir en ciertos casos </w:t>
      </w:r>
      <w:r w:rsidR="006E4A94" w:rsidRPr="00564C6E">
        <w:rPr>
          <w:rFonts w:asciiTheme="majorHAnsi" w:hAnsiTheme="majorHAnsi"/>
          <w:color w:val="000000"/>
          <w:sz w:val="20"/>
          <w:szCs w:val="20"/>
          <w:lang w:val="es-VE"/>
        </w:rPr>
        <w:t xml:space="preserve">una relación medio a fin </w:t>
      </w:r>
      <w:r w:rsidR="006E4A94" w:rsidRPr="0025209F">
        <w:rPr>
          <w:rFonts w:asciiTheme="majorHAnsi" w:hAnsiTheme="majorHAnsi"/>
          <w:color w:val="000000"/>
          <w:sz w:val="20"/>
          <w:szCs w:val="20"/>
          <w:lang w:val="es-VE"/>
        </w:rPr>
        <w:t xml:space="preserve">entre la aplicación de la detención preventiva y la garantía de comparecencia durante el proceso. </w:t>
      </w:r>
    </w:p>
    <w:p w:rsidR="00177614" w:rsidRPr="0025209F" w:rsidRDefault="00177614" w:rsidP="00177614">
      <w:pPr>
        <w:pStyle w:val="ListParagraph"/>
        <w:rPr>
          <w:rFonts w:asciiTheme="majorHAnsi" w:hAnsiTheme="majorHAnsi"/>
          <w:sz w:val="20"/>
          <w:szCs w:val="20"/>
          <w:lang w:val="es-VE"/>
        </w:rPr>
      </w:pPr>
    </w:p>
    <w:p w:rsidR="007862B0" w:rsidRPr="0025209F" w:rsidRDefault="00177614" w:rsidP="00DF19E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25209F">
        <w:rPr>
          <w:rFonts w:asciiTheme="majorHAnsi" w:hAnsiTheme="majorHAnsi"/>
          <w:color w:val="000000"/>
          <w:sz w:val="20"/>
          <w:szCs w:val="20"/>
          <w:lang w:val="es-VE"/>
        </w:rPr>
        <w:t xml:space="preserve">Sin embargo, respecto del tercer requisito, </w:t>
      </w:r>
      <w:r w:rsidR="00D54019" w:rsidRPr="0025209F">
        <w:rPr>
          <w:rFonts w:asciiTheme="majorHAnsi" w:hAnsiTheme="majorHAnsi"/>
          <w:color w:val="000000"/>
          <w:sz w:val="20"/>
          <w:szCs w:val="20"/>
          <w:lang w:val="es-VE"/>
        </w:rPr>
        <w:t>la Comisión destaca que ni el Estado de Argentina ante la Comisión ni las autoridades judiciales que conocieron los recursos, justificaron la necesidad de la medida en el sentido de no existir medios menos lesivos</w:t>
      </w:r>
      <w:r w:rsidR="002A2202" w:rsidRPr="0025209F">
        <w:rPr>
          <w:rFonts w:asciiTheme="majorHAnsi" w:hAnsiTheme="majorHAnsi"/>
          <w:color w:val="000000"/>
          <w:sz w:val="20"/>
          <w:szCs w:val="20"/>
          <w:lang w:val="es-VE"/>
        </w:rPr>
        <w:t xml:space="preserve"> e igualmente idóneos</w:t>
      </w:r>
      <w:r w:rsidR="00D54019" w:rsidRPr="0025209F">
        <w:rPr>
          <w:rFonts w:asciiTheme="majorHAnsi" w:hAnsiTheme="majorHAnsi"/>
          <w:color w:val="000000"/>
          <w:sz w:val="20"/>
          <w:szCs w:val="20"/>
          <w:lang w:val="es-VE"/>
        </w:rPr>
        <w:t xml:space="preserve"> a la detención preventiva automática e ilimitada para lograr los fines citados. </w:t>
      </w:r>
      <w:r w:rsidR="00DF19E4" w:rsidRPr="0025209F">
        <w:rPr>
          <w:rFonts w:asciiTheme="majorHAnsi" w:hAnsiTheme="majorHAnsi"/>
          <w:sz w:val="20"/>
          <w:szCs w:val="20"/>
          <w:lang w:val="es-VE"/>
        </w:rPr>
        <w:t>Para lograr la finalidad invocada por el Estado sobre este tipo de delitos bastaría con dis</w:t>
      </w:r>
      <w:r w:rsidR="00044D64" w:rsidRPr="0025209F">
        <w:rPr>
          <w:rFonts w:asciiTheme="majorHAnsi" w:hAnsiTheme="majorHAnsi"/>
          <w:sz w:val="20"/>
          <w:szCs w:val="20"/>
          <w:lang w:val="es-VE"/>
        </w:rPr>
        <w:t>poner la detención preventiva exclusivamente en</w:t>
      </w:r>
      <w:r w:rsidR="00846D91" w:rsidRPr="0025209F">
        <w:rPr>
          <w:rFonts w:asciiTheme="majorHAnsi" w:hAnsiTheme="majorHAnsi"/>
          <w:sz w:val="20"/>
          <w:szCs w:val="20"/>
          <w:lang w:val="es-VE"/>
        </w:rPr>
        <w:t xml:space="preserve"> aquellos casos </w:t>
      </w:r>
      <w:r w:rsidR="00DF19E4" w:rsidRPr="0025209F">
        <w:rPr>
          <w:rFonts w:asciiTheme="majorHAnsi" w:hAnsiTheme="majorHAnsi"/>
          <w:sz w:val="20"/>
          <w:szCs w:val="20"/>
          <w:lang w:val="es-VE"/>
        </w:rPr>
        <w:t>en los cuales existan indicios</w:t>
      </w:r>
      <w:r w:rsidR="00E346B5" w:rsidRPr="0025209F">
        <w:rPr>
          <w:rFonts w:asciiTheme="majorHAnsi" w:hAnsiTheme="majorHAnsi"/>
          <w:sz w:val="20"/>
          <w:szCs w:val="20"/>
          <w:lang w:val="es-VE"/>
        </w:rPr>
        <w:t xml:space="preserve"> evaluados en el caso concreto</w:t>
      </w:r>
      <w:r w:rsidR="00DF19E4" w:rsidRPr="0025209F">
        <w:rPr>
          <w:rFonts w:asciiTheme="majorHAnsi" w:hAnsiTheme="majorHAnsi"/>
          <w:sz w:val="20"/>
          <w:szCs w:val="20"/>
          <w:lang w:val="es-VE"/>
        </w:rPr>
        <w:t xml:space="preserve"> de que la persona impedirá el desarrollo del procedimiento o eludirá la acción de la justicia.</w:t>
      </w:r>
      <w:r w:rsidR="00044D64" w:rsidRPr="0025209F">
        <w:rPr>
          <w:rFonts w:asciiTheme="majorHAnsi" w:hAnsiTheme="majorHAnsi"/>
          <w:sz w:val="20"/>
          <w:szCs w:val="20"/>
          <w:lang w:val="es-VE"/>
        </w:rPr>
        <w:t xml:space="preserve"> En ese sentido, la Comisión entiende que existía una medida menos lesiva e igualmente id</w:t>
      </w:r>
      <w:r w:rsidR="00311384" w:rsidRPr="0025209F">
        <w:rPr>
          <w:rFonts w:asciiTheme="majorHAnsi" w:hAnsiTheme="majorHAnsi"/>
          <w:sz w:val="20"/>
          <w:szCs w:val="20"/>
          <w:lang w:val="es-VE"/>
        </w:rPr>
        <w:t>ó</w:t>
      </w:r>
      <w:r w:rsidR="00044D64" w:rsidRPr="0025209F">
        <w:rPr>
          <w:rFonts w:asciiTheme="majorHAnsi" w:hAnsiTheme="majorHAnsi"/>
          <w:sz w:val="20"/>
          <w:szCs w:val="20"/>
          <w:lang w:val="es-VE"/>
        </w:rPr>
        <w:t>n</w:t>
      </w:r>
      <w:r w:rsidR="00311384" w:rsidRPr="0025209F">
        <w:rPr>
          <w:rFonts w:asciiTheme="majorHAnsi" w:hAnsiTheme="majorHAnsi"/>
          <w:sz w:val="20"/>
          <w:szCs w:val="20"/>
          <w:lang w:val="es-VE"/>
        </w:rPr>
        <w:t>ea consistente en</w:t>
      </w:r>
      <w:r w:rsidR="00EE0CF4" w:rsidRPr="0025209F">
        <w:rPr>
          <w:rFonts w:asciiTheme="majorHAnsi" w:hAnsiTheme="majorHAnsi"/>
          <w:sz w:val="20"/>
          <w:szCs w:val="20"/>
          <w:lang w:val="es-VE"/>
        </w:rPr>
        <w:t xml:space="preserve"> con</w:t>
      </w:r>
      <w:r w:rsidR="00F628F3" w:rsidRPr="0025209F">
        <w:rPr>
          <w:rFonts w:asciiTheme="majorHAnsi" w:hAnsiTheme="majorHAnsi"/>
          <w:sz w:val="20"/>
          <w:szCs w:val="20"/>
          <w:lang w:val="es-VE"/>
        </w:rPr>
        <w:t>tar</w:t>
      </w:r>
      <w:r w:rsidR="00EE0CF4" w:rsidRPr="0025209F">
        <w:rPr>
          <w:rFonts w:asciiTheme="majorHAnsi" w:hAnsiTheme="majorHAnsi"/>
          <w:sz w:val="20"/>
          <w:szCs w:val="20"/>
          <w:lang w:val="es-VE"/>
        </w:rPr>
        <w:t xml:space="preserve"> </w:t>
      </w:r>
      <w:r w:rsidR="00F628F3" w:rsidRPr="0025209F">
        <w:rPr>
          <w:rFonts w:asciiTheme="majorHAnsi" w:hAnsiTheme="majorHAnsi"/>
          <w:sz w:val="20"/>
          <w:szCs w:val="20"/>
          <w:lang w:val="es-VE"/>
        </w:rPr>
        <w:t xml:space="preserve">con </w:t>
      </w:r>
      <w:r w:rsidR="00EE0CF4" w:rsidRPr="0025209F">
        <w:rPr>
          <w:rFonts w:asciiTheme="majorHAnsi" w:hAnsiTheme="majorHAnsi"/>
          <w:sz w:val="20"/>
          <w:szCs w:val="20"/>
          <w:lang w:val="es-VE"/>
        </w:rPr>
        <w:t xml:space="preserve">un marco normativo que </w:t>
      </w:r>
      <w:r w:rsidR="00E015A1">
        <w:rPr>
          <w:rFonts w:asciiTheme="majorHAnsi" w:hAnsiTheme="majorHAnsi"/>
          <w:sz w:val="20"/>
          <w:szCs w:val="20"/>
          <w:lang w:val="es-VE"/>
        </w:rPr>
        <w:t xml:space="preserve">no </w:t>
      </w:r>
      <w:r w:rsidR="00B173C5" w:rsidRPr="0025209F">
        <w:rPr>
          <w:rFonts w:asciiTheme="majorHAnsi" w:hAnsiTheme="majorHAnsi"/>
          <w:sz w:val="20"/>
          <w:szCs w:val="20"/>
          <w:lang w:val="es-VE"/>
        </w:rPr>
        <w:t xml:space="preserve">excluyera </w:t>
      </w:r>
      <w:r w:rsidR="00EE0CF4" w:rsidRPr="0025209F">
        <w:rPr>
          <w:rFonts w:asciiTheme="majorHAnsi" w:hAnsiTheme="majorHAnsi"/>
          <w:i/>
          <w:sz w:val="20"/>
          <w:szCs w:val="20"/>
          <w:lang w:val="es-VE"/>
        </w:rPr>
        <w:t>a priori</w:t>
      </w:r>
      <w:r w:rsidR="00EE0CF4" w:rsidRPr="0025209F">
        <w:rPr>
          <w:rFonts w:asciiTheme="majorHAnsi" w:hAnsiTheme="majorHAnsi"/>
          <w:sz w:val="20"/>
          <w:szCs w:val="20"/>
          <w:lang w:val="es-VE"/>
        </w:rPr>
        <w:t xml:space="preserve"> con base en la naturaleza de tales delitos</w:t>
      </w:r>
      <w:r w:rsidR="00B173C5" w:rsidRPr="0025209F">
        <w:rPr>
          <w:rFonts w:asciiTheme="majorHAnsi" w:hAnsiTheme="majorHAnsi"/>
          <w:sz w:val="20"/>
          <w:szCs w:val="20"/>
          <w:lang w:val="es-VE"/>
        </w:rPr>
        <w:t xml:space="preserve"> otro tipo de medidas</w:t>
      </w:r>
      <w:r w:rsidR="00EE0CF4" w:rsidRPr="0025209F">
        <w:rPr>
          <w:rFonts w:asciiTheme="majorHAnsi" w:hAnsiTheme="majorHAnsi"/>
          <w:sz w:val="20"/>
          <w:szCs w:val="20"/>
          <w:lang w:val="es-VE"/>
        </w:rPr>
        <w:t xml:space="preserve"> sino que permit</w:t>
      </w:r>
      <w:r w:rsidR="00F628F3" w:rsidRPr="0025209F">
        <w:rPr>
          <w:rFonts w:asciiTheme="majorHAnsi" w:hAnsiTheme="majorHAnsi"/>
          <w:sz w:val="20"/>
          <w:szCs w:val="20"/>
          <w:lang w:val="es-VE"/>
        </w:rPr>
        <w:t>iera</w:t>
      </w:r>
      <w:r w:rsidR="00EE0CF4" w:rsidRPr="0025209F">
        <w:rPr>
          <w:rFonts w:asciiTheme="majorHAnsi" w:hAnsiTheme="majorHAnsi"/>
          <w:sz w:val="20"/>
          <w:szCs w:val="20"/>
          <w:lang w:val="es-VE"/>
        </w:rPr>
        <w:t xml:space="preserve"> a las autoridades judiciales valorar, en cada caso concreto, la pertinencia de aplicar la detención preventiva a la luz de los fines que el Estado busca proteger.</w:t>
      </w:r>
      <w:r w:rsidR="00DF19E4" w:rsidRPr="0025209F">
        <w:rPr>
          <w:rFonts w:asciiTheme="majorHAnsi" w:hAnsiTheme="majorHAnsi"/>
          <w:sz w:val="20"/>
          <w:szCs w:val="20"/>
          <w:lang w:val="es-VE"/>
        </w:rPr>
        <w:t xml:space="preserve"> </w:t>
      </w:r>
    </w:p>
    <w:p w:rsidR="007862B0" w:rsidRPr="0025209F" w:rsidRDefault="007862B0" w:rsidP="007862B0">
      <w:pPr>
        <w:pStyle w:val="ListParagraph"/>
        <w:rPr>
          <w:rFonts w:asciiTheme="majorHAnsi" w:hAnsiTheme="majorHAnsi"/>
          <w:sz w:val="20"/>
          <w:szCs w:val="20"/>
          <w:lang w:val="es-VE"/>
        </w:rPr>
      </w:pPr>
    </w:p>
    <w:p w:rsidR="00116000" w:rsidRPr="0025209F" w:rsidRDefault="00DF19E4" w:rsidP="00DF19E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25209F">
        <w:rPr>
          <w:rFonts w:asciiTheme="majorHAnsi" w:hAnsiTheme="majorHAnsi"/>
          <w:color w:val="000000"/>
          <w:sz w:val="20"/>
          <w:szCs w:val="20"/>
          <w:lang w:val="es-VE"/>
        </w:rPr>
        <w:t>La</w:t>
      </w:r>
      <w:r w:rsidR="0045765A" w:rsidRPr="0025209F">
        <w:rPr>
          <w:rFonts w:asciiTheme="majorHAnsi" w:hAnsiTheme="majorHAnsi"/>
          <w:color w:val="000000"/>
          <w:sz w:val="20"/>
          <w:szCs w:val="20"/>
          <w:lang w:val="es-VE"/>
        </w:rPr>
        <w:t xml:space="preserve"> falta de justificación</w:t>
      </w:r>
      <w:r w:rsidRPr="0025209F">
        <w:rPr>
          <w:rFonts w:asciiTheme="majorHAnsi" w:hAnsiTheme="majorHAnsi"/>
          <w:color w:val="000000"/>
          <w:sz w:val="20"/>
          <w:szCs w:val="20"/>
          <w:lang w:val="es-VE"/>
        </w:rPr>
        <w:t xml:space="preserve"> del Estado sobre la necesidad de la medida</w:t>
      </w:r>
      <w:r w:rsidR="0045765A" w:rsidRPr="0025209F">
        <w:rPr>
          <w:rFonts w:asciiTheme="majorHAnsi" w:hAnsiTheme="majorHAnsi"/>
          <w:color w:val="000000"/>
          <w:sz w:val="20"/>
          <w:szCs w:val="20"/>
          <w:lang w:val="es-VE"/>
        </w:rPr>
        <w:t xml:space="preserve"> operó tanto respecto de la</w:t>
      </w:r>
      <w:r w:rsidR="009D56F7" w:rsidRPr="0025209F">
        <w:rPr>
          <w:rFonts w:asciiTheme="majorHAnsi" w:hAnsiTheme="majorHAnsi"/>
          <w:color w:val="000000"/>
          <w:sz w:val="20"/>
          <w:szCs w:val="20"/>
          <w:lang w:val="es-VE"/>
        </w:rPr>
        <w:t xml:space="preserve"> regulación contemplada en el artículo 10 de la Ley 24.390</w:t>
      </w:r>
      <w:r w:rsidR="00E27212" w:rsidRPr="0025209F">
        <w:rPr>
          <w:rFonts w:asciiTheme="majorHAnsi" w:hAnsiTheme="majorHAnsi"/>
          <w:color w:val="000000"/>
          <w:sz w:val="20"/>
          <w:szCs w:val="20"/>
          <w:lang w:val="es-VE"/>
        </w:rPr>
        <w:t xml:space="preserve"> como respecto de su aplicación en el caso concreto del señor Jenkins por parte de las autoridades judiciales que se pronunciaron sobre su libertad personal.</w:t>
      </w:r>
      <w:r w:rsidR="006C16AA" w:rsidRPr="0025209F">
        <w:rPr>
          <w:rFonts w:asciiTheme="majorHAnsi" w:hAnsiTheme="majorHAnsi"/>
          <w:color w:val="000000"/>
          <w:sz w:val="20"/>
          <w:szCs w:val="20"/>
          <w:lang w:val="es-VE"/>
        </w:rPr>
        <w:t xml:space="preserve"> Las decisiones presentadas respecto a este punto se basaron en los términos del artículo 10 de la Ley 24.390 y la prohibición de excarcelación. La Comisión no cuenta con decisión alguna </w:t>
      </w:r>
      <w:r w:rsidR="00E015A1">
        <w:rPr>
          <w:rFonts w:asciiTheme="majorHAnsi" w:hAnsiTheme="majorHAnsi"/>
          <w:color w:val="000000"/>
          <w:sz w:val="20"/>
          <w:szCs w:val="20"/>
          <w:lang w:val="es-VE"/>
        </w:rPr>
        <w:t>que evaluara</w:t>
      </w:r>
      <w:r w:rsidR="0053004F" w:rsidRPr="0025209F">
        <w:rPr>
          <w:rFonts w:asciiTheme="majorHAnsi" w:hAnsiTheme="majorHAnsi"/>
          <w:color w:val="000000"/>
          <w:sz w:val="20"/>
          <w:szCs w:val="20"/>
          <w:lang w:val="es-VE"/>
        </w:rPr>
        <w:t xml:space="preserve"> indicios de riesgo de fuga u obstaculización del proceso en el caso del señor Jenkins.</w:t>
      </w:r>
      <w:r w:rsidR="00E27212" w:rsidRPr="0025209F">
        <w:rPr>
          <w:rFonts w:asciiTheme="majorHAnsi" w:hAnsiTheme="majorHAnsi"/>
          <w:color w:val="000000"/>
          <w:sz w:val="20"/>
          <w:szCs w:val="20"/>
          <w:lang w:val="es-VE"/>
        </w:rPr>
        <w:t xml:space="preserve"> </w:t>
      </w:r>
      <w:r w:rsidR="00B26E55" w:rsidRPr="0025209F">
        <w:rPr>
          <w:rFonts w:asciiTheme="majorHAnsi" w:hAnsiTheme="majorHAnsi"/>
          <w:color w:val="000000"/>
          <w:sz w:val="20"/>
          <w:szCs w:val="20"/>
          <w:lang w:val="es-VE"/>
        </w:rPr>
        <w:t>Por el contrario, si bien la imputación de un delito constituye la base de una investigación y proceso penal, la vigencia de la norma permitió que la imputación en sí misma y en ausencia de fines procesales, fuera la base de la detención preventiva.</w:t>
      </w:r>
    </w:p>
    <w:p w:rsidR="00DF19E4" w:rsidRDefault="00DF19E4" w:rsidP="00945A06">
      <w:pPr>
        <w:pStyle w:val="ListParagraph"/>
        <w:rPr>
          <w:rFonts w:asciiTheme="majorHAnsi" w:hAnsiTheme="majorHAnsi"/>
          <w:sz w:val="20"/>
          <w:szCs w:val="20"/>
          <w:lang w:val="es-VE"/>
        </w:rPr>
      </w:pPr>
    </w:p>
    <w:p w:rsidR="00945A06" w:rsidRDefault="00945A06" w:rsidP="0011600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color w:val="000000"/>
          <w:sz w:val="20"/>
          <w:szCs w:val="20"/>
          <w:lang w:val="es-VE"/>
        </w:rPr>
      </w:pPr>
      <w:r>
        <w:rPr>
          <w:rFonts w:asciiTheme="majorHAnsi" w:hAnsiTheme="majorHAnsi"/>
          <w:color w:val="000000"/>
          <w:sz w:val="20"/>
          <w:szCs w:val="20"/>
          <w:lang w:val="es-VE"/>
        </w:rPr>
        <w:t>Tomando en cuenta que el requisito de necesidad no se encuentra satisfecho, la Comisión considera que no es necesario continuar con el análisis del requisito de proporcionalidad en sentido estricto.</w:t>
      </w:r>
    </w:p>
    <w:p w:rsidR="00945A06" w:rsidRDefault="00945A06" w:rsidP="00945A06">
      <w:pPr>
        <w:pStyle w:val="ListParagraph"/>
        <w:rPr>
          <w:rFonts w:asciiTheme="majorHAnsi" w:hAnsiTheme="majorHAnsi"/>
          <w:sz w:val="20"/>
          <w:szCs w:val="20"/>
          <w:lang w:val="es-VE"/>
        </w:rPr>
      </w:pPr>
    </w:p>
    <w:p w:rsidR="008B0826" w:rsidRDefault="00945A06" w:rsidP="008B082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color w:val="000000"/>
          <w:sz w:val="20"/>
          <w:szCs w:val="20"/>
          <w:lang w:val="es-VE"/>
        </w:rPr>
      </w:pPr>
      <w:r>
        <w:rPr>
          <w:rFonts w:asciiTheme="majorHAnsi" w:hAnsiTheme="majorHAnsi"/>
          <w:color w:val="000000"/>
          <w:sz w:val="20"/>
          <w:szCs w:val="20"/>
          <w:lang w:val="es-VE"/>
        </w:rPr>
        <w:t>En</w:t>
      </w:r>
      <w:r w:rsidR="00B03F3C">
        <w:rPr>
          <w:rFonts w:asciiTheme="majorHAnsi" w:hAnsiTheme="majorHAnsi"/>
          <w:color w:val="000000"/>
          <w:sz w:val="20"/>
          <w:szCs w:val="20"/>
          <w:lang w:val="es-VE"/>
        </w:rPr>
        <w:t xml:space="preserve"> virtud de las anteriores consideraciones,</w:t>
      </w:r>
      <w:r>
        <w:rPr>
          <w:rFonts w:asciiTheme="majorHAnsi" w:hAnsiTheme="majorHAnsi"/>
          <w:color w:val="000000"/>
          <w:sz w:val="20"/>
          <w:szCs w:val="20"/>
          <w:lang w:val="es-VE"/>
        </w:rPr>
        <w:t xml:space="preserve"> la Comisión concluye que la diferencia de trato contemplada </w:t>
      </w:r>
      <w:r w:rsidR="007E7891">
        <w:rPr>
          <w:rFonts w:asciiTheme="majorHAnsi" w:hAnsiTheme="majorHAnsi"/>
          <w:color w:val="000000"/>
          <w:sz w:val="20"/>
          <w:szCs w:val="20"/>
          <w:lang w:val="es-VE"/>
        </w:rPr>
        <w:t>en el art</w:t>
      </w:r>
      <w:r w:rsidR="00B03F3C">
        <w:rPr>
          <w:rFonts w:asciiTheme="majorHAnsi" w:hAnsiTheme="majorHAnsi"/>
          <w:color w:val="000000"/>
          <w:sz w:val="20"/>
          <w:szCs w:val="20"/>
          <w:lang w:val="es-VE"/>
        </w:rPr>
        <w:t>ículo 10 de la Ley 24.390, así como</w:t>
      </w:r>
      <w:r w:rsidR="007862B0">
        <w:rPr>
          <w:rFonts w:asciiTheme="majorHAnsi" w:hAnsiTheme="majorHAnsi"/>
          <w:color w:val="000000"/>
          <w:sz w:val="20"/>
          <w:szCs w:val="20"/>
          <w:lang w:val="es-VE"/>
        </w:rPr>
        <w:t xml:space="preserve"> su aplicación en el caso concreto y la </w:t>
      </w:r>
      <w:r w:rsidR="00B03F3C">
        <w:rPr>
          <w:rFonts w:asciiTheme="majorHAnsi" w:hAnsiTheme="majorHAnsi"/>
          <w:color w:val="000000"/>
          <w:sz w:val="20"/>
          <w:szCs w:val="20"/>
          <w:lang w:val="es-VE"/>
        </w:rPr>
        <w:t xml:space="preserve">consecuente restricción en el ejercicio del derecho la libertad personal, resultaron arbitrarias y, por lo tanto, violatorias del principio de igualdad y no discriminación y del derecho a la libertad personal establecidos en los artículos 7 y 24 de la Convención Americana en relación con las obligaciones contenidas en </w:t>
      </w:r>
      <w:r w:rsidR="008F2FAD">
        <w:rPr>
          <w:rFonts w:asciiTheme="majorHAnsi" w:hAnsiTheme="majorHAnsi"/>
          <w:color w:val="000000"/>
          <w:sz w:val="20"/>
          <w:szCs w:val="20"/>
          <w:lang w:val="es-VE"/>
        </w:rPr>
        <w:t>los artículos 1.1 y 2</w:t>
      </w:r>
      <w:r w:rsidR="00B03F3C">
        <w:rPr>
          <w:rFonts w:asciiTheme="majorHAnsi" w:hAnsiTheme="majorHAnsi"/>
          <w:color w:val="000000"/>
          <w:sz w:val="20"/>
          <w:szCs w:val="20"/>
          <w:lang w:val="es-VE"/>
        </w:rPr>
        <w:t xml:space="preserve"> del mismo instrumento. </w:t>
      </w:r>
    </w:p>
    <w:p w:rsidR="00542560" w:rsidRPr="00542560" w:rsidRDefault="00542560" w:rsidP="005425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sz w:val="20"/>
          <w:szCs w:val="20"/>
          <w:lang w:val="es-VE"/>
        </w:rPr>
      </w:pPr>
    </w:p>
    <w:p w:rsidR="00B355E4" w:rsidRDefault="0050364E" w:rsidP="00EE24AD">
      <w:pPr>
        <w:pStyle w:val="Heading2"/>
        <w:numPr>
          <w:ilvl w:val="0"/>
          <w:numId w:val="64"/>
        </w:numPr>
        <w:rPr>
          <w:lang w:val="es-ES" w:eastAsia="es-ES"/>
        </w:rPr>
      </w:pPr>
      <w:bookmarkStart w:id="76" w:name="_Toc467577918"/>
      <w:bookmarkStart w:id="77" w:name="_Toc469409101"/>
      <w:r>
        <w:rPr>
          <w:lang w:val="es-ES" w:eastAsia="es-ES"/>
        </w:rPr>
        <w:t>El derecho a la protección judicial y al plazo razonable respecto del proce</w:t>
      </w:r>
      <w:r w:rsidR="001C3143">
        <w:rPr>
          <w:lang w:val="es-ES" w:eastAsia="es-ES"/>
        </w:rPr>
        <w:t>s</w:t>
      </w:r>
      <w:r>
        <w:rPr>
          <w:lang w:val="es-ES" w:eastAsia="es-ES"/>
        </w:rPr>
        <w:t xml:space="preserve">o contencioso administrativo </w:t>
      </w:r>
      <w:r w:rsidR="00B23860" w:rsidRPr="00B56CF7">
        <w:rPr>
          <w:lang w:val="es-ES" w:eastAsia="es-ES"/>
        </w:rPr>
        <w:t>(Artículos 8</w:t>
      </w:r>
      <w:r>
        <w:rPr>
          <w:lang w:val="es-ES" w:eastAsia="es-ES"/>
        </w:rPr>
        <w:t xml:space="preserve">.1, </w:t>
      </w:r>
      <w:r w:rsidR="00B23860" w:rsidRPr="00B56CF7">
        <w:rPr>
          <w:lang w:val="es-ES" w:eastAsia="es-ES"/>
        </w:rPr>
        <w:t>25</w:t>
      </w:r>
      <w:r>
        <w:rPr>
          <w:lang w:val="es-ES" w:eastAsia="es-ES"/>
        </w:rPr>
        <w:t>.1 y 1.1 de la Convención</w:t>
      </w:r>
      <w:r w:rsidR="00B23860" w:rsidRPr="00B56CF7">
        <w:rPr>
          <w:lang w:val="es-ES" w:eastAsia="es-ES"/>
        </w:rPr>
        <w:t xml:space="preserve"> de la Convención Americana</w:t>
      </w:r>
      <w:r w:rsidR="002D43E1" w:rsidRPr="00B56CF7">
        <w:rPr>
          <w:lang w:val="es-ES" w:eastAsia="es-ES"/>
        </w:rPr>
        <w:t>)</w:t>
      </w:r>
      <w:bookmarkEnd w:id="76"/>
      <w:bookmarkEnd w:id="77"/>
    </w:p>
    <w:p w:rsidR="00AA5846" w:rsidRDefault="00AA5846" w:rsidP="00BD6DA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050167" w:rsidRDefault="00050167" w:rsidP="0092554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Pr>
          <w:rFonts w:asciiTheme="majorHAnsi" w:hAnsiTheme="majorHAnsi"/>
          <w:sz w:val="20"/>
          <w:szCs w:val="20"/>
          <w:lang w:val="es-ES"/>
        </w:rPr>
        <w:t xml:space="preserve">El </w:t>
      </w:r>
      <w:r w:rsidRPr="00925544">
        <w:rPr>
          <w:rFonts w:asciiTheme="majorHAnsi" w:hAnsiTheme="majorHAnsi"/>
          <w:sz w:val="20"/>
          <w:szCs w:val="20"/>
          <w:lang w:val="es-ES_tradnl"/>
        </w:rPr>
        <w:t>artículo</w:t>
      </w:r>
      <w:r>
        <w:rPr>
          <w:rFonts w:asciiTheme="majorHAnsi" w:hAnsiTheme="majorHAnsi"/>
          <w:sz w:val="20"/>
          <w:szCs w:val="20"/>
          <w:lang w:val="es-ES"/>
        </w:rPr>
        <w:t xml:space="preserve"> 8.1 </w:t>
      </w:r>
      <w:r w:rsidR="003F3CA4">
        <w:rPr>
          <w:rFonts w:asciiTheme="majorHAnsi" w:hAnsiTheme="majorHAnsi"/>
          <w:sz w:val="20"/>
          <w:szCs w:val="20"/>
          <w:lang w:val="es-ES"/>
        </w:rPr>
        <w:t>de la Convención Americana establece que:</w:t>
      </w:r>
    </w:p>
    <w:p w:rsidR="003F3CA4" w:rsidRDefault="003F3CA4" w:rsidP="0005016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Tahoma" w:hAnsi="Tahoma" w:cs="Tahoma"/>
          <w:color w:val="000000"/>
          <w:sz w:val="18"/>
          <w:szCs w:val="18"/>
          <w:lang w:val="es-CO"/>
        </w:rPr>
      </w:pPr>
    </w:p>
    <w:p w:rsidR="003F3CA4" w:rsidRDefault="003F3CA4" w:rsidP="008B082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Tahoma"/>
          <w:color w:val="000000"/>
          <w:sz w:val="20"/>
          <w:szCs w:val="20"/>
          <w:lang w:val="es-CO"/>
        </w:rPr>
      </w:pPr>
      <w:r w:rsidRPr="003F3CA4">
        <w:rPr>
          <w:rFonts w:asciiTheme="majorHAnsi" w:hAnsiTheme="majorHAnsi" w:cs="Tahoma"/>
          <w:color w:val="000000"/>
          <w:sz w:val="20"/>
          <w:szCs w:val="20"/>
          <w:lang w:val="es-CO"/>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C76328" w:rsidRDefault="00C76328" w:rsidP="003F3C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630"/>
        <w:jc w:val="both"/>
        <w:rPr>
          <w:rFonts w:asciiTheme="majorHAnsi" w:hAnsiTheme="majorHAnsi" w:cs="Tahoma"/>
          <w:color w:val="000000"/>
          <w:sz w:val="20"/>
          <w:szCs w:val="20"/>
          <w:lang w:val="es-CO"/>
        </w:rPr>
      </w:pPr>
    </w:p>
    <w:p w:rsidR="00C76328" w:rsidRPr="003F3CA4" w:rsidRDefault="00C76328" w:rsidP="0092554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CO"/>
        </w:rPr>
      </w:pPr>
      <w:r>
        <w:rPr>
          <w:rFonts w:asciiTheme="majorHAnsi" w:hAnsiTheme="majorHAnsi" w:cs="Tahoma"/>
          <w:color w:val="000000"/>
          <w:sz w:val="20"/>
          <w:szCs w:val="20"/>
          <w:lang w:val="es-CO"/>
        </w:rPr>
        <w:t xml:space="preserve">Los artículos 25.1 y 1.1 de la Convención Americana ya fueron transcritos en secciones previas del presente informe. </w:t>
      </w:r>
    </w:p>
    <w:p w:rsidR="00050167" w:rsidRDefault="00050167" w:rsidP="00BD6DA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395233" w:rsidRPr="00395233" w:rsidRDefault="0017620D" w:rsidP="00BF0E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Pr>
          <w:rFonts w:asciiTheme="majorHAnsi" w:hAnsiTheme="majorHAnsi"/>
          <w:sz w:val="20"/>
          <w:szCs w:val="20"/>
          <w:lang w:val="es-ES_tradnl"/>
        </w:rPr>
        <w:t>U</w:t>
      </w:r>
      <w:r w:rsidR="00BF0E77" w:rsidRPr="0062236D">
        <w:rPr>
          <w:rFonts w:asciiTheme="majorHAnsi" w:hAnsiTheme="majorHAnsi"/>
          <w:sz w:val="20"/>
          <w:szCs w:val="20"/>
          <w:lang w:val="es-ES_tradnl"/>
        </w:rPr>
        <w:t>no de los elementos del debido proceso</w:t>
      </w:r>
      <w:r w:rsidR="00C34B0A">
        <w:rPr>
          <w:rFonts w:asciiTheme="majorHAnsi" w:hAnsiTheme="majorHAnsi"/>
          <w:sz w:val="20"/>
          <w:szCs w:val="20"/>
          <w:lang w:val="es-ES_tradnl"/>
        </w:rPr>
        <w:t xml:space="preserve"> es</w:t>
      </w:r>
      <w:r w:rsidR="00BF0E77" w:rsidRPr="0062236D">
        <w:rPr>
          <w:rFonts w:asciiTheme="majorHAnsi" w:hAnsiTheme="majorHAnsi"/>
          <w:sz w:val="20"/>
          <w:szCs w:val="20"/>
          <w:lang w:val="es-ES_tradnl"/>
        </w:rPr>
        <w:t xml:space="preserve"> que los tribunales decidan los casos sometidos a su conocimiento en un plazo razonable. </w:t>
      </w:r>
      <w:r w:rsidR="00A329E4">
        <w:rPr>
          <w:rFonts w:asciiTheme="majorHAnsi" w:hAnsiTheme="majorHAnsi"/>
          <w:sz w:val="20"/>
          <w:szCs w:val="20"/>
          <w:lang w:val="es-ES_tradnl"/>
        </w:rPr>
        <w:t xml:space="preserve">El cumplimiento de esta garantía implica no sólo que los recursos </w:t>
      </w:r>
      <w:r w:rsidR="00A329E4">
        <w:rPr>
          <w:rFonts w:asciiTheme="majorHAnsi" w:hAnsiTheme="majorHAnsi"/>
          <w:sz w:val="20"/>
          <w:szCs w:val="20"/>
          <w:lang w:val="es-ES_tradnl"/>
        </w:rPr>
        <w:lastRenderedPageBreak/>
        <w:t xml:space="preserve">fueron resueltos en observancia del debido proceso sino también que fueron efectivos </w:t>
      </w:r>
      <w:r w:rsidR="00845699">
        <w:rPr>
          <w:rFonts w:asciiTheme="majorHAnsi" w:hAnsiTheme="majorHAnsi"/>
          <w:sz w:val="20"/>
          <w:szCs w:val="20"/>
          <w:lang w:val="es-ES_tradnl"/>
        </w:rPr>
        <w:t xml:space="preserve">y ofrecieron una debida protección judicial frente a posibles violaciones a los derechos </w:t>
      </w:r>
      <w:r w:rsidR="00395233">
        <w:rPr>
          <w:rFonts w:asciiTheme="majorHAnsi" w:hAnsiTheme="majorHAnsi"/>
          <w:sz w:val="20"/>
          <w:szCs w:val="20"/>
          <w:lang w:val="es-ES_tradnl"/>
        </w:rPr>
        <w:t>h</w:t>
      </w:r>
      <w:r w:rsidR="00845699">
        <w:rPr>
          <w:rFonts w:asciiTheme="majorHAnsi" w:hAnsiTheme="majorHAnsi"/>
          <w:sz w:val="20"/>
          <w:szCs w:val="20"/>
          <w:lang w:val="es-ES_tradnl"/>
        </w:rPr>
        <w:t xml:space="preserve">umanos. </w:t>
      </w:r>
    </w:p>
    <w:p w:rsidR="00395233" w:rsidRDefault="00395233" w:rsidP="00395233">
      <w:pPr>
        <w:pStyle w:val="ListParagraph"/>
        <w:rPr>
          <w:rFonts w:asciiTheme="majorHAnsi" w:hAnsiTheme="majorHAnsi"/>
          <w:sz w:val="20"/>
          <w:szCs w:val="20"/>
          <w:lang w:val="es-ES_tradnl"/>
        </w:rPr>
      </w:pPr>
    </w:p>
    <w:p w:rsidR="00BF0E77" w:rsidRPr="0062236D" w:rsidRDefault="00BE06FB" w:rsidP="00BF0E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Pr>
          <w:rFonts w:asciiTheme="majorHAnsi" w:hAnsiTheme="majorHAnsi"/>
          <w:sz w:val="20"/>
          <w:szCs w:val="20"/>
          <w:lang w:val="es-ES_tradnl"/>
        </w:rPr>
        <w:t>L</w:t>
      </w:r>
      <w:r w:rsidR="00BF0E77" w:rsidRPr="0062236D">
        <w:rPr>
          <w:rFonts w:asciiTheme="majorHAnsi" w:hAnsiTheme="majorHAnsi"/>
          <w:sz w:val="20"/>
          <w:szCs w:val="20"/>
          <w:lang w:val="es-ES_tradnl"/>
        </w:rPr>
        <w:t>a Comisión</w:t>
      </w:r>
      <w:r>
        <w:rPr>
          <w:rFonts w:asciiTheme="majorHAnsi" w:hAnsiTheme="majorHAnsi"/>
          <w:sz w:val="20"/>
          <w:szCs w:val="20"/>
          <w:lang w:val="es-ES_tradnl"/>
        </w:rPr>
        <w:t xml:space="preserve"> recuerda que</w:t>
      </w:r>
      <w:r w:rsidR="00BF0E77" w:rsidRPr="0062236D">
        <w:rPr>
          <w:rFonts w:asciiTheme="majorHAnsi" w:hAnsiTheme="majorHAnsi"/>
          <w:sz w:val="20"/>
          <w:szCs w:val="20"/>
          <w:lang w:val="es-ES_tradnl"/>
        </w:rPr>
        <w:t xml:space="preserve"> </w:t>
      </w:r>
      <w:r w:rsidR="005D334C">
        <w:rPr>
          <w:rFonts w:asciiTheme="majorHAnsi" w:hAnsiTheme="majorHAnsi"/>
          <w:sz w:val="20"/>
          <w:szCs w:val="20"/>
          <w:lang w:val="es-ES_tradnl"/>
        </w:rPr>
        <w:t>los elementos</w:t>
      </w:r>
      <w:r w:rsidR="00E015A1">
        <w:rPr>
          <w:rFonts w:asciiTheme="majorHAnsi" w:hAnsiTheme="majorHAnsi"/>
          <w:sz w:val="20"/>
          <w:szCs w:val="20"/>
          <w:lang w:val="es-ES_tradnl"/>
        </w:rPr>
        <w:t xml:space="preserve"> que han sido tomados en cuenta</w:t>
      </w:r>
      <w:r w:rsidR="005D334C">
        <w:rPr>
          <w:rFonts w:asciiTheme="majorHAnsi" w:hAnsiTheme="majorHAnsi"/>
          <w:sz w:val="20"/>
          <w:szCs w:val="20"/>
          <w:lang w:val="es-ES_tradnl"/>
        </w:rPr>
        <w:t xml:space="preserve"> por </w:t>
      </w:r>
      <w:r w:rsidR="00E015A1">
        <w:rPr>
          <w:rFonts w:asciiTheme="majorHAnsi" w:hAnsiTheme="majorHAnsi"/>
          <w:sz w:val="20"/>
          <w:szCs w:val="20"/>
          <w:lang w:val="es-ES_tradnl"/>
        </w:rPr>
        <w:t xml:space="preserve">los </w:t>
      </w:r>
      <w:r w:rsidR="00BF0E77" w:rsidRPr="0062236D">
        <w:rPr>
          <w:rFonts w:asciiTheme="majorHAnsi" w:hAnsiTheme="majorHAnsi"/>
          <w:sz w:val="20"/>
          <w:szCs w:val="20"/>
          <w:lang w:val="es-ES_tradnl"/>
        </w:rPr>
        <w:t xml:space="preserve">órganos del sistema interamericano </w:t>
      </w:r>
      <w:r w:rsidR="005D334C">
        <w:rPr>
          <w:rFonts w:asciiTheme="majorHAnsi" w:hAnsiTheme="majorHAnsi"/>
          <w:sz w:val="20"/>
          <w:szCs w:val="20"/>
          <w:lang w:val="es-ES_tradnl"/>
        </w:rPr>
        <w:t>para analizar el plazo razonable según las circunstancias de cada caso son:</w:t>
      </w:r>
      <w:r w:rsidR="00BF0E77" w:rsidRPr="0062236D">
        <w:rPr>
          <w:rFonts w:asciiTheme="majorHAnsi" w:hAnsiTheme="majorHAnsi"/>
          <w:sz w:val="20"/>
          <w:szCs w:val="20"/>
          <w:lang w:val="es-ES"/>
        </w:rPr>
        <w:t xml:space="preserve"> i) la complejidad del asunto; ii) la acti</w:t>
      </w:r>
      <w:r w:rsidR="00E015A1">
        <w:rPr>
          <w:rFonts w:asciiTheme="majorHAnsi" w:hAnsiTheme="majorHAnsi"/>
          <w:sz w:val="20"/>
          <w:szCs w:val="20"/>
          <w:lang w:val="es-ES"/>
        </w:rPr>
        <w:t>vidad procesal del interesado;</w:t>
      </w:r>
      <w:r w:rsidR="00BF0E77" w:rsidRPr="0062236D">
        <w:rPr>
          <w:rFonts w:asciiTheme="majorHAnsi" w:hAnsiTheme="majorHAnsi"/>
          <w:sz w:val="20"/>
          <w:szCs w:val="20"/>
          <w:lang w:val="es-ES"/>
        </w:rPr>
        <w:t xml:space="preserve"> iii) la conducta de las autoridades judiciales;</w:t>
      </w:r>
      <w:r w:rsidR="00BF0E77" w:rsidRPr="0062236D">
        <w:rPr>
          <w:rFonts w:asciiTheme="majorHAnsi" w:hAnsiTheme="majorHAnsi"/>
          <w:sz w:val="20"/>
          <w:szCs w:val="20"/>
          <w:lang w:val="es-ES_tradnl"/>
        </w:rPr>
        <w:t xml:space="preserve"> y iv) </w:t>
      </w:r>
      <w:r w:rsidR="00855B3B">
        <w:rPr>
          <w:rFonts w:asciiTheme="majorHAnsi" w:hAnsiTheme="majorHAnsi"/>
          <w:sz w:val="20"/>
          <w:szCs w:val="20"/>
          <w:lang w:val="es-ES_tradnl"/>
        </w:rPr>
        <w:t xml:space="preserve">la </w:t>
      </w:r>
      <w:r w:rsidR="00BF0E77" w:rsidRPr="0062236D">
        <w:rPr>
          <w:rFonts w:asciiTheme="majorHAnsi" w:hAnsiTheme="majorHAnsi"/>
          <w:sz w:val="20"/>
          <w:szCs w:val="20"/>
          <w:lang w:val="es-ES_tradnl"/>
        </w:rPr>
        <w:t>afectación generada en la situación jurídica de la persona involucrada en el proceso</w:t>
      </w:r>
      <w:r w:rsidR="00BF0E77" w:rsidRPr="0062236D">
        <w:rPr>
          <w:rStyle w:val="FootnoteReference"/>
          <w:rFonts w:asciiTheme="majorHAnsi" w:hAnsiTheme="majorHAnsi"/>
          <w:sz w:val="20"/>
          <w:szCs w:val="20"/>
          <w:lang w:val="es-ES_tradnl"/>
        </w:rPr>
        <w:t xml:space="preserve"> </w:t>
      </w:r>
      <w:r w:rsidR="00BF0E77" w:rsidRPr="0062236D">
        <w:rPr>
          <w:rStyle w:val="FootnoteReference"/>
          <w:rFonts w:asciiTheme="majorHAnsi" w:hAnsiTheme="majorHAnsi"/>
          <w:sz w:val="20"/>
          <w:szCs w:val="20"/>
          <w:lang w:val="es-ES_tradnl"/>
        </w:rPr>
        <w:footnoteReference w:id="83"/>
      </w:r>
      <w:r w:rsidR="00BF0E77" w:rsidRPr="0062236D">
        <w:rPr>
          <w:rFonts w:asciiTheme="majorHAnsi" w:hAnsiTheme="majorHAnsi"/>
          <w:sz w:val="20"/>
          <w:szCs w:val="20"/>
          <w:lang w:val="es-ES"/>
        </w:rPr>
        <w:t xml:space="preserve">. </w:t>
      </w:r>
      <w:r w:rsidR="00BF0E77" w:rsidRPr="0062236D">
        <w:rPr>
          <w:rFonts w:asciiTheme="majorHAnsi" w:hAnsiTheme="majorHAnsi"/>
          <w:sz w:val="20"/>
          <w:szCs w:val="20"/>
          <w:lang w:val="es-ES_tradnl"/>
        </w:rPr>
        <w:t>La Corte Interamericana ha establecido que una demora prolongada puede llegar a constituir por sí misma una violación de las garantías judiciales</w:t>
      </w:r>
      <w:r w:rsidR="00BF0E77" w:rsidRPr="0062236D">
        <w:rPr>
          <w:rFonts w:asciiTheme="majorHAnsi" w:hAnsiTheme="majorHAnsi"/>
          <w:sz w:val="20"/>
          <w:szCs w:val="20"/>
          <w:vertAlign w:val="superscript"/>
          <w:lang w:val="es-ES_tradnl"/>
        </w:rPr>
        <w:footnoteReference w:id="84"/>
      </w:r>
      <w:r w:rsidR="00BF0E77" w:rsidRPr="0062236D">
        <w:rPr>
          <w:rFonts w:asciiTheme="majorHAnsi" w:hAnsiTheme="majorHAnsi"/>
          <w:sz w:val="20"/>
          <w:szCs w:val="20"/>
          <w:lang w:val="es-ES_tradnl"/>
        </w:rPr>
        <w:t>, por lo cual, corresponde al Estado exponer y probar la razón por la cual se ha requerido más tiempo del razonable para dictar sentencia definitiva en un caso particular</w:t>
      </w:r>
      <w:r w:rsidR="00BF0E77" w:rsidRPr="0062236D">
        <w:rPr>
          <w:rFonts w:asciiTheme="majorHAnsi" w:hAnsiTheme="majorHAnsi"/>
          <w:sz w:val="20"/>
          <w:szCs w:val="20"/>
          <w:vertAlign w:val="superscript"/>
          <w:lang w:val="es-ES_tradnl"/>
        </w:rPr>
        <w:footnoteReference w:id="85"/>
      </w:r>
      <w:r w:rsidR="00BF0E77" w:rsidRPr="0062236D">
        <w:rPr>
          <w:rFonts w:asciiTheme="majorHAnsi" w:hAnsiTheme="majorHAnsi"/>
          <w:sz w:val="20"/>
          <w:szCs w:val="20"/>
          <w:lang w:val="es-ES_tradnl"/>
        </w:rPr>
        <w:t>.</w:t>
      </w:r>
    </w:p>
    <w:p w:rsidR="00BF0E77" w:rsidRPr="00AA5846" w:rsidRDefault="00BF0E77" w:rsidP="00BD6DA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EC1348" w:rsidRPr="00760EF5" w:rsidRDefault="00FD55C0" w:rsidP="00760EF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VE"/>
        </w:rPr>
        <w:t xml:space="preserve">Según lo indicado en los hechos probados, </w:t>
      </w:r>
      <w:r w:rsidR="002D43E1" w:rsidRPr="0062236D">
        <w:rPr>
          <w:rFonts w:asciiTheme="majorHAnsi" w:hAnsiTheme="majorHAnsi"/>
          <w:sz w:val="20"/>
          <w:szCs w:val="20"/>
          <w:lang w:val="es-VE"/>
        </w:rPr>
        <w:t>en diciembre de 1999 el peticionario presentó una demanda por daños y perjuicios en contra del Estado y en contra del Juez Galeano</w:t>
      </w:r>
      <w:r w:rsidR="00661C57">
        <w:rPr>
          <w:rFonts w:asciiTheme="majorHAnsi" w:hAnsiTheme="majorHAnsi"/>
          <w:sz w:val="20"/>
          <w:szCs w:val="20"/>
          <w:lang w:val="es-VE"/>
        </w:rPr>
        <w:t xml:space="preserve">, quien </w:t>
      </w:r>
      <w:r w:rsidR="002D43E1" w:rsidRPr="0062236D">
        <w:rPr>
          <w:rFonts w:asciiTheme="majorHAnsi" w:hAnsiTheme="majorHAnsi"/>
          <w:sz w:val="20"/>
          <w:szCs w:val="20"/>
          <w:lang w:val="es-VE"/>
        </w:rPr>
        <w:t>ordenó su detención en 1994</w:t>
      </w:r>
      <w:r w:rsidR="00DE2FE5">
        <w:rPr>
          <w:rFonts w:asciiTheme="majorHAnsi" w:hAnsiTheme="majorHAnsi"/>
          <w:sz w:val="20"/>
          <w:szCs w:val="20"/>
          <w:lang w:val="es-VE"/>
        </w:rPr>
        <w:t>, a fin de obtener una reparación por las afectaciones derivadas del tiempo en que estuvo sometido a proceso y en detención preventi</w:t>
      </w:r>
      <w:r w:rsidR="005F62A4">
        <w:rPr>
          <w:rFonts w:asciiTheme="majorHAnsi" w:hAnsiTheme="majorHAnsi"/>
          <w:sz w:val="20"/>
          <w:szCs w:val="20"/>
          <w:lang w:val="es-VE"/>
        </w:rPr>
        <w:t>v</w:t>
      </w:r>
      <w:r w:rsidR="00DE2FE5">
        <w:rPr>
          <w:rFonts w:asciiTheme="majorHAnsi" w:hAnsiTheme="majorHAnsi"/>
          <w:sz w:val="20"/>
          <w:szCs w:val="20"/>
          <w:lang w:val="es-VE"/>
        </w:rPr>
        <w:t>a.</w:t>
      </w:r>
      <w:r w:rsidR="00661C57">
        <w:rPr>
          <w:rFonts w:asciiTheme="majorHAnsi" w:hAnsiTheme="majorHAnsi"/>
          <w:sz w:val="20"/>
          <w:szCs w:val="20"/>
          <w:lang w:val="es-VE"/>
        </w:rPr>
        <w:t xml:space="preserve"> Esta demanda fue tramitada por </w:t>
      </w:r>
      <w:r w:rsidR="002D43E1" w:rsidRPr="0062236D">
        <w:rPr>
          <w:rFonts w:asciiTheme="majorHAnsi" w:hAnsiTheme="majorHAnsi"/>
          <w:sz w:val="20"/>
          <w:szCs w:val="20"/>
          <w:lang w:val="es-VE"/>
        </w:rPr>
        <w:t>la Jueza Federal de Primera Instancia en lo Con</w:t>
      </w:r>
      <w:r w:rsidR="00661C57">
        <w:rPr>
          <w:rFonts w:asciiTheme="majorHAnsi" w:hAnsiTheme="majorHAnsi"/>
          <w:sz w:val="20"/>
          <w:szCs w:val="20"/>
          <w:lang w:val="es-VE"/>
        </w:rPr>
        <w:t>tencioso Administrativo No. 10 y parcialmente rechazada el 8 de junio de 2000</w:t>
      </w:r>
      <w:r w:rsidR="00E015A1">
        <w:rPr>
          <w:rFonts w:asciiTheme="majorHAnsi" w:hAnsiTheme="majorHAnsi"/>
          <w:sz w:val="20"/>
          <w:szCs w:val="20"/>
          <w:lang w:val="es-VE"/>
        </w:rPr>
        <w:t>,</w:t>
      </w:r>
      <w:r w:rsidR="00661C57">
        <w:rPr>
          <w:rFonts w:asciiTheme="majorHAnsi" w:hAnsiTheme="majorHAnsi"/>
          <w:sz w:val="20"/>
          <w:szCs w:val="20"/>
          <w:lang w:val="es-VE"/>
        </w:rPr>
        <w:t xml:space="preserve"> </w:t>
      </w:r>
      <w:r w:rsidR="002D43E1" w:rsidRPr="00661C57">
        <w:rPr>
          <w:rFonts w:asciiTheme="majorHAnsi" w:hAnsiTheme="majorHAnsi"/>
          <w:sz w:val="20"/>
          <w:szCs w:val="20"/>
          <w:lang w:val="es-ES" w:eastAsia="es-ES"/>
        </w:rPr>
        <w:t>al acogerse una excepción de falta de legitimación para ser demandado</w:t>
      </w:r>
      <w:r w:rsidR="00661C57">
        <w:rPr>
          <w:rFonts w:asciiTheme="majorHAnsi" w:hAnsiTheme="majorHAnsi"/>
          <w:sz w:val="20"/>
          <w:szCs w:val="20"/>
          <w:lang w:val="es-ES" w:eastAsia="es-ES"/>
        </w:rPr>
        <w:t xml:space="preserve"> interpuesta por el referido Juez Galeano</w:t>
      </w:r>
      <w:r w:rsidR="00E015A1">
        <w:rPr>
          <w:rFonts w:asciiTheme="majorHAnsi" w:hAnsiTheme="majorHAnsi"/>
          <w:sz w:val="20"/>
          <w:szCs w:val="20"/>
          <w:lang w:val="es-ES" w:eastAsia="es-ES"/>
        </w:rPr>
        <w:t>,</w:t>
      </w:r>
      <w:r w:rsidR="00661C57">
        <w:rPr>
          <w:rFonts w:asciiTheme="majorHAnsi" w:hAnsiTheme="majorHAnsi"/>
          <w:sz w:val="20"/>
          <w:szCs w:val="20"/>
          <w:lang w:val="es-ES" w:eastAsia="es-ES"/>
        </w:rPr>
        <w:t xml:space="preserve"> bajo el argumento de no haberse solicitado previamente su desafuero. En atención a lo anterior, la demanda continuó únicamente respecto del </w:t>
      </w:r>
      <w:r w:rsidR="002D43E1" w:rsidRPr="00661C57">
        <w:rPr>
          <w:rFonts w:asciiTheme="majorHAnsi" w:hAnsiTheme="majorHAnsi"/>
          <w:sz w:val="20"/>
          <w:szCs w:val="20"/>
          <w:lang w:val="es-ES" w:eastAsia="es-ES"/>
        </w:rPr>
        <w:t>Estado Nacional</w:t>
      </w:r>
      <w:r w:rsidR="00760EF5">
        <w:rPr>
          <w:rFonts w:asciiTheme="majorHAnsi" w:hAnsiTheme="majorHAnsi"/>
          <w:sz w:val="20"/>
          <w:szCs w:val="20"/>
          <w:lang w:val="es-ES" w:eastAsia="es-ES"/>
        </w:rPr>
        <w:t>, en el marco de la cual e</w:t>
      </w:r>
      <w:r w:rsidR="00274946" w:rsidRPr="00760EF5">
        <w:rPr>
          <w:rFonts w:asciiTheme="majorHAnsi" w:hAnsiTheme="majorHAnsi"/>
          <w:sz w:val="20"/>
          <w:szCs w:val="20"/>
          <w:lang w:val="es-ES" w:eastAsia="es-ES"/>
        </w:rPr>
        <w:t>l 30 de abril de 2007</w:t>
      </w:r>
      <w:r w:rsidR="00760EF5">
        <w:rPr>
          <w:rFonts w:asciiTheme="majorHAnsi" w:hAnsiTheme="majorHAnsi"/>
          <w:sz w:val="20"/>
          <w:szCs w:val="20"/>
          <w:lang w:val="es-ES" w:eastAsia="es-ES"/>
        </w:rPr>
        <w:t xml:space="preserve"> se emitió una decisión de rechazo</w:t>
      </w:r>
      <w:r w:rsidR="00E015A1">
        <w:rPr>
          <w:rFonts w:asciiTheme="majorHAnsi" w:hAnsiTheme="majorHAnsi"/>
          <w:sz w:val="20"/>
          <w:szCs w:val="20"/>
          <w:lang w:val="es-ES" w:eastAsia="es-ES"/>
        </w:rPr>
        <w:t>,</w:t>
      </w:r>
      <w:r w:rsidR="00760EF5">
        <w:rPr>
          <w:rFonts w:asciiTheme="majorHAnsi" w:hAnsiTheme="majorHAnsi"/>
          <w:sz w:val="20"/>
          <w:szCs w:val="20"/>
          <w:lang w:val="es-ES" w:eastAsia="es-ES"/>
        </w:rPr>
        <w:t xml:space="preserve"> pues </w:t>
      </w:r>
      <w:r w:rsidR="002C3926" w:rsidRPr="00760EF5">
        <w:rPr>
          <w:rFonts w:asciiTheme="majorHAnsi" w:hAnsiTheme="majorHAnsi"/>
          <w:sz w:val="20"/>
          <w:szCs w:val="20"/>
          <w:lang w:val="es-ES" w:eastAsia="es-ES"/>
        </w:rPr>
        <w:t xml:space="preserve">la absolución no fue dictada en virtud de su “inocencia manifiesta” </w:t>
      </w:r>
      <w:r w:rsidR="00760EF5">
        <w:rPr>
          <w:rFonts w:asciiTheme="majorHAnsi" w:hAnsiTheme="majorHAnsi"/>
          <w:sz w:val="20"/>
          <w:szCs w:val="20"/>
          <w:lang w:val="es-ES" w:eastAsia="es-ES"/>
        </w:rPr>
        <w:t xml:space="preserve">y </w:t>
      </w:r>
      <w:r w:rsidR="002C3926" w:rsidRPr="00760EF5">
        <w:rPr>
          <w:rFonts w:asciiTheme="majorHAnsi" w:hAnsiTheme="majorHAnsi"/>
          <w:sz w:val="20"/>
          <w:szCs w:val="20"/>
          <w:lang w:val="es-ES" w:eastAsia="es-ES"/>
        </w:rPr>
        <w:t xml:space="preserve">el auto de </w:t>
      </w:r>
      <w:r w:rsidR="00760EF5">
        <w:rPr>
          <w:rFonts w:asciiTheme="majorHAnsi" w:hAnsiTheme="majorHAnsi"/>
          <w:sz w:val="20"/>
          <w:szCs w:val="20"/>
          <w:lang w:val="es-ES" w:eastAsia="es-ES"/>
        </w:rPr>
        <w:t xml:space="preserve">detención </w:t>
      </w:r>
      <w:r w:rsidR="002C3926" w:rsidRPr="00760EF5">
        <w:rPr>
          <w:rFonts w:asciiTheme="majorHAnsi" w:hAnsiTheme="majorHAnsi"/>
          <w:sz w:val="20"/>
          <w:szCs w:val="20"/>
          <w:lang w:val="es-ES" w:eastAsia="es-ES"/>
        </w:rPr>
        <w:t>preventiva</w:t>
      </w:r>
      <w:r w:rsidR="00760EF5">
        <w:rPr>
          <w:rFonts w:asciiTheme="majorHAnsi" w:hAnsiTheme="majorHAnsi"/>
          <w:sz w:val="20"/>
          <w:szCs w:val="20"/>
          <w:lang w:val="es-ES" w:eastAsia="es-ES"/>
        </w:rPr>
        <w:t xml:space="preserve"> no fue </w:t>
      </w:r>
      <w:r w:rsidR="002C3926" w:rsidRPr="00760EF5">
        <w:rPr>
          <w:rFonts w:asciiTheme="majorHAnsi" w:hAnsiTheme="majorHAnsi"/>
          <w:sz w:val="20"/>
          <w:szCs w:val="20"/>
          <w:lang w:val="es-ES" w:eastAsia="es-ES"/>
        </w:rPr>
        <w:t>incuestionablemente infundado o arbitrario</w:t>
      </w:r>
      <w:r w:rsidR="002C3926" w:rsidRPr="00760EF5">
        <w:rPr>
          <w:rFonts w:asciiTheme="majorHAnsi" w:hAnsiTheme="majorHAnsi"/>
          <w:sz w:val="20"/>
          <w:szCs w:val="20"/>
          <w:lang w:val="es-VE"/>
        </w:rPr>
        <w:t>.</w:t>
      </w:r>
      <w:r w:rsidR="00194B70">
        <w:rPr>
          <w:rFonts w:asciiTheme="majorHAnsi" w:hAnsiTheme="majorHAnsi"/>
          <w:sz w:val="20"/>
          <w:szCs w:val="20"/>
          <w:lang w:val="es-VE"/>
        </w:rPr>
        <w:t xml:space="preserve"> </w:t>
      </w:r>
      <w:r w:rsidR="0029419C" w:rsidRPr="00B56CF7">
        <w:rPr>
          <w:rFonts w:asciiTheme="majorHAnsi" w:hAnsiTheme="majorHAnsi"/>
          <w:sz w:val="20"/>
          <w:szCs w:val="20"/>
          <w:lang w:val="es-ES" w:eastAsia="es-ES"/>
        </w:rPr>
        <w:t xml:space="preserve">La Comisión no tiene información respecto </w:t>
      </w:r>
      <w:r w:rsidR="0029419C">
        <w:rPr>
          <w:rFonts w:asciiTheme="majorHAnsi" w:hAnsiTheme="majorHAnsi"/>
          <w:sz w:val="20"/>
          <w:szCs w:val="20"/>
          <w:lang w:val="es-ES" w:eastAsia="es-ES"/>
        </w:rPr>
        <w:t>de</w:t>
      </w:r>
      <w:r w:rsidR="0029419C" w:rsidRPr="00B56CF7">
        <w:rPr>
          <w:rFonts w:asciiTheme="majorHAnsi" w:hAnsiTheme="majorHAnsi"/>
          <w:sz w:val="20"/>
          <w:szCs w:val="20"/>
          <w:lang w:val="es-ES" w:eastAsia="es-ES"/>
        </w:rPr>
        <w:t xml:space="preserve"> las diligencias realizadas en el marco del proceso por daños y perjuicios entre junio de 2000 y abril de 2007. </w:t>
      </w:r>
      <w:r w:rsidR="00194B70">
        <w:rPr>
          <w:rFonts w:asciiTheme="majorHAnsi" w:hAnsiTheme="majorHAnsi"/>
          <w:sz w:val="20"/>
          <w:szCs w:val="20"/>
          <w:lang w:val="es-VE"/>
        </w:rPr>
        <w:t xml:space="preserve">Esta decisión fue apelada </w:t>
      </w:r>
      <w:r w:rsidR="002C3926" w:rsidRPr="00760EF5">
        <w:rPr>
          <w:rFonts w:asciiTheme="majorHAnsi" w:hAnsiTheme="majorHAnsi"/>
          <w:sz w:val="20"/>
          <w:szCs w:val="20"/>
          <w:lang w:val="es-VE"/>
        </w:rPr>
        <w:t xml:space="preserve">y el </w:t>
      </w:r>
      <w:r w:rsidR="00753C72" w:rsidRPr="00760EF5">
        <w:rPr>
          <w:rFonts w:asciiTheme="majorHAnsi" w:hAnsiTheme="majorHAnsi"/>
          <w:sz w:val="20"/>
          <w:szCs w:val="20"/>
          <w:lang w:val="es-VE"/>
        </w:rPr>
        <w:t xml:space="preserve">25 de marzo de 2009 la Sala III de la Cámara Nacional de Apelaciones en lo Contencioso Administrativo Federal declaró desierto el recurso </w:t>
      </w:r>
      <w:r w:rsidR="00194B70">
        <w:rPr>
          <w:rFonts w:asciiTheme="majorHAnsi" w:hAnsiTheme="majorHAnsi"/>
          <w:sz w:val="20"/>
          <w:szCs w:val="20"/>
          <w:lang w:val="es-VE"/>
        </w:rPr>
        <w:t xml:space="preserve">debido a que </w:t>
      </w:r>
      <w:r w:rsidR="00753C72" w:rsidRPr="00760EF5">
        <w:rPr>
          <w:rFonts w:asciiTheme="majorHAnsi" w:hAnsiTheme="majorHAnsi"/>
          <w:sz w:val="20"/>
          <w:szCs w:val="20"/>
          <w:lang w:val="es-VE"/>
        </w:rPr>
        <w:t xml:space="preserve">el apelante no controvirtió las razones esgrimidas por la jueza en la decisión de primera instancia. </w:t>
      </w:r>
    </w:p>
    <w:p w:rsidR="00EC1348" w:rsidRPr="00B56CF7" w:rsidRDefault="00EC1348" w:rsidP="00EC1348">
      <w:pPr>
        <w:pStyle w:val="ListParagraph"/>
        <w:rPr>
          <w:rFonts w:asciiTheme="majorHAnsi" w:hAnsiTheme="majorHAnsi"/>
          <w:sz w:val="20"/>
          <w:szCs w:val="20"/>
          <w:lang w:val="es-ES"/>
        </w:rPr>
      </w:pPr>
    </w:p>
    <w:p w:rsidR="00EC1348" w:rsidRPr="0062236D" w:rsidRDefault="0029419C" w:rsidP="00EC134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Pr>
          <w:rFonts w:asciiTheme="majorHAnsi" w:hAnsiTheme="majorHAnsi"/>
          <w:sz w:val="20"/>
          <w:szCs w:val="20"/>
          <w:lang w:val="es-ES" w:eastAsia="es-ES"/>
        </w:rPr>
        <w:t xml:space="preserve">En virtud de lo anterior, la totalidad del proceso de daños y perjuicios tuvo una duración de nueve años y tres meses. </w:t>
      </w:r>
    </w:p>
    <w:p w:rsidR="00EC1348" w:rsidRPr="0062236D" w:rsidRDefault="00EC1348" w:rsidP="00EC1348">
      <w:pPr>
        <w:rPr>
          <w:rFonts w:asciiTheme="majorHAnsi" w:hAnsiTheme="majorHAnsi"/>
          <w:sz w:val="20"/>
          <w:szCs w:val="20"/>
          <w:lang w:val="es-ES"/>
        </w:rPr>
      </w:pPr>
    </w:p>
    <w:p w:rsidR="00EC1348" w:rsidRPr="0062236D" w:rsidRDefault="004879A8" w:rsidP="00EC134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62236D">
        <w:rPr>
          <w:rFonts w:asciiTheme="majorHAnsi" w:hAnsiTheme="majorHAnsi"/>
          <w:sz w:val="20"/>
          <w:szCs w:val="20"/>
          <w:lang w:val="es-ES"/>
        </w:rPr>
        <w:t>En cuanto al primer elemento,</w:t>
      </w:r>
      <w:r w:rsidR="00FD0D0F">
        <w:rPr>
          <w:rFonts w:asciiTheme="majorHAnsi" w:hAnsiTheme="majorHAnsi"/>
          <w:sz w:val="20"/>
          <w:szCs w:val="20"/>
          <w:lang w:val="es-ES"/>
        </w:rPr>
        <w:t xml:space="preserve"> esto es, la complejidad del asunto, </w:t>
      </w:r>
      <w:r w:rsidRPr="0062236D">
        <w:rPr>
          <w:rFonts w:asciiTheme="majorHAnsi" w:hAnsiTheme="majorHAnsi"/>
          <w:sz w:val="20"/>
          <w:szCs w:val="20"/>
          <w:lang w:val="es-ES"/>
        </w:rPr>
        <w:t>la Comisi</w:t>
      </w:r>
      <w:r w:rsidR="006570B1" w:rsidRPr="0062236D">
        <w:rPr>
          <w:rFonts w:asciiTheme="majorHAnsi" w:hAnsiTheme="majorHAnsi"/>
          <w:sz w:val="20"/>
          <w:szCs w:val="20"/>
          <w:lang w:val="es-ES"/>
        </w:rPr>
        <w:t xml:space="preserve">ón observa que </w:t>
      </w:r>
      <w:r w:rsidR="00147111" w:rsidRPr="0062236D">
        <w:rPr>
          <w:rFonts w:asciiTheme="majorHAnsi" w:hAnsiTheme="majorHAnsi"/>
          <w:sz w:val="20"/>
          <w:szCs w:val="20"/>
          <w:lang w:val="es-ES"/>
        </w:rPr>
        <w:t>la</w:t>
      </w:r>
      <w:r w:rsidR="00E90F9A">
        <w:rPr>
          <w:rFonts w:asciiTheme="majorHAnsi" w:hAnsiTheme="majorHAnsi"/>
          <w:sz w:val="20"/>
          <w:szCs w:val="20"/>
          <w:lang w:val="es-ES"/>
        </w:rPr>
        <w:t xml:space="preserve"> demanda de </w:t>
      </w:r>
      <w:r w:rsidR="006570B1" w:rsidRPr="0062236D">
        <w:rPr>
          <w:rFonts w:asciiTheme="majorHAnsi" w:hAnsiTheme="majorHAnsi"/>
          <w:sz w:val="20"/>
          <w:szCs w:val="20"/>
          <w:lang w:val="es-ES"/>
        </w:rPr>
        <w:t xml:space="preserve">daños y perjuicios interpuesta por el peticionario </w:t>
      </w:r>
      <w:r w:rsidR="00147111" w:rsidRPr="0062236D">
        <w:rPr>
          <w:rFonts w:asciiTheme="majorHAnsi" w:hAnsiTheme="majorHAnsi"/>
          <w:sz w:val="20"/>
          <w:szCs w:val="20"/>
          <w:lang w:val="es-ES"/>
        </w:rPr>
        <w:t xml:space="preserve">tenía por objeto obtener una indemnización pecuniaria por </w:t>
      </w:r>
      <w:r w:rsidR="00410AE9">
        <w:rPr>
          <w:rFonts w:asciiTheme="majorHAnsi" w:hAnsiTheme="majorHAnsi"/>
          <w:sz w:val="20"/>
          <w:szCs w:val="20"/>
          <w:lang w:val="es-ES"/>
        </w:rPr>
        <w:t>la</w:t>
      </w:r>
      <w:r w:rsidR="00147111" w:rsidRPr="0062236D">
        <w:rPr>
          <w:rFonts w:asciiTheme="majorHAnsi" w:hAnsiTheme="majorHAnsi"/>
          <w:sz w:val="20"/>
          <w:szCs w:val="20"/>
          <w:lang w:val="es-ES"/>
        </w:rPr>
        <w:t xml:space="preserve"> detención preventiva</w:t>
      </w:r>
      <w:r w:rsidR="00410AE9">
        <w:rPr>
          <w:rFonts w:asciiTheme="majorHAnsi" w:hAnsiTheme="majorHAnsi"/>
          <w:sz w:val="20"/>
          <w:szCs w:val="20"/>
          <w:lang w:val="es-ES"/>
        </w:rPr>
        <w:t xml:space="preserve"> y su extensión a la luz de su </w:t>
      </w:r>
      <w:r w:rsidR="00147111" w:rsidRPr="0062236D">
        <w:rPr>
          <w:rFonts w:asciiTheme="majorHAnsi" w:hAnsiTheme="majorHAnsi"/>
          <w:sz w:val="20"/>
          <w:szCs w:val="20"/>
          <w:lang w:val="es-ES"/>
        </w:rPr>
        <w:t>absolución en el proceso al cual fue sometido</w:t>
      </w:r>
      <w:r w:rsidR="00424BAB" w:rsidRPr="0062236D">
        <w:rPr>
          <w:rFonts w:asciiTheme="majorHAnsi" w:hAnsiTheme="majorHAnsi"/>
          <w:sz w:val="20"/>
          <w:szCs w:val="20"/>
          <w:lang w:val="es-ES"/>
        </w:rPr>
        <w:t xml:space="preserve">. </w:t>
      </w:r>
      <w:r w:rsidR="00D86424">
        <w:rPr>
          <w:rFonts w:asciiTheme="majorHAnsi" w:hAnsiTheme="majorHAnsi"/>
          <w:sz w:val="20"/>
          <w:szCs w:val="20"/>
          <w:lang w:val="es-ES"/>
        </w:rPr>
        <w:t xml:space="preserve">En ese sentido, </w:t>
      </w:r>
      <w:r w:rsidR="00424BAB" w:rsidRPr="0062236D">
        <w:rPr>
          <w:rFonts w:asciiTheme="majorHAnsi" w:hAnsiTheme="majorHAnsi"/>
          <w:sz w:val="20"/>
          <w:szCs w:val="20"/>
          <w:lang w:val="es-ES"/>
        </w:rPr>
        <w:t xml:space="preserve">las determinaciones del tribunal </w:t>
      </w:r>
      <w:r w:rsidR="00D86424">
        <w:rPr>
          <w:rFonts w:asciiTheme="majorHAnsi" w:hAnsiTheme="majorHAnsi"/>
          <w:sz w:val="20"/>
          <w:szCs w:val="20"/>
          <w:lang w:val="es-ES"/>
        </w:rPr>
        <w:t xml:space="preserve">respecto de la posible responsabilidad del Estado por tales hechos no implicaba práctica extensa de pruebas ni la necesidad de dilucidar debates fácticos importantes. De hecho, como resulta de la propia decisión que rechazó en primera instancia la demanda, la misma se basó en la motivación de la absolución de la víctima, motivación que tuvo a la vista desde el inicio del procedimiento. </w:t>
      </w:r>
      <w:r w:rsidR="00C81CD6">
        <w:rPr>
          <w:rFonts w:asciiTheme="majorHAnsi" w:hAnsiTheme="majorHAnsi"/>
          <w:sz w:val="20"/>
          <w:szCs w:val="20"/>
          <w:lang w:val="es-ES"/>
        </w:rPr>
        <w:t xml:space="preserve">En consecuencia, la Comisión considera que el proceso no </w:t>
      </w:r>
      <w:r w:rsidR="00424BAB" w:rsidRPr="0062236D">
        <w:rPr>
          <w:rFonts w:asciiTheme="majorHAnsi" w:hAnsiTheme="majorHAnsi"/>
          <w:sz w:val="20"/>
          <w:szCs w:val="20"/>
          <w:lang w:val="es-ES"/>
        </w:rPr>
        <w:t xml:space="preserve">revestía una particular complejidad. </w:t>
      </w:r>
      <w:r w:rsidR="00C81CD6">
        <w:rPr>
          <w:rFonts w:asciiTheme="majorHAnsi" w:hAnsiTheme="majorHAnsi"/>
          <w:sz w:val="20"/>
          <w:szCs w:val="20"/>
          <w:lang w:val="es-ES"/>
        </w:rPr>
        <w:t xml:space="preserve">En todo caso, la Comisión destaca que </w:t>
      </w:r>
      <w:r w:rsidR="00424BAB" w:rsidRPr="0062236D">
        <w:rPr>
          <w:rFonts w:asciiTheme="majorHAnsi" w:hAnsiTheme="majorHAnsi"/>
          <w:sz w:val="20"/>
          <w:szCs w:val="20"/>
          <w:lang w:val="es-ES"/>
        </w:rPr>
        <w:t>el Estado no argumentó específicamente las razones por las cuales la complejidad habría incidi</w:t>
      </w:r>
      <w:r w:rsidR="00E43C7E" w:rsidRPr="0062236D">
        <w:rPr>
          <w:rFonts w:asciiTheme="majorHAnsi" w:hAnsiTheme="majorHAnsi"/>
          <w:sz w:val="20"/>
          <w:szCs w:val="20"/>
          <w:lang w:val="es-ES"/>
        </w:rPr>
        <w:t>do en la duración del proceso.</w:t>
      </w:r>
    </w:p>
    <w:p w:rsidR="00EC1348" w:rsidRPr="00B56CF7" w:rsidRDefault="00EC1348" w:rsidP="00EC1348">
      <w:pPr>
        <w:pStyle w:val="ListParagraph"/>
        <w:rPr>
          <w:rFonts w:asciiTheme="majorHAnsi" w:hAnsiTheme="majorHAnsi"/>
          <w:sz w:val="20"/>
          <w:szCs w:val="20"/>
          <w:lang w:val="es-ES"/>
        </w:rPr>
      </w:pPr>
    </w:p>
    <w:p w:rsidR="00EC1348" w:rsidRPr="0062236D" w:rsidRDefault="00A06120" w:rsidP="00EC134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B56CF7">
        <w:rPr>
          <w:rFonts w:asciiTheme="majorHAnsi" w:hAnsiTheme="majorHAnsi"/>
          <w:sz w:val="20"/>
          <w:szCs w:val="20"/>
          <w:lang w:val="es-ES" w:eastAsia="es-ES"/>
        </w:rPr>
        <w:t>En cuanto a la actuación de las autoridades estatales, la Comisión reitera que no cuenta con información de actuación alguna realizada entre junio de 2000 y abril de 2007 en el marco del proceso por daños y perjuicios. La Comisión recuerda que</w:t>
      </w:r>
      <w:r w:rsidR="00FF64F1">
        <w:rPr>
          <w:rFonts w:asciiTheme="majorHAnsi" w:hAnsiTheme="majorHAnsi"/>
          <w:sz w:val="20"/>
          <w:szCs w:val="20"/>
          <w:lang w:val="es-ES" w:eastAsia="es-ES"/>
        </w:rPr>
        <w:t xml:space="preserve"> conforme a los estándares descritos,</w:t>
      </w:r>
      <w:r w:rsidRPr="00B56CF7">
        <w:rPr>
          <w:rFonts w:asciiTheme="majorHAnsi" w:hAnsiTheme="majorHAnsi"/>
          <w:sz w:val="20"/>
          <w:szCs w:val="20"/>
          <w:lang w:val="es-ES" w:eastAsia="es-ES"/>
        </w:rPr>
        <w:t xml:space="preserve"> corresponde al Estado </w:t>
      </w:r>
      <w:r w:rsidR="00F42BD0" w:rsidRPr="00B56CF7">
        <w:rPr>
          <w:rFonts w:asciiTheme="majorHAnsi" w:hAnsiTheme="majorHAnsi"/>
          <w:sz w:val="20"/>
          <w:szCs w:val="20"/>
          <w:lang w:val="es-ES" w:eastAsia="es-ES"/>
        </w:rPr>
        <w:t xml:space="preserve">exponer y probar la razón por la cual se ha requerido más tiempo del razonable para dictar sentencia </w:t>
      </w:r>
      <w:r w:rsidR="00F42BD0" w:rsidRPr="00B56CF7">
        <w:rPr>
          <w:rFonts w:asciiTheme="majorHAnsi" w:hAnsiTheme="majorHAnsi"/>
          <w:sz w:val="20"/>
          <w:szCs w:val="20"/>
          <w:lang w:val="es-ES" w:eastAsia="es-ES"/>
        </w:rPr>
        <w:lastRenderedPageBreak/>
        <w:t xml:space="preserve">definitiva en un caso particular. </w:t>
      </w:r>
      <w:r w:rsidR="000C22E5">
        <w:rPr>
          <w:rFonts w:asciiTheme="majorHAnsi" w:hAnsiTheme="majorHAnsi"/>
          <w:sz w:val="20"/>
          <w:szCs w:val="20"/>
          <w:lang w:val="es-ES" w:eastAsia="es-ES"/>
        </w:rPr>
        <w:t xml:space="preserve">Tampoco existe información que indique que el señor Jenkins obstaculizó </w:t>
      </w:r>
      <w:r w:rsidR="00032E59">
        <w:rPr>
          <w:rFonts w:asciiTheme="majorHAnsi" w:hAnsiTheme="majorHAnsi"/>
          <w:sz w:val="20"/>
          <w:szCs w:val="20"/>
          <w:lang w:val="es-ES" w:eastAsia="es-ES"/>
        </w:rPr>
        <w:t xml:space="preserve">dicho proceso. </w:t>
      </w:r>
    </w:p>
    <w:p w:rsidR="00EC1348" w:rsidRPr="0062236D" w:rsidRDefault="00EC1348" w:rsidP="00EC1348">
      <w:pPr>
        <w:pStyle w:val="ListParagraph"/>
        <w:rPr>
          <w:rFonts w:asciiTheme="majorHAnsi" w:hAnsiTheme="majorHAnsi"/>
          <w:sz w:val="20"/>
          <w:szCs w:val="20"/>
          <w:lang w:val="es-ES"/>
        </w:rPr>
      </w:pPr>
    </w:p>
    <w:p w:rsidR="007C51D7" w:rsidRPr="0062236D" w:rsidRDefault="007C51D7" w:rsidP="00EC134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62236D">
        <w:rPr>
          <w:rFonts w:asciiTheme="majorHAnsi" w:hAnsiTheme="majorHAnsi"/>
          <w:sz w:val="20"/>
          <w:szCs w:val="20"/>
          <w:lang w:val="es-ES"/>
        </w:rPr>
        <w:t>En virtud de l</w:t>
      </w:r>
      <w:r w:rsidR="00641B06">
        <w:rPr>
          <w:rFonts w:asciiTheme="majorHAnsi" w:hAnsiTheme="majorHAnsi"/>
          <w:sz w:val="20"/>
          <w:szCs w:val="20"/>
          <w:lang w:val="es-ES"/>
        </w:rPr>
        <w:t>a</w:t>
      </w:r>
      <w:r w:rsidRPr="0062236D">
        <w:rPr>
          <w:rFonts w:asciiTheme="majorHAnsi" w:hAnsiTheme="majorHAnsi"/>
          <w:sz w:val="20"/>
          <w:szCs w:val="20"/>
          <w:lang w:val="es-ES"/>
        </w:rPr>
        <w:t xml:space="preserve">s anteriores consideraciones, la Comisión concluye que el Estado </w:t>
      </w:r>
      <w:r w:rsidR="005803E9">
        <w:rPr>
          <w:rFonts w:asciiTheme="majorHAnsi" w:hAnsiTheme="majorHAnsi"/>
          <w:sz w:val="20"/>
          <w:szCs w:val="20"/>
          <w:lang w:val="es-ES"/>
        </w:rPr>
        <w:t xml:space="preserve">incumplió </w:t>
      </w:r>
      <w:r w:rsidRPr="0062236D">
        <w:rPr>
          <w:rFonts w:asciiTheme="majorHAnsi" w:hAnsiTheme="majorHAnsi"/>
          <w:sz w:val="20"/>
          <w:szCs w:val="20"/>
          <w:lang w:val="es-ES"/>
        </w:rPr>
        <w:t xml:space="preserve">la garantía de plazo razonable </w:t>
      </w:r>
      <w:r w:rsidR="007842BC" w:rsidRPr="0062236D">
        <w:rPr>
          <w:rFonts w:asciiTheme="majorHAnsi" w:hAnsiTheme="majorHAnsi"/>
          <w:sz w:val="20"/>
          <w:szCs w:val="20"/>
          <w:lang w:val="es-ES"/>
        </w:rPr>
        <w:t>en el marco del proceso por daños y perjuicios</w:t>
      </w:r>
      <w:r w:rsidR="00641B06">
        <w:rPr>
          <w:rFonts w:asciiTheme="majorHAnsi" w:hAnsiTheme="majorHAnsi"/>
          <w:sz w:val="20"/>
          <w:szCs w:val="20"/>
          <w:lang w:val="es-ES"/>
        </w:rPr>
        <w:t>,</w:t>
      </w:r>
      <w:r w:rsidR="007842BC" w:rsidRPr="0062236D">
        <w:rPr>
          <w:rFonts w:asciiTheme="majorHAnsi" w:hAnsiTheme="majorHAnsi"/>
          <w:sz w:val="20"/>
          <w:szCs w:val="20"/>
          <w:lang w:val="es-ES"/>
        </w:rPr>
        <w:t xml:space="preserve"> </w:t>
      </w:r>
      <w:r w:rsidRPr="0062236D">
        <w:rPr>
          <w:rFonts w:asciiTheme="majorHAnsi" w:hAnsiTheme="majorHAnsi"/>
          <w:sz w:val="20"/>
          <w:szCs w:val="20"/>
          <w:lang w:val="es-ES"/>
        </w:rPr>
        <w:t xml:space="preserve">en violación de los derechos establecidos en los </w:t>
      </w:r>
      <w:r w:rsidRPr="0062236D">
        <w:rPr>
          <w:rFonts w:asciiTheme="majorHAnsi" w:hAnsiTheme="majorHAnsi"/>
          <w:sz w:val="20"/>
          <w:szCs w:val="20"/>
          <w:lang w:val="es-ES_tradnl"/>
        </w:rPr>
        <w:t xml:space="preserve">artículos 8.1 y 25.1 de </w:t>
      </w:r>
      <w:r w:rsidRPr="0062236D">
        <w:rPr>
          <w:rFonts w:asciiTheme="majorHAnsi" w:eastAsia="Times New Roman" w:hAnsiTheme="majorHAnsi"/>
          <w:sz w:val="20"/>
          <w:szCs w:val="20"/>
          <w:lang w:val="es-ES" w:eastAsia="es-ES"/>
        </w:rPr>
        <w:t>la</w:t>
      </w:r>
      <w:r w:rsidRPr="0062236D">
        <w:rPr>
          <w:rFonts w:asciiTheme="majorHAnsi" w:hAnsiTheme="majorHAnsi"/>
          <w:sz w:val="20"/>
          <w:szCs w:val="20"/>
          <w:lang w:val="es-ES_tradnl"/>
        </w:rPr>
        <w:t xml:space="preserve"> Convención Americana en relación con el artículo 1.1 del mismo instrumento, en perjuicio de</w:t>
      </w:r>
      <w:r w:rsidR="007842BC" w:rsidRPr="0062236D">
        <w:rPr>
          <w:rFonts w:asciiTheme="majorHAnsi" w:hAnsiTheme="majorHAnsi"/>
          <w:sz w:val="20"/>
          <w:szCs w:val="20"/>
          <w:lang w:val="es-ES_tradnl"/>
        </w:rPr>
        <w:t xml:space="preserve"> Gabriel Oscar Jenkins. </w:t>
      </w:r>
    </w:p>
    <w:p w:rsidR="002C3926" w:rsidRDefault="002C3926" w:rsidP="00B23860">
      <w:pPr>
        <w:rPr>
          <w:rFonts w:asciiTheme="majorHAnsi" w:hAnsiTheme="majorHAnsi"/>
          <w:sz w:val="20"/>
          <w:szCs w:val="20"/>
          <w:lang w:val="es-ES" w:eastAsia="es-ES"/>
        </w:rPr>
      </w:pPr>
    </w:p>
    <w:p w:rsidR="00B355E4" w:rsidRPr="00B355E4" w:rsidRDefault="00B355E4" w:rsidP="00EE24AD">
      <w:pPr>
        <w:pStyle w:val="Heading2"/>
        <w:numPr>
          <w:ilvl w:val="0"/>
          <w:numId w:val="64"/>
        </w:numPr>
        <w:rPr>
          <w:lang w:val="es-ES" w:eastAsia="es-ES"/>
        </w:rPr>
      </w:pPr>
      <w:bookmarkStart w:id="78" w:name="_Toc467577919"/>
      <w:bookmarkStart w:id="79" w:name="_Toc469409102"/>
      <w:r w:rsidRPr="00EE24AD">
        <w:rPr>
          <w:lang w:val="es-ES" w:eastAsia="es-ES"/>
        </w:rPr>
        <w:t>Los derechos a las garantías judiciales y protección judicial respecto de las investigaciones relativas a la supuesta falsedad ideológica (Artículos 8.1, 25.1 y 1.1 de la Convención Americana.</w:t>
      </w:r>
      <w:bookmarkEnd w:id="78"/>
      <w:bookmarkEnd w:id="79"/>
    </w:p>
    <w:p w:rsidR="00B355E4" w:rsidRDefault="00B355E4" w:rsidP="00B23860">
      <w:pPr>
        <w:rPr>
          <w:rFonts w:asciiTheme="majorHAnsi" w:hAnsiTheme="majorHAnsi"/>
          <w:sz w:val="20"/>
          <w:szCs w:val="20"/>
          <w:lang w:val="es-ES" w:eastAsia="es-ES"/>
        </w:rPr>
      </w:pPr>
    </w:p>
    <w:p w:rsidR="00275137" w:rsidRDefault="00275137" w:rsidP="000F1B5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ES" w:eastAsia="es-ES"/>
        </w:rPr>
        <w:t xml:space="preserve">Los artículos 8.1, 25.1 y 1.1 de la Convención fueron transcritos en secciones anteriores del presente informe de fondo. </w:t>
      </w:r>
    </w:p>
    <w:p w:rsidR="00C34E88" w:rsidRDefault="00C34E88" w:rsidP="00C34E8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eastAsia="es-ES"/>
        </w:rPr>
      </w:pPr>
    </w:p>
    <w:p w:rsidR="00962B8C" w:rsidRDefault="00C34E88" w:rsidP="000F1B5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ES" w:eastAsia="es-ES"/>
        </w:rPr>
        <w:t>La Comisión observa que el peticionario alegó violaciones a sus derechos como consecuencia de la supuesta falta de investigación diligente y efectiva de lo que consideró como delito de falsedad</w:t>
      </w:r>
      <w:r w:rsidR="00962B8C">
        <w:rPr>
          <w:rFonts w:asciiTheme="majorHAnsi" w:hAnsiTheme="majorHAnsi"/>
          <w:sz w:val="20"/>
          <w:szCs w:val="20"/>
          <w:lang w:val="es-ES" w:eastAsia="es-ES"/>
        </w:rPr>
        <w:t xml:space="preserve"> ideológica.</w:t>
      </w:r>
    </w:p>
    <w:p w:rsidR="00962B8C" w:rsidRDefault="00962B8C" w:rsidP="00962B8C">
      <w:pPr>
        <w:pStyle w:val="ListParagraph"/>
        <w:rPr>
          <w:rFonts w:asciiTheme="majorHAnsi" w:hAnsiTheme="majorHAnsi"/>
          <w:sz w:val="20"/>
          <w:szCs w:val="20"/>
          <w:lang w:val="es-ES"/>
        </w:rPr>
      </w:pPr>
    </w:p>
    <w:p w:rsidR="00C34E88" w:rsidRPr="00FD5273" w:rsidRDefault="00925257" w:rsidP="000F1B5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ES" w:eastAsia="es-ES"/>
        </w:rPr>
        <w:t>L</w:t>
      </w:r>
      <w:r w:rsidR="00962B8C">
        <w:rPr>
          <w:rFonts w:asciiTheme="majorHAnsi" w:hAnsiTheme="majorHAnsi"/>
          <w:sz w:val="20"/>
          <w:szCs w:val="20"/>
          <w:lang w:val="es-ES" w:eastAsia="es-ES"/>
        </w:rPr>
        <w:t>a Comisión constat</w:t>
      </w:r>
      <w:r w:rsidR="00411861">
        <w:rPr>
          <w:rFonts w:asciiTheme="majorHAnsi" w:hAnsiTheme="majorHAnsi"/>
          <w:sz w:val="20"/>
          <w:szCs w:val="20"/>
          <w:lang w:val="es-ES" w:eastAsia="es-ES"/>
        </w:rPr>
        <w:t>ó en los hechos probados que en la decisión de 13 de noviembre de 1997</w:t>
      </w:r>
      <w:r w:rsidR="00B76D25">
        <w:rPr>
          <w:rFonts w:asciiTheme="majorHAnsi" w:hAnsiTheme="majorHAnsi"/>
          <w:sz w:val="20"/>
          <w:szCs w:val="20"/>
          <w:lang w:val="es-ES" w:eastAsia="es-ES"/>
        </w:rPr>
        <w:t xml:space="preserve"> emitida por el </w:t>
      </w:r>
      <w:r w:rsidR="00B76D25" w:rsidRPr="00160BE9">
        <w:rPr>
          <w:rFonts w:ascii="Cambria" w:hAnsi="Cambria"/>
          <w:sz w:val="20"/>
          <w:szCs w:val="20"/>
          <w:lang w:val="es-VE"/>
        </w:rPr>
        <w:t>Tribunal en lo Criminal Federal No. 6 de Capital Federal</w:t>
      </w:r>
      <w:r w:rsidR="00B76D25">
        <w:rPr>
          <w:rFonts w:ascii="Cambria" w:hAnsi="Cambria"/>
          <w:sz w:val="20"/>
          <w:szCs w:val="20"/>
          <w:lang w:val="es-VE"/>
        </w:rPr>
        <w:t xml:space="preserve"> y</w:t>
      </w:r>
      <w:r w:rsidR="00411861">
        <w:rPr>
          <w:rFonts w:asciiTheme="majorHAnsi" w:hAnsiTheme="majorHAnsi"/>
          <w:sz w:val="20"/>
          <w:szCs w:val="20"/>
          <w:lang w:val="es-ES" w:eastAsia="es-ES"/>
        </w:rPr>
        <w:t xml:space="preserve"> mediante la cual </w:t>
      </w:r>
      <w:r w:rsidR="00B76D25">
        <w:rPr>
          <w:rFonts w:asciiTheme="majorHAnsi" w:hAnsiTheme="majorHAnsi"/>
          <w:sz w:val="20"/>
          <w:szCs w:val="20"/>
          <w:lang w:val="es-ES" w:eastAsia="es-ES"/>
        </w:rPr>
        <w:t>se</w:t>
      </w:r>
      <w:r w:rsidR="00411861">
        <w:rPr>
          <w:rFonts w:asciiTheme="majorHAnsi" w:hAnsiTheme="majorHAnsi"/>
          <w:sz w:val="20"/>
          <w:szCs w:val="20"/>
          <w:lang w:val="es-ES" w:eastAsia="es-ES"/>
        </w:rPr>
        <w:t xml:space="preserve"> dispuso la libertad del señor</w:t>
      </w:r>
      <w:r w:rsidR="00962B8C">
        <w:rPr>
          <w:rFonts w:asciiTheme="majorHAnsi" w:hAnsiTheme="majorHAnsi"/>
          <w:sz w:val="20"/>
          <w:szCs w:val="20"/>
          <w:lang w:val="es-ES" w:eastAsia="es-ES"/>
        </w:rPr>
        <w:t xml:space="preserve"> </w:t>
      </w:r>
      <w:r w:rsidR="00B76D25">
        <w:rPr>
          <w:rFonts w:asciiTheme="majorHAnsi" w:hAnsiTheme="majorHAnsi"/>
          <w:sz w:val="20"/>
          <w:szCs w:val="20"/>
          <w:lang w:val="es-ES" w:eastAsia="es-ES"/>
        </w:rPr>
        <w:t>Jenkins, efectivamente se hizo referencia a que habría existido “</w:t>
      </w:r>
      <w:r w:rsidR="00B76D25" w:rsidRPr="00160BE9">
        <w:rPr>
          <w:rFonts w:ascii="Cambria" w:hAnsi="Cambria"/>
          <w:sz w:val="20"/>
          <w:szCs w:val="20"/>
          <w:lang w:val="es-VE"/>
        </w:rPr>
        <w:t>falsedad ideológica de ciertas constancias probatorias</w:t>
      </w:r>
      <w:r w:rsidR="00E36EA9">
        <w:rPr>
          <w:rFonts w:ascii="Cambria" w:hAnsi="Cambria"/>
          <w:sz w:val="20"/>
          <w:szCs w:val="20"/>
          <w:lang w:val="es-VE"/>
        </w:rPr>
        <w:t xml:space="preserve">” que se tuvieron en cuenta en contra del peticionario. </w:t>
      </w:r>
      <w:r w:rsidR="00FD5273">
        <w:rPr>
          <w:rFonts w:ascii="Cambria" w:hAnsi="Cambria"/>
          <w:sz w:val="20"/>
          <w:szCs w:val="20"/>
          <w:lang w:val="es-VE"/>
        </w:rPr>
        <w:t xml:space="preserve">En consecuencia, </w:t>
      </w:r>
      <w:r w:rsidR="00AE6D30">
        <w:rPr>
          <w:rFonts w:ascii="Cambria" w:hAnsi="Cambria"/>
          <w:sz w:val="20"/>
          <w:szCs w:val="20"/>
          <w:lang w:val="es-VE"/>
        </w:rPr>
        <w:t>se iniciaron dos inves</w:t>
      </w:r>
      <w:r>
        <w:rPr>
          <w:rFonts w:ascii="Cambria" w:hAnsi="Cambria"/>
          <w:sz w:val="20"/>
          <w:szCs w:val="20"/>
          <w:lang w:val="es-VE"/>
        </w:rPr>
        <w:t xml:space="preserve">tigaciones, una penal y otra administrativa. </w:t>
      </w:r>
      <w:r w:rsidR="00F14818">
        <w:rPr>
          <w:rFonts w:ascii="Cambria" w:hAnsi="Cambria"/>
          <w:sz w:val="20"/>
          <w:szCs w:val="20"/>
          <w:lang w:val="es-VE"/>
        </w:rPr>
        <w:t>En ambas se determinó</w:t>
      </w:r>
      <w:r w:rsidR="003779AD">
        <w:rPr>
          <w:rFonts w:ascii="Cambria" w:hAnsi="Cambria"/>
          <w:sz w:val="20"/>
          <w:szCs w:val="20"/>
          <w:lang w:val="es-VE"/>
        </w:rPr>
        <w:t xml:space="preserve"> respectivamente</w:t>
      </w:r>
      <w:r w:rsidR="00F14818">
        <w:rPr>
          <w:rFonts w:ascii="Cambria" w:hAnsi="Cambria"/>
          <w:sz w:val="20"/>
          <w:szCs w:val="20"/>
          <w:lang w:val="es-VE"/>
        </w:rPr>
        <w:t xml:space="preserve"> la ausencia de responsabilidad. </w:t>
      </w:r>
    </w:p>
    <w:p w:rsidR="00FD5273" w:rsidRDefault="00FD5273" w:rsidP="00FD5273">
      <w:pPr>
        <w:pStyle w:val="ListParagraph"/>
        <w:rPr>
          <w:rFonts w:asciiTheme="majorHAnsi" w:hAnsiTheme="majorHAnsi"/>
          <w:sz w:val="20"/>
          <w:szCs w:val="20"/>
          <w:lang w:val="es-ES"/>
        </w:rPr>
      </w:pPr>
    </w:p>
    <w:p w:rsidR="00ED5C74" w:rsidRDefault="003E5EC1" w:rsidP="005425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eastAsia="es-ES"/>
        </w:rPr>
      </w:pPr>
      <w:r w:rsidRPr="00ED5C74">
        <w:rPr>
          <w:rFonts w:asciiTheme="majorHAnsi" w:hAnsiTheme="majorHAnsi"/>
          <w:sz w:val="20"/>
          <w:szCs w:val="20"/>
          <w:lang w:val="es-ES" w:eastAsia="es-ES"/>
        </w:rPr>
        <w:t>La Comisión considera que la referencia en la decisión de 13 de noviembre de 1997 a una falsedad ideológica</w:t>
      </w:r>
      <w:r w:rsidR="0093224F" w:rsidRPr="00ED5C74">
        <w:rPr>
          <w:rFonts w:asciiTheme="majorHAnsi" w:hAnsiTheme="majorHAnsi"/>
          <w:sz w:val="20"/>
          <w:szCs w:val="20"/>
          <w:lang w:val="es-ES" w:eastAsia="es-ES"/>
        </w:rPr>
        <w:t xml:space="preserve"> debió implicar una investigación al respecto como efectivamente sucedi</w:t>
      </w:r>
      <w:r w:rsidR="00022FE5" w:rsidRPr="00ED5C74">
        <w:rPr>
          <w:rFonts w:asciiTheme="majorHAnsi" w:hAnsiTheme="majorHAnsi"/>
          <w:sz w:val="20"/>
          <w:szCs w:val="20"/>
          <w:lang w:val="es-ES" w:eastAsia="es-ES"/>
        </w:rPr>
        <w:t>ó tanto en la vía administrativa como penal.</w:t>
      </w:r>
      <w:r w:rsidR="00F52ED7" w:rsidRPr="00ED5C74">
        <w:rPr>
          <w:rFonts w:asciiTheme="majorHAnsi" w:hAnsiTheme="majorHAnsi"/>
          <w:sz w:val="20"/>
          <w:szCs w:val="20"/>
          <w:lang w:val="es-ES" w:eastAsia="es-ES"/>
        </w:rPr>
        <w:t xml:space="preserve"> En las circunstancias del presente caso la Comisión entiende que n</w:t>
      </w:r>
      <w:r w:rsidR="006F337E" w:rsidRPr="00ED5C74">
        <w:rPr>
          <w:rFonts w:asciiTheme="majorHAnsi" w:hAnsiTheme="majorHAnsi"/>
          <w:sz w:val="20"/>
          <w:szCs w:val="20"/>
          <w:lang w:val="es-ES" w:eastAsia="es-ES"/>
        </w:rPr>
        <w:t xml:space="preserve">o le corresponde </w:t>
      </w:r>
      <w:r w:rsidR="00F52ED7" w:rsidRPr="00ED5C74">
        <w:rPr>
          <w:rFonts w:asciiTheme="majorHAnsi" w:hAnsiTheme="majorHAnsi"/>
          <w:sz w:val="20"/>
          <w:szCs w:val="20"/>
          <w:lang w:val="es-ES" w:eastAsia="es-ES"/>
        </w:rPr>
        <w:t>determinar si efectivamente ocurrió tal falsedad.</w:t>
      </w:r>
      <w:r w:rsidR="00686CC1" w:rsidRPr="00ED5C74">
        <w:rPr>
          <w:rFonts w:asciiTheme="majorHAnsi" w:hAnsiTheme="majorHAnsi"/>
          <w:sz w:val="20"/>
          <w:szCs w:val="20"/>
          <w:lang w:val="es-ES" w:eastAsia="es-ES"/>
        </w:rPr>
        <w:t xml:space="preserve"> Más allá de la inco</w:t>
      </w:r>
      <w:r w:rsidR="001422EA" w:rsidRPr="00ED5C74">
        <w:rPr>
          <w:rFonts w:asciiTheme="majorHAnsi" w:hAnsiTheme="majorHAnsi"/>
          <w:sz w:val="20"/>
          <w:szCs w:val="20"/>
          <w:lang w:val="es-ES" w:eastAsia="es-ES"/>
        </w:rPr>
        <w:t>n</w:t>
      </w:r>
      <w:r w:rsidR="00686CC1" w:rsidRPr="00ED5C74">
        <w:rPr>
          <w:rFonts w:asciiTheme="majorHAnsi" w:hAnsiTheme="majorHAnsi"/>
          <w:sz w:val="20"/>
          <w:szCs w:val="20"/>
          <w:lang w:val="es-ES" w:eastAsia="es-ES"/>
        </w:rPr>
        <w:t>formidad del peticionario</w:t>
      </w:r>
      <w:r w:rsidR="001422EA" w:rsidRPr="00ED5C74">
        <w:rPr>
          <w:rFonts w:asciiTheme="majorHAnsi" w:hAnsiTheme="majorHAnsi"/>
          <w:sz w:val="20"/>
          <w:szCs w:val="20"/>
          <w:lang w:val="es-ES" w:eastAsia="es-ES"/>
        </w:rPr>
        <w:t xml:space="preserve"> con su resultado, d</w:t>
      </w:r>
      <w:r w:rsidR="00686CC1" w:rsidRPr="00ED5C74">
        <w:rPr>
          <w:rFonts w:asciiTheme="majorHAnsi" w:hAnsiTheme="majorHAnsi"/>
          <w:sz w:val="20"/>
          <w:szCs w:val="20"/>
          <w:lang w:val="es-ES" w:eastAsia="es-ES"/>
        </w:rPr>
        <w:t>e la inform</w:t>
      </w:r>
      <w:r w:rsidR="00A44666">
        <w:rPr>
          <w:rFonts w:asciiTheme="majorHAnsi" w:hAnsiTheme="majorHAnsi"/>
          <w:sz w:val="20"/>
          <w:szCs w:val="20"/>
          <w:lang w:val="es-ES" w:eastAsia="es-ES"/>
        </w:rPr>
        <w:t xml:space="preserve">ación disponible la Comisión considera que no cuenta con suficientes elementos para establecer </w:t>
      </w:r>
      <w:r w:rsidR="00686CC1" w:rsidRPr="00ED5C74">
        <w:rPr>
          <w:rFonts w:asciiTheme="majorHAnsi" w:hAnsiTheme="majorHAnsi"/>
          <w:sz w:val="20"/>
          <w:szCs w:val="20"/>
          <w:lang w:val="es-ES" w:eastAsia="es-ES"/>
        </w:rPr>
        <w:t xml:space="preserve">posibles vulneraciones a la Convención Americana </w:t>
      </w:r>
      <w:r w:rsidR="001422EA" w:rsidRPr="00ED5C74">
        <w:rPr>
          <w:rFonts w:asciiTheme="majorHAnsi" w:hAnsiTheme="majorHAnsi"/>
          <w:sz w:val="20"/>
          <w:szCs w:val="20"/>
          <w:lang w:val="es-ES" w:eastAsia="es-ES"/>
        </w:rPr>
        <w:t>en el marco de las referidas investigaciones</w:t>
      </w:r>
      <w:r w:rsidR="00EE071F">
        <w:rPr>
          <w:rFonts w:asciiTheme="majorHAnsi" w:hAnsiTheme="majorHAnsi"/>
          <w:sz w:val="20"/>
          <w:szCs w:val="20"/>
          <w:lang w:val="es-ES" w:eastAsia="es-ES"/>
        </w:rPr>
        <w:t>.</w:t>
      </w:r>
      <w:r w:rsidR="0093224F" w:rsidRPr="00ED5C74">
        <w:rPr>
          <w:rFonts w:asciiTheme="majorHAnsi" w:hAnsiTheme="majorHAnsi"/>
          <w:sz w:val="20"/>
          <w:szCs w:val="20"/>
          <w:lang w:val="es-ES" w:eastAsia="es-ES"/>
        </w:rPr>
        <w:t xml:space="preserve"> </w:t>
      </w:r>
      <w:bookmarkStart w:id="80" w:name="_Toc395298789"/>
      <w:bookmarkStart w:id="81" w:name="_Toc400970621"/>
      <w:bookmarkEnd w:id="68"/>
      <w:bookmarkEnd w:id="69"/>
    </w:p>
    <w:p w:rsidR="00542560" w:rsidRPr="00542560" w:rsidRDefault="00542560" w:rsidP="005425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eastAsia="es-ES"/>
        </w:rPr>
      </w:pPr>
    </w:p>
    <w:p w:rsidR="008D4A3F" w:rsidRPr="00B56CF7" w:rsidRDefault="008D4A3F" w:rsidP="008D4A3F">
      <w:pPr>
        <w:pStyle w:val="Heading1"/>
        <w:numPr>
          <w:ilvl w:val="0"/>
          <w:numId w:val="55"/>
        </w:numPr>
        <w:tabs>
          <w:tab w:val="clear" w:pos="1440"/>
        </w:tabs>
        <w:rPr>
          <w:rFonts w:cs="Arial"/>
          <w:b w:val="0"/>
          <w:bCs/>
          <w:lang w:val="es-AR"/>
        </w:rPr>
      </w:pPr>
      <w:bookmarkStart w:id="82" w:name="_Toc467577920"/>
      <w:bookmarkStart w:id="83" w:name="_Toc469409103"/>
      <w:r w:rsidRPr="00B56CF7">
        <w:t>CONCLUSIONES</w:t>
      </w:r>
      <w:bookmarkEnd w:id="82"/>
      <w:bookmarkEnd w:id="83"/>
    </w:p>
    <w:p w:rsidR="008D4A3F" w:rsidRPr="0062236D" w:rsidRDefault="008D4A3F" w:rsidP="008D4A3F">
      <w:pPr>
        <w:ind w:left="720"/>
        <w:jc w:val="both"/>
        <w:rPr>
          <w:rFonts w:asciiTheme="majorHAnsi" w:eastAsia="Times New Roman" w:hAnsiTheme="majorHAnsi"/>
          <w:sz w:val="20"/>
          <w:szCs w:val="20"/>
          <w:lang w:val="es-AR"/>
        </w:rPr>
      </w:pPr>
    </w:p>
    <w:p w:rsidR="00C34E88" w:rsidRDefault="008D4A3F" w:rsidP="005E6F6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lang w:val="es-VE"/>
        </w:rPr>
      </w:pPr>
      <w:r w:rsidRPr="0062236D">
        <w:rPr>
          <w:rFonts w:asciiTheme="majorHAnsi" w:hAnsiTheme="majorHAnsi" w:cs="Verdana"/>
          <w:sz w:val="20"/>
          <w:szCs w:val="20"/>
          <w:lang w:val="es-VE"/>
        </w:rPr>
        <w:t>La Comisión concluye que el Estado de Argentina</w:t>
      </w:r>
      <w:r w:rsidR="00C34E88">
        <w:rPr>
          <w:rFonts w:asciiTheme="majorHAnsi" w:hAnsiTheme="majorHAnsi" w:cs="Verdana"/>
          <w:sz w:val="20"/>
          <w:szCs w:val="20"/>
          <w:lang w:val="es-VE"/>
        </w:rPr>
        <w:t>:</w:t>
      </w:r>
    </w:p>
    <w:p w:rsidR="00C34E88" w:rsidRDefault="00C34E88" w:rsidP="00C34E8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sz w:val="20"/>
          <w:szCs w:val="20"/>
          <w:lang w:val="es-VE"/>
        </w:rPr>
      </w:pPr>
    </w:p>
    <w:p w:rsidR="00C34E88" w:rsidRDefault="00C34E88" w:rsidP="008B0826">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ind w:left="0" w:firstLine="720"/>
        <w:jc w:val="both"/>
        <w:rPr>
          <w:rFonts w:asciiTheme="majorHAnsi" w:hAnsiTheme="majorHAnsi" w:cs="Verdana"/>
          <w:sz w:val="20"/>
          <w:szCs w:val="20"/>
          <w:lang w:val="es-VE"/>
        </w:rPr>
      </w:pPr>
      <w:r>
        <w:rPr>
          <w:rFonts w:asciiTheme="majorHAnsi" w:hAnsiTheme="majorHAnsi" w:cs="Verdana"/>
          <w:sz w:val="20"/>
          <w:szCs w:val="20"/>
          <w:lang w:val="es-VE"/>
        </w:rPr>
        <w:t xml:space="preserve">Es responsable por la </w:t>
      </w:r>
      <w:r w:rsidR="008D4A3F" w:rsidRPr="00C34E88">
        <w:rPr>
          <w:rFonts w:asciiTheme="majorHAnsi" w:hAnsiTheme="majorHAnsi" w:cs="Verdana"/>
          <w:sz w:val="20"/>
          <w:szCs w:val="20"/>
          <w:lang w:val="es-VE"/>
        </w:rPr>
        <w:t>violación de los derechos a la libertad personal</w:t>
      </w:r>
      <w:r>
        <w:rPr>
          <w:rFonts w:asciiTheme="majorHAnsi" w:hAnsiTheme="majorHAnsi" w:cs="Verdana"/>
          <w:sz w:val="20"/>
          <w:szCs w:val="20"/>
          <w:lang w:val="es-VE"/>
        </w:rPr>
        <w:t xml:space="preserve"> y a las garantías judiciales, </w:t>
      </w:r>
      <w:r w:rsidR="008D4A3F" w:rsidRPr="00C34E88">
        <w:rPr>
          <w:rFonts w:asciiTheme="majorHAnsi" w:hAnsiTheme="majorHAnsi" w:cs="Verdana"/>
          <w:sz w:val="20"/>
          <w:szCs w:val="20"/>
          <w:lang w:val="es-VE"/>
        </w:rPr>
        <w:t>a la igualdad ante la ley y a la protección judicial consagrados en los artículos 7</w:t>
      </w:r>
      <w:r w:rsidR="005E6F6C" w:rsidRPr="00C34E88">
        <w:rPr>
          <w:rFonts w:asciiTheme="majorHAnsi" w:hAnsiTheme="majorHAnsi" w:cs="Verdana"/>
          <w:sz w:val="20"/>
          <w:szCs w:val="20"/>
          <w:lang w:val="es-VE"/>
        </w:rPr>
        <w:t>.1, 7.3, 7.5, 7.6, 8.1, 8.2, 24 y 25.1 de la Convención Americana, en relación con los artículos 1.1 y 2 del mismo instrumento, en per</w:t>
      </w:r>
      <w:r w:rsidR="00A07908" w:rsidRPr="00C34E88">
        <w:rPr>
          <w:rFonts w:asciiTheme="majorHAnsi" w:hAnsiTheme="majorHAnsi" w:cs="Verdana"/>
          <w:sz w:val="20"/>
          <w:szCs w:val="20"/>
          <w:lang w:val="es-VE"/>
        </w:rPr>
        <w:t>juicio de Gabriel Oscar Jenkins</w:t>
      </w:r>
      <w:r>
        <w:rPr>
          <w:rFonts w:asciiTheme="majorHAnsi" w:hAnsiTheme="majorHAnsi" w:cs="Verdana"/>
          <w:sz w:val="20"/>
          <w:szCs w:val="20"/>
          <w:lang w:val="es-VE"/>
        </w:rPr>
        <w:t xml:space="preserve">, respecto de la detención preventiva a la que estuvo sujeto, el marco normativo aplicado, los recursos interpuestos para lograr su liberación y la demanda de daños y perjuicios, en los términos descritos </w:t>
      </w:r>
      <w:r w:rsidR="001F4195">
        <w:rPr>
          <w:rFonts w:asciiTheme="majorHAnsi" w:hAnsiTheme="majorHAnsi" w:cs="Verdana"/>
          <w:sz w:val="20"/>
          <w:szCs w:val="20"/>
          <w:lang w:val="es-VE"/>
        </w:rPr>
        <w:t>a lo largo del presente informe; y</w:t>
      </w:r>
    </w:p>
    <w:p w:rsidR="00C34E88" w:rsidRDefault="00C34E88" w:rsidP="008B082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cs="Verdana"/>
          <w:sz w:val="20"/>
          <w:szCs w:val="20"/>
          <w:lang w:val="es-VE"/>
        </w:rPr>
      </w:pPr>
    </w:p>
    <w:p w:rsidR="005E6F6C" w:rsidRPr="00C34E88" w:rsidRDefault="00C34E88" w:rsidP="008B0826">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ind w:left="0" w:firstLine="720"/>
        <w:jc w:val="both"/>
        <w:rPr>
          <w:rFonts w:asciiTheme="majorHAnsi" w:hAnsiTheme="majorHAnsi" w:cs="Verdana"/>
          <w:sz w:val="20"/>
          <w:szCs w:val="20"/>
          <w:lang w:val="es-VE"/>
        </w:rPr>
      </w:pPr>
      <w:r>
        <w:rPr>
          <w:rFonts w:asciiTheme="majorHAnsi" w:hAnsiTheme="majorHAnsi" w:cs="Verdana"/>
          <w:sz w:val="20"/>
          <w:szCs w:val="20"/>
          <w:lang w:val="es-VE"/>
        </w:rPr>
        <w:t>No es responsable por la alegada violación de los derec</w:t>
      </w:r>
      <w:r w:rsidR="00AA75C1">
        <w:rPr>
          <w:rFonts w:asciiTheme="majorHAnsi" w:hAnsiTheme="majorHAnsi" w:cs="Verdana"/>
          <w:sz w:val="20"/>
          <w:szCs w:val="20"/>
          <w:lang w:val="es-VE"/>
        </w:rPr>
        <w:t>hos a las garantías judiciales y</w:t>
      </w:r>
      <w:r>
        <w:rPr>
          <w:rFonts w:asciiTheme="majorHAnsi" w:hAnsiTheme="majorHAnsi" w:cs="Verdana"/>
          <w:sz w:val="20"/>
          <w:szCs w:val="20"/>
          <w:lang w:val="es-VE"/>
        </w:rPr>
        <w:t xml:space="preserve"> protección judicial establecidos en los artículo</w:t>
      </w:r>
      <w:r w:rsidR="00757D54">
        <w:rPr>
          <w:rFonts w:asciiTheme="majorHAnsi" w:hAnsiTheme="majorHAnsi" w:cs="Verdana"/>
          <w:sz w:val="20"/>
          <w:szCs w:val="20"/>
          <w:lang w:val="es-VE"/>
        </w:rPr>
        <w:t>s</w:t>
      </w:r>
      <w:r>
        <w:rPr>
          <w:rFonts w:asciiTheme="majorHAnsi" w:hAnsiTheme="majorHAnsi" w:cs="Verdana"/>
          <w:sz w:val="20"/>
          <w:szCs w:val="20"/>
          <w:lang w:val="es-VE"/>
        </w:rPr>
        <w:t xml:space="preserve"> 8.1 y 25.1 de la Convención Americana en el marco de las investigaciones sobre la supuesta falsedad </w:t>
      </w:r>
      <w:r w:rsidR="007B79DE">
        <w:rPr>
          <w:rFonts w:asciiTheme="majorHAnsi" w:hAnsiTheme="majorHAnsi" w:cs="Verdana"/>
          <w:sz w:val="20"/>
          <w:szCs w:val="20"/>
          <w:lang w:val="es-VE"/>
        </w:rPr>
        <w:t>ideológica.</w:t>
      </w:r>
      <w:r>
        <w:rPr>
          <w:rFonts w:asciiTheme="majorHAnsi" w:hAnsiTheme="majorHAnsi" w:cs="Verdana"/>
          <w:sz w:val="20"/>
          <w:szCs w:val="20"/>
          <w:lang w:val="es-VE"/>
        </w:rPr>
        <w:t xml:space="preserve"> </w:t>
      </w:r>
    </w:p>
    <w:p w:rsidR="00B91111" w:rsidRPr="00B56CF7" w:rsidRDefault="00B91111" w:rsidP="00C60071">
      <w:pPr>
        <w:jc w:val="both"/>
        <w:rPr>
          <w:rFonts w:asciiTheme="majorHAnsi" w:hAnsiTheme="majorHAnsi"/>
          <w:b/>
          <w:sz w:val="20"/>
          <w:szCs w:val="20"/>
          <w:lang w:val="es-VE"/>
        </w:rPr>
      </w:pPr>
    </w:p>
    <w:p w:rsidR="00C60071" w:rsidRPr="00B56CF7" w:rsidRDefault="00C60071" w:rsidP="00C60071">
      <w:pPr>
        <w:pStyle w:val="Heading1"/>
        <w:numPr>
          <w:ilvl w:val="0"/>
          <w:numId w:val="55"/>
        </w:numPr>
        <w:tabs>
          <w:tab w:val="clear" w:pos="1440"/>
        </w:tabs>
      </w:pPr>
      <w:bookmarkStart w:id="84" w:name="_Toc395298796"/>
      <w:bookmarkStart w:id="85" w:name="_Toc418254642"/>
      <w:bookmarkStart w:id="86" w:name="_Toc423514430"/>
      <w:bookmarkStart w:id="87" w:name="_Toc441166741"/>
      <w:bookmarkStart w:id="88" w:name="_Toc467577921"/>
      <w:bookmarkStart w:id="89" w:name="_Toc469409104"/>
      <w:bookmarkEnd w:id="80"/>
      <w:bookmarkEnd w:id="81"/>
      <w:r w:rsidRPr="00B56CF7">
        <w:t>RECOMENDACIONES</w:t>
      </w:r>
      <w:bookmarkEnd w:id="84"/>
      <w:bookmarkEnd w:id="85"/>
      <w:bookmarkEnd w:id="86"/>
      <w:bookmarkEnd w:id="87"/>
      <w:bookmarkEnd w:id="88"/>
      <w:bookmarkEnd w:id="89"/>
    </w:p>
    <w:p w:rsidR="00C60071" w:rsidRPr="0062236D" w:rsidRDefault="00C60071" w:rsidP="00C60071">
      <w:pPr>
        <w:ind w:left="720"/>
        <w:jc w:val="both"/>
        <w:rPr>
          <w:rFonts w:asciiTheme="majorHAnsi" w:eastAsia="Times New Roman" w:hAnsiTheme="majorHAnsi"/>
          <w:sz w:val="20"/>
          <w:szCs w:val="20"/>
          <w:lang w:val="es-AR"/>
        </w:rPr>
      </w:pPr>
    </w:p>
    <w:p w:rsidR="00C60071" w:rsidRPr="0062236D" w:rsidRDefault="00C60071" w:rsidP="00C600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lang w:val="es-VE"/>
        </w:rPr>
      </w:pPr>
      <w:r w:rsidRPr="0062236D">
        <w:rPr>
          <w:rFonts w:asciiTheme="majorHAnsi" w:eastAsia="Times New Roman" w:hAnsiTheme="majorHAnsi"/>
          <w:sz w:val="20"/>
          <w:szCs w:val="20"/>
          <w:lang w:val="es-AR"/>
        </w:rPr>
        <w:t xml:space="preserve">En </w:t>
      </w:r>
      <w:r w:rsidRPr="0062236D">
        <w:rPr>
          <w:rFonts w:asciiTheme="majorHAnsi" w:hAnsiTheme="majorHAnsi" w:cs="Verdana"/>
          <w:sz w:val="20"/>
          <w:szCs w:val="20"/>
          <w:lang w:val="es-VE"/>
        </w:rPr>
        <w:t>virtud</w:t>
      </w:r>
      <w:r w:rsidRPr="0062236D">
        <w:rPr>
          <w:rFonts w:asciiTheme="majorHAnsi" w:eastAsia="Times New Roman" w:hAnsiTheme="majorHAnsi"/>
          <w:sz w:val="20"/>
          <w:szCs w:val="20"/>
          <w:lang w:val="es-AR"/>
        </w:rPr>
        <w:t xml:space="preserve"> de las anteriores conclusiones,</w:t>
      </w:r>
    </w:p>
    <w:p w:rsidR="00C60071" w:rsidRPr="0062236D" w:rsidRDefault="00C60071" w:rsidP="00C60071">
      <w:pPr>
        <w:jc w:val="center"/>
        <w:rPr>
          <w:rFonts w:asciiTheme="majorHAnsi" w:hAnsiTheme="majorHAnsi"/>
          <w:sz w:val="20"/>
          <w:szCs w:val="20"/>
          <w:lang w:val="es-ES"/>
        </w:rPr>
      </w:pPr>
    </w:p>
    <w:p w:rsidR="00C60071" w:rsidRPr="0062236D" w:rsidRDefault="00C60071" w:rsidP="00C60071">
      <w:pPr>
        <w:jc w:val="both"/>
        <w:rPr>
          <w:rFonts w:asciiTheme="majorHAnsi" w:hAnsiTheme="majorHAnsi"/>
          <w:b/>
          <w:sz w:val="20"/>
          <w:szCs w:val="20"/>
          <w:lang w:val="es-ES"/>
        </w:rPr>
      </w:pPr>
      <w:r w:rsidRPr="0062236D">
        <w:rPr>
          <w:rFonts w:asciiTheme="majorHAnsi" w:hAnsiTheme="majorHAnsi"/>
          <w:b/>
          <w:sz w:val="20"/>
          <w:szCs w:val="20"/>
          <w:lang w:val="es-ES"/>
        </w:rPr>
        <w:tab/>
        <w:t>LA COMISIÓN INTERAMERICANA DE DERECHOS HUMANOS RECOMIENDA AL ESTADO DE ARGENTINA,</w:t>
      </w:r>
    </w:p>
    <w:p w:rsidR="00C60071" w:rsidRPr="0062236D" w:rsidRDefault="00C60071" w:rsidP="00C60071">
      <w:pPr>
        <w:jc w:val="both"/>
        <w:rPr>
          <w:rFonts w:asciiTheme="majorHAnsi" w:hAnsiTheme="majorHAnsi"/>
          <w:b/>
          <w:sz w:val="20"/>
          <w:szCs w:val="20"/>
          <w:lang w:val="es-ES"/>
        </w:rPr>
      </w:pPr>
    </w:p>
    <w:p w:rsidR="00C60071" w:rsidRDefault="00C60071" w:rsidP="009A72E5">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62236D">
        <w:rPr>
          <w:rFonts w:asciiTheme="majorHAnsi" w:hAnsiTheme="majorHAnsi"/>
          <w:sz w:val="20"/>
          <w:szCs w:val="20"/>
          <w:lang w:val="es-ES"/>
        </w:rPr>
        <w:lastRenderedPageBreak/>
        <w:t xml:space="preserve">Reparar </w:t>
      </w:r>
      <w:r w:rsidR="008C5562" w:rsidRPr="0062236D">
        <w:rPr>
          <w:rFonts w:asciiTheme="majorHAnsi" w:hAnsiTheme="majorHAnsi"/>
          <w:sz w:val="20"/>
          <w:szCs w:val="20"/>
          <w:lang w:val="es-ES"/>
        </w:rPr>
        <w:t>integralmente a la víctima del present</w:t>
      </w:r>
      <w:r w:rsidR="00C1411C">
        <w:rPr>
          <w:rFonts w:asciiTheme="majorHAnsi" w:hAnsiTheme="majorHAnsi"/>
          <w:sz w:val="20"/>
          <w:szCs w:val="20"/>
          <w:lang w:val="es-ES"/>
        </w:rPr>
        <w:t>e</w:t>
      </w:r>
      <w:r w:rsidR="008C5562" w:rsidRPr="0062236D">
        <w:rPr>
          <w:rFonts w:asciiTheme="majorHAnsi" w:hAnsiTheme="majorHAnsi"/>
          <w:sz w:val="20"/>
          <w:szCs w:val="20"/>
          <w:lang w:val="es-ES"/>
        </w:rPr>
        <w:t xml:space="preserve"> caso </w:t>
      </w:r>
      <w:r w:rsidR="00005FF7">
        <w:rPr>
          <w:rFonts w:asciiTheme="majorHAnsi" w:hAnsiTheme="majorHAnsi"/>
          <w:sz w:val="20"/>
          <w:szCs w:val="20"/>
          <w:lang w:val="es-ES"/>
        </w:rPr>
        <w:t xml:space="preserve">mediante medidas de compensación pecuniaria y de satisfacción que incluyan el daño material e inmaterial ocasionado a la víctima como consecuencia de las violaciones declaradas en el presente informe. </w:t>
      </w:r>
    </w:p>
    <w:p w:rsidR="00005FF7" w:rsidRDefault="00005FF7" w:rsidP="00005FF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DA4E47" w:rsidRPr="00B54DB6" w:rsidRDefault="00DA4E47" w:rsidP="00DA4E47">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es-ES"/>
        </w:rPr>
      </w:pPr>
      <w:r w:rsidRPr="00B54DB6">
        <w:rPr>
          <w:rFonts w:ascii="Cambria" w:hAnsi="Cambria" w:cs="Times-Roman"/>
          <w:sz w:val="20"/>
          <w:szCs w:val="20"/>
          <w:lang w:val="es-ES" w:bidi="en-US"/>
        </w:rPr>
        <w:t xml:space="preserve">Brindar de forma gratuita, inmediata y por el tiempo que sea necesario, el tratamiento </w:t>
      </w:r>
      <w:r>
        <w:rPr>
          <w:rFonts w:ascii="Cambria" w:hAnsi="Cambria" w:cs="Times-Roman"/>
          <w:sz w:val="20"/>
          <w:szCs w:val="20"/>
          <w:lang w:val="es-ES" w:bidi="en-US"/>
        </w:rPr>
        <w:t xml:space="preserve">de salud física o mental </w:t>
      </w:r>
      <w:r w:rsidRPr="00B54DB6">
        <w:rPr>
          <w:rFonts w:ascii="Cambria" w:hAnsi="Cambria" w:cs="Times-Roman"/>
          <w:sz w:val="20"/>
          <w:szCs w:val="20"/>
          <w:lang w:val="es-ES" w:bidi="en-US"/>
        </w:rPr>
        <w:t>a la víctima del presente caso</w:t>
      </w:r>
      <w:r>
        <w:rPr>
          <w:rFonts w:ascii="Cambria" w:hAnsi="Cambria" w:cs="Times-Roman"/>
          <w:sz w:val="20"/>
          <w:szCs w:val="20"/>
          <w:lang w:val="es-ES" w:bidi="en-US"/>
        </w:rPr>
        <w:t xml:space="preserve"> siempre que </w:t>
      </w:r>
      <w:r w:rsidRPr="00B54DB6">
        <w:rPr>
          <w:rFonts w:ascii="Cambria" w:hAnsi="Cambria" w:cs="Times-Roman"/>
          <w:sz w:val="20"/>
          <w:szCs w:val="20"/>
          <w:lang w:val="es-ES" w:bidi="en-US"/>
        </w:rPr>
        <w:t xml:space="preserve">así lo solicite y de manera concertada con </w:t>
      </w:r>
      <w:r>
        <w:rPr>
          <w:rFonts w:ascii="Cambria" w:hAnsi="Cambria" w:cs="Times-Roman"/>
          <w:sz w:val="20"/>
          <w:szCs w:val="20"/>
          <w:lang w:val="es-ES" w:bidi="en-US"/>
        </w:rPr>
        <w:t>él</w:t>
      </w:r>
      <w:r w:rsidRPr="00B54DB6">
        <w:rPr>
          <w:rFonts w:ascii="Cambria" w:hAnsi="Cambria" w:cs="Times-Roman"/>
          <w:sz w:val="20"/>
          <w:szCs w:val="20"/>
          <w:lang w:val="es-ES" w:bidi="en-US"/>
        </w:rPr>
        <w:t xml:space="preserve">. </w:t>
      </w:r>
    </w:p>
    <w:p w:rsidR="00404E55" w:rsidRDefault="00404E55" w:rsidP="00D737C1">
      <w:pPr>
        <w:rPr>
          <w:rFonts w:asciiTheme="majorHAnsi" w:hAnsiTheme="majorHAnsi"/>
          <w:sz w:val="20"/>
          <w:szCs w:val="20"/>
          <w:lang w:val="es-ES"/>
        </w:rPr>
      </w:pPr>
    </w:p>
    <w:p w:rsidR="00C1411C" w:rsidRPr="00542560" w:rsidRDefault="00961BB2" w:rsidP="00D737C1">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Pr>
          <w:rFonts w:asciiTheme="majorHAnsi" w:hAnsiTheme="majorHAnsi"/>
          <w:sz w:val="20"/>
          <w:szCs w:val="20"/>
          <w:lang w:val="es-ES"/>
        </w:rPr>
        <w:t xml:space="preserve">Disponer las medidas necesarias para adecuar su legislación interna conforme a los estándares descritos en el presente informe en materia de detención preventiva. </w:t>
      </w:r>
      <w:r w:rsidR="00632D40">
        <w:rPr>
          <w:rFonts w:asciiTheme="majorHAnsi" w:hAnsiTheme="majorHAnsi"/>
          <w:sz w:val="20"/>
          <w:szCs w:val="20"/>
          <w:lang w:val="es-ES"/>
        </w:rPr>
        <w:t>En particular, el Estado debe</w:t>
      </w:r>
      <w:r w:rsidR="00910286">
        <w:rPr>
          <w:rFonts w:asciiTheme="majorHAnsi" w:hAnsiTheme="majorHAnsi"/>
          <w:sz w:val="20"/>
          <w:szCs w:val="20"/>
          <w:lang w:val="es-ES"/>
        </w:rPr>
        <w:t xml:space="preserve"> asegurar que: i)</w:t>
      </w:r>
      <w:r w:rsidR="00632D40">
        <w:rPr>
          <w:rFonts w:asciiTheme="majorHAnsi" w:hAnsiTheme="majorHAnsi"/>
          <w:sz w:val="20"/>
          <w:szCs w:val="20"/>
          <w:lang w:val="es-ES"/>
        </w:rPr>
        <w:t xml:space="preserve"> </w:t>
      </w:r>
      <w:r w:rsidR="00632D40" w:rsidRPr="0062236D">
        <w:rPr>
          <w:rFonts w:asciiTheme="majorHAnsi" w:hAnsiTheme="majorHAnsi"/>
          <w:sz w:val="20"/>
          <w:szCs w:val="20"/>
          <w:lang w:val="es-ES"/>
        </w:rPr>
        <w:t>la</w:t>
      </w:r>
      <w:r w:rsidR="00632D40">
        <w:rPr>
          <w:rFonts w:asciiTheme="majorHAnsi" w:hAnsiTheme="majorHAnsi"/>
          <w:sz w:val="20"/>
          <w:szCs w:val="20"/>
          <w:lang w:val="es-ES"/>
        </w:rPr>
        <w:t xml:space="preserve"> detención </w:t>
      </w:r>
      <w:r w:rsidR="00632D40" w:rsidRPr="0062236D">
        <w:rPr>
          <w:rFonts w:asciiTheme="majorHAnsi" w:hAnsiTheme="majorHAnsi"/>
          <w:sz w:val="20"/>
          <w:szCs w:val="20"/>
          <w:lang w:val="es-ES"/>
        </w:rPr>
        <w:t>preventiva se aplique de manera excepcional</w:t>
      </w:r>
      <w:r w:rsidR="00910286">
        <w:rPr>
          <w:rFonts w:asciiTheme="majorHAnsi" w:hAnsiTheme="majorHAnsi"/>
          <w:sz w:val="20"/>
          <w:szCs w:val="20"/>
          <w:lang w:val="es-ES"/>
        </w:rPr>
        <w:t xml:space="preserve">; ii) la detención preventiva </w:t>
      </w:r>
      <w:r w:rsidR="00632D40">
        <w:rPr>
          <w:rFonts w:asciiTheme="majorHAnsi" w:hAnsiTheme="majorHAnsi"/>
          <w:sz w:val="20"/>
          <w:szCs w:val="20"/>
          <w:lang w:val="es-ES"/>
        </w:rPr>
        <w:t>se encuentre</w:t>
      </w:r>
      <w:r w:rsidR="00632D40" w:rsidRPr="0062236D">
        <w:rPr>
          <w:rFonts w:asciiTheme="majorHAnsi" w:hAnsiTheme="majorHAnsi"/>
          <w:sz w:val="20"/>
          <w:szCs w:val="20"/>
          <w:lang w:val="es-ES"/>
        </w:rPr>
        <w:t xml:space="preserve"> limitada por los principios de legalidad, presunción de inocencia, necesidad y proporcionalidad</w:t>
      </w:r>
      <w:r w:rsidR="00910286">
        <w:rPr>
          <w:rFonts w:asciiTheme="majorHAnsi" w:hAnsiTheme="majorHAnsi"/>
          <w:sz w:val="20"/>
          <w:szCs w:val="20"/>
          <w:lang w:val="es-ES"/>
        </w:rPr>
        <w:t xml:space="preserve">; y iii) no exista diferencia de trato con relación a los dos puntos anteriores con base en la naturaleza del delito. </w:t>
      </w:r>
      <w:r w:rsidR="00632D40" w:rsidRPr="0062236D">
        <w:rPr>
          <w:rFonts w:asciiTheme="majorHAnsi" w:hAnsiTheme="majorHAnsi"/>
          <w:sz w:val="20"/>
          <w:szCs w:val="20"/>
          <w:lang w:val="es-ES"/>
        </w:rPr>
        <w:t xml:space="preserve"> </w:t>
      </w:r>
      <w:r>
        <w:rPr>
          <w:rFonts w:asciiTheme="majorHAnsi" w:hAnsiTheme="majorHAnsi"/>
          <w:sz w:val="20"/>
          <w:szCs w:val="20"/>
          <w:lang w:val="es-ES"/>
        </w:rPr>
        <w:t xml:space="preserve">En ese sentido, el Estado debe dejar sin efecto la prohibición de excarcelación contemplada en el actual </w:t>
      </w:r>
      <w:r w:rsidR="00C1411C" w:rsidRPr="0062236D">
        <w:rPr>
          <w:rFonts w:asciiTheme="majorHAnsi" w:hAnsiTheme="majorHAnsi"/>
          <w:sz w:val="20"/>
          <w:szCs w:val="20"/>
          <w:lang w:val="es-ES"/>
        </w:rPr>
        <w:t xml:space="preserve">artículo 11 de la </w:t>
      </w:r>
      <w:r w:rsidR="00632D40">
        <w:rPr>
          <w:rFonts w:asciiTheme="majorHAnsi" w:hAnsiTheme="majorHAnsi"/>
          <w:sz w:val="20"/>
          <w:szCs w:val="20"/>
          <w:lang w:val="es-ES"/>
        </w:rPr>
        <w:t>L</w:t>
      </w:r>
      <w:r w:rsidR="00C1411C" w:rsidRPr="0062236D">
        <w:rPr>
          <w:rFonts w:asciiTheme="majorHAnsi" w:hAnsiTheme="majorHAnsi"/>
          <w:sz w:val="20"/>
          <w:szCs w:val="20"/>
          <w:lang w:val="es-ES"/>
        </w:rPr>
        <w:t>ey 24.390</w:t>
      </w:r>
      <w:r w:rsidR="00632D40">
        <w:rPr>
          <w:rFonts w:asciiTheme="majorHAnsi" w:hAnsiTheme="majorHAnsi"/>
          <w:sz w:val="20"/>
          <w:szCs w:val="20"/>
          <w:lang w:val="es-ES"/>
        </w:rPr>
        <w:t>.</w:t>
      </w:r>
      <w:r w:rsidR="00C1411C" w:rsidRPr="0062236D">
        <w:rPr>
          <w:rFonts w:asciiTheme="majorHAnsi" w:hAnsiTheme="majorHAnsi"/>
          <w:sz w:val="20"/>
          <w:szCs w:val="20"/>
          <w:lang w:val="es-ES"/>
        </w:rPr>
        <w:t xml:space="preserve"> </w:t>
      </w:r>
      <w:bookmarkStart w:id="90" w:name="_GoBack"/>
      <w:bookmarkEnd w:id="90"/>
    </w:p>
    <w:sectPr w:rsidR="00C1411C" w:rsidRPr="00542560" w:rsidSect="00E76156">
      <w:pgSz w:w="12240" w:h="15840"/>
      <w:pgMar w:top="1440" w:right="135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DB" w:rsidRDefault="00ED58DB">
      <w:r>
        <w:separator/>
      </w:r>
    </w:p>
  </w:endnote>
  <w:endnote w:type="continuationSeparator" w:id="0">
    <w:p w:rsidR="00ED58DB" w:rsidRDefault="00ED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al">
    <w:altName w:val="Calibri"/>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alibri-Italic">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635294112"/>
      <w:docPartObj>
        <w:docPartGallery w:val="Page Numbers (Bottom of Page)"/>
        <w:docPartUnique/>
      </w:docPartObj>
    </w:sdtPr>
    <w:sdtEndPr>
      <w:rPr>
        <w:noProof/>
        <w:sz w:val="16"/>
        <w:szCs w:val="22"/>
      </w:rPr>
    </w:sdtEndPr>
    <w:sdtContent>
      <w:p w:rsidR="00A26307" w:rsidRPr="00934A2C" w:rsidRDefault="00A2630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42560">
          <w:rPr>
            <w:noProof/>
            <w:sz w:val="16"/>
            <w:szCs w:val="22"/>
          </w:rPr>
          <w:t>28</w:t>
        </w:r>
        <w:r w:rsidRPr="00934A2C">
          <w:rPr>
            <w:noProof/>
            <w:sz w:val="16"/>
            <w:szCs w:val="22"/>
          </w:rPr>
          <w:fldChar w:fldCharType="end"/>
        </w:r>
      </w:p>
    </w:sdtContent>
  </w:sdt>
  <w:p w:rsidR="00A26307" w:rsidRDefault="00A26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07" w:rsidRPr="00934A2C" w:rsidRDefault="00A26307">
    <w:pPr>
      <w:pStyle w:val="Footer"/>
      <w:jc w:val="center"/>
      <w:rPr>
        <w:sz w:val="16"/>
        <w:szCs w:val="22"/>
      </w:rPr>
    </w:pPr>
  </w:p>
  <w:p w:rsidR="00A26307" w:rsidRDefault="00A26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DB" w:rsidRDefault="00ED58DB">
      <w:r>
        <w:separator/>
      </w:r>
    </w:p>
  </w:footnote>
  <w:footnote w:type="continuationSeparator" w:id="0">
    <w:p w:rsidR="00ED58DB" w:rsidRDefault="00ED58DB">
      <w:r>
        <w:continuationSeparator/>
      </w:r>
    </w:p>
  </w:footnote>
  <w:footnote w:type="continuationNotice" w:id="1">
    <w:p w:rsidR="00ED58DB" w:rsidRDefault="00ED58DB"/>
  </w:footnote>
  <w:footnote w:id="2">
    <w:p w:rsidR="00A26307" w:rsidRPr="007A5722" w:rsidRDefault="00A26307" w:rsidP="007A5722">
      <w:pPr>
        <w:pStyle w:val="FootnoteText"/>
        <w:spacing w:after="120"/>
        <w:ind w:firstLine="720"/>
        <w:jc w:val="both"/>
        <w:rPr>
          <w:rFonts w:asciiTheme="majorHAnsi" w:hAnsiTheme="majorHAnsi"/>
          <w:sz w:val="16"/>
          <w:szCs w:val="16"/>
          <w:lang w:val="es-CO"/>
        </w:rPr>
      </w:pPr>
      <w:r w:rsidRPr="007A5722">
        <w:rPr>
          <w:rStyle w:val="FootnoteReference"/>
          <w:rFonts w:asciiTheme="majorHAnsi" w:hAnsiTheme="majorHAnsi"/>
          <w:sz w:val="16"/>
          <w:szCs w:val="16"/>
        </w:rPr>
        <w:footnoteRef/>
      </w:r>
      <w:r w:rsidRPr="007A5722">
        <w:rPr>
          <w:rFonts w:asciiTheme="majorHAnsi" w:hAnsiTheme="majorHAnsi"/>
          <w:sz w:val="16"/>
          <w:szCs w:val="16"/>
          <w:lang w:val="es-ES"/>
        </w:rPr>
        <w:t xml:space="preserve"> CIDH, Informe No. 50/04, Petición 12.056, Admisibilidad, Gabriel Oscar Jenkins, Argentina, 13 de octubre de 2004, </w:t>
      </w:r>
      <w:proofErr w:type="spellStart"/>
      <w:r w:rsidRPr="007A5722">
        <w:rPr>
          <w:rFonts w:asciiTheme="majorHAnsi" w:hAnsiTheme="majorHAnsi"/>
          <w:sz w:val="16"/>
          <w:szCs w:val="16"/>
          <w:lang w:val="es-ES"/>
        </w:rPr>
        <w:t>párrs</w:t>
      </w:r>
      <w:proofErr w:type="spellEnd"/>
      <w:r w:rsidRPr="007A5722">
        <w:rPr>
          <w:rFonts w:asciiTheme="majorHAnsi" w:hAnsiTheme="majorHAnsi"/>
          <w:sz w:val="16"/>
          <w:szCs w:val="16"/>
          <w:lang w:val="es-ES"/>
        </w:rPr>
        <w:t xml:space="preserve">. </w:t>
      </w:r>
      <w:r w:rsidRPr="007A5722">
        <w:rPr>
          <w:rFonts w:asciiTheme="majorHAnsi" w:hAnsiTheme="majorHAnsi"/>
          <w:sz w:val="16"/>
          <w:szCs w:val="16"/>
          <w:lang w:val="es-CO"/>
        </w:rPr>
        <w:t>5 -14.</w:t>
      </w:r>
    </w:p>
  </w:footnote>
  <w:footnote w:id="3">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7A5722">
        <w:rPr>
          <w:rFonts w:asciiTheme="majorHAnsi" w:hAnsiTheme="majorHAnsi"/>
          <w:sz w:val="16"/>
          <w:szCs w:val="16"/>
          <w:lang w:val="es-VE"/>
        </w:rPr>
        <w:t>. Constancia de la instrucción vinculando las escuchas practicadas al abonado 414-7004. Anexo I del Escrito de observaciones presentado por el Estado el 16 de septiembre de 1999.</w:t>
      </w:r>
    </w:p>
  </w:footnote>
  <w:footnote w:id="4">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7A5722">
        <w:rPr>
          <w:rFonts w:asciiTheme="majorHAnsi" w:hAnsiTheme="majorHAnsi"/>
          <w:sz w:val="16"/>
          <w:szCs w:val="16"/>
          <w:lang w:val="es-VE"/>
        </w:rPr>
        <w:t xml:space="preserve">. Constancia de la instrucción vinculando las escuchas practicadas al abonado 414-7004. Anexo I del Escrito de observaciones presentado por el Estado el 16 de septiembre de 1999. </w:t>
      </w:r>
    </w:p>
  </w:footnote>
  <w:footnote w:id="5">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7A5722">
        <w:rPr>
          <w:rFonts w:asciiTheme="majorHAnsi" w:hAnsiTheme="majorHAnsi"/>
          <w:sz w:val="16"/>
          <w:szCs w:val="16"/>
          <w:lang w:val="es-VE"/>
        </w:rPr>
        <w:t xml:space="preserve">. Constancia de la instrucción vinculando las escuchas practicadas al abonado 414-7004, </w:t>
      </w:r>
      <w:proofErr w:type="spellStart"/>
      <w:r w:rsidRPr="007A5722">
        <w:rPr>
          <w:rFonts w:asciiTheme="majorHAnsi" w:hAnsiTheme="majorHAnsi"/>
          <w:sz w:val="16"/>
          <w:szCs w:val="16"/>
          <w:lang w:val="es-VE"/>
        </w:rPr>
        <w:t>cassette</w:t>
      </w:r>
      <w:proofErr w:type="spellEnd"/>
      <w:r w:rsidRPr="007A5722">
        <w:rPr>
          <w:rFonts w:asciiTheme="majorHAnsi" w:hAnsiTheme="majorHAnsi"/>
          <w:sz w:val="16"/>
          <w:szCs w:val="16"/>
          <w:lang w:val="es-VE"/>
        </w:rPr>
        <w:t xml:space="preserve"> no.41. Anexo I del Escrito de observaciones presentado por el Estado el 16 de septiembre de 1999. </w:t>
      </w:r>
    </w:p>
  </w:footnote>
  <w:footnote w:id="6">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7A5722">
        <w:rPr>
          <w:rFonts w:asciiTheme="majorHAnsi" w:hAnsiTheme="majorHAnsi"/>
          <w:sz w:val="16"/>
          <w:szCs w:val="16"/>
          <w:lang w:val="es-VE"/>
        </w:rPr>
        <w:t>. Anexo I del Escrito de observaciones presentado por el Estado el 16 de septiembre de 1999.</w:t>
      </w:r>
    </w:p>
  </w:footnote>
  <w:footnote w:id="7">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7A5722">
        <w:rPr>
          <w:rFonts w:asciiTheme="majorHAnsi" w:hAnsiTheme="majorHAnsi"/>
          <w:sz w:val="16"/>
          <w:szCs w:val="16"/>
          <w:lang w:val="es-VE"/>
        </w:rPr>
        <w:t>. Transcripción correspondiente a la intervención telefónica del abonado 91-3614 (Mar del Plata) correspondiente a los días 1 y 2 de abril de 1994. Anexo I del Escrito de observaciones presentado por el Estado el 16 de septiembre de 1999.</w:t>
      </w:r>
    </w:p>
  </w:footnote>
  <w:footnote w:id="8">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7A5722">
        <w:rPr>
          <w:rFonts w:asciiTheme="majorHAnsi" w:hAnsiTheme="majorHAnsi"/>
          <w:sz w:val="16"/>
          <w:szCs w:val="16"/>
          <w:lang w:val="es-VE"/>
        </w:rPr>
        <w:t xml:space="preserve">. Transcripción correspondiente a la intervención telefónica del abonado 91-3614 (Mar del Plata) correspondiente a los días 7 y 8 de mayo de 1994, </w:t>
      </w:r>
      <w:proofErr w:type="spellStart"/>
      <w:r w:rsidRPr="007A5722">
        <w:rPr>
          <w:rFonts w:asciiTheme="majorHAnsi" w:hAnsiTheme="majorHAnsi"/>
          <w:sz w:val="16"/>
          <w:szCs w:val="16"/>
          <w:lang w:val="es-VE"/>
        </w:rPr>
        <w:t>cassette</w:t>
      </w:r>
      <w:proofErr w:type="spellEnd"/>
      <w:r w:rsidRPr="007A5722">
        <w:rPr>
          <w:rFonts w:asciiTheme="majorHAnsi" w:hAnsiTheme="majorHAnsi"/>
          <w:sz w:val="16"/>
          <w:szCs w:val="16"/>
          <w:lang w:val="es-VE"/>
        </w:rPr>
        <w:t xml:space="preserve"> número 53. Anexo I del Escrito de observaciones presentado por el Estado el 16 de septiembre de 1999.</w:t>
      </w:r>
    </w:p>
  </w:footnote>
  <w:footnote w:id="9">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4</w:t>
      </w:r>
      <w:r w:rsidRPr="007A5722">
        <w:rPr>
          <w:rFonts w:asciiTheme="majorHAnsi" w:hAnsiTheme="majorHAnsi"/>
          <w:sz w:val="16"/>
          <w:szCs w:val="16"/>
          <w:lang w:val="es-VE"/>
        </w:rPr>
        <w:t>. Solicitud de elevación a juicio del Fiscal Federal Adjunto de 21 de abril de 1995.Anexo del Escrito de observaciones presentado por el Estado el 16 de septiembre de 1999.</w:t>
      </w:r>
    </w:p>
  </w:footnote>
  <w:footnote w:id="10">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4</w:t>
      </w:r>
      <w:r w:rsidRPr="007A5722">
        <w:rPr>
          <w:rFonts w:asciiTheme="majorHAnsi" w:hAnsiTheme="majorHAnsi"/>
          <w:sz w:val="16"/>
          <w:szCs w:val="16"/>
          <w:lang w:val="es-VE"/>
        </w:rPr>
        <w:t>. Solicitud de elevación a juicio del Fiscal Federal Adjunto de 21 de abril de 1995.Anexo del Escrito de observaciones presentado por el Estado el 16 de septiembre de 1999.</w:t>
      </w:r>
    </w:p>
  </w:footnote>
  <w:footnote w:id="11">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5</w:t>
      </w:r>
      <w:r w:rsidRPr="007A5722">
        <w:rPr>
          <w:rFonts w:asciiTheme="majorHAnsi" w:hAnsiTheme="majorHAnsi"/>
          <w:sz w:val="16"/>
          <w:szCs w:val="16"/>
          <w:lang w:val="es-VE"/>
        </w:rPr>
        <w:t>. Sentencia del Tribunal Oral en lo Criminal Federal No. 6 de la Capital Federal de 23 de diciembre de 1997, folios 154 y 159. En el marco de dicho proceso también solicitó la absolución de otros imputados: Fabián Heredia, Marisa Cañete, Julio Omar Godoy, Claudio Martínez y Silvia Susana Claro. Ver folio 243.</w:t>
      </w:r>
    </w:p>
  </w:footnote>
  <w:footnote w:id="12">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5</w:t>
      </w:r>
      <w:r w:rsidRPr="007A5722">
        <w:rPr>
          <w:rFonts w:asciiTheme="majorHAnsi" w:hAnsiTheme="majorHAnsi"/>
          <w:sz w:val="16"/>
          <w:szCs w:val="16"/>
          <w:lang w:val="es-VE"/>
        </w:rPr>
        <w:t>. Sentencia del Tribunal Oral en lo Criminal Federal No. 6 de la Capital Federal de 23 de diciembre de 1997, folio 317.</w:t>
      </w:r>
    </w:p>
  </w:footnote>
  <w:footnote w:id="13">
    <w:p w:rsidR="00A26307" w:rsidRPr="007A5722" w:rsidRDefault="00A26307" w:rsidP="007A5722">
      <w:pPr>
        <w:pStyle w:val="FootnoteText"/>
        <w:spacing w:after="120"/>
        <w:ind w:firstLine="720"/>
        <w:jc w:val="both"/>
        <w:rPr>
          <w:rFonts w:asciiTheme="majorHAnsi" w:hAnsiTheme="majorHAnsi"/>
          <w:sz w:val="16"/>
          <w:szCs w:val="16"/>
          <w:lang w:val="es-GT"/>
        </w:rPr>
      </w:pPr>
      <w:r w:rsidRPr="007A5722">
        <w:rPr>
          <w:rStyle w:val="FootnoteReference"/>
          <w:rFonts w:asciiTheme="majorHAnsi" w:hAnsiTheme="majorHAnsi"/>
          <w:sz w:val="16"/>
          <w:szCs w:val="16"/>
        </w:rPr>
        <w:footnoteRef/>
      </w:r>
      <w:r w:rsidRPr="007A5722">
        <w:rPr>
          <w:rFonts w:asciiTheme="majorHAnsi" w:hAnsiTheme="majorHAnsi"/>
          <w:sz w:val="16"/>
          <w:szCs w:val="16"/>
          <w:lang w:val="es-ES"/>
        </w:rPr>
        <w:t xml:space="preserve"> </w:t>
      </w:r>
      <w:r w:rsidRPr="007A5722">
        <w:rPr>
          <w:rFonts w:asciiTheme="majorHAnsi" w:hAnsiTheme="majorHAnsi"/>
          <w:sz w:val="16"/>
          <w:szCs w:val="16"/>
          <w:lang w:val="es-GT"/>
        </w:rPr>
        <w:t>Escrito de observaciones del Estado de 11 de junio de 2013.</w:t>
      </w:r>
    </w:p>
  </w:footnote>
  <w:footnote w:id="14">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Pr="007A5722">
        <w:rPr>
          <w:rFonts w:asciiTheme="majorHAnsi" w:hAnsiTheme="majorHAnsi"/>
          <w:sz w:val="16"/>
          <w:szCs w:val="16"/>
          <w:lang w:val="es-VE"/>
        </w:rPr>
        <w:t xml:space="preserve"> Escrito de observaciones del Estado de 16 de septiembre de 1999.</w:t>
      </w:r>
    </w:p>
  </w:footnote>
  <w:footnote w:id="15">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w:t>
      </w:r>
      <w:r w:rsidRPr="007A5722">
        <w:rPr>
          <w:rFonts w:asciiTheme="majorHAnsi" w:hAnsiTheme="majorHAnsi"/>
          <w:sz w:val="16"/>
          <w:szCs w:val="16"/>
          <w:lang w:val="es-VE"/>
        </w:rPr>
        <w:t>Escrito de observaciones presentado por el Estado el 16 de septiembre de 1999.</w:t>
      </w:r>
    </w:p>
  </w:footnote>
  <w:footnote w:id="16">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5</w:t>
      </w:r>
      <w:r w:rsidRPr="007A5722">
        <w:rPr>
          <w:rFonts w:asciiTheme="majorHAnsi" w:hAnsiTheme="majorHAnsi"/>
          <w:sz w:val="16"/>
          <w:szCs w:val="16"/>
          <w:lang w:val="es-VE"/>
        </w:rPr>
        <w:t xml:space="preserve">. Sentencia del Tribunal Oral en lo Criminal Federal No. 6 de la Capital Federal de 23 de diciembre de 1997, folios 154 y 159. En el marco de dicho proceso también solicitó la absolución de otros imputados: Fabián Heredia, Marisa Cañete, Julio Omar Godoy, Claudio Martínez y Silvia Susana Claro. Ver folio 243. </w:t>
      </w:r>
    </w:p>
  </w:footnote>
  <w:footnote w:id="17">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5</w:t>
      </w:r>
      <w:r w:rsidRPr="007A5722">
        <w:rPr>
          <w:rFonts w:asciiTheme="majorHAnsi" w:hAnsiTheme="majorHAnsi"/>
          <w:sz w:val="16"/>
          <w:szCs w:val="16"/>
          <w:lang w:val="es-VE"/>
        </w:rPr>
        <w:t>. Sentencia del Tribunal Oral en lo Criminal Federal No. 6 de la Capital Federal de 23 de diciembre de 1997, folio 406.</w:t>
      </w:r>
    </w:p>
  </w:footnote>
  <w:footnote w:id="18">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5</w:t>
      </w:r>
      <w:r w:rsidRPr="007A5722">
        <w:rPr>
          <w:rFonts w:asciiTheme="majorHAnsi" w:hAnsiTheme="majorHAnsi"/>
          <w:sz w:val="16"/>
          <w:szCs w:val="16"/>
          <w:lang w:val="es-VE"/>
        </w:rPr>
        <w:t>. Sentencia del Tribunal Oral en lo Criminal Federal No. 6 de la Capital Federal de 23 de diciembre de 1997, folio 317.</w:t>
      </w:r>
    </w:p>
  </w:footnote>
  <w:footnote w:id="19">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5</w:t>
      </w:r>
      <w:r w:rsidRPr="007A5722">
        <w:rPr>
          <w:rFonts w:asciiTheme="majorHAnsi" w:hAnsiTheme="majorHAnsi"/>
          <w:sz w:val="16"/>
          <w:szCs w:val="16"/>
          <w:lang w:val="es-VE"/>
        </w:rPr>
        <w:t>. Sentencia del Tribunal Oral en lo Criminal Federal No. 6 de la Capital Federal de 23 de diciembre de 1997, folio 418.</w:t>
      </w:r>
      <w:r w:rsidRPr="007A5722">
        <w:rPr>
          <w:rFonts w:asciiTheme="majorHAnsi" w:hAnsiTheme="majorHAnsi"/>
          <w:sz w:val="16"/>
          <w:szCs w:val="16"/>
          <w:lang w:val="es-CO"/>
        </w:rPr>
        <w:t xml:space="preserve"> </w:t>
      </w:r>
    </w:p>
  </w:footnote>
  <w:footnote w:id="20">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w:t>
      </w:r>
      <w:r w:rsidRPr="007A5722">
        <w:rPr>
          <w:rFonts w:asciiTheme="majorHAnsi" w:hAnsiTheme="majorHAnsi"/>
          <w:sz w:val="16"/>
          <w:szCs w:val="16"/>
          <w:lang w:val="es-VE"/>
        </w:rPr>
        <w:t xml:space="preserve">Ley No. 24.390 Plazos de prisión preventiva, promulgada el 21 de noviembre de 1994, disponible en: </w:t>
      </w:r>
      <w:r w:rsidR="00ED58DB">
        <w:fldChar w:fldCharType="begin"/>
      </w:r>
      <w:r w:rsidR="00ED58DB" w:rsidRPr="00542560">
        <w:rPr>
          <w:lang w:val="es-VE"/>
        </w:rPr>
        <w:instrText xml:space="preserve"> HYPERLINK "http://servicios.infoleg.gob.ar/infolegInternet/anexos/0-4999/776/norma.htm" </w:instrText>
      </w:r>
      <w:r w:rsidR="00ED58DB">
        <w:fldChar w:fldCharType="separate"/>
      </w:r>
      <w:r w:rsidRPr="007A5722">
        <w:rPr>
          <w:rStyle w:val="Hyperlink"/>
          <w:rFonts w:asciiTheme="majorHAnsi" w:hAnsiTheme="majorHAnsi"/>
          <w:sz w:val="16"/>
          <w:szCs w:val="16"/>
          <w:lang w:val="es-VE"/>
        </w:rPr>
        <w:t>http://servicios.infoleg.gob.ar/infolegInternet/anexos/0-4999/776/norma.htm</w:t>
      </w:r>
      <w:r w:rsidR="00ED58DB">
        <w:rPr>
          <w:rStyle w:val="Hyperlink"/>
          <w:rFonts w:asciiTheme="majorHAnsi" w:hAnsiTheme="majorHAnsi"/>
          <w:sz w:val="16"/>
          <w:szCs w:val="16"/>
          <w:lang w:val="es-VE"/>
        </w:rPr>
        <w:fldChar w:fldCharType="end"/>
      </w:r>
      <w:r w:rsidRPr="007A5722">
        <w:rPr>
          <w:rFonts w:asciiTheme="majorHAnsi" w:hAnsiTheme="majorHAnsi"/>
          <w:sz w:val="16"/>
          <w:szCs w:val="16"/>
          <w:lang w:val="es-VE"/>
        </w:rPr>
        <w:t>.</w:t>
      </w:r>
    </w:p>
  </w:footnote>
  <w:footnote w:id="21">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w:t>
      </w:r>
      <w:r w:rsidRPr="007A5722">
        <w:rPr>
          <w:rFonts w:asciiTheme="majorHAnsi" w:hAnsiTheme="majorHAnsi"/>
          <w:sz w:val="16"/>
          <w:szCs w:val="16"/>
          <w:lang w:val="es-VE"/>
        </w:rPr>
        <w:t xml:space="preserve">Ley No. 24.390 Plazos de prisión preventiva, promulgada el 21 de noviembre de 1994, disponible en: </w:t>
      </w:r>
      <w:r w:rsidR="00ED58DB">
        <w:fldChar w:fldCharType="begin"/>
      </w:r>
      <w:r w:rsidR="00ED58DB" w:rsidRPr="00542560">
        <w:rPr>
          <w:lang w:val="es-VE"/>
        </w:rPr>
        <w:instrText xml:space="preserve"> HYPERLINK "http://servicios.infoleg.gob.ar/infolegInternet/anexos/0-4999/776/norma.htm" </w:instrText>
      </w:r>
      <w:r w:rsidR="00ED58DB">
        <w:fldChar w:fldCharType="separate"/>
      </w:r>
      <w:r w:rsidRPr="007A5722">
        <w:rPr>
          <w:rStyle w:val="Hyperlink"/>
          <w:rFonts w:asciiTheme="majorHAnsi" w:hAnsiTheme="majorHAnsi"/>
          <w:sz w:val="16"/>
          <w:szCs w:val="16"/>
          <w:lang w:val="es-VE"/>
        </w:rPr>
        <w:t>http://servicios.infoleg.gob.ar/infolegInternet/anexos/0-4999/776/norma.htm</w:t>
      </w:r>
      <w:r w:rsidR="00ED58DB">
        <w:rPr>
          <w:rStyle w:val="Hyperlink"/>
          <w:rFonts w:asciiTheme="majorHAnsi" w:hAnsiTheme="majorHAnsi"/>
          <w:sz w:val="16"/>
          <w:szCs w:val="16"/>
          <w:lang w:val="es-VE"/>
        </w:rPr>
        <w:fldChar w:fldCharType="end"/>
      </w:r>
      <w:r w:rsidRPr="007A5722">
        <w:rPr>
          <w:rFonts w:asciiTheme="majorHAnsi" w:hAnsiTheme="majorHAnsi"/>
          <w:sz w:val="16"/>
          <w:szCs w:val="16"/>
          <w:lang w:val="es-VE"/>
        </w:rPr>
        <w:t>.</w:t>
      </w:r>
    </w:p>
  </w:footnote>
  <w:footnote w:id="22">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Pr="007A5722">
        <w:rPr>
          <w:rFonts w:asciiTheme="majorHAnsi" w:hAnsiTheme="majorHAnsi"/>
          <w:sz w:val="16"/>
          <w:szCs w:val="16"/>
          <w:lang w:val="es-VE"/>
        </w:rPr>
        <w:t xml:space="preserve"> Ley No. 23.737 promulgada el 10 de octubre de 1989, disponible en: </w:t>
      </w:r>
      <w:r w:rsidR="00ED58DB">
        <w:fldChar w:fldCharType="begin"/>
      </w:r>
      <w:r w:rsidR="00ED58DB" w:rsidRPr="00542560">
        <w:rPr>
          <w:lang w:val="es-VE"/>
        </w:rPr>
        <w:instrText xml:space="preserve"> HYPERLINK "http://servicios.infoleg.gob.ar/infolegInternet/anexos/0-4999/138/texact.htm" </w:instrText>
      </w:r>
      <w:r w:rsidR="00ED58DB">
        <w:fldChar w:fldCharType="separate"/>
      </w:r>
      <w:r w:rsidRPr="007A5722">
        <w:rPr>
          <w:rStyle w:val="Hyperlink"/>
          <w:rFonts w:asciiTheme="majorHAnsi" w:hAnsiTheme="majorHAnsi"/>
          <w:sz w:val="16"/>
          <w:szCs w:val="16"/>
          <w:lang w:val="es-VE"/>
        </w:rPr>
        <w:t>http://servicios.infoleg.gob.ar/infolegInternet/anexos/0-4999/138/texact.htm</w:t>
      </w:r>
      <w:r w:rsidR="00ED58DB">
        <w:rPr>
          <w:rStyle w:val="Hyperlink"/>
          <w:rFonts w:asciiTheme="majorHAnsi" w:hAnsiTheme="majorHAnsi"/>
          <w:sz w:val="16"/>
          <w:szCs w:val="16"/>
          <w:lang w:val="es-VE"/>
        </w:rPr>
        <w:fldChar w:fldCharType="end"/>
      </w:r>
      <w:r w:rsidRPr="007A5722">
        <w:rPr>
          <w:rFonts w:asciiTheme="majorHAnsi" w:hAnsiTheme="majorHAnsi"/>
          <w:sz w:val="16"/>
          <w:szCs w:val="16"/>
          <w:lang w:val="es-VE"/>
        </w:rPr>
        <w:t xml:space="preserve">. </w:t>
      </w:r>
    </w:p>
  </w:footnote>
  <w:footnote w:id="23">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6</w:t>
      </w:r>
      <w:r w:rsidRPr="007A5722">
        <w:rPr>
          <w:rFonts w:asciiTheme="majorHAnsi" w:hAnsiTheme="majorHAnsi"/>
          <w:sz w:val="16"/>
          <w:szCs w:val="16"/>
          <w:lang w:val="es-VE"/>
        </w:rPr>
        <w:t xml:space="preserve">. Resolución No. 935/97 del Defensor del Pueblo de la Ciudad de Buenos Aires de 23 de junio de 1997. </w:t>
      </w:r>
    </w:p>
  </w:footnote>
  <w:footnote w:id="24">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6</w:t>
      </w:r>
      <w:r w:rsidRPr="007A5722">
        <w:rPr>
          <w:rFonts w:asciiTheme="majorHAnsi" w:hAnsiTheme="majorHAnsi"/>
          <w:sz w:val="16"/>
          <w:szCs w:val="16"/>
          <w:lang w:val="es-VE"/>
        </w:rPr>
        <w:t xml:space="preserve">. Resolución No. 935/97 del Defensor del Pueblo de la Ciudad de Buenos Aires de 23 de junio de 1997. </w:t>
      </w:r>
    </w:p>
  </w:footnote>
  <w:footnote w:id="25">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6</w:t>
      </w:r>
      <w:r w:rsidRPr="007A5722">
        <w:rPr>
          <w:rFonts w:asciiTheme="majorHAnsi" w:hAnsiTheme="majorHAnsi"/>
          <w:sz w:val="16"/>
          <w:szCs w:val="16"/>
          <w:lang w:val="es-VE"/>
        </w:rPr>
        <w:t xml:space="preserve">. Resolución No. 935/97 del Defensor del Pueblo de la Ciudad de Buenos Aires de 23 de junio de 1997. </w:t>
      </w:r>
    </w:p>
  </w:footnote>
  <w:footnote w:id="26">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6</w:t>
      </w:r>
      <w:r w:rsidRPr="007A5722">
        <w:rPr>
          <w:rFonts w:asciiTheme="majorHAnsi" w:hAnsiTheme="majorHAnsi"/>
          <w:sz w:val="16"/>
          <w:szCs w:val="16"/>
          <w:lang w:val="es-VE"/>
        </w:rPr>
        <w:t xml:space="preserve">. Resolución No. 935/97 del Defensor del Pueblo de la Ciudad de Buenos Aires de 23 de junio de 1997. </w:t>
      </w:r>
    </w:p>
  </w:footnote>
  <w:footnote w:id="27">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6</w:t>
      </w:r>
      <w:r w:rsidRPr="007A5722">
        <w:rPr>
          <w:rFonts w:asciiTheme="majorHAnsi" w:hAnsiTheme="majorHAnsi"/>
          <w:sz w:val="16"/>
          <w:szCs w:val="16"/>
          <w:lang w:val="es-VE"/>
        </w:rPr>
        <w:t xml:space="preserve">. Resolución No. 935/97 del Defensor del Pueblo de la Ciudad de Buenos Aires de 23 de junio de 1997. </w:t>
      </w:r>
    </w:p>
  </w:footnote>
  <w:footnote w:id="28">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7</w:t>
      </w:r>
      <w:r w:rsidRPr="007A5722">
        <w:rPr>
          <w:rFonts w:asciiTheme="majorHAnsi" w:hAnsiTheme="majorHAnsi"/>
          <w:sz w:val="16"/>
          <w:szCs w:val="16"/>
          <w:lang w:val="es-VE"/>
        </w:rPr>
        <w:t xml:space="preserve">. Recurso de inconstitucionalidad interpuesto por Miguel Ángel </w:t>
      </w:r>
      <w:proofErr w:type="spellStart"/>
      <w:r w:rsidRPr="007A5722">
        <w:rPr>
          <w:rFonts w:asciiTheme="majorHAnsi" w:hAnsiTheme="majorHAnsi"/>
          <w:sz w:val="16"/>
          <w:szCs w:val="16"/>
          <w:lang w:val="es-VE"/>
        </w:rPr>
        <w:t>Buigo</w:t>
      </w:r>
      <w:proofErr w:type="spellEnd"/>
      <w:r w:rsidRPr="007A5722">
        <w:rPr>
          <w:rFonts w:asciiTheme="majorHAnsi" w:hAnsiTheme="majorHAnsi"/>
          <w:sz w:val="16"/>
          <w:szCs w:val="16"/>
          <w:lang w:val="es-VE"/>
        </w:rPr>
        <w:t xml:space="preserve"> y Marcelo Roberto </w:t>
      </w:r>
      <w:proofErr w:type="spellStart"/>
      <w:r w:rsidRPr="007A5722">
        <w:rPr>
          <w:rFonts w:asciiTheme="majorHAnsi" w:hAnsiTheme="majorHAnsi"/>
          <w:sz w:val="16"/>
          <w:szCs w:val="16"/>
          <w:lang w:val="es-VE"/>
        </w:rPr>
        <w:t>Buigo</w:t>
      </w:r>
      <w:proofErr w:type="spellEnd"/>
      <w:r w:rsidRPr="007A5722">
        <w:rPr>
          <w:rFonts w:asciiTheme="majorHAnsi" w:hAnsiTheme="majorHAnsi"/>
          <w:sz w:val="16"/>
          <w:szCs w:val="16"/>
          <w:lang w:val="es-VE"/>
        </w:rPr>
        <w:t xml:space="preserve"> interpuesto ante el Tribunal Oral Federal No. 6. Anexo 8 de la comunicación presentada por el peticionario el 9 de septiembre de 1997. </w:t>
      </w:r>
    </w:p>
  </w:footnote>
  <w:footnote w:id="29">
    <w:p w:rsidR="00A26307" w:rsidRPr="007A5722" w:rsidRDefault="00A26307" w:rsidP="00403AC1">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8</w:t>
      </w:r>
      <w:r w:rsidRPr="007A5722">
        <w:rPr>
          <w:rFonts w:asciiTheme="majorHAnsi" w:hAnsiTheme="majorHAnsi"/>
          <w:sz w:val="16"/>
          <w:szCs w:val="16"/>
          <w:lang w:val="es-VE"/>
        </w:rPr>
        <w:t>. Decisión d</w:t>
      </w:r>
      <w:r>
        <w:rPr>
          <w:rFonts w:asciiTheme="majorHAnsi" w:hAnsiTheme="majorHAnsi"/>
          <w:sz w:val="16"/>
          <w:szCs w:val="16"/>
          <w:lang w:val="es-VE"/>
        </w:rPr>
        <w:t xml:space="preserve">el Tribunal Oral Federal No. 6 </w:t>
      </w:r>
      <w:r w:rsidRPr="007A5722">
        <w:rPr>
          <w:rFonts w:asciiTheme="majorHAnsi" w:hAnsiTheme="majorHAnsi"/>
          <w:sz w:val="16"/>
          <w:szCs w:val="16"/>
          <w:lang w:val="es-VE"/>
        </w:rPr>
        <w:t xml:space="preserve">de 2 de octubre de 1996 que declara sin lugar el recurso de inconstitucionalidad interpuesto por los defensores de Gabriel Oscar Jenkins. Anexo 9 de la comunicación presentada por el peticionario el 9 de septiembre de 1997. </w:t>
      </w:r>
    </w:p>
  </w:footnote>
  <w:footnote w:id="30">
    <w:p w:rsidR="00A26307" w:rsidRPr="007A5722" w:rsidRDefault="00A26307" w:rsidP="00403AC1">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8</w:t>
      </w:r>
      <w:r w:rsidRPr="007A5722">
        <w:rPr>
          <w:rFonts w:asciiTheme="majorHAnsi" w:hAnsiTheme="majorHAnsi"/>
          <w:sz w:val="16"/>
          <w:szCs w:val="16"/>
          <w:lang w:val="es-VE"/>
        </w:rPr>
        <w:t>. Decisión d</w:t>
      </w:r>
      <w:r>
        <w:rPr>
          <w:rFonts w:asciiTheme="majorHAnsi" w:hAnsiTheme="majorHAnsi"/>
          <w:sz w:val="16"/>
          <w:szCs w:val="16"/>
          <w:lang w:val="es-VE"/>
        </w:rPr>
        <w:t xml:space="preserve">el Tribunal Oral Federal No. 6 </w:t>
      </w:r>
      <w:r w:rsidRPr="007A5722">
        <w:rPr>
          <w:rFonts w:asciiTheme="majorHAnsi" w:hAnsiTheme="majorHAnsi"/>
          <w:sz w:val="16"/>
          <w:szCs w:val="16"/>
          <w:lang w:val="es-VE"/>
        </w:rPr>
        <w:t xml:space="preserve">de 2 de octubre de 1996 que declara sin lugar el recurso de inconstitucionalidad interpuesto por los defensores de Gabriel Oscar Jenkins. Anexo 9 de la comunicación presentada por el peticionario el 9 de septiembre de 1997. </w:t>
      </w:r>
    </w:p>
  </w:footnote>
  <w:footnote w:id="31">
    <w:p w:rsidR="00A26307" w:rsidRPr="007A5722" w:rsidRDefault="00A26307" w:rsidP="00403AC1">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8</w:t>
      </w:r>
      <w:r w:rsidRPr="007A5722">
        <w:rPr>
          <w:rFonts w:asciiTheme="majorHAnsi" w:hAnsiTheme="majorHAnsi"/>
          <w:sz w:val="16"/>
          <w:szCs w:val="16"/>
          <w:lang w:val="es-VE"/>
        </w:rPr>
        <w:t xml:space="preserve">. Decisión </w:t>
      </w:r>
      <w:r>
        <w:rPr>
          <w:rFonts w:asciiTheme="majorHAnsi" w:hAnsiTheme="majorHAnsi"/>
          <w:sz w:val="16"/>
          <w:szCs w:val="16"/>
          <w:lang w:val="es-VE"/>
        </w:rPr>
        <w:t>del Tribunal Oral Federal No. 6</w:t>
      </w:r>
      <w:r w:rsidRPr="007A5722">
        <w:rPr>
          <w:rFonts w:asciiTheme="majorHAnsi" w:hAnsiTheme="majorHAnsi"/>
          <w:sz w:val="16"/>
          <w:szCs w:val="16"/>
          <w:lang w:val="es-VE"/>
        </w:rPr>
        <w:t xml:space="preserve"> de 2 de octubre de 1996 que declara sin lugar el recurso de inconstitucionalidad interpuesto por los defensores de Gabriel Oscar Jenkins. Anexo 9 de la comunicación presentada por el peticionario el 9 de septiembre de 1997. </w:t>
      </w:r>
    </w:p>
  </w:footnote>
  <w:footnote w:id="32">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8</w:t>
      </w:r>
      <w:r w:rsidRPr="007A5722">
        <w:rPr>
          <w:rFonts w:asciiTheme="majorHAnsi" w:hAnsiTheme="majorHAnsi"/>
          <w:sz w:val="16"/>
          <w:szCs w:val="16"/>
          <w:lang w:val="es-VE"/>
        </w:rPr>
        <w:t>. Decisión d</w:t>
      </w:r>
      <w:r>
        <w:rPr>
          <w:rFonts w:asciiTheme="majorHAnsi" w:hAnsiTheme="majorHAnsi"/>
          <w:sz w:val="16"/>
          <w:szCs w:val="16"/>
          <w:lang w:val="es-VE"/>
        </w:rPr>
        <w:t xml:space="preserve">el Tribunal Oral Federal No. 6 </w:t>
      </w:r>
      <w:r w:rsidRPr="007A5722">
        <w:rPr>
          <w:rFonts w:asciiTheme="majorHAnsi" w:hAnsiTheme="majorHAnsi"/>
          <w:sz w:val="16"/>
          <w:szCs w:val="16"/>
          <w:lang w:val="es-VE"/>
        </w:rPr>
        <w:t xml:space="preserve">de 2 de octubre de 1996 que declara sin lugar el recurso de inconstitucionalidad interpuesto por los defensores de Gabriel Oscar Jenkins. Anexo 9 de la comunicación presentada por el peticionario el 9 de septiembre de 1997. </w:t>
      </w:r>
    </w:p>
  </w:footnote>
  <w:footnote w:id="33">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8</w:t>
      </w:r>
      <w:r w:rsidRPr="007A5722">
        <w:rPr>
          <w:rFonts w:asciiTheme="majorHAnsi" w:hAnsiTheme="majorHAnsi"/>
          <w:sz w:val="16"/>
          <w:szCs w:val="16"/>
          <w:lang w:val="es-VE"/>
        </w:rPr>
        <w:t>. Decisión d</w:t>
      </w:r>
      <w:r>
        <w:rPr>
          <w:rFonts w:asciiTheme="majorHAnsi" w:hAnsiTheme="majorHAnsi"/>
          <w:sz w:val="16"/>
          <w:szCs w:val="16"/>
          <w:lang w:val="es-VE"/>
        </w:rPr>
        <w:t xml:space="preserve">el Tribunal Oral Federal No. 6 </w:t>
      </w:r>
      <w:r w:rsidRPr="007A5722">
        <w:rPr>
          <w:rFonts w:asciiTheme="majorHAnsi" w:hAnsiTheme="majorHAnsi"/>
          <w:sz w:val="16"/>
          <w:szCs w:val="16"/>
          <w:lang w:val="es-VE"/>
        </w:rPr>
        <w:t xml:space="preserve">de 2 de octubre de 1996 que declara sin lugar el recurso de inconstitucionalidad interpuesto por los defensores de Gabriel Oscar Jenkins. Anexo 9 de la comunicación presentada por el peticionario el 9 de septiembre de 1997. </w:t>
      </w:r>
    </w:p>
  </w:footnote>
  <w:footnote w:id="34">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Pr>
          <w:rFonts w:asciiTheme="majorHAnsi" w:hAnsiTheme="majorHAnsi"/>
          <w:sz w:val="16"/>
          <w:szCs w:val="16"/>
          <w:lang w:val="es-VE"/>
        </w:rPr>
        <w:t xml:space="preserve"> Anexo 8</w:t>
      </w:r>
      <w:r w:rsidRPr="007A5722">
        <w:rPr>
          <w:rFonts w:asciiTheme="majorHAnsi" w:hAnsiTheme="majorHAnsi"/>
          <w:sz w:val="16"/>
          <w:szCs w:val="16"/>
          <w:lang w:val="es-VE"/>
        </w:rPr>
        <w:t xml:space="preserve">. Decisión </w:t>
      </w:r>
      <w:r>
        <w:rPr>
          <w:rFonts w:asciiTheme="majorHAnsi" w:hAnsiTheme="majorHAnsi"/>
          <w:sz w:val="16"/>
          <w:szCs w:val="16"/>
          <w:lang w:val="es-VE"/>
        </w:rPr>
        <w:t>del Tribunal Oral Federal No. 6</w:t>
      </w:r>
      <w:r w:rsidRPr="007A5722">
        <w:rPr>
          <w:rFonts w:asciiTheme="majorHAnsi" w:hAnsiTheme="majorHAnsi"/>
          <w:sz w:val="16"/>
          <w:szCs w:val="16"/>
          <w:lang w:val="es-VE"/>
        </w:rPr>
        <w:t xml:space="preserve"> de 2 de octubre de 1996 que declara sin lugar el recurso de inconstitucionalidad interpuesto por los defensores de Gabriel Oscar Jenkins. Anexo 9 de la comunicación presentada por el peticionario el 9 de septiembre de 1997. </w:t>
      </w:r>
    </w:p>
  </w:footnote>
  <w:footnote w:id="35">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C1635">
        <w:rPr>
          <w:rFonts w:asciiTheme="majorHAnsi" w:hAnsiTheme="majorHAnsi"/>
          <w:sz w:val="16"/>
          <w:szCs w:val="16"/>
          <w:lang w:val="es-VE"/>
        </w:rPr>
        <w:t xml:space="preserve"> Anexo 9</w:t>
      </w:r>
      <w:r w:rsidRPr="007A5722">
        <w:rPr>
          <w:rFonts w:asciiTheme="majorHAnsi" w:hAnsiTheme="majorHAnsi"/>
          <w:sz w:val="16"/>
          <w:szCs w:val="16"/>
          <w:lang w:val="es-VE"/>
        </w:rPr>
        <w:t xml:space="preserve">. Recurso de inconstitucionalidad interpuesto por Miguel Ángel </w:t>
      </w:r>
      <w:proofErr w:type="spellStart"/>
      <w:r w:rsidRPr="007A5722">
        <w:rPr>
          <w:rFonts w:asciiTheme="majorHAnsi" w:hAnsiTheme="majorHAnsi"/>
          <w:sz w:val="16"/>
          <w:szCs w:val="16"/>
          <w:lang w:val="es-VE"/>
        </w:rPr>
        <w:t>Buigo</w:t>
      </w:r>
      <w:proofErr w:type="spellEnd"/>
      <w:r w:rsidRPr="007A5722">
        <w:rPr>
          <w:rFonts w:asciiTheme="majorHAnsi" w:hAnsiTheme="majorHAnsi"/>
          <w:sz w:val="16"/>
          <w:szCs w:val="16"/>
          <w:lang w:val="es-VE"/>
        </w:rPr>
        <w:t xml:space="preserve"> Y Marcelo Roberto </w:t>
      </w:r>
      <w:proofErr w:type="spellStart"/>
      <w:r w:rsidRPr="007A5722">
        <w:rPr>
          <w:rFonts w:asciiTheme="majorHAnsi" w:hAnsiTheme="majorHAnsi"/>
          <w:sz w:val="16"/>
          <w:szCs w:val="16"/>
          <w:lang w:val="es-VE"/>
        </w:rPr>
        <w:t>Buigo</w:t>
      </w:r>
      <w:proofErr w:type="spellEnd"/>
      <w:r w:rsidRPr="007A5722">
        <w:rPr>
          <w:rFonts w:asciiTheme="majorHAnsi" w:hAnsiTheme="majorHAnsi"/>
          <w:sz w:val="16"/>
          <w:szCs w:val="16"/>
          <w:lang w:val="es-VE"/>
        </w:rPr>
        <w:t xml:space="preserve"> en contra de la decisión del Tribunal Oral Federal No. 6 que deniega la excarcelación de Gabriel Jenkins. Anexo 10 de la comunicación presentada por el peticionario el 9 de septiembre de 1997. </w:t>
      </w:r>
    </w:p>
  </w:footnote>
  <w:footnote w:id="36">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C1635">
        <w:rPr>
          <w:rFonts w:asciiTheme="majorHAnsi" w:hAnsiTheme="majorHAnsi"/>
          <w:sz w:val="16"/>
          <w:szCs w:val="16"/>
          <w:lang w:val="es-VE"/>
        </w:rPr>
        <w:t xml:space="preserve"> Anexo 9</w:t>
      </w:r>
      <w:r w:rsidRPr="007A5722">
        <w:rPr>
          <w:rFonts w:asciiTheme="majorHAnsi" w:hAnsiTheme="majorHAnsi"/>
          <w:sz w:val="16"/>
          <w:szCs w:val="16"/>
          <w:lang w:val="es-VE"/>
        </w:rPr>
        <w:t xml:space="preserve">. Recurso de inconstitucionalidad interpuesto por Miguel Ángel </w:t>
      </w:r>
      <w:proofErr w:type="spellStart"/>
      <w:r w:rsidRPr="007A5722">
        <w:rPr>
          <w:rFonts w:asciiTheme="majorHAnsi" w:hAnsiTheme="majorHAnsi"/>
          <w:sz w:val="16"/>
          <w:szCs w:val="16"/>
          <w:lang w:val="es-VE"/>
        </w:rPr>
        <w:t>Buigo</w:t>
      </w:r>
      <w:proofErr w:type="spellEnd"/>
      <w:r w:rsidRPr="007A5722">
        <w:rPr>
          <w:rFonts w:asciiTheme="majorHAnsi" w:hAnsiTheme="majorHAnsi"/>
          <w:sz w:val="16"/>
          <w:szCs w:val="16"/>
          <w:lang w:val="es-VE"/>
        </w:rPr>
        <w:t xml:space="preserve"> Y Marcelo Roberto </w:t>
      </w:r>
      <w:proofErr w:type="spellStart"/>
      <w:r w:rsidRPr="007A5722">
        <w:rPr>
          <w:rFonts w:asciiTheme="majorHAnsi" w:hAnsiTheme="majorHAnsi"/>
          <w:sz w:val="16"/>
          <w:szCs w:val="16"/>
          <w:lang w:val="es-VE"/>
        </w:rPr>
        <w:t>Buigo</w:t>
      </w:r>
      <w:proofErr w:type="spellEnd"/>
      <w:r w:rsidRPr="007A5722">
        <w:rPr>
          <w:rFonts w:asciiTheme="majorHAnsi" w:hAnsiTheme="majorHAnsi"/>
          <w:sz w:val="16"/>
          <w:szCs w:val="16"/>
          <w:lang w:val="es-VE"/>
        </w:rPr>
        <w:t xml:space="preserve"> en contra de la decisión del Tribunal Oral Federal No. 6 que deniega la excarcelación de Gabriel Jenkins. Anexo 10 de la comunicación presentada por el peticionario el 9 de septiembre de 1997. </w:t>
      </w:r>
    </w:p>
  </w:footnote>
  <w:footnote w:id="37">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C1635">
        <w:rPr>
          <w:rFonts w:asciiTheme="majorHAnsi" w:hAnsiTheme="majorHAnsi"/>
          <w:sz w:val="16"/>
          <w:szCs w:val="16"/>
          <w:lang w:val="es-VE"/>
        </w:rPr>
        <w:t xml:space="preserve"> Anexo 10</w:t>
      </w:r>
      <w:r w:rsidRPr="007A5722">
        <w:rPr>
          <w:rFonts w:asciiTheme="majorHAnsi" w:hAnsiTheme="majorHAnsi"/>
          <w:sz w:val="16"/>
          <w:szCs w:val="16"/>
          <w:lang w:val="es-VE"/>
        </w:rPr>
        <w:t xml:space="preserve">. Resolución de la Sala I de la Cámara Nacional de Casación Penal de 24 de febrero de 1997 que deniega el recurso de inconstitucionalidad interpuesto por Gabriel Oscar Jenkins. Anexo 6 de la comunicación presentada por el peticionario el 9 de septiembre de 1997. </w:t>
      </w:r>
    </w:p>
  </w:footnote>
  <w:footnote w:id="38">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w:t>
      </w:r>
      <w:r w:rsidR="00FC1635">
        <w:rPr>
          <w:rFonts w:asciiTheme="majorHAnsi" w:hAnsiTheme="majorHAnsi"/>
          <w:sz w:val="16"/>
          <w:szCs w:val="16"/>
          <w:lang w:val="es-VE"/>
        </w:rPr>
        <w:t>11</w:t>
      </w:r>
      <w:r>
        <w:rPr>
          <w:rFonts w:asciiTheme="majorHAnsi" w:hAnsiTheme="majorHAnsi"/>
          <w:sz w:val="16"/>
          <w:szCs w:val="16"/>
          <w:lang w:val="es-VE"/>
        </w:rPr>
        <w:t>.</w:t>
      </w:r>
      <w:r w:rsidRPr="007A5722">
        <w:rPr>
          <w:rFonts w:asciiTheme="majorHAnsi" w:hAnsiTheme="majorHAnsi"/>
          <w:sz w:val="16"/>
          <w:szCs w:val="16"/>
          <w:lang w:val="es-VE"/>
        </w:rPr>
        <w:t xml:space="preserve"> Recurso extraordinario interpuesto por la defensa de Gabriel Oscar Jenkins contra la decisión de la Sala I de la Cámara Nacional de Casación Penal de 24 de febrero de 1997.  Anexo 11 de la comunicación presentada por el peticionario el 9 de septiembre de 1997. </w:t>
      </w:r>
    </w:p>
  </w:footnote>
  <w:footnote w:id="39">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w:t>
      </w:r>
      <w:r w:rsidR="00FC1635">
        <w:rPr>
          <w:rFonts w:asciiTheme="majorHAnsi" w:hAnsiTheme="majorHAnsi"/>
          <w:sz w:val="16"/>
          <w:szCs w:val="16"/>
          <w:lang w:val="es-VE"/>
        </w:rPr>
        <w:t>12</w:t>
      </w:r>
      <w:r w:rsidRPr="007A5722">
        <w:rPr>
          <w:rFonts w:asciiTheme="majorHAnsi" w:hAnsiTheme="majorHAnsi"/>
          <w:sz w:val="16"/>
          <w:szCs w:val="16"/>
          <w:lang w:val="es-VE"/>
        </w:rPr>
        <w:t xml:space="preserve">. Resolución de la Sala I de la Cámara Nacional de Casación Penal de 10 de abril de 1997 que deniega el recurso extraordinario interpuesto por Gabriel Oscar Jenkins. Anexo 7 de la comunicación presentada por el peticionario el 9 de septiembre de 1997. </w:t>
      </w:r>
    </w:p>
  </w:footnote>
  <w:footnote w:id="40">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w:t>
      </w:r>
      <w:r w:rsidR="00FC1635">
        <w:rPr>
          <w:rFonts w:asciiTheme="majorHAnsi" w:hAnsiTheme="majorHAnsi"/>
          <w:sz w:val="16"/>
          <w:szCs w:val="16"/>
          <w:lang w:val="es-VE"/>
        </w:rPr>
        <w:t>12</w:t>
      </w:r>
      <w:r w:rsidRPr="007A5722">
        <w:rPr>
          <w:rFonts w:asciiTheme="majorHAnsi" w:hAnsiTheme="majorHAnsi"/>
          <w:sz w:val="16"/>
          <w:szCs w:val="16"/>
          <w:lang w:val="es-VE"/>
        </w:rPr>
        <w:t xml:space="preserve">. Resolución de la Sala I de la Cámara Nacional de Casación Penal de 10 de abril de 1997 que deniega el recurso extraordinario interpuesto por Gabriel Oscar Jenkins. Anexo 7 de la comunicación presentada por el peticionario el 9 de septiembre de 1997. </w:t>
      </w:r>
    </w:p>
  </w:footnote>
  <w:footnote w:id="41">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1539FF">
        <w:rPr>
          <w:rFonts w:asciiTheme="majorHAnsi" w:hAnsiTheme="majorHAnsi"/>
          <w:sz w:val="16"/>
          <w:szCs w:val="16"/>
          <w:lang w:val="es-VE"/>
        </w:rPr>
        <w:t xml:space="preserve"> </w:t>
      </w:r>
      <w:r w:rsidR="00F263E2">
        <w:rPr>
          <w:rFonts w:asciiTheme="majorHAnsi" w:hAnsiTheme="majorHAnsi"/>
          <w:sz w:val="16"/>
          <w:szCs w:val="16"/>
          <w:lang w:val="es-VE"/>
        </w:rPr>
        <w:t>Anexo 1</w:t>
      </w:r>
      <w:r w:rsidR="00FC1635">
        <w:rPr>
          <w:rFonts w:asciiTheme="majorHAnsi" w:hAnsiTheme="majorHAnsi"/>
          <w:sz w:val="16"/>
          <w:szCs w:val="16"/>
          <w:lang w:val="es-VE"/>
        </w:rPr>
        <w:t>3</w:t>
      </w:r>
      <w:r w:rsidRPr="007A5722">
        <w:rPr>
          <w:rFonts w:asciiTheme="majorHAnsi" w:hAnsiTheme="majorHAnsi"/>
          <w:sz w:val="16"/>
          <w:szCs w:val="16"/>
          <w:lang w:val="es-VE"/>
        </w:rPr>
        <w:t>. Recurso de Queja por re</w:t>
      </w:r>
      <w:r>
        <w:rPr>
          <w:rFonts w:asciiTheme="majorHAnsi" w:hAnsiTheme="majorHAnsi"/>
          <w:sz w:val="16"/>
          <w:szCs w:val="16"/>
          <w:lang w:val="es-VE"/>
        </w:rPr>
        <w:t xml:space="preserve">curso extraordinario denegado. </w:t>
      </w:r>
      <w:r w:rsidRPr="007A5722">
        <w:rPr>
          <w:rFonts w:asciiTheme="majorHAnsi" w:hAnsiTheme="majorHAnsi"/>
          <w:sz w:val="16"/>
          <w:szCs w:val="16"/>
          <w:lang w:val="es-VE"/>
        </w:rPr>
        <w:t>Anexo a la comunicación presentada por el peticionario el 9</w:t>
      </w:r>
      <w:r w:rsidR="00F23AFC">
        <w:rPr>
          <w:rFonts w:asciiTheme="majorHAnsi" w:hAnsiTheme="majorHAnsi"/>
          <w:sz w:val="16"/>
          <w:szCs w:val="16"/>
          <w:lang w:val="es-VE"/>
        </w:rPr>
        <w:t xml:space="preserve"> de septiembre de 1997; Anexo 22</w:t>
      </w:r>
      <w:r w:rsidRPr="007A5722">
        <w:rPr>
          <w:rFonts w:asciiTheme="majorHAnsi" w:hAnsiTheme="majorHAnsi"/>
          <w:sz w:val="16"/>
          <w:szCs w:val="16"/>
          <w:lang w:val="es-VE"/>
        </w:rPr>
        <w:t>. Escrito solicitando garantía de libertad y separación de juicio presentado el 29 de abril de 1997. Anexo 3 de la comunicación presentada por el peticionario el 9</w:t>
      </w:r>
      <w:r w:rsidR="00F23AFC">
        <w:rPr>
          <w:rFonts w:asciiTheme="majorHAnsi" w:hAnsiTheme="majorHAnsi"/>
          <w:sz w:val="16"/>
          <w:szCs w:val="16"/>
          <w:lang w:val="es-VE"/>
        </w:rPr>
        <w:t xml:space="preserve"> de septiembre de 1997; Anexo 23</w:t>
      </w:r>
      <w:r w:rsidRPr="007A5722">
        <w:rPr>
          <w:rFonts w:asciiTheme="majorHAnsi" w:hAnsiTheme="majorHAnsi"/>
          <w:sz w:val="16"/>
          <w:szCs w:val="16"/>
          <w:lang w:val="es-VE"/>
        </w:rPr>
        <w:t>. Recurso de reposición interpuesto por Gabriel Oscar Jenkins ante la Corte Suprema de Justicia. Anexo 2 de la comunicación presentada por el peticionario el 8 de diciembre de 1997.</w:t>
      </w:r>
    </w:p>
  </w:footnote>
  <w:footnote w:id="42">
    <w:p w:rsidR="00A26307" w:rsidRPr="007A5722" w:rsidRDefault="00A26307" w:rsidP="007A5722">
      <w:pPr>
        <w:pStyle w:val="FootnoteText"/>
        <w:spacing w:after="120"/>
        <w:ind w:firstLine="720"/>
        <w:jc w:val="both"/>
        <w:rPr>
          <w:rFonts w:asciiTheme="majorHAnsi" w:hAnsiTheme="majorHAnsi"/>
          <w:sz w:val="16"/>
          <w:szCs w:val="16"/>
          <w:lang w:val="es-ES"/>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w:t>
      </w:r>
      <w:r w:rsidRPr="007A5722">
        <w:rPr>
          <w:rFonts w:asciiTheme="majorHAnsi" w:hAnsiTheme="majorHAnsi"/>
          <w:sz w:val="16"/>
          <w:szCs w:val="16"/>
          <w:lang w:val="es-VE"/>
        </w:rPr>
        <w:t xml:space="preserve">Se reitera nuevamente que la diferencia no fue entre el contenido del </w:t>
      </w:r>
      <w:proofErr w:type="spellStart"/>
      <w:r w:rsidRPr="007A5722">
        <w:rPr>
          <w:rFonts w:asciiTheme="majorHAnsi" w:hAnsiTheme="majorHAnsi"/>
          <w:sz w:val="16"/>
          <w:szCs w:val="16"/>
          <w:lang w:val="es-VE"/>
        </w:rPr>
        <w:t>cassette</w:t>
      </w:r>
      <w:proofErr w:type="spellEnd"/>
      <w:r w:rsidRPr="007A5722">
        <w:rPr>
          <w:rFonts w:asciiTheme="majorHAnsi" w:hAnsiTheme="majorHAnsi"/>
          <w:sz w:val="16"/>
          <w:szCs w:val="16"/>
          <w:lang w:val="es-VE"/>
        </w:rPr>
        <w:t xml:space="preserve"> y la constancia </w:t>
      </w:r>
      <w:proofErr w:type="spellStart"/>
      <w:r w:rsidRPr="007A5722">
        <w:rPr>
          <w:rFonts w:asciiTheme="majorHAnsi" w:hAnsiTheme="majorHAnsi"/>
          <w:sz w:val="16"/>
          <w:szCs w:val="16"/>
          <w:lang w:val="es-VE"/>
        </w:rPr>
        <w:t>prevencional</w:t>
      </w:r>
      <w:proofErr w:type="spellEnd"/>
      <w:r w:rsidRPr="007A5722">
        <w:rPr>
          <w:rFonts w:asciiTheme="majorHAnsi" w:hAnsiTheme="majorHAnsi"/>
          <w:sz w:val="16"/>
          <w:szCs w:val="16"/>
          <w:lang w:val="es-VE"/>
        </w:rPr>
        <w:t>, sino entre ambas piezas y el auto de elevación a juicio.</w:t>
      </w:r>
    </w:p>
  </w:footnote>
  <w:footnote w:id="43">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1</w:t>
      </w:r>
      <w:r w:rsidR="00FC1635">
        <w:rPr>
          <w:rFonts w:asciiTheme="majorHAnsi" w:hAnsiTheme="majorHAnsi"/>
          <w:sz w:val="16"/>
          <w:szCs w:val="16"/>
          <w:lang w:val="es-VE"/>
        </w:rPr>
        <w:t>4</w:t>
      </w:r>
      <w:r w:rsidRPr="007A5722">
        <w:rPr>
          <w:rFonts w:asciiTheme="majorHAnsi" w:hAnsiTheme="majorHAnsi"/>
          <w:sz w:val="16"/>
          <w:szCs w:val="16"/>
          <w:lang w:val="es-VE"/>
        </w:rPr>
        <w:t xml:space="preserve">. Oficio del Tribunal Oral en lo Criminal Federal al Presidente de la Cámara Nacional en lo Criminal y Correccional de 25 de febrero de 1998.  Anexo 2 al escrito de los peticionarios de 9 de julio de 1999. </w:t>
      </w:r>
    </w:p>
  </w:footnote>
  <w:footnote w:id="44">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1</w:t>
      </w:r>
      <w:r w:rsidR="00FC1635">
        <w:rPr>
          <w:rFonts w:asciiTheme="majorHAnsi" w:hAnsiTheme="majorHAnsi"/>
          <w:sz w:val="16"/>
          <w:szCs w:val="16"/>
          <w:lang w:val="es-VE"/>
        </w:rPr>
        <w:t>5</w:t>
      </w:r>
      <w:r w:rsidRPr="007A5722">
        <w:rPr>
          <w:rFonts w:asciiTheme="majorHAnsi" w:hAnsiTheme="majorHAnsi"/>
          <w:sz w:val="16"/>
          <w:szCs w:val="16"/>
          <w:lang w:val="es-VE"/>
        </w:rPr>
        <w:t>. Inicio de investigación sobre delito de acción pública del Juzgado Nacional en lo Criminal y Correccional Federal No. 2 de 26 de febrero de 1998. Anexo 1 del escrito de observaciones del Estado de 16 de septiembre de 1999.</w:t>
      </w:r>
    </w:p>
  </w:footnote>
  <w:footnote w:id="45">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1</w:t>
      </w:r>
      <w:r w:rsidR="00FC1635">
        <w:rPr>
          <w:rFonts w:asciiTheme="majorHAnsi" w:hAnsiTheme="majorHAnsi"/>
          <w:sz w:val="16"/>
          <w:szCs w:val="16"/>
          <w:lang w:val="es-VE"/>
        </w:rPr>
        <w:t>6</w:t>
      </w:r>
      <w:r w:rsidRPr="007A5722">
        <w:rPr>
          <w:rFonts w:asciiTheme="majorHAnsi" w:hAnsiTheme="majorHAnsi"/>
          <w:sz w:val="16"/>
          <w:szCs w:val="16"/>
          <w:lang w:val="es-VE"/>
        </w:rPr>
        <w:t>. Escrito del Ministerio Público de la Nación solicitando que se desestime la denuncia planteada por el Tribunal Oral Federal No. 6.  Anexo 2 del escrito de observaciones del Estado de 16 de septiembre de 1999.</w:t>
      </w:r>
    </w:p>
  </w:footnote>
  <w:footnote w:id="46">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1</w:t>
      </w:r>
      <w:r w:rsidR="00FC1635">
        <w:rPr>
          <w:rFonts w:asciiTheme="majorHAnsi" w:hAnsiTheme="majorHAnsi"/>
          <w:sz w:val="16"/>
          <w:szCs w:val="16"/>
          <w:lang w:val="es-VE"/>
        </w:rPr>
        <w:t>7</w:t>
      </w:r>
      <w:r w:rsidRPr="007A5722">
        <w:rPr>
          <w:rFonts w:asciiTheme="majorHAnsi" w:hAnsiTheme="majorHAnsi"/>
          <w:sz w:val="16"/>
          <w:szCs w:val="16"/>
          <w:lang w:val="es-VE"/>
        </w:rPr>
        <w:t>. Decisión del Juzgado Nacional en lo Criminal y Correccional Federal No. 2 desestimando la causa de 20 de abril de 1998. Escrito del Ministerio Público de la Nación solicitando que se desestime la denuncia planteada por el Tribunal Oral Federal No. 6.  Anexo 2 del escrito de observaciones del Estado de 16 de septiembre de 1999.</w:t>
      </w:r>
    </w:p>
  </w:footnote>
  <w:footnote w:id="47">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1</w:t>
      </w:r>
      <w:r w:rsidR="00FC1635">
        <w:rPr>
          <w:rFonts w:asciiTheme="majorHAnsi" w:hAnsiTheme="majorHAnsi"/>
          <w:sz w:val="16"/>
          <w:szCs w:val="16"/>
          <w:lang w:val="es-VE"/>
        </w:rPr>
        <w:t>7</w:t>
      </w:r>
      <w:r w:rsidRPr="007A5722">
        <w:rPr>
          <w:rFonts w:asciiTheme="majorHAnsi" w:hAnsiTheme="majorHAnsi"/>
          <w:sz w:val="16"/>
          <w:szCs w:val="16"/>
          <w:lang w:val="es-VE"/>
        </w:rPr>
        <w:t>. Decisión del Juzgado Nacional en lo Criminal y Correccional Federal No. 2 desestimando la causa de 20 de abril de 1998. Escrito del Ministerio Público de la Nación solicitando que se desestime la denuncia planteada por el Tribunal Oral Federal No. 6.  Anexo 2 del escrito de observaciones del Estado de 16 de septiembre de 1999.</w:t>
      </w:r>
    </w:p>
  </w:footnote>
  <w:footnote w:id="48">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1</w:t>
      </w:r>
      <w:r w:rsidR="00FC1635">
        <w:rPr>
          <w:rFonts w:asciiTheme="majorHAnsi" w:hAnsiTheme="majorHAnsi"/>
          <w:sz w:val="16"/>
          <w:szCs w:val="16"/>
          <w:lang w:val="es-VE"/>
        </w:rPr>
        <w:t>4</w:t>
      </w:r>
      <w:r w:rsidRPr="007A5722">
        <w:rPr>
          <w:rFonts w:asciiTheme="majorHAnsi" w:hAnsiTheme="majorHAnsi"/>
          <w:sz w:val="16"/>
          <w:szCs w:val="16"/>
          <w:lang w:val="es-VE"/>
        </w:rPr>
        <w:t>. Oficio del Tribunal Oral en lo Criminal Federal al Procurador General de la Na</w:t>
      </w:r>
      <w:r>
        <w:rPr>
          <w:rFonts w:asciiTheme="majorHAnsi" w:hAnsiTheme="majorHAnsi"/>
          <w:sz w:val="16"/>
          <w:szCs w:val="16"/>
          <w:lang w:val="es-VE"/>
        </w:rPr>
        <w:t xml:space="preserve">ción de 25 de febrero de 1998. </w:t>
      </w:r>
      <w:r w:rsidRPr="007A5722">
        <w:rPr>
          <w:rFonts w:asciiTheme="majorHAnsi" w:hAnsiTheme="majorHAnsi"/>
          <w:sz w:val="16"/>
          <w:szCs w:val="16"/>
          <w:lang w:val="es-VE"/>
        </w:rPr>
        <w:t xml:space="preserve">Anexo 1 al escrito de los peticionarios de 9 de julio de 1999. </w:t>
      </w:r>
    </w:p>
  </w:footnote>
  <w:footnote w:id="49">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1</w:t>
      </w:r>
      <w:r w:rsidR="00FC1635">
        <w:rPr>
          <w:rFonts w:asciiTheme="majorHAnsi" w:hAnsiTheme="majorHAnsi"/>
          <w:sz w:val="16"/>
          <w:szCs w:val="16"/>
          <w:lang w:val="es-VE"/>
        </w:rPr>
        <w:t>8</w:t>
      </w:r>
      <w:r w:rsidRPr="007A5722">
        <w:rPr>
          <w:rFonts w:asciiTheme="majorHAnsi" w:hAnsiTheme="majorHAnsi"/>
          <w:sz w:val="16"/>
          <w:szCs w:val="16"/>
          <w:lang w:val="es-VE"/>
        </w:rPr>
        <w:t xml:space="preserve">. Decisión de la Procuración General de la Nación de 6 de setiembre de 1999 disponiendo el archivo de la investigación en contra de los Fiscales Mullen y </w:t>
      </w:r>
      <w:proofErr w:type="spellStart"/>
      <w:r w:rsidRPr="007A5722">
        <w:rPr>
          <w:rFonts w:asciiTheme="majorHAnsi" w:hAnsiTheme="majorHAnsi"/>
          <w:sz w:val="16"/>
          <w:szCs w:val="16"/>
          <w:lang w:val="es-VE"/>
        </w:rPr>
        <w:t>Barbaccia</w:t>
      </w:r>
      <w:proofErr w:type="spellEnd"/>
      <w:r w:rsidRPr="007A5722">
        <w:rPr>
          <w:rFonts w:asciiTheme="majorHAnsi" w:hAnsiTheme="majorHAnsi"/>
          <w:sz w:val="16"/>
          <w:szCs w:val="16"/>
          <w:lang w:val="es-VE"/>
        </w:rPr>
        <w:t>. Anexo 4 del escrito de observaciones del Estado de 16 de septiembre de 1999.</w:t>
      </w:r>
    </w:p>
  </w:footnote>
  <w:footnote w:id="50">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1</w:t>
      </w:r>
      <w:r w:rsidR="00FC1635">
        <w:rPr>
          <w:rFonts w:asciiTheme="majorHAnsi" w:hAnsiTheme="majorHAnsi"/>
          <w:sz w:val="16"/>
          <w:szCs w:val="16"/>
          <w:lang w:val="es-VE"/>
        </w:rPr>
        <w:t>8</w:t>
      </w:r>
      <w:r w:rsidRPr="007A5722">
        <w:rPr>
          <w:rFonts w:asciiTheme="majorHAnsi" w:hAnsiTheme="majorHAnsi"/>
          <w:sz w:val="16"/>
          <w:szCs w:val="16"/>
          <w:lang w:val="es-VE"/>
        </w:rPr>
        <w:t xml:space="preserve">. Decisión de la Procuración General de la Nación de 6 de setiembre de 1999 disponiendo el archivo de la investigación en contra de los Fiscales Mullen y </w:t>
      </w:r>
      <w:proofErr w:type="spellStart"/>
      <w:r w:rsidRPr="007A5722">
        <w:rPr>
          <w:rFonts w:asciiTheme="majorHAnsi" w:hAnsiTheme="majorHAnsi"/>
          <w:sz w:val="16"/>
          <w:szCs w:val="16"/>
          <w:lang w:val="es-VE"/>
        </w:rPr>
        <w:t>Barbaccia</w:t>
      </w:r>
      <w:proofErr w:type="spellEnd"/>
      <w:r w:rsidRPr="007A5722">
        <w:rPr>
          <w:rFonts w:asciiTheme="majorHAnsi" w:hAnsiTheme="majorHAnsi"/>
          <w:sz w:val="16"/>
          <w:szCs w:val="16"/>
          <w:lang w:val="es-VE"/>
        </w:rPr>
        <w:t>. Anexo 4 del escrito de observaciones del Estado de 16 de septiembre de 1999.</w:t>
      </w:r>
    </w:p>
  </w:footnote>
  <w:footnote w:id="51">
    <w:p w:rsidR="00A26307" w:rsidRPr="007A5722" w:rsidRDefault="00A26307" w:rsidP="007A5722">
      <w:pPr>
        <w:pStyle w:val="FootnoteText"/>
        <w:spacing w:after="120"/>
        <w:ind w:firstLine="720"/>
        <w:jc w:val="both"/>
        <w:rPr>
          <w:rFonts w:asciiTheme="majorHAnsi" w:hAnsiTheme="majorHAnsi"/>
          <w:sz w:val="16"/>
          <w:szCs w:val="16"/>
          <w:lang w:val="es-GT"/>
        </w:rPr>
      </w:pPr>
      <w:r w:rsidRPr="007A5722">
        <w:rPr>
          <w:rStyle w:val="FootnoteReference"/>
          <w:rFonts w:asciiTheme="majorHAnsi" w:hAnsiTheme="majorHAnsi"/>
          <w:sz w:val="16"/>
          <w:szCs w:val="16"/>
        </w:rPr>
        <w:footnoteRef/>
      </w:r>
      <w:r w:rsidRPr="007A5722">
        <w:rPr>
          <w:rFonts w:asciiTheme="majorHAnsi" w:hAnsiTheme="majorHAnsi"/>
          <w:sz w:val="16"/>
          <w:szCs w:val="16"/>
          <w:lang w:val="es-GT"/>
        </w:rPr>
        <w:t xml:space="preserve"> Resolución de la Procuración General de la Nación en el expediente M 6286/09, 15 de octubre de 2009. </w:t>
      </w:r>
    </w:p>
  </w:footnote>
  <w:footnote w:id="52">
    <w:p w:rsidR="00A26307" w:rsidRPr="007A5722" w:rsidRDefault="00A26307" w:rsidP="007A5722">
      <w:pPr>
        <w:pStyle w:val="FootnoteText"/>
        <w:spacing w:after="120"/>
        <w:ind w:firstLine="720"/>
        <w:jc w:val="both"/>
        <w:rPr>
          <w:rFonts w:asciiTheme="majorHAnsi" w:hAnsiTheme="majorHAnsi"/>
          <w:sz w:val="16"/>
          <w:szCs w:val="16"/>
          <w:lang w:val="es-GT"/>
        </w:rPr>
      </w:pPr>
      <w:r w:rsidRPr="007A5722">
        <w:rPr>
          <w:rStyle w:val="FootnoteReference"/>
          <w:rFonts w:asciiTheme="majorHAnsi" w:hAnsiTheme="majorHAnsi"/>
          <w:sz w:val="16"/>
          <w:szCs w:val="16"/>
        </w:rPr>
        <w:footnoteRef/>
      </w:r>
      <w:r w:rsidRPr="007A5722">
        <w:rPr>
          <w:rFonts w:asciiTheme="majorHAnsi" w:hAnsiTheme="majorHAnsi"/>
          <w:sz w:val="16"/>
          <w:szCs w:val="16"/>
          <w:lang w:val="es-ES"/>
        </w:rPr>
        <w:t xml:space="preserve"> </w:t>
      </w:r>
      <w:r>
        <w:rPr>
          <w:rFonts w:asciiTheme="majorHAnsi" w:hAnsiTheme="majorHAnsi"/>
          <w:sz w:val="16"/>
          <w:szCs w:val="16"/>
          <w:lang w:val="es-GT"/>
        </w:rPr>
        <w:t xml:space="preserve">Anexo </w:t>
      </w:r>
      <w:r w:rsidR="00F263E2">
        <w:rPr>
          <w:rFonts w:asciiTheme="majorHAnsi" w:hAnsiTheme="majorHAnsi"/>
          <w:sz w:val="16"/>
          <w:szCs w:val="16"/>
          <w:lang w:val="es-GT"/>
        </w:rPr>
        <w:t>1</w:t>
      </w:r>
      <w:r w:rsidR="00FC1635">
        <w:rPr>
          <w:rFonts w:asciiTheme="majorHAnsi" w:hAnsiTheme="majorHAnsi"/>
          <w:sz w:val="16"/>
          <w:szCs w:val="16"/>
          <w:lang w:val="es-GT"/>
        </w:rPr>
        <w:t>9</w:t>
      </w:r>
      <w:r w:rsidRPr="007A5722">
        <w:rPr>
          <w:rFonts w:asciiTheme="majorHAnsi" w:hAnsiTheme="majorHAnsi"/>
          <w:sz w:val="16"/>
          <w:szCs w:val="16"/>
          <w:lang w:val="es-GT"/>
        </w:rPr>
        <w:t>. Decisión de 8 de junio de 2000 del Juzgado Contencioso Administrativo Federal No. 10.</w:t>
      </w:r>
    </w:p>
  </w:footnote>
  <w:footnote w:id="53">
    <w:p w:rsidR="00A26307" w:rsidRPr="007A5722" w:rsidRDefault="00A26307" w:rsidP="007632CB">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C1635">
        <w:rPr>
          <w:rFonts w:asciiTheme="majorHAnsi" w:hAnsiTheme="majorHAnsi"/>
          <w:sz w:val="16"/>
          <w:szCs w:val="16"/>
          <w:lang w:val="es-VE"/>
        </w:rPr>
        <w:t xml:space="preserve"> Anexo 20</w:t>
      </w:r>
      <w:r w:rsidRPr="007A5722">
        <w:rPr>
          <w:rFonts w:asciiTheme="majorHAnsi" w:hAnsiTheme="majorHAnsi"/>
          <w:sz w:val="16"/>
          <w:szCs w:val="16"/>
          <w:lang w:val="es-VE"/>
        </w:rPr>
        <w:t>. Decisión de la Sala II de la Cámara Nacional de Apelaciones en lo Contencioso Administrativo Federal. Anexo a la comunicación presentado por el Estado el 16 de octubre de 2009.</w:t>
      </w:r>
    </w:p>
  </w:footnote>
  <w:footnote w:id="54">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C1635">
        <w:rPr>
          <w:rFonts w:asciiTheme="majorHAnsi" w:hAnsiTheme="majorHAnsi"/>
          <w:sz w:val="16"/>
          <w:szCs w:val="16"/>
          <w:lang w:val="es-VE"/>
        </w:rPr>
        <w:t xml:space="preserve"> Anexo 20</w:t>
      </w:r>
      <w:r w:rsidRPr="007A5722">
        <w:rPr>
          <w:rFonts w:asciiTheme="majorHAnsi" w:hAnsiTheme="majorHAnsi"/>
          <w:sz w:val="16"/>
          <w:szCs w:val="16"/>
          <w:lang w:val="es-VE"/>
        </w:rPr>
        <w:t>. Decisión de la Sala II de la Cámara Nacional de Apelaciones en lo Contencioso Administrativo Federal. Anexo a la comunicación presentado por el Estado el 16 de octubre de 2009.</w:t>
      </w:r>
    </w:p>
  </w:footnote>
  <w:footnote w:id="55">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C1635">
        <w:rPr>
          <w:rFonts w:asciiTheme="majorHAnsi" w:hAnsiTheme="majorHAnsi"/>
          <w:sz w:val="16"/>
          <w:szCs w:val="16"/>
          <w:lang w:val="es-VE"/>
        </w:rPr>
        <w:t xml:space="preserve"> Anexo 20</w:t>
      </w:r>
      <w:r w:rsidRPr="007A5722">
        <w:rPr>
          <w:rFonts w:asciiTheme="majorHAnsi" w:hAnsiTheme="majorHAnsi"/>
          <w:sz w:val="16"/>
          <w:szCs w:val="16"/>
          <w:lang w:val="es-VE"/>
        </w:rPr>
        <w:t>. Decisión de la Sala II de la Cámara Nacional de Apelaciones en lo Contencioso Administrativo Federal. Anexo a la comunicación presentado por el Estado el 16 de octubre de 2009.</w:t>
      </w:r>
    </w:p>
  </w:footnote>
  <w:footnote w:id="56">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C1635">
        <w:rPr>
          <w:rFonts w:asciiTheme="majorHAnsi" w:hAnsiTheme="majorHAnsi"/>
          <w:sz w:val="16"/>
          <w:szCs w:val="16"/>
          <w:lang w:val="es-VE"/>
        </w:rPr>
        <w:t xml:space="preserve"> Anexo 20</w:t>
      </w:r>
      <w:r w:rsidRPr="007A5722">
        <w:rPr>
          <w:rFonts w:asciiTheme="majorHAnsi" w:hAnsiTheme="majorHAnsi"/>
          <w:sz w:val="16"/>
          <w:szCs w:val="16"/>
          <w:lang w:val="es-VE"/>
        </w:rPr>
        <w:t>. Decisión de la Sala II de la Cámara Nacional de Apelaciones en lo Contencioso Administrativo Federal. Anexo a la comunicación presentado por el Estado el 16 de octubre de 2009.</w:t>
      </w:r>
    </w:p>
  </w:footnote>
  <w:footnote w:id="57">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C1635">
        <w:rPr>
          <w:rFonts w:asciiTheme="majorHAnsi" w:hAnsiTheme="majorHAnsi"/>
          <w:sz w:val="16"/>
          <w:szCs w:val="16"/>
          <w:lang w:val="es-VE"/>
        </w:rPr>
        <w:t xml:space="preserve"> Anexo 2</w:t>
      </w:r>
      <w:r w:rsidR="00F23AFC">
        <w:rPr>
          <w:rFonts w:asciiTheme="majorHAnsi" w:hAnsiTheme="majorHAnsi"/>
          <w:sz w:val="16"/>
          <w:szCs w:val="16"/>
          <w:lang w:val="es-VE"/>
        </w:rPr>
        <w:t>0</w:t>
      </w:r>
      <w:r w:rsidRPr="007A5722">
        <w:rPr>
          <w:rFonts w:asciiTheme="majorHAnsi" w:hAnsiTheme="majorHAnsi"/>
          <w:sz w:val="16"/>
          <w:szCs w:val="16"/>
          <w:lang w:val="es-VE"/>
        </w:rPr>
        <w:t>. Decisión de la Sala II de la Cámara Nacional de Apelaciones en lo Contencioso Administrativo Federal. Anexo a la comunicación presentado por el Estado el 16 de octubre de 2009.</w:t>
      </w:r>
    </w:p>
  </w:footnote>
  <w:footnote w:id="58">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C1635">
        <w:rPr>
          <w:rFonts w:asciiTheme="majorHAnsi" w:hAnsiTheme="majorHAnsi"/>
          <w:sz w:val="16"/>
          <w:szCs w:val="16"/>
          <w:lang w:val="es-VE"/>
        </w:rPr>
        <w:t xml:space="preserve"> Anexo </w:t>
      </w:r>
      <w:r w:rsidR="00F23AFC">
        <w:rPr>
          <w:rFonts w:asciiTheme="majorHAnsi" w:hAnsiTheme="majorHAnsi"/>
          <w:sz w:val="16"/>
          <w:szCs w:val="16"/>
          <w:lang w:val="es-VE"/>
        </w:rPr>
        <w:t>20</w:t>
      </w:r>
      <w:r w:rsidRPr="007A5722">
        <w:rPr>
          <w:rFonts w:asciiTheme="majorHAnsi" w:hAnsiTheme="majorHAnsi"/>
          <w:sz w:val="16"/>
          <w:szCs w:val="16"/>
          <w:lang w:val="es-VE"/>
        </w:rPr>
        <w:t>. Decisión de la Sala II de la Cámara Nacional de Apelaciones en lo Contencioso Administrativo Federal. Anexo a la comunicación presentado por el Estado el 16 de octubre de 2009.</w:t>
      </w:r>
    </w:p>
  </w:footnote>
  <w:footnote w:id="59">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F263E2">
        <w:rPr>
          <w:rFonts w:asciiTheme="majorHAnsi" w:hAnsiTheme="majorHAnsi"/>
          <w:sz w:val="16"/>
          <w:szCs w:val="16"/>
          <w:lang w:val="es-VE"/>
        </w:rPr>
        <w:t xml:space="preserve"> Anexo </w:t>
      </w:r>
      <w:r w:rsidR="00FC1635">
        <w:rPr>
          <w:rFonts w:asciiTheme="majorHAnsi" w:hAnsiTheme="majorHAnsi"/>
          <w:sz w:val="16"/>
          <w:szCs w:val="16"/>
          <w:lang w:val="es-VE"/>
        </w:rPr>
        <w:t>2</w:t>
      </w:r>
      <w:r w:rsidR="00F23AFC">
        <w:rPr>
          <w:rFonts w:asciiTheme="majorHAnsi" w:hAnsiTheme="majorHAnsi"/>
          <w:sz w:val="16"/>
          <w:szCs w:val="16"/>
          <w:lang w:val="es-VE"/>
        </w:rPr>
        <w:t>1</w:t>
      </w:r>
      <w:r w:rsidRPr="007A5722">
        <w:rPr>
          <w:rFonts w:asciiTheme="majorHAnsi" w:hAnsiTheme="majorHAnsi"/>
          <w:sz w:val="16"/>
          <w:szCs w:val="16"/>
          <w:lang w:val="es-VE"/>
        </w:rPr>
        <w:t>. Decisión de Corte Suprema de Justicia de la Nación de 17 de marzo de 2009, denegando el recurso de hecho sobre daños y perjuicios interpuesto por Gabriel Oscar Jenkins. Anexo a la comunicación presentada por el peticionario el 7 de abril de 2010.</w:t>
      </w:r>
    </w:p>
  </w:footnote>
  <w:footnote w:id="60">
    <w:p w:rsidR="00A26307" w:rsidRPr="007A5722" w:rsidRDefault="00A26307" w:rsidP="007A5722">
      <w:pPr>
        <w:spacing w:after="120"/>
        <w:ind w:firstLine="720"/>
        <w:jc w:val="both"/>
        <w:rPr>
          <w:rFonts w:asciiTheme="majorHAnsi" w:hAnsiTheme="majorHAnsi" w:cs="Times"/>
          <w:sz w:val="16"/>
          <w:szCs w:val="16"/>
          <w:lang w:val="es-CO"/>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CIDH. Informe sobre el uso de la prisión preventiva en las Américas. OEA/</w:t>
      </w:r>
      <w:proofErr w:type="spellStart"/>
      <w:r w:rsidRPr="007A5722">
        <w:rPr>
          <w:rFonts w:asciiTheme="majorHAnsi" w:hAnsiTheme="majorHAnsi"/>
          <w:sz w:val="16"/>
          <w:szCs w:val="16"/>
          <w:lang w:val="es-CO"/>
        </w:rPr>
        <w:t>Ser.L</w:t>
      </w:r>
      <w:proofErr w:type="spellEnd"/>
      <w:r w:rsidRPr="007A5722">
        <w:rPr>
          <w:rFonts w:asciiTheme="majorHAnsi" w:hAnsiTheme="majorHAnsi"/>
          <w:sz w:val="16"/>
          <w:szCs w:val="16"/>
          <w:lang w:val="es-CO"/>
        </w:rPr>
        <w:t xml:space="preserve">/V/II. 30 de diciembre de 2013. Párr. 20; </w:t>
      </w:r>
      <w:r w:rsidRPr="007A5722">
        <w:rPr>
          <w:rFonts w:asciiTheme="majorHAnsi" w:hAnsiTheme="majorHAnsi" w:cs="Times"/>
          <w:sz w:val="16"/>
          <w:szCs w:val="16"/>
          <w:lang w:val="it-IT"/>
        </w:rPr>
        <w:t xml:space="preserve">Corte I.D.H., </w:t>
      </w:r>
      <w:r w:rsidRPr="007A5722">
        <w:rPr>
          <w:rFonts w:asciiTheme="majorHAnsi" w:hAnsiTheme="majorHAnsi" w:cs="Times"/>
          <w:iCs/>
          <w:sz w:val="16"/>
          <w:szCs w:val="16"/>
          <w:lang w:val="it-IT"/>
        </w:rPr>
        <w:t>Caso</w:t>
      </w:r>
      <w:r w:rsidRPr="007A5722">
        <w:rPr>
          <w:rFonts w:asciiTheme="majorHAnsi" w:hAnsiTheme="majorHAnsi" w:cs="Times"/>
          <w:sz w:val="16"/>
          <w:szCs w:val="16"/>
          <w:lang w:val="it-IT"/>
        </w:rPr>
        <w:t xml:space="preserve"> </w:t>
      </w:r>
      <w:r w:rsidRPr="007A5722">
        <w:rPr>
          <w:rFonts w:asciiTheme="majorHAnsi" w:hAnsiTheme="majorHAnsi" w:cs="Times"/>
          <w:iCs/>
          <w:sz w:val="16"/>
          <w:szCs w:val="16"/>
          <w:lang w:val="it-IT"/>
        </w:rPr>
        <w:t>López Álvarez</w:t>
      </w:r>
      <w:r>
        <w:rPr>
          <w:rFonts w:asciiTheme="majorHAnsi" w:hAnsiTheme="majorHAnsi" w:cs="Times"/>
          <w:sz w:val="16"/>
          <w:szCs w:val="16"/>
          <w:lang w:val="it-IT"/>
        </w:rPr>
        <w:t>.</w:t>
      </w:r>
      <w:r w:rsidRPr="007A5722">
        <w:rPr>
          <w:rFonts w:asciiTheme="majorHAnsi" w:hAnsiTheme="majorHAnsi" w:cs="Times"/>
          <w:sz w:val="16"/>
          <w:szCs w:val="16"/>
          <w:lang w:val="it-IT"/>
        </w:rPr>
        <w:t xml:space="preserve"> </w:t>
      </w:r>
      <w:r w:rsidRPr="007A5722">
        <w:rPr>
          <w:rFonts w:asciiTheme="majorHAnsi" w:hAnsiTheme="majorHAnsi" w:cs="Times"/>
          <w:sz w:val="16"/>
          <w:szCs w:val="16"/>
          <w:lang w:val="es-CO"/>
        </w:rPr>
        <w:t xml:space="preserve">Sentencia de 1º de febrero de 2006. Serie C No. 141, </w:t>
      </w:r>
      <w:r w:rsidRPr="007A5722">
        <w:rPr>
          <w:rFonts w:asciiTheme="majorHAnsi" w:hAnsiTheme="majorHAnsi"/>
          <w:sz w:val="16"/>
          <w:szCs w:val="16"/>
          <w:lang w:val="es-CO"/>
        </w:rPr>
        <w:t xml:space="preserve">párr. 67; </w:t>
      </w:r>
      <w:r w:rsidRPr="007A5722">
        <w:rPr>
          <w:rFonts w:asciiTheme="majorHAnsi" w:hAnsiTheme="majorHAnsi" w:cs="Times"/>
          <w:iCs/>
          <w:sz w:val="16"/>
          <w:szCs w:val="16"/>
          <w:lang w:val="es-CO"/>
        </w:rPr>
        <w:t xml:space="preserve">Caso García </w:t>
      </w:r>
      <w:proofErr w:type="spellStart"/>
      <w:r w:rsidRPr="007A5722">
        <w:rPr>
          <w:rFonts w:asciiTheme="majorHAnsi" w:hAnsiTheme="majorHAnsi" w:cs="Times"/>
          <w:iCs/>
          <w:sz w:val="16"/>
          <w:szCs w:val="16"/>
          <w:lang w:val="es-CO"/>
        </w:rPr>
        <w:t>Asto</w:t>
      </w:r>
      <w:proofErr w:type="spellEnd"/>
      <w:r w:rsidRPr="007A5722">
        <w:rPr>
          <w:rFonts w:asciiTheme="majorHAnsi" w:hAnsiTheme="majorHAnsi" w:cs="Times"/>
          <w:iCs/>
          <w:sz w:val="16"/>
          <w:szCs w:val="16"/>
          <w:lang w:val="es-CO"/>
        </w:rPr>
        <w:t xml:space="preserve"> y Ramírez Rojas</w:t>
      </w:r>
      <w:r>
        <w:rPr>
          <w:rFonts w:asciiTheme="majorHAnsi" w:hAnsiTheme="majorHAnsi" w:cs="Times"/>
          <w:sz w:val="16"/>
          <w:szCs w:val="16"/>
          <w:lang w:val="es-CO"/>
        </w:rPr>
        <w:t xml:space="preserve">. </w:t>
      </w:r>
      <w:r w:rsidRPr="007A5722">
        <w:rPr>
          <w:rFonts w:asciiTheme="majorHAnsi" w:hAnsiTheme="majorHAnsi" w:cs="Times"/>
          <w:sz w:val="16"/>
          <w:szCs w:val="16"/>
          <w:lang w:val="es-CO"/>
        </w:rPr>
        <w:t xml:space="preserve">Sentencia de 25 de noviembre de 2005. Serie C No. 137, </w:t>
      </w:r>
      <w:r w:rsidRPr="007A5722">
        <w:rPr>
          <w:rFonts w:asciiTheme="majorHAnsi" w:hAnsiTheme="majorHAnsi"/>
          <w:sz w:val="16"/>
          <w:szCs w:val="16"/>
          <w:lang w:val="es-CO"/>
        </w:rPr>
        <w:t xml:space="preserve">párr. 106; </w:t>
      </w:r>
      <w:r w:rsidRPr="007A5722">
        <w:rPr>
          <w:rFonts w:asciiTheme="majorHAnsi" w:hAnsiTheme="majorHAnsi" w:cs="Times"/>
          <w:iCs/>
          <w:sz w:val="16"/>
          <w:szCs w:val="16"/>
          <w:lang w:val="es-CO"/>
        </w:rPr>
        <w:t xml:space="preserve">Caso </w:t>
      </w:r>
      <w:proofErr w:type="spellStart"/>
      <w:r w:rsidRPr="007A5722">
        <w:rPr>
          <w:rFonts w:asciiTheme="majorHAnsi" w:hAnsiTheme="majorHAnsi" w:cs="Times"/>
          <w:iCs/>
          <w:sz w:val="16"/>
          <w:szCs w:val="16"/>
          <w:lang w:val="es-CO"/>
        </w:rPr>
        <w:t>Palamara</w:t>
      </w:r>
      <w:proofErr w:type="spellEnd"/>
      <w:r w:rsidRPr="007A5722">
        <w:rPr>
          <w:rFonts w:asciiTheme="majorHAnsi" w:hAnsiTheme="majorHAnsi" w:cs="Times"/>
          <w:iCs/>
          <w:sz w:val="16"/>
          <w:szCs w:val="16"/>
          <w:lang w:val="es-CO"/>
        </w:rPr>
        <w:t xml:space="preserve"> Iribarne</w:t>
      </w:r>
      <w:r w:rsidRPr="007A5722">
        <w:rPr>
          <w:rFonts w:asciiTheme="majorHAnsi" w:hAnsiTheme="majorHAnsi" w:cs="Times"/>
          <w:sz w:val="16"/>
          <w:szCs w:val="16"/>
          <w:lang w:val="es-CO"/>
        </w:rPr>
        <w:t xml:space="preserve">. Sentencia de 22 de noviembre de 2005. Serie C No. 135, </w:t>
      </w:r>
      <w:r w:rsidRPr="007A5722">
        <w:rPr>
          <w:rFonts w:asciiTheme="majorHAnsi" w:hAnsiTheme="majorHAnsi"/>
          <w:sz w:val="16"/>
          <w:szCs w:val="16"/>
          <w:lang w:val="es-CO"/>
        </w:rPr>
        <w:t>párr</w:t>
      </w:r>
      <w:r w:rsidRPr="007A5722">
        <w:rPr>
          <w:rFonts w:asciiTheme="majorHAnsi" w:hAnsiTheme="majorHAnsi"/>
          <w:color w:val="000000"/>
          <w:sz w:val="16"/>
          <w:szCs w:val="16"/>
          <w:lang w:val="es-CO"/>
        </w:rPr>
        <w:t xml:space="preserve">. 197; y </w:t>
      </w:r>
      <w:r w:rsidRPr="007A5722">
        <w:rPr>
          <w:rFonts w:asciiTheme="majorHAnsi" w:hAnsiTheme="majorHAnsi" w:cs="Times"/>
          <w:iCs/>
          <w:sz w:val="16"/>
          <w:szCs w:val="16"/>
          <w:lang w:val="es-CO"/>
        </w:rPr>
        <w:t>Caso Acosta Calderón</w:t>
      </w:r>
      <w:r w:rsidRPr="007A5722">
        <w:rPr>
          <w:rFonts w:asciiTheme="majorHAnsi" w:hAnsiTheme="majorHAnsi" w:cs="Times"/>
          <w:sz w:val="16"/>
          <w:szCs w:val="16"/>
          <w:lang w:val="es-CO"/>
        </w:rPr>
        <w:t>.  Sentencia de 24 de junio de 2005.  Serie C No. 129, p</w:t>
      </w:r>
      <w:r w:rsidRPr="007A5722">
        <w:rPr>
          <w:rFonts w:asciiTheme="majorHAnsi" w:hAnsiTheme="majorHAnsi"/>
          <w:sz w:val="16"/>
          <w:szCs w:val="16"/>
          <w:lang w:val="es-CO"/>
        </w:rPr>
        <w:t>árr</w:t>
      </w:r>
      <w:r w:rsidRPr="007A5722">
        <w:rPr>
          <w:rFonts w:asciiTheme="majorHAnsi" w:hAnsiTheme="majorHAnsi"/>
          <w:color w:val="000000"/>
          <w:sz w:val="16"/>
          <w:szCs w:val="16"/>
          <w:lang w:val="es-CO"/>
        </w:rPr>
        <w:t>. 74.</w:t>
      </w:r>
    </w:p>
  </w:footnote>
  <w:footnote w:id="61">
    <w:p w:rsidR="00A26307" w:rsidRPr="007A5722" w:rsidRDefault="00A26307" w:rsidP="007A5722">
      <w:pPr>
        <w:spacing w:after="120"/>
        <w:ind w:firstLine="720"/>
        <w:jc w:val="both"/>
        <w:rPr>
          <w:rFonts w:asciiTheme="majorHAnsi" w:hAnsiTheme="majorHAnsi"/>
          <w:sz w:val="16"/>
          <w:szCs w:val="16"/>
          <w:lang w:val="es-CO"/>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Corte I.D.H., Caso Suárez Rosero Vs. Ecuador. Sentencia de 12 de noviembre de 1997. Serie C No. 35, párr. 77.</w:t>
      </w:r>
    </w:p>
  </w:footnote>
  <w:footnote w:id="62">
    <w:p w:rsidR="00A26307" w:rsidRPr="007A5722" w:rsidRDefault="00A26307" w:rsidP="007A5722">
      <w:pPr>
        <w:spacing w:after="120"/>
        <w:ind w:firstLine="720"/>
        <w:jc w:val="both"/>
        <w:rPr>
          <w:rFonts w:asciiTheme="majorHAnsi" w:hAnsiTheme="majorHAnsi"/>
          <w:sz w:val="16"/>
          <w:szCs w:val="16"/>
          <w:lang w:val="es-CO"/>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CIDH. Informe sobre el uso de la prisión preventiva en las Américas. OEA/</w:t>
      </w:r>
      <w:proofErr w:type="spellStart"/>
      <w:r w:rsidRPr="007A5722">
        <w:rPr>
          <w:rFonts w:asciiTheme="majorHAnsi" w:hAnsiTheme="majorHAnsi"/>
          <w:sz w:val="16"/>
          <w:szCs w:val="16"/>
          <w:lang w:val="es-CO"/>
        </w:rPr>
        <w:t>Ser.L</w:t>
      </w:r>
      <w:proofErr w:type="spellEnd"/>
      <w:r w:rsidRPr="007A5722">
        <w:rPr>
          <w:rFonts w:asciiTheme="majorHAnsi" w:hAnsiTheme="majorHAnsi"/>
          <w:sz w:val="16"/>
          <w:szCs w:val="16"/>
          <w:lang w:val="es-CO"/>
        </w:rPr>
        <w:t xml:space="preserve">/V/II. 30 de diciembre de 2013. Párr. 21; </w:t>
      </w:r>
      <w:r w:rsidRPr="007A5722">
        <w:rPr>
          <w:rFonts w:asciiTheme="majorHAnsi" w:hAnsiTheme="majorHAnsi" w:cs="Times"/>
          <w:sz w:val="16"/>
          <w:szCs w:val="16"/>
          <w:lang w:val="it-IT"/>
        </w:rPr>
        <w:t xml:space="preserve">Corte I.D.H., </w:t>
      </w:r>
      <w:r w:rsidRPr="007A5722">
        <w:rPr>
          <w:rFonts w:asciiTheme="majorHAnsi" w:hAnsiTheme="majorHAnsi" w:cs="Times"/>
          <w:iCs/>
          <w:sz w:val="16"/>
          <w:szCs w:val="16"/>
          <w:lang w:val="it-IT"/>
        </w:rPr>
        <w:t>Caso</w:t>
      </w:r>
      <w:r w:rsidRPr="007A5722">
        <w:rPr>
          <w:rFonts w:asciiTheme="majorHAnsi" w:hAnsiTheme="majorHAnsi" w:cs="Times"/>
          <w:sz w:val="16"/>
          <w:szCs w:val="16"/>
          <w:lang w:val="it-IT"/>
        </w:rPr>
        <w:t xml:space="preserve"> </w:t>
      </w:r>
      <w:r w:rsidRPr="007A5722">
        <w:rPr>
          <w:rFonts w:asciiTheme="majorHAnsi" w:hAnsiTheme="majorHAnsi" w:cs="Times"/>
          <w:iCs/>
          <w:sz w:val="16"/>
          <w:szCs w:val="16"/>
          <w:lang w:val="it-IT"/>
        </w:rPr>
        <w:t>López Álvarez</w:t>
      </w:r>
      <w:r>
        <w:rPr>
          <w:rFonts w:asciiTheme="majorHAnsi" w:hAnsiTheme="majorHAnsi" w:cs="Times"/>
          <w:sz w:val="16"/>
          <w:szCs w:val="16"/>
          <w:lang w:val="it-IT"/>
        </w:rPr>
        <w:t>.</w:t>
      </w:r>
      <w:r w:rsidRPr="007A5722">
        <w:rPr>
          <w:rFonts w:asciiTheme="majorHAnsi" w:hAnsiTheme="majorHAnsi" w:cs="Times"/>
          <w:sz w:val="16"/>
          <w:szCs w:val="16"/>
          <w:lang w:val="it-IT"/>
        </w:rPr>
        <w:t xml:space="preserve"> </w:t>
      </w:r>
      <w:r w:rsidRPr="007A5722">
        <w:rPr>
          <w:rFonts w:asciiTheme="majorHAnsi" w:hAnsiTheme="majorHAnsi" w:cs="Times"/>
          <w:sz w:val="16"/>
          <w:szCs w:val="16"/>
          <w:lang w:val="es-CO"/>
        </w:rPr>
        <w:t xml:space="preserve">Sentencia de 1º de febrero de 2006. </w:t>
      </w:r>
      <w:r w:rsidRPr="00542560">
        <w:rPr>
          <w:rFonts w:asciiTheme="majorHAnsi" w:hAnsiTheme="majorHAnsi" w:cs="Times"/>
          <w:sz w:val="16"/>
          <w:szCs w:val="16"/>
          <w:lang w:val="pt-BR"/>
        </w:rPr>
        <w:t xml:space="preserve">Serie C No. 141, </w:t>
      </w:r>
      <w:r w:rsidRPr="00542560">
        <w:rPr>
          <w:rFonts w:asciiTheme="majorHAnsi" w:hAnsiTheme="majorHAnsi"/>
          <w:sz w:val="16"/>
          <w:szCs w:val="16"/>
          <w:lang w:val="pt-BR"/>
        </w:rPr>
        <w:t xml:space="preserve">párr. 67; Corte I.D.H., Caso Palamara Iribarne Vs. </w:t>
      </w:r>
      <w:r w:rsidRPr="007A5722">
        <w:rPr>
          <w:rFonts w:asciiTheme="majorHAnsi" w:hAnsiTheme="majorHAnsi"/>
          <w:sz w:val="16"/>
          <w:szCs w:val="16"/>
          <w:lang w:val="es-CO"/>
        </w:rPr>
        <w:t>Chile. Sentencia de 22 de noviembre de 2005. Serie C No. 135. Párr. 196; y Corte I.D.H., Caso Acosta Calderón Vs. Ecuador. Sentencia de 24 de junio de 2005. Serie C No. 129. Párr. 74.</w:t>
      </w:r>
    </w:p>
  </w:footnote>
  <w:footnote w:id="63">
    <w:p w:rsidR="00A26307" w:rsidRPr="007A5722" w:rsidRDefault="00A26307" w:rsidP="007A5722">
      <w:pPr>
        <w:spacing w:after="120"/>
        <w:ind w:firstLine="720"/>
        <w:jc w:val="both"/>
        <w:rPr>
          <w:rFonts w:asciiTheme="majorHAnsi" w:hAnsiTheme="majorHAnsi"/>
          <w:sz w:val="16"/>
          <w:szCs w:val="16"/>
          <w:lang w:val="es-CO"/>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CIDH. Informe sobre el uso de la prisión preventiva en las Américas. OEA/</w:t>
      </w:r>
      <w:proofErr w:type="spellStart"/>
      <w:r w:rsidRPr="007A5722">
        <w:rPr>
          <w:rFonts w:asciiTheme="majorHAnsi" w:hAnsiTheme="majorHAnsi"/>
          <w:sz w:val="16"/>
          <w:szCs w:val="16"/>
          <w:lang w:val="es-CO"/>
        </w:rPr>
        <w:t>Ser.L</w:t>
      </w:r>
      <w:proofErr w:type="spellEnd"/>
      <w:r w:rsidRPr="007A5722">
        <w:rPr>
          <w:rFonts w:asciiTheme="majorHAnsi" w:hAnsiTheme="majorHAnsi"/>
          <w:sz w:val="16"/>
          <w:szCs w:val="16"/>
          <w:lang w:val="es-CO"/>
        </w:rPr>
        <w:t xml:space="preserve">/V/II. 30 de diciembre de 2013. Párr. 21; </w:t>
      </w:r>
      <w:r w:rsidRPr="007A5722">
        <w:rPr>
          <w:rFonts w:asciiTheme="majorHAnsi" w:hAnsiTheme="majorHAnsi" w:cs="Times"/>
          <w:sz w:val="16"/>
          <w:szCs w:val="16"/>
          <w:lang w:val="es-CO"/>
        </w:rPr>
        <w:t xml:space="preserve">Corte I.D.H., </w:t>
      </w:r>
      <w:r w:rsidRPr="007A5722">
        <w:rPr>
          <w:rFonts w:asciiTheme="majorHAnsi" w:hAnsiTheme="majorHAnsi" w:cs="Times"/>
          <w:iCs/>
          <w:sz w:val="16"/>
          <w:szCs w:val="16"/>
          <w:lang w:val="es-CO"/>
        </w:rPr>
        <w:t>Caso</w:t>
      </w:r>
      <w:r w:rsidRPr="007A5722">
        <w:rPr>
          <w:rFonts w:asciiTheme="majorHAnsi" w:hAnsiTheme="majorHAnsi" w:cs="Times"/>
          <w:sz w:val="16"/>
          <w:szCs w:val="16"/>
          <w:lang w:val="es-CO"/>
        </w:rPr>
        <w:t xml:space="preserve"> </w:t>
      </w:r>
      <w:r w:rsidRPr="007A5722">
        <w:rPr>
          <w:rFonts w:asciiTheme="majorHAnsi" w:hAnsiTheme="majorHAnsi" w:cs="Times"/>
          <w:iCs/>
          <w:sz w:val="16"/>
          <w:szCs w:val="16"/>
          <w:lang w:val="es-CO"/>
        </w:rPr>
        <w:t>López Álvarez</w:t>
      </w:r>
      <w:r>
        <w:rPr>
          <w:rFonts w:asciiTheme="majorHAnsi" w:hAnsiTheme="majorHAnsi" w:cs="Times"/>
          <w:sz w:val="16"/>
          <w:szCs w:val="16"/>
          <w:lang w:val="es-CO"/>
        </w:rPr>
        <w:t>.</w:t>
      </w:r>
      <w:r w:rsidRPr="007A5722">
        <w:rPr>
          <w:rFonts w:asciiTheme="majorHAnsi" w:hAnsiTheme="majorHAnsi" w:cs="Times"/>
          <w:sz w:val="16"/>
          <w:szCs w:val="16"/>
          <w:lang w:val="es-CO"/>
        </w:rPr>
        <w:t xml:space="preserve"> Sentencia de 1º de febrero de 2006. Serie C No. 141, </w:t>
      </w:r>
      <w:r w:rsidRPr="007A5722">
        <w:rPr>
          <w:rFonts w:asciiTheme="majorHAnsi" w:hAnsiTheme="majorHAnsi"/>
          <w:sz w:val="16"/>
          <w:szCs w:val="16"/>
          <w:lang w:val="es-CO"/>
        </w:rPr>
        <w:t xml:space="preserve">párr. 69; </w:t>
      </w:r>
      <w:r w:rsidRPr="007A5722">
        <w:rPr>
          <w:rFonts w:asciiTheme="majorHAnsi" w:hAnsiTheme="majorHAnsi" w:cs="Times"/>
          <w:iCs/>
          <w:sz w:val="16"/>
          <w:szCs w:val="16"/>
          <w:lang w:val="es-CO"/>
        </w:rPr>
        <w:t xml:space="preserve">Caso García </w:t>
      </w:r>
      <w:proofErr w:type="spellStart"/>
      <w:r w:rsidRPr="007A5722">
        <w:rPr>
          <w:rFonts w:asciiTheme="majorHAnsi" w:hAnsiTheme="majorHAnsi" w:cs="Times"/>
          <w:iCs/>
          <w:sz w:val="16"/>
          <w:szCs w:val="16"/>
          <w:lang w:val="es-CO"/>
        </w:rPr>
        <w:t>Asto</w:t>
      </w:r>
      <w:proofErr w:type="spellEnd"/>
      <w:r w:rsidRPr="007A5722">
        <w:rPr>
          <w:rFonts w:asciiTheme="majorHAnsi" w:hAnsiTheme="majorHAnsi" w:cs="Times"/>
          <w:iCs/>
          <w:sz w:val="16"/>
          <w:szCs w:val="16"/>
          <w:lang w:val="es-CO"/>
        </w:rPr>
        <w:t xml:space="preserve"> y Ramírez Rojas</w:t>
      </w:r>
      <w:r>
        <w:rPr>
          <w:rFonts w:asciiTheme="majorHAnsi" w:hAnsiTheme="majorHAnsi" w:cs="Times"/>
          <w:sz w:val="16"/>
          <w:szCs w:val="16"/>
          <w:lang w:val="es-CO"/>
        </w:rPr>
        <w:t>.</w:t>
      </w:r>
      <w:r w:rsidRPr="007A5722">
        <w:rPr>
          <w:rFonts w:asciiTheme="majorHAnsi" w:hAnsiTheme="majorHAnsi" w:cs="Times"/>
          <w:sz w:val="16"/>
          <w:szCs w:val="16"/>
          <w:lang w:val="es-CO"/>
        </w:rPr>
        <w:t xml:space="preserve"> Sentenc</w:t>
      </w:r>
      <w:r>
        <w:rPr>
          <w:rFonts w:asciiTheme="majorHAnsi" w:hAnsiTheme="majorHAnsi" w:cs="Times"/>
          <w:sz w:val="16"/>
          <w:szCs w:val="16"/>
          <w:lang w:val="es-CO"/>
        </w:rPr>
        <w:t xml:space="preserve">ia de 25 de noviembre de 2005. </w:t>
      </w:r>
      <w:r w:rsidRPr="007A5722">
        <w:rPr>
          <w:rFonts w:asciiTheme="majorHAnsi" w:hAnsiTheme="majorHAnsi" w:cs="Times"/>
          <w:sz w:val="16"/>
          <w:szCs w:val="16"/>
          <w:lang w:val="es-CO"/>
        </w:rPr>
        <w:t xml:space="preserve">Serie C No. 137, </w:t>
      </w:r>
      <w:r w:rsidRPr="007A5722">
        <w:rPr>
          <w:rFonts w:asciiTheme="majorHAnsi" w:hAnsiTheme="majorHAnsi"/>
          <w:sz w:val="16"/>
          <w:szCs w:val="16"/>
          <w:lang w:val="es-CO"/>
        </w:rPr>
        <w:t xml:space="preserve">párr. 106; </w:t>
      </w:r>
      <w:r w:rsidRPr="007A5722">
        <w:rPr>
          <w:rFonts w:asciiTheme="majorHAnsi" w:hAnsiTheme="majorHAnsi" w:cs="Times"/>
          <w:iCs/>
          <w:sz w:val="16"/>
          <w:szCs w:val="16"/>
          <w:lang w:val="es-CO"/>
        </w:rPr>
        <w:t>Caso Acosta Calderón</w:t>
      </w:r>
      <w:r w:rsidR="000C6384">
        <w:rPr>
          <w:rFonts w:asciiTheme="majorHAnsi" w:hAnsiTheme="majorHAnsi" w:cs="Times"/>
          <w:sz w:val="16"/>
          <w:szCs w:val="16"/>
          <w:lang w:val="es-CO"/>
        </w:rPr>
        <w:t xml:space="preserve">. </w:t>
      </w:r>
      <w:r w:rsidRPr="007A5722">
        <w:rPr>
          <w:rFonts w:asciiTheme="majorHAnsi" w:hAnsiTheme="majorHAnsi" w:cs="Times"/>
          <w:sz w:val="16"/>
          <w:szCs w:val="16"/>
          <w:lang w:val="es-CO"/>
        </w:rPr>
        <w:t>Sentencia de 24 de junio de 2005. Serie C No. 129, p</w:t>
      </w:r>
      <w:r w:rsidRPr="007A5722">
        <w:rPr>
          <w:rFonts w:asciiTheme="majorHAnsi" w:hAnsiTheme="majorHAnsi"/>
          <w:sz w:val="16"/>
          <w:szCs w:val="16"/>
          <w:lang w:val="es-CO"/>
        </w:rPr>
        <w:t>árr</w:t>
      </w:r>
      <w:r w:rsidRPr="007A5722">
        <w:rPr>
          <w:rFonts w:asciiTheme="majorHAnsi" w:hAnsiTheme="majorHAnsi"/>
          <w:color w:val="000000"/>
          <w:sz w:val="16"/>
          <w:szCs w:val="16"/>
          <w:lang w:val="es-CO"/>
        </w:rPr>
        <w:t xml:space="preserve">. 75; </w:t>
      </w:r>
      <w:r w:rsidRPr="007A5722">
        <w:rPr>
          <w:rFonts w:asciiTheme="majorHAnsi" w:hAnsiTheme="majorHAnsi" w:cs="Times"/>
          <w:sz w:val="16"/>
          <w:szCs w:val="16"/>
          <w:lang w:val="es-CO"/>
        </w:rPr>
        <w:t xml:space="preserve">y </w:t>
      </w:r>
      <w:r w:rsidRPr="007A5722">
        <w:rPr>
          <w:rFonts w:asciiTheme="majorHAnsi" w:hAnsiTheme="majorHAnsi" w:cs="Times"/>
          <w:iCs/>
          <w:sz w:val="16"/>
          <w:szCs w:val="16"/>
          <w:lang w:val="es-CO"/>
        </w:rPr>
        <w:t>Caso Tibi</w:t>
      </w:r>
      <w:r w:rsidRPr="007A5722">
        <w:rPr>
          <w:rFonts w:asciiTheme="majorHAnsi" w:hAnsiTheme="majorHAnsi" w:cs="Times"/>
          <w:sz w:val="16"/>
          <w:szCs w:val="16"/>
          <w:lang w:val="es-CO"/>
        </w:rPr>
        <w:t xml:space="preserve">. Sentencia de 7 de septiembre de 2004.  Serie C No. 114, </w:t>
      </w:r>
      <w:r w:rsidRPr="007A5722">
        <w:rPr>
          <w:rFonts w:asciiTheme="majorHAnsi" w:hAnsiTheme="majorHAnsi"/>
          <w:sz w:val="16"/>
          <w:szCs w:val="16"/>
          <w:lang w:val="es-CO"/>
        </w:rPr>
        <w:t>párr.</w:t>
      </w:r>
      <w:r w:rsidRPr="007A5722">
        <w:rPr>
          <w:rFonts w:asciiTheme="majorHAnsi" w:hAnsiTheme="majorHAnsi"/>
          <w:color w:val="000000"/>
          <w:sz w:val="16"/>
          <w:szCs w:val="16"/>
          <w:lang w:val="es-CO"/>
        </w:rPr>
        <w:t xml:space="preserve"> 180.</w:t>
      </w:r>
    </w:p>
  </w:footnote>
  <w:footnote w:id="64">
    <w:p w:rsidR="00A26307" w:rsidRPr="007A5722" w:rsidRDefault="00A26307" w:rsidP="007A5722">
      <w:pPr>
        <w:pStyle w:val="FootnoteText"/>
        <w:spacing w:after="120"/>
        <w:ind w:firstLine="720"/>
        <w:jc w:val="both"/>
        <w:rPr>
          <w:rFonts w:asciiTheme="majorHAnsi" w:hAnsiTheme="majorHAnsi"/>
          <w:sz w:val="16"/>
          <w:szCs w:val="16"/>
          <w:lang w:val="pt-BR"/>
        </w:rPr>
      </w:pPr>
      <w:r w:rsidRPr="007A5722">
        <w:rPr>
          <w:rStyle w:val="FootnoteReference"/>
          <w:rFonts w:asciiTheme="majorHAnsi" w:hAnsiTheme="majorHAnsi"/>
          <w:sz w:val="16"/>
          <w:szCs w:val="16"/>
        </w:rPr>
        <w:footnoteRef/>
      </w:r>
      <w:r w:rsidRPr="007A5722">
        <w:rPr>
          <w:rFonts w:asciiTheme="majorHAnsi" w:hAnsiTheme="majorHAnsi"/>
          <w:sz w:val="16"/>
          <w:szCs w:val="16"/>
          <w:lang w:val="es-ES_tradnl"/>
        </w:rPr>
        <w:t xml:space="preserve"> Corte I.D.H., </w:t>
      </w:r>
      <w:r w:rsidRPr="007A5722">
        <w:rPr>
          <w:rFonts w:asciiTheme="majorHAnsi" w:hAnsiTheme="majorHAnsi"/>
          <w:bCs/>
          <w:sz w:val="16"/>
          <w:szCs w:val="16"/>
          <w:lang w:val="es-ES_tradnl"/>
        </w:rPr>
        <w:t xml:space="preserve">Caso Barreto Leiva Vs. </w:t>
      </w:r>
      <w:r w:rsidRPr="007A5722">
        <w:rPr>
          <w:rFonts w:asciiTheme="majorHAnsi" w:hAnsiTheme="majorHAnsi"/>
          <w:bCs/>
          <w:sz w:val="16"/>
          <w:szCs w:val="16"/>
          <w:lang w:val="es-CO"/>
        </w:rPr>
        <w:t xml:space="preserve">Venezuela. </w:t>
      </w:r>
      <w:r w:rsidRPr="007A5722">
        <w:rPr>
          <w:rFonts w:asciiTheme="majorHAnsi" w:hAnsiTheme="majorHAnsi"/>
          <w:sz w:val="16"/>
          <w:szCs w:val="16"/>
          <w:lang w:val="es-CO"/>
        </w:rPr>
        <w:t xml:space="preserve">Fondo, Reparaciones y Costas. Sentencia de 17 de noviembre de 2009. Serie C No. 206. Párr. 111. Citando. </w:t>
      </w:r>
      <w:r w:rsidRPr="007A5722">
        <w:rPr>
          <w:rFonts w:asciiTheme="majorHAnsi" w:hAnsiTheme="majorHAnsi"/>
          <w:bCs/>
          <w:sz w:val="16"/>
          <w:szCs w:val="16"/>
          <w:lang w:val="es-CO"/>
        </w:rPr>
        <w:t xml:space="preserve">Caso Chaparro Álvarez y Lapo Íñiguez Vs. Ecuador. </w:t>
      </w:r>
      <w:r w:rsidRPr="007A5722">
        <w:rPr>
          <w:rFonts w:asciiTheme="majorHAnsi" w:hAnsiTheme="majorHAnsi"/>
          <w:sz w:val="16"/>
          <w:szCs w:val="16"/>
          <w:lang w:val="es-CO"/>
        </w:rPr>
        <w:t xml:space="preserve">Excepciones Preliminares, Fondo, Reparaciones y Costas. Sentencia de 21 de noviembre de 2007. Serie C No. 170, párr. 101 y Caso </w:t>
      </w:r>
      <w:proofErr w:type="spellStart"/>
      <w:r w:rsidRPr="007A5722">
        <w:rPr>
          <w:rFonts w:asciiTheme="majorHAnsi" w:hAnsiTheme="majorHAnsi"/>
          <w:sz w:val="16"/>
          <w:szCs w:val="16"/>
          <w:lang w:val="es-CO"/>
        </w:rPr>
        <w:t>Servellón</w:t>
      </w:r>
      <w:proofErr w:type="spellEnd"/>
      <w:r w:rsidRPr="007A5722">
        <w:rPr>
          <w:rFonts w:asciiTheme="majorHAnsi" w:hAnsiTheme="majorHAnsi"/>
          <w:sz w:val="16"/>
          <w:szCs w:val="16"/>
          <w:lang w:val="es-CO"/>
        </w:rPr>
        <w:t xml:space="preserve"> García y otros Vs. Honduras. Fondo, Reparaciones y Costas. Sentencia de 21 de septiembre de 2006. </w:t>
      </w:r>
      <w:r w:rsidRPr="007A5722">
        <w:rPr>
          <w:rFonts w:asciiTheme="majorHAnsi" w:hAnsiTheme="majorHAnsi"/>
          <w:sz w:val="16"/>
          <w:szCs w:val="16"/>
          <w:lang w:val="pt-BR"/>
        </w:rPr>
        <w:t>Serie C No. 152, párr. 90.</w:t>
      </w:r>
    </w:p>
  </w:footnote>
  <w:footnote w:id="65">
    <w:p w:rsidR="00A26307" w:rsidRPr="007A5722" w:rsidRDefault="00A26307" w:rsidP="007A5722">
      <w:pPr>
        <w:pStyle w:val="FootnoteText"/>
        <w:spacing w:after="120"/>
        <w:ind w:firstLine="720"/>
        <w:jc w:val="both"/>
        <w:rPr>
          <w:rFonts w:asciiTheme="majorHAnsi" w:hAnsiTheme="majorHAnsi"/>
          <w:sz w:val="16"/>
          <w:szCs w:val="16"/>
          <w:lang w:val="es-CO"/>
        </w:rPr>
      </w:pPr>
      <w:r w:rsidRPr="007A5722">
        <w:rPr>
          <w:rStyle w:val="FootnoteReference"/>
          <w:rFonts w:asciiTheme="majorHAnsi" w:hAnsiTheme="majorHAnsi"/>
          <w:sz w:val="16"/>
          <w:szCs w:val="16"/>
        </w:rPr>
        <w:footnoteRef/>
      </w:r>
      <w:r w:rsidRPr="007A5722">
        <w:rPr>
          <w:rFonts w:asciiTheme="majorHAnsi" w:hAnsiTheme="majorHAnsi"/>
          <w:sz w:val="16"/>
          <w:szCs w:val="16"/>
          <w:lang w:val="pt-BR"/>
        </w:rPr>
        <w:t xml:space="preserve"> Corte I.D.H., </w:t>
      </w:r>
      <w:r w:rsidRPr="007A5722">
        <w:rPr>
          <w:rFonts w:asciiTheme="majorHAnsi" w:hAnsiTheme="majorHAnsi"/>
          <w:bCs/>
          <w:sz w:val="16"/>
          <w:szCs w:val="16"/>
          <w:lang w:val="pt-BR"/>
        </w:rPr>
        <w:t xml:space="preserve">Caso Barreto Leiva Vs. </w:t>
      </w:r>
      <w:r w:rsidRPr="007A5722">
        <w:rPr>
          <w:rFonts w:asciiTheme="majorHAnsi" w:hAnsiTheme="majorHAnsi"/>
          <w:bCs/>
          <w:sz w:val="16"/>
          <w:szCs w:val="16"/>
          <w:lang w:val="es-CO"/>
        </w:rPr>
        <w:t xml:space="preserve">Venezuela. </w:t>
      </w:r>
      <w:r w:rsidRPr="007A5722">
        <w:rPr>
          <w:rFonts w:asciiTheme="majorHAnsi" w:hAnsiTheme="majorHAnsi"/>
          <w:sz w:val="16"/>
          <w:szCs w:val="16"/>
          <w:lang w:val="es-CO"/>
        </w:rPr>
        <w:t xml:space="preserve">Fondo, Reparaciones y Costas. Sentencia de 17 de noviembre de 2009. Serie C No. 206. Párr. 111. Citando: </w:t>
      </w:r>
      <w:r w:rsidRPr="007A5722">
        <w:rPr>
          <w:rFonts w:asciiTheme="majorHAnsi" w:hAnsiTheme="majorHAnsi"/>
          <w:bCs/>
          <w:sz w:val="16"/>
          <w:szCs w:val="16"/>
          <w:lang w:val="es-CO"/>
        </w:rPr>
        <w:t xml:space="preserve">Caso Chaparro Álvarez y Lapo Íñiguez Vs. Ecuador. </w:t>
      </w:r>
      <w:r w:rsidRPr="007A5722">
        <w:rPr>
          <w:rFonts w:asciiTheme="majorHAnsi" w:hAnsiTheme="majorHAnsi"/>
          <w:sz w:val="16"/>
          <w:szCs w:val="16"/>
          <w:lang w:val="es-CO"/>
        </w:rPr>
        <w:t xml:space="preserve">Excepciones Preliminares, Fondo, Reparaciones y Costas. Sentencia de 21 de noviembre de 2007. Serie C No. 170, párr. 103; y Caso </w:t>
      </w:r>
      <w:proofErr w:type="spellStart"/>
      <w:r w:rsidRPr="007A5722">
        <w:rPr>
          <w:rFonts w:asciiTheme="majorHAnsi" w:hAnsiTheme="majorHAnsi"/>
          <w:sz w:val="16"/>
          <w:szCs w:val="16"/>
          <w:lang w:val="es-CO"/>
        </w:rPr>
        <w:t>Servellón</w:t>
      </w:r>
      <w:proofErr w:type="spellEnd"/>
      <w:r w:rsidRPr="007A5722">
        <w:rPr>
          <w:rFonts w:asciiTheme="majorHAnsi" w:hAnsiTheme="majorHAnsi"/>
          <w:sz w:val="16"/>
          <w:szCs w:val="16"/>
          <w:lang w:val="es-CO"/>
        </w:rPr>
        <w:t xml:space="preserve"> García y otros Vs. Honduras. Fondo, Reparaciones y Costas. Sentencia de 21 de septiembre de 2006. Serie C No. 152, párr. 90.</w:t>
      </w:r>
    </w:p>
  </w:footnote>
  <w:footnote w:id="66">
    <w:p w:rsidR="00A26307" w:rsidRPr="007A5722" w:rsidRDefault="00A26307" w:rsidP="007A5722">
      <w:pPr>
        <w:pStyle w:val="FootnoteText"/>
        <w:spacing w:after="120"/>
        <w:ind w:firstLine="720"/>
        <w:jc w:val="both"/>
        <w:rPr>
          <w:rFonts w:asciiTheme="majorHAnsi" w:hAnsiTheme="majorHAnsi"/>
          <w:sz w:val="16"/>
          <w:szCs w:val="16"/>
          <w:lang w:val="es-CO"/>
        </w:rPr>
      </w:pPr>
      <w:r w:rsidRPr="007A5722">
        <w:rPr>
          <w:rStyle w:val="FootnoteReference"/>
          <w:rFonts w:asciiTheme="majorHAnsi" w:hAnsiTheme="majorHAnsi"/>
          <w:sz w:val="16"/>
          <w:szCs w:val="16"/>
        </w:rPr>
        <w:footnoteRef/>
      </w:r>
      <w:r w:rsidRPr="007A5722">
        <w:rPr>
          <w:rStyle w:val="FootnoteReference"/>
          <w:rFonts w:asciiTheme="majorHAnsi" w:hAnsiTheme="majorHAnsi"/>
          <w:sz w:val="16"/>
          <w:szCs w:val="16"/>
          <w:lang w:val="es-CO"/>
        </w:rPr>
        <w:t xml:space="preserve"> </w:t>
      </w:r>
      <w:r w:rsidRPr="007A5722">
        <w:rPr>
          <w:rFonts w:asciiTheme="majorHAnsi" w:hAnsiTheme="majorHAnsi"/>
          <w:sz w:val="16"/>
          <w:szCs w:val="16"/>
          <w:lang w:val="es-CO"/>
        </w:rPr>
        <w:t>Corte IDH. Caso Chaparro Álvarez y Lapo Íñiguez. Vs. Ecuador. Excepciones Preliminares, Fondo, Reparaciones y Costas. Sentencia de 21 de noviembre de 2007. Serie C No. 170, párr. 93.</w:t>
      </w:r>
    </w:p>
  </w:footnote>
  <w:footnote w:id="67">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Corte IDH. Caso Barreto Leiva vs Venezuela. </w:t>
      </w:r>
      <w:r w:rsidRPr="007A5722">
        <w:rPr>
          <w:rFonts w:asciiTheme="majorHAnsi" w:hAnsiTheme="majorHAnsi"/>
          <w:sz w:val="16"/>
          <w:szCs w:val="16"/>
          <w:lang w:val="es-VE"/>
        </w:rPr>
        <w:t>Fondo, Reparaciones y Costas. Sentencia de 17 de noviembre de2009, Serie C No. 206. párr.120.</w:t>
      </w:r>
    </w:p>
  </w:footnote>
  <w:footnote w:id="68">
    <w:p w:rsidR="00A26307" w:rsidRPr="007A5722" w:rsidRDefault="00A26307" w:rsidP="007A5722">
      <w:pPr>
        <w:pStyle w:val="FootnoteText"/>
        <w:spacing w:after="120"/>
        <w:ind w:firstLine="720"/>
        <w:rPr>
          <w:rFonts w:asciiTheme="majorHAnsi" w:hAnsiTheme="majorHAnsi"/>
          <w:b/>
          <w:sz w:val="16"/>
          <w:szCs w:val="16"/>
          <w:lang w:val="es-CO"/>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w:t>
      </w:r>
      <w:r w:rsidRPr="007A5722">
        <w:rPr>
          <w:rStyle w:val="Strong"/>
          <w:rFonts w:asciiTheme="majorHAnsi" w:hAnsiTheme="majorHAnsi"/>
          <w:b w:val="0"/>
          <w:sz w:val="16"/>
          <w:szCs w:val="16"/>
          <w:lang w:val="es-CO"/>
        </w:rPr>
        <w:t xml:space="preserve">Corte IDH. Caso Argüelles y otros Vs. Argentina. Excepciones Preliminares, Fondo, Reparaciones y Costas. Sentencia de 20 de noviembre de 2014. Serie C No. 288. Párr. 122. </w:t>
      </w:r>
    </w:p>
  </w:footnote>
  <w:footnote w:id="69">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Pr="007A5722">
        <w:rPr>
          <w:rFonts w:asciiTheme="majorHAnsi" w:hAnsiTheme="majorHAnsi"/>
          <w:sz w:val="16"/>
          <w:szCs w:val="16"/>
          <w:lang w:val="es-VE"/>
        </w:rPr>
        <w:t xml:space="preserve"> Corte IDH. Caso Arguelles y otros vs. Argentina. Excepciones Preliminares, Fondo, Reparaciones y Costas. Sentencia de 20 de noviembre de 2014. Serie C No. 288, párr.121.</w:t>
      </w:r>
    </w:p>
  </w:footnote>
  <w:footnote w:id="70">
    <w:p w:rsidR="00A26307" w:rsidRPr="007A5722" w:rsidRDefault="00A26307" w:rsidP="007A57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hAnsiTheme="majorHAnsi"/>
          <w:sz w:val="16"/>
          <w:szCs w:val="16"/>
          <w:lang w:val="es-CO"/>
        </w:rPr>
      </w:pPr>
      <w:r w:rsidRPr="007A5722">
        <w:rPr>
          <w:rStyle w:val="FootnoteReference"/>
          <w:rFonts w:asciiTheme="majorHAnsi" w:hAnsiTheme="majorHAnsi"/>
          <w:sz w:val="16"/>
          <w:szCs w:val="16"/>
        </w:rPr>
        <w:footnoteRef/>
      </w:r>
      <w:r w:rsidRPr="007A5722">
        <w:rPr>
          <w:rFonts w:asciiTheme="majorHAnsi" w:hAnsiTheme="majorHAnsi"/>
          <w:sz w:val="16"/>
          <w:szCs w:val="16"/>
          <w:lang w:val="es-VE"/>
        </w:rPr>
        <w:t xml:space="preserve"> </w:t>
      </w:r>
      <w:r w:rsidRPr="007A5722">
        <w:rPr>
          <w:rFonts w:asciiTheme="majorHAnsi" w:hAnsiTheme="majorHAnsi" w:cs="Calibri"/>
          <w:sz w:val="16"/>
          <w:szCs w:val="16"/>
          <w:lang w:val="es-VE" w:eastAsia="es-ES"/>
        </w:rPr>
        <w:t xml:space="preserve">CIDH. Informe No. 86/09, Caso 12.553, Fondo, José, Jorge y Dante </w:t>
      </w:r>
      <w:proofErr w:type="spellStart"/>
      <w:r w:rsidRPr="007A5722">
        <w:rPr>
          <w:rFonts w:asciiTheme="majorHAnsi" w:hAnsiTheme="majorHAnsi" w:cs="Calibri"/>
          <w:sz w:val="16"/>
          <w:szCs w:val="16"/>
          <w:lang w:val="es-VE" w:eastAsia="es-ES"/>
        </w:rPr>
        <w:t>Peirano</w:t>
      </w:r>
      <w:proofErr w:type="spellEnd"/>
      <w:r w:rsidRPr="007A5722">
        <w:rPr>
          <w:rFonts w:asciiTheme="majorHAnsi" w:hAnsiTheme="majorHAnsi" w:cs="Calibri"/>
          <w:sz w:val="16"/>
          <w:szCs w:val="16"/>
          <w:lang w:val="es-VE" w:eastAsia="es-ES"/>
        </w:rPr>
        <w:t xml:space="preserve"> Basso, Uruguay, 6 de agosto de 2009, párr. </w:t>
      </w:r>
      <w:r w:rsidRPr="007A5722">
        <w:rPr>
          <w:rFonts w:asciiTheme="majorHAnsi" w:hAnsiTheme="majorHAnsi" w:cs="Calibri"/>
          <w:sz w:val="16"/>
          <w:szCs w:val="16"/>
          <w:lang w:val="es-CO" w:eastAsia="es-ES"/>
        </w:rPr>
        <w:t xml:space="preserve">133; CIDH. informe No. 2/97, Caso 11.205, Fondo, Jorge Luis </w:t>
      </w:r>
      <w:proofErr w:type="spellStart"/>
      <w:r w:rsidRPr="007A5722">
        <w:rPr>
          <w:rFonts w:asciiTheme="majorHAnsi" w:hAnsiTheme="majorHAnsi" w:cs="Calibri"/>
          <w:sz w:val="16"/>
          <w:szCs w:val="16"/>
          <w:lang w:val="es-CO" w:eastAsia="es-ES"/>
        </w:rPr>
        <w:t>Bronstein</w:t>
      </w:r>
      <w:proofErr w:type="spellEnd"/>
      <w:r w:rsidRPr="007A5722">
        <w:rPr>
          <w:rFonts w:asciiTheme="majorHAnsi" w:hAnsiTheme="majorHAnsi" w:cs="Calibri"/>
          <w:sz w:val="16"/>
          <w:szCs w:val="16"/>
          <w:lang w:val="es-CO" w:eastAsia="es-ES"/>
        </w:rPr>
        <w:t xml:space="preserve"> y otros, Argentina, 11 de marzo de 1997, párr. 12; CIDH. </w:t>
      </w:r>
      <w:r w:rsidRPr="007A5722">
        <w:rPr>
          <w:rFonts w:asciiTheme="majorHAnsi" w:hAnsiTheme="majorHAnsi" w:cs="Calibri-Italic"/>
          <w:iCs/>
          <w:sz w:val="16"/>
          <w:szCs w:val="16"/>
          <w:lang w:val="es-CO" w:eastAsia="es-ES"/>
        </w:rPr>
        <w:t>Tercer informe sobre la situación de los derechos humanos en Paraguay</w:t>
      </w:r>
      <w:r w:rsidRPr="007A5722">
        <w:rPr>
          <w:rFonts w:asciiTheme="majorHAnsi" w:hAnsiTheme="majorHAnsi" w:cs="Calibri"/>
          <w:sz w:val="16"/>
          <w:szCs w:val="16"/>
          <w:lang w:val="es-CO" w:eastAsia="es-ES"/>
        </w:rPr>
        <w:t xml:space="preserve">, OEA/Ser./L/VII.110. Doc. 52, adoptado el 9 de marzo de 2001. Cap. IV, párr. 34. Ver también: Corte IDH. </w:t>
      </w:r>
      <w:r w:rsidRPr="007A5722">
        <w:rPr>
          <w:rFonts w:asciiTheme="majorHAnsi" w:hAnsiTheme="majorHAnsi" w:cs="Calibri-Italic"/>
          <w:iCs/>
          <w:sz w:val="16"/>
          <w:szCs w:val="16"/>
          <w:lang w:val="es-CO" w:eastAsia="es-ES"/>
        </w:rPr>
        <w:t>Caso López Álvarez Vs. Honduras</w:t>
      </w:r>
      <w:r w:rsidRPr="007A5722">
        <w:rPr>
          <w:rFonts w:asciiTheme="majorHAnsi" w:hAnsiTheme="majorHAnsi" w:cs="Calibri"/>
          <w:sz w:val="16"/>
          <w:szCs w:val="16"/>
          <w:lang w:val="es-CO" w:eastAsia="es-ES"/>
        </w:rPr>
        <w:t xml:space="preserve">. Sentencia de 1 de febrero de 2006. Serie C No. 141, párr. 69; Corte IDH. </w:t>
      </w:r>
      <w:r w:rsidRPr="007A5722">
        <w:rPr>
          <w:rFonts w:asciiTheme="majorHAnsi" w:hAnsiTheme="majorHAnsi" w:cs="Calibri-Italic"/>
          <w:iCs/>
          <w:sz w:val="16"/>
          <w:szCs w:val="16"/>
          <w:lang w:val="es-CO" w:eastAsia="es-ES"/>
        </w:rPr>
        <w:t>Caso Acosta Calderón Vs. Ecuador</w:t>
      </w:r>
      <w:r w:rsidRPr="007A5722">
        <w:rPr>
          <w:rFonts w:asciiTheme="majorHAnsi" w:hAnsiTheme="majorHAnsi" w:cs="Calibri"/>
          <w:sz w:val="16"/>
          <w:szCs w:val="16"/>
          <w:lang w:val="es-CO" w:eastAsia="es-ES"/>
        </w:rPr>
        <w:t xml:space="preserve">. Sentencia de 24 de junio de 2005. Serie C No. 129, párr. 111; Corte IDH. </w:t>
      </w:r>
      <w:r w:rsidRPr="007A5722">
        <w:rPr>
          <w:rFonts w:asciiTheme="majorHAnsi" w:hAnsiTheme="majorHAnsi" w:cs="Calibri-Italic"/>
          <w:iCs/>
          <w:sz w:val="16"/>
          <w:szCs w:val="16"/>
          <w:lang w:val="es-CO" w:eastAsia="es-ES"/>
        </w:rPr>
        <w:t>Caso Tibi Vs. Ecuador</w:t>
      </w:r>
      <w:r w:rsidRPr="007A5722">
        <w:rPr>
          <w:rFonts w:asciiTheme="majorHAnsi" w:hAnsiTheme="majorHAnsi" w:cs="Calibri"/>
          <w:sz w:val="16"/>
          <w:szCs w:val="16"/>
          <w:lang w:val="es-CO" w:eastAsia="es-ES"/>
        </w:rPr>
        <w:t xml:space="preserve">. Sentencia de 7 de septiembre de 2004. Serie C No. 114, párr. 180; Corte IDH. </w:t>
      </w:r>
      <w:r w:rsidRPr="007A5722">
        <w:rPr>
          <w:rFonts w:asciiTheme="majorHAnsi" w:hAnsiTheme="majorHAnsi" w:cs="Calibri-Italic"/>
          <w:iCs/>
          <w:sz w:val="16"/>
          <w:szCs w:val="16"/>
          <w:lang w:val="es-CO" w:eastAsia="es-ES"/>
        </w:rPr>
        <w:t>Caso “Instituto de Reeducación del Menor” Vs. Paraguay</w:t>
      </w:r>
      <w:r w:rsidRPr="007A5722">
        <w:rPr>
          <w:rFonts w:asciiTheme="majorHAnsi" w:hAnsiTheme="majorHAnsi" w:cs="Calibri"/>
          <w:sz w:val="16"/>
          <w:szCs w:val="16"/>
          <w:lang w:val="es-CO" w:eastAsia="es-ES"/>
        </w:rPr>
        <w:t xml:space="preserve">. Sentencia de 2 de septiembre de 2004. Serie C No. 112, párr. 229; Corte IDH. </w:t>
      </w:r>
      <w:r w:rsidRPr="007A5722">
        <w:rPr>
          <w:rFonts w:asciiTheme="majorHAnsi" w:hAnsiTheme="majorHAnsi" w:cs="Calibri-Italic"/>
          <w:iCs/>
          <w:sz w:val="16"/>
          <w:szCs w:val="16"/>
          <w:lang w:val="es-CO" w:eastAsia="es-ES"/>
        </w:rPr>
        <w:t>Caso Suárez Rosero Vs. Ecuador</w:t>
      </w:r>
      <w:r w:rsidRPr="007A5722">
        <w:rPr>
          <w:rFonts w:asciiTheme="majorHAnsi" w:hAnsiTheme="majorHAnsi" w:cs="Calibri"/>
          <w:sz w:val="16"/>
          <w:szCs w:val="16"/>
          <w:lang w:val="es-CO" w:eastAsia="es-ES"/>
        </w:rPr>
        <w:t xml:space="preserve">. Sentencia de 12 de noviembre de 1997. Serie C No. 35, párr. 77. Igualmente, </w:t>
      </w:r>
    </w:p>
  </w:footnote>
  <w:footnote w:id="71">
    <w:p w:rsidR="00A26307" w:rsidRPr="007A5722" w:rsidRDefault="00A26307" w:rsidP="007A5722">
      <w:pPr>
        <w:pStyle w:val="FootnoteText"/>
        <w:spacing w:after="120"/>
        <w:ind w:firstLine="720"/>
        <w:rPr>
          <w:rFonts w:asciiTheme="majorHAnsi" w:hAnsiTheme="majorHAnsi"/>
          <w:sz w:val="16"/>
          <w:szCs w:val="16"/>
          <w:lang w:val="es-CO"/>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CIDH. Informe No. 12/96. Argentina. Caso 11.245. 1 de marzo de 1996. Párr. 80. </w:t>
      </w:r>
    </w:p>
  </w:footnote>
  <w:footnote w:id="72">
    <w:p w:rsidR="00A26307" w:rsidRPr="007A5722" w:rsidRDefault="00A26307" w:rsidP="007A5722">
      <w:pPr>
        <w:pStyle w:val="FootnoteText"/>
        <w:spacing w:after="120"/>
        <w:ind w:firstLine="720"/>
        <w:rPr>
          <w:rFonts w:asciiTheme="majorHAnsi" w:hAnsiTheme="majorHAnsi"/>
          <w:sz w:val="16"/>
          <w:szCs w:val="16"/>
          <w:lang w:val="es-CO"/>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CIDH. Informe No. 12/96. Argentina. Caso 11.245. 1 de marzo de 1996. Párr. 114. </w:t>
      </w:r>
    </w:p>
  </w:footnote>
  <w:footnote w:id="73">
    <w:p w:rsidR="00A26307" w:rsidRPr="007A5722" w:rsidRDefault="00A26307" w:rsidP="007A57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rPr>
          <w:rFonts w:asciiTheme="majorHAnsi" w:hAnsiTheme="majorHAnsi" w:cs="Calibri"/>
          <w:sz w:val="16"/>
          <w:szCs w:val="16"/>
          <w:lang w:val="es-CO" w:eastAsia="es-ES"/>
        </w:rPr>
      </w:pPr>
      <w:r w:rsidRPr="007A5722">
        <w:rPr>
          <w:rStyle w:val="FootnoteReference"/>
          <w:rFonts w:asciiTheme="majorHAnsi" w:hAnsiTheme="majorHAnsi"/>
          <w:sz w:val="16"/>
          <w:szCs w:val="16"/>
        </w:rPr>
        <w:footnoteRef/>
      </w:r>
      <w:r w:rsidRPr="007A5722">
        <w:rPr>
          <w:rFonts w:asciiTheme="majorHAnsi" w:hAnsiTheme="majorHAnsi"/>
          <w:sz w:val="16"/>
          <w:szCs w:val="16"/>
          <w:lang w:val="es-CO"/>
        </w:rPr>
        <w:t xml:space="preserve"> </w:t>
      </w:r>
      <w:r w:rsidRPr="007A5722">
        <w:rPr>
          <w:rFonts w:asciiTheme="majorHAnsi" w:hAnsiTheme="majorHAnsi" w:cs="Calibri"/>
          <w:sz w:val="16"/>
          <w:szCs w:val="16"/>
          <w:lang w:val="es-CO" w:eastAsia="es-ES"/>
        </w:rPr>
        <w:t xml:space="preserve">Corte IDH. </w:t>
      </w:r>
      <w:r w:rsidRPr="007A5722">
        <w:rPr>
          <w:rFonts w:asciiTheme="majorHAnsi" w:hAnsiTheme="majorHAnsi" w:cs="Calibri-Italic"/>
          <w:iCs/>
          <w:sz w:val="16"/>
          <w:szCs w:val="16"/>
          <w:lang w:val="es-CO" w:eastAsia="es-ES"/>
        </w:rPr>
        <w:t xml:space="preserve">Caso </w:t>
      </w:r>
      <w:proofErr w:type="spellStart"/>
      <w:r w:rsidRPr="007A5722">
        <w:rPr>
          <w:rFonts w:asciiTheme="majorHAnsi" w:hAnsiTheme="majorHAnsi" w:cs="Calibri-Italic"/>
          <w:iCs/>
          <w:sz w:val="16"/>
          <w:szCs w:val="16"/>
          <w:lang w:val="es-CO" w:eastAsia="es-ES"/>
        </w:rPr>
        <w:t>Usón</w:t>
      </w:r>
      <w:proofErr w:type="spellEnd"/>
      <w:r w:rsidRPr="007A5722">
        <w:rPr>
          <w:rFonts w:asciiTheme="majorHAnsi" w:hAnsiTheme="majorHAnsi" w:cs="Calibri-Italic"/>
          <w:iCs/>
          <w:sz w:val="16"/>
          <w:szCs w:val="16"/>
          <w:lang w:val="es-CO" w:eastAsia="es-ES"/>
        </w:rPr>
        <w:t xml:space="preserve"> Ramírez Vs. Venezuela. </w:t>
      </w:r>
      <w:r w:rsidRPr="007A5722">
        <w:rPr>
          <w:rFonts w:asciiTheme="majorHAnsi" w:hAnsiTheme="majorHAnsi" w:cs="Calibri"/>
          <w:sz w:val="16"/>
          <w:szCs w:val="16"/>
          <w:lang w:val="es-CO" w:eastAsia="es-ES"/>
        </w:rPr>
        <w:t>Excepción Preliminar, Fondo, Reparaciones y Costas. Sentencia de 20 de noviembre de 2009. Serie C No. 207, párr. 144.</w:t>
      </w:r>
    </w:p>
  </w:footnote>
  <w:footnote w:id="74">
    <w:p w:rsidR="00A26307" w:rsidRPr="007A5722" w:rsidRDefault="00A26307" w:rsidP="007A5722">
      <w:pPr>
        <w:pStyle w:val="FootnoteText"/>
        <w:spacing w:after="120"/>
        <w:ind w:firstLine="720"/>
        <w:rPr>
          <w:rFonts w:asciiTheme="majorHAnsi" w:hAnsiTheme="majorHAnsi"/>
          <w:sz w:val="16"/>
          <w:szCs w:val="16"/>
          <w:lang w:val="es-CO"/>
        </w:rPr>
      </w:pPr>
      <w:r w:rsidRPr="007A5722">
        <w:rPr>
          <w:rStyle w:val="FootnoteReference"/>
          <w:rFonts w:asciiTheme="majorHAnsi" w:eastAsia="Arial Unicode MS" w:hAnsiTheme="majorHAnsi" w:cs="Times New Roman"/>
          <w:color w:val="auto"/>
          <w:sz w:val="16"/>
          <w:szCs w:val="16"/>
          <w:lang w:eastAsia="en-US"/>
        </w:rPr>
        <w:footnoteRef/>
      </w:r>
      <w:r w:rsidRPr="007A5722">
        <w:rPr>
          <w:rFonts w:asciiTheme="majorHAnsi" w:hAnsiTheme="majorHAnsi"/>
          <w:sz w:val="16"/>
          <w:szCs w:val="16"/>
          <w:lang w:val="es-CO"/>
        </w:rPr>
        <w:t xml:space="preserve"> CIDH. Informe sobre el uso de la prisión preventiva en las Américas. OEA/</w:t>
      </w:r>
      <w:proofErr w:type="spellStart"/>
      <w:r w:rsidRPr="007A5722">
        <w:rPr>
          <w:rFonts w:asciiTheme="majorHAnsi" w:hAnsiTheme="majorHAnsi"/>
          <w:sz w:val="16"/>
          <w:szCs w:val="16"/>
          <w:lang w:val="es-CO"/>
        </w:rPr>
        <w:t>Ser.L</w:t>
      </w:r>
      <w:proofErr w:type="spellEnd"/>
      <w:r w:rsidRPr="007A5722">
        <w:rPr>
          <w:rFonts w:asciiTheme="majorHAnsi" w:hAnsiTheme="majorHAnsi"/>
          <w:sz w:val="16"/>
          <w:szCs w:val="16"/>
          <w:lang w:val="es-CO"/>
        </w:rPr>
        <w:t>/V/II. 30 de diciembre de 2013. Párr. 137.</w:t>
      </w:r>
    </w:p>
  </w:footnote>
  <w:footnote w:id="75">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Pr="007A5722">
        <w:rPr>
          <w:rFonts w:asciiTheme="majorHAnsi" w:hAnsiTheme="majorHAnsi"/>
          <w:sz w:val="16"/>
          <w:szCs w:val="16"/>
          <w:lang w:val="es-VE"/>
        </w:rPr>
        <w:t>Corte IDH, Caso Espinoza Gonzáles vs. Perú. Excepciones Preliminares, Fondo, Reparaciones y Costas. Sentencia de 20 de noviembre de 2014, Serie C No. 289, Párr.135;  Corte IDH, El Hábeas Corpus bajo Suspensión de Garantías (arts. 27.2, 25.1y 7.6 Convención Americana sobre Derechos Humanos). Opinión Consultiva OC-8/87 del 30 de enero de 1987. Serie A No. 8, párr. 33.</w:t>
      </w:r>
    </w:p>
  </w:footnote>
  <w:footnote w:id="76">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Pr="007A5722">
        <w:rPr>
          <w:rFonts w:asciiTheme="majorHAnsi" w:hAnsiTheme="majorHAnsi"/>
          <w:sz w:val="16"/>
          <w:szCs w:val="16"/>
          <w:lang w:val="es-VE"/>
        </w:rPr>
        <w:t xml:space="preserve"> Corte IDH. Caso Acosta Calderón vs. Ecuador. Fondo, Reparaciones y Costas.  Serie C No. 129, párr.93. </w:t>
      </w:r>
    </w:p>
  </w:footnote>
  <w:footnote w:id="77">
    <w:p w:rsidR="00A26307" w:rsidRPr="007A5722" w:rsidRDefault="00A26307" w:rsidP="007A5722">
      <w:pPr>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Pr="007A5722">
        <w:rPr>
          <w:rFonts w:asciiTheme="majorHAnsi" w:hAnsiTheme="majorHAnsi"/>
          <w:sz w:val="16"/>
          <w:szCs w:val="16"/>
          <w:lang w:val="es-VE"/>
        </w:rPr>
        <w:t xml:space="preserve"> Corte IDH. Caso López Álvarez. Fondo, Reparaciones y Costas. Sentencia de 1 de febrero de 2006. Serie C No. 141, párr.96; Ver también CIDH, Informe No. 67/11, Caso 11.157, Admisibilidad y Fondo, Gladys Carol Espinoza Gonzales, Perú, 31 de marzo de 2011 párr.165.</w:t>
      </w:r>
    </w:p>
  </w:footnote>
  <w:footnote w:id="78">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Pr="007A5722">
        <w:rPr>
          <w:rFonts w:asciiTheme="majorHAnsi" w:hAnsiTheme="majorHAnsi"/>
          <w:sz w:val="16"/>
          <w:szCs w:val="16"/>
          <w:lang w:val="pt-BR"/>
        </w:rPr>
        <w:t xml:space="preserve"> CIDH. Informe No. 86/09, Caso 12.553, Fondo, José, Jorge y Dante Peirano Basso, Uruguay, 6 de agosto de 2009, párrs. </w:t>
      </w:r>
      <w:r w:rsidRPr="007A5722">
        <w:rPr>
          <w:rFonts w:asciiTheme="majorHAnsi" w:hAnsiTheme="majorHAnsi"/>
          <w:sz w:val="16"/>
          <w:szCs w:val="16"/>
          <w:lang w:val="es-VE"/>
        </w:rPr>
        <w:t xml:space="preserve">118.  Ver también por ejemplo las Reglas de Tokio cuya regla 6.3 establece que el acusado “tendrá derecho a apelar ante una autoridad judicial u otra autoridad independiente y competente en los casos en que se imponga prisión preventiva”, disponible en: </w:t>
      </w:r>
      <w:r w:rsidR="00ED58DB">
        <w:fldChar w:fldCharType="begin"/>
      </w:r>
      <w:r w:rsidR="00ED58DB" w:rsidRPr="00542560">
        <w:rPr>
          <w:lang w:val="es-VE"/>
        </w:rPr>
        <w:instrText xml:space="preserve"> HYPERLINK "https://www.cidh.oas.org/PRIVADAS/reglasminimasnoprivativas.htm" </w:instrText>
      </w:r>
      <w:r w:rsidR="00ED58DB">
        <w:fldChar w:fldCharType="separate"/>
      </w:r>
      <w:r w:rsidRPr="007A5722">
        <w:rPr>
          <w:rStyle w:val="Hyperlink"/>
          <w:rFonts w:asciiTheme="majorHAnsi" w:hAnsiTheme="majorHAnsi"/>
          <w:sz w:val="16"/>
          <w:szCs w:val="16"/>
          <w:lang w:val="es-VE"/>
        </w:rPr>
        <w:t>https://www.cidh.oas.org/PRIVADAS/reglasminimasnoprivativas.htm</w:t>
      </w:r>
      <w:r w:rsidR="00ED58DB">
        <w:rPr>
          <w:rStyle w:val="Hyperlink"/>
          <w:rFonts w:asciiTheme="majorHAnsi" w:hAnsiTheme="majorHAnsi"/>
          <w:sz w:val="16"/>
          <w:szCs w:val="16"/>
          <w:lang w:val="es-VE"/>
        </w:rPr>
        <w:fldChar w:fldCharType="end"/>
      </w:r>
      <w:r w:rsidRPr="007A5722">
        <w:rPr>
          <w:rFonts w:asciiTheme="majorHAnsi" w:hAnsiTheme="majorHAnsi"/>
          <w:sz w:val="16"/>
          <w:szCs w:val="16"/>
          <w:lang w:val="es-VE"/>
        </w:rPr>
        <w:t xml:space="preserve">. </w:t>
      </w:r>
    </w:p>
  </w:footnote>
  <w:footnote w:id="79">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Pr="007A5722">
        <w:rPr>
          <w:rFonts w:asciiTheme="majorHAnsi" w:hAnsiTheme="majorHAnsi"/>
          <w:sz w:val="16"/>
          <w:szCs w:val="16"/>
          <w:lang w:val="es-VE"/>
        </w:rPr>
        <w:t xml:space="preserve"> Ver. Voto razonado del Juez A.A Cancado Trindade en el caso Acosta Calderón vs. Ecuador. Fondo, Reparaciones y Costas. Sentencia de 24 de junio de 2005. Serie C No. 129. </w:t>
      </w:r>
    </w:p>
  </w:footnote>
  <w:footnote w:id="80">
    <w:p w:rsidR="00A26307" w:rsidRPr="007A5722" w:rsidRDefault="00A26307" w:rsidP="007A5722">
      <w:pPr>
        <w:pStyle w:val="FootnoteText"/>
        <w:spacing w:after="120"/>
        <w:ind w:firstLine="720"/>
        <w:jc w:val="both"/>
        <w:rPr>
          <w:rFonts w:asciiTheme="majorHAnsi" w:hAnsiTheme="majorHAnsi"/>
          <w:sz w:val="16"/>
          <w:szCs w:val="16"/>
          <w:lang w:val="es-VE"/>
        </w:rPr>
      </w:pPr>
      <w:r w:rsidRPr="007A5722">
        <w:rPr>
          <w:rStyle w:val="FootnoteReference"/>
          <w:rFonts w:asciiTheme="majorHAnsi" w:hAnsiTheme="majorHAnsi"/>
          <w:sz w:val="16"/>
          <w:szCs w:val="16"/>
        </w:rPr>
        <w:footnoteRef/>
      </w:r>
      <w:r w:rsidR="007632CB">
        <w:rPr>
          <w:rFonts w:asciiTheme="majorHAnsi" w:hAnsiTheme="majorHAnsi"/>
          <w:sz w:val="16"/>
          <w:szCs w:val="16"/>
          <w:lang w:val="es-VE"/>
        </w:rPr>
        <w:t xml:space="preserve"> Anexo </w:t>
      </w:r>
      <w:r w:rsidR="00FC1635">
        <w:rPr>
          <w:rFonts w:asciiTheme="majorHAnsi" w:hAnsiTheme="majorHAnsi"/>
          <w:sz w:val="16"/>
          <w:szCs w:val="16"/>
          <w:lang w:val="es-VE"/>
        </w:rPr>
        <w:t>20</w:t>
      </w:r>
      <w:r w:rsidRPr="007A5722">
        <w:rPr>
          <w:rFonts w:asciiTheme="majorHAnsi" w:hAnsiTheme="majorHAnsi"/>
          <w:sz w:val="16"/>
          <w:szCs w:val="16"/>
          <w:lang w:val="es-VE"/>
        </w:rPr>
        <w:t>. Decisión de la Sala II de la Cámara Nacional de Apelaciones en lo Contencioso Administrativo Federal. Anexo a la comunicación presentado por el Estado el 16 de octubre de 2009.</w:t>
      </w:r>
    </w:p>
  </w:footnote>
  <w:footnote w:id="81">
    <w:p w:rsidR="00A26307" w:rsidRPr="007A5722" w:rsidRDefault="00A26307" w:rsidP="007A5722">
      <w:pPr>
        <w:pStyle w:val="FootnoteText"/>
        <w:spacing w:after="120"/>
        <w:ind w:firstLine="720"/>
        <w:jc w:val="both"/>
        <w:rPr>
          <w:rFonts w:asciiTheme="majorHAnsi" w:hAnsiTheme="majorHAnsi"/>
          <w:sz w:val="16"/>
          <w:szCs w:val="16"/>
          <w:lang w:val="es-ES"/>
        </w:rPr>
      </w:pPr>
      <w:r w:rsidRPr="007A5722">
        <w:rPr>
          <w:rStyle w:val="FootnoteReference"/>
          <w:rFonts w:asciiTheme="majorHAnsi" w:hAnsiTheme="majorHAnsi"/>
          <w:sz w:val="16"/>
          <w:szCs w:val="16"/>
        </w:rPr>
        <w:footnoteRef/>
      </w:r>
      <w:r w:rsidRPr="007A5722">
        <w:rPr>
          <w:rFonts w:asciiTheme="majorHAnsi" w:hAnsiTheme="majorHAnsi"/>
          <w:sz w:val="16"/>
          <w:szCs w:val="16"/>
          <w:lang w:val="es-ES"/>
        </w:rPr>
        <w:t xml:space="preserve"> Corte IDH, </w:t>
      </w:r>
      <w:r w:rsidRPr="007A5722">
        <w:rPr>
          <w:rFonts w:asciiTheme="majorHAnsi" w:hAnsiTheme="majorHAnsi"/>
          <w:bCs/>
          <w:sz w:val="16"/>
          <w:szCs w:val="16"/>
          <w:lang w:val="es-ES"/>
        </w:rPr>
        <w:t xml:space="preserve">Condición Jurídica y Derechos Humanos del Niño. Opinión Consultiva OC-17/02 del 28 de agosto de 2002. </w:t>
      </w:r>
      <w:r w:rsidRPr="007A5722">
        <w:rPr>
          <w:rFonts w:asciiTheme="majorHAnsi" w:hAnsiTheme="majorHAnsi"/>
          <w:sz w:val="16"/>
          <w:szCs w:val="16"/>
          <w:lang w:val="es-ES"/>
        </w:rPr>
        <w:t>Serie A No. 17, párr. 46.</w:t>
      </w:r>
    </w:p>
  </w:footnote>
  <w:footnote w:id="82">
    <w:p w:rsidR="00A26307" w:rsidRPr="007A5722" w:rsidRDefault="00A26307" w:rsidP="007A5722">
      <w:pPr>
        <w:pStyle w:val="FootnoteText"/>
        <w:spacing w:after="120"/>
        <w:ind w:firstLine="720"/>
        <w:jc w:val="both"/>
        <w:rPr>
          <w:rFonts w:asciiTheme="majorHAnsi" w:hAnsiTheme="majorHAnsi"/>
          <w:sz w:val="16"/>
          <w:szCs w:val="16"/>
          <w:lang w:val="es-CO"/>
        </w:rPr>
      </w:pPr>
      <w:r w:rsidRPr="007A5722">
        <w:rPr>
          <w:rStyle w:val="FootnoteReference"/>
          <w:rFonts w:asciiTheme="majorHAnsi" w:hAnsiTheme="majorHAnsi"/>
          <w:sz w:val="16"/>
          <w:szCs w:val="16"/>
        </w:rPr>
        <w:footnoteRef/>
      </w:r>
      <w:r w:rsidRPr="007A5722">
        <w:rPr>
          <w:rFonts w:asciiTheme="majorHAnsi" w:hAnsiTheme="majorHAnsi"/>
          <w:sz w:val="16"/>
          <w:szCs w:val="16"/>
          <w:lang w:val="es-VE"/>
        </w:rPr>
        <w:t xml:space="preserve"> CIDH, Demanda ante la Corte Interamericana de Derechos Humanos, Karen Atala e Hijas, 17 de septiembre de 2010,</w:t>
      </w:r>
      <w:r w:rsidRPr="007A5722">
        <w:rPr>
          <w:rFonts w:asciiTheme="majorHAnsi" w:hAnsiTheme="majorHAnsi"/>
          <w:sz w:val="16"/>
          <w:szCs w:val="16"/>
          <w:u w:val="single"/>
          <w:lang w:val="es-VE"/>
        </w:rPr>
        <w:t xml:space="preserve"> </w:t>
      </w:r>
      <w:r w:rsidRPr="007632CB">
        <w:rPr>
          <w:rFonts w:asciiTheme="majorHAnsi" w:hAnsiTheme="majorHAnsi"/>
          <w:sz w:val="16"/>
          <w:szCs w:val="16"/>
          <w:lang w:val="es-VE"/>
        </w:rPr>
        <w:t>párr.86;</w:t>
      </w:r>
      <w:r w:rsidRPr="007A5722">
        <w:rPr>
          <w:rFonts w:asciiTheme="majorHAnsi" w:hAnsiTheme="majorHAnsi"/>
          <w:sz w:val="16"/>
          <w:szCs w:val="16"/>
          <w:u w:val="single"/>
          <w:lang w:val="es-VE"/>
        </w:rPr>
        <w:t xml:space="preserve"> </w:t>
      </w:r>
      <w:r w:rsidRPr="007A5722">
        <w:rPr>
          <w:rStyle w:val="Strong"/>
          <w:rFonts w:asciiTheme="majorHAnsi" w:hAnsiTheme="majorHAnsi"/>
          <w:b w:val="0"/>
          <w:sz w:val="16"/>
          <w:szCs w:val="16"/>
          <w:lang w:val="es-CO"/>
        </w:rPr>
        <w:t xml:space="preserve">Corte IDH. Caso Atala Riffo y niñas Vs. Chile. Fondo, Reparaciones y Costas. Sentencia del 24 de febrero de 2012. Serie C No. 239. Párr. 164. </w:t>
      </w:r>
    </w:p>
  </w:footnote>
  <w:footnote w:id="83">
    <w:p w:rsidR="00A26307" w:rsidRPr="007A5722" w:rsidRDefault="00A26307" w:rsidP="007A5722">
      <w:pPr>
        <w:pStyle w:val="FootnoteText"/>
        <w:spacing w:after="120"/>
        <w:ind w:firstLine="720"/>
        <w:jc w:val="both"/>
        <w:rPr>
          <w:rFonts w:asciiTheme="majorHAnsi" w:hAnsiTheme="majorHAnsi"/>
          <w:color w:val="auto"/>
          <w:sz w:val="16"/>
          <w:szCs w:val="16"/>
          <w:lang w:val="es-ES_tradnl"/>
        </w:rPr>
      </w:pPr>
      <w:r w:rsidRPr="007A5722">
        <w:rPr>
          <w:rStyle w:val="FootnoteReference"/>
          <w:rFonts w:asciiTheme="majorHAnsi" w:hAnsiTheme="majorHAnsi"/>
          <w:color w:val="auto"/>
          <w:sz w:val="16"/>
          <w:szCs w:val="16"/>
        </w:rPr>
        <w:footnoteRef/>
      </w:r>
      <w:r w:rsidRPr="007A5722">
        <w:rPr>
          <w:rFonts w:asciiTheme="majorHAnsi" w:hAnsiTheme="majorHAnsi" w:cs="Arial"/>
          <w:color w:val="auto"/>
          <w:sz w:val="16"/>
          <w:szCs w:val="16"/>
          <w:lang w:val="es-ES"/>
        </w:rPr>
        <w:t xml:space="preserve"> CIDH, Informe No. 111/10, Caso 12.539, Fondo, Sebastián Claus Furlan y familia, Argentina, 21 de octubre de 2010, párr. </w:t>
      </w:r>
      <w:r w:rsidRPr="007A5722">
        <w:rPr>
          <w:rFonts w:asciiTheme="majorHAnsi" w:hAnsiTheme="majorHAnsi" w:cs="Arial"/>
          <w:color w:val="auto"/>
          <w:sz w:val="16"/>
          <w:szCs w:val="16"/>
          <w:lang w:val="pt-BR"/>
        </w:rPr>
        <w:t xml:space="preserve">100. Corte I.D.H., </w:t>
      </w:r>
      <w:r w:rsidRPr="007A5722">
        <w:rPr>
          <w:rFonts w:asciiTheme="majorHAnsi" w:hAnsiTheme="majorHAnsi" w:cs="Arial"/>
          <w:color w:val="auto"/>
          <w:sz w:val="16"/>
          <w:szCs w:val="16"/>
          <w:shd w:val="clear" w:color="auto" w:fill="FFFFFF"/>
          <w:lang w:val="pt-BR"/>
        </w:rPr>
        <w:t xml:space="preserve">Caso Masacre de Santo Domingo Vs. </w:t>
      </w:r>
      <w:r w:rsidRPr="007A5722">
        <w:rPr>
          <w:rFonts w:asciiTheme="majorHAnsi" w:hAnsiTheme="majorHAnsi" w:cs="Arial"/>
          <w:color w:val="auto"/>
          <w:sz w:val="16"/>
          <w:szCs w:val="16"/>
          <w:shd w:val="clear" w:color="auto" w:fill="FFFFFF"/>
          <w:lang w:val="es-ES_tradnl"/>
        </w:rPr>
        <w:t>Colombia. Excepciones Preliminares, Fondo y Reparaciones. Sentencia de 30 de noviembre de 2012. Serie C No. 259,</w:t>
      </w:r>
      <w:r w:rsidRPr="007A5722">
        <w:rPr>
          <w:rFonts w:asciiTheme="majorHAnsi" w:hAnsiTheme="majorHAnsi" w:cs="Arial"/>
          <w:color w:val="auto"/>
          <w:sz w:val="16"/>
          <w:szCs w:val="16"/>
          <w:lang w:val="es-ES_tradnl"/>
        </w:rPr>
        <w:t xml:space="preserve"> párr. </w:t>
      </w:r>
      <w:r w:rsidRPr="007A5722">
        <w:rPr>
          <w:rFonts w:asciiTheme="majorHAnsi" w:hAnsiTheme="majorHAnsi" w:cs="Arial"/>
          <w:color w:val="auto"/>
          <w:sz w:val="16"/>
          <w:szCs w:val="16"/>
          <w:lang w:val="es-ES"/>
        </w:rPr>
        <w:t>164.</w:t>
      </w:r>
    </w:p>
  </w:footnote>
  <w:footnote w:id="84">
    <w:p w:rsidR="00A26307" w:rsidRPr="007A5722" w:rsidRDefault="00A26307" w:rsidP="007A5722">
      <w:pPr>
        <w:pStyle w:val="FootnoteText"/>
        <w:spacing w:after="120"/>
        <w:ind w:firstLine="709"/>
        <w:jc w:val="both"/>
        <w:rPr>
          <w:rFonts w:asciiTheme="majorHAnsi" w:hAnsiTheme="majorHAnsi"/>
          <w:sz w:val="16"/>
          <w:szCs w:val="16"/>
          <w:lang w:val="es-PE"/>
        </w:rPr>
      </w:pPr>
      <w:r w:rsidRPr="007A5722">
        <w:rPr>
          <w:rStyle w:val="FootnoteReference"/>
          <w:rFonts w:asciiTheme="majorHAnsi" w:hAnsiTheme="majorHAnsi"/>
          <w:sz w:val="16"/>
          <w:szCs w:val="16"/>
        </w:rPr>
        <w:footnoteRef/>
      </w:r>
      <w:r w:rsidRPr="007A5722">
        <w:rPr>
          <w:rFonts w:asciiTheme="majorHAnsi" w:hAnsiTheme="majorHAnsi"/>
          <w:sz w:val="16"/>
          <w:szCs w:val="16"/>
          <w:lang w:val="es-PE"/>
        </w:rPr>
        <w:t xml:space="preserve"> Corte IDH. </w:t>
      </w:r>
      <w:r w:rsidRPr="007A5722">
        <w:rPr>
          <w:rFonts w:asciiTheme="majorHAnsi" w:hAnsiTheme="majorHAnsi"/>
          <w:iCs/>
          <w:sz w:val="16"/>
          <w:szCs w:val="16"/>
          <w:lang w:val="es-PE"/>
        </w:rPr>
        <w:t>Caso García Asto y Ramírez Rojas Vs. Perú</w:t>
      </w:r>
      <w:r w:rsidRPr="007A5722">
        <w:rPr>
          <w:rFonts w:asciiTheme="majorHAnsi" w:hAnsiTheme="majorHAnsi"/>
          <w:sz w:val="16"/>
          <w:szCs w:val="16"/>
          <w:lang w:val="es-PE"/>
        </w:rPr>
        <w:t xml:space="preserve">. Sentencia de 25 de noviembre de 2005. Serie C No. 137, párr. </w:t>
      </w:r>
      <w:r w:rsidRPr="007A5722">
        <w:rPr>
          <w:rFonts w:asciiTheme="majorHAnsi" w:hAnsiTheme="majorHAnsi"/>
          <w:sz w:val="16"/>
          <w:szCs w:val="16"/>
          <w:lang w:val="es-ES"/>
        </w:rPr>
        <w:t xml:space="preserve">166; </w:t>
      </w:r>
      <w:r w:rsidRPr="007A5722">
        <w:rPr>
          <w:rFonts w:asciiTheme="majorHAnsi" w:hAnsiTheme="majorHAnsi"/>
          <w:iCs/>
          <w:sz w:val="16"/>
          <w:szCs w:val="16"/>
          <w:lang w:val="es-ES"/>
        </w:rPr>
        <w:t>Caso Gómez Palomino Vs. Perú</w:t>
      </w:r>
      <w:r w:rsidRPr="007A5722">
        <w:rPr>
          <w:rFonts w:asciiTheme="majorHAnsi" w:hAnsiTheme="majorHAnsi"/>
          <w:sz w:val="16"/>
          <w:szCs w:val="16"/>
          <w:lang w:val="es-ES"/>
        </w:rPr>
        <w:t xml:space="preserve">. Sentencia de 22 de noviembre de 2005. Serie C No. 136, párr. 85; </w:t>
      </w:r>
      <w:r w:rsidRPr="007A5722">
        <w:rPr>
          <w:rFonts w:asciiTheme="majorHAnsi" w:hAnsiTheme="majorHAnsi"/>
          <w:iCs/>
          <w:sz w:val="16"/>
          <w:szCs w:val="16"/>
          <w:lang w:val="es-ES"/>
        </w:rPr>
        <w:t>Caso d</w:t>
      </w:r>
      <w:r w:rsidR="007632CB">
        <w:rPr>
          <w:rFonts w:asciiTheme="majorHAnsi" w:hAnsiTheme="majorHAnsi"/>
          <w:iCs/>
          <w:sz w:val="16"/>
          <w:szCs w:val="16"/>
          <w:lang w:val="es-ES"/>
        </w:rPr>
        <w:t xml:space="preserve">e la Comunidad </w:t>
      </w:r>
      <w:proofErr w:type="spellStart"/>
      <w:r w:rsidR="007632CB">
        <w:rPr>
          <w:rFonts w:asciiTheme="majorHAnsi" w:hAnsiTheme="majorHAnsi"/>
          <w:iCs/>
          <w:sz w:val="16"/>
          <w:szCs w:val="16"/>
          <w:lang w:val="es-ES"/>
        </w:rPr>
        <w:t>Moiwana</w:t>
      </w:r>
      <w:proofErr w:type="spellEnd"/>
      <w:r w:rsidR="007632CB">
        <w:rPr>
          <w:rFonts w:asciiTheme="majorHAnsi" w:hAnsiTheme="majorHAnsi"/>
          <w:iCs/>
          <w:sz w:val="16"/>
          <w:szCs w:val="16"/>
          <w:lang w:val="es-ES"/>
        </w:rPr>
        <w:t xml:space="preserve"> Vs. Surin</w:t>
      </w:r>
      <w:r w:rsidRPr="007A5722">
        <w:rPr>
          <w:rFonts w:asciiTheme="majorHAnsi" w:hAnsiTheme="majorHAnsi"/>
          <w:iCs/>
          <w:sz w:val="16"/>
          <w:szCs w:val="16"/>
          <w:lang w:val="es-ES"/>
        </w:rPr>
        <w:t>am</w:t>
      </w:r>
      <w:r w:rsidRPr="007A5722">
        <w:rPr>
          <w:rFonts w:asciiTheme="majorHAnsi" w:hAnsiTheme="majorHAnsi"/>
          <w:sz w:val="16"/>
          <w:szCs w:val="16"/>
          <w:lang w:val="es-ES"/>
        </w:rPr>
        <w:t xml:space="preserve">. Sentencia de 15 de junio de 2005. Serie C No. 124, párr. 160.  </w:t>
      </w:r>
    </w:p>
  </w:footnote>
  <w:footnote w:id="85">
    <w:p w:rsidR="00A26307" w:rsidRPr="007A5722" w:rsidRDefault="00A26307" w:rsidP="007A5722">
      <w:pPr>
        <w:pStyle w:val="FootnoteText"/>
        <w:spacing w:after="120"/>
        <w:ind w:firstLine="709"/>
        <w:jc w:val="both"/>
        <w:rPr>
          <w:rFonts w:asciiTheme="majorHAnsi" w:hAnsiTheme="majorHAnsi"/>
          <w:sz w:val="16"/>
          <w:szCs w:val="16"/>
          <w:lang w:val="es-PE"/>
        </w:rPr>
      </w:pPr>
      <w:r w:rsidRPr="007A5722">
        <w:rPr>
          <w:rStyle w:val="FootnoteReference"/>
          <w:rFonts w:asciiTheme="majorHAnsi" w:hAnsiTheme="majorHAnsi"/>
          <w:sz w:val="16"/>
          <w:szCs w:val="16"/>
        </w:rPr>
        <w:footnoteRef/>
      </w:r>
      <w:r w:rsidRPr="007A5722">
        <w:rPr>
          <w:rFonts w:asciiTheme="majorHAnsi" w:hAnsiTheme="majorHAnsi"/>
          <w:sz w:val="16"/>
          <w:szCs w:val="16"/>
          <w:lang w:val="es-PE"/>
        </w:rPr>
        <w:t xml:space="preserve"> Corte IDH. </w:t>
      </w:r>
      <w:r w:rsidRPr="007A5722">
        <w:rPr>
          <w:rFonts w:asciiTheme="majorHAnsi" w:hAnsiTheme="majorHAnsi"/>
          <w:iCs/>
          <w:sz w:val="16"/>
          <w:szCs w:val="16"/>
          <w:lang w:val="es-PE"/>
        </w:rPr>
        <w:t xml:space="preserve">Caso Ricardo Canese Vs. </w:t>
      </w:r>
      <w:r w:rsidRPr="007A5722">
        <w:rPr>
          <w:rFonts w:asciiTheme="majorHAnsi" w:hAnsiTheme="majorHAnsi"/>
          <w:iCs/>
          <w:sz w:val="16"/>
          <w:szCs w:val="16"/>
          <w:lang w:val="es-ES"/>
        </w:rPr>
        <w:t>Paraguay</w:t>
      </w:r>
      <w:r w:rsidRPr="007A5722">
        <w:rPr>
          <w:rFonts w:asciiTheme="majorHAnsi" w:hAnsiTheme="majorHAnsi"/>
          <w:sz w:val="16"/>
          <w:szCs w:val="16"/>
          <w:lang w:val="es-ES"/>
        </w:rPr>
        <w:t xml:space="preserve">. Sentencia de 31 de agosto de 2004. </w:t>
      </w:r>
      <w:r w:rsidRPr="007A5722">
        <w:rPr>
          <w:rFonts w:asciiTheme="majorHAnsi" w:hAnsiTheme="majorHAnsi"/>
          <w:sz w:val="16"/>
          <w:szCs w:val="16"/>
          <w:lang w:val="es-PE"/>
        </w:rPr>
        <w:t xml:space="preserve">Serie C No. 111, </w:t>
      </w:r>
      <w:r w:rsidRPr="007A5722">
        <w:rPr>
          <w:rFonts w:asciiTheme="majorHAnsi" w:hAnsiTheme="majorHAnsi"/>
          <w:sz w:val="16"/>
          <w:szCs w:val="16"/>
          <w:lang w:val="es-PE"/>
        </w:rPr>
        <w:br/>
        <w:t xml:space="preserve">párr. 142.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07" w:rsidRDefault="00A26307"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26307" w:rsidRDefault="00A26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07" w:rsidRDefault="00A26307" w:rsidP="00A50FCF">
    <w:pPr>
      <w:pStyle w:val="Header"/>
      <w:tabs>
        <w:tab w:val="clear" w:pos="4320"/>
        <w:tab w:val="clear" w:pos="8640"/>
      </w:tabs>
      <w:jc w:val="center"/>
      <w:rPr>
        <w:sz w:val="22"/>
        <w:szCs w:val="22"/>
      </w:rPr>
    </w:pPr>
    <w:r>
      <w:rPr>
        <w:noProof/>
        <w:sz w:val="22"/>
        <w:szCs w:val="22"/>
      </w:rPr>
      <w:drawing>
        <wp:inline distT="0" distB="0" distL="0" distR="0" wp14:anchorId="6C372BC4" wp14:editId="1B97022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A26307" w:rsidRPr="00EC7D62" w:rsidRDefault="00ED58DB" w:rsidP="00A50FCF">
    <w:pPr>
      <w:pStyle w:val="Header"/>
      <w:tabs>
        <w:tab w:val="clear" w:pos="4320"/>
        <w:tab w:val="clear" w:pos="8640"/>
      </w:tabs>
      <w:jc w:val="center"/>
      <w:rPr>
        <w:sz w:val="22"/>
        <w:szCs w:val="22"/>
      </w:rPr>
    </w:pPr>
    <w:r>
      <w:rPr>
        <w:sz w:val="22"/>
        <w:szCs w:val="22"/>
      </w:rPr>
      <w:pict w14:anchorId="0B3A6711">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1ED6EB2"/>
    <w:multiLevelType w:val="hybridMultilevel"/>
    <w:tmpl w:val="3ED01CB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199211B"/>
    <w:multiLevelType w:val="hybridMultilevel"/>
    <w:tmpl w:val="36B4F1F0"/>
    <w:lvl w:ilvl="0" w:tplc="88942BBC">
      <w:start w:val="1"/>
      <w:numFmt w:val="decimal"/>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1133D3"/>
    <w:multiLevelType w:val="hybridMultilevel"/>
    <w:tmpl w:val="36B4F1F0"/>
    <w:lvl w:ilvl="0" w:tplc="88942BBC">
      <w:start w:val="1"/>
      <w:numFmt w:val="decimal"/>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7C28E4"/>
    <w:multiLevelType w:val="hybridMultilevel"/>
    <w:tmpl w:val="AACCD23E"/>
    <w:lvl w:ilvl="0" w:tplc="30D0E5C6">
      <w:start w:val="1"/>
      <w:numFmt w:val="upperLetter"/>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0434688"/>
    <w:multiLevelType w:val="hybridMultilevel"/>
    <w:tmpl w:val="3E1A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7C65472"/>
    <w:multiLevelType w:val="hybridMultilevel"/>
    <w:tmpl w:val="78421F8A"/>
    <w:lvl w:ilvl="0" w:tplc="1DF2145E">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182037"/>
    <w:multiLevelType w:val="hybridMultilevel"/>
    <w:tmpl w:val="78421F8A"/>
    <w:lvl w:ilvl="0" w:tplc="1DF2145E">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DC61D90"/>
    <w:multiLevelType w:val="hybridMultilevel"/>
    <w:tmpl w:val="14C2A7A6"/>
    <w:lvl w:ilvl="0" w:tplc="91C6FCC8">
      <w:start w:val="1"/>
      <w:numFmt w:val="decimal"/>
      <w:lvlText w:val="%1."/>
      <w:lvlJc w:val="left"/>
      <w:pPr>
        <w:tabs>
          <w:tab w:val="num" w:pos="1440"/>
        </w:tabs>
        <w:ind w:left="1440" w:hanging="360"/>
      </w:pPr>
      <w:rPr>
        <w:rFonts w:ascii="Cambria" w:hAnsi="Cambria" w:cs="Times New Roman" w:hint="default"/>
        <w:b w:val="0"/>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DC4859"/>
    <w:multiLevelType w:val="hybridMultilevel"/>
    <w:tmpl w:val="28EC4CF0"/>
    <w:lvl w:ilvl="0" w:tplc="16B68AC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3CF66F6"/>
    <w:multiLevelType w:val="hybridMultilevel"/>
    <w:tmpl w:val="9240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F65C8D"/>
    <w:multiLevelType w:val="hybridMultilevel"/>
    <w:tmpl w:val="36B4F1F0"/>
    <w:lvl w:ilvl="0" w:tplc="88942BBC">
      <w:start w:val="1"/>
      <w:numFmt w:val="decimal"/>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5DB70CD2"/>
    <w:multiLevelType w:val="hybridMultilevel"/>
    <w:tmpl w:val="B1F0DB5C"/>
    <w:lvl w:ilvl="0" w:tplc="D8909EE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nsid w:val="66A101BB"/>
    <w:multiLevelType w:val="hybridMultilevel"/>
    <w:tmpl w:val="455C2F06"/>
    <w:lvl w:ilvl="0" w:tplc="CB3E82CC">
      <w:start w:val="1"/>
      <w:numFmt w:val="upperRoman"/>
      <w:lvlText w:val="%1."/>
      <w:lvlJc w:val="left"/>
      <w:pPr>
        <w:tabs>
          <w:tab w:val="num" w:pos="1440"/>
        </w:tabs>
        <w:ind w:left="1440" w:hanging="720"/>
      </w:pPr>
      <w:rPr>
        <w:rFonts w:cs="Times New Roman" w:hint="default"/>
        <w:b/>
      </w:rPr>
    </w:lvl>
    <w:lvl w:ilvl="1" w:tplc="47D87E3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7DB617F"/>
    <w:multiLevelType w:val="hybridMultilevel"/>
    <w:tmpl w:val="BD76D71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4">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nsid w:val="7ECC36F6"/>
    <w:multiLevelType w:val="hybridMultilevel"/>
    <w:tmpl w:val="8F0A16AA"/>
    <w:lvl w:ilvl="0" w:tplc="FC52580C">
      <w:start w:val="1"/>
      <w:numFmt w:val="decimal"/>
      <w:lvlText w:val="%1."/>
      <w:lvlJc w:val="left"/>
      <w:pPr>
        <w:tabs>
          <w:tab w:val="num" w:pos="2160"/>
        </w:tabs>
        <w:ind w:left="2160" w:hanging="1440"/>
      </w:pPr>
      <w:rPr>
        <w:rFonts w:ascii="Univers" w:hAnsi="Univers"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73">
    <w:nsid w:val="7F5653E7"/>
    <w:multiLevelType w:val="hybridMultilevel"/>
    <w:tmpl w:val="78421F8A"/>
    <w:lvl w:ilvl="0" w:tplc="1DF2145E">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65"/>
  </w:num>
  <w:num w:numId="4">
    <w:abstractNumId w:val="25"/>
  </w:num>
  <w:num w:numId="5">
    <w:abstractNumId w:val="57"/>
  </w:num>
  <w:num w:numId="6">
    <w:abstractNumId w:val="32"/>
  </w:num>
  <w:num w:numId="7">
    <w:abstractNumId w:val="7"/>
  </w:num>
  <w:num w:numId="8">
    <w:abstractNumId w:val="18"/>
  </w:num>
  <w:num w:numId="9">
    <w:abstractNumId w:val="52"/>
  </w:num>
  <w:num w:numId="10">
    <w:abstractNumId w:val="1"/>
  </w:num>
  <w:num w:numId="11">
    <w:abstractNumId w:val="44"/>
  </w:num>
  <w:num w:numId="12">
    <w:abstractNumId w:val="45"/>
  </w:num>
  <w:num w:numId="13">
    <w:abstractNumId w:val="53"/>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6"/>
  </w:num>
  <w:num w:numId="28">
    <w:abstractNumId w:val="27"/>
  </w:num>
  <w:num w:numId="29">
    <w:abstractNumId w:val="28"/>
  </w:num>
  <w:num w:numId="30">
    <w:abstractNumId w:val="31"/>
  </w:num>
  <w:num w:numId="31">
    <w:abstractNumId w:val="33"/>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7"/>
  </w:num>
  <w:num w:numId="40">
    <w:abstractNumId w:val="48"/>
  </w:num>
  <w:num w:numId="41">
    <w:abstractNumId w:val="56"/>
  </w:num>
  <w:num w:numId="42">
    <w:abstractNumId w:val="60"/>
  </w:num>
  <w:num w:numId="43">
    <w:abstractNumId w:val="61"/>
  </w:num>
  <w:num w:numId="44">
    <w:abstractNumId w:val="62"/>
  </w:num>
  <w:num w:numId="45">
    <w:abstractNumId w:val="64"/>
  </w:num>
  <w:num w:numId="46">
    <w:abstractNumId w:val="66"/>
  </w:num>
  <w:num w:numId="47">
    <w:abstractNumId w:val="67"/>
  </w:num>
  <w:num w:numId="48">
    <w:abstractNumId w:val="68"/>
  </w:num>
  <w:num w:numId="49">
    <w:abstractNumId w:val="70"/>
  </w:num>
  <w:num w:numId="50">
    <w:abstractNumId w:val="72"/>
  </w:num>
  <w:num w:numId="51">
    <w:abstractNumId w:val="24"/>
  </w:num>
  <w:num w:numId="52">
    <w:abstractNumId w:val="49"/>
  </w:num>
  <w:num w:numId="53">
    <w:abstractNumId w:val="54"/>
  </w:num>
  <w:num w:numId="54">
    <w:abstractNumId w:val="46"/>
  </w:num>
  <w:num w:numId="55">
    <w:abstractNumId w:val="58"/>
  </w:num>
  <w:num w:numId="56">
    <w:abstractNumId w:val="0"/>
  </w:num>
  <w:num w:numId="57">
    <w:abstractNumId w:val="69"/>
  </w:num>
  <w:num w:numId="58">
    <w:abstractNumId w:val="35"/>
  </w:num>
  <w:num w:numId="59">
    <w:abstractNumId w:val="34"/>
  </w:num>
  <w:num w:numId="60">
    <w:abstractNumId w:val="36"/>
  </w:num>
  <w:num w:numId="61">
    <w:abstractNumId w:val="29"/>
  </w:num>
  <w:num w:numId="62">
    <w:abstractNumId w:val="30"/>
  </w:num>
  <w:num w:numId="63">
    <w:abstractNumId w:val="73"/>
  </w:num>
  <w:num w:numId="64">
    <w:abstractNumId w:val="5"/>
  </w:num>
  <w:num w:numId="65">
    <w:abstractNumId w:val="13"/>
  </w:num>
  <w:num w:numId="66">
    <w:abstractNumId w:val="19"/>
  </w:num>
  <w:num w:numId="67">
    <w:abstractNumId w:val="51"/>
  </w:num>
  <w:num w:numId="68">
    <w:abstractNumId w:val="59"/>
  </w:num>
  <w:num w:numId="69">
    <w:abstractNumId w:val="71"/>
  </w:num>
  <w:num w:numId="70">
    <w:abstractNumId w:val="22"/>
  </w:num>
  <w:num w:numId="71">
    <w:abstractNumId w:val="63"/>
  </w:num>
  <w:num w:numId="72">
    <w:abstractNumId w:val="55"/>
  </w:num>
  <w:num w:numId="73">
    <w:abstractNumId w:val="50"/>
  </w:num>
  <w:num w:numId="74">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C8"/>
    <w:rsid w:val="0000032A"/>
    <w:rsid w:val="0000036F"/>
    <w:rsid w:val="00000472"/>
    <w:rsid w:val="00000645"/>
    <w:rsid w:val="00000CDA"/>
    <w:rsid w:val="000011BD"/>
    <w:rsid w:val="000016B0"/>
    <w:rsid w:val="000017F9"/>
    <w:rsid w:val="00001855"/>
    <w:rsid w:val="00001FAC"/>
    <w:rsid w:val="0000270F"/>
    <w:rsid w:val="00002784"/>
    <w:rsid w:val="00003017"/>
    <w:rsid w:val="00003756"/>
    <w:rsid w:val="00003C0A"/>
    <w:rsid w:val="00003E8B"/>
    <w:rsid w:val="00003E9C"/>
    <w:rsid w:val="00004149"/>
    <w:rsid w:val="00004260"/>
    <w:rsid w:val="00004302"/>
    <w:rsid w:val="00004579"/>
    <w:rsid w:val="0000484F"/>
    <w:rsid w:val="00004A86"/>
    <w:rsid w:val="00004CD3"/>
    <w:rsid w:val="00004DE7"/>
    <w:rsid w:val="00005529"/>
    <w:rsid w:val="00005712"/>
    <w:rsid w:val="00005CC5"/>
    <w:rsid w:val="00005E52"/>
    <w:rsid w:val="00005F8B"/>
    <w:rsid w:val="00005FF7"/>
    <w:rsid w:val="00006210"/>
    <w:rsid w:val="00006454"/>
    <w:rsid w:val="000065BB"/>
    <w:rsid w:val="0000665B"/>
    <w:rsid w:val="00006AEB"/>
    <w:rsid w:val="00006B28"/>
    <w:rsid w:val="00006E1F"/>
    <w:rsid w:val="00006F41"/>
    <w:rsid w:val="000070D7"/>
    <w:rsid w:val="00007135"/>
    <w:rsid w:val="0000713D"/>
    <w:rsid w:val="0000721C"/>
    <w:rsid w:val="000079F2"/>
    <w:rsid w:val="00007C3A"/>
    <w:rsid w:val="00007D20"/>
    <w:rsid w:val="00007E1F"/>
    <w:rsid w:val="00007E84"/>
    <w:rsid w:val="00010836"/>
    <w:rsid w:val="00010E7B"/>
    <w:rsid w:val="00010F73"/>
    <w:rsid w:val="00010FC1"/>
    <w:rsid w:val="000111A4"/>
    <w:rsid w:val="00011213"/>
    <w:rsid w:val="0001139F"/>
    <w:rsid w:val="000116A9"/>
    <w:rsid w:val="0001172F"/>
    <w:rsid w:val="00011738"/>
    <w:rsid w:val="00011BFA"/>
    <w:rsid w:val="00011D28"/>
    <w:rsid w:val="00012159"/>
    <w:rsid w:val="00012E69"/>
    <w:rsid w:val="00012E8F"/>
    <w:rsid w:val="00013196"/>
    <w:rsid w:val="00013262"/>
    <w:rsid w:val="00013304"/>
    <w:rsid w:val="00013730"/>
    <w:rsid w:val="0001377C"/>
    <w:rsid w:val="00013ABA"/>
    <w:rsid w:val="00013EF8"/>
    <w:rsid w:val="00014052"/>
    <w:rsid w:val="00014193"/>
    <w:rsid w:val="0001468F"/>
    <w:rsid w:val="000152F0"/>
    <w:rsid w:val="000159EC"/>
    <w:rsid w:val="00015B68"/>
    <w:rsid w:val="00015CF2"/>
    <w:rsid w:val="00016415"/>
    <w:rsid w:val="00016669"/>
    <w:rsid w:val="000167C9"/>
    <w:rsid w:val="00016D84"/>
    <w:rsid w:val="0001714B"/>
    <w:rsid w:val="0001788C"/>
    <w:rsid w:val="00017896"/>
    <w:rsid w:val="00017A0C"/>
    <w:rsid w:val="00017B7E"/>
    <w:rsid w:val="00017D12"/>
    <w:rsid w:val="00017E9A"/>
    <w:rsid w:val="00020576"/>
    <w:rsid w:val="00020701"/>
    <w:rsid w:val="000209DF"/>
    <w:rsid w:val="00021607"/>
    <w:rsid w:val="000216A9"/>
    <w:rsid w:val="000216C0"/>
    <w:rsid w:val="00021B34"/>
    <w:rsid w:val="00021D6E"/>
    <w:rsid w:val="00021EB3"/>
    <w:rsid w:val="00022008"/>
    <w:rsid w:val="0002248F"/>
    <w:rsid w:val="00022CE6"/>
    <w:rsid w:val="00022DDD"/>
    <w:rsid w:val="00022FE5"/>
    <w:rsid w:val="00023070"/>
    <w:rsid w:val="000234A9"/>
    <w:rsid w:val="0002381A"/>
    <w:rsid w:val="00023F0A"/>
    <w:rsid w:val="0002440E"/>
    <w:rsid w:val="0002480B"/>
    <w:rsid w:val="00024A8B"/>
    <w:rsid w:val="00024A9E"/>
    <w:rsid w:val="00025118"/>
    <w:rsid w:val="0002538A"/>
    <w:rsid w:val="000258DF"/>
    <w:rsid w:val="00025A15"/>
    <w:rsid w:val="00026077"/>
    <w:rsid w:val="00026226"/>
    <w:rsid w:val="00026955"/>
    <w:rsid w:val="00027093"/>
    <w:rsid w:val="00027161"/>
    <w:rsid w:val="000272B8"/>
    <w:rsid w:val="00027921"/>
    <w:rsid w:val="0002796C"/>
    <w:rsid w:val="000308E4"/>
    <w:rsid w:val="00030BCE"/>
    <w:rsid w:val="00030CAE"/>
    <w:rsid w:val="00030CF4"/>
    <w:rsid w:val="00030D5E"/>
    <w:rsid w:val="00030EEA"/>
    <w:rsid w:val="00030EEC"/>
    <w:rsid w:val="0003140D"/>
    <w:rsid w:val="0003150E"/>
    <w:rsid w:val="000316DE"/>
    <w:rsid w:val="00031F77"/>
    <w:rsid w:val="000322A7"/>
    <w:rsid w:val="000329AF"/>
    <w:rsid w:val="00032C1D"/>
    <w:rsid w:val="00032DB2"/>
    <w:rsid w:val="00032DD1"/>
    <w:rsid w:val="00032E59"/>
    <w:rsid w:val="00033658"/>
    <w:rsid w:val="00033798"/>
    <w:rsid w:val="00033A34"/>
    <w:rsid w:val="00033C0A"/>
    <w:rsid w:val="00033D3F"/>
    <w:rsid w:val="00033E63"/>
    <w:rsid w:val="00034465"/>
    <w:rsid w:val="00034479"/>
    <w:rsid w:val="000345D8"/>
    <w:rsid w:val="0003487D"/>
    <w:rsid w:val="000348CD"/>
    <w:rsid w:val="000349FD"/>
    <w:rsid w:val="00034B08"/>
    <w:rsid w:val="000351F0"/>
    <w:rsid w:val="00035642"/>
    <w:rsid w:val="00035866"/>
    <w:rsid w:val="00035898"/>
    <w:rsid w:val="00035E02"/>
    <w:rsid w:val="00035F55"/>
    <w:rsid w:val="00036090"/>
    <w:rsid w:val="00036409"/>
    <w:rsid w:val="0003681B"/>
    <w:rsid w:val="0003720D"/>
    <w:rsid w:val="0003738C"/>
    <w:rsid w:val="00037C0D"/>
    <w:rsid w:val="00037DD7"/>
    <w:rsid w:val="00040177"/>
    <w:rsid w:val="00040AE9"/>
    <w:rsid w:val="00040B5F"/>
    <w:rsid w:val="00040C3A"/>
    <w:rsid w:val="0004176A"/>
    <w:rsid w:val="00041CCA"/>
    <w:rsid w:val="000422ED"/>
    <w:rsid w:val="000423AC"/>
    <w:rsid w:val="00042707"/>
    <w:rsid w:val="000428AA"/>
    <w:rsid w:val="00042AA3"/>
    <w:rsid w:val="00042B39"/>
    <w:rsid w:val="0004316F"/>
    <w:rsid w:val="00043501"/>
    <w:rsid w:val="000436BC"/>
    <w:rsid w:val="00043744"/>
    <w:rsid w:val="0004387C"/>
    <w:rsid w:val="00043A9B"/>
    <w:rsid w:val="00043F74"/>
    <w:rsid w:val="0004416B"/>
    <w:rsid w:val="000443AB"/>
    <w:rsid w:val="000444CD"/>
    <w:rsid w:val="0004481A"/>
    <w:rsid w:val="00044B76"/>
    <w:rsid w:val="00044D50"/>
    <w:rsid w:val="00044D64"/>
    <w:rsid w:val="00044DFD"/>
    <w:rsid w:val="000455F8"/>
    <w:rsid w:val="00045932"/>
    <w:rsid w:val="00045C17"/>
    <w:rsid w:val="00045EAD"/>
    <w:rsid w:val="00045F69"/>
    <w:rsid w:val="00046100"/>
    <w:rsid w:val="0004618D"/>
    <w:rsid w:val="00046395"/>
    <w:rsid w:val="000465C7"/>
    <w:rsid w:val="0004682F"/>
    <w:rsid w:val="00046C0E"/>
    <w:rsid w:val="00047885"/>
    <w:rsid w:val="00050167"/>
    <w:rsid w:val="0005068C"/>
    <w:rsid w:val="00050A98"/>
    <w:rsid w:val="00050BD1"/>
    <w:rsid w:val="0005105A"/>
    <w:rsid w:val="00051C33"/>
    <w:rsid w:val="00051C44"/>
    <w:rsid w:val="0005283E"/>
    <w:rsid w:val="000529B2"/>
    <w:rsid w:val="00052A54"/>
    <w:rsid w:val="00052C79"/>
    <w:rsid w:val="000531B7"/>
    <w:rsid w:val="0005362B"/>
    <w:rsid w:val="0005370C"/>
    <w:rsid w:val="00053C8B"/>
    <w:rsid w:val="00053D00"/>
    <w:rsid w:val="00053EDB"/>
    <w:rsid w:val="00053FC6"/>
    <w:rsid w:val="00054266"/>
    <w:rsid w:val="00054314"/>
    <w:rsid w:val="00054691"/>
    <w:rsid w:val="0005493D"/>
    <w:rsid w:val="00054BCE"/>
    <w:rsid w:val="00054D12"/>
    <w:rsid w:val="00055001"/>
    <w:rsid w:val="000553EC"/>
    <w:rsid w:val="00055503"/>
    <w:rsid w:val="0005571E"/>
    <w:rsid w:val="00055963"/>
    <w:rsid w:val="000561C0"/>
    <w:rsid w:val="000562FB"/>
    <w:rsid w:val="000566C8"/>
    <w:rsid w:val="0005677C"/>
    <w:rsid w:val="00056E11"/>
    <w:rsid w:val="000571A9"/>
    <w:rsid w:val="000574FF"/>
    <w:rsid w:val="000579EC"/>
    <w:rsid w:val="00060F12"/>
    <w:rsid w:val="00061278"/>
    <w:rsid w:val="00061C6E"/>
    <w:rsid w:val="00062052"/>
    <w:rsid w:val="00062663"/>
    <w:rsid w:val="00062A19"/>
    <w:rsid w:val="00062AD7"/>
    <w:rsid w:val="00062B74"/>
    <w:rsid w:val="00062DAA"/>
    <w:rsid w:val="00062F65"/>
    <w:rsid w:val="000640B9"/>
    <w:rsid w:val="000646CE"/>
    <w:rsid w:val="00064A26"/>
    <w:rsid w:val="00064A4D"/>
    <w:rsid w:val="00064D5C"/>
    <w:rsid w:val="00064F88"/>
    <w:rsid w:val="00065907"/>
    <w:rsid w:val="000659A5"/>
    <w:rsid w:val="00065A77"/>
    <w:rsid w:val="00065FA9"/>
    <w:rsid w:val="000664AA"/>
    <w:rsid w:val="000668E2"/>
    <w:rsid w:val="00066DC1"/>
    <w:rsid w:val="00066DC3"/>
    <w:rsid w:val="00066EF9"/>
    <w:rsid w:val="00067387"/>
    <w:rsid w:val="000673D7"/>
    <w:rsid w:val="00067A21"/>
    <w:rsid w:val="00067A85"/>
    <w:rsid w:val="0007061E"/>
    <w:rsid w:val="0007068E"/>
    <w:rsid w:val="000708D6"/>
    <w:rsid w:val="000709B6"/>
    <w:rsid w:val="00070D39"/>
    <w:rsid w:val="00070D46"/>
    <w:rsid w:val="000710A8"/>
    <w:rsid w:val="0007147B"/>
    <w:rsid w:val="000716C5"/>
    <w:rsid w:val="00072066"/>
    <w:rsid w:val="00072A6F"/>
    <w:rsid w:val="00072D08"/>
    <w:rsid w:val="000731E4"/>
    <w:rsid w:val="00073559"/>
    <w:rsid w:val="0007379B"/>
    <w:rsid w:val="000738B8"/>
    <w:rsid w:val="00073936"/>
    <w:rsid w:val="0007430D"/>
    <w:rsid w:val="00074739"/>
    <w:rsid w:val="00074A38"/>
    <w:rsid w:val="00074A70"/>
    <w:rsid w:val="00074FE8"/>
    <w:rsid w:val="00075027"/>
    <w:rsid w:val="00075262"/>
    <w:rsid w:val="00075397"/>
    <w:rsid w:val="000754FE"/>
    <w:rsid w:val="000756B3"/>
    <w:rsid w:val="00075D33"/>
    <w:rsid w:val="00075E23"/>
    <w:rsid w:val="00075F8F"/>
    <w:rsid w:val="000766DB"/>
    <w:rsid w:val="00076A85"/>
    <w:rsid w:val="0007700D"/>
    <w:rsid w:val="000771A8"/>
    <w:rsid w:val="000776FB"/>
    <w:rsid w:val="0007798E"/>
    <w:rsid w:val="00077E68"/>
    <w:rsid w:val="0008002E"/>
    <w:rsid w:val="00080090"/>
    <w:rsid w:val="00080E85"/>
    <w:rsid w:val="00081000"/>
    <w:rsid w:val="00081241"/>
    <w:rsid w:val="00081789"/>
    <w:rsid w:val="000817EB"/>
    <w:rsid w:val="00081831"/>
    <w:rsid w:val="00081915"/>
    <w:rsid w:val="000819B7"/>
    <w:rsid w:val="00082D95"/>
    <w:rsid w:val="00082DFB"/>
    <w:rsid w:val="000832CE"/>
    <w:rsid w:val="00083563"/>
    <w:rsid w:val="00083645"/>
    <w:rsid w:val="00083661"/>
    <w:rsid w:val="000838F8"/>
    <w:rsid w:val="00083E46"/>
    <w:rsid w:val="000840CC"/>
    <w:rsid w:val="0008426D"/>
    <w:rsid w:val="00084A48"/>
    <w:rsid w:val="000852BF"/>
    <w:rsid w:val="00085342"/>
    <w:rsid w:val="0008583A"/>
    <w:rsid w:val="000859B7"/>
    <w:rsid w:val="00085AAE"/>
    <w:rsid w:val="00085F41"/>
    <w:rsid w:val="00086043"/>
    <w:rsid w:val="000862C6"/>
    <w:rsid w:val="00086897"/>
    <w:rsid w:val="0008725D"/>
    <w:rsid w:val="000873CC"/>
    <w:rsid w:val="00087C95"/>
    <w:rsid w:val="00087D18"/>
    <w:rsid w:val="00087F4C"/>
    <w:rsid w:val="00090355"/>
    <w:rsid w:val="000905B3"/>
    <w:rsid w:val="0009092E"/>
    <w:rsid w:val="00091369"/>
    <w:rsid w:val="000915E1"/>
    <w:rsid w:val="000923CA"/>
    <w:rsid w:val="00092B3D"/>
    <w:rsid w:val="00093196"/>
    <w:rsid w:val="00093275"/>
    <w:rsid w:val="0009344A"/>
    <w:rsid w:val="000936FF"/>
    <w:rsid w:val="00093BA5"/>
    <w:rsid w:val="00093C1D"/>
    <w:rsid w:val="00094037"/>
    <w:rsid w:val="0009424C"/>
    <w:rsid w:val="000949E4"/>
    <w:rsid w:val="00095659"/>
    <w:rsid w:val="00095BE7"/>
    <w:rsid w:val="000971C4"/>
    <w:rsid w:val="000972F8"/>
    <w:rsid w:val="00097447"/>
    <w:rsid w:val="0009765A"/>
    <w:rsid w:val="0009773E"/>
    <w:rsid w:val="000978D9"/>
    <w:rsid w:val="0009791F"/>
    <w:rsid w:val="00097DA5"/>
    <w:rsid w:val="000A0531"/>
    <w:rsid w:val="000A064B"/>
    <w:rsid w:val="000A0655"/>
    <w:rsid w:val="000A0743"/>
    <w:rsid w:val="000A083B"/>
    <w:rsid w:val="000A0D6F"/>
    <w:rsid w:val="000A103F"/>
    <w:rsid w:val="000A17E2"/>
    <w:rsid w:val="000A180A"/>
    <w:rsid w:val="000A195F"/>
    <w:rsid w:val="000A1973"/>
    <w:rsid w:val="000A1CBC"/>
    <w:rsid w:val="000A2034"/>
    <w:rsid w:val="000A2060"/>
    <w:rsid w:val="000A2066"/>
    <w:rsid w:val="000A22FF"/>
    <w:rsid w:val="000A27F3"/>
    <w:rsid w:val="000A2868"/>
    <w:rsid w:val="000A2C17"/>
    <w:rsid w:val="000A2C5F"/>
    <w:rsid w:val="000A3352"/>
    <w:rsid w:val="000A373B"/>
    <w:rsid w:val="000A392E"/>
    <w:rsid w:val="000A395F"/>
    <w:rsid w:val="000A3ADC"/>
    <w:rsid w:val="000A495B"/>
    <w:rsid w:val="000A546E"/>
    <w:rsid w:val="000A54CF"/>
    <w:rsid w:val="000A55A4"/>
    <w:rsid w:val="000A56CB"/>
    <w:rsid w:val="000A575F"/>
    <w:rsid w:val="000A5A10"/>
    <w:rsid w:val="000A5CD6"/>
    <w:rsid w:val="000A5E04"/>
    <w:rsid w:val="000A7128"/>
    <w:rsid w:val="000A73B5"/>
    <w:rsid w:val="000A76B6"/>
    <w:rsid w:val="000A777B"/>
    <w:rsid w:val="000A77FA"/>
    <w:rsid w:val="000A7E6B"/>
    <w:rsid w:val="000B08E4"/>
    <w:rsid w:val="000B099E"/>
    <w:rsid w:val="000B0AB4"/>
    <w:rsid w:val="000B0AD2"/>
    <w:rsid w:val="000B0B59"/>
    <w:rsid w:val="000B0B6B"/>
    <w:rsid w:val="000B0C9D"/>
    <w:rsid w:val="000B12AB"/>
    <w:rsid w:val="000B15F9"/>
    <w:rsid w:val="000B1E2E"/>
    <w:rsid w:val="000B21D2"/>
    <w:rsid w:val="000B2D3E"/>
    <w:rsid w:val="000B2DDA"/>
    <w:rsid w:val="000B2FC1"/>
    <w:rsid w:val="000B33A5"/>
    <w:rsid w:val="000B37BF"/>
    <w:rsid w:val="000B389F"/>
    <w:rsid w:val="000B3F89"/>
    <w:rsid w:val="000B40ED"/>
    <w:rsid w:val="000B421C"/>
    <w:rsid w:val="000B4B9B"/>
    <w:rsid w:val="000B4DD2"/>
    <w:rsid w:val="000B5C0D"/>
    <w:rsid w:val="000B5EF5"/>
    <w:rsid w:val="000B60D1"/>
    <w:rsid w:val="000B68EE"/>
    <w:rsid w:val="000B6F56"/>
    <w:rsid w:val="000B7473"/>
    <w:rsid w:val="000B77D4"/>
    <w:rsid w:val="000C14E7"/>
    <w:rsid w:val="000C174B"/>
    <w:rsid w:val="000C185A"/>
    <w:rsid w:val="000C1AEB"/>
    <w:rsid w:val="000C1C31"/>
    <w:rsid w:val="000C1C40"/>
    <w:rsid w:val="000C21D9"/>
    <w:rsid w:val="000C22E5"/>
    <w:rsid w:val="000C246A"/>
    <w:rsid w:val="000C2D1E"/>
    <w:rsid w:val="000C2FC6"/>
    <w:rsid w:val="000C3537"/>
    <w:rsid w:val="000C35AA"/>
    <w:rsid w:val="000C38D0"/>
    <w:rsid w:val="000C3FAF"/>
    <w:rsid w:val="000C44F4"/>
    <w:rsid w:val="000C4608"/>
    <w:rsid w:val="000C46DB"/>
    <w:rsid w:val="000C49E5"/>
    <w:rsid w:val="000C57F5"/>
    <w:rsid w:val="000C5826"/>
    <w:rsid w:val="000C5BC3"/>
    <w:rsid w:val="000C5BC5"/>
    <w:rsid w:val="000C606A"/>
    <w:rsid w:val="000C6197"/>
    <w:rsid w:val="000C6384"/>
    <w:rsid w:val="000C6396"/>
    <w:rsid w:val="000C67F1"/>
    <w:rsid w:val="000C6BA3"/>
    <w:rsid w:val="000C6D0F"/>
    <w:rsid w:val="000C6E2F"/>
    <w:rsid w:val="000C6F08"/>
    <w:rsid w:val="000D0883"/>
    <w:rsid w:val="000D10DB"/>
    <w:rsid w:val="000D13F2"/>
    <w:rsid w:val="000D180C"/>
    <w:rsid w:val="000D1A13"/>
    <w:rsid w:val="000D1F25"/>
    <w:rsid w:val="000D2081"/>
    <w:rsid w:val="000D2264"/>
    <w:rsid w:val="000D2AC5"/>
    <w:rsid w:val="000D2B31"/>
    <w:rsid w:val="000D2BBE"/>
    <w:rsid w:val="000D2CA1"/>
    <w:rsid w:val="000D2CEE"/>
    <w:rsid w:val="000D2EB4"/>
    <w:rsid w:val="000D2FEA"/>
    <w:rsid w:val="000D3087"/>
    <w:rsid w:val="000D30AD"/>
    <w:rsid w:val="000D38BF"/>
    <w:rsid w:val="000D4302"/>
    <w:rsid w:val="000D4EDA"/>
    <w:rsid w:val="000D5813"/>
    <w:rsid w:val="000D59F6"/>
    <w:rsid w:val="000D5F45"/>
    <w:rsid w:val="000D63AB"/>
    <w:rsid w:val="000D6940"/>
    <w:rsid w:val="000D6C2C"/>
    <w:rsid w:val="000D6CFC"/>
    <w:rsid w:val="000D6F0B"/>
    <w:rsid w:val="000D6F86"/>
    <w:rsid w:val="000D77A5"/>
    <w:rsid w:val="000D7D62"/>
    <w:rsid w:val="000D7E5C"/>
    <w:rsid w:val="000E08AE"/>
    <w:rsid w:val="000E0926"/>
    <w:rsid w:val="000E13FE"/>
    <w:rsid w:val="000E15E0"/>
    <w:rsid w:val="000E1735"/>
    <w:rsid w:val="000E2692"/>
    <w:rsid w:val="000E26E8"/>
    <w:rsid w:val="000E2C13"/>
    <w:rsid w:val="000E2F92"/>
    <w:rsid w:val="000E33DF"/>
    <w:rsid w:val="000E36DB"/>
    <w:rsid w:val="000E43B8"/>
    <w:rsid w:val="000E4430"/>
    <w:rsid w:val="000E451B"/>
    <w:rsid w:val="000E4802"/>
    <w:rsid w:val="000E49D8"/>
    <w:rsid w:val="000E4C6D"/>
    <w:rsid w:val="000E4DE0"/>
    <w:rsid w:val="000E4EF2"/>
    <w:rsid w:val="000E519E"/>
    <w:rsid w:val="000E5533"/>
    <w:rsid w:val="000E5573"/>
    <w:rsid w:val="000E5E47"/>
    <w:rsid w:val="000E5EB5"/>
    <w:rsid w:val="000E5F2D"/>
    <w:rsid w:val="000E68C0"/>
    <w:rsid w:val="000E696E"/>
    <w:rsid w:val="000E6A01"/>
    <w:rsid w:val="000E6BB4"/>
    <w:rsid w:val="000E6D56"/>
    <w:rsid w:val="000E6F30"/>
    <w:rsid w:val="000E7026"/>
    <w:rsid w:val="000E74A1"/>
    <w:rsid w:val="000E75B9"/>
    <w:rsid w:val="000E786A"/>
    <w:rsid w:val="000E79C6"/>
    <w:rsid w:val="000E7AB0"/>
    <w:rsid w:val="000E7DB1"/>
    <w:rsid w:val="000E7F36"/>
    <w:rsid w:val="000F02CF"/>
    <w:rsid w:val="000F05CF"/>
    <w:rsid w:val="000F0780"/>
    <w:rsid w:val="000F0BDE"/>
    <w:rsid w:val="000F0C16"/>
    <w:rsid w:val="000F0D25"/>
    <w:rsid w:val="000F1168"/>
    <w:rsid w:val="000F11EC"/>
    <w:rsid w:val="000F13A9"/>
    <w:rsid w:val="000F144C"/>
    <w:rsid w:val="000F15CF"/>
    <w:rsid w:val="000F1847"/>
    <w:rsid w:val="000F1B5C"/>
    <w:rsid w:val="000F1BFB"/>
    <w:rsid w:val="000F1F2F"/>
    <w:rsid w:val="000F1F53"/>
    <w:rsid w:val="000F20A0"/>
    <w:rsid w:val="000F24D2"/>
    <w:rsid w:val="000F2662"/>
    <w:rsid w:val="000F373A"/>
    <w:rsid w:val="000F37CF"/>
    <w:rsid w:val="000F4860"/>
    <w:rsid w:val="000F5A43"/>
    <w:rsid w:val="000F5F5D"/>
    <w:rsid w:val="000F60D7"/>
    <w:rsid w:val="000F6422"/>
    <w:rsid w:val="000F664E"/>
    <w:rsid w:val="000F67BF"/>
    <w:rsid w:val="000F6895"/>
    <w:rsid w:val="000F6BAD"/>
    <w:rsid w:val="000F7590"/>
    <w:rsid w:val="001007B4"/>
    <w:rsid w:val="00100911"/>
    <w:rsid w:val="00100C29"/>
    <w:rsid w:val="00100DF8"/>
    <w:rsid w:val="0010118F"/>
    <w:rsid w:val="001013B3"/>
    <w:rsid w:val="001015B1"/>
    <w:rsid w:val="0010163B"/>
    <w:rsid w:val="00101D95"/>
    <w:rsid w:val="00101FF4"/>
    <w:rsid w:val="0010210A"/>
    <w:rsid w:val="0010239E"/>
    <w:rsid w:val="00102E54"/>
    <w:rsid w:val="00103220"/>
    <w:rsid w:val="00103340"/>
    <w:rsid w:val="00103453"/>
    <w:rsid w:val="00103A90"/>
    <w:rsid w:val="001041CF"/>
    <w:rsid w:val="0010427D"/>
    <w:rsid w:val="0010487A"/>
    <w:rsid w:val="001048C3"/>
    <w:rsid w:val="00104D50"/>
    <w:rsid w:val="00104EC4"/>
    <w:rsid w:val="00104EEF"/>
    <w:rsid w:val="00104F8F"/>
    <w:rsid w:val="00105168"/>
    <w:rsid w:val="00105618"/>
    <w:rsid w:val="001058D8"/>
    <w:rsid w:val="00105BF1"/>
    <w:rsid w:val="00105BFF"/>
    <w:rsid w:val="00105C91"/>
    <w:rsid w:val="001063C9"/>
    <w:rsid w:val="00106BB9"/>
    <w:rsid w:val="00106D45"/>
    <w:rsid w:val="00107131"/>
    <w:rsid w:val="001072D6"/>
    <w:rsid w:val="001072DB"/>
    <w:rsid w:val="0010736F"/>
    <w:rsid w:val="0010779C"/>
    <w:rsid w:val="00107C7C"/>
    <w:rsid w:val="00107DE1"/>
    <w:rsid w:val="00107E5D"/>
    <w:rsid w:val="001108C5"/>
    <w:rsid w:val="001108D8"/>
    <w:rsid w:val="00110CF6"/>
    <w:rsid w:val="001110B5"/>
    <w:rsid w:val="00111119"/>
    <w:rsid w:val="0011146D"/>
    <w:rsid w:val="00111511"/>
    <w:rsid w:val="00111D6D"/>
    <w:rsid w:val="00111D90"/>
    <w:rsid w:val="001121B5"/>
    <w:rsid w:val="0011287E"/>
    <w:rsid w:val="00112E9A"/>
    <w:rsid w:val="001135F0"/>
    <w:rsid w:val="001137BC"/>
    <w:rsid w:val="00113DC9"/>
    <w:rsid w:val="00113E36"/>
    <w:rsid w:val="00113F73"/>
    <w:rsid w:val="00114195"/>
    <w:rsid w:val="0011455B"/>
    <w:rsid w:val="00114738"/>
    <w:rsid w:val="001148E3"/>
    <w:rsid w:val="00114A3E"/>
    <w:rsid w:val="00114F8B"/>
    <w:rsid w:val="00114FA2"/>
    <w:rsid w:val="00115094"/>
    <w:rsid w:val="0011518A"/>
    <w:rsid w:val="00115414"/>
    <w:rsid w:val="0011559D"/>
    <w:rsid w:val="00115971"/>
    <w:rsid w:val="001159C2"/>
    <w:rsid w:val="00115F79"/>
    <w:rsid w:val="00116000"/>
    <w:rsid w:val="00116A99"/>
    <w:rsid w:val="00116AE4"/>
    <w:rsid w:val="00116DE9"/>
    <w:rsid w:val="0011729F"/>
    <w:rsid w:val="00117804"/>
    <w:rsid w:val="001179C8"/>
    <w:rsid w:val="00117CAE"/>
    <w:rsid w:val="00117FA0"/>
    <w:rsid w:val="001207B6"/>
    <w:rsid w:val="0012194D"/>
    <w:rsid w:val="00121AE2"/>
    <w:rsid w:val="00121B13"/>
    <w:rsid w:val="00121B3D"/>
    <w:rsid w:val="00121CC2"/>
    <w:rsid w:val="00121DA5"/>
    <w:rsid w:val="00122361"/>
    <w:rsid w:val="00122517"/>
    <w:rsid w:val="00122FFA"/>
    <w:rsid w:val="0012394B"/>
    <w:rsid w:val="00123B05"/>
    <w:rsid w:val="001241EA"/>
    <w:rsid w:val="001244C2"/>
    <w:rsid w:val="0012463E"/>
    <w:rsid w:val="001246C5"/>
    <w:rsid w:val="00124961"/>
    <w:rsid w:val="00124FDB"/>
    <w:rsid w:val="001256DB"/>
    <w:rsid w:val="00125A0D"/>
    <w:rsid w:val="00125B5D"/>
    <w:rsid w:val="00125F82"/>
    <w:rsid w:val="00126439"/>
    <w:rsid w:val="001267D6"/>
    <w:rsid w:val="00126A4C"/>
    <w:rsid w:val="00126F99"/>
    <w:rsid w:val="001271B3"/>
    <w:rsid w:val="001272DF"/>
    <w:rsid w:val="0012741B"/>
    <w:rsid w:val="00127A2E"/>
    <w:rsid w:val="00127BEC"/>
    <w:rsid w:val="0013019B"/>
    <w:rsid w:val="001302EC"/>
    <w:rsid w:val="00130393"/>
    <w:rsid w:val="00130E7E"/>
    <w:rsid w:val="0013134A"/>
    <w:rsid w:val="00131518"/>
    <w:rsid w:val="00131531"/>
    <w:rsid w:val="0013174C"/>
    <w:rsid w:val="001317DE"/>
    <w:rsid w:val="00131D31"/>
    <w:rsid w:val="00131D92"/>
    <w:rsid w:val="00132556"/>
    <w:rsid w:val="00132991"/>
    <w:rsid w:val="001329AA"/>
    <w:rsid w:val="00132C5C"/>
    <w:rsid w:val="001338D3"/>
    <w:rsid w:val="001339CE"/>
    <w:rsid w:val="00133EE5"/>
    <w:rsid w:val="00134213"/>
    <w:rsid w:val="001348B4"/>
    <w:rsid w:val="0013490B"/>
    <w:rsid w:val="00134CAE"/>
    <w:rsid w:val="00134EC9"/>
    <w:rsid w:val="00135AFF"/>
    <w:rsid w:val="001361B4"/>
    <w:rsid w:val="001362B9"/>
    <w:rsid w:val="00136BF2"/>
    <w:rsid w:val="00136BFD"/>
    <w:rsid w:val="00136C3F"/>
    <w:rsid w:val="00136CE2"/>
    <w:rsid w:val="00137213"/>
    <w:rsid w:val="00137255"/>
    <w:rsid w:val="001374B9"/>
    <w:rsid w:val="001375A9"/>
    <w:rsid w:val="001378F1"/>
    <w:rsid w:val="00137918"/>
    <w:rsid w:val="00137A99"/>
    <w:rsid w:val="00137B73"/>
    <w:rsid w:val="00137DCE"/>
    <w:rsid w:val="00137E46"/>
    <w:rsid w:val="001400F9"/>
    <w:rsid w:val="0014020B"/>
    <w:rsid w:val="00140280"/>
    <w:rsid w:val="00140AB7"/>
    <w:rsid w:val="00140CCF"/>
    <w:rsid w:val="00140D24"/>
    <w:rsid w:val="00141302"/>
    <w:rsid w:val="001414D2"/>
    <w:rsid w:val="00141F57"/>
    <w:rsid w:val="00142184"/>
    <w:rsid w:val="001422EA"/>
    <w:rsid w:val="0014239C"/>
    <w:rsid w:val="00142959"/>
    <w:rsid w:val="00142F23"/>
    <w:rsid w:val="00142F74"/>
    <w:rsid w:val="001435E4"/>
    <w:rsid w:val="001437B1"/>
    <w:rsid w:val="00143A28"/>
    <w:rsid w:val="00143E73"/>
    <w:rsid w:val="00143F2D"/>
    <w:rsid w:val="00144139"/>
    <w:rsid w:val="00144168"/>
    <w:rsid w:val="0014430E"/>
    <w:rsid w:val="001443D1"/>
    <w:rsid w:val="00144DDE"/>
    <w:rsid w:val="00144E97"/>
    <w:rsid w:val="00144F7B"/>
    <w:rsid w:val="00144F9D"/>
    <w:rsid w:val="00146216"/>
    <w:rsid w:val="0014627C"/>
    <w:rsid w:val="0014640C"/>
    <w:rsid w:val="001464BE"/>
    <w:rsid w:val="0014683B"/>
    <w:rsid w:val="00146DFF"/>
    <w:rsid w:val="00146E2B"/>
    <w:rsid w:val="00147111"/>
    <w:rsid w:val="001472B0"/>
    <w:rsid w:val="001472B3"/>
    <w:rsid w:val="00147374"/>
    <w:rsid w:val="0014754E"/>
    <w:rsid w:val="0014789A"/>
    <w:rsid w:val="00147CDE"/>
    <w:rsid w:val="00147D6E"/>
    <w:rsid w:val="00147DC2"/>
    <w:rsid w:val="00150181"/>
    <w:rsid w:val="001504B8"/>
    <w:rsid w:val="00150511"/>
    <w:rsid w:val="0015077B"/>
    <w:rsid w:val="001507B5"/>
    <w:rsid w:val="00150901"/>
    <w:rsid w:val="001509F1"/>
    <w:rsid w:val="00150D67"/>
    <w:rsid w:val="00151098"/>
    <w:rsid w:val="001516CA"/>
    <w:rsid w:val="001517D4"/>
    <w:rsid w:val="001518CD"/>
    <w:rsid w:val="001518FF"/>
    <w:rsid w:val="00151A9C"/>
    <w:rsid w:val="00151C04"/>
    <w:rsid w:val="00152570"/>
    <w:rsid w:val="00152A76"/>
    <w:rsid w:val="00153168"/>
    <w:rsid w:val="00153864"/>
    <w:rsid w:val="00153902"/>
    <w:rsid w:val="001539FF"/>
    <w:rsid w:val="00153C1B"/>
    <w:rsid w:val="00153C77"/>
    <w:rsid w:val="00153EF6"/>
    <w:rsid w:val="0015428A"/>
    <w:rsid w:val="00154311"/>
    <w:rsid w:val="0015476E"/>
    <w:rsid w:val="00154C44"/>
    <w:rsid w:val="00154EAA"/>
    <w:rsid w:val="00154FCE"/>
    <w:rsid w:val="0015559D"/>
    <w:rsid w:val="00155AF7"/>
    <w:rsid w:val="00155CBD"/>
    <w:rsid w:val="0015623F"/>
    <w:rsid w:val="0015653E"/>
    <w:rsid w:val="001567E9"/>
    <w:rsid w:val="00156B5A"/>
    <w:rsid w:val="00156D89"/>
    <w:rsid w:val="00156E26"/>
    <w:rsid w:val="00156F91"/>
    <w:rsid w:val="001572C1"/>
    <w:rsid w:val="00157D0A"/>
    <w:rsid w:val="0016081C"/>
    <w:rsid w:val="001608AF"/>
    <w:rsid w:val="00160B83"/>
    <w:rsid w:val="00160BF1"/>
    <w:rsid w:val="0016148D"/>
    <w:rsid w:val="00161CB4"/>
    <w:rsid w:val="00161E86"/>
    <w:rsid w:val="00162431"/>
    <w:rsid w:val="0016286B"/>
    <w:rsid w:val="00162936"/>
    <w:rsid w:val="0016299D"/>
    <w:rsid w:val="001629BF"/>
    <w:rsid w:val="00162A49"/>
    <w:rsid w:val="00162CA0"/>
    <w:rsid w:val="00162F86"/>
    <w:rsid w:val="00163082"/>
    <w:rsid w:val="00163541"/>
    <w:rsid w:val="00163A4B"/>
    <w:rsid w:val="00163DD9"/>
    <w:rsid w:val="001640BE"/>
    <w:rsid w:val="001642A7"/>
    <w:rsid w:val="001644A9"/>
    <w:rsid w:val="00164A61"/>
    <w:rsid w:val="00164E6C"/>
    <w:rsid w:val="00165218"/>
    <w:rsid w:val="0016540B"/>
    <w:rsid w:val="00165554"/>
    <w:rsid w:val="00165B4C"/>
    <w:rsid w:val="00165D74"/>
    <w:rsid w:val="0016621A"/>
    <w:rsid w:val="0016638B"/>
    <w:rsid w:val="00167657"/>
    <w:rsid w:val="0016793E"/>
    <w:rsid w:val="00167A34"/>
    <w:rsid w:val="00167A48"/>
    <w:rsid w:val="00167C91"/>
    <w:rsid w:val="0017016B"/>
    <w:rsid w:val="0017022F"/>
    <w:rsid w:val="0017068B"/>
    <w:rsid w:val="001707AB"/>
    <w:rsid w:val="001707C9"/>
    <w:rsid w:val="00170E57"/>
    <w:rsid w:val="00171223"/>
    <w:rsid w:val="001715E1"/>
    <w:rsid w:val="00171A98"/>
    <w:rsid w:val="00171AC1"/>
    <w:rsid w:val="00171E69"/>
    <w:rsid w:val="00172155"/>
    <w:rsid w:val="00172176"/>
    <w:rsid w:val="00172431"/>
    <w:rsid w:val="00172786"/>
    <w:rsid w:val="00172ADB"/>
    <w:rsid w:val="00172BA6"/>
    <w:rsid w:val="0017331D"/>
    <w:rsid w:val="00173581"/>
    <w:rsid w:val="00173BFF"/>
    <w:rsid w:val="00173D98"/>
    <w:rsid w:val="00173E25"/>
    <w:rsid w:val="00174320"/>
    <w:rsid w:val="001746C2"/>
    <w:rsid w:val="00174BA1"/>
    <w:rsid w:val="00174C43"/>
    <w:rsid w:val="00175014"/>
    <w:rsid w:val="001750CD"/>
    <w:rsid w:val="001751C7"/>
    <w:rsid w:val="00175231"/>
    <w:rsid w:val="00175520"/>
    <w:rsid w:val="00175573"/>
    <w:rsid w:val="00175FC7"/>
    <w:rsid w:val="0017620D"/>
    <w:rsid w:val="00176353"/>
    <w:rsid w:val="00176CDE"/>
    <w:rsid w:val="001770BB"/>
    <w:rsid w:val="001774AA"/>
    <w:rsid w:val="00177614"/>
    <w:rsid w:val="0017765E"/>
    <w:rsid w:val="0017770D"/>
    <w:rsid w:val="0017778B"/>
    <w:rsid w:val="001777F9"/>
    <w:rsid w:val="001777FD"/>
    <w:rsid w:val="001801B2"/>
    <w:rsid w:val="001801CE"/>
    <w:rsid w:val="0018090E"/>
    <w:rsid w:val="00180AF9"/>
    <w:rsid w:val="00180FC3"/>
    <w:rsid w:val="00181839"/>
    <w:rsid w:val="00181F9D"/>
    <w:rsid w:val="00181FF3"/>
    <w:rsid w:val="001820E3"/>
    <w:rsid w:val="00182194"/>
    <w:rsid w:val="001822BF"/>
    <w:rsid w:val="0018242E"/>
    <w:rsid w:val="00182F97"/>
    <w:rsid w:val="0018301D"/>
    <w:rsid w:val="00183B96"/>
    <w:rsid w:val="00183D57"/>
    <w:rsid w:val="0018406F"/>
    <w:rsid w:val="001840B7"/>
    <w:rsid w:val="001840DF"/>
    <w:rsid w:val="00184368"/>
    <w:rsid w:val="001844F8"/>
    <w:rsid w:val="00184A77"/>
    <w:rsid w:val="00184CD1"/>
    <w:rsid w:val="00186065"/>
    <w:rsid w:val="0018609E"/>
    <w:rsid w:val="00186817"/>
    <w:rsid w:val="001869BA"/>
    <w:rsid w:val="00186D50"/>
    <w:rsid w:val="00186DDA"/>
    <w:rsid w:val="00186EB3"/>
    <w:rsid w:val="00186F05"/>
    <w:rsid w:val="001874E7"/>
    <w:rsid w:val="001875BF"/>
    <w:rsid w:val="00187970"/>
    <w:rsid w:val="00187A90"/>
    <w:rsid w:val="00187EE6"/>
    <w:rsid w:val="00187F36"/>
    <w:rsid w:val="00190293"/>
    <w:rsid w:val="00190382"/>
    <w:rsid w:val="001904BF"/>
    <w:rsid w:val="001906BC"/>
    <w:rsid w:val="00190849"/>
    <w:rsid w:val="0019090E"/>
    <w:rsid w:val="00190A6E"/>
    <w:rsid w:val="0019117A"/>
    <w:rsid w:val="0019153B"/>
    <w:rsid w:val="00191BCD"/>
    <w:rsid w:val="00191D9E"/>
    <w:rsid w:val="00192852"/>
    <w:rsid w:val="00192860"/>
    <w:rsid w:val="00192A6A"/>
    <w:rsid w:val="0019315D"/>
    <w:rsid w:val="00193E53"/>
    <w:rsid w:val="0019477D"/>
    <w:rsid w:val="00194890"/>
    <w:rsid w:val="00194A77"/>
    <w:rsid w:val="00194B6D"/>
    <w:rsid w:val="00194B70"/>
    <w:rsid w:val="00195339"/>
    <w:rsid w:val="001954FD"/>
    <w:rsid w:val="0019636B"/>
    <w:rsid w:val="00196576"/>
    <w:rsid w:val="00196BB0"/>
    <w:rsid w:val="0019744E"/>
    <w:rsid w:val="00197D1C"/>
    <w:rsid w:val="001A036D"/>
    <w:rsid w:val="001A0392"/>
    <w:rsid w:val="001A06B6"/>
    <w:rsid w:val="001A0A80"/>
    <w:rsid w:val="001A0C64"/>
    <w:rsid w:val="001A0E10"/>
    <w:rsid w:val="001A0EE5"/>
    <w:rsid w:val="001A10EA"/>
    <w:rsid w:val="001A167D"/>
    <w:rsid w:val="001A2706"/>
    <w:rsid w:val="001A2E9E"/>
    <w:rsid w:val="001A326F"/>
    <w:rsid w:val="001A39C9"/>
    <w:rsid w:val="001A3AC1"/>
    <w:rsid w:val="001A3D33"/>
    <w:rsid w:val="001A4150"/>
    <w:rsid w:val="001A4B19"/>
    <w:rsid w:val="001A56BE"/>
    <w:rsid w:val="001A5962"/>
    <w:rsid w:val="001A5D0E"/>
    <w:rsid w:val="001A6142"/>
    <w:rsid w:val="001A6A3C"/>
    <w:rsid w:val="001A724D"/>
    <w:rsid w:val="001A732B"/>
    <w:rsid w:val="001A73F3"/>
    <w:rsid w:val="001A75E5"/>
    <w:rsid w:val="001A7821"/>
    <w:rsid w:val="001A7869"/>
    <w:rsid w:val="001A7870"/>
    <w:rsid w:val="001A7911"/>
    <w:rsid w:val="001A7FAE"/>
    <w:rsid w:val="001B05AB"/>
    <w:rsid w:val="001B07C4"/>
    <w:rsid w:val="001B0833"/>
    <w:rsid w:val="001B0C0C"/>
    <w:rsid w:val="001B0CFF"/>
    <w:rsid w:val="001B0E3E"/>
    <w:rsid w:val="001B17A9"/>
    <w:rsid w:val="001B1C23"/>
    <w:rsid w:val="001B24D6"/>
    <w:rsid w:val="001B2D1A"/>
    <w:rsid w:val="001B2DA4"/>
    <w:rsid w:val="001B2E70"/>
    <w:rsid w:val="001B2FBE"/>
    <w:rsid w:val="001B3128"/>
    <w:rsid w:val="001B317F"/>
    <w:rsid w:val="001B3659"/>
    <w:rsid w:val="001B38EF"/>
    <w:rsid w:val="001B397A"/>
    <w:rsid w:val="001B3E86"/>
    <w:rsid w:val="001B4300"/>
    <w:rsid w:val="001B4309"/>
    <w:rsid w:val="001B464B"/>
    <w:rsid w:val="001B4E9A"/>
    <w:rsid w:val="001B512E"/>
    <w:rsid w:val="001B58DF"/>
    <w:rsid w:val="001B59CB"/>
    <w:rsid w:val="001B5BCA"/>
    <w:rsid w:val="001B61B1"/>
    <w:rsid w:val="001B6514"/>
    <w:rsid w:val="001B6568"/>
    <w:rsid w:val="001B668D"/>
    <w:rsid w:val="001B67FC"/>
    <w:rsid w:val="001B706E"/>
    <w:rsid w:val="001B73E2"/>
    <w:rsid w:val="001B79BA"/>
    <w:rsid w:val="001B7CF7"/>
    <w:rsid w:val="001C0082"/>
    <w:rsid w:val="001C02FD"/>
    <w:rsid w:val="001C0386"/>
    <w:rsid w:val="001C0846"/>
    <w:rsid w:val="001C08F4"/>
    <w:rsid w:val="001C0C84"/>
    <w:rsid w:val="001C11BE"/>
    <w:rsid w:val="001C1303"/>
    <w:rsid w:val="001C1B41"/>
    <w:rsid w:val="001C1FDD"/>
    <w:rsid w:val="001C258F"/>
    <w:rsid w:val="001C2D17"/>
    <w:rsid w:val="001C3127"/>
    <w:rsid w:val="001C3143"/>
    <w:rsid w:val="001C3605"/>
    <w:rsid w:val="001C37F5"/>
    <w:rsid w:val="001C3B7C"/>
    <w:rsid w:val="001C3E92"/>
    <w:rsid w:val="001C4035"/>
    <w:rsid w:val="001C403E"/>
    <w:rsid w:val="001C41DF"/>
    <w:rsid w:val="001C48D2"/>
    <w:rsid w:val="001C4958"/>
    <w:rsid w:val="001C49B1"/>
    <w:rsid w:val="001C4D40"/>
    <w:rsid w:val="001C5071"/>
    <w:rsid w:val="001C55C1"/>
    <w:rsid w:val="001C5CF6"/>
    <w:rsid w:val="001C6129"/>
    <w:rsid w:val="001C65BC"/>
    <w:rsid w:val="001C65C8"/>
    <w:rsid w:val="001C6685"/>
    <w:rsid w:val="001C7030"/>
    <w:rsid w:val="001C7080"/>
    <w:rsid w:val="001C7135"/>
    <w:rsid w:val="001C741A"/>
    <w:rsid w:val="001C7528"/>
    <w:rsid w:val="001C79C5"/>
    <w:rsid w:val="001C7D08"/>
    <w:rsid w:val="001C7FB9"/>
    <w:rsid w:val="001D0110"/>
    <w:rsid w:val="001D018F"/>
    <w:rsid w:val="001D0551"/>
    <w:rsid w:val="001D08B3"/>
    <w:rsid w:val="001D0A2D"/>
    <w:rsid w:val="001D0C3F"/>
    <w:rsid w:val="001D0FE9"/>
    <w:rsid w:val="001D1AB6"/>
    <w:rsid w:val="001D2A57"/>
    <w:rsid w:val="001D3235"/>
    <w:rsid w:val="001D3928"/>
    <w:rsid w:val="001D4838"/>
    <w:rsid w:val="001D4920"/>
    <w:rsid w:val="001D4DCB"/>
    <w:rsid w:val="001D4E2C"/>
    <w:rsid w:val="001D517C"/>
    <w:rsid w:val="001D53DD"/>
    <w:rsid w:val="001D568D"/>
    <w:rsid w:val="001D574C"/>
    <w:rsid w:val="001D5CAE"/>
    <w:rsid w:val="001D601A"/>
    <w:rsid w:val="001D6250"/>
    <w:rsid w:val="001D62CE"/>
    <w:rsid w:val="001D65EF"/>
    <w:rsid w:val="001D679A"/>
    <w:rsid w:val="001D6933"/>
    <w:rsid w:val="001D6A0D"/>
    <w:rsid w:val="001D70DC"/>
    <w:rsid w:val="001D7122"/>
    <w:rsid w:val="001D714A"/>
    <w:rsid w:val="001D72C4"/>
    <w:rsid w:val="001D78C3"/>
    <w:rsid w:val="001D79BD"/>
    <w:rsid w:val="001D7D0B"/>
    <w:rsid w:val="001D7EE5"/>
    <w:rsid w:val="001E0437"/>
    <w:rsid w:val="001E0701"/>
    <w:rsid w:val="001E0794"/>
    <w:rsid w:val="001E0915"/>
    <w:rsid w:val="001E0B07"/>
    <w:rsid w:val="001E0DAE"/>
    <w:rsid w:val="001E0E8D"/>
    <w:rsid w:val="001E199C"/>
    <w:rsid w:val="001E1A30"/>
    <w:rsid w:val="001E20DA"/>
    <w:rsid w:val="001E2374"/>
    <w:rsid w:val="001E2910"/>
    <w:rsid w:val="001E2ACA"/>
    <w:rsid w:val="001E3CF8"/>
    <w:rsid w:val="001E3D9F"/>
    <w:rsid w:val="001E3EFF"/>
    <w:rsid w:val="001E3F2B"/>
    <w:rsid w:val="001E446E"/>
    <w:rsid w:val="001E44AA"/>
    <w:rsid w:val="001E478E"/>
    <w:rsid w:val="001E5710"/>
    <w:rsid w:val="001E582D"/>
    <w:rsid w:val="001E616F"/>
    <w:rsid w:val="001E626D"/>
    <w:rsid w:val="001E730E"/>
    <w:rsid w:val="001E7B01"/>
    <w:rsid w:val="001E7E5D"/>
    <w:rsid w:val="001E7F5B"/>
    <w:rsid w:val="001F0BAC"/>
    <w:rsid w:val="001F1455"/>
    <w:rsid w:val="001F1FCA"/>
    <w:rsid w:val="001F2029"/>
    <w:rsid w:val="001F21BE"/>
    <w:rsid w:val="001F2493"/>
    <w:rsid w:val="001F2850"/>
    <w:rsid w:val="001F2A99"/>
    <w:rsid w:val="001F3206"/>
    <w:rsid w:val="001F3808"/>
    <w:rsid w:val="001F3C33"/>
    <w:rsid w:val="001F4195"/>
    <w:rsid w:val="001F46B7"/>
    <w:rsid w:val="001F4AD7"/>
    <w:rsid w:val="001F4BD9"/>
    <w:rsid w:val="001F5239"/>
    <w:rsid w:val="001F53B9"/>
    <w:rsid w:val="001F5500"/>
    <w:rsid w:val="001F58AE"/>
    <w:rsid w:val="001F5F72"/>
    <w:rsid w:val="001F6968"/>
    <w:rsid w:val="001F6B91"/>
    <w:rsid w:val="001F7006"/>
    <w:rsid w:val="001F7317"/>
    <w:rsid w:val="001F7DEA"/>
    <w:rsid w:val="00200042"/>
    <w:rsid w:val="0020078A"/>
    <w:rsid w:val="00200B39"/>
    <w:rsid w:val="002010F0"/>
    <w:rsid w:val="00201149"/>
    <w:rsid w:val="00201863"/>
    <w:rsid w:val="00201FCC"/>
    <w:rsid w:val="00202938"/>
    <w:rsid w:val="00202F0D"/>
    <w:rsid w:val="002035AD"/>
    <w:rsid w:val="00203C34"/>
    <w:rsid w:val="0020428A"/>
    <w:rsid w:val="00204333"/>
    <w:rsid w:val="002044DA"/>
    <w:rsid w:val="0020451F"/>
    <w:rsid w:val="00204A07"/>
    <w:rsid w:val="002050C1"/>
    <w:rsid w:val="0020519B"/>
    <w:rsid w:val="00205360"/>
    <w:rsid w:val="00205C87"/>
    <w:rsid w:val="00205CEE"/>
    <w:rsid w:val="00206580"/>
    <w:rsid w:val="00206678"/>
    <w:rsid w:val="002067F4"/>
    <w:rsid w:val="00206FD6"/>
    <w:rsid w:val="00207A7B"/>
    <w:rsid w:val="00207BA3"/>
    <w:rsid w:val="00207D88"/>
    <w:rsid w:val="00207E60"/>
    <w:rsid w:val="002100A6"/>
    <w:rsid w:val="002102E0"/>
    <w:rsid w:val="002106BD"/>
    <w:rsid w:val="00210A0E"/>
    <w:rsid w:val="00210CEC"/>
    <w:rsid w:val="00210D17"/>
    <w:rsid w:val="00210D4F"/>
    <w:rsid w:val="002112B7"/>
    <w:rsid w:val="00211639"/>
    <w:rsid w:val="002117CE"/>
    <w:rsid w:val="002119CF"/>
    <w:rsid w:val="002126B2"/>
    <w:rsid w:val="002126D9"/>
    <w:rsid w:val="0021278C"/>
    <w:rsid w:val="0021289C"/>
    <w:rsid w:val="00212DC0"/>
    <w:rsid w:val="00212FEF"/>
    <w:rsid w:val="002133DD"/>
    <w:rsid w:val="002139B8"/>
    <w:rsid w:val="00213AF0"/>
    <w:rsid w:val="00213CE7"/>
    <w:rsid w:val="002144DC"/>
    <w:rsid w:val="00214F4E"/>
    <w:rsid w:val="00215540"/>
    <w:rsid w:val="002159C3"/>
    <w:rsid w:val="00215C4E"/>
    <w:rsid w:val="00215FDC"/>
    <w:rsid w:val="00216276"/>
    <w:rsid w:val="0021633D"/>
    <w:rsid w:val="002163E3"/>
    <w:rsid w:val="002164B6"/>
    <w:rsid w:val="0021687A"/>
    <w:rsid w:val="00216D92"/>
    <w:rsid w:val="00216E12"/>
    <w:rsid w:val="00217073"/>
    <w:rsid w:val="002170A0"/>
    <w:rsid w:val="00217648"/>
    <w:rsid w:val="0021787A"/>
    <w:rsid w:val="00217918"/>
    <w:rsid w:val="00217BE0"/>
    <w:rsid w:val="00217D23"/>
    <w:rsid w:val="00217D58"/>
    <w:rsid w:val="00217DCB"/>
    <w:rsid w:val="0022012F"/>
    <w:rsid w:val="0022080F"/>
    <w:rsid w:val="00220995"/>
    <w:rsid w:val="00220C98"/>
    <w:rsid w:val="00220FA2"/>
    <w:rsid w:val="00221882"/>
    <w:rsid w:val="00221A95"/>
    <w:rsid w:val="00221BF6"/>
    <w:rsid w:val="00221D3B"/>
    <w:rsid w:val="002222B8"/>
    <w:rsid w:val="0022325B"/>
    <w:rsid w:val="0022363F"/>
    <w:rsid w:val="00223DA9"/>
    <w:rsid w:val="00223DC1"/>
    <w:rsid w:val="00223E1A"/>
    <w:rsid w:val="00223F08"/>
    <w:rsid w:val="00223FF8"/>
    <w:rsid w:val="00224155"/>
    <w:rsid w:val="0022476D"/>
    <w:rsid w:val="0022485A"/>
    <w:rsid w:val="0022498F"/>
    <w:rsid w:val="00224A01"/>
    <w:rsid w:val="00224D21"/>
    <w:rsid w:val="00224D3C"/>
    <w:rsid w:val="002250A3"/>
    <w:rsid w:val="002250E8"/>
    <w:rsid w:val="00225473"/>
    <w:rsid w:val="002259E0"/>
    <w:rsid w:val="00225BFF"/>
    <w:rsid w:val="002260D4"/>
    <w:rsid w:val="00226436"/>
    <w:rsid w:val="00226703"/>
    <w:rsid w:val="00226EE6"/>
    <w:rsid w:val="002275B6"/>
    <w:rsid w:val="00227A36"/>
    <w:rsid w:val="0023059B"/>
    <w:rsid w:val="00230ED4"/>
    <w:rsid w:val="0023138D"/>
    <w:rsid w:val="0023177B"/>
    <w:rsid w:val="00231A7E"/>
    <w:rsid w:val="00231B3A"/>
    <w:rsid w:val="00231DCB"/>
    <w:rsid w:val="00231F5B"/>
    <w:rsid w:val="0023253E"/>
    <w:rsid w:val="00232699"/>
    <w:rsid w:val="00232973"/>
    <w:rsid w:val="00232D05"/>
    <w:rsid w:val="00233203"/>
    <w:rsid w:val="00233556"/>
    <w:rsid w:val="00233754"/>
    <w:rsid w:val="00233A2A"/>
    <w:rsid w:val="00233ADE"/>
    <w:rsid w:val="00233D58"/>
    <w:rsid w:val="00234195"/>
    <w:rsid w:val="002348D2"/>
    <w:rsid w:val="00234AFA"/>
    <w:rsid w:val="00234E9B"/>
    <w:rsid w:val="00235217"/>
    <w:rsid w:val="002352F1"/>
    <w:rsid w:val="00235D59"/>
    <w:rsid w:val="00236430"/>
    <w:rsid w:val="002367BF"/>
    <w:rsid w:val="00236929"/>
    <w:rsid w:val="00236BC1"/>
    <w:rsid w:val="0023712E"/>
    <w:rsid w:val="002376A1"/>
    <w:rsid w:val="00237805"/>
    <w:rsid w:val="002406F8"/>
    <w:rsid w:val="00240952"/>
    <w:rsid w:val="00240E4C"/>
    <w:rsid w:val="002413C6"/>
    <w:rsid w:val="00241518"/>
    <w:rsid w:val="00241871"/>
    <w:rsid w:val="00241EF7"/>
    <w:rsid w:val="00242396"/>
    <w:rsid w:val="00242435"/>
    <w:rsid w:val="00242711"/>
    <w:rsid w:val="002428FF"/>
    <w:rsid w:val="00242EE2"/>
    <w:rsid w:val="0024314E"/>
    <w:rsid w:val="002435CE"/>
    <w:rsid w:val="0024396E"/>
    <w:rsid w:val="0024399A"/>
    <w:rsid w:val="0024436B"/>
    <w:rsid w:val="00244577"/>
    <w:rsid w:val="0024466B"/>
    <w:rsid w:val="002447E7"/>
    <w:rsid w:val="0024495A"/>
    <w:rsid w:val="00244DD4"/>
    <w:rsid w:val="00245284"/>
    <w:rsid w:val="00245DC5"/>
    <w:rsid w:val="00246249"/>
    <w:rsid w:val="00246800"/>
    <w:rsid w:val="00246D1F"/>
    <w:rsid w:val="002470AA"/>
    <w:rsid w:val="00247102"/>
    <w:rsid w:val="00247403"/>
    <w:rsid w:val="00247542"/>
    <w:rsid w:val="00247701"/>
    <w:rsid w:val="002479E8"/>
    <w:rsid w:val="00250188"/>
    <w:rsid w:val="002501DF"/>
    <w:rsid w:val="002502FA"/>
    <w:rsid w:val="0025035A"/>
    <w:rsid w:val="00250F6D"/>
    <w:rsid w:val="0025115D"/>
    <w:rsid w:val="002512A9"/>
    <w:rsid w:val="00251815"/>
    <w:rsid w:val="00251AD4"/>
    <w:rsid w:val="00251E70"/>
    <w:rsid w:val="0025209F"/>
    <w:rsid w:val="002528A3"/>
    <w:rsid w:val="002529EF"/>
    <w:rsid w:val="00252A87"/>
    <w:rsid w:val="00252D46"/>
    <w:rsid w:val="00252E62"/>
    <w:rsid w:val="00252F69"/>
    <w:rsid w:val="00253419"/>
    <w:rsid w:val="0025362D"/>
    <w:rsid w:val="00253D89"/>
    <w:rsid w:val="00253ECD"/>
    <w:rsid w:val="00253F46"/>
    <w:rsid w:val="00254727"/>
    <w:rsid w:val="00254C25"/>
    <w:rsid w:val="00255A87"/>
    <w:rsid w:val="00255E75"/>
    <w:rsid w:val="002560A3"/>
    <w:rsid w:val="002561F9"/>
    <w:rsid w:val="0025645E"/>
    <w:rsid w:val="002571C0"/>
    <w:rsid w:val="002571E1"/>
    <w:rsid w:val="0025721A"/>
    <w:rsid w:val="00257226"/>
    <w:rsid w:val="0025762A"/>
    <w:rsid w:val="0025788C"/>
    <w:rsid w:val="002579F1"/>
    <w:rsid w:val="00257BB0"/>
    <w:rsid w:val="00257E30"/>
    <w:rsid w:val="00260014"/>
    <w:rsid w:val="0026030B"/>
    <w:rsid w:val="0026036B"/>
    <w:rsid w:val="00260498"/>
    <w:rsid w:val="00260B9D"/>
    <w:rsid w:val="00261D46"/>
    <w:rsid w:val="00261FF3"/>
    <w:rsid w:val="002628DF"/>
    <w:rsid w:val="00262B65"/>
    <w:rsid w:val="00262CBD"/>
    <w:rsid w:val="00262F24"/>
    <w:rsid w:val="00262FE7"/>
    <w:rsid w:val="002639B4"/>
    <w:rsid w:val="00263C9E"/>
    <w:rsid w:val="00264C08"/>
    <w:rsid w:val="00265475"/>
    <w:rsid w:val="00265763"/>
    <w:rsid w:val="00265875"/>
    <w:rsid w:val="00265979"/>
    <w:rsid w:val="00265CC8"/>
    <w:rsid w:val="00265E2F"/>
    <w:rsid w:val="00266228"/>
    <w:rsid w:val="00266B56"/>
    <w:rsid w:val="00266B61"/>
    <w:rsid w:val="0026712A"/>
    <w:rsid w:val="00267244"/>
    <w:rsid w:val="002676E2"/>
    <w:rsid w:val="00267EE9"/>
    <w:rsid w:val="00267FD8"/>
    <w:rsid w:val="0027028C"/>
    <w:rsid w:val="002704DB"/>
    <w:rsid w:val="00270CCF"/>
    <w:rsid w:val="00270D43"/>
    <w:rsid w:val="00270E01"/>
    <w:rsid w:val="00271392"/>
    <w:rsid w:val="00271490"/>
    <w:rsid w:val="00272278"/>
    <w:rsid w:val="002724FC"/>
    <w:rsid w:val="00272A9A"/>
    <w:rsid w:val="00272E96"/>
    <w:rsid w:val="00272FED"/>
    <w:rsid w:val="00273352"/>
    <w:rsid w:val="00273723"/>
    <w:rsid w:val="00273B48"/>
    <w:rsid w:val="00274946"/>
    <w:rsid w:val="00274F86"/>
    <w:rsid w:val="00275137"/>
    <w:rsid w:val="002752D3"/>
    <w:rsid w:val="00275A72"/>
    <w:rsid w:val="00275A82"/>
    <w:rsid w:val="002763AE"/>
    <w:rsid w:val="0027668F"/>
    <w:rsid w:val="0027673F"/>
    <w:rsid w:val="00276CBA"/>
    <w:rsid w:val="00276D62"/>
    <w:rsid w:val="002773C2"/>
    <w:rsid w:val="00277AC6"/>
    <w:rsid w:val="00277E0C"/>
    <w:rsid w:val="00280702"/>
    <w:rsid w:val="00280936"/>
    <w:rsid w:val="00280D03"/>
    <w:rsid w:val="0028148D"/>
    <w:rsid w:val="00281754"/>
    <w:rsid w:val="002817B4"/>
    <w:rsid w:val="00281E6C"/>
    <w:rsid w:val="002822DA"/>
    <w:rsid w:val="002826B4"/>
    <w:rsid w:val="00282E05"/>
    <w:rsid w:val="00283976"/>
    <w:rsid w:val="002845CB"/>
    <w:rsid w:val="00284873"/>
    <w:rsid w:val="002849E0"/>
    <w:rsid w:val="00284D12"/>
    <w:rsid w:val="00284DE8"/>
    <w:rsid w:val="00284F73"/>
    <w:rsid w:val="002851FD"/>
    <w:rsid w:val="002854DD"/>
    <w:rsid w:val="00285591"/>
    <w:rsid w:val="00285772"/>
    <w:rsid w:val="0028583A"/>
    <w:rsid w:val="00285A70"/>
    <w:rsid w:val="00285D52"/>
    <w:rsid w:val="00285F07"/>
    <w:rsid w:val="00285F63"/>
    <w:rsid w:val="002861AB"/>
    <w:rsid w:val="00286308"/>
    <w:rsid w:val="00286476"/>
    <w:rsid w:val="002868D4"/>
    <w:rsid w:val="00286D5A"/>
    <w:rsid w:val="00287511"/>
    <w:rsid w:val="00287957"/>
    <w:rsid w:val="00287AD5"/>
    <w:rsid w:val="00287BD8"/>
    <w:rsid w:val="00290140"/>
    <w:rsid w:val="002902FD"/>
    <w:rsid w:val="00291197"/>
    <w:rsid w:val="002915A4"/>
    <w:rsid w:val="00291690"/>
    <w:rsid w:val="00291852"/>
    <w:rsid w:val="00291B27"/>
    <w:rsid w:val="00291CB2"/>
    <w:rsid w:val="00291E29"/>
    <w:rsid w:val="002926CB"/>
    <w:rsid w:val="00292AF9"/>
    <w:rsid w:val="00292D30"/>
    <w:rsid w:val="002933D1"/>
    <w:rsid w:val="00293632"/>
    <w:rsid w:val="00293886"/>
    <w:rsid w:val="002939B1"/>
    <w:rsid w:val="00293A69"/>
    <w:rsid w:val="00293BD4"/>
    <w:rsid w:val="0029419C"/>
    <w:rsid w:val="002941C1"/>
    <w:rsid w:val="002949A6"/>
    <w:rsid w:val="00294BF5"/>
    <w:rsid w:val="00295580"/>
    <w:rsid w:val="00295B56"/>
    <w:rsid w:val="00295E72"/>
    <w:rsid w:val="00297316"/>
    <w:rsid w:val="00297587"/>
    <w:rsid w:val="002978BD"/>
    <w:rsid w:val="002978D3"/>
    <w:rsid w:val="00297DAC"/>
    <w:rsid w:val="002A08C4"/>
    <w:rsid w:val="002A0AAE"/>
    <w:rsid w:val="002A0AE2"/>
    <w:rsid w:val="002A0C80"/>
    <w:rsid w:val="002A0ED4"/>
    <w:rsid w:val="002A0F05"/>
    <w:rsid w:val="002A1897"/>
    <w:rsid w:val="002A1AEE"/>
    <w:rsid w:val="002A1B3C"/>
    <w:rsid w:val="002A2202"/>
    <w:rsid w:val="002A2373"/>
    <w:rsid w:val="002A2454"/>
    <w:rsid w:val="002A26A9"/>
    <w:rsid w:val="002A2BB8"/>
    <w:rsid w:val="002A2FD2"/>
    <w:rsid w:val="002A3123"/>
    <w:rsid w:val="002A357B"/>
    <w:rsid w:val="002A35C4"/>
    <w:rsid w:val="002A3A10"/>
    <w:rsid w:val="002A3F12"/>
    <w:rsid w:val="002A41C3"/>
    <w:rsid w:val="002A4AC6"/>
    <w:rsid w:val="002A4AF0"/>
    <w:rsid w:val="002A4FFC"/>
    <w:rsid w:val="002A51F5"/>
    <w:rsid w:val="002A5423"/>
    <w:rsid w:val="002A55D8"/>
    <w:rsid w:val="002A56D7"/>
    <w:rsid w:val="002A5820"/>
    <w:rsid w:val="002A58AC"/>
    <w:rsid w:val="002A5980"/>
    <w:rsid w:val="002A59D5"/>
    <w:rsid w:val="002A5E63"/>
    <w:rsid w:val="002A5F69"/>
    <w:rsid w:val="002A62C7"/>
    <w:rsid w:val="002A6D47"/>
    <w:rsid w:val="002A6D6E"/>
    <w:rsid w:val="002A741D"/>
    <w:rsid w:val="002A75CD"/>
    <w:rsid w:val="002A797C"/>
    <w:rsid w:val="002A7B21"/>
    <w:rsid w:val="002B02DF"/>
    <w:rsid w:val="002B049F"/>
    <w:rsid w:val="002B144E"/>
    <w:rsid w:val="002B2064"/>
    <w:rsid w:val="002B2684"/>
    <w:rsid w:val="002B26AA"/>
    <w:rsid w:val="002B26C1"/>
    <w:rsid w:val="002B31DE"/>
    <w:rsid w:val="002B3710"/>
    <w:rsid w:val="002B38D3"/>
    <w:rsid w:val="002B3A7D"/>
    <w:rsid w:val="002B44BF"/>
    <w:rsid w:val="002B454A"/>
    <w:rsid w:val="002B4E67"/>
    <w:rsid w:val="002B4FD5"/>
    <w:rsid w:val="002B5929"/>
    <w:rsid w:val="002B5C25"/>
    <w:rsid w:val="002B5C5B"/>
    <w:rsid w:val="002B5CA7"/>
    <w:rsid w:val="002B6194"/>
    <w:rsid w:val="002B6A63"/>
    <w:rsid w:val="002B6DE9"/>
    <w:rsid w:val="002B76B0"/>
    <w:rsid w:val="002B79AD"/>
    <w:rsid w:val="002B7DEB"/>
    <w:rsid w:val="002B7ED9"/>
    <w:rsid w:val="002C006D"/>
    <w:rsid w:val="002C0080"/>
    <w:rsid w:val="002C0102"/>
    <w:rsid w:val="002C045F"/>
    <w:rsid w:val="002C0A67"/>
    <w:rsid w:val="002C0D63"/>
    <w:rsid w:val="002C15C4"/>
    <w:rsid w:val="002C1BF1"/>
    <w:rsid w:val="002C1C64"/>
    <w:rsid w:val="002C1FF8"/>
    <w:rsid w:val="002C24AA"/>
    <w:rsid w:val="002C2904"/>
    <w:rsid w:val="002C2B7C"/>
    <w:rsid w:val="002C34A2"/>
    <w:rsid w:val="002C34AB"/>
    <w:rsid w:val="002C3926"/>
    <w:rsid w:val="002C393D"/>
    <w:rsid w:val="002C3B14"/>
    <w:rsid w:val="002C4030"/>
    <w:rsid w:val="002C4287"/>
    <w:rsid w:val="002C42C4"/>
    <w:rsid w:val="002C4389"/>
    <w:rsid w:val="002C44B8"/>
    <w:rsid w:val="002C4A65"/>
    <w:rsid w:val="002C5523"/>
    <w:rsid w:val="002C591F"/>
    <w:rsid w:val="002C6225"/>
    <w:rsid w:val="002C633D"/>
    <w:rsid w:val="002C65E0"/>
    <w:rsid w:val="002C6AF4"/>
    <w:rsid w:val="002C6EF4"/>
    <w:rsid w:val="002C764F"/>
    <w:rsid w:val="002C7799"/>
    <w:rsid w:val="002C7A05"/>
    <w:rsid w:val="002D00ED"/>
    <w:rsid w:val="002D0721"/>
    <w:rsid w:val="002D0F59"/>
    <w:rsid w:val="002D1830"/>
    <w:rsid w:val="002D18B6"/>
    <w:rsid w:val="002D18D9"/>
    <w:rsid w:val="002D2A17"/>
    <w:rsid w:val="002D2B26"/>
    <w:rsid w:val="002D31B6"/>
    <w:rsid w:val="002D3204"/>
    <w:rsid w:val="002D38A8"/>
    <w:rsid w:val="002D39A0"/>
    <w:rsid w:val="002D432A"/>
    <w:rsid w:val="002D43E1"/>
    <w:rsid w:val="002D462C"/>
    <w:rsid w:val="002D491B"/>
    <w:rsid w:val="002D49D8"/>
    <w:rsid w:val="002D4A83"/>
    <w:rsid w:val="002D4F17"/>
    <w:rsid w:val="002D6432"/>
    <w:rsid w:val="002D6537"/>
    <w:rsid w:val="002D65D6"/>
    <w:rsid w:val="002D660F"/>
    <w:rsid w:val="002D6DFA"/>
    <w:rsid w:val="002D6FEA"/>
    <w:rsid w:val="002D7848"/>
    <w:rsid w:val="002D7C75"/>
    <w:rsid w:val="002D7E61"/>
    <w:rsid w:val="002D7EA2"/>
    <w:rsid w:val="002D7FF1"/>
    <w:rsid w:val="002E02FF"/>
    <w:rsid w:val="002E06CC"/>
    <w:rsid w:val="002E07B0"/>
    <w:rsid w:val="002E0A05"/>
    <w:rsid w:val="002E1155"/>
    <w:rsid w:val="002E118C"/>
    <w:rsid w:val="002E11D8"/>
    <w:rsid w:val="002E1601"/>
    <w:rsid w:val="002E1727"/>
    <w:rsid w:val="002E17BB"/>
    <w:rsid w:val="002E187C"/>
    <w:rsid w:val="002E214D"/>
    <w:rsid w:val="002E24FF"/>
    <w:rsid w:val="002E2A8A"/>
    <w:rsid w:val="002E2B53"/>
    <w:rsid w:val="002E2BFD"/>
    <w:rsid w:val="002E2D5E"/>
    <w:rsid w:val="002E3015"/>
    <w:rsid w:val="002E329D"/>
    <w:rsid w:val="002E3978"/>
    <w:rsid w:val="002E3E41"/>
    <w:rsid w:val="002E4339"/>
    <w:rsid w:val="002E49FB"/>
    <w:rsid w:val="002E5348"/>
    <w:rsid w:val="002E5579"/>
    <w:rsid w:val="002E5624"/>
    <w:rsid w:val="002E583B"/>
    <w:rsid w:val="002E5999"/>
    <w:rsid w:val="002E5FBD"/>
    <w:rsid w:val="002E601B"/>
    <w:rsid w:val="002E67C3"/>
    <w:rsid w:val="002E67CD"/>
    <w:rsid w:val="002E68C8"/>
    <w:rsid w:val="002E6E9D"/>
    <w:rsid w:val="002E7000"/>
    <w:rsid w:val="002E78CE"/>
    <w:rsid w:val="002E7C1A"/>
    <w:rsid w:val="002F085C"/>
    <w:rsid w:val="002F0CCD"/>
    <w:rsid w:val="002F0FB2"/>
    <w:rsid w:val="002F1177"/>
    <w:rsid w:val="002F1768"/>
    <w:rsid w:val="002F1ED2"/>
    <w:rsid w:val="002F225F"/>
    <w:rsid w:val="002F2480"/>
    <w:rsid w:val="002F26D5"/>
    <w:rsid w:val="002F2D34"/>
    <w:rsid w:val="002F2EE9"/>
    <w:rsid w:val="002F3964"/>
    <w:rsid w:val="002F3CDA"/>
    <w:rsid w:val="002F3D36"/>
    <w:rsid w:val="002F3F97"/>
    <w:rsid w:val="002F3FD1"/>
    <w:rsid w:val="002F464F"/>
    <w:rsid w:val="002F485D"/>
    <w:rsid w:val="002F4876"/>
    <w:rsid w:val="002F4A1F"/>
    <w:rsid w:val="002F4AB7"/>
    <w:rsid w:val="002F4C30"/>
    <w:rsid w:val="002F4E25"/>
    <w:rsid w:val="002F5526"/>
    <w:rsid w:val="002F596C"/>
    <w:rsid w:val="002F5A8D"/>
    <w:rsid w:val="002F5C30"/>
    <w:rsid w:val="002F5DAF"/>
    <w:rsid w:val="002F5EF7"/>
    <w:rsid w:val="002F5F89"/>
    <w:rsid w:val="002F6296"/>
    <w:rsid w:val="002F69BB"/>
    <w:rsid w:val="002F6B9D"/>
    <w:rsid w:val="002F6BFD"/>
    <w:rsid w:val="002F6F78"/>
    <w:rsid w:val="002F71CC"/>
    <w:rsid w:val="002F7310"/>
    <w:rsid w:val="003005A7"/>
    <w:rsid w:val="0030082A"/>
    <w:rsid w:val="00300DE6"/>
    <w:rsid w:val="00300F64"/>
    <w:rsid w:val="003016B9"/>
    <w:rsid w:val="003017B6"/>
    <w:rsid w:val="003018E5"/>
    <w:rsid w:val="00301BA8"/>
    <w:rsid w:val="00301E20"/>
    <w:rsid w:val="00301F70"/>
    <w:rsid w:val="003021A5"/>
    <w:rsid w:val="00302347"/>
    <w:rsid w:val="00302605"/>
    <w:rsid w:val="00302733"/>
    <w:rsid w:val="00302A64"/>
    <w:rsid w:val="00302DD3"/>
    <w:rsid w:val="003032E4"/>
    <w:rsid w:val="00303433"/>
    <w:rsid w:val="003034B3"/>
    <w:rsid w:val="003034CE"/>
    <w:rsid w:val="003036B5"/>
    <w:rsid w:val="003037F0"/>
    <w:rsid w:val="00303974"/>
    <w:rsid w:val="003039F4"/>
    <w:rsid w:val="0030433B"/>
    <w:rsid w:val="003045D6"/>
    <w:rsid w:val="00304AD9"/>
    <w:rsid w:val="00304CFD"/>
    <w:rsid w:val="0030512D"/>
    <w:rsid w:val="00305309"/>
    <w:rsid w:val="00305470"/>
    <w:rsid w:val="00305918"/>
    <w:rsid w:val="00305956"/>
    <w:rsid w:val="00305F49"/>
    <w:rsid w:val="0030616D"/>
    <w:rsid w:val="00306486"/>
    <w:rsid w:val="003067CA"/>
    <w:rsid w:val="00306880"/>
    <w:rsid w:val="00306C37"/>
    <w:rsid w:val="00306E40"/>
    <w:rsid w:val="00306F10"/>
    <w:rsid w:val="0030711D"/>
    <w:rsid w:val="00307920"/>
    <w:rsid w:val="00307B49"/>
    <w:rsid w:val="00307EE5"/>
    <w:rsid w:val="00307EFE"/>
    <w:rsid w:val="0031045A"/>
    <w:rsid w:val="003106C3"/>
    <w:rsid w:val="0031128E"/>
    <w:rsid w:val="003112A9"/>
    <w:rsid w:val="00311384"/>
    <w:rsid w:val="00311901"/>
    <w:rsid w:val="003119AD"/>
    <w:rsid w:val="00311EFE"/>
    <w:rsid w:val="003122F4"/>
    <w:rsid w:val="00312593"/>
    <w:rsid w:val="003126ED"/>
    <w:rsid w:val="00312F2F"/>
    <w:rsid w:val="00312F89"/>
    <w:rsid w:val="00312F99"/>
    <w:rsid w:val="00313A8E"/>
    <w:rsid w:val="00313AD6"/>
    <w:rsid w:val="00314078"/>
    <w:rsid w:val="00314765"/>
    <w:rsid w:val="00314834"/>
    <w:rsid w:val="00314901"/>
    <w:rsid w:val="00314A30"/>
    <w:rsid w:val="00314A7F"/>
    <w:rsid w:val="0031515E"/>
    <w:rsid w:val="00315471"/>
    <w:rsid w:val="0031575A"/>
    <w:rsid w:val="00315A3C"/>
    <w:rsid w:val="00316517"/>
    <w:rsid w:val="00316E88"/>
    <w:rsid w:val="00316FB5"/>
    <w:rsid w:val="003170EA"/>
    <w:rsid w:val="00317250"/>
    <w:rsid w:val="003173B1"/>
    <w:rsid w:val="00317BFE"/>
    <w:rsid w:val="00317EC9"/>
    <w:rsid w:val="00320269"/>
    <w:rsid w:val="0032049A"/>
    <w:rsid w:val="00321576"/>
    <w:rsid w:val="003216F4"/>
    <w:rsid w:val="0032186D"/>
    <w:rsid w:val="00322497"/>
    <w:rsid w:val="003229C1"/>
    <w:rsid w:val="00323190"/>
    <w:rsid w:val="003231D4"/>
    <w:rsid w:val="00323253"/>
    <w:rsid w:val="0032363A"/>
    <w:rsid w:val="00323AF6"/>
    <w:rsid w:val="00323C5F"/>
    <w:rsid w:val="00323CD6"/>
    <w:rsid w:val="0032412C"/>
    <w:rsid w:val="00324254"/>
    <w:rsid w:val="00324343"/>
    <w:rsid w:val="003247D2"/>
    <w:rsid w:val="0032515D"/>
    <w:rsid w:val="003252C8"/>
    <w:rsid w:val="00325747"/>
    <w:rsid w:val="0032576C"/>
    <w:rsid w:val="00325794"/>
    <w:rsid w:val="00325B5A"/>
    <w:rsid w:val="00326114"/>
    <w:rsid w:val="00326392"/>
    <w:rsid w:val="003264ED"/>
    <w:rsid w:val="00326665"/>
    <w:rsid w:val="00326775"/>
    <w:rsid w:val="00326A29"/>
    <w:rsid w:val="003273FC"/>
    <w:rsid w:val="0032749A"/>
    <w:rsid w:val="003274CA"/>
    <w:rsid w:val="003275B4"/>
    <w:rsid w:val="00327BA0"/>
    <w:rsid w:val="00327BFD"/>
    <w:rsid w:val="00330266"/>
    <w:rsid w:val="00330B2C"/>
    <w:rsid w:val="00330CFA"/>
    <w:rsid w:val="00330F9A"/>
    <w:rsid w:val="00331015"/>
    <w:rsid w:val="00331547"/>
    <w:rsid w:val="0033169F"/>
    <w:rsid w:val="00331880"/>
    <w:rsid w:val="00331D6B"/>
    <w:rsid w:val="00331DB6"/>
    <w:rsid w:val="003325AA"/>
    <w:rsid w:val="0033267B"/>
    <w:rsid w:val="00332983"/>
    <w:rsid w:val="00332C85"/>
    <w:rsid w:val="00332E1E"/>
    <w:rsid w:val="003332ED"/>
    <w:rsid w:val="00333392"/>
    <w:rsid w:val="00333430"/>
    <w:rsid w:val="00333AB7"/>
    <w:rsid w:val="00333B27"/>
    <w:rsid w:val="003340F9"/>
    <w:rsid w:val="00334139"/>
    <w:rsid w:val="00334281"/>
    <w:rsid w:val="003348C4"/>
    <w:rsid w:val="00334A3E"/>
    <w:rsid w:val="003351CA"/>
    <w:rsid w:val="0033611B"/>
    <w:rsid w:val="00336412"/>
    <w:rsid w:val="003367AD"/>
    <w:rsid w:val="00336DBE"/>
    <w:rsid w:val="00336E99"/>
    <w:rsid w:val="00337307"/>
    <w:rsid w:val="00337624"/>
    <w:rsid w:val="00337BAC"/>
    <w:rsid w:val="00337D8A"/>
    <w:rsid w:val="003401E5"/>
    <w:rsid w:val="003402C6"/>
    <w:rsid w:val="003403D3"/>
    <w:rsid w:val="00340E9B"/>
    <w:rsid w:val="00341959"/>
    <w:rsid w:val="003419A1"/>
    <w:rsid w:val="00341D78"/>
    <w:rsid w:val="00341D8B"/>
    <w:rsid w:val="00342457"/>
    <w:rsid w:val="00342A5D"/>
    <w:rsid w:val="00343226"/>
    <w:rsid w:val="00343559"/>
    <w:rsid w:val="00343A99"/>
    <w:rsid w:val="00343BE6"/>
    <w:rsid w:val="00343DA6"/>
    <w:rsid w:val="00344699"/>
    <w:rsid w:val="00344A5B"/>
    <w:rsid w:val="00344A84"/>
    <w:rsid w:val="00344E9A"/>
    <w:rsid w:val="003450CB"/>
    <w:rsid w:val="00345593"/>
    <w:rsid w:val="00345FA9"/>
    <w:rsid w:val="00346183"/>
    <w:rsid w:val="0034641D"/>
    <w:rsid w:val="00346643"/>
    <w:rsid w:val="00346C95"/>
    <w:rsid w:val="00346D29"/>
    <w:rsid w:val="00346D2B"/>
    <w:rsid w:val="00347065"/>
    <w:rsid w:val="003470BE"/>
    <w:rsid w:val="00347342"/>
    <w:rsid w:val="0034738C"/>
    <w:rsid w:val="00347AA1"/>
    <w:rsid w:val="00347B81"/>
    <w:rsid w:val="003500CC"/>
    <w:rsid w:val="00350137"/>
    <w:rsid w:val="003508CD"/>
    <w:rsid w:val="00350CF0"/>
    <w:rsid w:val="00350FEF"/>
    <w:rsid w:val="00351147"/>
    <w:rsid w:val="003513C8"/>
    <w:rsid w:val="003513F0"/>
    <w:rsid w:val="00352033"/>
    <w:rsid w:val="003523EE"/>
    <w:rsid w:val="003527E2"/>
    <w:rsid w:val="003528C1"/>
    <w:rsid w:val="0035295D"/>
    <w:rsid w:val="00352C95"/>
    <w:rsid w:val="003533E0"/>
    <w:rsid w:val="0035379E"/>
    <w:rsid w:val="00353892"/>
    <w:rsid w:val="00353972"/>
    <w:rsid w:val="003547CB"/>
    <w:rsid w:val="00354A4D"/>
    <w:rsid w:val="00354E59"/>
    <w:rsid w:val="0035504C"/>
    <w:rsid w:val="003550D4"/>
    <w:rsid w:val="00355188"/>
    <w:rsid w:val="00355242"/>
    <w:rsid w:val="003555B8"/>
    <w:rsid w:val="00355769"/>
    <w:rsid w:val="003558F5"/>
    <w:rsid w:val="003559ED"/>
    <w:rsid w:val="00355A42"/>
    <w:rsid w:val="00355E3E"/>
    <w:rsid w:val="00356185"/>
    <w:rsid w:val="0035634C"/>
    <w:rsid w:val="0035729D"/>
    <w:rsid w:val="00357486"/>
    <w:rsid w:val="00357600"/>
    <w:rsid w:val="00357727"/>
    <w:rsid w:val="00357AB2"/>
    <w:rsid w:val="00357E90"/>
    <w:rsid w:val="00357EBE"/>
    <w:rsid w:val="00357FAB"/>
    <w:rsid w:val="00360076"/>
    <w:rsid w:val="00360380"/>
    <w:rsid w:val="00360575"/>
    <w:rsid w:val="00360DF5"/>
    <w:rsid w:val="00360DF6"/>
    <w:rsid w:val="00360E13"/>
    <w:rsid w:val="00360EC9"/>
    <w:rsid w:val="00360F78"/>
    <w:rsid w:val="00361CB0"/>
    <w:rsid w:val="00361E5F"/>
    <w:rsid w:val="0036247E"/>
    <w:rsid w:val="0036281C"/>
    <w:rsid w:val="003628E9"/>
    <w:rsid w:val="00362AE8"/>
    <w:rsid w:val="00363417"/>
    <w:rsid w:val="00363772"/>
    <w:rsid w:val="003639E7"/>
    <w:rsid w:val="00363A3F"/>
    <w:rsid w:val="00363B69"/>
    <w:rsid w:val="00363FBD"/>
    <w:rsid w:val="00364165"/>
    <w:rsid w:val="003645B4"/>
    <w:rsid w:val="00364AC9"/>
    <w:rsid w:val="00364D74"/>
    <w:rsid w:val="00364E00"/>
    <w:rsid w:val="0036502F"/>
    <w:rsid w:val="0036510E"/>
    <w:rsid w:val="003652AB"/>
    <w:rsid w:val="00365EB8"/>
    <w:rsid w:val="0036614C"/>
    <w:rsid w:val="003661B2"/>
    <w:rsid w:val="0036634F"/>
    <w:rsid w:val="0036651A"/>
    <w:rsid w:val="00366ADD"/>
    <w:rsid w:val="003670E7"/>
    <w:rsid w:val="003675E5"/>
    <w:rsid w:val="00367BDC"/>
    <w:rsid w:val="00367C3F"/>
    <w:rsid w:val="00367CA4"/>
    <w:rsid w:val="00367E86"/>
    <w:rsid w:val="00370085"/>
    <w:rsid w:val="003701D9"/>
    <w:rsid w:val="00370353"/>
    <w:rsid w:val="00370549"/>
    <w:rsid w:val="00370742"/>
    <w:rsid w:val="00371913"/>
    <w:rsid w:val="00371A6F"/>
    <w:rsid w:val="00372131"/>
    <w:rsid w:val="0037278A"/>
    <w:rsid w:val="00372870"/>
    <w:rsid w:val="00372B1B"/>
    <w:rsid w:val="00373626"/>
    <w:rsid w:val="003738D7"/>
    <w:rsid w:val="00373A02"/>
    <w:rsid w:val="00373A0C"/>
    <w:rsid w:val="00373B73"/>
    <w:rsid w:val="00373E57"/>
    <w:rsid w:val="003742C8"/>
    <w:rsid w:val="003742D2"/>
    <w:rsid w:val="00374597"/>
    <w:rsid w:val="0037480D"/>
    <w:rsid w:val="00374B7D"/>
    <w:rsid w:val="003757D0"/>
    <w:rsid w:val="00375BD2"/>
    <w:rsid w:val="00375C0E"/>
    <w:rsid w:val="00375C1E"/>
    <w:rsid w:val="00375D8A"/>
    <w:rsid w:val="00376490"/>
    <w:rsid w:val="00376598"/>
    <w:rsid w:val="00376D82"/>
    <w:rsid w:val="00377287"/>
    <w:rsid w:val="003779AD"/>
    <w:rsid w:val="00377CE5"/>
    <w:rsid w:val="0038019B"/>
    <w:rsid w:val="003803A8"/>
    <w:rsid w:val="00380743"/>
    <w:rsid w:val="00380AEC"/>
    <w:rsid w:val="00380B64"/>
    <w:rsid w:val="00380BCE"/>
    <w:rsid w:val="00380DD1"/>
    <w:rsid w:val="00380DFA"/>
    <w:rsid w:val="00381110"/>
    <w:rsid w:val="00381275"/>
    <w:rsid w:val="0038158C"/>
    <w:rsid w:val="003816B3"/>
    <w:rsid w:val="003818C1"/>
    <w:rsid w:val="003819B8"/>
    <w:rsid w:val="00381C61"/>
    <w:rsid w:val="00382761"/>
    <w:rsid w:val="00382C39"/>
    <w:rsid w:val="0038307F"/>
    <w:rsid w:val="003836AB"/>
    <w:rsid w:val="00383FF6"/>
    <w:rsid w:val="00384606"/>
    <w:rsid w:val="00384754"/>
    <w:rsid w:val="003848FF"/>
    <w:rsid w:val="00384D4E"/>
    <w:rsid w:val="00384E4C"/>
    <w:rsid w:val="00385C70"/>
    <w:rsid w:val="00386545"/>
    <w:rsid w:val="0038683C"/>
    <w:rsid w:val="0038683D"/>
    <w:rsid w:val="003868E9"/>
    <w:rsid w:val="00386A9E"/>
    <w:rsid w:val="00386CF0"/>
    <w:rsid w:val="00386ECD"/>
    <w:rsid w:val="00386F16"/>
    <w:rsid w:val="00387929"/>
    <w:rsid w:val="00387B9A"/>
    <w:rsid w:val="00387E8F"/>
    <w:rsid w:val="00387FC1"/>
    <w:rsid w:val="003905DC"/>
    <w:rsid w:val="00390688"/>
    <w:rsid w:val="0039082B"/>
    <w:rsid w:val="00390C07"/>
    <w:rsid w:val="00390E1A"/>
    <w:rsid w:val="003912A6"/>
    <w:rsid w:val="00391E81"/>
    <w:rsid w:val="00392130"/>
    <w:rsid w:val="003921AA"/>
    <w:rsid w:val="003922B2"/>
    <w:rsid w:val="003929D0"/>
    <w:rsid w:val="00392E4C"/>
    <w:rsid w:val="003930A2"/>
    <w:rsid w:val="00393445"/>
    <w:rsid w:val="00393448"/>
    <w:rsid w:val="0039344F"/>
    <w:rsid w:val="00393769"/>
    <w:rsid w:val="00393872"/>
    <w:rsid w:val="0039447A"/>
    <w:rsid w:val="00394AF9"/>
    <w:rsid w:val="00394C06"/>
    <w:rsid w:val="00394C3D"/>
    <w:rsid w:val="00394CD0"/>
    <w:rsid w:val="00394E1F"/>
    <w:rsid w:val="00395233"/>
    <w:rsid w:val="00395583"/>
    <w:rsid w:val="00395C27"/>
    <w:rsid w:val="00395D74"/>
    <w:rsid w:val="0039660E"/>
    <w:rsid w:val="003966C4"/>
    <w:rsid w:val="00397012"/>
    <w:rsid w:val="003974DF"/>
    <w:rsid w:val="0039767F"/>
    <w:rsid w:val="003978EF"/>
    <w:rsid w:val="00397AFA"/>
    <w:rsid w:val="00397C9F"/>
    <w:rsid w:val="00397CEF"/>
    <w:rsid w:val="00397DC4"/>
    <w:rsid w:val="003A06CF"/>
    <w:rsid w:val="003A174E"/>
    <w:rsid w:val="003A1CAB"/>
    <w:rsid w:val="003A1D79"/>
    <w:rsid w:val="003A2270"/>
    <w:rsid w:val="003A2506"/>
    <w:rsid w:val="003A31E7"/>
    <w:rsid w:val="003A3ACF"/>
    <w:rsid w:val="003A431E"/>
    <w:rsid w:val="003A4CCF"/>
    <w:rsid w:val="003A557C"/>
    <w:rsid w:val="003A5852"/>
    <w:rsid w:val="003A5933"/>
    <w:rsid w:val="003A5976"/>
    <w:rsid w:val="003A5CF9"/>
    <w:rsid w:val="003A5F00"/>
    <w:rsid w:val="003A5F02"/>
    <w:rsid w:val="003A61C6"/>
    <w:rsid w:val="003A6220"/>
    <w:rsid w:val="003A6675"/>
    <w:rsid w:val="003A66F0"/>
    <w:rsid w:val="003A6A3C"/>
    <w:rsid w:val="003A6AE1"/>
    <w:rsid w:val="003A6E09"/>
    <w:rsid w:val="003A7106"/>
    <w:rsid w:val="003A71F4"/>
    <w:rsid w:val="003A723B"/>
    <w:rsid w:val="003A724A"/>
    <w:rsid w:val="003A74BB"/>
    <w:rsid w:val="003A7971"/>
    <w:rsid w:val="003A7E29"/>
    <w:rsid w:val="003A7FA8"/>
    <w:rsid w:val="003B0471"/>
    <w:rsid w:val="003B0A7F"/>
    <w:rsid w:val="003B0C66"/>
    <w:rsid w:val="003B0CA0"/>
    <w:rsid w:val="003B16AC"/>
    <w:rsid w:val="003B1B1C"/>
    <w:rsid w:val="003B1E2E"/>
    <w:rsid w:val="003B26A4"/>
    <w:rsid w:val="003B3094"/>
    <w:rsid w:val="003B341A"/>
    <w:rsid w:val="003B396A"/>
    <w:rsid w:val="003B3A0B"/>
    <w:rsid w:val="003B3CD9"/>
    <w:rsid w:val="003B451A"/>
    <w:rsid w:val="003B4572"/>
    <w:rsid w:val="003B4C86"/>
    <w:rsid w:val="003B5118"/>
    <w:rsid w:val="003B56B1"/>
    <w:rsid w:val="003B57DC"/>
    <w:rsid w:val="003B5823"/>
    <w:rsid w:val="003B59D9"/>
    <w:rsid w:val="003B5E55"/>
    <w:rsid w:val="003B6528"/>
    <w:rsid w:val="003B6C36"/>
    <w:rsid w:val="003B6D3A"/>
    <w:rsid w:val="003B71FF"/>
    <w:rsid w:val="003B771B"/>
    <w:rsid w:val="003B78A3"/>
    <w:rsid w:val="003B7910"/>
    <w:rsid w:val="003B794F"/>
    <w:rsid w:val="003B7AD5"/>
    <w:rsid w:val="003B7B5D"/>
    <w:rsid w:val="003B7E4E"/>
    <w:rsid w:val="003B7E9C"/>
    <w:rsid w:val="003B7EF5"/>
    <w:rsid w:val="003C0A19"/>
    <w:rsid w:val="003C0E87"/>
    <w:rsid w:val="003C18BC"/>
    <w:rsid w:val="003C1A9C"/>
    <w:rsid w:val="003C2014"/>
    <w:rsid w:val="003C228B"/>
    <w:rsid w:val="003C251B"/>
    <w:rsid w:val="003C2AB0"/>
    <w:rsid w:val="003C2AB7"/>
    <w:rsid w:val="003C2ABC"/>
    <w:rsid w:val="003C2F4A"/>
    <w:rsid w:val="003C3010"/>
    <w:rsid w:val="003C3634"/>
    <w:rsid w:val="003C3FB0"/>
    <w:rsid w:val="003C4A42"/>
    <w:rsid w:val="003C4B22"/>
    <w:rsid w:val="003C5129"/>
    <w:rsid w:val="003C5224"/>
    <w:rsid w:val="003C5B0F"/>
    <w:rsid w:val="003C5F03"/>
    <w:rsid w:val="003C676B"/>
    <w:rsid w:val="003C6815"/>
    <w:rsid w:val="003C73C4"/>
    <w:rsid w:val="003C7470"/>
    <w:rsid w:val="003C7713"/>
    <w:rsid w:val="003C77DC"/>
    <w:rsid w:val="003C7A03"/>
    <w:rsid w:val="003C7BD0"/>
    <w:rsid w:val="003C7C62"/>
    <w:rsid w:val="003C7F06"/>
    <w:rsid w:val="003D113D"/>
    <w:rsid w:val="003D139E"/>
    <w:rsid w:val="003D13EF"/>
    <w:rsid w:val="003D1521"/>
    <w:rsid w:val="003D19F6"/>
    <w:rsid w:val="003D1FF6"/>
    <w:rsid w:val="003D28C3"/>
    <w:rsid w:val="003D2B70"/>
    <w:rsid w:val="003D319A"/>
    <w:rsid w:val="003D3B30"/>
    <w:rsid w:val="003D3BC2"/>
    <w:rsid w:val="003D3BED"/>
    <w:rsid w:val="003D42E9"/>
    <w:rsid w:val="003D439F"/>
    <w:rsid w:val="003D4A75"/>
    <w:rsid w:val="003D4D71"/>
    <w:rsid w:val="003D5097"/>
    <w:rsid w:val="003D5135"/>
    <w:rsid w:val="003D534D"/>
    <w:rsid w:val="003D59E3"/>
    <w:rsid w:val="003D6089"/>
    <w:rsid w:val="003D61F9"/>
    <w:rsid w:val="003D6240"/>
    <w:rsid w:val="003D64EB"/>
    <w:rsid w:val="003D679D"/>
    <w:rsid w:val="003D6B8B"/>
    <w:rsid w:val="003D722F"/>
    <w:rsid w:val="003D7BAA"/>
    <w:rsid w:val="003E01DC"/>
    <w:rsid w:val="003E0724"/>
    <w:rsid w:val="003E0811"/>
    <w:rsid w:val="003E0EC0"/>
    <w:rsid w:val="003E111D"/>
    <w:rsid w:val="003E151B"/>
    <w:rsid w:val="003E1A21"/>
    <w:rsid w:val="003E22FD"/>
    <w:rsid w:val="003E2556"/>
    <w:rsid w:val="003E2978"/>
    <w:rsid w:val="003E2B6D"/>
    <w:rsid w:val="003E2CF6"/>
    <w:rsid w:val="003E2D79"/>
    <w:rsid w:val="003E315B"/>
    <w:rsid w:val="003E36E8"/>
    <w:rsid w:val="003E37E7"/>
    <w:rsid w:val="003E3BF9"/>
    <w:rsid w:val="003E3DAA"/>
    <w:rsid w:val="003E3EAA"/>
    <w:rsid w:val="003E40BD"/>
    <w:rsid w:val="003E41AB"/>
    <w:rsid w:val="003E515A"/>
    <w:rsid w:val="003E52CE"/>
    <w:rsid w:val="003E5438"/>
    <w:rsid w:val="003E5767"/>
    <w:rsid w:val="003E5E7F"/>
    <w:rsid w:val="003E5EC1"/>
    <w:rsid w:val="003E6B54"/>
    <w:rsid w:val="003E6CA1"/>
    <w:rsid w:val="003E6D73"/>
    <w:rsid w:val="003E6F59"/>
    <w:rsid w:val="003E7128"/>
    <w:rsid w:val="003E73F9"/>
    <w:rsid w:val="003E74F1"/>
    <w:rsid w:val="003E7ACD"/>
    <w:rsid w:val="003E7ECF"/>
    <w:rsid w:val="003F007D"/>
    <w:rsid w:val="003F0888"/>
    <w:rsid w:val="003F0E4E"/>
    <w:rsid w:val="003F153A"/>
    <w:rsid w:val="003F17F3"/>
    <w:rsid w:val="003F1A19"/>
    <w:rsid w:val="003F245F"/>
    <w:rsid w:val="003F2712"/>
    <w:rsid w:val="003F2A5C"/>
    <w:rsid w:val="003F2AEF"/>
    <w:rsid w:val="003F2E36"/>
    <w:rsid w:val="003F2ED2"/>
    <w:rsid w:val="003F3396"/>
    <w:rsid w:val="003F342F"/>
    <w:rsid w:val="003F38EE"/>
    <w:rsid w:val="003F38F1"/>
    <w:rsid w:val="003F39E7"/>
    <w:rsid w:val="003F3AD6"/>
    <w:rsid w:val="003F3C02"/>
    <w:rsid w:val="003F3CA4"/>
    <w:rsid w:val="003F3CFA"/>
    <w:rsid w:val="003F439C"/>
    <w:rsid w:val="003F4456"/>
    <w:rsid w:val="003F4531"/>
    <w:rsid w:val="003F46B5"/>
    <w:rsid w:val="003F49E4"/>
    <w:rsid w:val="003F4A56"/>
    <w:rsid w:val="003F4E60"/>
    <w:rsid w:val="003F4F6B"/>
    <w:rsid w:val="003F4FFA"/>
    <w:rsid w:val="003F501E"/>
    <w:rsid w:val="003F52F4"/>
    <w:rsid w:val="003F54E0"/>
    <w:rsid w:val="003F5758"/>
    <w:rsid w:val="003F5ABB"/>
    <w:rsid w:val="003F5DBC"/>
    <w:rsid w:val="003F6338"/>
    <w:rsid w:val="003F638A"/>
    <w:rsid w:val="003F6984"/>
    <w:rsid w:val="003F6E8F"/>
    <w:rsid w:val="003F706E"/>
    <w:rsid w:val="003F7E40"/>
    <w:rsid w:val="003F7F73"/>
    <w:rsid w:val="003F7FAD"/>
    <w:rsid w:val="004001F4"/>
    <w:rsid w:val="004003F0"/>
    <w:rsid w:val="004003F5"/>
    <w:rsid w:val="004007C2"/>
    <w:rsid w:val="004009FC"/>
    <w:rsid w:val="00400C45"/>
    <w:rsid w:val="004010B0"/>
    <w:rsid w:val="004011E9"/>
    <w:rsid w:val="00401967"/>
    <w:rsid w:val="00401A7F"/>
    <w:rsid w:val="00401C1C"/>
    <w:rsid w:val="00402AC2"/>
    <w:rsid w:val="0040313F"/>
    <w:rsid w:val="00403AC1"/>
    <w:rsid w:val="004040DA"/>
    <w:rsid w:val="0040438E"/>
    <w:rsid w:val="0040488F"/>
    <w:rsid w:val="00404E55"/>
    <w:rsid w:val="00404F46"/>
    <w:rsid w:val="00404FE6"/>
    <w:rsid w:val="00405361"/>
    <w:rsid w:val="00405A32"/>
    <w:rsid w:val="00405BC8"/>
    <w:rsid w:val="00405C29"/>
    <w:rsid w:val="00406039"/>
    <w:rsid w:val="004064A2"/>
    <w:rsid w:val="00406BB0"/>
    <w:rsid w:val="00406CB5"/>
    <w:rsid w:val="00406F64"/>
    <w:rsid w:val="004079F1"/>
    <w:rsid w:val="00407A34"/>
    <w:rsid w:val="00407EFB"/>
    <w:rsid w:val="0041047E"/>
    <w:rsid w:val="00410A7A"/>
    <w:rsid w:val="00410AE9"/>
    <w:rsid w:val="00411861"/>
    <w:rsid w:val="004119AE"/>
    <w:rsid w:val="0041202A"/>
    <w:rsid w:val="00412250"/>
    <w:rsid w:val="00412267"/>
    <w:rsid w:val="00412C81"/>
    <w:rsid w:val="00412C9A"/>
    <w:rsid w:val="0041306A"/>
    <w:rsid w:val="004134F5"/>
    <w:rsid w:val="004138E9"/>
    <w:rsid w:val="00413CE4"/>
    <w:rsid w:val="00414227"/>
    <w:rsid w:val="00414411"/>
    <w:rsid w:val="00415135"/>
    <w:rsid w:val="004154FF"/>
    <w:rsid w:val="00415BBD"/>
    <w:rsid w:val="0041616C"/>
    <w:rsid w:val="00416215"/>
    <w:rsid w:val="00416470"/>
    <w:rsid w:val="004165C2"/>
    <w:rsid w:val="00416ADC"/>
    <w:rsid w:val="00416B51"/>
    <w:rsid w:val="004170C6"/>
    <w:rsid w:val="00417460"/>
    <w:rsid w:val="0041778C"/>
    <w:rsid w:val="0041782F"/>
    <w:rsid w:val="00417966"/>
    <w:rsid w:val="00417AC6"/>
    <w:rsid w:val="00417C85"/>
    <w:rsid w:val="00417CBD"/>
    <w:rsid w:val="00417E6F"/>
    <w:rsid w:val="00420489"/>
    <w:rsid w:val="004205DD"/>
    <w:rsid w:val="00420BC3"/>
    <w:rsid w:val="0042105C"/>
    <w:rsid w:val="00421205"/>
    <w:rsid w:val="0042136A"/>
    <w:rsid w:val="00421621"/>
    <w:rsid w:val="004216C5"/>
    <w:rsid w:val="00421995"/>
    <w:rsid w:val="00421A18"/>
    <w:rsid w:val="00421EFD"/>
    <w:rsid w:val="004224B7"/>
    <w:rsid w:val="00422594"/>
    <w:rsid w:val="0042274D"/>
    <w:rsid w:val="00422E2F"/>
    <w:rsid w:val="0042303C"/>
    <w:rsid w:val="004231F7"/>
    <w:rsid w:val="004236B8"/>
    <w:rsid w:val="00423B60"/>
    <w:rsid w:val="00423D15"/>
    <w:rsid w:val="00424452"/>
    <w:rsid w:val="004244DC"/>
    <w:rsid w:val="00424962"/>
    <w:rsid w:val="00424BA4"/>
    <w:rsid w:val="00424BAB"/>
    <w:rsid w:val="00424CB5"/>
    <w:rsid w:val="00424EA8"/>
    <w:rsid w:val="0042533D"/>
    <w:rsid w:val="00425426"/>
    <w:rsid w:val="004254C0"/>
    <w:rsid w:val="0042566E"/>
    <w:rsid w:val="00425F29"/>
    <w:rsid w:val="00426453"/>
    <w:rsid w:val="004264E0"/>
    <w:rsid w:val="004265E4"/>
    <w:rsid w:val="0042699F"/>
    <w:rsid w:val="00426CA6"/>
    <w:rsid w:val="00426CF0"/>
    <w:rsid w:val="00427486"/>
    <w:rsid w:val="00427868"/>
    <w:rsid w:val="00427A2E"/>
    <w:rsid w:val="00427BBB"/>
    <w:rsid w:val="00430576"/>
    <w:rsid w:val="0043088F"/>
    <w:rsid w:val="004308D1"/>
    <w:rsid w:val="004314FA"/>
    <w:rsid w:val="004322D9"/>
    <w:rsid w:val="0043231F"/>
    <w:rsid w:val="0043250E"/>
    <w:rsid w:val="00432899"/>
    <w:rsid w:val="00432994"/>
    <w:rsid w:val="00432C81"/>
    <w:rsid w:val="0043310F"/>
    <w:rsid w:val="004332D8"/>
    <w:rsid w:val="00433664"/>
    <w:rsid w:val="0043456A"/>
    <w:rsid w:val="00434630"/>
    <w:rsid w:val="00434785"/>
    <w:rsid w:val="004347ED"/>
    <w:rsid w:val="00434849"/>
    <w:rsid w:val="004348D0"/>
    <w:rsid w:val="00434AC3"/>
    <w:rsid w:val="00435092"/>
    <w:rsid w:val="00435241"/>
    <w:rsid w:val="00435797"/>
    <w:rsid w:val="00435BC8"/>
    <w:rsid w:val="004363AB"/>
    <w:rsid w:val="00436503"/>
    <w:rsid w:val="00436F14"/>
    <w:rsid w:val="00436FF4"/>
    <w:rsid w:val="0043708E"/>
    <w:rsid w:val="00437367"/>
    <w:rsid w:val="00437845"/>
    <w:rsid w:val="004378F2"/>
    <w:rsid w:val="004378FB"/>
    <w:rsid w:val="00437BE0"/>
    <w:rsid w:val="00437CB9"/>
    <w:rsid w:val="00437D43"/>
    <w:rsid w:val="00437E1C"/>
    <w:rsid w:val="00437E20"/>
    <w:rsid w:val="00437FE1"/>
    <w:rsid w:val="004403AC"/>
    <w:rsid w:val="0044079F"/>
    <w:rsid w:val="0044096C"/>
    <w:rsid w:val="00440B67"/>
    <w:rsid w:val="00440D99"/>
    <w:rsid w:val="00440F62"/>
    <w:rsid w:val="004410E8"/>
    <w:rsid w:val="00441200"/>
    <w:rsid w:val="0044121F"/>
    <w:rsid w:val="004417F8"/>
    <w:rsid w:val="00441AA4"/>
    <w:rsid w:val="00441BB1"/>
    <w:rsid w:val="00441ECB"/>
    <w:rsid w:val="004424FF"/>
    <w:rsid w:val="00442850"/>
    <w:rsid w:val="00442B7F"/>
    <w:rsid w:val="00443644"/>
    <w:rsid w:val="00443D9D"/>
    <w:rsid w:val="00444095"/>
    <w:rsid w:val="00444265"/>
    <w:rsid w:val="0044444F"/>
    <w:rsid w:val="00444461"/>
    <w:rsid w:val="00444C04"/>
    <w:rsid w:val="00444E38"/>
    <w:rsid w:val="004451A2"/>
    <w:rsid w:val="00445497"/>
    <w:rsid w:val="00445FE0"/>
    <w:rsid w:val="00446198"/>
    <w:rsid w:val="004461C6"/>
    <w:rsid w:val="00446A1B"/>
    <w:rsid w:val="00447155"/>
    <w:rsid w:val="00447215"/>
    <w:rsid w:val="004479D4"/>
    <w:rsid w:val="00447D51"/>
    <w:rsid w:val="00447F13"/>
    <w:rsid w:val="00450A47"/>
    <w:rsid w:val="00450CA7"/>
    <w:rsid w:val="00450EE8"/>
    <w:rsid w:val="0045185C"/>
    <w:rsid w:val="0045203F"/>
    <w:rsid w:val="004538B2"/>
    <w:rsid w:val="00453BE6"/>
    <w:rsid w:val="00453C42"/>
    <w:rsid w:val="00453E6F"/>
    <w:rsid w:val="004545A6"/>
    <w:rsid w:val="00454F14"/>
    <w:rsid w:val="004557E0"/>
    <w:rsid w:val="00455AC0"/>
    <w:rsid w:val="00455C5C"/>
    <w:rsid w:val="00455C89"/>
    <w:rsid w:val="004562A5"/>
    <w:rsid w:val="0045640E"/>
    <w:rsid w:val="0045661F"/>
    <w:rsid w:val="0045690B"/>
    <w:rsid w:val="00456C1F"/>
    <w:rsid w:val="00456CCA"/>
    <w:rsid w:val="004571E7"/>
    <w:rsid w:val="0045758B"/>
    <w:rsid w:val="0045765A"/>
    <w:rsid w:val="0045788B"/>
    <w:rsid w:val="00457A3B"/>
    <w:rsid w:val="00457DA5"/>
    <w:rsid w:val="00457DCE"/>
    <w:rsid w:val="00457ED6"/>
    <w:rsid w:val="004601D7"/>
    <w:rsid w:val="004604B5"/>
    <w:rsid w:val="00460AA0"/>
    <w:rsid w:val="004610A9"/>
    <w:rsid w:val="004611CE"/>
    <w:rsid w:val="0046125C"/>
    <w:rsid w:val="00461473"/>
    <w:rsid w:val="0046192F"/>
    <w:rsid w:val="00462414"/>
    <w:rsid w:val="0046247F"/>
    <w:rsid w:val="00462771"/>
    <w:rsid w:val="00462B59"/>
    <w:rsid w:val="00462D95"/>
    <w:rsid w:val="00462F00"/>
    <w:rsid w:val="00462F3B"/>
    <w:rsid w:val="00462F66"/>
    <w:rsid w:val="00463106"/>
    <w:rsid w:val="004636CE"/>
    <w:rsid w:val="00463AB9"/>
    <w:rsid w:val="00463C21"/>
    <w:rsid w:val="00463C4C"/>
    <w:rsid w:val="00463D1C"/>
    <w:rsid w:val="00464741"/>
    <w:rsid w:val="004647F4"/>
    <w:rsid w:val="00464949"/>
    <w:rsid w:val="00465212"/>
    <w:rsid w:val="004664F9"/>
    <w:rsid w:val="00466977"/>
    <w:rsid w:val="004669A8"/>
    <w:rsid w:val="00466D04"/>
    <w:rsid w:val="00466F31"/>
    <w:rsid w:val="004671C7"/>
    <w:rsid w:val="00467534"/>
    <w:rsid w:val="00467B7E"/>
    <w:rsid w:val="00467D54"/>
    <w:rsid w:val="00470046"/>
    <w:rsid w:val="00470053"/>
    <w:rsid w:val="0047017B"/>
    <w:rsid w:val="00470193"/>
    <w:rsid w:val="00470568"/>
    <w:rsid w:val="0047063A"/>
    <w:rsid w:val="004706B2"/>
    <w:rsid w:val="004709B0"/>
    <w:rsid w:val="00470B7D"/>
    <w:rsid w:val="00470E85"/>
    <w:rsid w:val="004710B3"/>
    <w:rsid w:val="004711FE"/>
    <w:rsid w:val="0047125D"/>
    <w:rsid w:val="00471484"/>
    <w:rsid w:val="0047196C"/>
    <w:rsid w:val="004719E3"/>
    <w:rsid w:val="00471E58"/>
    <w:rsid w:val="00472759"/>
    <w:rsid w:val="0047286F"/>
    <w:rsid w:val="00472A16"/>
    <w:rsid w:val="00472C8A"/>
    <w:rsid w:val="00472DCC"/>
    <w:rsid w:val="00473B36"/>
    <w:rsid w:val="00473B4A"/>
    <w:rsid w:val="0047462B"/>
    <w:rsid w:val="0047491C"/>
    <w:rsid w:val="00474A08"/>
    <w:rsid w:val="00474B8A"/>
    <w:rsid w:val="0047509E"/>
    <w:rsid w:val="0047544B"/>
    <w:rsid w:val="004762C7"/>
    <w:rsid w:val="0047664A"/>
    <w:rsid w:val="004768CB"/>
    <w:rsid w:val="00476BE0"/>
    <w:rsid w:val="00476C0C"/>
    <w:rsid w:val="00477592"/>
    <w:rsid w:val="0047785D"/>
    <w:rsid w:val="00477AC5"/>
    <w:rsid w:val="004806EB"/>
    <w:rsid w:val="00480A29"/>
    <w:rsid w:val="00480BE6"/>
    <w:rsid w:val="00480CDD"/>
    <w:rsid w:val="00480D60"/>
    <w:rsid w:val="00480E41"/>
    <w:rsid w:val="00480FFA"/>
    <w:rsid w:val="00481138"/>
    <w:rsid w:val="004812FD"/>
    <w:rsid w:val="004813E2"/>
    <w:rsid w:val="00481581"/>
    <w:rsid w:val="0048200A"/>
    <w:rsid w:val="004821E1"/>
    <w:rsid w:val="004825DA"/>
    <w:rsid w:val="004826DF"/>
    <w:rsid w:val="004837BD"/>
    <w:rsid w:val="0048391F"/>
    <w:rsid w:val="00483AF1"/>
    <w:rsid w:val="00483BF2"/>
    <w:rsid w:val="00484838"/>
    <w:rsid w:val="0048489E"/>
    <w:rsid w:val="00484BE1"/>
    <w:rsid w:val="00484DFB"/>
    <w:rsid w:val="004859F8"/>
    <w:rsid w:val="00485F16"/>
    <w:rsid w:val="004862FF"/>
    <w:rsid w:val="0048630E"/>
    <w:rsid w:val="00486431"/>
    <w:rsid w:val="0048659E"/>
    <w:rsid w:val="004866AE"/>
    <w:rsid w:val="004866BC"/>
    <w:rsid w:val="004868C6"/>
    <w:rsid w:val="00486F1C"/>
    <w:rsid w:val="00486FF7"/>
    <w:rsid w:val="00487237"/>
    <w:rsid w:val="004879A8"/>
    <w:rsid w:val="004879E6"/>
    <w:rsid w:val="00487A9D"/>
    <w:rsid w:val="00490384"/>
    <w:rsid w:val="004904D3"/>
    <w:rsid w:val="004905CB"/>
    <w:rsid w:val="004909C8"/>
    <w:rsid w:val="00490A3E"/>
    <w:rsid w:val="00490E0C"/>
    <w:rsid w:val="00490F2E"/>
    <w:rsid w:val="004910CC"/>
    <w:rsid w:val="004921AB"/>
    <w:rsid w:val="0049241D"/>
    <w:rsid w:val="0049269C"/>
    <w:rsid w:val="004929C8"/>
    <w:rsid w:val="00492B05"/>
    <w:rsid w:val="00492E0E"/>
    <w:rsid w:val="00492F3F"/>
    <w:rsid w:val="004930F4"/>
    <w:rsid w:val="00493B99"/>
    <w:rsid w:val="00493C0B"/>
    <w:rsid w:val="00493EF9"/>
    <w:rsid w:val="0049419D"/>
    <w:rsid w:val="0049438E"/>
    <w:rsid w:val="0049462E"/>
    <w:rsid w:val="00494B65"/>
    <w:rsid w:val="00494F1F"/>
    <w:rsid w:val="004956BF"/>
    <w:rsid w:val="004956F6"/>
    <w:rsid w:val="00495B50"/>
    <w:rsid w:val="00495F35"/>
    <w:rsid w:val="00496186"/>
    <w:rsid w:val="00496351"/>
    <w:rsid w:val="00496B95"/>
    <w:rsid w:val="004976AC"/>
    <w:rsid w:val="00497B10"/>
    <w:rsid w:val="004A05B5"/>
    <w:rsid w:val="004A0972"/>
    <w:rsid w:val="004A0B3F"/>
    <w:rsid w:val="004A11F8"/>
    <w:rsid w:val="004A16C6"/>
    <w:rsid w:val="004A173E"/>
    <w:rsid w:val="004A183F"/>
    <w:rsid w:val="004A1B09"/>
    <w:rsid w:val="004A1E90"/>
    <w:rsid w:val="004A1EF4"/>
    <w:rsid w:val="004A1FF8"/>
    <w:rsid w:val="004A2094"/>
    <w:rsid w:val="004A258B"/>
    <w:rsid w:val="004A2F2E"/>
    <w:rsid w:val="004A3419"/>
    <w:rsid w:val="004A3A49"/>
    <w:rsid w:val="004A52A6"/>
    <w:rsid w:val="004A5667"/>
    <w:rsid w:val="004A5942"/>
    <w:rsid w:val="004A5BC7"/>
    <w:rsid w:val="004A5D6F"/>
    <w:rsid w:val="004A617D"/>
    <w:rsid w:val="004A6257"/>
    <w:rsid w:val="004A70F3"/>
    <w:rsid w:val="004A7144"/>
    <w:rsid w:val="004A7339"/>
    <w:rsid w:val="004A79F0"/>
    <w:rsid w:val="004A7BEC"/>
    <w:rsid w:val="004A7E5C"/>
    <w:rsid w:val="004B01BA"/>
    <w:rsid w:val="004B0689"/>
    <w:rsid w:val="004B0B09"/>
    <w:rsid w:val="004B0C2F"/>
    <w:rsid w:val="004B0DCD"/>
    <w:rsid w:val="004B0E0B"/>
    <w:rsid w:val="004B0EDD"/>
    <w:rsid w:val="004B13E6"/>
    <w:rsid w:val="004B1BE5"/>
    <w:rsid w:val="004B24F2"/>
    <w:rsid w:val="004B2543"/>
    <w:rsid w:val="004B2554"/>
    <w:rsid w:val="004B2646"/>
    <w:rsid w:val="004B2AD6"/>
    <w:rsid w:val="004B2DCD"/>
    <w:rsid w:val="004B316C"/>
    <w:rsid w:val="004B31A2"/>
    <w:rsid w:val="004B327C"/>
    <w:rsid w:val="004B3699"/>
    <w:rsid w:val="004B3822"/>
    <w:rsid w:val="004B3950"/>
    <w:rsid w:val="004B3A73"/>
    <w:rsid w:val="004B3ACD"/>
    <w:rsid w:val="004B3D32"/>
    <w:rsid w:val="004B3DE0"/>
    <w:rsid w:val="004B3E96"/>
    <w:rsid w:val="004B44D1"/>
    <w:rsid w:val="004B520F"/>
    <w:rsid w:val="004B5283"/>
    <w:rsid w:val="004B541C"/>
    <w:rsid w:val="004B5B99"/>
    <w:rsid w:val="004B5E6C"/>
    <w:rsid w:val="004B6F69"/>
    <w:rsid w:val="004B705D"/>
    <w:rsid w:val="004B70BC"/>
    <w:rsid w:val="004B71DC"/>
    <w:rsid w:val="004B788A"/>
    <w:rsid w:val="004B7BB8"/>
    <w:rsid w:val="004B7F0B"/>
    <w:rsid w:val="004C0442"/>
    <w:rsid w:val="004C051E"/>
    <w:rsid w:val="004C0C8C"/>
    <w:rsid w:val="004C1192"/>
    <w:rsid w:val="004C124F"/>
    <w:rsid w:val="004C19F4"/>
    <w:rsid w:val="004C1E57"/>
    <w:rsid w:val="004C1FA2"/>
    <w:rsid w:val="004C20D2"/>
    <w:rsid w:val="004C28A0"/>
    <w:rsid w:val="004C2CDF"/>
    <w:rsid w:val="004C3017"/>
    <w:rsid w:val="004C31F0"/>
    <w:rsid w:val="004C32D2"/>
    <w:rsid w:val="004C33D2"/>
    <w:rsid w:val="004C33DA"/>
    <w:rsid w:val="004C36C5"/>
    <w:rsid w:val="004C38AD"/>
    <w:rsid w:val="004C4074"/>
    <w:rsid w:val="004C4B62"/>
    <w:rsid w:val="004C4B6F"/>
    <w:rsid w:val="004C4D01"/>
    <w:rsid w:val="004C518B"/>
    <w:rsid w:val="004C526B"/>
    <w:rsid w:val="004C54C9"/>
    <w:rsid w:val="004C5730"/>
    <w:rsid w:val="004C5B63"/>
    <w:rsid w:val="004C5D37"/>
    <w:rsid w:val="004C5E9F"/>
    <w:rsid w:val="004C5ED3"/>
    <w:rsid w:val="004C609C"/>
    <w:rsid w:val="004C642E"/>
    <w:rsid w:val="004C6757"/>
    <w:rsid w:val="004C67C3"/>
    <w:rsid w:val="004C67FF"/>
    <w:rsid w:val="004C6870"/>
    <w:rsid w:val="004C69F4"/>
    <w:rsid w:val="004C6A80"/>
    <w:rsid w:val="004C6FB2"/>
    <w:rsid w:val="004C7312"/>
    <w:rsid w:val="004C7450"/>
    <w:rsid w:val="004C78D5"/>
    <w:rsid w:val="004C7A88"/>
    <w:rsid w:val="004D0030"/>
    <w:rsid w:val="004D0630"/>
    <w:rsid w:val="004D0917"/>
    <w:rsid w:val="004D0E7F"/>
    <w:rsid w:val="004D0F07"/>
    <w:rsid w:val="004D182F"/>
    <w:rsid w:val="004D19C3"/>
    <w:rsid w:val="004D2149"/>
    <w:rsid w:val="004D2643"/>
    <w:rsid w:val="004D30AE"/>
    <w:rsid w:val="004D3DAE"/>
    <w:rsid w:val="004D3DDC"/>
    <w:rsid w:val="004D4178"/>
    <w:rsid w:val="004D43BA"/>
    <w:rsid w:val="004D4704"/>
    <w:rsid w:val="004D4AD2"/>
    <w:rsid w:val="004D4B43"/>
    <w:rsid w:val="004D4BC8"/>
    <w:rsid w:val="004D4C6B"/>
    <w:rsid w:val="004D4FEE"/>
    <w:rsid w:val="004D5333"/>
    <w:rsid w:val="004D53D0"/>
    <w:rsid w:val="004D5A17"/>
    <w:rsid w:val="004D5EBF"/>
    <w:rsid w:val="004D5ED4"/>
    <w:rsid w:val="004D5F62"/>
    <w:rsid w:val="004D6025"/>
    <w:rsid w:val="004D60D4"/>
    <w:rsid w:val="004D631A"/>
    <w:rsid w:val="004D6324"/>
    <w:rsid w:val="004D6460"/>
    <w:rsid w:val="004D64FB"/>
    <w:rsid w:val="004D6611"/>
    <w:rsid w:val="004D6A88"/>
    <w:rsid w:val="004D6AC8"/>
    <w:rsid w:val="004D6DF5"/>
    <w:rsid w:val="004D6F68"/>
    <w:rsid w:val="004D7133"/>
    <w:rsid w:val="004D741F"/>
    <w:rsid w:val="004D7BB7"/>
    <w:rsid w:val="004E07AE"/>
    <w:rsid w:val="004E0DAA"/>
    <w:rsid w:val="004E0FCD"/>
    <w:rsid w:val="004E17C8"/>
    <w:rsid w:val="004E1D1E"/>
    <w:rsid w:val="004E1DE1"/>
    <w:rsid w:val="004E1FA6"/>
    <w:rsid w:val="004E2649"/>
    <w:rsid w:val="004E274B"/>
    <w:rsid w:val="004E2C4D"/>
    <w:rsid w:val="004E308B"/>
    <w:rsid w:val="004E3657"/>
    <w:rsid w:val="004E3AB5"/>
    <w:rsid w:val="004E3B05"/>
    <w:rsid w:val="004E4868"/>
    <w:rsid w:val="004E4F27"/>
    <w:rsid w:val="004E4F29"/>
    <w:rsid w:val="004E4F80"/>
    <w:rsid w:val="004E50AF"/>
    <w:rsid w:val="004E5351"/>
    <w:rsid w:val="004E54FC"/>
    <w:rsid w:val="004E58ED"/>
    <w:rsid w:val="004E6D2E"/>
    <w:rsid w:val="004E6EA6"/>
    <w:rsid w:val="004E73D4"/>
    <w:rsid w:val="004E77CB"/>
    <w:rsid w:val="004E788C"/>
    <w:rsid w:val="004E7996"/>
    <w:rsid w:val="004E79B7"/>
    <w:rsid w:val="004E7E35"/>
    <w:rsid w:val="004F0290"/>
    <w:rsid w:val="004F0655"/>
    <w:rsid w:val="004F11A9"/>
    <w:rsid w:val="004F11E7"/>
    <w:rsid w:val="004F18E4"/>
    <w:rsid w:val="004F1A94"/>
    <w:rsid w:val="004F1AF1"/>
    <w:rsid w:val="004F1B7B"/>
    <w:rsid w:val="004F1DA0"/>
    <w:rsid w:val="004F2230"/>
    <w:rsid w:val="004F23A6"/>
    <w:rsid w:val="004F2C05"/>
    <w:rsid w:val="004F2CE6"/>
    <w:rsid w:val="004F2EE9"/>
    <w:rsid w:val="004F3269"/>
    <w:rsid w:val="004F334B"/>
    <w:rsid w:val="004F34D2"/>
    <w:rsid w:val="004F361D"/>
    <w:rsid w:val="004F36CD"/>
    <w:rsid w:val="004F3B0B"/>
    <w:rsid w:val="004F3C45"/>
    <w:rsid w:val="004F3CB3"/>
    <w:rsid w:val="004F423E"/>
    <w:rsid w:val="004F46D8"/>
    <w:rsid w:val="004F4ACF"/>
    <w:rsid w:val="004F4EED"/>
    <w:rsid w:val="004F4F61"/>
    <w:rsid w:val="004F4FF8"/>
    <w:rsid w:val="004F5006"/>
    <w:rsid w:val="004F5715"/>
    <w:rsid w:val="004F573D"/>
    <w:rsid w:val="004F57C9"/>
    <w:rsid w:val="004F57FF"/>
    <w:rsid w:val="004F5B2D"/>
    <w:rsid w:val="004F600F"/>
    <w:rsid w:val="004F604D"/>
    <w:rsid w:val="004F6231"/>
    <w:rsid w:val="004F6A8C"/>
    <w:rsid w:val="004F6B5E"/>
    <w:rsid w:val="004F6BA3"/>
    <w:rsid w:val="00500955"/>
    <w:rsid w:val="00500E27"/>
    <w:rsid w:val="005011E6"/>
    <w:rsid w:val="0050125E"/>
    <w:rsid w:val="00501399"/>
    <w:rsid w:val="005013C5"/>
    <w:rsid w:val="00501B1B"/>
    <w:rsid w:val="00501D9A"/>
    <w:rsid w:val="00501F6C"/>
    <w:rsid w:val="00502121"/>
    <w:rsid w:val="00502BA5"/>
    <w:rsid w:val="00502E53"/>
    <w:rsid w:val="0050307A"/>
    <w:rsid w:val="005032BD"/>
    <w:rsid w:val="0050364E"/>
    <w:rsid w:val="00503A50"/>
    <w:rsid w:val="0050429C"/>
    <w:rsid w:val="0050469A"/>
    <w:rsid w:val="00504A1A"/>
    <w:rsid w:val="00504D4C"/>
    <w:rsid w:val="00504DD5"/>
    <w:rsid w:val="00504FE2"/>
    <w:rsid w:val="00505151"/>
    <w:rsid w:val="00505527"/>
    <w:rsid w:val="005055D2"/>
    <w:rsid w:val="005059A1"/>
    <w:rsid w:val="00505A3B"/>
    <w:rsid w:val="00505A4D"/>
    <w:rsid w:val="00505D03"/>
    <w:rsid w:val="0050633D"/>
    <w:rsid w:val="00506D0A"/>
    <w:rsid w:val="005070E5"/>
    <w:rsid w:val="00507BC4"/>
    <w:rsid w:val="005101F6"/>
    <w:rsid w:val="00510211"/>
    <w:rsid w:val="00510234"/>
    <w:rsid w:val="00510255"/>
    <w:rsid w:val="00510325"/>
    <w:rsid w:val="0051067D"/>
    <w:rsid w:val="00510CEA"/>
    <w:rsid w:val="0051128D"/>
    <w:rsid w:val="005114B6"/>
    <w:rsid w:val="00511514"/>
    <w:rsid w:val="005121F5"/>
    <w:rsid w:val="00512302"/>
    <w:rsid w:val="00512714"/>
    <w:rsid w:val="005128E4"/>
    <w:rsid w:val="00512E8A"/>
    <w:rsid w:val="005133DB"/>
    <w:rsid w:val="005134B9"/>
    <w:rsid w:val="00513755"/>
    <w:rsid w:val="005139D5"/>
    <w:rsid w:val="00513CB7"/>
    <w:rsid w:val="00513E30"/>
    <w:rsid w:val="00514330"/>
    <w:rsid w:val="0051487D"/>
    <w:rsid w:val="005155B3"/>
    <w:rsid w:val="00515A14"/>
    <w:rsid w:val="00515B37"/>
    <w:rsid w:val="0051673E"/>
    <w:rsid w:val="00516871"/>
    <w:rsid w:val="005169D0"/>
    <w:rsid w:val="00516C63"/>
    <w:rsid w:val="00516DCE"/>
    <w:rsid w:val="00517746"/>
    <w:rsid w:val="00520869"/>
    <w:rsid w:val="00520AD9"/>
    <w:rsid w:val="005216DC"/>
    <w:rsid w:val="0052196E"/>
    <w:rsid w:val="00521C52"/>
    <w:rsid w:val="00521C8E"/>
    <w:rsid w:val="00521CF5"/>
    <w:rsid w:val="0052239B"/>
    <w:rsid w:val="0052266E"/>
    <w:rsid w:val="00522F4D"/>
    <w:rsid w:val="0052356C"/>
    <w:rsid w:val="005239B1"/>
    <w:rsid w:val="0052405D"/>
    <w:rsid w:val="0052425B"/>
    <w:rsid w:val="005245C0"/>
    <w:rsid w:val="0052469C"/>
    <w:rsid w:val="0052491D"/>
    <w:rsid w:val="00524C2F"/>
    <w:rsid w:val="00524D3F"/>
    <w:rsid w:val="005254C4"/>
    <w:rsid w:val="00525560"/>
    <w:rsid w:val="0052567E"/>
    <w:rsid w:val="005259A3"/>
    <w:rsid w:val="00526081"/>
    <w:rsid w:val="005260C9"/>
    <w:rsid w:val="00526252"/>
    <w:rsid w:val="00527688"/>
    <w:rsid w:val="005276EF"/>
    <w:rsid w:val="005278B0"/>
    <w:rsid w:val="00527D40"/>
    <w:rsid w:val="00527E01"/>
    <w:rsid w:val="00527E99"/>
    <w:rsid w:val="0053004F"/>
    <w:rsid w:val="00530AED"/>
    <w:rsid w:val="00530D87"/>
    <w:rsid w:val="00530E8B"/>
    <w:rsid w:val="005319E8"/>
    <w:rsid w:val="00531BC2"/>
    <w:rsid w:val="00531E33"/>
    <w:rsid w:val="00531F93"/>
    <w:rsid w:val="0053252B"/>
    <w:rsid w:val="00532590"/>
    <w:rsid w:val="00532692"/>
    <w:rsid w:val="00532A86"/>
    <w:rsid w:val="005334E2"/>
    <w:rsid w:val="0053366D"/>
    <w:rsid w:val="0053407C"/>
    <w:rsid w:val="005342C2"/>
    <w:rsid w:val="00534382"/>
    <w:rsid w:val="00534464"/>
    <w:rsid w:val="00536644"/>
    <w:rsid w:val="00536BCA"/>
    <w:rsid w:val="00536EA7"/>
    <w:rsid w:val="0053714C"/>
    <w:rsid w:val="0053723D"/>
    <w:rsid w:val="0053747D"/>
    <w:rsid w:val="00537BA6"/>
    <w:rsid w:val="00537E23"/>
    <w:rsid w:val="00537E73"/>
    <w:rsid w:val="005403C4"/>
    <w:rsid w:val="00540577"/>
    <w:rsid w:val="005406CB"/>
    <w:rsid w:val="005408E8"/>
    <w:rsid w:val="00540A6A"/>
    <w:rsid w:val="00540C2B"/>
    <w:rsid w:val="00540EA2"/>
    <w:rsid w:val="005410E2"/>
    <w:rsid w:val="00541B5A"/>
    <w:rsid w:val="00541F66"/>
    <w:rsid w:val="0054210D"/>
    <w:rsid w:val="0054242C"/>
    <w:rsid w:val="00542560"/>
    <w:rsid w:val="00542583"/>
    <w:rsid w:val="00542774"/>
    <w:rsid w:val="00542A42"/>
    <w:rsid w:val="00542A9F"/>
    <w:rsid w:val="0054312D"/>
    <w:rsid w:val="005432FB"/>
    <w:rsid w:val="00543399"/>
    <w:rsid w:val="00543E41"/>
    <w:rsid w:val="00543EE5"/>
    <w:rsid w:val="00543FF6"/>
    <w:rsid w:val="00544007"/>
    <w:rsid w:val="00544144"/>
    <w:rsid w:val="0054436F"/>
    <w:rsid w:val="005444EF"/>
    <w:rsid w:val="00544570"/>
    <w:rsid w:val="00544ABA"/>
    <w:rsid w:val="00544C49"/>
    <w:rsid w:val="00544F8F"/>
    <w:rsid w:val="00544FDE"/>
    <w:rsid w:val="005451EB"/>
    <w:rsid w:val="0054575C"/>
    <w:rsid w:val="00545A37"/>
    <w:rsid w:val="00545E4B"/>
    <w:rsid w:val="00545FCB"/>
    <w:rsid w:val="0054604C"/>
    <w:rsid w:val="005461B1"/>
    <w:rsid w:val="0054729D"/>
    <w:rsid w:val="00547331"/>
    <w:rsid w:val="0054741E"/>
    <w:rsid w:val="005477CF"/>
    <w:rsid w:val="00547E2E"/>
    <w:rsid w:val="00550CD0"/>
    <w:rsid w:val="00550D2B"/>
    <w:rsid w:val="00550F89"/>
    <w:rsid w:val="00550FA9"/>
    <w:rsid w:val="0055110A"/>
    <w:rsid w:val="00551166"/>
    <w:rsid w:val="005516A1"/>
    <w:rsid w:val="00551CBD"/>
    <w:rsid w:val="005520EC"/>
    <w:rsid w:val="00552344"/>
    <w:rsid w:val="0055250F"/>
    <w:rsid w:val="00552650"/>
    <w:rsid w:val="00552E56"/>
    <w:rsid w:val="00552EF8"/>
    <w:rsid w:val="00553A72"/>
    <w:rsid w:val="00553A91"/>
    <w:rsid w:val="00553FAF"/>
    <w:rsid w:val="0055459E"/>
    <w:rsid w:val="005545D8"/>
    <w:rsid w:val="00555008"/>
    <w:rsid w:val="005552E9"/>
    <w:rsid w:val="005553B9"/>
    <w:rsid w:val="005554D2"/>
    <w:rsid w:val="00555928"/>
    <w:rsid w:val="00555B04"/>
    <w:rsid w:val="00555F9E"/>
    <w:rsid w:val="00556012"/>
    <w:rsid w:val="00556013"/>
    <w:rsid w:val="00556617"/>
    <w:rsid w:val="0055682B"/>
    <w:rsid w:val="00556E03"/>
    <w:rsid w:val="00557549"/>
    <w:rsid w:val="00557B7A"/>
    <w:rsid w:val="00557E63"/>
    <w:rsid w:val="00557F06"/>
    <w:rsid w:val="00560142"/>
    <w:rsid w:val="00560418"/>
    <w:rsid w:val="00560543"/>
    <w:rsid w:val="00560687"/>
    <w:rsid w:val="005606BF"/>
    <w:rsid w:val="00560D7D"/>
    <w:rsid w:val="00560DA6"/>
    <w:rsid w:val="00560E5B"/>
    <w:rsid w:val="005613EE"/>
    <w:rsid w:val="00561A87"/>
    <w:rsid w:val="00561C20"/>
    <w:rsid w:val="00561FA0"/>
    <w:rsid w:val="005626E9"/>
    <w:rsid w:val="00563158"/>
    <w:rsid w:val="005634B9"/>
    <w:rsid w:val="0056357E"/>
    <w:rsid w:val="00563767"/>
    <w:rsid w:val="00563885"/>
    <w:rsid w:val="00563887"/>
    <w:rsid w:val="0056392C"/>
    <w:rsid w:val="0056392F"/>
    <w:rsid w:val="00563977"/>
    <w:rsid w:val="00563B06"/>
    <w:rsid w:val="00563F9A"/>
    <w:rsid w:val="005644B8"/>
    <w:rsid w:val="0056495C"/>
    <w:rsid w:val="00564C6E"/>
    <w:rsid w:val="00565026"/>
    <w:rsid w:val="005652C1"/>
    <w:rsid w:val="0056548E"/>
    <w:rsid w:val="00565499"/>
    <w:rsid w:val="00565684"/>
    <w:rsid w:val="00565A04"/>
    <w:rsid w:val="00566347"/>
    <w:rsid w:val="0056639B"/>
    <w:rsid w:val="00566921"/>
    <w:rsid w:val="00566BC9"/>
    <w:rsid w:val="0056708D"/>
    <w:rsid w:val="005674CB"/>
    <w:rsid w:val="005679FF"/>
    <w:rsid w:val="00570607"/>
    <w:rsid w:val="00570B7D"/>
    <w:rsid w:val="00570C70"/>
    <w:rsid w:val="00571064"/>
    <w:rsid w:val="005715B7"/>
    <w:rsid w:val="00571632"/>
    <w:rsid w:val="00571A38"/>
    <w:rsid w:val="00571DE0"/>
    <w:rsid w:val="00572700"/>
    <w:rsid w:val="00572A86"/>
    <w:rsid w:val="00572B98"/>
    <w:rsid w:val="00572DDE"/>
    <w:rsid w:val="00573798"/>
    <w:rsid w:val="00573C8E"/>
    <w:rsid w:val="0057402A"/>
    <w:rsid w:val="00574086"/>
    <w:rsid w:val="0057447D"/>
    <w:rsid w:val="00574BE6"/>
    <w:rsid w:val="00574E64"/>
    <w:rsid w:val="00574EF7"/>
    <w:rsid w:val="00575540"/>
    <w:rsid w:val="00575753"/>
    <w:rsid w:val="00575C14"/>
    <w:rsid w:val="00575DBB"/>
    <w:rsid w:val="00575E2A"/>
    <w:rsid w:val="00575E9C"/>
    <w:rsid w:val="0057643D"/>
    <w:rsid w:val="00576860"/>
    <w:rsid w:val="00576F11"/>
    <w:rsid w:val="005771D0"/>
    <w:rsid w:val="005772F8"/>
    <w:rsid w:val="00577581"/>
    <w:rsid w:val="00577665"/>
    <w:rsid w:val="00577C88"/>
    <w:rsid w:val="00577EB1"/>
    <w:rsid w:val="00580031"/>
    <w:rsid w:val="00580333"/>
    <w:rsid w:val="005803E9"/>
    <w:rsid w:val="00580CCA"/>
    <w:rsid w:val="0058101F"/>
    <w:rsid w:val="0058177F"/>
    <w:rsid w:val="0058192E"/>
    <w:rsid w:val="0058194B"/>
    <w:rsid w:val="00581A89"/>
    <w:rsid w:val="00581DFC"/>
    <w:rsid w:val="005825C4"/>
    <w:rsid w:val="00582AE1"/>
    <w:rsid w:val="00582F5F"/>
    <w:rsid w:val="00582FE3"/>
    <w:rsid w:val="0058377A"/>
    <w:rsid w:val="005837C1"/>
    <w:rsid w:val="00583C78"/>
    <w:rsid w:val="0058400D"/>
    <w:rsid w:val="005842E2"/>
    <w:rsid w:val="00584C57"/>
    <w:rsid w:val="00584D24"/>
    <w:rsid w:val="00584DD1"/>
    <w:rsid w:val="005855B2"/>
    <w:rsid w:val="005858DC"/>
    <w:rsid w:val="00585A8F"/>
    <w:rsid w:val="00585E67"/>
    <w:rsid w:val="00585FFF"/>
    <w:rsid w:val="0058619A"/>
    <w:rsid w:val="005862CB"/>
    <w:rsid w:val="00586F50"/>
    <w:rsid w:val="00587276"/>
    <w:rsid w:val="005874C8"/>
    <w:rsid w:val="00587C05"/>
    <w:rsid w:val="00587CE3"/>
    <w:rsid w:val="00587D44"/>
    <w:rsid w:val="00587D9C"/>
    <w:rsid w:val="00587EDF"/>
    <w:rsid w:val="0059005F"/>
    <w:rsid w:val="00590771"/>
    <w:rsid w:val="00590A5F"/>
    <w:rsid w:val="00590B1D"/>
    <w:rsid w:val="00590CE7"/>
    <w:rsid w:val="00591708"/>
    <w:rsid w:val="005918C2"/>
    <w:rsid w:val="0059191A"/>
    <w:rsid w:val="00591D12"/>
    <w:rsid w:val="005921DF"/>
    <w:rsid w:val="005921FF"/>
    <w:rsid w:val="005923CF"/>
    <w:rsid w:val="00592672"/>
    <w:rsid w:val="00592B7B"/>
    <w:rsid w:val="00592F5D"/>
    <w:rsid w:val="005934E4"/>
    <w:rsid w:val="00593870"/>
    <w:rsid w:val="00593896"/>
    <w:rsid w:val="0059391D"/>
    <w:rsid w:val="00594297"/>
    <w:rsid w:val="00594B9F"/>
    <w:rsid w:val="00594FFE"/>
    <w:rsid w:val="00595615"/>
    <w:rsid w:val="00595E71"/>
    <w:rsid w:val="0059609F"/>
    <w:rsid w:val="0059641C"/>
    <w:rsid w:val="00596572"/>
    <w:rsid w:val="0059662E"/>
    <w:rsid w:val="005967AB"/>
    <w:rsid w:val="00596865"/>
    <w:rsid w:val="00596876"/>
    <w:rsid w:val="00596CAC"/>
    <w:rsid w:val="00596F17"/>
    <w:rsid w:val="00597060"/>
    <w:rsid w:val="005970A8"/>
    <w:rsid w:val="005970DF"/>
    <w:rsid w:val="0059717F"/>
    <w:rsid w:val="005976A9"/>
    <w:rsid w:val="00597ADB"/>
    <w:rsid w:val="00597D4B"/>
    <w:rsid w:val="005A066F"/>
    <w:rsid w:val="005A0918"/>
    <w:rsid w:val="005A1455"/>
    <w:rsid w:val="005A201E"/>
    <w:rsid w:val="005A212B"/>
    <w:rsid w:val="005A22F6"/>
    <w:rsid w:val="005A2996"/>
    <w:rsid w:val="005A3348"/>
    <w:rsid w:val="005A3463"/>
    <w:rsid w:val="005A36F2"/>
    <w:rsid w:val="005A3E3F"/>
    <w:rsid w:val="005A3EFF"/>
    <w:rsid w:val="005A42A8"/>
    <w:rsid w:val="005A4311"/>
    <w:rsid w:val="005A46A2"/>
    <w:rsid w:val="005A4777"/>
    <w:rsid w:val="005A4CFA"/>
    <w:rsid w:val="005A5125"/>
    <w:rsid w:val="005A5320"/>
    <w:rsid w:val="005A545C"/>
    <w:rsid w:val="005A555E"/>
    <w:rsid w:val="005A55AD"/>
    <w:rsid w:val="005A5C58"/>
    <w:rsid w:val="005A5F2C"/>
    <w:rsid w:val="005A61C9"/>
    <w:rsid w:val="005A63AF"/>
    <w:rsid w:val="005A64E9"/>
    <w:rsid w:val="005A672C"/>
    <w:rsid w:val="005A68B0"/>
    <w:rsid w:val="005A6D0E"/>
    <w:rsid w:val="005A702E"/>
    <w:rsid w:val="005A7188"/>
    <w:rsid w:val="005A71C6"/>
    <w:rsid w:val="005A763E"/>
    <w:rsid w:val="005A77C4"/>
    <w:rsid w:val="005A78EF"/>
    <w:rsid w:val="005A7A04"/>
    <w:rsid w:val="005A7A72"/>
    <w:rsid w:val="005A7D4B"/>
    <w:rsid w:val="005A7ED9"/>
    <w:rsid w:val="005A7FEA"/>
    <w:rsid w:val="005B018D"/>
    <w:rsid w:val="005B048D"/>
    <w:rsid w:val="005B0E0E"/>
    <w:rsid w:val="005B1236"/>
    <w:rsid w:val="005B142C"/>
    <w:rsid w:val="005B155B"/>
    <w:rsid w:val="005B1670"/>
    <w:rsid w:val="005B1C5F"/>
    <w:rsid w:val="005B22CA"/>
    <w:rsid w:val="005B2461"/>
    <w:rsid w:val="005B27A1"/>
    <w:rsid w:val="005B2B19"/>
    <w:rsid w:val="005B307E"/>
    <w:rsid w:val="005B3401"/>
    <w:rsid w:val="005B3533"/>
    <w:rsid w:val="005B3859"/>
    <w:rsid w:val="005B3A06"/>
    <w:rsid w:val="005B3CF4"/>
    <w:rsid w:val="005B4313"/>
    <w:rsid w:val="005B4396"/>
    <w:rsid w:val="005B4442"/>
    <w:rsid w:val="005B458F"/>
    <w:rsid w:val="005B4954"/>
    <w:rsid w:val="005B4B89"/>
    <w:rsid w:val="005B52B0"/>
    <w:rsid w:val="005B542E"/>
    <w:rsid w:val="005B586F"/>
    <w:rsid w:val="005B5E1E"/>
    <w:rsid w:val="005B66E4"/>
    <w:rsid w:val="005B6806"/>
    <w:rsid w:val="005B6890"/>
    <w:rsid w:val="005B6B14"/>
    <w:rsid w:val="005B6B30"/>
    <w:rsid w:val="005B7153"/>
    <w:rsid w:val="005C0276"/>
    <w:rsid w:val="005C04F7"/>
    <w:rsid w:val="005C0569"/>
    <w:rsid w:val="005C0612"/>
    <w:rsid w:val="005C0771"/>
    <w:rsid w:val="005C0C4D"/>
    <w:rsid w:val="005C1183"/>
    <w:rsid w:val="005C13B1"/>
    <w:rsid w:val="005C1795"/>
    <w:rsid w:val="005C181C"/>
    <w:rsid w:val="005C1A4C"/>
    <w:rsid w:val="005C1E7A"/>
    <w:rsid w:val="005C2417"/>
    <w:rsid w:val="005C29D7"/>
    <w:rsid w:val="005C319B"/>
    <w:rsid w:val="005C31A7"/>
    <w:rsid w:val="005C3AF8"/>
    <w:rsid w:val="005C4225"/>
    <w:rsid w:val="005C439E"/>
    <w:rsid w:val="005C4651"/>
    <w:rsid w:val="005C4767"/>
    <w:rsid w:val="005C49B8"/>
    <w:rsid w:val="005C4BC0"/>
    <w:rsid w:val="005C4F99"/>
    <w:rsid w:val="005C5371"/>
    <w:rsid w:val="005C5643"/>
    <w:rsid w:val="005C57A0"/>
    <w:rsid w:val="005C612F"/>
    <w:rsid w:val="005C6514"/>
    <w:rsid w:val="005C6F03"/>
    <w:rsid w:val="005C71A5"/>
    <w:rsid w:val="005C7488"/>
    <w:rsid w:val="005C74BF"/>
    <w:rsid w:val="005C7F7D"/>
    <w:rsid w:val="005D0F5C"/>
    <w:rsid w:val="005D1F4F"/>
    <w:rsid w:val="005D2501"/>
    <w:rsid w:val="005D2926"/>
    <w:rsid w:val="005D2B1A"/>
    <w:rsid w:val="005D3109"/>
    <w:rsid w:val="005D334C"/>
    <w:rsid w:val="005D35DB"/>
    <w:rsid w:val="005D3C3E"/>
    <w:rsid w:val="005D3CB6"/>
    <w:rsid w:val="005D4463"/>
    <w:rsid w:val="005D44F3"/>
    <w:rsid w:val="005D4947"/>
    <w:rsid w:val="005D4AA9"/>
    <w:rsid w:val="005D4B0E"/>
    <w:rsid w:val="005D4BFB"/>
    <w:rsid w:val="005D4DAE"/>
    <w:rsid w:val="005D52C5"/>
    <w:rsid w:val="005D5539"/>
    <w:rsid w:val="005D5CC0"/>
    <w:rsid w:val="005D5CD2"/>
    <w:rsid w:val="005D6024"/>
    <w:rsid w:val="005D64B9"/>
    <w:rsid w:val="005D6695"/>
    <w:rsid w:val="005D6E8A"/>
    <w:rsid w:val="005E00FD"/>
    <w:rsid w:val="005E04E5"/>
    <w:rsid w:val="005E081B"/>
    <w:rsid w:val="005E09DC"/>
    <w:rsid w:val="005E0A12"/>
    <w:rsid w:val="005E1599"/>
    <w:rsid w:val="005E17DF"/>
    <w:rsid w:val="005E1AE1"/>
    <w:rsid w:val="005E1BBF"/>
    <w:rsid w:val="005E1D97"/>
    <w:rsid w:val="005E1F03"/>
    <w:rsid w:val="005E21D4"/>
    <w:rsid w:val="005E2874"/>
    <w:rsid w:val="005E2A54"/>
    <w:rsid w:val="005E3919"/>
    <w:rsid w:val="005E3988"/>
    <w:rsid w:val="005E39C7"/>
    <w:rsid w:val="005E3B7F"/>
    <w:rsid w:val="005E3C6C"/>
    <w:rsid w:val="005E4055"/>
    <w:rsid w:val="005E4081"/>
    <w:rsid w:val="005E421A"/>
    <w:rsid w:val="005E441F"/>
    <w:rsid w:val="005E4479"/>
    <w:rsid w:val="005E45A4"/>
    <w:rsid w:val="005E5437"/>
    <w:rsid w:val="005E5580"/>
    <w:rsid w:val="005E59D9"/>
    <w:rsid w:val="005E63E4"/>
    <w:rsid w:val="005E6458"/>
    <w:rsid w:val="005E6507"/>
    <w:rsid w:val="005E65A6"/>
    <w:rsid w:val="005E65A7"/>
    <w:rsid w:val="005E66E5"/>
    <w:rsid w:val="005E699D"/>
    <w:rsid w:val="005E6E99"/>
    <w:rsid w:val="005E6F6C"/>
    <w:rsid w:val="005E730B"/>
    <w:rsid w:val="005E7839"/>
    <w:rsid w:val="005F05EF"/>
    <w:rsid w:val="005F0DAD"/>
    <w:rsid w:val="005F0F33"/>
    <w:rsid w:val="005F10FD"/>
    <w:rsid w:val="005F12AF"/>
    <w:rsid w:val="005F13C6"/>
    <w:rsid w:val="005F178D"/>
    <w:rsid w:val="005F1F3B"/>
    <w:rsid w:val="005F1F6E"/>
    <w:rsid w:val="005F25C4"/>
    <w:rsid w:val="005F2751"/>
    <w:rsid w:val="005F2F23"/>
    <w:rsid w:val="005F349E"/>
    <w:rsid w:val="005F3A3B"/>
    <w:rsid w:val="005F3BAA"/>
    <w:rsid w:val="005F3DAE"/>
    <w:rsid w:val="005F3FA3"/>
    <w:rsid w:val="005F400F"/>
    <w:rsid w:val="005F41B6"/>
    <w:rsid w:val="005F4819"/>
    <w:rsid w:val="005F4951"/>
    <w:rsid w:val="005F539F"/>
    <w:rsid w:val="005F5622"/>
    <w:rsid w:val="005F62A4"/>
    <w:rsid w:val="005F6475"/>
    <w:rsid w:val="005F66E5"/>
    <w:rsid w:val="005F6AA6"/>
    <w:rsid w:val="005F6F1E"/>
    <w:rsid w:val="005F74FD"/>
    <w:rsid w:val="005F7876"/>
    <w:rsid w:val="005F7DE2"/>
    <w:rsid w:val="005F7EE4"/>
    <w:rsid w:val="005F7F85"/>
    <w:rsid w:val="005F7FD1"/>
    <w:rsid w:val="00600363"/>
    <w:rsid w:val="00600DEB"/>
    <w:rsid w:val="00600ED5"/>
    <w:rsid w:val="0060104B"/>
    <w:rsid w:val="00601AC3"/>
    <w:rsid w:val="00601D10"/>
    <w:rsid w:val="0060208A"/>
    <w:rsid w:val="00602325"/>
    <w:rsid w:val="00602481"/>
    <w:rsid w:val="006027F0"/>
    <w:rsid w:val="00602908"/>
    <w:rsid w:val="00602B78"/>
    <w:rsid w:val="00602BE9"/>
    <w:rsid w:val="006031D9"/>
    <w:rsid w:val="006032C8"/>
    <w:rsid w:val="00603A60"/>
    <w:rsid w:val="00603A8C"/>
    <w:rsid w:val="00603CC3"/>
    <w:rsid w:val="00603E73"/>
    <w:rsid w:val="00603F1F"/>
    <w:rsid w:val="00603F29"/>
    <w:rsid w:val="00604126"/>
    <w:rsid w:val="0060419C"/>
    <w:rsid w:val="00604481"/>
    <w:rsid w:val="006049D5"/>
    <w:rsid w:val="00604A58"/>
    <w:rsid w:val="00604E7B"/>
    <w:rsid w:val="006055B4"/>
    <w:rsid w:val="00605636"/>
    <w:rsid w:val="00605639"/>
    <w:rsid w:val="00605C21"/>
    <w:rsid w:val="00605DF3"/>
    <w:rsid w:val="00605ED0"/>
    <w:rsid w:val="00605F21"/>
    <w:rsid w:val="00606418"/>
    <w:rsid w:val="0060676C"/>
    <w:rsid w:val="00606B13"/>
    <w:rsid w:val="0060703A"/>
    <w:rsid w:val="006070A1"/>
    <w:rsid w:val="006078DA"/>
    <w:rsid w:val="00607CE0"/>
    <w:rsid w:val="00607FBB"/>
    <w:rsid w:val="00610191"/>
    <w:rsid w:val="0061040B"/>
    <w:rsid w:val="0061044D"/>
    <w:rsid w:val="006104A9"/>
    <w:rsid w:val="00610598"/>
    <w:rsid w:val="006105BA"/>
    <w:rsid w:val="0061067B"/>
    <w:rsid w:val="00610D16"/>
    <w:rsid w:val="00610F85"/>
    <w:rsid w:val="00611411"/>
    <w:rsid w:val="006118C9"/>
    <w:rsid w:val="00611F1F"/>
    <w:rsid w:val="00612699"/>
    <w:rsid w:val="00612AAA"/>
    <w:rsid w:val="00612DCC"/>
    <w:rsid w:val="006133B9"/>
    <w:rsid w:val="006137AB"/>
    <w:rsid w:val="006145AD"/>
    <w:rsid w:val="006147AC"/>
    <w:rsid w:val="00614C69"/>
    <w:rsid w:val="00614F48"/>
    <w:rsid w:val="00615532"/>
    <w:rsid w:val="0061565D"/>
    <w:rsid w:val="006158A1"/>
    <w:rsid w:val="00616517"/>
    <w:rsid w:val="006165A2"/>
    <w:rsid w:val="00616733"/>
    <w:rsid w:val="00616911"/>
    <w:rsid w:val="00616A06"/>
    <w:rsid w:val="00616C27"/>
    <w:rsid w:val="0061720A"/>
    <w:rsid w:val="00617467"/>
    <w:rsid w:val="00617A5D"/>
    <w:rsid w:val="00617C65"/>
    <w:rsid w:val="00617F15"/>
    <w:rsid w:val="00620105"/>
    <w:rsid w:val="0062090E"/>
    <w:rsid w:val="00620D96"/>
    <w:rsid w:val="00621376"/>
    <w:rsid w:val="00621D0A"/>
    <w:rsid w:val="00621DA7"/>
    <w:rsid w:val="00621E20"/>
    <w:rsid w:val="0062206A"/>
    <w:rsid w:val="00622121"/>
    <w:rsid w:val="006222AD"/>
    <w:rsid w:val="006222F0"/>
    <w:rsid w:val="0062236D"/>
    <w:rsid w:val="00622D9E"/>
    <w:rsid w:val="00623415"/>
    <w:rsid w:val="0062361B"/>
    <w:rsid w:val="00623732"/>
    <w:rsid w:val="00623B8A"/>
    <w:rsid w:val="006244EF"/>
    <w:rsid w:val="00624B07"/>
    <w:rsid w:val="00624C18"/>
    <w:rsid w:val="00624F13"/>
    <w:rsid w:val="00625B29"/>
    <w:rsid w:val="00625E2A"/>
    <w:rsid w:val="0062667C"/>
    <w:rsid w:val="00626A1D"/>
    <w:rsid w:val="00626A68"/>
    <w:rsid w:val="00626B0C"/>
    <w:rsid w:val="00627295"/>
    <w:rsid w:val="00627303"/>
    <w:rsid w:val="0062761B"/>
    <w:rsid w:val="00627893"/>
    <w:rsid w:val="00627A84"/>
    <w:rsid w:val="00627C9F"/>
    <w:rsid w:val="00627DC1"/>
    <w:rsid w:val="00630099"/>
    <w:rsid w:val="00630243"/>
    <w:rsid w:val="006303C3"/>
    <w:rsid w:val="00630421"/>
    <w:rsid w:val="00630801"/>
    <w:rsid w:val="006308B0"/>
    <w:rsid w:val="00630992"/>
    <w:rsid w:val="00630ACE"/>
    <w:rsid w:val="00630F0A"/>
    <w:rsid w:val="00630F51"/>
    <w:rsid w:val="006311E9"/>
    <w:rsid w:val="006312A6"/>
    <w:rsid w:val="00631456"/>
    <w:rsid w:val="00632039"/>
    <w:rsid w:val="00632354"/>
    <w:rsid w:val="006328B3"/>
    <w:rsid w:val="00632CED"/>
    <w:rsid w:val="00632D40"/>
    <w:rsid w:val="00632EE6"/>
    <w:rsid w:val="00633006"/>
    <w:rsid w:val="0063380B"/>
    <w:rsid w:val="0063384C"/>
    <w:rsid w:val="0063388A"/>
    <w:rsid w:val="00633AFA"/>
    <w:rsid w:val="00634193"/>
    <w:rsid w:val="006348A4"/>
    <w:rsid w:val="00634935"/>
    <w:rsid w:val="00634F0C"/>
    <w:rsid w:val="00635014"/>
    <w:rsid w:val="00636164"/>
    <w:rsid w:val="006367BE"/>
    <w:rsid w:val="006368A4"/>
    <w:rsid w:val="00636EEC"/>
    <w:rsid w:val="00637390"/>
    <w:rsid w:val="00637A7D"/>
    <w:rsid w:val="00637E9F"/>
    <w:rsid w:val="00640598"/>
    <w:rsid w:val="00640C5B"/>
    <w:rsid w:val="00640DA6"/>
    <w:rsid w:val="00640F7D"/>
    <w:rsid w:val="00641554"/>
    <w:rsid w:val="006415F5"/>
    <w:rsid w:val="00641B06"/>
    <w:rsid w:val="00641FFA"/>
    <w:rsid w:val="00642011"/>
    <w:rsid w:val="00642053"/>
    <w:rsid w:val="00642149"/>
    <w:rsid w:val="00642299"/>
    <w:rsid w:val="00642671"/>
    <w:rsid w:val="006427A2"/>
    <w:rsid w:val="00642810"/>
    <w:rsid w:val="00642E0D"/>
    <w:rsid w:val="00642EA6"/>
    <w:rsid w:val="006432DF"/>
    <w:rsid w:val="006434CC"/>
    <w:rsid w:val="0064371D"/>
    <w:rsid w:val="00643CAC"/>
    <w:rsid w:val="00644100"/>
    <w:rsid w:val="0064414C"/>
    <w:rsid w:val="006443A2"/>
    <w:rsid w:val="00644CEF"/>
    <w:rsid w:val="00644FB9"/>
    <w:rsid w:val="0064529F"/>
    <w:rsid w:val="00645394"/>
    <w:rsid w:val="0064594A"/>
    <w:rsid w:val="0064625E"/>
    <w:rsid w:val="00646318"/>
    <w:rsid w:val="006463F5"/>
    <w:rsid w:val="00646412"/>
    <w:rsid w:val="0064649C"/>
    <w:rsid w:val="006467AC"/>
    <w:rsid w:val="00646AAA"/>
    <w:rsid w:val="0064701D"/>
    <w:rsid w:val="006475D3"/>
    <w:rsid w:val="00647CBF"/>
    <w:rsid w:val="00647D67"/>
    <w:rsid w:val="00647F10"/>
    <w:rsid w:val="006501D8"/>
    <w:rsid w:val="006504B1"/>
    <w:rsid w:val="00650B75"/>
    <w:rsid w:val="00650DF0"/>
    <w:rsid w:val="00650FD4"/>
    <w:rsid w:val="006510E9"/>
    <w:rsid w:val="00651248"/>
    <w:rsid w:val="00651686"/>
    <w:rsid w:val="006517C3"/>
    <w:rsid w:val="006519DE"/>
    <w:rsid w:val="006519E9"/>
    <w:rsid w:val="00651A84"/>
    <w:rsid w:val="00651E2C"/>
    <w:rsid w:val="00652129"/>
    <w:rsid w:val="00652333"/>
    <w:rsid w:val="00652714"/>
    <w:rsid w:val="0065315F"/>
    <w:rsid w:val="006533A7"/>
    <w:rsid w:val="0065354E"/>
    <w:rsid w:val="00653813"/>
    <w:rsid w:val="00653C47"/>
    <w:rsid w:val="00654330"/>
    <w:rsid w:val="0065473B"/>
    <w:rsid w:val="00654AA0"/>
    <w:rsid w:val="00654CA8"/>
    <w:rsid w:val="0065540B"/>
    <w:rsid w:val="006555CD"/>
    <w:rsid w:val="006556DA"/>
    <w:rsid w:val="0065583B"/>
    <w:rsid w:val="0065594F"/>
    <w:rsid w:val="006559B7"/>
    <w:rsid w:val="00655DC3"/>
    <w:rsid w:val="00655E03"/>
    <w:rsid w:val="00655F48"/>
    <w:rsid w:val="006565CC"/>
    <w:rsid w:val="00656A10"/>
    <w:rsid w:val="00656A12"/>
    <w:rsid w:val="006570B1"/>
    <w:rsid w:val="006571BA"/>
    <w:rsid w:val="00657915"/>
    <w:rsid w:val="00657BF3"/>
    <w:rsid w:val="00657C5E"/>
    <w:rsid w:val="00657E2F"/>
    <w:rsid w:val="0066006C"/>
    <w:rsid w:val="006602D9"/>
    <w:rsid w:val="00660616"/>
    <w:rsid w:val="00661472"/>
    <w:rsid w:val="00661526"/>
    <w:rsid w:val="00661A1B"/>
    <w:rsid w:val="00661C57"/>
    <w:rsid w:val="00662116"/>
    <w:rsid w:val="0066234E"/>
    <w:rsid w:val="006623FE"/>
    <w:rsid w:val="006626A2"/>
    <w:rsid w:val="00662FED"/>
    <w:rsid w:val="00663AAF"/>
    <w:rsid w:val="00663EF4"/>
    <w:rsid w:val="0066497B"/>
    <w:rsid w:val="006650A7"/>
    <w:rsid w:val="00665324"/>
    <w:rsid w:val="00665BA0"/>
    <w:rsid w:val="00665C39"/>
    <w:rsid w:val="00665EB9"/>
    <w:rsid w:val="00665F90"/>
    <w:rsid w:val="006660D0"/>
    <w:rsid w:val="00666CC1"/>
    <w:rsid w:val="0066736C"/>
    <w:rsid w:val="0066745B"/>
    <w:rsid w:val="006674FE"/>
    <w:rsid w:val="006676FD"/>
    <w:rsid w:val="00667AB0"/>
    <w:rsid w:val="00667BC7"/>
    <w:rsid w:val="00667CA7"/>
    <w:rsid w:val="00667EDC"/>
    <w:rsid w:val="006700BC"/>
    <w:rsid w:val="0067030C"/>
    <w:rsid w:val="00670732"/>
    <w:rsid w:val="00670BA7"/>
    <w:rsid w:val="00671028"/>
    <w:rsid w:val="00671984"/>
    <w:rsid w:val="00671CD9"/>
    <w:rsid w:val="00671DE9"/>
    <w:rsid w:val="00671E37"/>
    <w:rsid w:val="0067213E"/>
    <w:rsid w:val="00672A60"/>
    <w:rsid w:val="00673038"/>
    <w:rsid w:val="00673049"/>
    <w:rsid w:val="0067328F"/>
    <w:rsid w:val="00673E32"/>
    <w:rsid w:val="006745C2"/>
    <w:rsid w:val="006746BC"/>
    <w:rsid w:val="00674D66"/>
    <w:rsid w:val="00674E0A"/>
    <w:rsid w:val="006758F4"/>
    <w:rsid w:val="00675923"/>
    <w:rsid w:val="00675B13"/>
    <w:rsid w:val="00675D16"/>
    <w:rsid w:val="006764B0"/>
    <w:rsid w:val="006764EF"/>
    <w:rsid w:val="00676930"/>
    <w:rsid w:val="00676BC8"/>
    <w:rsid w:val="00676BEC"/>
    <w:rsid w:val="00677345"/>
    <w:rsid w:val="006774F4"/>
    <w:rsid w:val="00677817"/>
    <w:rsid w:val="00677AD8"/>
    <w:rsid w:val="00677B62"/>
    <w:rsid w:val="0068001B"/>
    <w:rsid w:val="0068009E"/>
    <w:rsid w:val="00680407"/>
    <w:rsid w:val="00680858"/>
    <w:rsid w:val="00680926"/>
    <w:rsid w:val="00680B66"/>
    <w:rsid w:val="0068105A"/>
    <w:rsid w:val="00681B7D"/>
    <w:rsid w:val="00681CE7"/>
    <w:rsid w:val="006820CE"/>
    <w:rsid w:val="00682170"/>
    <w:rsid w:val="006823E6"/>
    <w:rsid w:val="00682960"/>
    <w:rsid w:val="00682A00"/>
    <w:rsid w:val="00682B10"/>
    <w:rsid w:val="00682BA1"/>
    <w:rsid w:val="00682CEA"/>
    <w:rsid w:val="006833DA"/>
    <w:rsid w:val="00683685"/>
    <w:rsid w:val="00683B3E"/>
    <w:rsid w:val="0068424C"/>
    <w:rsid w:val="006844D5"/>
    <w:rsid w:val="00684A8E"/>
    <w:rsid w:val="00684ADA"/>
    <w:rsid w:val="00684C05"/>
    <w:rsid w:val="00685083"/>
    <w:rsid w:val="006857A6"/>
    <w:rsid w:val="00685917"/>
    <w:rsid w:val="006860C3"/>
    <w:rsid w:val="006868CE"/>
    <w:rsid w:val="00686C4E"/>
    <w:rsid w:val="00686CC1"/>
    <w:rsid w:val="00686D7F"/>
    <w:rsid w:val="00686E08"/>
    <w:rsid w:val="00687233"/>
    <w:rsid w:val="006874D5"/>
    <w:rsid w:val="006875F0"/>
    <w:rsid w:val="0068775D"/>
    <w:rsid w:val="00687961"/>
    <w:rsid w:val="00687BF9"/>
    <w:rsid w:val="00687C60"/>
    <w:rsid w:val="00687F7E"/>
    <w:rsid w:val="00690574"/>
    <w:rsid w:val="00690D4C"/>
    <w:rsid w:val="0069104F"/>
    <w:rsid w:val="00691211"/>
    <w:rsid w:val="00691A60"/>
    <w:rsid w:val="006928EA"/>
    <w:rsid w:val="00692B0E"/>
    <w:rsid w:val="00692CD1"/>
    <w:rsid w:val="00692DE8"/>
    <w:rsid w:val="00692E60"/>
    <w:rsid w:val="00694478"/>
    <w:rsid w:val="006945B0"/>
    <w:rsid w:val="00694B5E"/>
    <w:rsid w:val="006953A8"/>
    <w:rsid w:val="0069542B"/>
    <w:rsid w:val="006954B6"/>
    <w:rsid w:val="006959DA"/>
    <w:rsid w:val="00695B2C"/>
    <w:rsid w:val="00695D7D"/>
    <w:rsid w:val="00695E32"/>
    <w:rsid w:val="00695FD8"/>
    <w:rsid w:val="00696003"/>
    <w:rsid w:val="006966B2"/>
    <w:rsid w:val="00696F5C"/>
    <w:rsid w:val="00697206"/>
    <w:rsid w:val="006974EF"/>
    <w:rsid w:val="00697A5E"/>
    <w:rsid w:val="006A040E"/>
    <w:rsid w:val="006A071C"/>
    <w:rsid w:val="006A0950"/>
    <w:rsid w:val="006A0F6F"/>
    <w:rsid w:val="006A1131"/>
    <w:rsid w:val="006A12B2"/>
    <w:rsid w:val="006A12EA"/>
    <w:rsid w:val="006A1409"/>
    <w:rsid w:val="006A177B"/>
    <w:rsid w:val="006A17CB"/>
    <w:rsid w:val="006A17D2"/>
    <w:rsid w:val="006A1B76"/>
    <w:rsid w:val="006A1DC1"/>
    <w:rsid w:val="006A1E67"/>
    <w:rsid w:val="006A26BC"/>
    <w:rsid w:val="006A2865"/>
    <w:rsid w:val="006A288D"/>
    <w:rsid w:val="006A2D14"/>
    <w:rsid w:val="006A2FCE"/>
    <w:rsid w:val="006A34DF"/>
    <w:rsid w:val="006A37BA"/>
    <w:rsid w:val="006A3B28"/>
    <w:rsid w:val="006A3DA8"/>
    <w:rsid w:val="006A4388"/>
    <w:rsid w:val="006A4720"/>
    <w:rsid w:val="006A494C"/>
    <w:rsid w:val="006A4C34"/>
    <w:rsid w:val="006A5080"/>
    <w:rsid w:val="006A5279"/>
    <w:rsid w:val="006A5378"/>
    <w:rsid w:val="006A5619"/>
    <w:rsid w:val="006A5D09"/>
    <w:rsid w:val="006A6116"/>
    <w:rsid w:val="006A6396"/>
    <w:rsid w:val="006A6530"/>
    <w:rsid w:val="006A686E"/>
    <w:rsid w:val="006A6879"/>
    <w:rsid w:val="006A6C28"/>
    <w:rsid w:val="006A6E4C"/>
    <w:rsid w:val="006A6F86"/>
    <w:rsid w:val="006A702B"/>
    <w:rsid w:val="006A7102"/>
    <w:rsid w:val="006A7208"/>
    <w:rsid w:val="006A73E6"/>
    <w:rsid w:val="006A75AD"/>
    <w:rsid w:val="006A789A"/>
    <w:rsid w:val="006A7A63"/>
    <w:rsid w:val="006A7DF0"/>
    <w:rsid w:val="006B0320"/>
    <w:rsid w:val="006B07DF"/>
    <w:rsid w:val="006B09F4"/>
    <w:rsid w:val="006B0A06"/>
    <w:rsid w:val="006B1252"/>
    <w:rsid w:val="006B140A"/>
    <w:rsid w:val="006B15CE"/>
    <w:rsid w:val="006B17C3"/>
    <w:rsid w:val="006B1A48"/>
    <w:rsid w:val="006B2CC7"/>
    <w:rsid w:val="006B2D5C"/>
    <w:rsid w:val="006B2FBF"/>
    <w:rsid w:val="006B33C4"/>
    <w:rsid w:val="006B351F"/>
    <w:rsid w:val="006B3714"/>
    <w:rsid w:val="006B3AF1"/>
    <w:rsid w:val="006B3D00"/>
    <w:rsid w:val="006B4D46"/>
    <w:rsid w:val="006B51B9"/>
    <w:rsid w:val="006B57E1"/>
    <w:rsid w:val="006B5B8E"/>
    <w:rsid w:val="006B69B5"/>
    <w:rsid w:val="006B6F1E"/>
    <w:rsid w:val="006B6F29"/>
    <w:rsid w:val="006B71F6"/>
    <w:rsid w:val="006B74C2"/>
    <w:rsid w:val="006B7FA2"/>
    <w:rsid w:val="006C0784"/>
    <w:rsid w:val="006C0A65"/>
    <w:rsid w:val="006C0BE5"/>
    <w:rsid w:val="006C0FB6"/>
    <w:rsid w:val="006C11B7"/>
    <w:rsid w:val="006C128E"/>
    <w:rsid w:val="006C16AA"/>
    <w:rsid w:val="006C16D2"/>
    <w:rsid w:val="006C1767"/>
    <w:rsid w:val="006C17B3"/>
    <w:rsid w:val="006C1ADB"/>
    <w:rsid w:val="006C1D5B"/>
    <w:rsid w:val="006C1E07"/>
    <w:rsid w:val="006C2414"/>
    <w:rsid w:val="006C341D"/>
    <w:rsid w:val="006C3B01"/>
    <w:rsid w:val="006C4468"/>
    <w:rsid w:val="006C4EB1"/>
    <w:rsid w:val="006C58EB"/>
    <w:rsid w:val="006C6102"/>
    <w:rsid w:val="006C62AA"/>
    <w:rsid w:val="006C6946"/>
    <w:rsid w:val="006C7244"/>
    <w:rsid w:val="006C7306"/>
    <w:rsid w:val="006C7774"/>
    <w:rsid w:val="006C77B8"/>
    <w:rsid w:val="006D0196"/>
    <w:rsid w:val="006D0592"/>
    <w:rsid w:val="006D0772"/>
    <w:rsid w:val="006D0A39"/>
    <w:rsid w:val="006D0AAE"/>
    <w:rsid w:val="006D0B3C"/>
    <w:rsid w:val="006D0E40"/>
    <w:rsid w:val="006D0F9A"/>
    <w:rsid w:val="006D132D"/>
    <w:rsid w:val="006D1C43"/>
    <w:rsid w:val="006D1DAA"/>
    <w:rsid w:val="006D2A5F"/>
    <w:rsid w:val="006D2C15"/>
    <w:rsid w:val="006D2EC4"/>
    <w:rsid w:val="006D362F"/>
    <w:rsid w:val="006D39C6"/>
    <w:rsid w:val="006D39FC"/>
    <w:rsid w:val="006D3BA3"/>
    <w:rsid w:val="006D424B"/>
    <w:rsid w:val="006D47BD"/>
    <w:rsid w:val="006D57EF"/>
    <w:rsid w:val="006D5D2C"/>
    <w:rsid w:val="006D5ED9"/>
    <w:rsid w:val="006D640D"/>
    <w:rsid w:val="006D6521"/>
    <w:rsid w:val="006D6D14"/>
    <w:rsid w:val="006D7534"/>
    <w:rsid w:val="006D796E"/>
    <w:rsid w:val="006D7A04"/>
    <w:rsid w:val="006D7E6F"/>
    <w:rsid w:val="006E0021"/>
    <w:rsid w:val="006E00A3"/>
    <w:rsid w:val="006E0123"/>
    <w:rsid w:val="006E0166"/>
    <w:rsid w:val="006E0EE8"/>
    <w:rsid w:val="006E1178"/>
    <w:rsid w:val="006E1697"/>
    <w:rsid w:val="006E1A3B"/>
    <w:rsid w:val="006E230E"/>
    <w:rsid w:val="006E25DC"/>
    <w:rsid w:val="006E26D2"/>
    <w:rsid w:val="006E2743"/>
    <w:rsid w:val="006E28E8"/>
    <w:rsid w:val="006E2908"/>
    <w:rsid w:val="006E3303"/>
    <w:rsid w:val="006E33B3"/>
    <w:rsid w:val="006E362D"/>
    <w:rsid w:val="006E3AF6"/>
    <w:rsid w:val="006E3E8D"/>
    <w:rsid w:val="006E3EFB"/>
    <w:rsid w:val="006E434B"/>
    <w:rsid w:val="006E4A94"/>
    <w:rsid w:val="006E5002"/>
    <w:rsid w:val="006E54B0"/>
    <w:rsid w:val="006E56C1"/>
    <w:rsid w:val="006E58D1"/>
    <w:rsid w:val="006E59D4"/>
    <w:rsid w:val="006E5B92"/>
    <w:rsid w:val="006E5BFC"/>
    <w:rsid w:val="006E5DDA"/>
    <w:rsid w:val="006E5E19"/>
    <w:rsid w:val="006E6208"/>
    <w:rsid w:val="006E621E"/>
    <w:rsid w:val="006E66A1"/>
    <w:rsid w:val="006E6C59"/>
    <w:rsid w:val="006E6E08"/>
    <w:rsid w:val="006E6EF6"/>
    <w:rsid w:val="006E72D0"/>
    <w:rsid w:val="006E73D4"/>
    <w:rsid w:val="006E752E"/>
    <w:rsid w:val="006E76E6"/>
    <w:rsid w:val="006E7804"/>
    <w:rsid w:val="006E7B34"/>
    <w:rsid w:val="006E7DF9"/>
    <w:rsid w:val="006F0078"/>
    <w:rsid w:val="006F0305"/>
    <w:rsid w:val="006F09EB"/>
    <w:rsid w:val="006F0A0A"/>
    <w:rsid w:val="006F0BBD"/>
    <w:rsid w:val="006F1121"/>
    <w:rsid w:val="006F165F"/>
    <w:rsid w:val="006F1C06"/>
    <w:rsid w:val="006F1CF4"/>
    <w:rsid w:val="006F1FB3"/>
    <w:rsid w:val="006F241B"/>
    <w:rsid w:val="006F2584"/>
    <w:rsid w:val="006F273B"/>
    <w:rsid w:val="006F27B6"/>
    <w:rsid w:val="006F284C"/>
    <w:rsid w:val="006F2B4A"/>
    <w:rsid w:val="006F32EF"/>
    <w:rsid w:val="006F337E"/>
    <w:rsid w:val="006F3397"/>
    <w:rsid w:val="006F34E3"/>
    <w:rsid w:val="006F3DC4"/>
    <w:rsid w:val="006F474A"/>
    <w:rsid w:val="006F491C"/>
    <w:rsid w:val="006F4CE6"/>
    <w:rsid w:val="006F4E46"/>
    <w:rsid w:val="006F5275"/>
    <w:rsid w:val="006F5AAE"/>
    <w:rsid w:val="006F5C1B"/>
    <w:rsid w:val="006F5F5B"/>
    <w:rsid w:val="006F5FB8"/>
    <w:rsid w:val="006F6F33"/>
    <w:rsid w:val="006F6FE5"/>
    <w:rsid w:val="006F706B"/>
    <w:rsid w:val="006F79EC"/>
    <w:rsid w:val="006F7CCB"/>
    <w:rsid w:val="006F7EE3"/>
    <w:rsid w:val="00700A19"/>
    <w:rsid w:val="00701315"/>
    <w:rsid w:val="00701983"/>
    <w:rsid w:val="007019A7"/>
    <w:rsid w:val="00701BD7"/>
    <w:rsid w:val="00701F15"/>
    <w:rsid w:val="00701F4D"/>
    <w:rsid w:val="0070217A"/>
    <w:rsid w:val="007022F9"/>
    <w:rsid w:val="00702755"/>
    <w:rsid w:val="00702E08"/>
    <w:rsid w:val="00702EFA"/>
    <w:rsid w:val="00702F28"/>
    <w:rsid w:val="007032B2"/>
    <w:rsid w:val="00703A3A"/>
    <w:rsid w:val="00703E40"/>
    <w:rsid w:val="00703E6F"/>
    <w:rsid w:val="00704084"/>
    <w:rsid w:val="00704237"/>
    <w:rsid w:val="007042C0"/>
    <w:rsid w:val="0070448F"/>
    <w:rsid w:val="0070498B"/>
    <w:rsid w:val="00704E13"/>
    <w:rsid w:val="00704F4E"/>
    <w:rsid w:val="0070520F"/>
    <w:rsid w:val="00705668"/>
    <w:rsid w:val="00705C69"/>
    <w:rsid w:val="00705E34"/>
    <w:rsid w:val="0070693D"/>
    <w:rsid w:val="0070697F"/>
    <w:rsid w:val="00706E87"/>
    <w:rsid w:val="007073E2"/>
    <w:rsid w:val="007074D6"/>
    <w:rsid w:val="007079BD"/>
    <w:rsid w:val="00707B58"/>
    <w:rsid w:val="00707B7D"/>
    <w:rsid w:val="00707BF5"/>
    <w:rsid w:val="00710113"/>
    <w:rsid w:val="007104EA"/>
    <w:rsid w:val="0071056F"/>
    <w:rsid w:val="00710772"/>
    <w:rsid w:val="0071082A"/>
    <w:rsid w:val="00710956"/>
    <w:rsid w:val="00710D41"/>
    <w:rsid w:val="007114BB"/>
    <w:rsid w:val="0071162D"/>
    <w:rsid w:val="007119D9"/>
    <w:rsid w:val="00711B80"/>
    <w:rsid w:val="00711E01"/>
    <w:rsid w:val="00711F99"/>
    <w:rsid w:val="007124F8"/>
    <w:rsid w:val="00712705"/>
    <w:rsid w:val="007127ED"/>
    <w:rsid w:val="007127FA"/>
    <w:rsid w:val="00712A15"/>
    <w:rsid w:val="00712DD6"/>
    <w:rsid w:val="007134FD"/>
    <w:rsid w:val="00713551"/>
    <w:rsid w:val="00713632"/>
    <w:rsid w:val="00713B81"/>
    <w:rsid w:val="00713E33"/>
    <w:rsid w:val="007144B7"/>
    <w:rsid w:val="007146D8"/>
    <w:rsid w:val="00714B32"/>
    <w:rsid w:val="00714F4B"/>
    <w:rsid w:val="007150A7"/>
    <w:rsid w:val="0071559C"/>
    <w:rsid w:val="007155B6"/>
    <w:rsid w:val="0071591F"/>
    <w:rsid w:val="00715B3B"/>
    <w:rsid w:val="0071619F"/>
    <w:rsid w:val="007166D4"/>
    <w:rsid w:val="00716E77"/>
    <w:rsid w:val="00716FBE"/>
    <w:rsid w:val="00717B02"/>
    <w:rsid w:val="00717FFA"/>
    <w:rsid w:val="0072009E"/>
    <w:rsid w:val="007200CC"/>
    <w:rsid w:val="007205E1"/>
    <w:rsid w:val="00720893"/>
    <w:rsid w:val="00720928"/>
    <w:rsid w:val="007209F2"/>
    <w:rsid w:val="00720F8E"/>
    <w:rsid w:val="00720FD7"/>
    <w:rsid w:val="0072101B"/>
    <w:rsid w:val="00721111"/>
    <w:rsid w:val="0072111C"/>
    <w:rsid w:val="00721568"/>
    <w:rsid w:val="007215FD"/>
    <w:rsid w:val="0072179D"/>
    <w:rsid w:val="0072199C"/>
    <w:rsid w:val="00721AD2"/>
    <w:rsid w:val="00721B11"/>
    <w:rsid w:val="00721EF2"/>
    <w:rsid w:val="00721F44"/>
    <w:rsid w:val="007222C5"/>
    <w:rsid w:val="00722D18"/>
    <w:rsid w:val="00722D61"/>
    <w:rsid w:val="00722DBA"/>
    <w:rsid w:val="00723163"/>
    <w:rsid w:val="0072344D"/>
    <w:rsid w:val="00723A38"/>
    <w:rsid w:val="00724D73"/>
    <w:rsid w:val="00724E06"/>
    <w:rsid w:val="007253B8"/>
    <w:rsid w:val="00725557"/>
    <w:rsid w:val="007255D9"/>
    <w:rsid w:val="007255DB"/>
    <w:rsid w:val="00725626"/>
    <w:rsid w:val="00725C8A"/>
    <w:rsid w:val="00725E74"/>
    <w:rsid w:val="007264EF"/>
    <w:rsid w:val="00726E23"/>
    <w:rsid w:val="00726EB2"/>
    <w:rsid w:val="0072728A"/>
    <w:rsid w:val="007274DE"/>
    <w:rsid w:val="00727AD9"/>
    <w:rsid w:val="00727C60"/>
    <w:rsid w:val="00727F16"/>
    <w:rsid w:val="007301C7"/>
    <w:rsid w:val="007303F5"/>
    <w:rsid w:val="00730AED"/>
    <w:rsid w:val="007314E0"/>
    <w:rsid w:val="007319B6"/>
    <w:rsid w:val="00731B6C"/>
    <w:rsid w:val="00732113"/>
    <w:rsid w:val="0073271A"/>
    <w:rsid w:val="00732A0F"/>
    <w:rsid w:val="00732AA5"/>
    <w:rsid w:val="00733029"/>
    <w:rsid w:val="00733344"/>
    <w:rsid w:val="00733A89"/>
    <w:rsid w:val="00733BC5"/>
    <w:rsid w:val="00733FB1"/>
    <w:rsid w:val="007343B5"/>
    <w:rsid w:val="00734429"/>
    <w:rsid w:val="00734F47"/>
    <w:rsid w:val="00735244"/>
    <w:rsid w:val="007353CB"/>
    <w:rsid w:val="00735439"/>
    <w:rsid w:val="00735820"/>
    <w:rsid w:val="00735C10"/>
    <w:rsid w:val="00735E15"/>
    <w:rsid w:val="00735F77"/>
    <w:rsid w:val="007363AB"/>
    <w:rsid w:val="00736621"/>
    <w:rsid w:val="00736A4B"/>
    <w:rsid w:val="00736A5A"/>
    <w:rsid w:val="00736B68"/>
    <w:rsid w:val="00737152"/>
    <w:rsid w:val="0073741F"/>
    <w:rsid w:val="00737AFF"/>
    <w:rsid w:val="00740558"/>
    <w:rsid w:val="007406AC"/>
    <w:rsid w:val="00740D0C"/>
    <w:rsid w:val="00740EC3"/>
    <w:rsid w:val="00741CA3"/>
    <w:rsid w:val="0074209F"/>
    <w:rsid w:val="007421AC"/>
    <w:rsid w:val="007425C7"/>
    <w:rsid w:val="00742B58"/>
    <w:rsid w:val="00742D79"/>
    <w:rsid w:val="00743384"/>
    <w:rsid w:val="00743769"/>
    <w:rsid w:val="007438F1"/>
    <w:rsid w:val="00743D3B"/>
    <w:rsid w:val="00744187"/>
    <w:rsid w:val="00744387"/>
    <w:rsid w:val="007444E9"/>
    <w:rsid w:val="00744667"/>
    <w:rsid w:val="0074478D"/>
    <w:rsid w:val="0074488D"/>
    <w:rsid w:val="00744E53"/>
    <w:rsid w:val="00744F40"/>
    <w:rsid w:val="0074509F"/>
    <w:rsid w:val="00745A9C"/>
    <w:rsid w:val="00745C39"/>
    <w:rsid w:val="00745D4F"/>
    <w:rsid w:val="0074602F"/>
    <w:rsid w:val="00746030"/>
    <w:rsid w:val="0074626D"/>
    <w:rsid w:val="0074649B"/>
    <w:rsid w:val="0074670B"/>
    <w:rsid w:val="00746BEB"/>
    <w:rsid w:val="00746D77"/>
    <w:rsid w:val="007470B2"/>
    <w:rsid w:val="00747495"/>
    <w:rsid w:val="00747573"/>
    <w:rsid w:val="0075008E"/>
    <w:rsid w:val="007502CB"/>
    <w:rsid w:val="0075120E"/>
    <w:rsid w:val="007518E6"/>
    <w:rsid w:val="00751BC3"/>
    <w:rsid w:val="0075203A"/>
    <w:rsid w:val="007521AE"/>
    <w:rsid w:val="007525DE"/>
    <w:rsid w:val="0075265F"/>
    <w:rsid w:val="007527F2"/>
    <w:rsid w:val="007528B9"/>
    <w:rsid w:val="007528BE"/>
    <w:rsid w:val="00752A4D"/>
    <w:rsid w:val="00752A97"/>
    <w:rsid w:val="00752DDB"/>
    <w:rsid w:val="007531C1"/>
    <w:rsid w:val="007536A9"/>
    <w:rsid w:val="0075385A"/>
    <w:rsid w:val="00753C72"/>
    <w:rsid w:val="00754112"/>
    <w:rsid w:val="007543A5"/>
    <w:rsid w:val="007545C9"/>
    <w:rsid w:val="00754E62"/>
    <w:rsid w:val="007554FC"/>
    <w:rsid w:val="007555A2"/>
    <w:rsid w:val="007555B4"/>
    <w:rsid w:val="007556D6"/>
    <w:rsid w:val="007559AC"/>
    <w:rsid w:val="00755FDC"/>
    <w:rsid w:val="00756151"/>
    <w:rsid w:val="00756BE5"/>
    <w:rsid w:val="007573DE"/>
    <w:rsid w:val="007576D1"/>
    <w:rsid w:val="007578A2"/>
    <w:rsid w:val="00757D54"/>
    <w:rsid w:val="00757EE9"/>
    <w:rsid w:val="00760390"/>
    <w:rsid w:val="00760EF5"/>
    <w:rsid w:val="007613AB"/>
    <w:rsid w:val="00761A36"/>
    <w:rsid w:val="00761DA2"/>
    <w:rsid w:val="00762321"/>
    <w:rsid w:val="00762441"/>
    <w:rsid w:val="0076258E"/>
    <w:rsid w:val="00762A48"/>
    <w:rsid w:val="00762BBB"/>
    <w:rsid w:val="007632CB"/>
    <w:rsid w:val="0076334D"/>
    <w:rsid w:val="007642E5"/>
    <w:rsid w:val="00764578"/>
    <w:rsid w:val="007650EA"/>
    <w:rsid w:val="00765397"/>
    <w:rsid w:val="00765533"/>
    <w:rsid w:val="00765557"/>
    <w:rsid w:val="00765727"/>
    <w:rsid w:val="007658BB"/>
    <w:rsid w:val="00766170"/>
    <w:rsid w:val="0076643F"/>
    <w:rsid w:val="00766855"/>
    <w:rsid w:val="00766DE1"/>
    <w:rsid w:val="00766EA0"/>
    <w:rsid w:val="00766FA2"/>
    <w:rsid w:val="00766FD3"/>
    <w:rsid w:val="0076720B"/>
    <w:rsid w:val="007673D9"/>
    <w:rsid w:val="00767453"/>
    <w:rsid w:val="00767501"/>
    <w:rsid w:val="007677F1"/>
    <w:rsid w:val="007703E6"/>
    <w:rsid w:val="00770B4A"/>
    <w:rsid w:val="00770C19"/>
    <w:rsid w:val="007710D8"/>
    <w:rsid w:val="007716DA"/>
    <w:rsid w:val="00771C9A"/>
    <w:rsid w:val="00772433"/>
    <w:rsid w:val="007727D2"/>
    <w:rsid w:val="00772A89"/>
    <w:rsid w:val="00772C4C"/>
    <w:rsid w:val="00772CC1"/>
    <w:rsid w:val="00772DDD"/>
    <w:rsid w:val="00772EFA"/>
    <w:rsid w:val="00773A08"/>
    <w:rsid w:val="00773E4D"/>
    <w:rsid w:val="00774408"/>
    <w:rsid w:val="007746B6"/>
    <w:rsid w:val="00774B7A"/>
    <w:rsid w:val="00774C6F"/>
    <w:rsid w:val="00774C7A"/>
    <w:rsid w:val="00774DF0"/>
    <w:rsid w:val="007753D7"/>
    <w:rsid w:val="007755C7"/>
    <w:rsid w:val="00776045"/>
    <w:rsid w:val="007767EF"/>
    <w:rsid w:val="0077681B"/>
    <w:rsid w:val="00776913"/>
    <w:rsid w:val="00776DC6"/>
    <w:rsid w:val="00776F61"/>
    <w:rsid w:val="00776FDE"/>
    <w:rsid w:val="00777114"/>
    <w:rsid w:val="00777F44"/>
    <w:rsid w:val="007801FB"/>
    <w:rsid w:val="00780581"/>
    <w:rsid w:val="00780661"/>
    <w:rsid w:val="0078099E"/>
    <w:rsid w:val="007809F9"/>
    <w:rsid w:val="00780F38"/>
    <w:rsid w:val="007814C9"/>
    <w:rsid w:val="0078174E"/>
    <w:rsid w:val="00781B69"/>
    <w:rsid w:val="00782585"/>
    <w:rsid w:val="00782A6F"/>
    <w:rsid w:val="00782C20"/>
    <w:rsid w:val="00782CFB"/>
    <w:rsid w:val="0078318D"/>
    <w:rsid w:val="00783570"/>
    <w:rsid w:val="00783876"/>
    <w:rsid w:val="00783B7E"/>
    <w:rsid w:val="007842BC"/>
    <w:rsid w:val="0078432E"/>
    <w:rsid w:val="0078460C"/>
    <w:rsid w:val="00784766"/>
    <w:rsid w:val="007848A4"/>
    <w:rsid w:val="00784AC1"/>
    <w:rsid w:val="00784C30"/>
    <w:rsid w:val="00784C71"/>
    <w:rsid w:val="00784E03"/>
    <w:rsid w:val="00785213"/>
    <w:rsid w:val="0078551E"/>
    <w:rsid w:val="00785691"/>
    <w:rsid w:val="00785B6E"/>
    <w:rsid w:val="00785BBF"/>
    <w:rsid w:val="00785F90"/>
    <w:rsid w:val="00786126"/>
    <w:rsid w:val="007862B0"/>
    <w:rsid w:val="007863BC"/>
    <w:rsid w:val="0078689C"/>
    <w:rsid w:val="0078697D"/>
    <w:rsid w:val="00786A91"/>
    <w:rsid w:val="00786DB3"/>
    <w:rsid w:val="00790178"/>
    <w:rsid w:val="00790243"/>
    <w:rsid w:val="00790CB4"/>
    <w:rsid w:val="00790F8B"/>
    <w:rsid w:val="00790FAB"/>
    <w:rsid w:val="007910AA"/>
    <w:rsid w:val="007913E9"/>
    <w:rsid w:val="00791828"/>
    <w:rsid w:val="00791A91"/>
    <w:rsid w:val="00792525"/>
    <w:rsid w:val="00792A15"/>
    <w:rsid w:val="00793493"/>
    <w:rsid w:val="007938CA"/>
    <w:rsid w:val="00793AED"/>
    <w:rsid w:val="00793CB7"/>
    <w:rsid w:val="0079417D"/>
    <w:rsid w:val="00794475"/>
    <w:rsid w:val="00794641"/>
    <w:rsid w:val="0079488C"/>
    <w:rsid w:val="00794BE2"/>
    <w:rsid w:val="007950AC"/>
    <w:rsid w:val="007955DC"/>
    <w:rsid w:val="007957F7"/>
    <w:rsid w:val="0079611D"/>
    <w:rsid w:val="00796236"/>
    <w:rsid w:val="007962DA"/>
    <w:rsid w:val="00796A26"/>
    <w:rsid w:val="00796C37"/>
    <w:rsid w:val="00796C54"/>
    <w:rsid w:val="00797B22"/>
    <w:rsid w:val="00797DD9"/>
    <w:rsid w:val="007A0688"/>
    <w:rsid w:val="007A101F"/>
    <w:rsid w:val="007A10D1"/>
    <w:rsid w:val="007A17E4"/>
    <w:rsid w:val="007A1CE0"/>
    <w:rsid w:val="007A1EC7"/>
    <w:rsid w:val="007A26BF"/>
    <w:rsid w:val="007A29CE"/>
    <w:rsid w:val="007A29E9"/>
    <w:rsid w:val="007A30BB"/>
    <w:rsid w:val="007A33CA"/>
    <w:rsid w:val="007A35BD"/>
    <w:rsid w:val="007A37BF"/>
    <w:rsid w:val="007A3EC1"/>
    <w:rsid w:val="007A4039"/>
    <w:rsid w:val="007A440D"/>
    <w:rsid w:val="007A46C7"/>
    <w:rsid w:val="007A4794"/>
    <w:rsid w:val="007A4A25"/>
    <w:rsid w:val="007A4E0E"/>
    <w:rsid w:val="007A539D"/>
    <w:rsid w:val="007A5722"/>
    <w:rsid w:val="007A5817"/>
    <w:rsid w:val="007A6847"/>
    <w:rsid w:val="007A6B39"/>
    <w:rsid w:val="007A6E2E"/>
    <w:rsid w:val="007A6E5C"/>
    <w:rsid w:val="007A6E65"/>
    <w:rsid w:val="007A7FED"/>
    <w:rsid w:val="007B01BB"/>
    <w:rsid w:val="007B03A8"/>
    <w:rsid w:val="007B043F"/>
    <w:rsid w:val="007B05F9"/>
    <w:rsid w:val="007B0A16"/>
    <w:rsid w:val="007B0C7B"/>
    <w:rsid w:val="007B0CE3"/>
    <w:rsid w:val="007B0DE4"/>
    <w:rsid w:val="007B0EC9"/>
    <w:rsid w:val="007B12AB"/>
    <w:rsid w:val="007B1A8A"/>
    <w:rsid w:val="007B1B67"/>
    <w:rsid w:val="007B1F4F"/>
    <w:rsid w:val="007B2A71"/>
    <w:rsid w:val="007B2B9C"/>
    <w:rsid w:val="007B330B"/>
    <w:rsid w:val="007B3656"/>
    <w:rsid w:val="007B3C7F"/>
    <w:rsid w:val="007B3D30"/>
    <w:rsid w:val="007B3E4B"/>
    <w:rsid w:val="007B48C7"/>
    <w:rsid w:val="007B4920"/>
    <w:rsid w:val="007B4D53"/>
    <w:rsid w:val="007B515B"/>
    <w:rsid w:val="007B51AE"/>
    <w:rsid w:val="007B52BC"/>
    <w:rsid w:val="007B55AA"/>
    <w:rsid w:val="007B59A2"/>
    <w:rsid w:val="007B5D67"/>
    <w:rsid w:val="007B60E9"/>
    <w:rsid w:val="007B628E"/>
    <w:rsid w:val="007B6779"/>
    <w:rsid w:val="007B6CC3"/>
    <w:rsid w:val="007B7113"/>
    <w:rsid w:val="007B73C9"/>
    <w:rsid w:val="007B752C"/>
    <w:rsid w:val="007B75D3"/>
    <w:rsid w:val="007B79CB"/>
    <w:rsid w:val="007B79DE"/>
    <w:rsid w:val="007B7C16"/>
    <w:rsid w:val="007B7C79"/>
    <w:rsid w:val="007C01B1"/>
    <w:rsid w:val="007C0801"/>
    <w:rsid w:val="007C0B70"/>
    <w:rsid w:val="007C0C13"/>
    <w:rsid w:val="007C0DA5"/>
    <w:rsid w:val="007C1B4C"/>
    <w:rsid w:val="007C1CC8"/>
    <w:rsid w:val="007C1DBF"/>
    <w:rsid w:val="007C2060"/>
    <w:rsid w:val="007C2330"/>
    <w:rsid w:val="007C23D2"/>
    <w:rsid w:val="007C27C3"/>
    <w:rsid w:val="007C2FF6"/>
    <w:rsid w:val="007C3334"/>
    <w:rsid w:val="007C351D"/>
    <w:rsid w:val="007C452A"/>
    <w:rsid w:val="007C4F8A"/>
    <w:rsid w:val="007C51D7"/>
    <w:rsid w:val="007C547B"/>
    <w:rsid w:val="007C5D39"/>
    <w:rsid w:val="007C68C5"/>
    <w:rsid w:val="007C6E82"/>
    <w:rsid w:val="007C6F41"/>
    <w:rsid w:val="007C6F65"/>
    <w:rsid w:val="007C7891"/>
    <w:rsid w:val="007C7C29"/>
    <w:rsid w:val="007C7E5C"/>
    <w:rsid w:val="007D0013"/>
    <w:rsid w:val="007D0278"/>
    <w:rsid w:val="007D0745"/>
    <w:rsid w:val="007D0758"/>
    <w:rsid w:val="007D0B97"/>
    <w:rsid w:val="007D0C8C"/>
    <w:rsid w:val="007D0E3C"/>
    <w:rsid w:val="007D10B3"/>
    <w:rsid w:val="007D1170"/>
    <w:rsid w:val="007D1432"/>
    <w:rsid w:val="007D16DC"/>
    <w:rsid w:val="007D19F7"/>
    <w:rsid w:val="007D1B51"/>
    <w:rsid w:val="007D2484"/>
    <w:rsid w:val="007D2494"/>
    <w:rsid w:val="007D2A18"/>
    <w:rsid w:val="007D2B98"/>
    <w:rsid w:val="007D2D97"/>
    <w:rsid w:val="007D30F0"/>
    <w:rsid w:val="007D31DC"/>
    <w:rsid w:val="007D33BB"/>
    <w:rsid w:val="007D3D79"/>
    <w:rsid w:val="007D4D0A"/>
    <w:rsid w:val="007D4F01"/>
    <w:rsid w:val="007D5AD1"/>
    <w:rsid w:val="007D5AEA"/>
    <w:rsid w:val="007D5F5F"/>
    <w:rsid w:val="007D6705"/>
    <w:rsid w:val="007D6FA3"/>
    <w:rsid w:val="007D733F"/>
    <w:rsid w:val="007D7568"/>
    <w:rsid w:val="007D7C4D"/>
    <w:rsid w:val="007D7F07"/>
    <w:rsid w:val="007E0337"/>
    <w:rsid w:val="007E03CE"/>
    <w:rsid w:val="007E05CF"/>
    <w:rsid w:val="007E07FA"/>
    <w:rsid w:val="007E0A89"/>
    <w:rsid w:val="007E0D10"/>
    <w:rsid w:val="007E0D58"/>
    <w:rsid w:val="007E0D92"/>
    <w:rsid w:val="007E1554"/>
    <w:rsid w:val="007E15CA"/>
    <w:rsid w:val="007E1751"/>
    <w:rsid w:val="007E1768"/>
    <w:rsid w:val="007E1DDF"/>
    <w:rsid w:val="007E21BC"/>
    <w:rsid w:val="007E28DA"/>
    <w:rsid w:val="007E2B3E"/>
    <w:rsid w:val="007E30E6"/>
    <w:rsid w:val="007E38E5"/>
    <w:rsid w:val="007E41D2"/>
    <w:rsid w:val="007E441B"/>
    <w:rsid w:val="007E4D79"/>
    <w:rsid w:val="007E5009"/>
    <w:rsid w:val="007E5462"/>
    <w:rsid w:val="007E5490"/>
    <w:rsid w:val="007E5655"/>
    <w:rsid w:val="007E585F"/>
    <w:rsid w:val="007E593F"/>
    <w:rsid w:val="007E5A40"/>
    <w:rsid w:val="007E5D40"/>
    <w:rsid w:val="007E61C5"/>
    <w:rsid w:val="007E6417"/>
    <w:rsid w:val="007E752B"/>
    <w:rsid w:val="007E7891"/>
    <w:rsid w:val="007E799A"/>
    <w:rsid w:val="007E7C40"/>
    <w:rsid w:val="007E7D65"/>
    <w:rsid w:val="007E7EEE"/>
    <w:rsid w:val="007F0264"/>
    <w:rsid w:val="007F0496"/>
    <w:rsid w:val="007F0713"/>
    <w:rsid w:val="007F0A18"/>
    <w:rsid w:val="007F0C72"/>
    <w:rsid w:val="007F0D3D"/>
    <w:rsid w:val="007F0D3F"/>
    <w:rsid w:val="007F0E4E"/>
    <w:rsid w:val="007F171B"/>
    <w:rsid w:val="007F1CD8"/>
    <w:rsid w:val="007F1D45"/>
    <w:rsid w:val="007F2072"/>
    <w:rsid w:val="007F22E5"/>
    <w:rsid w:val="007F27F6"/>
    <w:rsid w:val="007F2DC3"/>
    <w:rsid w:val="007F3406"/>
    <w:rsid w:val="007F3A1F"/>
    <w:rsid w:val="007F400D"/>
    <w:rsid w:val="007F48EE"/>
    <w:rsid w:val="007F4C17"/>
    <w:rsid w:val="007F5266"/>
    <w:rsid w:val="007F5537"/>
    <w:rsid w:val="007F55EC"/>
    <w:rsid w:val="007F5A3A"/>
    <w:rsid w:val="007F5D54"/>
    <w:rsid w:val="007F6080"/>
    <w:rsid w:val="007F6089"/>
    <w:rsid w:val="007F60D4"/>
    <w:rsid w:val="007F62F3"/>
    <w:rsid w:val="007F66BA"/>
    <w:rsid w:val="007F673D"/>
    <w:rsid w:val="007F69D0"/>
    <w:rsid w:val="007F6BD5"/>
    <w:rsid w:val="007F6F48"/>
    <w:rsid w:val="007F6F94"/>
    <w:rsid w:val="007F7A91"/>
    <w:rsid w:val="007F7D9D"/>
    <w:rsid w:val="008004DC"/>
    <w:rsid w:val="00800630"/>
    <w:rsid w:val="008006CA"/>
    <w:rsid w:val="0080085C"/>
    <w:rsid w:val="0080094F"/>
    <w:rsid w:val="00800B51"/>
    <w:rsid w:val="0080142B"/>
    <w:rsid w:val="00801688"/>
    <w:rsid w:val="00801BBC"/>
    <w:rsid w:val="00801C82"/>
    <w:rsid w:val="00801D53"/>
    <w:rsid w:val="00802182"/>
    <w:rsid w:val="0080241F"/>
    <w:rsid w:val="00802659"/>
    <w:rsid w:val="00802E00"/>
    <w:rsid w:val="00802E76"/>
    <w:rsid w:val="0080331E"/>
    <w:rsid w:val="00803681"/>
    <w:rsid w:val="00803767"/>
    <w:rsid w:val="0080398A"/>
    <w:rsid w:val="00803C4D"/>
    <w:rsid w:val="00803CC0"/>
    <w:rsid w:val="00803F1C"/>
    <w:rsid w:val="00804360"/>
    <w:rsid w:val="00804AD4"/>
    <w:rsid w:val="00805C88"/>
    <w:rsid w:val="0080600E"/>
    <w:rsid w:val="008060E0"/>
    <w:rsid w:val="0080612C"/>
    <w:rsid w:val="0080639F"/>
    <w:rsid w:val="008068D9"/>
    <w:rsid w:val="008069C1"/>
    <w:rsid w:val="008069D1"/>
    <w:rsid w:val="00806CE0"/>
    <w:rsid w:val="00806D71"/>
    <w:rsid w:val="00806E7A"/>
    <w:rsid w:val="0080746B"/>
    <w:rsid w:val="00807593"/>
    <w:rsid w:val="008079CC"/>
    <w:rsid w:val="00810541"/>
    <w:rsid w:val="00810860"/>
    <w:rsid w:val="00810AC5"/>
    <w:rsid w:val="00810F65"/>
    <w:rsid w:val="00811988"/>
    <w:rsid w:val="00811B47"/>
    <w:rsid w:val="00812296"/>
    <w:rsid w:val="008124AE"/>
    <w:rsid w:val="00812ACD"/>
    <w:rsid w:val="00812ADE"/>
    <w:rsid w:val="0081357B"/>
    <w:rsid w:val="008140C5"/>
    <w:rsid w:val="00814173"/>
    <w:rsid w:val="0081449E"/>
    <w:rsid w:val="008146EC"/>
    <w:rsid w:val="00814818"/>
    <w:rsid w:val="0081496B"/>
    <w:rsid w:val="00815160"/>
    <w:rsid w:val="00815207"/>
    <w:rsid w:val="00815497"/>
    <w:rsid w:val="00815A24"/>
    <w:rsid w:val="00815E08"/>
    <w:rsid w:val="00816112"/>
    <w:rsid w:val="00816513"/>
    <w:rsid w:val="008167A5"/>
    <w:rsid w:val="00816A42"/>
    <w:rsid w:val="00816AE5"/>
    <w:rsid w:val="00816ED6"/>
    <w:rsid w:val="00817276"/>
    <w:rsid w:val="0081746C"/>
    <w:rsid w:val="00817612"/>
    <w:rsid w:val="00817AA5"/>
    <w:rsid w:val="00817B08"/>
    <w:rsid w:val="00817DF4"/>
    <w:rsid w:val="00817E57"/>
    <w:rsid w:val="0082100E"/>
    <w:rsid w:val="0082165B"/>
    <w:rsid w:val="00821FF7"/>
    <w:rsid w:val="008220D0"/>
    <w:rsid w:val="00822126"/>
    <w:rsid w:val="0082233B"/>
    <w:rsid w:val="0082287D"/>
    <w:rsid w:val="008228F4"/>
    <w:rsid w:val="00822FF5"/>
    <w:rsid w:val="0082333F"/>
    <w:rsid w:val="008234BE"/>
    <w:rsid w:val="0082350F"/>
    <w:rsid w:val="00823555"/>
    <w:rsid w:val="008238F3"/>
    <w:rsid w:val="00824A3F"/>
    <w:rsid w:val="008254E1"/>
    <w:rsid w:val="00825623"/>
    <w:rsid w:val="008258DE"/>
    <w:rsid w:val="00825D2C"/>
    <w:rsid w:val="00825F67"/>
    <w:rsid w:val="00825FF9"/>
    <w:rsid w:val="008266B8"/>
    <w:rsid w:val="00826860"/>
    <w:rsid w:val="00826C65"/>
    <w:rsid w:val="00826E70"/>
    <w:rsid w:val="008271E7"/>
    <w:rsid w:val="00827229"/>
    <w:rsid w:val="00827365"/>
    <w:rsid w:val="00827622"/>
    <w:rsid w:val="0082785F"/>
    <w:rsid w:val="00830929"/>
    <w:rsid w:val="008309CD"/>
    <w:rsid w:val="00830C4A"/>
    <w:rsid w:val="00830F17"/>
    <w:rsid w:val="0083146E"/>
    <w:rsid w:val="008314F4"/>
    <w:rsid w:val="008318FB"/>
    <w:rsid w:val="00832212"/>
    <w:rsid w:val="00832784"/>
    <w:rsid w:val="00832873"/>
    <w:rsid w:val="00832E7E"/>
    <w:rsid w:val="0083327F"/>
    <w:rsid w:val="00833633"/>
    <w:rsid w:val="00833661"/>
    <w:rsid w:val="008336D0"/>
    <w:rsid w:val="008338A4"/>
    <w:rsid w:val="0083395A"/>
    <w:rsid w:val="00833D8C"/>
    <w:rsid w:val="00834158"/>
    <w:rsid w:val="0083487F"/>
    <w:rsid w:val="00835216"/>
    <w:rsid w:val="0083554E"/>
    <w:rsid w:val="00835819"/>
    <w:rsid w:val="0083588E"/>
    <w:rsid w:val="00835C46"/>
    <w:rsid w:val="00836060"/>
    <w:rsid w:val="0083613A"/>
    <w:rsid w:val="00836348"/>
    <w:rsid w:val="00836907"/>
    <w:rsid w:val="008369AB"/>
    <w:rsid w:val="00837083"/>
    <w:rsid w:val="008375A0"/>
    <w:rsid w:val="00837C45"/>
    <w:rsid w:val="0084036C"/>
    <w:rsid w:val="008417D9"/>
    <w:rsid w:val="008418D2"/>
    <w:rsid w:val="00841B6E"/>
    <w:rsid w:val="00841E8D"/>
    <w:rsid w:val="00842033"/>
    <w:rsid w:val="00842422"/>
    <w:rsid w:val="00842510"/>
    <w:rsid w:val="00842534"/>
    <w:rsid w:val="00842675"/>
    <w:rsid w:val="00842BB7"/>
    <w:rsid w:val="008436B8"/>
    <w:rsid w:val="00843BA5"/>
    <w:rsid w:val="00843F3D"/>
    <w:rsid w:val="0084404F"/>
    <w:rsid w:val="0084424C"/>
    <w:rsid w:val="00844730"/>
    <w:rsid w:val="00844798"/>
    <w:rsid w:val="00844E00"/>
    <w:rsid w:val="00845264"/>
    <w:rsid w:val="00845447"/>
    <w:rsid w:val="00845699"/>
    <w:rsid w:val="008457C2"/>
    <w:rsid w:val="0084582A"/>
    <w:rsid w:val="00845DC2"/>
    <w:rsid w:val="00846006"/>
    <w:rsid w:val="0084626F"/>
    <w:rsid w:val="0084643A"/>
    <w:rsid w:val="0084650F"/>
    <w:rsid w:val="00846555"/>
    <w:rsid w:val="0084665C"/>
    <w:rsid w:val="00846D91"/>
    <w:rsid w:val="00846D9A"/>
    <w:rsid w:val="00846DCA"/>
    <w:rsid w:val="00847119"/>
    <w:rsid w:val="00847D04"/>
    <w:rsid w:val="00847D66"/>
    <w:rsid w:val="00847E88"/>
    <w:rsid w:val="008505C6"/>
    <w:rsid w:val="008508B9"/>
    <w:rsid w:val="00850E4D"/>
    <w:rsid w:val="00851376"/>
    <w:rsid w:val="008514D3"/>
    <w:rsid w:val="00851BEA"/>
    <w:rsid w:val="008520EB"/>
    <w:rsid w:val="0085254C"/>
    <w:rsid w:val="008525A9"/>
    <w:rsid w:val="00853B54"/>
    <w:rsid w:val="00853DA5"/>
    <w:rsid w:val="00853F9D"/>
    <w:rsid w:val="008540B6"/>
    <w:rsid w:val="008540EE"/>
    <w:rsid w:val="0085423E"/>
    <w:rsid w:val="00854460"/>
    <w:rsid w:val="0085457E"/>
    <w:rsid w:val="008548E4"/>
    <w:rsid w:val="00854A32"/>
    <w:rsid w:val="008550C6"/>
    <w:rsid w:val="008554B8"/>
    <w:rsid w:val="0085567C"/>
    <w:rsid w:val="008556CA"/>
    <w:rsid w:val="00855B3B"/>
    <w:rsid w:val="00855D9C"/>
    <w:rsid w:val="008563A3"/>
    <w:rsid w:val="00857A82"/>
    <w:rsid w:val="00857D41"/>
    <w:rsid w:val="0086031A"/>
    <w:rsid w:val="008603F2"/>
    <w:rsid w:val="00860B0A"/>
    <w:rsid w:val="00860B5F"/>
    <w:rsid w:val="00860E77"/>
    <w:rsid w:val="008611BC"/>
    <w:rsid w:val="00861880"/>
    <w:rsid w:val="008619A1"/>
    <w:rsid w:val="00861D82"/>
    <w:rsid w:val="00862253"/>
    <w:rsid w:val="0086261F"/>
    <w:rsid w:val="008627EF"/>
    <w:rsid w:val="008629F3"/>
    <w:rsid w:val="00862EC5"/>
    <w:rsid w:val="00863367"/>
    <w:rsid w:val="00863387"/>
    <w:rsid w:val="00863802"/>
    <w:rsid w:val="00863ED4"/>
    <w:rsid w:val="0086456A"/>
    <w:rsid w:val="008645D3"/>
    <w:rsid w:val="008646C9"/>
    <w:rsid w:val="008655E7"/>
    <w:rsid w:val="008656C2"/>
    <w:rsid w:val="008657F3"/>
    <w:rsid w:val="00865B0B"/>
    <w:rsid w:val="00865CB9"/>
    <w:rsid w:val="00865D33"/>
    <w:rsid w:val="00865D59"/>
    <w:rsid w:val="00866186"/>
    <w:rsid w:val="00866433"/>
    <w:rsid w:val="008664EC"/>
    <w:rsid w:val="008668F6"/>
    <w:rsid w:val="0086721D"/>
    <w:rsid w:val="008673C5"/>
    <w:rsid w:val="00867A6D"/>
    <w:rsid w:val="00867B68"/>
    <w:rsid w:val="0087059D"/>
    <w:rsid w:val="0087074B"/>
    <w:rsid w:val="008710B2"/>
    <w:rsid w:val="00871537"/>
    <w:rsid w:val="00871ACF"/>
    <w:rsid w:val="00871D0C"/>
    <w:rsid w:val="008721DA"/>
    <w:rsid w:val="0087259A"/>
    <w:rsid w:val="00872A19"/>
    <w:rsid w:val="00872A3D"/>
    <w:rsid w:val="008737A5"/>
    <w:rsid w:val="00873836"/>
    <w:rsid w:val="00873E8E"/>
    <w:rsid w:val="00873F92"/>
    <w:rsid w:val="00874327"/>
    <w:rsid w:val="00874731"/>
    <w:rsid w:val="0087479F"/>
    <w:rsid w:val="00874C92"/>
    <w:rsid w:val="00874DE8"/>
    <w:rsid w:val="0087517E"/>
    <w:rsid w:val="0087518B"/>
    <w:rsid w:val="0087528D"/>
    <w:rsid w:val="008756B1"/>
    <w:rsid w:val="008762FF"/>
    <w:rsid w:val="00876822"/>
    <w:rsid w:val="00876A9F"/>
    <w:rsid w:val="008771AD"/>
    <w:rsid w:val="00877442"/>
    <w:rsid w:val="0087747E"/>
    <w:rsid w:val="00877CD0"/>
    <w:rsid w:val="00880BC8"/>
    <w:rsid w:val="00881157"/>
    <w:rsid w:val="00881512"/>
    <w:rsid w:val="00881A67"/>
    <w:rsid w:val="00881B88"/>
    <w:rsid w:val="0088252D"/>
    <w:rsid w:val="008825B3"/>
    <w:rsid w:val="008828EF"/>
    <w:rsid w:val="00882A03"/>
    <w:rsid w:val="00882E89"/>
    <w:rsid w:val="00882FB6"/>
    <w:rsid w:val="008833C1"/>
    <w:rsid w:val="0088368C"/>
    <w:rsid w:val="00883E21"/>
    <w:rsid w:val="00884DB2"/>
    <w:rsid w:val="00885223"/>
    <w:rsid w:val="00885396"/>
    <w:rsid w:val="00885450"/>
    <w:rsid w:val="008854BC"/>
    <w:rsid w:val="00885553"/>
    <w:rsid w:val="00885737"/>
    <w:rsid w:val="00885974"/>
    <w:rsid w:val="00885C06"/>
    <w:rsid w:val="00885CA7"/>
    <w:rsid w:val="00885E54"/>
    <w:rsid w:val="0088636C"/>
    <w:rsid w:val="0088678D"/>
    <w:rsid w:val="0088679A"/>
    <w:rsid w:val="00886814"/>
    <w:rsid w:val="00887304"/>
    <w:rsid w:val="0088761F"/>
    <w:rsid w:val="00887BD0"/>
    <w:rsid w:val="00887C19"/>
    <w:rsid w:val="00887C63"/>
    <w:rsid w:val="00887CD8"/>
    <w:rsid w:val="008902F5"/>
    <w:rsid w:val="00890650"/>
    <w:rsid w:val="008909B7"/>
    <w:rsid w:val="00890B04"/>
    <w:rsid w:val="00890C56"/>
    <w:rsid w:val="00890FA9"/>
    <w:rsid w:val="00890FEF"/>
    <w:rsid w:val="0089119C"/>
    <w:rsid w:val="008914B5"/>
    <w:rsid w:val="00891933"/>
    <w:rsid w:val="00891AD0"/>
    <w:rsid w:val="00891ADA"/>
    <w:rsid w:val="00891F36"/>
    <w:rsid w:val="00892723"/>
    <w:rsid w:val="008927C7"/>
    <w:rsid w:val="00892A41"/>
    <w:rsid w:val="00892AD7"/>
    <w:rsid w:val="00892BA9"/>
    <w:rsid w:val="00892F49"/>
    <w:rsid w:val="008934E9"/>
    <w:rsid w:val="0089369B"/>
    <w:rsid w:val="00893713"/>
    <w:rsid w:val="00893DA3"/>
    <w:rsid w:val="00893DFD"/>
    <w:rsid w:val="00893EF9"/>
    <w:rsid w:val="00894134"/>
    <w:rsid w:val="00894765"/>
    <w:rsid w:val="00894809"/>
    <w:rsid w:val="00894D26"/>
    <w:rsid w:val="00895389"/>
    <w:rsid w:val="00895472"/>
    <w:rsid w:val="00895D38"/>
    <w:rsid w:val="00895FA2"/>
    <w:rsid w:val="00896099"/>
    <w:rsid w:val="00896807"/>
    <w:rsid w:val="00896F65"/>
    <w:rsid w:val="00897145"/>
    <w:rsid w:val="00897313"/>
    <w:rsid w:val="0089759E"/>
    <w:rsid w:val="00897C0D"/>
    <w:rsid w:val="00897C86"/>
    <w:rsid w:val="00897E12"/>
    <w:rsid w:val="008A0437"/>
    <w:rsid w:val="008A0DAD"/>
    <w:rsid w:val="008A0EC3"/>
    <w:rsid w:val="008A21D5"/>
    <w:rsid w:val="008A2501"/>
    <w:rsid w:val="008A27CC"/>
    <w:rsid w:val="008A2B89"/>
    <w:rsid w:val="008A2F89"/>
    <w:rsid w:val="008A30E2"/>
    <w:rsid w:val="008A3473"/>
    <w:rsid w:val="008A3B82"/>
    <w:rsid w:val="008A41EF"/>
    <w:rsid w:val="008A4355"/>
    <w:rsid w:val="008A43E2"/>
    <w:rsid w:val="008A4748"/>
    <w:rsid w:val="008A4985"/>
    <w:rsid w:val="008A49F0"/>
    <w:rsid w:val="008A4B90"/>
    <w:rsid w:val="008A5C86"/>
    <w:rsid w:val="008A5EA2"/>
    <w:rsid w:val="008A633B"/>
    <w:rsid w:val="008A63C6"/>
    <w:rsid w:val="008A6B26"/>
    <w:rsid w:val="008A6C80"/>
    <w:rsid w:val="008A6CB5"/>
    <w:rsid w:val="008A72C5"/>
    <w:rsid w:val="008A72E6"/>
    <w:rsid w:val="008A75D0"/>
    <w:rsid w:val="008A7874"/>
    <w:rsid w:val="008A7E0F"/>
    <w:rsid w:val="008B0826"/>
    <w:rsid w:val="008B08E2"/>
    <w:rsid w:val="008B0C96"/>
    <w:rsid w:val="008B0EF3"/>
    <w:rsid w:val="008B10ED"/>
    <w:rsid w:val="008B12F5"/>
    <w:rsid w:val="008B1402"/>
    <w:rsid w:val="008B192D"/>
    <w:rsid w:val="008B1BBB"/>
    <w:rsid w:val="008B1C8D"/>
    <w:rsid w:val="008B1E57"/>
    <w:rsid w:val="008B20E5"/>
    <w:rsid w:val="008B21E9"/>
    <w:rsid w:val="008B26CE"/>
    <w:rsid w:val="008B2B80"/>
    <w:rsid w:val="008B2D49"/>
    <w:rsid w:val="008B309E"/>
    <w:rsid w:val="008B31CA"/>
    <w:rsid w:val="008B391B"/>
    <w:rsid w:val="008B3941"/>
    <w:rsid w:val="008B41A1"/>
    <w:rsid w:val="008B426B"/>
    <w:rsid w:val="008B450E"/>
    <w:rsid w:val="008B4895"/>
    <w:rsid w:val="008B4CCC"/>
    <w:rsid w:val="008B5010"/>
    <w:rsid w:val="008B5196"/>
    <w:rsid w:val="008B5210"/>
    <w:rsid w:val="008B55C7"/>
    <w:rsid w:val="008B59E8"/>
    <w:rsid w:val="008B5ACB"/>
    <w:rsid w:val="008B60FC"/>
    <w:rsid w:val="008B6765"/>
    <w:rsid w:val="008B67FC"/>
    <w:rsid w:val="008B6888"/>
    <w:rsid w:val="008B6EC0"/>
    <w:rsid w:val="008B744E"/>
    <w:rsid w:val="008B751D"/>
    <w:rsid w:val="008B777D"/>
    <w:rsid w:val="008B77CB"/>
    <w:rsid w:val="008B793B"/>
    <w:rsid w:val="008B7C48"/>
    <w:rsid w:val="008B7FD8"/>
    <w:rsid w:val="008C056E"/>
    <w:rsid w:val="008C0A49"/>
    <w:rsid w:val="008C0C3D"/>
    <w:rsid w:val="008C10D9"/>
    <w:rsid w:val="008C135B"/>
    <w:rsid w:val="008C19E3"/>
    <w:rsid w:val="008C1B2F"/>
    <w:rsid w:val="008C1BB7"/>
    <w:rsid w:val="008C1C94"/>
    <w:rsid w:val="008C1FE0"/>
    <w:rsid w:val="008C2225"/>
    <w:rsid w:val="008C294B"/>
    <w:rsid w:val="008C2AE9"/>
    <w:rsid w:val="008C3431"/>
    <w:rsid w:val="008C3892"/>
    <w:rsid w:val="008C3C05"/>
    <w:rsid w:val="008C3F6A"/>
    <w:rsid w:val="008C4927"/>
    <w:rsid w:val="008C4928"/>
    <w:rsid w:val="008C4A05"/>
    <w:rsid w:val="008C4C11"/>
    <w:rsid w:val="008C5146"/>
    <w:rsid w:val="008C5543"/>
    <w:rsid w:val="008C5562"/>
    <w:rsid w:val="008C5D8E"/>
    <w:rsid w:val="008C60FD"/>
    <w:rsid w:val="008C6103"/>
    <w:rsid w:val="008C6414"/>
    <w:rsid w:val="008C6720"/>
    <w:rsid w:val="008C6927"/>
    <w:rsid w:val="008C6949"/>
    <w:rsid w:val="008C6E24"/>
    <w:rsid w:val="008C6EAF"/>
    <w:rsid w:val="008C710F"/>
    <w:rsid w:val="008C74AB"/>
    <w:rsid w:val="008C77C0"/>
    <w:rsid w:val="008C7DB1"/>
    <w:rsid w:val="008C7F5B"/>
    <w:rsid w:val="008D046B"/>
    <w:rsid w:val="008D098C"/>
    <w:rsid w:val="008D0EC6"/>
    <w:rsid w:val="008D1265"/>
    <w:rsid w:val="008D1330"/>
    <w:rsid w:val="008D1A69"/>
    <w:rsid w:val="008D1FC9"/>
    <w:rsid w:val="008D21E0"/>
    <w:rsid w:val="008D23D9"/>
    <w:rsid w:val="008D29D4"/>
    <w:rsid w:val="008D2A0D"/>
    <w:rsid w:val="008D2E8E"/>
    <w:rsid w:val="008D3224"/>
    <w:rsid w:val="008D32E6"/>
    <w:rsid w:val="008D33B3"/>
    <w:rsid w:val="008D3FA1"/>
    <w:rsid w:val="008D4062"/>
    <w:rsid w:val="008D43AD"/>
    <w:rsid w:val="008D4432"/>
    <w:rsid w:val="008D4690"/>
    <w:rsid w:val="008D4727"/>
    <w:rsid w:val="008D4768"/>
    <w:rsid w:val="008D4A3F"/>
    <w:rsid w:val="008D4C94"/>
    <w:rsid w:val="008D5095"/>
    <w:rsid w:val="008D54E7"/>
    <w:rsid w:val="008D5CB6"/>
    <w:rsid w:val="008D60FB"/>
    <w:rsid w:val="008D6267"/>
    <w:rsid w:val="008D65CF"/>
    <w:rsid w:val="008D68B9"/>
    <w:rsid w:val="008D6B07"/>
    <w:rsid w:val="008D76ED"/>
    <w:rsid w:val="008D7923"/>
    <w:rsid w:val="008E0137"/>
    <w:rsid w:val="008E075C"/>
    <w:rsid w:val="008E07BC"/>
    <w:rsid w:val="008E0960"/>
    <w:rsid w:val="008E0B0A"/>
    <w:rsid w:val="008E0B30"/>
    <w:rsid w:val="008E0EDA"/>
    <w:rsid w:val="008E11CA"/>
    <w:rsid w:val="008E1471"/>
    <w:rsid w:val="008E1700"/>
    <w:rsid w:val="008E1940"/>
    <w:rsid w:val="008E20A5"/>
    <w:rsid w:val="008E2248"/>
    <w:rsid w:val="008E22AA"/>
    <w:rsid w:val="008E22F7"/>
    <w:rsid w:val="008E25ED"/>
    <w:rsid w:val="008E296F"/>
    <w:rsid w:val="008E2A39"/>
    <w:rsid w:val="008E2FC3"/>
    <w:rsid w:val="008E3511"/>
    <w:rsid w:val="008E3759"/>
    <w:rsid w:val="008E3B2C"/>
    <w:rsid w:val="008E3EC0"/>
    <w:rsid w:val="008E449B"/>
    <w:rsid w:val="008E4946"/>
    <w:rsid w:val="008E50F6"/>
    <w:rsid w:val="008E5415"/>
    <w:rsid w:val="008E5A1F"/>
    <w:rsid w:val="008E6426"/>
    <w:rsid w:val="008E69E2"/>
    <w:rsid w:val="008E6A8E"/>
    <w:rsid w:val="008E6E7A"/>
    <w:rsid w:val="008E6F74"/>
    <w:rsid w:val="008E7255"/>
    <w:rsid w:val="008E75D4"/>
    <w:rsid w:val="008E7E47"/>
    <w:rsid w:val="008F0098"/>
    <w:rsid w:val="008F02C2"/>
    <w:rsid w:val="008F0CBE"/>
    <w:rsid w:val="008F10DF"/>
    <w:rsid w:val="008F12CF"/>
    <w:rsid w:val="008F1612"/>
    <w:rsid w:val="008F17F5"/>
    <w:rsid w:val="008F1912"/>
    <w:rsid w:val="008F19CD"/>
    <w:rsid w:val="008F1E69"/>
    <w:rsid w:val="008F1F46"/>
    <w:rsid w:val="008F1F8A"/>
    <w:rsid w:val="008F2394"/>
    <w:rsid w:val="008F2478"/>
    <w:rsid w:val="008F25BE"/>
    <w:rsid w:val="008F2A26"/>
    <w:rsid w:val="008F2A92"/>
    <w:rsid w:val="008F2D9D"/>
    <w:rsid w:val="008F2FAD"/>
    <w:rsid w:val="008F3062"/>
    <w:rsid w:val="008F3479"/>
    <w:rsid w:val="008F3526"/>
    <w:rsid w:val="008F37C4"/>
    <w:rsid w:val="008F3E0A"/>
    <w:rsid w:val="008F3FD2"/>
    <w:rsid w:val="008F425A"/>
    <w:rsid w:val="008F4487"/>
    <w:rsid w:val="008F45C9"/>
    <w:rsid w:val="008F4711"/>
    <w:rsid w:val="008F471E"/>
    <w:rsid w:val="008F4DF4"/>
    <w:rsid w:val="008F4EFD"/>
    <w:rsid w:val="008F5B40"/>
    <w:rsid w:val="008F5E8B"/>
    <w:rsid w:val="008F5FB3"/>
    <w:rsid w:val="008F627B"/>
    <w:rsid w:val="008F66DC"/>
    <w:rsid w:val="008F696E"/>
    <w:rsid w:val="008F69CB"/>
    <w:rsid w:val="008F6A7F"/>
    <w:rsid w:val="008F6BBA"/>
    <w:rsid w:val="008F724A"/>
    <w:rsid w:val="008F7553"/>
    <w:rsid w:val="008F7BCE"/>
    <w:rsid w:val="008F7FA4"/>
    <w:rsid w:val="009003AE"/>
    <w:rsid w:val="00900920"/>
    <w:rsid w:val="00900AF1"/>
    <w:rsid w:val="00901586"/>
    <w:rsid w:val="00901A4C"/>
    <w:rsid w:val="009023CC"/>
    <w:rsid w:val="00902609"/>
    <w:rsid w:val="0090270B"/>
    <w:rsid w:val="00902EDB"/>
    <w:rsid w:val="00902F13"/>
    <w:rsid w:val="00902F2B"/>
    <w:rsid w:val="00902FAA"/>
    <w:rsid w:val="0090300E"/>
    <w:rsid w:val="009032C1"/>
    <w:rsid w:val="0090341B"/>
    <w:rsid w:val="00903DD0"/>
    <w:rsid w:val="009041DC"/>
    <w:rsid w:val="009042DB"/>
    <w:rsid w:val="00904343"/>
    <w:rsid w:val="00904BD6"/>
    <w:rsid w:val="00905478"/>
    <w:rsid w:val="0090550F"/>
    <w:rsid w:val="00905516"/>
    <w:rsid w:val="009056A6"/>
    <w:rsid w:val="00905C12"/>
    <w:rsid w:val="0090610F"/>
    <w:rsid w:val="00906820"/>
    <w:rsid w:val="00906DAC"/>
    <w:rsid w:val="00906E1D"/>
    <w:rsid w:val="00906E40"/>
    <w:rsid w:val="00907063"/>
    <w:rsid w:val="009072E5"/>
    <w:rsid w:val="00907F68"/>
    <w:rsid w:val="00910286"/>
    <w:rsid w:val="00910381"/>
    <w:rsid w:val="009105A9"/>
    <w:rsid w:val="0091063B"/>
    <w:rsid w:val="00910B7A"/>
    <w:rsid w:val="00910D7B"/>
    <w:rsid w:val="009115E7"/>
    <w:rsid w:val="00911823"/>
    <w:rsid w:val="009119A7"/>
    <w:rsid w:val="00911AD8"/>
    <w:rsid w:val="00911CD9"/>
    <w:rsid w:val="00911DA9"/>
    <w:rsid w:val="009121A0"/>
    <w:rsid w:val="00912540"/>
    <w:rsid w:val="00912B46"/>
    <w:rsid w:val="00912BD6"/>
    <w:rsid w:val="00912FB7"/>
    <w:rsid w:val="0091348F"/>
    <w:rsid w:val="009137EA"/>
    <w:rsid w:val="0091389C"/>
    <w:rsid w:val="00913D8D"/>
    <w:rsid w:val="00914361"/>
    <w:rsid w:val="0091441A"/>
    <w:rsid w:val="00914517"/>
    <w:rsid w:val="009148CF"/>
    <w:rsid w:val="00914ADF"/>
    <w:rsid w:val="00914ECD"/>
    <w:rsid w:val="00915037"/>
    <w:rsid w:val="009154A4"/>
    <w:rsid w:val="009155FB"/>
    <w:rsid w:val="0091563F"/>
    <w:rsid w:val="0091583A"/>
    <w:rsid w:val="009158F7"/>
    <w:rsid w:val="00916605"/>
    <w:rsid w:val="00916621"/>
    <w:rsid w:val="00916739"/>
    <w:rsid w:val="009169CB"/>
    <w:rsid w:val="00916AB6"/>
    <w:rsid w:val="00916BAA"/>
    <w:rsid w:val="00916E0F"/>
    <w:rsid w:val="0091708E"/>
    <w:rsid w:val="00917159"/>
    <w:rsid w:val="009177D4"/>
    <w:rsid w:val="009179E9"/>
    <w:rsid w:val="0092041F"/>
    <w:rsid w:val="00920607"/>
    <w:rsid w:val="009206C5"/>
    <w:rsid w:val="00920889"/>
    <w:rsid w:val="00920930"/>
    <w:rsid w:val="009209D4"/>
    <w:rsid w:val="00920A58"/>
    <w:rsid w:val="00920A8C"/>
    <w:rsid w:val="00920AB3"/>
    <w:rsid w:val="00920C3E"/>
    <w:rsid w:val="00921832"/>
    <w:rsid w:val="009219E0"/>
    <w:rsid w:val="00921AB4"/>
    <w:rsid w:val="00921F39"/>
    <w:rsid w:val="00921F55"/>
    <w:rsid w:val="00922964"/>
    <w:rsid w:val="00922D48"/>
    <w:rsid w:val="00922FC4"/>
    <w:rsid w:val="00923148"/>
    <w:rsid w:val="009238E7"/>
    <w:rsid w:val="00924764"/>
    <w:rsid w:val="009249B2"/>
    <w:rsid w:val="00924C27"/>
    <w:rsid w:val="00924C64"/>
    <w:rsid w:val="00925257"/>
    <w:rsid w:val="00925367"/>
    <w:rsid w:val="00925544"/>
    <w:rsid w:val="00925733"/>
    <w:rsid w:val="00925A19"/>
    <w:rsid w:val="009264DF"/>
    <w:rsid w:val="00926755"/>
    <w:rsid w:val="00926943"/>
    <w:rsid w:val="00926A08"/>
    <w:rsid w:val="00926A94"/>
    <w:rsid w:val="00926AA0"/>
    <w:rsid w:val="00926BAE"/>
    <w:rsid w:val="00926D4F"/>
    <w:rsid w:val="00927033"/>
    <w:rsid w:val="009271A8"/>
    <w:rsid w:val="00927354"/>
    <w:rsid w:val="00927535"/>
    <w:rsid w:val="009275F3"/>
    <w:rsid w:val="009278A2"/>
    <w:rsid w:val="00927D83"/>
    <w:rsid w:val="00927ED8"/>
    <w:rsid w:val="009301F7"/>
    <w:rsid w:val="009309EB"/>
    <w:rsid w:val="00930F4D"/>
    <w:rsid w:val="0093120D"/>
    <w:rsid w:val="009312A3"/>
    <w:rsid w:val="009316D4"/>
    <w:rsid w:val="00931769"/>
    <w:rsid w:val="00931D6C"/>
    <w:rsid w:val="00931E9D"/>
    <w:rsid w:val="0093224F"/>
    <w:rsid w:val="00932C5D"/>
    <w:rsid w:val="00932C88"/>
    <w:rsid w:val="0093313B"/>
    <w:rsid w:val="00933700"/>
    <w:rsid w:val="00933DAD"/>
    <w:rsid w:val="00933EE9"/>
    <w:rsid w:val="00933FCE"/>
    <w:rsid w:val="00934070"/>
    <w:rsid w:val="00934959"/>
    <w:rsid w:val="009349BE"/>
    <w:rsid w:val="00934A2C"/>
    <w:rsid w:val="00934B4C"/>
    <w:rsid w:val="00934DFB"/>
    <w:rsid w:val="00935013"/>
    <w:rsid w:val="0093501B"/>
    <w:rsid w:val="009355D3"/>
    <w:rsid w:val="00935BCB"/>
    <w:rsid w:val="00936594"/>
    <w:rsid w:val="009366E0"/>
    <w:rsid w:val="0093685A"/>
    <w:rsid w:val="00936B61"/>
    <w:rsid w:val="00936F64"/>
    <w:rsid w:val="00937BCD"/>
    <w:rsid w:val="00940613"/>
    <w:rsid w:val="0094082C"/>
    <w:rsid w:val="00940AFA"/>
    <w:rsid w:val="00940DF6"/>
    <w:rsid w:val="009411A4"/>
    <w:rsid w:val="0094120E"/>
    <w:rsid w:val="009413D3"/>
    <w:rsid w:val="00941641"/>
    <w:rsid w:val="00941659"/>
    <w:rsid w:val="009416EC"/>
    <w:rsid w:val="00941EBA"/>
    <w:rsid w:val="00942414"/>
    <w:rsid w:val="009424DA"/>
    <w:rsid w:val="0094275B"/>
    <w:rsid w:val="009429BC"/>
    <w:rsid w:val="00942C1C"/>
    <w:rsid w:val="00942EC2"/>
    <w:rsid w:val="00943552"/>
    <w:rsid w:val="00943D43"/>
    <w:rsid w:val="0094444C"/>
    <w:rsid w:val="0094464C"/>
    <w:rsid w:val="00944C59"/>
    <w:rsid w:val="00944F05"/>
    <w:rsid w:val="0094547C"/>
    <w:rsid w:val="00945A06"/>
    <w:rsid w:val="00945A2C"/>
    <w:rsid w:val="00945A76"/>
    <w:rsid w:val="00945C70"/>
    <w:rsid w:val="00945C77"/>
    <w:rsid w:val="0094696E"/>
    <w:rsid w:val="00946B9A"/>
    <w:rsid w:val="00946EFD"/>
    <w:rsid w:val="00946F18"/>
    <w:rsid w:val="009470BC"/>
    <w:rsid w:val="009475F5"/>
    <w:rsid w:val="00947E15"/>
    <w:rsid w:val="009500D7"/>
    <w:rsid w:val="009502A2"/>
    <w:rsid w:val="009503D9"/>
    <w:rsid w:val="009507D3"/>
    <w:rsid w:val="009508AA"/>
    <w:rsid w:val="00950B7F"/>
    <w:rsid w:val="00950E0E"/>
    <w:rsid w:val="0095149A"/>
    <w:rsid w:val="00951AE2"/>
    <w:rsid w:val="00951E65"/>
    <w:rsid w:val="0095229E"/>
    <w:rsid w:val="0095245A"/>
    <w:rsid w:val="00952502"/>
    <w:rsid w:val="0095257D"/>
    <w:rsid w:val="00952582"/>
    <w:rsid w:val="009529DA"/>
    <w:rsid w:val="00952AE7"/>
    <w:rsid w:val="00952BCA"/>
    <w:rsid w:val="00952EDD"/>
    <w:rsid w:val="00952FD1"/>
    <w:rsid w:val="00952FE3"/>
    <w:rsid w:val="00953A76"/>
    <w:rsid w:val="0095411D"/>
    <w:rsid w:val="009546E1"/>
    <w:rsid w:val="0095497F"/>
    <w:rsid w:val="00954991"/>
    <w:rsid w:val="00954DFF"/>
    <w:rsid w:val="009552C9"/>
    <w:rsid w:val="009556DC"/>
    <w:rsid w:val="0095588A"/>
    <w:rsid w:val="00955960"/>
    <w:rsid w:val="00955AA1"/>
    <w:rsid w:val="009565D1"/>
    <w:rsid w:val="009567A7"/>
    <w:rsid w:val="00956842"/>
    <w:rsid w:val="00956DE9"/>
    <w:rsid w:val="0095700E"/>
    <w:rsid w:val="00957448"/>
    <w:rsid w:val="00957E2C"/>
    <w:rsid w:val="00957F29"/>
    <w:rsid w:val="00960021"/>
    <w:rsid w:val="00960AC4"/>
    <w:rsid w:val="00960AF4"/>
    <w:rsid w:val="009610C2"/>
    <w:rsid w:val="00961148"/>
    <w:rsid w:val="00961AAB"/>
    <w:rsid w:val="00961BB2"/>
    <w:rsid w:val="00962B4C"/>
    <w:rsid w:val="00962B8C"/>
    <w:rsid w:val="00963304"/>
    <w:rsid w:val="009633F4"/>
    <w:rsid w:val="00963625"/>
    <w:rsid w:val="0096395A"/>
    <w:rsid w:val="0096435F"/>
    <w:rsid w:val="00964A6F"/>
    <w:rsid w:val="00964E61"/>
    <w:rsid w:val="00964FF0"/>
    <w:rsid w:val="00965249"/>
    <w:rsid w:val="00965364"/>
    <w:rsid w:val="00965692"/>
    <w:rsid w:val="00965D7A"/>
    <w:rsid w:val="00965FF1"/>
    <w:rsid w:val="009661AF"/>
    <w:rsid w:val="0096646F"/>
    <w:rsid w:val="00966665"/>
    <w:rsid w:val="009666D9"/>
    <w:rsid w:val="00966BE2"/>
    <w:rsid w:val="00967024"/>
    <w:rsid w:val="00967045"/>
    <w:rsid w:val="0096706E"/>
    <w:rsid w:val="009673BF"/>
    <w:rsid w:val="0096763A"/>
    <w:rsid w:val="0096766E"/>
    <w:rsid w:val="00967BDC"/>
    <w:rsid w:val="00967DAD"/>
    <w:rsid w:val="0097048E"/>
    <w:rsid w:val="00970B97"/>
    <w:rsid w:val="009712C6"/>
    <w:rsid w:val="00971902"/>
    <w:rsid w:val="009719FA"/>
    <w:rsid w:val="00971ADF"/>
    <w:rsid w:val="00972061"/>
    <w:rsid w:val="00972540"/>
    <w:rsid w:val="00972CBA"/>
    <w:rsid w:val="00972E9F"/>
    <w:rsid w:val="00973118"/>
    <w:rsid w:val="009731EE"/>
    <w:rsid w:val="00973E7C"/>
    <w:rsid w:val="00974482"/>
    <w:rsid w:val="00974685"/>
    <w:rsid w:val="00974C38"/>
    <w:rsid w:val="00974D7E"/>
    <w:rsid w:val="00974EC9"/>
    <w:rsid w:val="009753E0"/>
    <w:rsid w:val="0097544B"/>
    <w:rsid w:val="00975C4E"/>
    <w:rsid w:val="00975E4C"/>
    <w:rsid w:val="00975F13"/>
    <w:rsid w:val="00976577"/>
    <w:rsid w:val="00976633"/>
    <w:rsid w:val="00976CBA"/>
    <w:rsid w:val="009772CA"/>
    <w:rsid w:val="0097742E"/>
    <w:rsid w:val="00977AE2"/>
    <w:rsid w:val="00977B1C"/>
    <w:rsid w:val="00977F70"/>
    <w:rsid w:val="009805B0"/>
    <w:rsid w:val="00980707"/>
    <w:rsid w:val="00980B7F"/>
    <w:rsid w:val="00980E04"/>
    <w:rsid w:val="00980EDD"/>
    <w:rsid w:val="00981174"/>
    <w:rsid w:val="00981E2F"/>
    <w:rsid w:val="00981FBA"/>
    <w:rsid w:val="0098223E"/>
    <w:rsid w:val="009827F4"/>
    <w:rsid w:val="00982A48"/>
    <w:rsid w:val="00982BBB"/>
    <w:rsid w:val="00982C0F"/>
    <w:rsid w:val="00982DA4"/>
    <w:rsid w:val="0098353F"/>
    <w:rsid w:val="00984198"/>
    <w:rsid w:val="00984E1B"/>
    <w:rsid w:val="00985188"/>
    <w:rsid w:val="009853D7"/>
    <w:rsid w:val="00985B24"/>
    <w:rsid w:val="00985C1C"/>
    <w:rsid w:val="00985C45"/>
    <w:rsid w:val="00986095"/>
    <w:rsid w:val="00986489"/>
    <w:rsid w:val="009867A2"/>
    <w:rsid w:val="00986E88"/>
    <w:rsid w:val="00987846"/>
    <w:rsid w:val="00987F72"/>
    <w:rsid w:val="009901A9"/>
    <w:rsid w:val="0099057A"/>
    <w:rsid w:val="009907F7"/>
    <w:rsid w:val="00990A3A"/>
    <w:rsid w:val="00990B08"/>
    <w:rsid w:val="00990BAD"/>
    <w:rsid w:val="00990CE5"/>
    <w:rsid w:val="00991017"/>
    <w:rsid w:val="0099106A"/>
    <w:rsid w:val="009910E7"/>
    <w:rsid w:val="00991613"/>
    <w:rsid w:val="00991BFF"/>
    <w:rsid w:val="00991CC6"/>
    <w:rsid w:val="00991EC9"/>
    <w:rsid w:val="00992087"/>
    <w:rsid w:val="009922A2"/>
    <w:rsid w:val="009923C4"/>
    <w:rsid w:val="00992497"/>
    <w:rsid w:val="009927B2"/>
    <w:rsid w:val="0099354C"/>
    <w:rsid w:val="009937D9"/>
    <w:rsid w:val="00993864"/>
    <w:rsid w:val="0099465A"/>
    <w:rsid w:val="00994A61"/>
    <w:rsid w:val="00994B64"/>
    <w:rsid w:val="009957F8"/>
    <w:rsid w:val="00995985"/>
    <w:rsid w:val="009959C9"/>
    <w:rsid w:val="00995B97"/>
    <w:rsid w:val="0099633B"/>
    <w:rsid w:val="00996486"/>
    <w:rsid w:val="00996B8A"/>
    <w:rsid w:val="00997407"/>
    <w:rsid w:val="00997BC5"/>
    <w:rsid w:val="00997F87"/>
    <w:rsid w:val="00997FDB"/>
    <w:rsid w:val="009A0323"/>
    <w:rsid w:val="009A03A9"/>
    <w:rsid w:val="009A092B"/>
    <w:rsid w:val="009A0943"/>
    <w:rsid w:val="009A1ABF"/>
    <w:rsid w:val="009A1B4C"/>
    <w:rsid w:val="009A1C21"/>
    <w:rsid w:val="009A22C5"/>
    <w:rsid w:val="009A2539"/>
    <w:rsid w:val="009A25F6"/>
    <w:rsid w:val="009A30F6"/>
    <w:rsid w:val="009A3DB8"/>
    <w:rsid w:val="009A4178"/>
    <w:rsid w:val="009A4AD3"/>
    <w:rsid w:val="009A4AE5"/>
    <w:rsid w:val="009A4B37"/>
    <w:rsid w:val="009A4EC8"/>
    <w:rsid w:val="009A4F41"/>
    <w:rsid w:val="009A5295"/>
    <w:rsid w:val="009A56F1"/>
    <w:rsid w:val="009A5824"/>
    <w:rsid w:val="009A585B"/>
    <w:rsid w:val="009A607F"/>
    <w:rsid w:val="009A6186"/>
    <w:rsid w:val="009A6195"/>
    <w:rsid w:val="009A640E"/>
    <w:rsid w:val="009A69A0"/>
    <w:rsid w:val="009A7158"/>
    <w:rsid w:val="009A72E5"/>
    <w:rsid w:val="009A738A"/>
    <w:rsid w:val="009A78E7"/>
    <w:rsid w:val="009A7A66"/>
    <w:rsid w:val="009A7DF4"/>
    <w:rsid w:val="009B02F7"/>
    <w:rsid w:val="009B046F"/>
    <w:rsid w:val="009B0CD6"/>
    <w:rsid w:val="009B0D9C"/>
    <w:rsid w:val="009B120B"/>
    <w:rsid w:val="009B13D5"/>
    <w:rsid w:val="009B1688"/>
    <w:rsid w:val="009B18E4"/>
    <w:rsid w:val="009B2454"/>
    <w:rsid w:val="009B2623"/>
    <w:rsid w:val="009B2830"/>
    <w:rsid w:val="009B2ECC"/>
    <w:rsid w:val="009B3386"/>
    <w:rsid w:val="009B342D"/>
    <w:rsid w:val="009B3595"/>
    <w:rsid w:val="009B381A"/>
    <w:rsid w:val="009B381B"/>
    <w:rsid w:val="009B3B35"/>
    <w:rsid w:val="009B3B7F"/>
    <w:rsid w:val="009B4027"/>
    <w:rsid w:val="009B4685"/>
    <w:rsid w:val="009B4994"/>
    <w:rsid w:val="009B4CA0"/>
    <w:rsid w:val="009B4F60"/>
    <w:rsid w:val="009B50A1"/>
    <w:rsid w:val="009B52CE"/>
    <w:rsid w:val="009B53F0"/>
    <w:rsid w:val="009B5B35"/>
    <w:rsid w:val="009B5EF1"/>
    <w:rsid w:val="009B6281"/>
    <w:rsid w:val="009B62CA"/>
    <w:rsid w:val="009B6461"/>
    <w:rsid w:val="009B6585"/>
    <w:rsid w:val="009B6919"/>
    <w:rsid w:val="009B6C83"/>
    <w:rsid w:val="009B7119"/>
    <w:rsid w:val="009B7333"/>
    <w:rsid w:val="009B7C38"/>
    <w:rsid w:val="009B7C50"/>
    <w:rsid w:val="009B7D05"/>
    <w:rsid w:val="009C04E8"/>
    <w:rsid w:val="009C0618"/>
    <w:rsid w:val="009C0C08"/>
    <w:rsid w:val="009C0C46"/>
    <w:rsid w:val="009C121B"/>
    <w:rsid w:val="009C1664"/>
    <w:rsid w:val="009C176D"/>
    <w:rsid w:val="009C1821"/>
    <w:rsid w:val="009C1890"/>
    <w:rsid w:val="009C1C1B"/>
    <w:rsid w:val="009C23B6"/>
    <w:rsid w:val="009C244A"/>
    <w:rsid w:val="009C2C3F"/>
    <w:rsid w:val="009C2D00"/>
    <w:rsid w:val="009C3942"/>
    <w:rsid w:val="009C3BA8"/>
    <w:rsid w:val="009C3C4B"/>
    <w:rsid w:val="009C3CC1"/>
    <w:rsid w:val="009C3D85"/>
    <w:rsid w:val="009C44EC"/>
    <w:rsid w:val="009C475A"/>
    <w:rsid w:val="009C48CD"/>
    <w:rsid w:val="009C4C5F"/>
    <w:rsid w:val="009C4D51"/>
    <w:rsid w:val="009C54CA"/>
    <w:rsid w:val="009C600C"/>
    <w:rsid w:val="009C60C5"/>
    <w:rsid w:val="009C61BB"/>
    <w:rsid w:val="009C6760"/>
    <w:rsid w:val="009C6A0D"/>
    <w:rsid w:val="009C6F5F"/>
    <w:rsid w:val="009C7131"/>
    <w:rsid w:val="009C74A3"/>
    <w:rsid w:val="009C777D"/>
    <w:rsid w:val="009C7859"/>
    <w:rsid w:val="009C7AEB"/>
    <w:rsid w:val="009C7BAA"/>
    <w:rsid w:val="009C7D64"/>
    <w:rsid w:val="009C7EA2"/>
    <w:rsid w:val="009C7F63"/>
    <w:rsid w:val="009D037E"/>
    <w:rsid w:val="009D181B"/>
    <w:rsid w:val="009D1822"/>
    <w:rsid w:val="009D1A08"/>
    <w:rsid w:val="009D21A7"/>
    <w:rsid w:val="009D230B"/>
    <w:rsid w:val="009D2C16"/>
    <w:rsid w:val="009D2ECA"/>
    <w:rsid w:val="009D33B2"/>
    <w:rsid w:val="009D38F5"/>
    <w:rsid w:val="009D3A41"/>
    <w:rsid w:val="009D3EF3"/>
    <w:rsid w:val="009D42E6"/>
    <w:rsid w:val="009D56F7"/>
    <w:rsid w:val="009D5770"/>
    <w:rsid w:val="009D5F93"/>
    <w:rsid w:val="009D6E78"/>
    <w:rsid w:val="009D74D7"/>
    <w:rsid w:val="009D7611"/>
    <w:rsid w:val="009D7959"/>
    <w:rsid w:val="009D7CFD"/>
    <w:rsid w:val="009E0289"/>
    <w:rsid w:val="009E0B61"/>
    <w:rsid w:val="009E0B84"/>
    <w:rsid w:val="009E11CC"/>
    <w:rsid w:val="009E12CB"/>
    <w:rsid w:val="009E13FC"/>
    <w:rsid w:val="009E1402"/>
    <w:rsid w:val="009E1BAF"/>
    <w:rsid w:val="009E21ED"/>
    <w:rsid w:val="009E2C1F"/>
    <w:rsid w:val="009E2F48"/>
    <w:rsid w:val="009E3012"/>
    <w:rsid w:val="009E45CB"/>
    <w:rsid w:val="009E4975"/>
    <w:rsid w:val="009E4E45"/>
    <w:rsid w:val="009E4E91"/>
    <w:rsid w:val="009E50CA"/>
    <w:rsid w:val="009E53DE"/>
    <w:rsid w:val="009E5525"/>
    <w:rsid w:val="009E5577"/>
    <w:rsid w:val="009E55C9"/>
    <w:rsid w:val="009E58B4"/>
    <w:rsid w:val="009E5B14"/>
    <w:rsid w:val="009E5DD1"/>
    <w:rsid w:val="009E5FE1"/>
    <w:rsid w:val="009E63A1"/>
    <w:rsid w:val="009E6937"/>
    <w:rsid w:val="009E695C"/>
    <w:rsid w:val="009E6C3E"/>
    <w:rsid w:val="009E6CC1"/>
    <w:rsid w:val="009E6D6F"/>
    <w:rsid w:val="009E79F2"/>
    <w:rsid w:val="009E7C0B"/>
    <w:rsid w:val="009E7E3B"/>
    <w:rsid w:val="009F0505"/>
    <w:rsid w:val="009F05C5"/>
    <w:rsid w:val="009F0DD7"/>
    <w:rsid w:val="009F0ED2"/>
    <w:rsid w:val="009F0F41"/>
    <w:rsid w:val="009F1026"/>
    <w:rsid w:val="009F156C"/>
    <w:rsid w:val="009F1993"/>
    <w:rsid w:val="009F19B5"/>
    <w:rsid w:val="009F1D4D"/>
    <w:rsid w:val="009F2AF7"/>
    <w:rsid w:val="009F2EF7"/>
    <w:rsid w:val="009F32AE"/>
    <w:rsid w:val="009F32C6"/>
    <w:rsid w:val="009F33BF"/>
    <w:rsid w:val="009F38F6"/>
    <w:rsid w:val="009F3CAF"/>
    <w:rsid w:val="009F40AE"/>
    <w:rsid w:val="009F4735"/>
    <w:rsid w:val="009F4EFC"/>
    <w:rsid w:val="009F50F4"/>
    <w:rsid w:val="009F51B6"/>
    <w:rsid w:val="009F5402"/>
    <w:rsid w:val="009F552D"/>
    <w:rsid w:val="009F5DD5"/>
    <w:rsid w:val="009F6313"/>
    <w:rsid w:val="009F6409"/>
    <w:rsid w:val="009F65C1"/>
    <w:rsid w:val="009F6745"/>
    <w:rsid w:val="009F6C1A"/>
    <w:rsid w:val="009F6CD8"/>
    <w:rsid w:val="009F72BB"/>
    <w:rsid w:val="009F7549"/>
    <w:rsid w:val="009F7C21"/>
    <w:rsid w:val="00A00055"/>
    <w:rsid w:val="00A00BFD"/>
    <w:rsid w:val="00A0131C"/>
    <w:rsid w:val="00A01C60"/>
    <w:rsid w:val="00A01D16"/>
    <w:rsid w:val="00A01E78"/>
    <w:rsid w:val="00A01FAF"/>
    <w:rsid w:val="00A025AC"/>
    <w:rsid w:val="00A027FA"/>
    <w:rsid w:val="00A028A8"/>
    <w:rsid w:val="00A02BDB"/>
    <w:rsid w:val="00A03143"/>
    <w:rsid w:val="00A0334E"/>
    <w:rsid w:val="00A033C9"/>
    <w:rsid w:val="00A033DA"/>
    <w:rsid w:val="00A037F6"/>
    <w:rsid w:val="00A04AD4"/>
    <w:rsid w:val="00A04AF7"/>
    <w:rsid w:val="00A052AC"/>
    <w:rsid w:val="00A05477"/>
    <w:rsid w:val="00A05A3C"/>
    <w:rsid w:val="00A05A90"/>
    <w:rsid w:val="00A06120"/>
    <w:rsid w:val="00A0623D"/>
    <w:rsid w:val="00A06A2E"/>
    <w:rsid w:val="00A06E28"/>
    <w:rsid w:val="00A070F3"/>
    <w:rsid w:val="00A072D4"/>
    <w:rsid w:val="00A07707"/>
    <w:rsid w:val="00A07908"/>
    <w:rsid w:val="00A07AD8"/>
    <w:rsid w:val="00A07AF5"/>
    <w:rsid w:val="00A07C4A"/>
    <w:rsid w:val="00A07E5F"/>
    <w:rsid w:val="00A104DF"/>
    <w:rsid w:val="00A10A00"/>
    <w:rsid w:val="00A10BE2"/>
    <w:rsid w:val="00A10E6B"/>
    <w:rsid w:val="00A10ED4"/>
    <w:rsid w:val="00A10FA5"/>
    <w:rsid w:val="00A11505"/>
    <w:rsid w:val="00A1170C"/>
    <w:rsid w:val="00A11AE1"/>
    <w:rsid w:val="00A11E23"/>
    <w:rsid w:val="00A12152"/>
    <w:rsid w:val="00A12867"/>
    <w:rsid w:val="00A129D6"/>
    <w:rsid w:val="00A129F4"/>
    <w:rsid w:val="00A12F23"/>
    <w:rsid w:val="00A1346B"/>
    <w:rsid w:val="00A13654"/>
    <w:rsid w:val="00A13976"/>
    <w:rsid w:val="00A139B1"/>
    <w:rsid w:val="00A13D36"/>
    <w:rsid w:val="00A15BCA"/>
    <w:rsid w:val="00A160DA"/>
    <w:rsid w:val="00A1622F"/>
    <w:rsid w:val="00A16B1B"/>
    <w:rsid w:val="00A16D37"/>
    <w:rsid w:val="00A17003"/>
    <w:rsid w:val="00A17640"/>
    <w:rsid w:val="00A17685"/>
    <w:rsid w:val="00A177EA"/>
    <w:rsid w:val="00A1783E"/>
    <w:rsid w:val="00A178DD"/>
    <w:rsid w:val="00A20048"/>
    <w:rsid w:val="00A20353"/>
    <w:rsid w:val="00A20460"/>
    <w:rsid w:val="00A20A63"/>
    <w:rsid w:val="00A20C8B"/>
    <w:rsid w:val="00A20DBC"/>
    <w:rsid w:val="00A2128F"/>
    <w:rsid w:val="00A21721"/>
    <w:rsid w:val="00A219A8"/>
    <w:rsid w:val="00A21A95"/>
    <w:rsid w:val="00A21B9A"/>
    <w:rsid w:val="00A221A0"/>
    <w:rsid w:val="00A2220D"/>
    <w:rsid w:val="00A23138"/>
    <w:rsid w:val="00A231BB"/>
    <w:rsid w:val="00A231C0"/>
    <w:rsid w:val="00A2380B"/>
    <w:rsid w:val="00A23D7A"/>
    <w:rsid w:val="00A23FFF"/>
    <w:rsid w:val="00A24527"/>
    <w:rsid w:val="00A24801"/>
    <w:rsid w:val="00A24E67"/>
    <w:rsid w:val="00A2510D"/>
    <w:rsid w:val="00A25182"/>
    <w:rsid w:val="00A2546A"/>
    <w:rsid w:val="00A2556A"/>
    <w:rsid w:val="00A2561A"/>
    <w:rsid w:val="00A25621"/>
    <w:rsid w:val="00A25E38"/>
    <w:rsid w:val="00A262AF"/>
    <w:rsid w:val="00A26307"/>
    <w:rsid w:val="00A264FE"/>
    <w:rsid w:val="00A26681"/>
    <w:rsid w:val="00A26C11"/>
    <w:rsid w:val="00A26F8A"/>
    <w:rsid w:val="00A2742D"/>
    <w:rsid w:val="00A27D5F"/>
    <w:rsid w:val="00A30211"/>
    <w:rsid w:val="00A30431"/>
    <w:rsid w:val="00A3090A"/>
    <w:rsid w:val="00A30A66"/>
    <w:rsid w:val="00A30DA9"/>
    <w:rsid w:val="00A312F3"/>
    <w:rsid w:val="00A31632"/>
    <w:rsid w:val="00A32032"/>
    <w:rsid w:val="00A3207B"/>
    <w:rsid w:val="00A322CA"/>
    <w:rsid w:val="00A328B3"/>
    <w:rsid w:val="00A329E4"/>
    <w:rsid w:val="00A32F4A"/>
    <w:rsid w:val="00A33976"/>
    <w:rsid w:val="00A339A3"/>
    <w:rsid w:val="00A33BB5"/>
    <w:rsid w:val="00A33CDB"/>
    <w:rsid w:val="00A33F2C"/>
    <w:rsid w:val="00A33F57"/>
    <w:rsid w:val="00A34040"/>
    <w:rsid w:val="00A344B3"/>
    <w:rsid w:val="00A34625"/>
    <w:rsid w:val="00A34A7E"/>
    <w:rsid w:val="00A3515F"/>
    <w:rsid w:val="00A3575D"/>
    <w:rsid w:val="00A357AB"/>
    <w:rsid w:val="00A357FF"/>
    <w:rsid w:val="00A35CBB"/>
    <w:rsid w:val="00A3607C"/>
    <w:rsid w:val="00A36098"/>
    <w:rsid w:val="00A36165"/>
    <w:rsid w:val="00A36824"/>
    <w:rsid w:val="00A36B39"/>
    <w:rsid w:val="00A36B9D"/>
    <w:rsid w:val="00A36D42"/>
    <w:rsid w:val="00A379F0"/>
    <w:rsid w:val="00A379F5"/>
    <w:rsid w:val="00A405E8"/>
    <w:rsid w:val="00A40EE9"/>
    <w:rsid w:val="00A40F16"/>
    <w:rsid w:val="00A411BD"/>
    <w:rsid w:val="00A41959"/>
    <w:rsid w:val="00A4206A"/>
    <w:rsid w:val="00A426BF"/>
    <w:rsid w:val="00A427A2"/>
    <w:rsid w:val="00A42C9D"/>
    <w:rsid w:val="00A42CF6"/>
    <w:rsid w:val="00A42D88"/>
    <w:rsid w:val="00A430F9"/>
    <w:rsid w:val="00A43282"/>
    <w:rsid w:val="00A43286"/>
    <w:rsid w:val="00A43685"/>
    <w:rsid w:val="00A43843"/>
    <w:rsid w:val="00A439A9"/>
    <w:rsid w:val="00A43C82"/>
    <w:rsid w:val="00A43D5D"/>
    <w:rsid w:val="00A440C1"/>
    <w:rsid w:val="00A44165"/>
    <w:rsid w:val="00A443E5"/>
    <w:rsid w:val="00A4449E"/>
    <w:rsid w:val="00A44666"/>
    <w:rsid w:val="00A44C2B"/>
    <w:rsid w:val="00A4583D"/>
    <w:rsid w:val="00A458BB"/>
    <w:rsid w:val="00A45C15"/>
    <w:rsid w:val="00A45D58"/>
    <w:rsid w:val="00A46904"/>
    <w:rsid w:val="00A46BA2"/>
    <w:rsid w:val="00A46FDF"/>
    <w:rsid w:val="00A4737C"/>
    <w:rsid w:val="00A477D3"/>
    <w:rsid w:val="00A47809"/>
    <w:rsid w:val="00A47911"/>
    <w:rsid w:val="00A503DE"/>
    <w:rsid w:val="00A50603"/>
    <w:rsid w:val="00A508E5"/>
    <w:rsid w:val="00A509E2"/>
    <w:rsid w:val="00A50B61"/>
    <w:rsid w:val="00A50B7B"/>
    <w:rsid w:val="00A50D2D"/>
    <w:rsid w:val="00A50F2F"/>
    <w:rsid w:val="00A50FCF"/>
    <w:rsid w:val="00A512A5"/>
    <w:rsid w:val="00A51744"/>
    <w:rsid w:val="00A528D1"/>
    <w:rsid w:val="00A52D34"/>
    <w:rsid w:val="00A5335B"/>
    <w:rsid w:val="00A5337B"/>
    <w:rsid w:val="00A53982"/>
    <w:rsid w:val="00A53D16"/>
    <w:rsid w:val="00A54597"/>
    <w:rsid w:val="00A54AB9"/>
    <w:rsid w:val="00A550B7"/>
    <w:rsid w:val="00A551AD"/>
    <w:rsid w:val="00A55219"/>
    <w:rsid w:val="00A55B8D"/>
    <w:rsid w:val="00A55C7B"/>
    <w:rsid w:val="00A55EEF"/>
    <w:rsid w:val="00A57053"/>
    <w:rsid w:val="00A5731B"/>
    <w:rsid w:val="00A57E57"/>
    <w:rsid w:val="00A57F82"/>
    <w:rsid w:val="00A60593"/>
    <w:rsid w:val="00A60715"/>
    <w:rsid w:val="00A60DF4"/>
    <w:rsid w:val="00A610CD"/>
    <w:rsid w:val="00A6149F"/>
    <w:rsid w:val="00A61F90"/>
    <w:rsid w:val="00A6209A"/>
    <w:rsid w:val="00A62487"/>
    <w:rsid w:val="00A62B85"/>
    <w:rsid w:val="00A62CF1"/>
    <w:rsid w:val="00A63437"/>
    <w:rsid w:val="00A635E2"/>
    <w:rsid w:val="00A637C7"/>
    <w:rsid w:val="00A63957"/>
    <w:rsid w:val="00A63A97"/>
    <w:rsid w:val="00A63CE7"/>
    <w:rsid w:val="00A640EF"/>
    <w:rsid w:val="00A6411A"/>
    <w:rsid w:val="00A64923"/>
    <w:rsid w:val="00A64A27"/>
    <w:rsid w:val="00A64A93"/>
    <w:rsid w:val="00A65066"/>
    <w:rsid w:val="00A65569"/>
    <w:rsid w:val="00A65638"/>
    <w:rsid w:val="00A658E1"/>
    <w:rsid w:val="00A65954"/>
    <w:rsid w:val="00A65AC3"/>
    <w:rsid w:val="00A66363"/>
    <w:rsid w:val="00A666C4"/>
    <w:rsid w:val="00A67020"/>
    <w:rsid w:val="00A678CE"/>
    <w:rsid w:val="00A67FD8"/>
    <w:rsid w:val="00A7105A"/>
    <w:rsid w:val="00A7190E"/>
    <w:rsid w:val="00A71B46"/>
    <w:rsid w:val="00A71B59"/>
    <w:rsid w:val="00A720F8"/>
    <w:rsid w:val="00A72174"/>
    <w:rsid w:val="00A7230A"/>
    <w:rsid w:val="00A72340"/>
    <w:rsid w:val="00A72957"/>
    <w:rsid w:val="00A72CCE"/>
    <w:rsid w:val="00A72EDD"/>
    <w:rsid w:val="00A731BF"/>
    <w:rsid w:val="00A736F2"/>
    <w:rsid w:val="00A73892"/>
    <w:rsid w:val="00A73B2E"/>
    <w:rsid w:val="00A73B7E"/>
    <w:rsid w:val="00A7401D"/>
    <w:rsid w:val="00A7407B"/>
    <w:rsid w:val="00A7408E"/>
    <w:rsid w:val="00A740B9"/>
    <w:rsid w:val="00A74A27"/>
    <w:rsid w:val="00A757F2"/>
    <w:rsid w:val="00A75A9C"/>
    <w:rsid w:val="00A75B29"/>
    <w:rsid w:val="00A75B77"/>
    <w:rsid w:val="00A76263"/>
    <w:rsid w:val="00A76A82"/>
    <w:rsid w:val="00A76DB5"/>
    <w:rsid w:val="00A77001"/>
    <w:rsid w:val="00A77801"/>
    <w:rsid w:val="00A77C7A"/>
    <w:rsid w:val="00A77E21"/>
    <w:rsid w:val="00A807F2"/>
    <w:rsid w:val="00A80A6B"/>
    <w:rsid w:val="00A80D36"/>
    <w:rsid w:val="00A81008"/>
    <w:rsid w:val="00A817B6"/>
    <w:rsid w:val="00A81D4D"/>
    <w:rsid w:val="00A81E30"/>
    <w:rsid w:val="00A81E6D"/>
    <w:rsid w:val="00A82364"/>
    <w:rsid w:val="00A82517"/>
    <w:rsid w:val="00A825A1"/>
    <w:rsid w:val="00A82EA7"/>
    <w:rsid w:val="00A831E4"/>
    <w:rsid w:val="00A83678"/>
    <w:rsid w:val="00A837F7"/>
    <w:rsid w:val="00A8380C"/>
    <w:rsid w:val="00A83D29"/>
    <w:rsid w:val="00A83D2C"/>
    <w:rsid w:val="00A84096"/>
    <w:rsid w:val="00A842A0"/>
    <w:rsid w:val="00A84403"/>
    <w:rsid w:val="00A849C5"/>
    <w:rsid w:val="00A84A29"/>
    <w:rsid w:val="00A84D3B"/>
    <w:rsid w:val="00A84EEE"/>
    <w:rsid w:val="00A85477"/>
    <w:rsid w:val="00A8571D"/>
    <w:rsid w:val="00A859F8"/>
    <w:rsid w:val="00A85C23"/>
    <w:rsid w:val="00A85D6F"/>
    <w:rsid w:val="00A85E23"/>
    <w:rsid w:val="00A85F99"/>
    <w:rsid w:val="00A86270"/>
    <w:rsid w:val="00A862F8"/>
    <w:rsid w:val="00A866D0"/>
    <w:rsid w:val="00A86937"/>
    <w:rsid w:val="00A86C0A"/>
    <w:rsid w:val="00A86D00"/>
    <w:rsid w:val="00A87156"/>
    <w:rsid w:val="00A87819"/>
    <w:rsid w:val="00A9097D"/>
    <w:rsid w:val="00A90A31"/>
    <w:rsid w:val="00A90B35"/>
    <w:rsid w:val="00A90BE4"/>
    <w:rsid w:val="00A912E1"/>
    <w:rsid w:val="00A91484"/>
    <w:rsid w:val="00A918C1"/>
    <w:rsid w:val="00A9258C"/>
    <w:rsid w:val="00A92B2D"/>
    <w:rsid w:val="00A92D19"/>
    <w:rsid w:val="00A93138"/>
    <w:rsid w:val="00A93522"/>
    <w:rsid w:val="00A9366F"/>
    <w:rsid w:val="00A93F13"/>
    <w:rsid w:val="00A94080"/>
    <w:rsid w:val="00A9421E"/>
    <w:rsid w:val="00A94E0E"/>
    <w:rsid w:val="00A94F3C"/>
    <w:rsid w:val="00A9538F"/>
    <w:rsid w:val="00A953BF"/>
    <w:rsid w:val="00A95457"/>
    <w:rsid w:val="00A95535"/>
    <w:rsid w:val="00A95547"/>
    <w:rsid w:val="00A95679"/>
    <w:rsid w:val="00A95835"/>
    <w:rsid w:val="00A95C36"/>
    <w:rsid w:val="00A95C6E"/>
    <w:rsid w:val="00A95CBB"/>
    <w:rsid w:val="00A96001"/>
    <w:rsid w:val="00A96746"/>
    <w:rsid w:val="00A970C5"/>
    <w:rsid w:val="00A972D1"/>
    <w:rsid w:val="00A974AC"/>
    <w:rsid w:val="00A978BF"/>
    <w:rsid w:val="00A97AA6"/>
    <w:rsid w:val="00A97B33"/>
    <w:rsid w:val="00A97BA9"/>
    <w:rsid w:val="00A97FB6"/>
    <w:rsid w:val="00AA027F"/>
    <w:rsid w:val="00AA042C"/>
    <w:rsid w:val="00AA0751"/>
    <w:rsid w:val="00AA09A2"/>
    <w:rsid w:val="00AA09AD"/>
    <w:rsid w:val="00AA09B7"/>
    <w:rsid w:val="00AA1294"/>
    <w:rsid w:val="00AA26F7"/>
    <w:rsid w:val="00AA299D"/>
    <w:rsid w:val="00AA2DB7"/>
    <w:rsid w:val="00AA32A7"/>
    <w:rsid w:val="00AA33C9"/>
    <w:rsid w:val="00AA3666"/>
    <w:rsid w:val="00AA380B"/>
    <w:rsid w:val="00AA3CC3"/>
    <w:rsid w:val="00AA3DE2"/>
    <w:rsid w:val="00AA3DF8"/>
    <w:rsid w:val="00AA3F11"/>
    <w:rsid w:val="00AA42C4"/>
    <w:rsid w:val="00AA43E6"/>
    <w:rsid w:val="00AA4463"/>
    <w:rsid w:val="00AA5381"/>
    <w:rsid w:val="00AA556F"/>
    <w:rsid w:val="00AA56D0"/>
    <w:rsid w:val="00AA5754"/>
    <w:rsid w:val="00AA5846"/>
    <w:rsid w:val="00AA61E8"/>
    <w:rsid w:val="00AA64DD"/>
    <w:rsid w:val="00AA652D"/>
    <w:rsid w:val="00AA75C1"/>
    <w:rsid w:val="00AA78EE"/>
    <w:rsid w:val="00AA7937"/>
    <w:rsid w:val="00AA7DEB"/>
    <w:rsid w:val="00AB00C5"/>
    <w:rsid w:val="00AB0351"/>
    <w:rsid w:val="00AB0512"/>
    <w:rsid w:val="00AB057F"/>
    <w:rsid w:val="00AB0C45"/>
    <w:rsid w:val="00AB118E"/>
    <w:rsid w:val="00AB1190"/>
    <w:rsid w:val="00AB1501"/>
    <w:rsid w:val="00AB15C9"/>
    <w:rsid w:val="00AB184F"/>
    <w:rsid w:val="00AB190A"/>
    <w:rsid w:val="00AB1C07"/>
    <w:rsid w:val="00AB1D5F"/>
    <w:rsid w:val="00AB1DE7"/>
    <w:rsid w:val="00AB21D6"/>
    <w:rsid w:val="00AB259A"/>
    <w:rsid w:val="00AB2716"/>
    <w:rsid w:val="00AB2C0B"/>
    <w:rsid w:val="00AB2E03"/>
    <w:rsid w:val="00AB2F76"/>
    <w:rsid w:val="00AB3046"/>
    <w:rsid w:val="00AB314E"/>
    <w:rsid w:val="00AB36A9"/>
    <w:rsid w:val="00AB3B18"/>
    <w:rsid w:val="00AB3EDA"/>
    <w:rsid w:val="00AB43F6"/>
    <w:rsid w:val="00AB446E"/>
    <w:rsid w:val="00AB48B7"/>
    <w:rsid w:val="00AB5770"/>
    <w:rsid w:val="00AB5881"/>
    <w:rsid w:val="00AB5BFB"/>
    <w:rsid w:val="00AB5CEC"/>
    <w:rsid w:val="00AB60D9"/>
    <w:rsid w:val="00AB61E4"/>
    <w:rsid w:val="00AB62FD"/>
    <w:rsid w:val="00AB6544"/>
    <w:rsid w:val="00AB66AE"/>
    <w:rsid w:val="00AB66BF"/>
    <w:rsid w:val="00AB6874"/>
    <w:rsid w:val="00AB7183"/>
    <w:rsid w:val="00AB76A6"/>
    <w:rsid w:val="00AB7D09"/>
    <w:rsid w:val="00AC00C7"/>
    <w:rsid w:val="00AC0121"/>
    <w:rsid w:val="00AC0177"/>
    <w:rsid w:val="00AC02FB"/>
    <w:rsid w:val="00AC0A1D"/>
    <w:rsid w:val="00AC0D64"/>
    <w:rsid w:val="00AC10EC"/>
    <w:rsid w:val="00AC1166"/>
    <w:rsid w:val="00AC11A4"/>
    <w:rsid w:val="00AC1248"/>
    <w:rsid w:val="00AC19CB"/>
    <w:rsid w:val="00AC2AC5"/>
    <w:rsid w:val="00AC2E7F"/>
    <w:rsid w:val="00AC3102"/>
    <w:rsid w:val="00AC3617"/>
    <w:rsid w:val="00AC3C4D"/>
    <w:rsid w:val="00AC3E08"/>
    <w:rsid w:val="00AC3E50"/>
    <w:rsid w:val="00AC4030"/>
    <w:rsid w:val="00AC4086"/>
    <w:rsid w:val="00AC46D0"/>
    <w:rsid w:val="00AC4BEC"/>
    <w:rsid w:val="00AC534C"/>
    <w:rsid w:val="00AC55B4"/>
    <w:rsid w:val="00AC5976"/>
    <w:rsid w:val="00AC5AD5"/>
    <w:rsid w:val="00AC5ADF"/>
    <w:rsid w:val="00AC5B89"/>
    <w:rsid w:val="00AC5F68"/>
    <w:rsid w:val="00AC65DA"/>
    <w:rsid w:val="00AC6C0E"/>
    <w:rsid w:val="00AC6C7A"/>
    <w:rsid w:val="00AC6DFA"/>
    <w:rsid w:val="00AC7163"/>
    <w:rsid w:val="00AC74B7"/>
    <w:rsid w:val="00AC750B"/>
    <w:rsid w:val="00AC766D"/>
    <w:rsid w:val="00AC7CE6"/>
    <w:rsid w:val="00AD040E"/>
    <w:rsid w:val="00AD0B73"/>
    <w:rsid w:val="00AD1142"/>
    <w:rsid w:val="00AD1157"/>
    <w:rsid w:val="00AD198B"/>
    <w:rsid w:val="00AD1AC2"/>
    <w:rsid w:val="00AD1D81"/>
    <w:rsid w:val="00AD1DB5"/>
    <w:rsid w:val="00AD1F92"/>
    <w:rsid w:val="00AD20C3"/>
    <w:rsid w:val="00AD2972"/>
    <w:rsid w:val="00AD2C61"/>
    <w:rsid w:val="00AD2CA9"/>
    <w:rsid w:val="00AD2DA0"/>
    <w:rsid w:val="00AD2F8F"/>
    <w:rsid w:val="00AD31E9"/>
    <w:rsid w:val="00AD3494"/>
    <w:rsid w:val="00AD34CF"/>
    <w:rsid w:val="00AD3691"/>
    <w:rsid w:val="00AD3BFB"/>
    <w:rsid w:val="00AD4156"/>
    <w:rsid w:val="00AD446C"/>
    <w:rsid w:val="00AD44F8"/>
    <w:rsid w:val="00AD452F"/>
    <w:rsid w:val="00AD4990"/>
    <w:rsid w:val="00AD534E"/>
    <w:rsid w:val="00AD5E46"/>
    <w:rsid w:val="00AD6380"/>
    <w:rsid w:val="00AD68E8"/>
    <w:rsid w:val="00AD6A7C"/>
    <w:rsid w:val="00AD6F41"/>
    <w:rsid w:val="00AD7098"/>
    <w:rsid w:val="00AD7BB2"/>
    <w:rsid w:val="00AD7F25"/>
    <w:rsid w:val="00AD7F4B"/>
    <w:rsid w:val="00AD7FD7"/>
    <w:rsid w:val="00AE02FB"/>
    <w:rsid w:val="00AE05ED"/>
    <w:rsid w:val="00AE063F"/>
    <w:rsid w:val="00AE0CEB"/>
    <w:rsid w:val="00AE103A"/>
    <w:rsid w:val="00AE1585"/>
    <w:rsid w:val="00AE16D7"/>
    <w:rsid w:val="00AE16DB"/>
    <w:rsid w:val="00AE1770"/>
    <w:rsid w:val="00AE185A"/>
    <w:rsid w:val="00AE2101"/>
    <w:rsid w:val="00AE2548"/>
    <w:rsid w:val="00AE2C5D"/>
    <w:rsid w:val="00AE3479"/>
    <w:rsid w:val="00AE3A24"/>
    <w:rsid w:val="00AE4172"/>
    <w:rsid w:val="00AE46DB"/>
    <w:rsid w:val="00AE48BB"/>
    <w:rsid w:val="00AE4924"/>
    <w:rsid w:val="00AE4D51"/>
    <w:rsid w:val="00AE5488"/>
    <w:rsid w:val="00AE6775"/>
    <w:rsid w:val="00AE68F1"/>
    <w:rsid w:val="00AE6AC2"/>
    <w:rsid w:val="00AE6B83"/>
    <w:rsid w:val="00AE6D30"/>
    <w:rsid w:val="00AE6DE4"/>
    <w:rsid w:val="00AE6F59"/>
    <w:rsid w:val="00AE6F91"/>
    <w:rsid w:val="00AE73B1"/>
    <w:rsid w:val="00AE77C4"/>
    <w:rsid w:val="00AE7B52"/>
    <w:rsid w:val="00AF03CA"/>
    <w:rsid w:val="00AF05C1"/>
    <w:rsid w:val="00AF076C"/>
    <w:rsid w:val="00AF0789"/>
    <w:rsid w:val="00AF0DA1"/>
    <w:rsid w:val="00AF127A"/>
    <w:rsid w:val="00AF1CC1"/>
    <w:rsid w:val="00AF1EC1"/>
    <w:rsid w:val="00AF2089"/>
    <w:rsid w:val="00AF240F"/>
    <w:rsid w:val="00AF298E"/>
    <w:rsid w:val="00AF3064"/>
    <w:rsid w:val="00AF37EF"/>
    <w:rsid w:val="00AF3E3C"/>
    <w:rsid w:val="00AF423D"/>
    <w:rsid w:val="00AF425D"/>
    <w:rsid w:val="00AF4278"/>
    <w:rsid w:val="00AF44C3"/>
    <w:rsid w:val="00AF4BC2"/>
    <w:rsid w:val="00AF4C2C"/>
    <w:rsid w:val="00AF4D3A"/>
    <w:rsid w:val="00AF52A5"/>
    <w:rsid w:val="00AF53C6"/>
    <w:rsid w:val="00AF5571"/>
    <w:rsid w:val="00AF56C2"/>
    <w:rsid w:val="00AF596C"/>
    <w:rsid w:val="00AF5E4C"/>
    <w:rsid w:val="00AF5E7A"/>
    <w:rsid w:val="00AF5F6D"/>
    <w:rsid w:val="00AF60E0"/>
    <w:rsid w:val="00AF6A32"/>
    <w:rsid w:val="00AF6AFF"/>
    <w:rsid w:val="00AF7544"/>
    <w:rsid w:val="00AF7667"/>
    <w:rsid w:val="00AF76FB"/>
    <w:rsid w:val="00AF77AE"/>
    <w:rsid w:val="00AF7B8C"/>
    <w:rsid w:val="00B00247"/>
    <w:rsid w:val="00B00B50"/>
    <w:rsid w:val="00B00FAB"/>
    <w:rsid w:val="00B011F2"/>
    <w:rsid w:val="00B01497"/>
    <w:rsid w:val="00B0192B"/>
    <w:rsid w:val="00B01CCE"/>
    <w:rsid w:val="00B022D6"/>
    <w:rsid w:val="00B025E2"/>
    <w:rsid w:val="00B02C4E"/>
    <w:rsid w:val="00B02FBE"/>
    <w:rsid w:val="00B0318B"/>
    <w:rsid w:val="00B0341D"/>
    <w:rsid w:val="00B03A26"/>
    <w:rsid w:val="00B03F3C"/>
    <w:rsid w:val="00B04B7D"/>
    <w:rsid w:val="00B05925"/>
    <w:rsid w:val="00B05AC2"/>
    <w:rsid w:val="00B05B37"/>
    <w:rsid w:val="00B05DFC"/>
    <w:rsid w:val="00B0644A"/>
    <w:rsid w:val="00B0675F"/>
    <w:rsid w:val="00B06987"/>
    <w:rsid w:val="00B06C1C"/>
    <w:rsid w:val="00B06CFC"/>
    <w:rsid w:val="00B06FE4"/>
    <w:rsid w:val="00B07000"/>
    <w:rsid w:val="00B077CE"/>
    <w:rsid w:val="00B07EBA"/>
    <w:rsid w:val="00B07EBE"/>
    <w:rsid w:val="00B102E9"/>
    <w:rsid w:val="00B10D93"/>
    <w:rsid w:val="00B10F4E"/>
    <w:rsid w:val="00B11B2D"/>
    <w:rsid w:val="00B11BE3"/>
    <w:rsid w:val="00B12238"/>
    <w:rsid w:val="00B12686"/>
    <w:rsid w:val="00B12FA9"/>
    <w:rsid w:val="00B1305F"/>
    <w:rsid w:val="00B13110"/>
    <w:rsid w:val="00B1311E"/>
    <w:rsid w:val="00B131AB"/>
    <w:rsid w:val="00B131FD"/>
    <w:rsid w:val="00B1357B"/>
    <w:rsid w:val="00B1360F"/>
    <w:rsid w:val="00B13ADD"/>
    <w:rsid w:val="00B13C95"/>
    <w:rsid w:val="00B13D6E"/>
    <w:rsid w:val="00B13DA0"/>
    <w:rsid w:val="00B1465C"/>
    <w:rsid w:val="00B14767"/>
    <w:rsid w:val="00B14BC9"/>
    <w:rsid w:val="00B14E0A"/>
    <w:rsid w:val="00B14F30"/>
    <w:rsid w:val="00B15CE2"/>
    <w:rsid w:val="00B15D1A"/>
    <w:rsid w:val="00B160E9"/>
    <w:rsid w:val="00B164CA"/>
    <w:rsid w:val="00B1664E"/>
    <w:rsid w:val="00B16895"/>
    <w:rsid w:val="00B16A2E"/>
    <w:rsid w:val="00B16EB9"/>
    <w:rsid w:val="00B1736D"/>
    <w:rsid w:val="00B173C5"/>
    <w:rsid w:val="00B17715"/>
    <w:rsid w:val="00B1773A"/>
    <w:rsid w:val="00B1773B"/>
    <w:rsid w:val="00B177BC"/>
    <w:rsid w:val="00B20071"/>
    <w:rsid w:val="00B203F2"/>
    <w:rsid w:val="00B20412"/>
    <w:rsid w:val="00B20723"/>
    <w:rsid w:val="00B2115C"/>
    <w:rsid w:val="00B21524"/>
    <w:rsid w:val="00B218CB"/>
    <w:rsid w:val="00B21948"/>
    <w:rsid w:val="00B21BE2"/>
    <w:rsid w:val="00B221F3"/>
    <w:rsid w:val="00B22340"/>
    <w:rsid w:val="00B233D9"/>
    <w:rsid w:val="00B23860"/>
    <w:rsid w:val="00B2426C"/>
    <w:rsid w:val="00B242EF"/>
    <w:rsid w:val="00B24991"/>
    <w:rsid w:val="00B24A9D"/>
    <w:rsid w:val="00B24F59"/>
    <w:rsid w:val="00B25283"/>
    <w:rsid w:val="00B256B0"/>
    <w:rsid w:val="00B2572A"/>
    <w:rsid w:val="00B25CDF"/>
    <w:rsid w:val="00B25D3C"/>
    <w:rsid w:val="00B25D62"/>
    <w:rsid w:val="00B25DC3"/>
    <w:rsid w:val="00B262A4"/>
    <w:rsid w:val="00B26458"/>
    <w:rsid w:val="00B264BC"/>
    <w:rsid w:val="00B26584"/>
    <w:rsid w:val="00B266B7"/>
    <w:rsid w:val="00B266DC"/>
    <w:rsid w:val="00B2694A"/>
    <w:rsid w:val="00B26AAC"/>
    <w:rsid w:val="00B26E55"/>
    <w:rsid w:val="00B26F07"/>
    <w:rsid w:val="00B26FB4"/>
    <w:rsid w:val="00B2753D"/>
    <w:rsid w:val="00B27827"/>
    <w:rsid w:val="00B27BCD"/>
    <w:rsid w:val="00B27D61"/>
    <w:rsid w:val="00B302A6"/>
    <w:rsid w:val="00B302C7"/>
    <w:rsid w:val="00B30539"/>
    <w:rsid w:val="00B30977"/>
    <w:rsid w:val="00B30CFD"/>
    <w:rsid w:val="00B314DB"/>
    <w:rsid w:val="00B316B5"/>
    <w:rsid w:val="00B316B6"/>
    <w:rsid w:val="00B318E3"/>
    <w:rsid w:val="00B32F4A"/>
    <w:rsid w:val="00B33091"/>
    <w:rsid w:val="00B33E12"/>
    <w:rsid w:val="00B34258"/>
    <w:rsid w:val="00B34535"/>
    <w:rsid w:val="00B34991"/>
    <w:rsid w:val="00B349D1"/>
    <w:rsid w:val="00B34ACE"/>
    <w:rsid w:val="00B34D89"/>
    <w:rsid w:val="00B34DF4"/>
    <w:rsid w:val="00B35161"/>
    <w:rsid w:val="00B355E4"/>
    <w:rsid w:val="00B356B0"/>
    <w:rsid w:val="00B36240"/>
    <w:rsid w:val="00B363AF"/>
    <w:rsid w:val="00B36D53"/>
    <w:rsid w:val="00B3701B"/>
    <w:rsid w:val="00B3718B"/>
    <w:rsid w:val="00B37446"/>
    <w:rsid w:val="00B379F2"/>
    <w:rsid w:val="00B40069"/>
    <w:rsid w:val="00B4041B"/>
    <w:rsid w:val="00B4060E"/>
    <w:rsid w:val="00B40ADC"/>
    <w:rsid w:val="00B40FB2"/>
    <w:rsid w:val="00B40FC2"/>
    <w:rsid w:val="00B4164E"/>
    <w:rsid w:val="00B417D2"/>
    <w:rsid w:val="00B4182B"/>
    <w:rsid w:val="00B41C05"/>
    <w:rsid w:val="00B41E18"/>
    <w:rsid w:val="00B4264B"/>
    <w:rsid w:val="00B42BA3"/>
    <w:rsid w:val="00B42BDB"/>
    <w:rsid w:val="00B4321D"/>
    <w:rsid w:val="00B434AA"/>
    <w:rsid w:val="00B43AE5"/>
    <w:rsid w:val="00B43BEA"/>
    <w:rsid w:val="00B43CAB"/>
    <w:rsid w:val="00B43CB8"/>
    <w:rsid w:val="00B442C7"/>
    <w:rsid w:val="00B4442F"/>
    <w:rsid w:val="00B44752"/>
    <w:rsid w:val="00B44C7C"/>
    <w:rsid w:val="00B44DD3"/>
    <w:rsid w:val="00B456B1"/>
    <w:rsid w:val="00B45759"/>
    <w:rsid w:val="00B458A8"/>
    <w:rsid w:val="00B45DF4"/>
    <w:rsid w:val="00B46228"/>
    <w:rsid w:val="00B4632A"/>
    <w:rsid w:val="00B46398"/>
    <w:rsid w:val="00B46A0F"/>
    <w:rsid w:val="00B46F78"/>
    <w:rsid w:val="00B47060"/>
    <w:rsid w:val="00B470F9"/>
    <w:rsid w:val="00B47278"/>
    <w:rsid w:val="00B473D0"/>
    <w:rsid w:val="00B476CE"/>
    <w:rsid w:val="00B50D3F"/>
    <w:rsid w:val="00B50E37"/>
    <w:rsid w:val="00B51482"/>
    <w:rsid w:val="00B51928"/>
    <w:rsid w:val="00B520E4"/>
    <w:rsid w:val="00B528E6"/>
    <w:rsid w:val="00B530F1"/>
    <w:rsid w:val="00B5326D"/>
    <w:rsid w:val="00B5354B"/>
    <w:rsid w:val="00B53AD5"/>
    <w:rsid w:val="00B545D7"/>
    <w:rsid w:val="00B54749"/>
    <w:rsid w:val="00B547BC"/>
    <w:rsid w:val="00B54F1B"/>
    <w:rsid w:val="00B55CE1"/>
    <w:rsid w:val="00B561AD"/>
    <w:rsid w:val="00B56419"/>
    <w:rsid w:val="00B5652C"/>
    <w:rsid w:val="00B56AC1"/>
    <w:rsid w:val="00B56B37"/>
    <w:rsid w:val="00B56CBE"/>
    <w:rsid w:val="00B56CF7"/>
    <w:rsid w:val="00B56FE9"/>
    <w:rsid w:val="00B570E7"/>
    <w:rsid w:val="00B5734E"/>
    <w:rsid w:val="00B57970"/>
    <w:rsid w:val="00B57AF8"/>
    <w:rsid w:val="00B57E19"/>
    <w:rsid w:val="00B57F96"/>
    <w:rsid w:val="00B600EF"/>
    <w:rsid w:val="00B600F0"/>
    <w:rsid w:val="00B605E4"/>
    <w:rsid w:val="00B60964"/>
    <w:rsid w:val="00B60B60"/>
    <w:rsid w:val="00B60C61"/>
    <w:rsid w:val="00B60E67"/>
    <w:rsid w:val="00B6113A"/>
    <w:rsid w:val="00B61680"/>
    <w:rsid w:val="00B6189E"/>
    <w:rsid w:val="00B6191C"/>
    <w:rsid w:val="00B61A09"/>
    <w:rsid w:val="00B61E91"/>
    <w:rsid w:val="00B61F6A"/>
    <w:rsid w:val="00B630CF"/>
    <w:rsid w:val="00B63324"/>
    <w:rsid w:val="00B63484"/>
    <w:rsid w:val="00B636B5"/>
    <w:rsid w:val="00B63922"/>
    <w:rsid w:val="00B64AE2"/>
    <w:rsid w:val="00B64B86"/>
    <w:rsid w:val="00B65B7D"/>
    <w:rsid w:val="00B65FAC"/>
    <w:rsid w:val="00B6650F"/>
    <w:rsid w:val="00B6674E"/>
    <w:rsid w:val="00B66B23"/>
    <w:rsid w:val="00B66DDF"/>
    <w:rsid w:val="00B66F20"/>
    <w:rsid w:val="00B6720D"/>
    <w:rsid w:val="00B674E6"/>
    <w:rsid w:val="00B67DA3"/>
    <w:rsid w:val="00B706EF"/>
    <w:rsid w:val="00B707CB"/>
    <w:rsid w:val="00B71885"/>
    <w:rsid w:val="00B71BBE"/>
    <w:rsid w:val="00B7222E"/>
    <w:rsid w:val="00B722E9"/>
    <w:rsid w:val="00B72332"/>
    <w:rsid w:val="00B727DB"/>
    <w:rsid w:val="00B7294B"/>
    <w:rsid w:val="00B7294E"/>
    <w:rsid w:val="00B72977"/>
    <w:rsid w:val="00B72B38"/>
    <w:rsid w:val="00B72C4A"/>
    <w:rsid w:val="00B73061"/>
    <w:rsid w:val="00B732CC"/>
    <w:rsid w:val="00B737A1"/>
    <w:rsid w:val="00B737FD"/>
    <w:rsid w:val="00B73967"/>
    <w:rsid w:val="00B74317"/>
    <w:rsid w:val="00B74930"/>
    <w:rsid w:val="00B74B77"/>
    <w:rsid w:val="00B74CF0"/>
    <w:rsid w:val="00B74DF9"/>
    <w:rsid w:val="00B75A71"/>
    <w:rsid w:val="00B760A7"/>
    <w:rsid w:val="00B760E4"/>
    <w:rsid w:val="00B765BB"/>
    <w:rsid w:val="00B76D25"/>
    <w:rsid w:val="00B76F8A"/>
    <w:rsid w:val="00B771FA"/>
    <w:rsid w:val="00B772CB"/>
    <w:rsid w:val="00B77461"/>
    <w:rsid w:val="00B77911"/>
    <w:rsid w:val="00B77987"/>
    <w:rsid w:val="00B77FA9"/>
    <w:rsid w:val="00B80262"/>
    <w:rsid w:val="00B803AC"/>
    <w:rsid w:val="00B8064A"/>
    <w:rsid w:val="00B80B1E"/>
    <w:rsid w:val="00B81169"/>
    <w:rsid w:val="00B81288"/>
    <w:rsid w:val="00B812D3"/>
    <w:rsid w:val="00B8136C"/>
    <w:rsid w:val="00B8166D"/>
    <w:rsid w:val="00B81742"/>
    <w:rsid w:val="00B819AD"/>
    <w:rsid w:val="00B81C16"/>
    <w:rsid w:val="00B81EAB"/>
    <w:rsid w:val="00B82744"/>
    <w:rsid w:val="00B8292C"/>
    <w:rsid w:val="00B829A2"/>
    <w:rsid w:val="00B83140"/>
    <w:rsid w:val="00B8368E"/>
    <w:rsid w:val="00B83B21"/>
    <w:rsid w:val="00B83B56"/>
    <w:rsid w:val="00B83C7C"/>
    <w:rsid w:val="00B83CAA"/>
    <w:rsid w:val="00B83ED3"/>
    <w:rsid w:val="00B8460A"/>
    <w:rsid w:val="00B84A61"/>
    <w:rsid w:val="00B84D32"/>
    <w:rsid w:val="00B84D3D"/>
    <w:rsid w:val="00B84DDA"/>
    <w:rsid w:val="00B84FF0"/>
    <w:rsid w:val="00B851B0"/>
    <w:rsid w:val="00B85958"/>
    <w:rsid w:val="00B85A22"/>
    <w:rsid w:val="00B85B17"/>
    <w:rsid w:val="00B85D0F"/>
    <w:rsid w:val="00B87ADF"/>
    <w:rsid w:val="00B87DB6"/>
    <w:rsid w:val="00B9049A"/>
    <w:rsid w:val="00B906F3"/>
    <w:rsid w:val="00B90768"/>
    <w:rsid w:val="00B90CB4"/>
    <w:rsid w:val="00B90D86"/>
    <w:rsid w:val="00B90E72"/>
    <w:rsid w:val="00B90E79"/>
    <w:rsid w:val="00B90EA4"/>
    <w:rsid w:val="00B90EC1"/>
    <w:rsid w:val="00B91111"/>
    <w:rsid w:val="00B91154"/>
    <w:rsid w:val="00B91212"/>
    <w:rsid w:val="00B91369"/>
    <w:rsid w:val="00B917C7"/>
    <w:rsid w:val="00B91B61"/>
    <w:rsid w:val="00B91B6E"/>
    <w:rsid w:val="00B91CAC"/>
    <w:rsid w:val="00B91D22"/>
    <w:rsid w:val="00B91D9A"/>
    <w:rsid w:val="00B92358"/>
    <w:rsid w:val="00B9294F"/>
    <w:rsid w:val="00B92B20"/>
    <w:rsid w:val="00B92C9B"/>
    <w:rsid w:val="00B92D5A"/>
    <w:rsid w:val="00B93439"/>
    <w:rsid w:val="00B9354E"/>
    <w:rsid w:val="00B939D7"/>
    <w:rsid w:val="00B93F68"/>
    <w:rsid w:val="00B93FE4"/>
    <w:rsid w:val="00B9432B"/>
    <w:rsid w:val="00B944FB"/>
    <w:rsid w:val="00B94589"/>
    <w:rsid w:val="00B948CD"/>
    <w:rsid w:val="00B94B27"/>
    <w:rsid w:val="00B955AE"/>
    <w:rsid w:val="00B95C9D"/>
    <w:rsid w:val="00B95CD3"/>
    <w:rsid w:val="00B95DE5"/>
    <w:rsid w:val="00B95E11"/>
    <w:rsid w:val="00B95F34"/>
    <w:rsid w:val="00B961C3"/>
    <w:rsid w:val="00B96300"/>
    <w:rsid w:val="00B966CC"/>
    <w:rsid w:val="00B97217"/>
    <w:rsid w:val="00B97310"/>
    <w:rsid w:val="00B977C7"/>
    <w:rsid w:val="00BA04E9"/>
    <w:rsid w:val="00BA0A5E"/>
    <w:rsid w:val="00BA1C9C"/>
    <w:rsid w:val="00BA1D6D"/>
    <w:rsid w:val="00BA1D94"/>
    <w:rsid w:val="00BA2004"/>
    <w:rsid w:val="00BA234D"/>
    <w:rsid w:val="00BA2600"/>
    <w:rsid w:val="00BA26B2"/>
    <w:rsid w:val="00BA276C"/>
    <w:rsid w:val="00BA295C"/>
    <w:rsid w:val="00BA2DC2"/>
    <w:rsid w:val="00BA2F04"/>
    <w:rsid w:val="00BA3273"/>
    <w:rsid w:val="00BA397F"/>
    <w:rsid w:val="00BA42C6"/>
    <w:rsid w:val="00BA4746"/>
    <w:rsid w:val="00BA483C"/>
    <w:rsid w:val="00BA4E7D"/>
    <w:rsid w:val="00BA528B"/>
    <w:rsid w:val="00BA53BB"/>
    <w:rsid w:val="00BA55A1"/>
    <w:rsid w:val="00BA573E"/>
    <w:rsid w:val="00BA5D29"/>
    <w:rsid w:val="00BA5D33"/>
    <w:rsid w:val="00BA5E29"/>
    <w:rsid w:val="00BA619C"/>
    <w:rsid w:val="00BA63B3"/>
    <w:rsid w:val="00BA683E"/>
    <w:rsid w:val="00BA6B53"/>
    <w:rsid w:val="00BA7312"/>
    <w:rsid w:val="00BA76C8"/>
    <w:rsid w:val="00BA778F"/>
    <w:rsid w:val="00BA792D"/>
    <w:rsid w:val="00BA79CE"/>
    <w:rsid w:val="00BA7CCA"/>
    <w:rsid w:val="00BA7F1C"/>
    <w:rsid w:val="00BA7F2B"/>
    <w:rsid w:val="00BB0164"/>
    <w:rsid w:val="00BB01F4"/>
    <w:rsid w:val="00BB0213"/>
    <w:rsid w:val="00BB0FAF"/>
    <w:rsid w:val="00BB1354"/>
    <w:rsid w:val="00BB15C3"/>
    <w:rsid w:val="00BB19E7"/>
    <w:rsid w:val="00BB1DDE"/>
    <w:rsid w:val="00BB1F5B"/>
    <w:rsid w:val="00BB208D"/>
    <w:rsid w:val="00BB256D"/>
    <w:rsid w:val="00BB2D95"/>
    <w:rsid w:val="00BB2F1B"/>
    <w:rsid w:val="00BB2F42"/>
    <w:rsid w:val="00BB306F"/>
    <w:rsid w:val="00BB3189"/>
    <w:rsid w:val="00BB336D"/>
    <w:rsid w:val="00BB35E4"/>
    <w:rsid w:val="00BB3658"/>
    <w:rsid w:val="00BB369E"/>
    <w:rsid w:val="00BB3952"/>
    <w:rsid w:val="00BB3B9C"/>
    <w:rsid w:val="00BB3DFB"/>
    <w:rsid w:val="00BB4116"/>
    <w:rsid w:val="00BB4145"/>
    <w:rsid w:val="00BB41CF"/>
    <w:rsid w:val="00BB4253"/>
    <w:rsid w:val="00BB49EB"/>
    <w:rsid w:val="00BB4CC8"/>
    <w:rsid w:val="00BB52E6"/>
    <w:rsid w:val="00BB5302"/>
    <w:rsid w:val="00BB5322"/>
    <w:rsid w:val="00BB5FC7"/>
    <w:rsid w:val="00BB64B7"/>
    <w:rsid w:val="00BB650E"/>
    <w:rsid w:val="00BB658B"/>
    <w:rsid w:val="00BB664F"/>
    <w:rsid w:val="00BB6E97"/>
    <w:rsid w:val="00BB7246"/>
    <w:rsid w:val="00BB72FE"/>
    <w:rsid w:val="00BB79ED"/>
    <w:rsid w:val="00BB7C91"/>
    <w:rsid w:val="00BB7E95"/>
    <w:rsid w:val="00BC0178"/>
    <w:rsid w:val="00BC05DA"/>
    <w:rsid w:val="00BC0622"/>
    <w:rsid w:val="00BC0A95"/>
    <w:rsid w:val="00BC1478"/>
    <w:rsid w:val="00BC18C9"/>
    <w:rsid w:val="00BC1A04"/>
    <w:rsid w:val="00BC1B91"/>
    <w:rsid w:val="00BC2583"/>
    <w:rsid w:val="00BC2AFC"/>
    <w:rsid w:val="00BC2D8D"/>
    <w:rsid w:val="00BC2EDB"/>
    <w:rsid w:val="00BC3C59"/>
    <w:rsid w:val="00BC4041"/>
    <w:rsid w:val="00BC433F"/>
    <w:rsid w:val="00BC4A2D"/>
    <w:rsid w:val="00BC4BE9"/>
    <w:rsid w:val="00BC4DAA"/>
    <w:rsid w:val="00BC4E19"/>
    <w:rsid w:val="00BC4F90"/>
    <w:rsid w:val="00BC52C9"/>
    <w:rsid w:val="00BC57DB"/>
    <w:rsid w:val="00BC5941"/>
    <w:rsid w:val="00BC6005"/>
    <w:rsid w:val="00BC65A4"/>
    <w:rsid w:val="00BC668B"/>
    <w:rsid w:val="00BC668F"/>
    <w:rsid w:val="00BC6855"/>
    <w:rsid w:val="00BC6C67"/>
    <w:rsid w:val="00BC6DCB"/>
    <w:rsid w:val="00BC70E9"/>
    <w:rsid w:val="00BC7733"/>
    <w:rsid w:val="00BC7790"/>
    <w:rsid w:val="00BC79CF"/>
    <w:rsid w:val="00BC7E53"/>
    <w:rsid w:val="00BD0135"/>
    <w:rsid w:val="00BD09C0"/>
    <w:rsid w:val="00BD0A0E"/>
    <w:rsid w:val="00BD0CF9"/>
    <w:rsid w:val="00BD0EB4"/>
    <w:rsid w:val="00BD2028"/>
    <w:rsid w:val="00BD23C2"/>
    <w:rsid w:val="00BD2703"/>
    <w:rsid w:val="00BD2BEC"/>
    <w:rsid w:val="00BD2DF4"/>
    <w:rsid w:val="00BD324A"/>
    <w:rsid w:val="00BD3342"/>
    <w:rsid w:val="00BD33F7"/>
    <w:rsid w:val="00BD3A3F"/>
    <w:rsid w:val="00BD3D6F"/>
    <w:rsid w:val="00BD3D92"/>
    <w:rsid w:val="00BD403B"/>
    <w:rsid w:val="00BD41AE"/>
    <w:rsid w:val="00BD41BB"/>
    <w:rsid w:val="00BD4730"/>
    <w:rsid w:val="00BD495B"/>
    <w:rsid w:val="00BD4B89"/>
    <w:rsid w:val="00BD4CE2"/>
    <w:rsid w:val="00BD51C3"/>
    <w:rsid w:val="00BD5704"/>
    <w:rsid w:val="00BD5E95"/>
    <w:rsid w:val="00BD5F33"/>
    <w:rsid w:val="00BD6504"/>
    <w:rsid w:val="00BD6538"/>
    <w:rsid w:val="00BD6DAC"/>
    <w:rsid w:val="00BD726E"/>
    <w:rsid w:val="00BD7826"/>
    <w:rsid w:val="00BD79CE"/>
    <w:rsid w:val="00BD7DCC"/>
    <w:rsid w:val="00BE025B"/>
    <w:rsid w:val="00BE047B"/>
    <w:rsid w:val="00BE06FB"/>
    <w:rsid w:val="00BE07EE"/>
    <w:rsid w:val="00BE0B95"/>
    <w:rsid w:val="00BE0CBC"/>
    <w:rsid w:val="00BE0D78"/>
    <w:rsid w:val="00BE0F76"/>
    <w:rsid w:val="00BE120D"/>
    <w:rsid w:val="00BE167E"/>
    <w:rsid w:val="00BE1964"/>
    <w:rsid w:val="00BE1967"/>
    <w:rsid w:val="00BE19E0"/>
    <w:rsid w:val="00BE2175"/>
    <w:rsid w:val="00BE21C8"/>
    <w:rsid w:val="00BE2530"/>
    <w:rsid w:val="00BE2AE0"/>
    <w:rsid w:val="00BE3101"/>
    <w:rsid w:val="00BE31DC"/>
    <w:rsid w:val="00BE3526"/>
    <w:rsid w:val="00BE358A"/>
    <w:rsid w:val="00BE376B"/>
    <w:rsid w:val="00BE3A33"/>
    <w:rsid w:val="00BE3D72"/>
    <w:rsid w:val="00BE3DD0"/>
    <w:rsid w:val="00BE3FD6"/>
    <w:rsid w:val="00BE4112"/>
    <w:rsid w:val="00BE4A27"/>
    <w:rsid w:val="00BE4AE9"/>
    <w:rsid w:val="00BE4C47"/>
    <w:rsid w:val="00BE5379"/>
    <w:rsid w:val="00BE5855"/>
    <w:rsid w:val="00BE5987"/>
    <w:rsid w:val="00BE6435"/>
    <w:rsid w:val="00BE64AF"/>
    <w:rsid w:val="00BE64B7"/>
    <w:rsid w:val="00BE65AE"/>
    <w:rsid w:val="00BE6BF1"/>
    <w:rsid w:val="00BE6C00"/>
    <w:rsid w:val="00BE6C3F"/>
    <w:rsid w:val="00BE6E94"/>
    <w:rsid w:val="00BE705C"/>
    <w:rsid w:val="00BE72B5"/>
    <w:rsid w:val="00BE73F9"/>
    <w:rsid w:val="00BE7498"/>
    <w:rsid w:val="00BE75DE"/>
    <w:rsid w:val="00BE7D95"/>
    <w:rsid w:val="00BF031D"/>
    <w:rsid w:val="00BF03D8"/>
    <w:rsid w:val="00BF04C4"/>
    <w:rsid w:val="00BF0ACA"/>
    <w:rsid w:val="00BF0E77"/>
    <w:rsid w:val="00BF1807"/>
    <w:rsid w:val="00BF180B"/>
    <w:rsid w:val="00BF1823"/>
    <w:rsid w:val="00BF1864"/>
    <w:rsid w:val="00BF1A40"/>
    <w:rsid w:val="00BF2146"/>
    <w:rsid w:val="00BF2FF3"/>
    <w:rsid w:val="00BF339D"/>
    <w:rsid w:val="00BF3411"/>
    <w:rsid w:val="00BF3461"/>
    <w:rsid w:val="00BF34CC"/>
    <w:rsid w:val="00BF3DF6"/>
    <w:rsid w:val="00BF4CCB"/>
    <w:rsid w:val="00BF4D34"/>
    <w:rsid w:val="00BF559C"/>
    <w:rsid w:val="00BF5612"/>
    <w:rsid w:val="00BF5AF5"/>
    <w:rsid w:val="00BF611D"/>
    <w:rsid w:val="00BF61E1"/>
    <w:rsid w:val="00BF6533"/>
    <w:rsid w:val="00BF68CF"/>
    <w:rsid w:val="00BF6B82"/>
    <w:rsid w:val="00BF6FD8"/>
    <w:rsid w:val="00BF717E"/>
    <w:rsid w:val="00BF72EC"/>
    <w:rsid w:val="00BF7D6D"/>
    <w:rsid w:val="00BF7F7C"/>
    <w:rsid w:val="00C0075D"/>
    <w:rsid w:val="00C00A9D"/>
    <w:rsid w:val="00C00CE3"/>
    <w:rsid w:val="00C00E20"/>
    <w:rsid w:val="00C00EEA"/>
    <w:rsid w:val="00C01D45"/>
    <w:rsid w:val="00C01E60"/>
    <w:rsid w:val="00C0258D"/>
    <w:rsid w:val="00C0275D"/>
    <w:rsid w:val="00C02859"/>
    <w:rsid w:val="00C029AF"/>
    <w:rsid w:val="00C02D36"/>
    <w:rsid w:val="00C02EA6"/>
    <w:rsid w:val="00C02FE9"/>
    <w:rsid w:val="00C035E3"/>
    <w:rsid w:val="00C03680"/>
    <w:rsid w:val="00C03F9C"/>
    <w:rsid w:val="00C04314"/>
    <w:rsid w:val="00C0443E"/>
    <w:rsid w:val="00C04499"/>
    <w:rsid w:val="00C045F5"/>
    <w:rsid w:val="00C047D5"/>
    <w:rsid w:val="00C047D9"/>
    <w:rsid w:val="00C04CBF"/>
    <w:rsid w:val="00C04CEF"/>
    <w:rsid w:val="00C04F37"/>
    <w:rsid w:val="00C052ED"/>
    <w:rsid w:val="00C054DF"/>
    <w:rsid w:val="00C05604"/>
    <w:rsid w:val="00C0580F"/>
    <w:rsid w:val="00C0593D"/>
    <w:rsid w:val="00C05A94"/>
    <w:rsid w:val="00C05AAD"/>
    <w:rsid w:val="00C05C0C"/>
    <w:rsid w:val="00C05EB5"/>
    <w:rsid w:val="00C05EC5"/>
    <w:rsid w:val="00C06120"/>
    <w:rsid w:val="00C062C0"/>
    <w:rsid w:val="00C067C3"/>
    <w:rsid w:val="00C07105"/>
    <w:rsid w:val="00C071D4"/>
    <w:rsid w:val="00C07B37"/>
    <w:rsid w:val="00C1008E"/>
    <w:rsid w:val="00C1072B"/>
    <w:rsid w:val="00C10C6B"/>
    <w:rsid w:val="00C11042"/>
    <w:rsid w:val="00C113F3"/>
    <w:rsid w:val="00C116E8"/>
    <w:rsid w:val="00C11A27"/>
    <w:rsid w:val="00C11A75"/>
    <w:rsid w:val="00C12104"/>
    <w:rsid w:val="00C12378"/>
    <w:rsid w:val="00C12709"/>
    <w:rsid w:val="00C12DEE"/>
    <w:rsid w:val="00C12F43"/>
    <w:rsid w:val="00C13281"/>
    <w:rsid w:val="00C135D0"/>
    <w:rsid w:val="00C13881"/>
    <w:rsid w:val="00C13D44"/>
    <w:rsid w:val="00C1411C"/>
    <w:rsid w:val="00C143A1"/>
    <w:rsid w:val="00C1461B"/>
    <w:rsid w:val="00C14978"/>
    <w:rsid w:val="00C152A5"/>
    <w:rsid w:val="00C15A24"/>
    <w:rsid w:val="00C15A62"/>
    <w:rsid w:val="00C15E00"/>
    <w:rsid w:val="00C15E41"/>
    <w:rsid w:val="00C1629F"/>
    <w:rsid w:val="00C16451"/>
    <w:rsid w:val="00C164B9"/>
    <w:rsid w:val="00C169C4"/>
    <w:rsid w:val="00C174CA"/>
    <w:rsid w:val="00C17BE7"/>
    <w:rsid w:val="00C17C8F"/>
    <w:rsid w:val="00C17EBE"/>
    <w:rsid w:val="00C2009B"/>
    <w:rsid w:val="00C2045A"/>
    <w:rsid w:val="00C20CA9"/>
    <w:rsid w:val="00C20D9C"/>
    <w:rsid w:val="00C20E98"/>
    <w:rsid w:val="00C21762"/>
    <w:rsid w:val="00C21974"/>
    <w:rsid w:val="00C21E02"/>
    <w:rsid w:val="00C2207C"/>
    <w:rsid w:val="00C2211A"/>
    <w:rsid w:val="00C2240A"/>
    <w:rsid w:val="00C2268A"/>
    <w:rsid w:val="00C22A90"/>
    <w:rsid w:val="00C22BEF"/>
    <w:rsid w:val="00C233AC"/>
    <w:rsid w:val="00C2355D"/>
    <w:rsid w:val="00C236C1"/>
    <w:rsid w:val="00C2373E"/>
    <w:rsid w:val="00C240BD"/>
    <w:rsid w:val="00C24543"/>
    <w:rsid w:val="00C24624"/>
    <w:rsid w:val="00C247B9"/>
    <w:rsid w:val="00C24859"/>
    <w:rsid w:val="00C24A94"/>
    <w:rsid w:val="00C24CDF"/>
    <w:rsid w:val="00C2517B"/>
    <w:rsid w:val="00C25480"/>
    <w:rsid w:val="00C25607"/>
    <w:rsid w:val="00C256A2"/>
    <w:rsid w:val="00C2582F"/>
    <w:rsid w:val="00C2655E"/>
    <w:rsid w:val="00C265A1"/>
    <w:rsid w:val="00C26704"/>
    <w:rsid w:val="00C26A02"/>
    <w:rsid w:val="00C26AD6"/>
    <w:rsid w:val="00C2728C"/>
    <w:rsid w:val="00C27349"/>
    <w:rsid w:val="00C27A6A"/>
    <w:rsid w:val="00C300ED"/>
    <w:rsid w:val="00C304FA"/>
    <w:rsid w:val="00C30573"/>
    <w:rsid w:val="00C30AC4"/>
    <w:rsid w:val="00C30B18"/>
    <w:rsid w:val="00C30B9C"/>
    <w:rsid w:val="00C30D2D"/>
    <w:rsid w:val="00C31AE8"/>
    <w:rsid w:val="00C31CD7"/>
    <w:rsid w:val="00C3244B"/>
    <w:rsid w:val="00C3249B"/>
    <w:rsid w:val="00C32539"/>
    <w:rsid w:val="00C32962"/>
    <w:rsid w:val="00C329B6"/>
    <w:rsid w:val="00C331D7"/>
    <w:rsid w:val="00C33726"/>
    <w:rsid w:val="00C33F62"/>
    <w:rsid w:val="00C34113"/>
    <w:rsid w:val="00C3457E"/>
    <w:rsid w:val="00C34A4C"/>
    <w:rsid w:val="00C34A62"/>
    <w:rsid w:val="00C34B0A"/>
    <w:rsid w:val="00C34CEF"/>
    <w:rsid w:val="00C34E88"/>
    <w:rsid w:val="00C34E9B"/>
    <w:rsid w:val="00C35013"/>
    <w:rsid w:val="00C3530F"/>
    <w:rsid w:val="00C3534A"/>
    <w:rsid w:val="00C3552C"/>
    <w:rsid w:val="00C35CE9"/>
    <w:rsid w:val="00C3601A"/>
    <w:rsid w:val="00C3617B"/>
    <w:rsid w:val="00C3623E"/>
    <w:rsid w:val="00C36652"/>
    <w:rsid w:val="00C36DFD"/>
    <w:rsid w:val="00C37037"/>
    <w:rsid w:val="00C3799D"/>
    <w:rsid w:val="00C37FDB"/>
    <w:rsid w:val="00C401C4"/>
    <w:rsid w:val="00C40219"/>
    <w:rsid w:val="00C405FE"/>
    <w:rsid w:val="00C40641"/>
    <w:rsid w:val="00C4082F"/>
    <w:rsid w:val="00C40F01"/>
    <w:rsid w:val="00C4102B"/>
    <w:rsid w:val="00C415F7"/>
    <w:rsid w:val="00C4160B"/>
    <w:rsid w:val="00C41985"/>
    <w:rsid w:val="00C41AD0"/>
    <w:rsid w:val="00C41D1E"/>
    <w:rsid w:val="00C41D81"/>
    <w:rsid w:val="00C42213"/>
    <w:rsid w:val="00C42BE7"/>
    <w:rsid w:val="00C42CEA"/>
    <w:rsid w:val="00C433C4"/>
    <w:rsid w:val="00C437CD"/>
    <w:rsid w:val="00C43E22"/>
    <w:rsid w:val="00C440EB"/>
    <w:rsid w:val="00C441D8"/>
    <w:rsid w:val="00C44508"/>
    <w:rsid w:val="00C44748"/>
    <w:rsid w:val="00C44880"/>
    <w:rsid w:val="00C4519A"/>
    <w:rsid w:val="00C45415"/>
    <w:rsid w:val="00C45834"/>
    <w:rsid w:val="00C45D0C"/>
    <w:rsid w:val="00C46451"/>
    <w:rsid w:val="00C46486"/>
    <w:rsid w:val="00C46810"/>
    <w:rsid w:val="00C468CA"/>
    <w:rsid w:val="00C47943"/>
    <w:rsid w:val="00C50392"/>
    <w:rsid w:val="00C50AE1"/>
    <w:rsid w:val="00C50BC3"/>
    <w:rsid w:val="00C50E0A"/>
    <w:rsid w:val="00C50EB2"/>
    <w:rsid w:val="00C512B7"/>
    <w:rsid w:val="00C51515"/>
    <w:rsid w:val="00C51884"/>
    <w:rsid w:val="00C51A9D"/>
    <w:rsid w:val="00C51AA5"/>
    <w:rsid w:val="00C51B54"/>
    <w:rsid w:val="00C51D13"/>
    <w:rsid w:val="00C52032"/>
    <w:rsid w:val="00C520A7"/>
    <w:rsid w:val="00C52187"/>
    <w:rsid w:val="00C52D20"/>
    <w:rsid w:val="00C52E97"/>
    <w:rsid w:val="00C53067"/>
    <w:rsid w:val="00C5332A"/>
    <w:rsid w:val="00C533FC"/>
    <w:rsid w:val="00C53ADC"/>
    <w:rsid w:val="00C54035"/>
    <w:rsid w:val="00C540FE"/>
    <w:rsid w:val="00C54104"/>
    <w:rsid w:val="00C548BE"/>
    <w:rsid w:val="00C54BCF"/>
    <w:rsid w:val="00C54EB5"/>
    <w:rsid w:val="00C554CF"/>
    <w:rsid w:val="00C55590"/>
    <w:rsid w:val="00C55DC5"/>
    <w:rsid w:val="00C5660B"/>
    <w:rsid w:val="00C56633"/>
    <w:rsid w:val="00C567DF"/>
    <w:rsid w:val="00C56BB7"/>
    <w:rsid w:val="00C573E1"/>
    <w:rsid w:val="00C578A4"/>
    <w:rsid w:val="00C60071"/>
    <w:rsid w:val="00C604DB"/>
    <w:rsid w:val="00C605C2"/>
    <w:rsid w:val="00C60EAA"/>
    <w:rsid w:val="00C60EEA"/>
    <w:rsid w:val="00C61082"/>
    <w:rsid w:val="00C6114D"/>
    <w:rsid w:val="00C61566"/>
    <w:rsid w:val="00C616B6"/>
    <w:rsid w:val="00C61CC5"/>
    <w:rsid w:val="00C62087"/>
    <w:rsid w:val="00C62141"/>
    <w:rsid w:val="00C62241"/>
    <w:rsid w:val="00C62AE2"/>
    <w:rsid w:val="00C62CFF"/>
    <w:rsid w:val="00C630D7"/>
    <w:rsid w:val="00C63412"/>
    <w:rsid w:val="00C634ED"/>
    <w:rsid w:val="00C6366B"/>
    <w:rsid w:val="00C639C6"/>
    <w:rsid w:val="00C639FB"/>
    <w:rsid w:val="00C63D51"/>
    <w:rsid w:val="00C6438A"/>
    <w:rsid w:val="00C6568F"/>
    <w:rsid w:val="00C65722"/>
    <w:rsid w:val="00C65E14"/>
    <w:rsid w:val="00C66807"/>
    <w:rsid w:val="00C66B04"/>
    <w:rsid w:val="00C66B72"/>
    <w:rsid w:val="00C66CA5"/>
    <w:rsid w:val="00C66E3D"/>
    <w:rsid w:val="00C675D4"/>
    <w:rsid w:val="00C67740"/>
    <w:rsid w:val="00C7030F"/>
    <w:rsid w:val="00C70812"/>
    <w:rsid w:val="00C709FD"/>
    <w:rsid w:val="00C7121C"/>
    <w:rsid w:val="00C713CE"/>
    <w:rsid w:val="00C713D2"/>
    <w:rsid w:val="00C71C0F"/>
    <w:rsid w:val="00C71DDD"/>
    <w:rsid w:val="00C71F60"/>
    <w:rsid w:val="00C722BA"/>
    <w:rsid w:val="00C72302"/>
    <w:rsid w:val="00C726E4"/>
    <w:rsid w:val="00C72736"/>
    <w:rsid w:val="00C72939"/>
    <w:rsid w:val="00C72AB3"/>
    <w:rsid w:val="00C73345"/>
    <w:rsid w:val="00C73D8E"/>
    <w:rsid w:val="00C746F6"/>
    <w:rsid w:val="00C74A29"/>
    <w:rsid w:val="00C74AF3"/>
    <w:rsid w:val="00C751A0"/>
    <w:rsid w:val="00C7553C"/>
    <w:rsid w:val="00C7582E"/>
    <w:rsid w:val="00C75D26"/>
    <w:rsid w:val="00C7606B"/>
    <w:rsid w:val="00C76102"/>
    <w:rsid w:val="00C7625C"/>
    <w:rsid w:val="00C762F5"/>
    <w:rsid w:val="00C76328"/>
    <w:rsid w:val="00C7651F"/>
    <w:rsid w:val="00C768DE"/>
    <w:rsid w:val="00C769B0"/>
    <w:rsid w:val="00C76DF0"/>
    <w:rsid w:val="00C7755C"/>
    <w:rsid w:val="00C777AC"/>
    <w:rsid w:val="00C77BBF"/>
    <w:rsid w:val="00C77BDE"/>
    <w:rsid w:val="00C80067"/>
    <w:rsid w:val="00C805CF"/>
    <w:rsid w:val="00C8073A"/>
    <w:rsid w:val="00C8077D"/>
    <w:rsid w:val="00C8091B"/>
    <w:rsid w:val="00C80B39"/>
    <w:rsid w:val="00C80D43"/>
    <w:rsid w:val="00C817A5"/>
    <w:rsid w:val="00C819AF"/>
    <w:rsid w:val="00C81B10"/>
    <w:rsid w:val="00C81CD6"/>
    <w:rsid w:val="00C821A3"/>
    <w:rsid w:val="00C825C1"/>
    <w:rsid w:val="00C83458"/>
    <w:rsid w:val="00C8384D"/>
    <w:rsid w:val="00C83A04"/>
    <w:rsid w:val="00C83C2A"/>
    <w:rsid w:val="00C83D88"/>
    <w:rsid w:val="00C83F12"/>
    <w:rsid w:val="00C842DF"/>
    <w:rsid w:val="00C84A25"/>
    <w:rsid w:val="00C84C1A"/>
    <w:rsid w:val="00C851E6"/>
    <w:rsid w:val="00C853B0"/>
    <w:rsid w:val="00C85A89"/>
    <w:rsid w:val="00C85B93"/>
    <w:rsid w:val="00C85E9A"/>
    <w:rsid w:val="00C861DF"/>
    <w:rsid w:val="00C86267"/>
    <w:rsid w:val="00C8646E"/>
    <w:rsid w:val="00C86EE8"/>
    <w:rsid w:val="00C86F17"/>
    <w:rsid w:val="00C872FB"/>
    <w:rsid w:val="00C87EB8"/>
    <w:rsid w:val="00C90298"/>
    <w:rsid w:val="00C90D02"/>
    <w:rsid w:val="00C90F17"/>
    <w:rsid w:val="00C90FA6"/>
    <w:rsid w:val="00C914C4"/>
    <w:rsid w:val="00C9157C"/>
    <w:rsid w:val="00C9176B"/>
    <w:rsid w:val="00C9192C"/>
    <w:rsid w:val="00C91BCA"/>
    <w:rsid w:val="00C91F1F"/>
    <w:rsid w:val="00C91FAE"/>
    <w:rsid w:val="00C92371"/>
    <w:rsid w:val="00C925E5"/>
    <w:rsid w:val="00C9263A"/>
    <w:rsid w:val="00C92BBF"/>
    <w:rsid w:val="00C92DFD"/>
    <w:rsid w:val="00C93069"/>
    <w:rsid w:val="00C93076"/>
    <w:rsid w:val="00C9312E"/>
    <w:rsid w:val="00C9346A"/>
    <w:rsid w:val="00C93901"/>
    <w:rsid w:val="00C939C5"/>
    <w:rsid w:val="00C93D7B"/>
    <w:rsid w:val="00C9443A"/>
    <w:rsid w:val="00C94480"/>
    <w:rsid w:val="00C94963"/>
    <w:rsid w:val="00C94AE5"/>
    <w:rsid w:val="00C94D25"/>
    <w:rsid w:val="00C94D5E"/>
    <w:rsid w:val="00C94E03"/>
    <w:rsid w:val="00C95188"/>
    <w:rsid w:val="00C9567A"/>
    <w:rsid w:val="00C95E86"/>
    <w:rsid w:val="00C95F29"/>
    <w:rsid w:val="00C96456"/>
    <w:rsid w:val="00C96C27"/>
    <w:rsid w:val="00C97979"/>
    <w:rsid w:val="00C97B5F"/>
    <w:rsid w:val="00CA02D4"/>
    <w:rsid w:val="00CA03F7"/>
    <w:rsid w:val="00CA115B"/>
    <w:rsid w:val="00CA1392"/>
    <w:rsid w:val="00CA1713"/>
    <w:rsid w:val="00CA1877"/>
    <w:rsid w:val="00CA18FF"/>
    <w:rsid w:val="00CA19CA"/>
    <w:rsid w:val="00CA1CAE"/>
    <w:rsid w:val="00CA1CFC"/>
    <w:rsid w:val="00CA2398"/>
    <w:rsid w:val="00CA2443"/>
    <w:rsid w:val="00CA24E3"/>
    <w:rsid w:val="00CA2AED"/>
    <w:rsid w:val="00CA2F0C"/>
    <w:rsid w:val="00CA346B"/>
    <w:rsid w:val="00CA39F5"/>
    <w:rsid w:val="00CA3FAB"/>
    <w:rsid w:val="00CA4050"/>
    <w:rsid w:val="00CA438E"/>
    <w:rsid w:val="00CA4570"/>
    <w:rsid w:val="00CA4E81"/>
    <w:rsid w:val="00CA51DB"/>
    <w:rsid w:val="00CA594D"/>
    <w:rsid w:val="00CA5E7C"/>
    <w:rsid w:val="00CA6001"/>
    <w:rsid w:val="00CA6347"/>
    <w:rsid w:val="00CA646A"/>
    <w:rsid w:val="00CA6A7E"/>
    <w:rsid w:val="00CA6B51"/>
    <w:rsid w:val="00CA7658"/>
    <w:rsid w:val="00CA77C5"/>
    <w:rsid w:val="00CA7A77"/>
    <w:rsid w:val="00CA7D38"/>
    <w:rsid w:val="00CA7EA3"/>
    <w:rsid w:val="00CB0568"/>
    <w:rsid w:val="00CB09E7"/>
    <w:rsid w:val="00CB1367"/>
    <w:rsid w:val="00CB15BF"/>
    <w:rsid w:val="00CB1774"/>
    <w:rsid w:val="00CB1900"/>
    <w:rsid w:val="00CB1970"/>
    <w:rsid w:val="00CB1B22"/>
    <w:rsid w:val="00CB212D"/>
    <w:rsid w:val="00CB2365"/>
    <w:rsid w:val="00CB25B4"/>
    <w:rsid w:val="00CB2660"/>
    <w:rsid w:val="00CB268E"/>
    <w:rsid w:val="00CB2B44"/>
    <w:rsid w:val="00CB31EC"/>
    <w:rsid w:val="00CB33DA"/>
    <w:rsid w:val="00CB3766"/>
    <w:rsid w:val="00CB3AA7"/>
    <w:rsid w:val="00CB3D2A"/>
    <w:rsid w:val="00CB4946"/>
    <w:rsid w:val="00CB51F9"/>
    <w:rsid w:val="00CB5B57"/>
    <w:rsid w:val="00CB6563"/>
    <w:rsid w:val="00CB6914"/>
    <w:rsid w:val="00CB6A15"/>
    <w:rsid w:val="00CB6BBC"/>
    <w:rsid w:val="00CB6CDB"/>
    <w:rsid w:val="00CB6E4D"/>
    <w:rsid w:val="00CB7019"/>
    <w:rsid w:val="00CB7174"/>
    <w:rsid w:val="00CB75DC"/>
    <w:rsid w:val="00CB768E"/>
    <w:rsid w:val="00CC0526"/>
    <w:rsid w:val="00CC0C3B"/>
    <w:rsid w:val="00CC1D21"/>
    <w:rsid w:val="00CC2014"/>
    <w:rsid w:val="00CC2355"/>
    <w:rsid w:val="00CC23DD"/>
    <w:rsid w:val="00CC2479"/>
    <w:rsid w:val="00CC25EE"/>
    <w:rsid w:val="00CC2BC5"/>
    <w:rsid w:val="00CC2CE0"/>
    <w:rsid w:val="00CC2D25"/>
    <w:rsid w:val="00CC2EBF"/>
    <w:rsid w:val="00CC2FB9"/>
    <w:rsid w:val="00CC305E"/>
    <w:rsid w:val="00CC3194"/>
    <w:rsid w:val="00CC31C5"/>
    <w:rsid w:val="00CC33E4"/>
    <w:rsid w:val="00CC35BA"/>
    <w:rsid w:val="00CC40F6"/>
    <w:rsid w:val="00CC437D"/>
    <w:rsid w:val="00CC44AC"/>
    <w:rsid w:val="00CC4507"/>
    <w:rsid w:val="00CC4FB6"/>
    <w:rsid w:val="00CC4FCD"/>
    <w:rsid w:val="00CC54BA"/>
    <w:rsid w:val="00CC5619"/>
    <w:rsid w:val="00CC5A69"/>
    <w:rsid w:val="00CC5E22"/>
    <w:rsid w:val="00CC5E90"/>
    <w:rsid w:val="00CC5E9E"/>
    <w:rsid w:val="00CC6286"/>
    <w:rsid w:val="00CC62A2"/>
    <w:rsid w:val="00CC636E"/>
    <w:rsid w:val="00CC6DEA"/>
    <w:rsid w:val="00CC6EEB"/>
    <w:rsid w:val="00CC7018"/>
    <w:rsid w:val="00CC7123"/>
    <w:rsid w:val="00CC73C1"/>
    <w:rsid w:val="00CC759E"/>
    <w:rsid w:val="00CC76D2"/>
    <w:rsid w:val="00CC7B6E"/>
    <w:rsid w:val="00CC7BE0"/>
    <w:rsid w:val="00CC7D0D"/>
    <w:rsid w:val="00CD046C"/>
    <w:rsid w:val="00CD07FB"/>
    <w:rsid w:val="00CD0EA6"/>
    <w:rsid w:val="00CD1071"/>
    <w:rsid w:val="00CD1103"/>
    <w:rsid w:val="00CD186A"/>
    <w:rsid w:val="00CD1947"/>
    <w:rsid w:val="00CD1B0D"/>
    <w:rsid w:val="00CD21B3"/>
    <w:rsid w:val="00CD21DC"/>
    <w:rsid w:val="00CD241B"/>
    <w:rsid w:val="00CD2990"/>
    <w:rsid w:val="00CD2A95"/>
    <w:rsid w:val="00CD2B79"/>
    <w:rsid w:val="00CD39A2"/>
    <w:rsid w:val="00CD3E9E"/>
    <w:rsid w:val="00CD3ED6"/>
    <w:rsid w:val="00CD4108"/>
    <w:rsid w:val="00CD4338"/>
    <w:rsid w:val="00CD489C"/>
    <w:rsid w:val="00CD49CE"/>
    <w:rsid w:val="00CD4B8B"/>
    <w:rsid w:val="00CD4BA5"/>
    <w:rsid w:val="00CD4EAB"/>
    <w:rsid w:val="00CD563B"/>
    <w:rsid w:val="00CD5E89"/>
    <w:rsid w:val="00CD6484"/>
    <w:rsid w:val="00CD66CD"/>
    <w:rsid w:val="00CD6740"/>
    <w:rsid w:val="00CD6BFE"/>
    <w:rsid w:val="00CD6F85"/>
    <w:rsid w:val="00CD72F1"/>
    <w:rsid w:val="00CD7C47"/>
    <w:rsid w:val="00CE009C"/>
    <w:rsid w:val="00CE02F4"/>
    <w:rsid w:val="00CE076C"/>
    <w:rsid w:val="00CE0F5A"/>
    <w:rsid w:val="00CE17C9"/>
    <w:rsid w:val="00CE1801"/>
    <w:rsid w:val="00CE20B6"/>
    <w:rsid w:val="00CE245D"/>
    <w:rsid w:val="00CE2A89"/>
    <w:rsid w:val="00CE2FB5"/>
    <w:rsid w:val="00CE311B"/>
    <w:rsid w:val="00CE366D"/>
    <w:rsid w:val="00CE3D55"/>
    <w:rsid w:val="00CE434E"/>
    <w:rsid w:val="00CE4419"/>
    <w:rsid w:val="00CE44CE"/>
    <w:rsid w:val="00CE4A64"/>
    <w:rsid w:val="00CE5199"/>
    <w:rsid w:val="00CE5305"/>
    <w:rsid w:val="00CE547B"/>
    <w:rsid w:val="00CE59DE"/>
    <w:rsid w:val="00CE5A44"/>
    <w:rsid w:val="00CE5D46"/>
    <w:rsid w:val="00CE66D5"/>
    <w:rsid w:val="00CE672C"/>
    <w:rsid w:val="00CE6D06"/>
    <w:rsid w:val="00CE7C68"/>
    <w:rsid w:val="00CE7F4A"/>
    <w:rsid w:val="00CF012B"/>
    <w:rsid w:val="00CF02D8"/>
    <w:rsid w:val="00CF0811"/>
    <w:rsid w:val="00CF102F"/>
    <w:rsid w:val="00CF1FAC"/>
    <w:rsid w:val="00CF20C3"/>
    <w:rsid w:val="00CF2938"/>
    <w:rsid w:val="00CF29AF"/>
    <w:rsid w:val="00CF2B4C"/>
    <w:rsid w:val="00CF2D2D"/>
    <w:rsid w:val="00CF3144"/>
    <w:rsid w:val="00CF351C"/>
    <w:rsid w:val="00CF3E8C"/>
    <w:rsid w:val="00CF438A"/>
    <w:rsid w:val="00CF45D6"/>
    <w:rsid w:val="00CF4721"/>
    <w:rsid w:val="00CF4A54"/>
    <w:rsid w:val="00CF4EE8"/>
    <w:rsid w:val="00CF4F4B"/>
    <w:rsid w:val="00CF55F9"/>
    <w:rsid w:val="00CF5907"/>
    <w:rsid w:val="00CF5A20"/>
    <w:rsid w:val="00CF5B9C"/>
    <w:rsid w:val="00CF5C49"/>
    <w:rsid w:val="00CF637A"/>
    <w:rsid w:val="00CF6754"/>
    <w:rsid w:val="00CF6787"/>
    <w:rsid w:val="00CF6C35"/>
    <w:rsid w:val="00CF6DE7"/>
    <w:rsid w:val="00CF7A42"/>
    <w:rsid w:val="00CF7E17"/>
    <w:rsid w:val="00CF7EB4"/>
    <w:rsid w:val="00D0014F"/>
    <w:rsid w:val="00D00383"/>
    <w:rsid w:val="00D0086F"/>
    <w:rsid w:val="00D00928"/>
    <w:rsid w:val="00D00C12"/>
    <w:rsid w:val="00D010CF"/>
    <w:rsid w:val="00D0175B"/>
    <w:rsid w:val="00D01BBD"/>
    <w:rsid w:val="00D01FD1"/>
    <w:rsid w:val="00D02DB7"/>
    <w:rsid w:val="00D02DE7"/>
    <w:rsid w:val="00D03E7E"/>
    <w:rsid w:val="00D03F26"/>
    <w:rsid w:val="00D04259"/>
    <w:rsid w:val="00D044BD"/>
    <w:rsid w:val="00D046C4"/>
    <w:rsid w:val="00D04F27"/>
    <w:rsid w:val="00D052B4"/>
    <w:rsid w:val="00D05582"/>
    <w:rsid w:val="00D05894"/>
    <w:rsid w:val="00D059DE"/>
    <w:rsid w:val="00D05D29"/>
    <w:rsid w:val="00D062FF"/>
    <w:rsid w:val="00D0639F"/>
    <w:rsid w:val="00D063AD"/>
    <w:rsid w:val="00D066BF"/>
    <w:rsid w:val="00D068DE"/>
    <w:rsid w:val="00D0706F"/>
    <w:rsid w:val="00D071B0"/>
    <w:rsid w:val="00D07351"/>
    <w:rsid w:val="00D078F2"/>
    <w:rsid w:val="00D07CD3"/>
    <w:rsid w:val="00D10504"/>
    <w:rsid w:val="00D108E9"/>
    <w:rsid w:val="00D10E02"/>
    <w:rsid w:val="00D10E07"/>
    <w:rsid w:val="00D10F5B"/>
    <w:rsid w:val="00D115FA"/>
    <w:rsid w:val="00D1165D"/>
    <w:rsid w:val="00D11A5E"/>
    <w:rsid w:val="00D122CE"/>
    <w:rsid w:val="00D1255D"/>
    <w:rsid w:val="00D12665"/>
    <w:rsid w:val="00D1284F"/>
    <w:rsid w:val="00D12CAB"/>
    <w:rsid w:val="00D12EFE"/>
    <w:rsid w:val="00D13C2A"/>
    <w:rsid w:val="00D13D09"/>
    <w:rsid w:val="00D13FCE"/>
    <w:rsid w:val="00D1409F"/>
    <w:rsid w:val="00D149F1"/>
    <w:rsid w:val="00D14D4D"/>
    <w:rsid w:val="00D14D5F"/>
    <w:rsid w:val="00D14ECA"/>
    <w:rsid w:val="00D14F16"/>
    <w:rsid w:val="00D15325"/>
    <w:rsid w:val="00D1578E"/>
    <w:rsid w:val="00D159C3"/>
    <w:rsid w:val="00D15D15"/>
    <w:rsid w:val="00D15EC3"/>
    <w:rsid w:val="00D15F59"/>
    <w:rsid w:val="00D162A1"/>
    <w:rsid w:val="00D163F2"/>
    <w:rsid w:val="00D166BA"/>
    <w:rsid w:val="00D167D5"/>
    <w:rsid w:val="00D167FE"/>
    <w:rsid w:val="00D16870"/>
    <w:rsid w:val="00D173C6"/>
    <w:rsid w:val="00D173D2"/>
    <w:rsid w:val="00D17482"/>
    <w:rsid w:val="00D17CC0"/>
    <w:rsid w:val="00D200F6"/>
    <w:rsid w:val="00D20226"/>
    <w:rsid w:val="00D202AC"/>
    <w:rsid w:val="00D208F8"/>
    <w:rsid w:val="00D20A44"/>
    <w:rsid w:val="00D20AB9"/>
    <w:rsid w:val="00D20BD7"/>
    <w:rsid w:val="00D20D0E"/>
    <w:rsid w:val="00D20EA8"/>
    <w:rsid w:val="00D20FB9"/>
    <w:rsid w:val="00D2116F"/>
    <w:rsid w:val="00D211CE"/>
    <w:rsid w:val="00D21320"/>
    <w:rsid w:val="00D21891"/>
    <w:rsid w:val="00D21966"/>
    <w:rsid w:val="00D21A95"/>
    <w:rsid w:val="00D21D43"/>
    <w:rsid w:val="00D21F40"/>
    <w:rsid w:val="00D22010"/>
    <w:rsid w:val="00D22566"/>
    <w:rsid w:val="00D22575"/>
    <w:rsid w:val="00D225CE"/>
    <w:rsid w:val="00D226F1"/>
    <w:rsid w:val="00D2281E"/>
    <w:rsid w:val="00D22BD4"/>
    <w:rsid w:val="00D22E8A"/>
    <w:rsid w:val="00D2333E"/>
    <w:rsid w:val="00D2360B"/>
    <w:rsid w:val="00D236A7"/>
    <w:rsid w:val="00D2399B"/>
    <w:rsid w:val="00D239AA"/>
    <w:rsid w:val="00D239E9"/>
    <w:rsid w:val="00D23A87"/>
    <w:rsid w:val="00D248F7"/>
    <w:rsid w:val="00D24A7F"/>
    <w:rsid w:val="00D24ED7"/>
    <w:rsid w:val="00D24EFB"/>
    <w:rsid w:val="00D251F2"/>
    <w:rsid w:val="00D25974"/>
    <w:rsid w:val="00D25DA5"/>
    <w:rsid w:val="00D25E53"/>
    <w:rsid w:val="00D26301"/>
    <w:rsid w:val="00D2631B"/>
    <w:rsid w:val="00D26A84"/>
    <w:rsid w:val="00D26D2F"/>
    <w:rsid w:val="00D27665"/>
    <w:rsid w:val="00D27700"/>
    <w:rsid w:val="00D279B7"/>
    <w:rsid w:val="00D27B53"/>
    <w:rsid w:val="00D27B82"/>
    <w:rsid w:val="00D306D1"/>
    <w:rsid w:val="00D306F3"/>
    <w:rsid w:val="00D308F8"/>
    <w:rsid w:val="00D30DD0"/>
    <w:rsid w:val="00D315FA"/>
    <w:rsid w:val="00D31642"/>
    <w:rsid w:val="00D31674"/>
    <w:rsid w:val="00D31F3C"/>
    <w:rsid w:val="00D32002"/>
    <w:rsid w:val="00D32082"/>
    <w:rsid w:val="00D324B3"/>
    <w:rsid w:val="00D329C8"/>
    <w:rsid w:val="00D33614"/>
    <w:rsid w:val="00D33852"/>
    <w:rsid w:val="00D33903"/>
    <w:rsid w:val="00D33AF6"/>
    <w:rsid w:val="00D33E17"/>
    <w:rsid w:val="00D34291"/>
    <w:rsid w:val="00D343B8"/>
    <w:rsid w:val="00D345DE"/>
    <w:rsid w:val="00D34786"/>
    <w:rsid w:val="00D34BE9"/>
    <w:rsid w:val="00D34C63"/>
    <w:rsid w:val="00D34CA0"/>
    <w:rsid w:val="00D34E8F"/>
    <w:rsid w:val="00D34EC4"/>
    <w:rsid w:val="00D35829"/>
    <w:rsid w:val="00D35966"/>
    <w:rsid w:val="00D35BD0"/>
    <w:rsid w:val="00D35F36"/>
    <w:rsid w:val="00D35F98"/>
    <w:rsid w:val="00D363CB"/>
    <w:rsid w:val="00D367BC"/>
    <w:rsid w:val="00D3681A"/>
    <w:rsid w:val="00D3682C"/>
    <w:rsid w:val="00D36DC7"/>
    <w:rsid w:val="00D3710A"/>
    <w:rsid w:val="00D373F6"/>
    <w:rsid w:val="00D37B53"/>
    <w:rsid w:val="00D37DDB"/>
    <w:rsid w:val="00D40168"/>
    <w:rsid w:val="00D4075D"/>
    <w:rsid w:val="00D409A3"/>
    <w:rsid w:val="00D4163E"/>
    <w:rsid w:val="00D41BBF"/>
    <w:rsid w:val="00D41DC9"/>
    <w:rsid w:val="00D42D8E"/>
    <w:rsid w:val="00D43262"/>
    <w:rsid w:val="00D43835"/>
    <w:rsid w:val="00D43A4E"/>
    <w:rsid w:val="00D43F6C"/>
    <w:rsid w:val="00D44154"/>
    <w:rsid w:val="00D44D1C"/>
    <w:rsid w:val="00D45354"/>
    <w:rsid w:val="00D455DD"/>
    <w:rsid w:val="00D45802"/>
    <w:rsid w:val="00D46036"/>
    <w:rsid w:val="00D4610B"/>
    <w:rsid w:val="00D46263"/>
    <w:rsid w:val="00D4628A"/>
    <w:rsid w:val="00D46970"/>
    <w:rsid w:val="00D46A1F"/>
    <w:rsid w:val="00D46B2C"/>
    <w:rsid w:val="00D46CEA"/>
    <w:rsid w:val="00D46EBE"/>
    <w:rsid w:val="00D471E9"/>
    <w:rsid w:val="00D47537"/>
    <w:rsid w:val="00D47A8E"/>
    <w:rsid w:val="00D47E7A"/>
    <w:rsid w:val="00D5022E"/>
    <w:rsid w:val="00D506C4"/>
    <w:rsid w:val="00D50CF0"/>
    <w:rsid w:val="00D50D9E"/>
    <w:rsid w:val="00D50E69"/>
    <w:rsid w:val="00D50F26"/>
    <w:rsid w:val="00D51633"/>
    <w:rsid w:val="00D51F61"/>
    <w:rsid w:val="00D524E7"/>
    <w:rsid w:val="00D52D14"/>
    <w:rsid w:val="00D52D7B"/>
    <w:rsid w:val="00D52EDC"/>
    <w:rsid w:val="00D52F9C"/>
    <w:rsid w:val="00D531E3"/>
    <w:rsid w:val="00D532F7"/>
    <w:rsid w:val="00D538AD"/>
    <w:rsid w:val="00D5390E"/>
    <w:rsid w:val="00D53D62"/>
    <w:rsid w:val="00D54019"/>
    <w:rsid w:val="00D543A9"/>
    <w:rsid w:val="00D5477A"/>
    <w:rsid w:val="00D550AF"/>
    <w:rsid w:val="00D5519A"/>
    <w:rsid w:val="00D553E1"/>
    <w:rsid w:val="00D55A37"/>
    <w:rsid w:val="00D562DC"/>
    <w:rsid w:val="00D5671A"/>
    <w:rsid w:val="00D57276"/>
    <w:rsid w:val="00D5747F"/>
    <w:rsid w:val="00D57732"/>
    <w:rsid w:val="00D57E70"/>
    <w:rsid w:val="00D6022F"/>
    <w:rsid w:val="00D60299"/>
    <w:rsid w:val="00D603D4"/>
    <w:rsid w:val="00D607FA"/>
    <w:rsid w:val="00D60B67"/>
    <w:rsid w:val="00D60CA1"/>
    <w:rsid w:val="00D60EF9"/>
    <w:rsid w:val="00D60F3A"/>
    <w:rsid w:val="00D612F9"/>
    <w:rsid w:val="00D616FB"/>
    <w:rsid w:val="00D61CF7"/>
    <w:rsid w:val="00D6214E"/>
    <w:rsid w:val="00D62D3D"/>
    <w:rsid w:val="00D62EE3"/>
    <w:rsid w:val="00D6322D"/>
    <w:rsid w:val="00D63D41"/>
    <w:rsid w:val="00D63EBC"/>
    <w:rsid w:val="00D6401D"/>
    <w:rsid w:val="00D64185"/>
    <w:rsid w:val="00D64A85"/>
    <w:rsid w:val="00D652B5"/>
    <w:rsid w:val="00D65495"/>
    <w:rsid w:val="00D65F09"/>
    <w:rsid w:val="00D65F25"/>
    <w:rsid w:val="00D661BB"/>
    <w:rsid w:val="00D66395"/>
    <w:rsid w:val="00D66426"/>
    <w:rsid w:val="00D664FC"/>
    <w:rsid w:val="00D66A14"/>
    <w:rsid w:val="00D66B72"/>
    <w:rsid w:val="00D67780"/>
    <w:rsid w:val="00D67CC4"/>
    <w:rsid w:val="00D70810"/>
    <w:rsid w:val="00D712D3"/>
    <w:rsid w:val="00D71422"/>
    <w:rsid w:val="00D7151E"/>
    <w:rsid w:val="00D71A72"/>
    <w:rsid w:val="00D724ED"/>
    <w:rsid w:val="00D7257D"/>
    <w:rsid w:val="00D72582"/>
    <w:rsid w:val="00D72716"/>
    <w:rsid w:val="00D72DC6"/>
    <w:rsid w:val="00D7337D"/>
    <w:rsid w:val="00D73420"/>
    <w:rsid w:val="00D735F6"/>
    <w:rsid w:val="00D737C1"/>
    <w:rsid w:val="00D7451B"/>
    <w:rsid w:val="00D74BA2"/>
    <w:rsid w:val="00D74D79"/>
    <w:rsid w:val="00D7519B"/>
    <w:rsid w:val="00D752E8"/>
    <w:rsid w:val="00D7558D"/>
    <w:rsid w:val="00D758B9"/>
    <w:rsid w:val="00D75997"/>
    <w:rsid w:val="00D75E0D"/>
    <w:rsid w:val="00D7603D"/>
    <w:rsid w:val="00D7609D"/>
    <w:rsid w:val="00D76222"/>
    <w:rsid w:val="00D76409"/>
    <w:rsid w:val="00D766FF"/>
    <w:rsid w:val="00D7682C"/>
    <w:rsid w:val="00D7684D"/>
    <w:rsid w:val="00D76B90"/>
    <w:rsid w:val="00D77087"/>
    <w:rsid w:val="00D7724D"/>
    <w:rsid w:val="00D77E3E"/>
    <w:rsid w:val="00D80196"/>
    <w:rsid w:val="00D80B10"/>
    <w:rsid w:val="00D80BAC"/>
    <w:rsid w:val="00D810A9"/>
    <w:rsid w:val="00D810EB"/>
    <w:rsid w:val="00D811FC"/>
    <w:rsid w:val="00D81280"/>
    <w:rsid w:val="00D812CF"/>
    <w:rsid w:val="00D81D92"/>
    <w:rsid w:val="00D81DB1"/>
    <w:rsid w:val="00D8270C"/>
    <w:rsid w:val="00D828B3"/>
    <w:rsid w:val="00D82C41"/>
    <w:rsid w:val="00D82F90"/>
    <w:rsid w:val="00D832DD"/>
    <w:rsid w:val="00D83493"/>
    <w:rsid w:val="00D834FD"/>
    <w:rsid w:val="00D83533"/>
    <w:rsid w:val="00D84457"/>
    <w:rsid w:val="00D8456A"/>
    <w:rsid w:val="00D8460F"/>
    <w:rsid w:val="00D84B05"/>
    <w:rsid w:val="00D84F1F"/>
    <w:rsid w:val="00D85115"/>
    <w:rsid w:val="00D858B7"/>
    <w:rsid w:val="00D85BCD"/>
    <w:rsid w:val="00D85D3C"/>
    <w:rsid w:val="00D85EAB"/>
    <w:rsid w:val="00D85EF7"/>
    <w:rsid w:val="00D860DF"/>
    <w:rsid w:val="00D86424"/>
    <w:rsid w:val="00D86479"/>
    <w:rsid w:val="00D868E2"/>
    <w:rsid w:val="00D86926"/>
    <w:rsid w:val="00D86B6A"/>
    <w:rsid w:val="00D86C32"/>
    <w:rsid w:val="00D86C80"/>
    <w:rsid w:val="00D871DD"/>
    <w:rsid w:val="00D87369"/>
    <w:rsid w:val="00D8739D"/>
    <w:rsid w:val="00D873CB"/>
    <w:rsid w:val="00D878B9"/>
    <w:rsid w:val="00D87BF1"/>
    <w:rsid w:val="00D900B7"/>
    <w:rsid w:val="00D90284"/>
    <w:rsid w:val="00D906FD"/>
    <w:rsid w:val="00D90CDF"/>
    <w:rsid w:val="00D91193"/>
    <w:rsid w:val="00D91266"/>
    <w:rsid w:val="00D917CF"/>
    <w:rsid w:val="00D91882"/>
    <w:rsid w:val="00D91BCE"/>
    <w:rsid w:val="00D91DF1"/>
    <w:rsid w:val="00D91F0B"/>
    <w:rsid w:val="00D9245F"/>
    <w:rsid w:val="00D92701"/>
    <w:rsid w:val="00D927A3"/>
    <w:rsid w:val="00D928B6"/>
    <w:rsid w:val="00D9291F"/>
    <w:rsid w:val="00D92961"/>
    <w:rsid w:val="00D92C49"/>
    <w:rsid w:val="00D92CC8"/>
    <w:rsid w:val="00D9324C"/>
    <w:rsid w:val="00D938BF"/>
    <w:rsid w:val="00D93A78"/>
    <w:rsid w:val="00D9413C"/>
    <w:rsid w:val="00D94765"/>
    <w:rsid w:val="00D9479F"/>
    <w:rsid w:val="00D94887"/>
    <w:rsid w:val="00D94A3B"/>
    <w:rsid w:val="00D94CF2"/>
    <w:rsid w:val="00D95628"/>
    <w:rsid w:val="00D956C3"/>
    <w:rsid w:val="00D957DD"/>
    <w:rsid w:val="00D95A66"/>
    <w:rsid w:val="00D95CAC"/>
    <w:rsid w:val="00D96050"/>
    <w:rsid w:val="00D961AB"/>
    <w:rsid w:val="00D967D0"/>
    <w:rsid w:val="00D96E10"/>
    <w:rsid w:val="00D9739F"/>
    <w:rsid w:val="00D97446"/>
    <w:rsid w:val="00D974F6"/>
    <w:rsid w:val="00D9757F"/>
    <w:rsid w:val="00D9763D"/>
    <w:rsid w:val="00D9793C"/>
    <w:rsid w:val="00D97B6E"/>
    <w:rsid w:val="00DA022A"/>
    <w:rsid w:val="00DA05DA"/>
    <w:rsid w:val="00DA080E"/>
    <w:rsid w:val="00DA0ACA"/>
    <w:rsid w:val="00DA0B90"/>
    <w:rsid w:val="00DA0CA3"/>
    <w:rsid w:val="00DA0CF1"/>
    <w:rsid w:val="00DA11C9"/>
    <w:rsid w:val="00DA138B"/>
    <w:rsid w:val="00DA14C8"/>
    <w:rsid w:val="00DA14E2"/>
    <w:rsid w:val="00DA1993"/>
    <w:rsid w:val="00DA1CA7"/>
    <w:rsid w:val="00DA2039"/>
    <w:rsid w:val="00DA2351"/>
    <w:rsid w:val="00DA2675"/>
    <w:rsid w:val="00DA2C92"/>
    <w:rsid w:val="00DA326B"/>
    <w:rsid w:val="00DA380D"/>
    <w:rsid w:val="00DA4062"/>
    <w:rsid w:val="00DA4372"/>
    <w:rsid w:val="00DA451E"/>
    <w:rsid w:val="00DA4592"/>
    <w:rsid w:val="00DA4E47"/>
    <w:rsid w:val="00DA59AB"/>
    <w:rsid w:val="00DA5FD7"/>
    <w:rsid w:val="00DA6D54"/>
    <w:rsid w:val="00DA7111"/>
    <w:rsid w:val="00DA7B5F"/>
    <w:rsid w:val="00DA7BF2"/>
    <w:rsid w:val="00DA7EE8"/>
    <w:rsid w:val="00DB00A0"/>
    <w:rsid w:val="00DB0A25"/>
    <w:rsid w:val="00DB0D85"/>
    <w:rsid w:val="00DB11C3"/>
    <w:rsid w:val="00DB1255"/>
    <w:rsid w:val="00DB1335"/>
    <w:rsid w:val="00DB13F3"/>
    <w:rsid w:val="00DB1657"/>
    <w:rsid w:val="00DB1767"/>
    <w:rsid w:val="00DB1843"/>
    <w:rsid w:val="00DB22F3"/>
    <w:rsid w:val="00DB2856"/>
    <w:rsid w:val="00DB32E8"/>
    <w:rsid w:val="00DB330D"/>
    <w:rsid w:val="00DB3618"/>
    <w:rsid w:val="00DB397C"/>
    <w:rsid w:val="00DB4292"/>
    <w:rsid w:val="00DB50A5"/>
    <w:rsid w:val="00DB567E"/>
    <w:rsid w:val="00DB5A76"/>
    <w:rsid w:val="00DB5BF0"/>
    <w:rsid w:val="00DB5C1D"/>
    <w:rsid w:val="00DB69E7"/>
    <w:rsid w:val="00DB6BC5"/>
    <w:rsid w:val="00DB6CA2"/>
    <w:rsid w:val="00DB6DCC"/>
    <w:rsid w:val="00DB7AEB"/>
    <w:rsid w:val="00DB7BC2"/>
    <w:rsid w:val="00DC0183"/>
    <w:rsid w:val="00DC01D2"/>
    <w:rsid w:val="00DC0482"/>
    <w:rsid w:val="00DC0551"/>
    <w:rsid w:val="00DC0767"/>
    <w:rsid w:val="00DC0D80"/>
    <w:rsid w:val="00DC11E7"/>
    <w:rsid w:val="00DC140D"/>
    <w:rsid w:val="00DC166C"/>
    <w:rsid w:val="00DC176B"/>
    <w:rsid w:val="00DC1A2E"/>
    <w:rsid w:val="00DC1C8A"/>
    <w:rsid w:val="00DC1D18"/>
    <w:rsid w:val="00DC1E9C"/>
    <w:rsid w:val="00DC2B87"/>
    <w:rsid w:val="00DC337C"/>
    <w:rsid w:val="00DC3981"/>
    <w:rsid w:val="00DC3B33"/>
    <w:rsid w:val="00DC4351"/>
    <w:rsid w:val="00DC435F"/>
    <w:rsid w:val="00DC499C"/>
    <w:rsid w:val="00DC4DB4"/>
    <w:rsid w:val="00DC51DD"/>
    <w:rsid w:val="00DC51F6"/>
    <w:rsid w:val="00DC5C29"/>
    <w:rsid w:val="00DC6095"/>
    <w:rsid w:val="00DC61EE"/>
    <w:rsid w:val="00DC672D"/>
    <w:rsid w:val="00DC6783"/>
    <w:rsid w:val="00DC67B2"/>
    <w:rsid w:val="00DC6B69"/>
    <w:rsid w:val="00DC6E50"/>
    <w:rsid w:val="00DC6F0A"/>
    <w:rsid w:val="00DC6F6C"/>
    <w:rsid w:val="00DC6F7C"/>
    <w:rsid w:val="00DC7023"/>
    <w:rsid w:val="00DC74E5"/>
    <w:rsid w:val="00DC769A"/>
    <w:rsid w:val="00DC7D22"/>
    <w:rsid w:val="00DC7E66"/>
    <w:rsid w:val="00DD063E"/>
    <w:rsid w:val="00DD0888"/>
    <w:rsid w:val="00DD0BBA"/>
    <w:rsid w:val="00DD0E82"/>
    <w:rsid w:val="00DD1443"/>
    <w:rsid w:val="00DD147B"/>
    <w:rsid w:val="00DD1C33"/>
    <w:rsid w:val="00DD2142"/>
    <w:rsid w:val="00DD24ED"/>
    <w:rsid w:val="00DD256F"/>
    <w:rsid w:val="00DD298A"/>
    <w:rsid w:val="00DD31F9"/>
    <w:rsid w:val="00DD3BC4"/>
    <w:rsid w:val="00DD3D86"/>
    <w:rsid w:val="00DD3E65"/>
    <w:rsid w:val="00DD410F"/>
    <w:rsid w:val="00DD4712"/>
    <w:rsid w:val="00DD49CF"/>
    <w:rsid w:val="00DD4C4D"/>
    <w:rsid w:val="00DD4D63"/>
    <w:rsid w:val="00DD515F"/>
    <w:rsid w:val="00DD5B44"/>
    <w:rsid w:val="00DD5BBB"/>
    <w:rsid w:val="00DD65CF"/>
    <w:rsid w:val="00DD684B"/>
    <w:rsid w:val="00DD6D14"/>
    <w:rsid w:val="00DD6D40"/>
    <w:rsid w:val="00DD6D92"/>
    <w:rsid w:val="00DD6F74"/>
    <w:rsid w:val="00DD70A5"/>
    <w:rsid w:val="00DD70D2"/>
    <w:rsid w:val="00DD73F4"/>
    <w:rsid w:val="00DE02F3"/>
    <w:rsid w:val="00DE0367"/>
    <w:rsid w:val="00DE07D2"/>
    <w:rsid w:val="00DE07E4"/>
    <w:rsid w:val="00DE09A1"/>
    <w:rsid w:val="00DE09A5"/>
    <w:rsid w:val="00DE0A59"/>
    <w:rsid w:val="00DE0DF1"/>
    <w:rsid w:val="00DE1353"/>
    <w:rsid w:val="00DE21FB"/>
    <w:rsid w:val="00DE2229"/>
    <w:rsid w:val="00DE2387"/>
    <w:rsid w:val="00DE26A0"/>
    <w:rsid w:val="00DE2805"/>
    <w:rsid w:val="00DE2A16"/>
    <w:rsid w:val="00DE2B9E"/>
    <w:rsid w:val="00DE2DCE"/>
    <w:rsid w:val="00DE2FE5"/>
    <w:rsid w:val="00DE30FA"/>
    <w:rsid w:val="00DE449B"/>
    <w:rsid w:val="00DE488D"/>
    <w:rsid w:val="00DE4C67"/>
    <w:rsid w:val="00DE4D69"/>
    <w:rsid w:val="00DE4EC3"/>
    <w:rsid w:val="00DE56F7"/>
    <w:rsid w:val="00DE610F"/>
    <w:rsid w:val="00DE6CA6"/>
    <w:rsid w:val="00DE6E4D"/>
    <w:rsid w:val="00DE70AC"/>
    <w:rsid w:val="00DE710B"/>
    <w:rsid w:val="00DE7267"/>
    <w:rsid w:val="00DE792A"/>
    <w:rsid w:val="00DF01D3"/>
    <w:rsid w:val="00DF087C"/>
    <w:rsid w:val="00DF0C1C"/>
    <w:rsid w:val="00DF0C68"/>
    <w:rsid w:val="00DF0D34"/>
    <w:rsid w:val="00DF0F2C"/>
    <w:rsid w:val="00DF0FC5"/>
    <w:rsid w:val="00DF1593"/>
    <w:rsid w:val="00DF19E4"/>
    <w:rsid w:val="00DF1B4B"/>
    <w:rsid w:val="00DF1BCE"/>
    <w:rsid w:val="00DF203B"/>
    <w:rsid w:val="00DF22C9"/>
    <w:rsid w:val="00DF26AA"/>
    <w:rsid w:val="00DF2C04"/>
    <w:rsid w:val="00DF2CDA"/>
    <w:rsid w:val="00DF2D7E"/>
    <w:rsid w:val="00DF36A5"/>
    <w:rsid w:val="00DF3BCF"/>
    <w:rsid w:val="00DF41C7"/>
    <w:rsid w:val="00DF4976"/>
    <w:rsid w:val="00DF4BDC"/>
    <w:rsid w:val="00DF4DC3"/>
    <w:rsid w:val="00DF4E8E"/>
    <w:rsid w:val="00DF4FA5"/>
    <w:rsid w:val="00DF51BD"/>
    <w:rsid w:val="00DF54E8"/>
    <w:rsid w:val="00DF5598"/>
    <w:rsid w:val="00DF5814"/>
    <w:rsid w:val="00DF584F"/>
    <w:rsid w:val="00DF5E7D"/>
    <w:rsid w:val="00DF6137"/>
    <w:rsid w:val="00DF640C"/>
    <w:rsid w:val="00DF6541"/>
    <w:rsid w:val="00DF6D65"/>
    <w:rsid w:val="00DF6EE0"/>
    <w:rsid w:val="00DF7034"/>
    <w:rsid w:val="00DF7740"/>
    <w:rsid w:val="00DF7ADF"/>
    <w:rsid w:val="00E0018F"/>
    <w:rsid w:val="00E00575"/>
    <w:rsid w:val="00E007B6"/>
    <w:rsid w:val="00E00943"/>
    <w:rsid w:val="00E00AA0"/>
    <w:rsid w:val="00E00BED"/>
    <w:rsid w:val="00E00E8B"/>
    <w:rsid w:val="00E015A1"/>
    <w:rsid w:val="00E01699"/>
    <w:rsid w:val="00E01F68"/>
    <w:rsid w:val="00E0225F"/>
    <w:rsid w:val="00E0238B"/>
    <w:rsid w:val="00E025B6"/>
    <w:rsid w:val="00E02D81"/>
    <w:rsid w:val="00E02F88"/>
    <w:rsid w:val="00E0340B"/>
    <w:rsid w:val="00E03501"/>
    <w:rsid w:val="00E03579"/>
    <w:rsid w:val="00E03899"/>
    <w:rsid w:val="00E03C99"/>
    <w:rsid w:val="00E03D10"/>
    <w:rsid w:val="00E0434E"/>
    <w:rsid w:val="00E04626"/>
    <w:rsid w:val="00E04B90"/>
    <w:rsid w:val="00E050D2"/>
    <w:rsid w:val="00E05117"/>
    <w:rsid w:val="00E05283"/>
    <w:rsid w:val="00E0542D"/>
    <w:rsid w:val="00E054BE"/>
    <w:rsid w:val="00E05590"/>
    <w:rsid w:val="00E05839"/>
    <w:rsid w:val="00E05963"/>
    <w:rsid w:val="00E05DD4"/>
    <w:rsid w:val="00E06482"/>
    <w:rsid w:val="00E06900"/>
    <w:rsid w:val="00E06907"/>
    <w:rsid w:val="00E07283"/>
    <w:rsid w:val="00E073AA"/>
    <w:rsid w:val="00E07432"/>
    <w:rsid w:val="00E07651"/>
    <w:rsid w:val="00E07921"/>
    <w:rsid w:val="00E07A00"/>
    <w:rsid w:val="00E07BDD"/>
    <w:rsid w:val="00E07C8F"/>
    <w:rsid w:val="00E07E9F"/>
    <w:rsid w:val="00E07F44"/>
    <w:rsid w:val="00E07FFB"/>
    <w:rsid w:val="00E100AC"/>
    <w:rsid w:val="00E100F6"/>
    <w:rsid w:val="00E10211"/>
    <w:rsid w:val="00E10B87"/>
    <w:rsid w:val="00E11263"/>
    <w:rsid w:val="00E113FD"/>
    <w:rsid w:val="00E11C7C"/>
    <w:rsid w:val="00E11EFC"/>
    <w:rsid w:val="00E12008"/>
    <w:rsid w:val="00E121A5"/>
    <w:rsid w:val="00E129DA"/>
    <w:rsid w:val="00E12D6E"/>
    <w:rsid w:val="00E12FA4"/>
    <w:rsid w:val="00E132E4"/>
    <w:rsid w:val="00E1365D"/>
    <w:rsid w:val="00E137B9"/>
    <w:rsid w:val="00E138C0"/>
    <w:rsid w:val="00E13D83"/>
    <w:rsid w:val="00E13F34"/>
    <w:rsid w:val="00E140CF"/>
    <w:rsid w:val="00E14556"/>
    <w:rsid w:val="00E14A07"/>
    <w:rsid w:val="00E14F9B"/>
    <w:rsid w:val="00E15089"/>
    <w:rsid w:val="00E150F2"/>
    <w:rsid w:val="00E15153"/>
    <w:rsid w:val="00E1541F"/>
    <w:rsid w:val="00E15E74"/>
    <w:rsid w:val="00E15FC7"/>
    <w:rsid w:val="00E161B6"/>
    <w:rsid w:val="00E166A0"/>
    <w:rsid w:val="00E168F4"/>
    <w:rsid w:val="00E16A50"/>
    <w:rsid w:val="00E16C4B"/>
    <w:rsid w:val="00E16D17"/>
    <w:rsid w:val="00E177FA"/>
    <w:rsid w:val="00E17B93"/>
    <w:rsid w:val="00E20589"/>
    <w:rsid w:val="00E206A7"/>
    <w:rsid w:val="00E2087C"/>
    <w:rsid w:val="00E209A8"/>
    <w:rsid w:val="00E20E99"/>
    <w:rsid w:val="00E20EBA"/>
    <w:rsid w:val="00E21558"/>
    <w:rsid w:val="00E2197C"/>
    <w:rsid w:val="00E219C7"/>
    <w:rsid w:val="00E21F0D"/>
    <w:rsid w:val="00E2257A"/>
    <w:rsid w:val="00E2265D"/>
    <w:rsid w:val="00E226AD"/>
    <w:rsid w:val="00E2291A"/>
    <w:rsid w:val="00E22AFB"/>
    <w:rsid w:val="00E22ED3"/>
    <w:rsid w:val="00E22FD5"/>
    <w:rsid w:val="00E2332B"/>
    <w:rsid w:val="00E236F6"/>
    <w:rsid w:val="00E239AD"/>
    <w:rsid w:val="00E23E3D"/>
    <w:rsid w:val="00E23EAA"/>
    <w:rsid w:val="00E23FC1"/>
    <w:rsid w:val="00E24905"/>
    <w:rsid w:val="00E24A7E"/>
    <w:rsid w:val="00E24E60"/>
    <w:rsid w:val="00E25B14"/>
    <w:rsid w:val="00E26C3D"/>
    <w:rsid w:val="00E2717A"/>
    <w:rsid w:val="00E27212"/>
    <w:rsid w:val="00E27C22"/>
    <w:rsid w:val="00E27E1F"/>
    <w:rsid w:val="00E30410"/>
    <w:rsid w:val="00E30427"/>
    <w:rsid w:val="00E30B11"/>
    <w:rsid w:val="00E30B8F"/>
    <w:rsid w:val="00E30BF1"/>
    <w:rsid w:val="00E31199"/>
    <w:rsid w:val="00E3130F"/>
    <w:rsid w:val="00E31324"/>
    <w:rsid w:val="00E3162A"/>
    <w:rsid w:val="00E31AA3"/>
    <w:rsid w:val="00E3229C"/>
    <w:rsid w:val="00E3262D"/>
    <w:rsid w:val="00E3282D"/>
    <w:rsid w:val="00E32DDF"/>
    <w:rsid w:val="00E32E6B"/>
    <w:rsid w:val="00E32FB8"/>
    <w:rsid w:val="00E334EE"/>
    <w:rsid w:val="00E346B5"/>
    <w:rsid w:val="00E347E0"/>
    <w:rsid w:val="00E34862"/>
    <w:rsid w:val="00E34B4D"/>
    <w:rsid w:val="00E34B77"/>
    <w:rsid w:val="00E34E0F"/>
    <w:rsid w:val="00E34F06"/>
    <w:rsid w:val="00E34F67"/>
    <w:rsid w:val="00E34F86"/>
    <w:rsid w:val="00E35456"/>
    <w:rsid w:val="00E35520"/>
    <w:rsid w:val="00E3569E"/>
    <w:rsid w:val="00E35C6A"/>
    <w:rsid w:val="00E35E2A"/>
    <w:rsid w:val="00E36321"/>
    <w:rsid w:val="00E3643F"/>
    <w:rsid w:val="00E36709"/>
    <w:rsid w:val="00E36EA1"/>
    <w:rsid w:val="00E36EA9"/>
    <w:rsid w:val="00E36EFF"/>
    <w:rsid w:val="00E3711F"/>
    <w:rsid w:val="00E375F7"/>
    <w:rsid w:val="00E379FB"/>
    <w:rsid w:val="00E40449"/>
    <w:rsid w:val="00E404DA"/>
    <w:rsid w:val="00E40DDD"/>
    <w:rsid w:val="00E40EAA"/>
    <w:rsid w:val="00E41873"/>
    <w:rsid w:val="00E41A17"/>
    <w:rsid w:val="00E41AE4"/>
    <w:rsid w:val="00E41D6E"/>
    <w:rsid w:val="00E424EB"/>
    <w:rsid w:val="00E429E1"/>
    <w:rsid w:val="00E42BC5"/>
    <w:rsid w:val="00E42C57"/>
    <w:rsid w:val="00E42DC6"/>
    <w:rsid w:val="00E43157"/>
    <w:rsid w:val="00E43391"/>
    <w:rsid w:val="00E43532"/>
    <w:rsid w:val="00E43C7E"/>
    <w:rsid w:val="00E442BF"/>
    <w:rsid w:val="00E443D8"/>
    <w:rsid w:val="00E44507"/>
    <w:rsid w:val="00E4495D"/>
    <w:rsid w:val="00E44A08"/>
    <w:rsid w:val="00E44A40"/>
    <w:rsid w:val="00E44F1B"/>
    <w:rsid w:val="00E44FB5"/>
    <w:rsid w:val="00E4564E"/>
    <w:rsid w:val="00E45D84"/>
    <w:rsid w:val="00E45E4A"/>
    <w:rsid w:val="00E461B1"/>
    <w:rsid w:val="00E461CE"/>
    <w:rsid w:val="00E4688F"/>
    <w:rsid w:val="00E47085"/>
    <w:rsid w:val="00E47274"/>
    <w:rsid w:val="00E4756C"/>
    <w:rsid w:val="00E475CB"/>
    <w:rsid w:val="00E5027C"/>
    <w:rsid w:val="00E503F9"/>
    <w:rsid w:val="00E508BF"/>
    <w:rsid w:val="00E508DA"/>
    <w:rsid w:val="00E50985"/>
    <w:rsid w:val="00E5098A"/>
    <w:rsid w:val="00E509AD"/>
    <w:rsid w:val="00E50ACD"/>
    <w:rsid w:val="00E5125E"/>
    <w:rsid w:val="00E5178A"/>
    <w:rsid w:val="00E5183E"/>
    <w:rsid w:val="00E52120"/>
    <w:rsid w:val="00E52778"/>
    <w:rsid w:val="00E52B0D"/>
    <w:rsid w:val="00E531A1"/>
    <w:rsid w:val="00E532BF"/>
    <w:rsid w:val="00E53475"/>
    <w:rsid w:val="00E53522"/>
    <w:rsid w:val="00E54667"/>
    <w:rsid w:val="00E5476A"/>
    <w:rsid w:val="00E549E8"/>
    <w:rsid w:val="00E555A6"/>
    <w:rsid w:val="00E55C9B"/>
    <w:rsid w:val="00E56133"/>
    <w:rsid w:val="00E56AA3"/>
    <w:rsid w:val="00E5716B"/>
    <w:rsid w:val="00E571A2"/>
    <w:rsid w:val="00E576E9"/>
    <w:rsid w:val="00E57951"/>
    <w:rsid w:val="00E57D93"/>
    <w:rsid w:val="00E6041E"/>
    <w:rsid w:val="00E6079F"/>
    <w:rsid w:val="00E60984"/>
    <w:rsid w:val="00E60DCD"/>
    <w:rsid w:val="00E611C5"/>
    <w:rsid w:val="00E6134B"/>
    <w:rsid w:val="00E6166A"/>
    <w:rsid w:val="00E61AF4"/>
    <w:rsid w:val="00E620D3"/>
    <w:rsid w:val="00E625E8"/>
    <w:rsid w:val="00E626A4"/>
    <w:rsid w:val="00E6318B"/>
    <w:rsid w:val="00E632A1"/>
    <w:rsid w:val="00E6377D"/>
    <w:rsid w:val="00E638E9"/>
    <w:rsid w:val="00E63F00"/>
    <w:rsid w:val="00E64439"/>
    <w:rsid w:val="00E64C50"/>
    <w:rsid w:val="00E64E6F"/>
    <w:rsid w:val="00E64F6D"/>
    <w:rsid w:val="00E6503F"/>
    <w:rsid w:val="00E65121"/>
    <w:rsid w:val="00E6521A"/>
    <w:rsid w:val="00E65231"/>
    <w:rsid w:val="00E65686"/>
    <w:rsid w:val="00E6583F"/>
    <w:rsid w:val="00E65D77"/>
    <w:rsid w:val="00E65EEA"/>
    <w:rsid w:val="00E66059"/>
    <w:rsid w:val="00E6608B"/>
    <w:rsid w:val="00E66142"/>
    <w:rsid w:val="00E671D9"/>
    <w:rsid w:val="00E6751B"/>
    <w:rsid w:val="00E67D4F"/>
    <w:rsid w:val="00E67FE0"/>
    <w:rsid w:val="00E7071E"/>
    <w:rsid w:val="00E7107C"/>
    <w:rsid w:val="00E7153A"/>
    <w:rsid w:val="00E7199C"/>
    <w:rsid w:val="00E71AC7"/>
    <w:rsid w:val="00E720CA"/>
    <w:rsid w:val="00E722E2"/>
    <w:rsid w:val="00E72705"/>
    <w:rsid w:val="00E72BF4"/>
    <w:rsid w:val="00E73324"/>
    <w:rsid w:val="00E73AE6"/>
    <w:rsid w:val="00E73DA2"/>
    <w:rsid w:val="00E73F34"/>
    <w:rsid w:val="00E741A4"/>
    <w:rsid w:val="00E741C9"/>
    <w:rsid w:val="00E74444"/>
    <w:rsid w:val="00E746DB"/>
    <w:rsid w:val="00E74DC8"/>
    <w:rsid w:val="00E751DA"/>
    <w:rsid w:val="00E752DD"/>
    <w:rsid w:val="00E75431"/>
    <w:rsid w:val="00E75A4B"/>
    <w:rsid w:val="00E75C30"/>
    <w:rsid w:val="00E76156"/>
    <w:rsid w:val="00E761D6"/>
    <w:rsid w:val="00E763FB"/>
    <w:rsid w:val="00E767F0"/>
    <w:rsid w:val="00E77728"/>
    <w:rsid w:val="00E77DCE"/>
    <w:rsid w:val="00E77E37"/>
    <w:rsid w:val="00E802E4"/>
    <w:rsid w:val="00E80909"/>
    <w:rsid w:val="00E80D57"/>
    <w:rsid w:val="00E80FE4"/>
    <w:rsid w:val="00E81BF2"/>
    <w:rsid w:val="00E821A1"/>
    <w:rsid w:val="00E822A7"/>
    <w:rsid w:val="00E82893"/>
    <w:rsid w:val="00E829D7"/>
    <w:rsid w:val="00E82BA0"/>
    <w:rsid w:val="00E82CCE"/>
    <w:rsid w:val="00E82DD9"/>
    <w:rsid w:val="00E830D2"/>
    <w:rsid w:val="00E8354B"/>
    <w:rsid w:val="00E83682"/>
    <w:rsid w:val="00E838BB"/>
    <w:rsid w:val="00E83BBD"/>
    <w:rsid w:val="00E83C3F"/>
    <w:rsid w:val="00E83F5C"/>
    <w:rsid w:val="00E840EE"/>
    <w:rsid w:val="00E841AF"/>
    <w:rsid w:val="00E84437"/>
    <w:rsid w:val="00E84727"/>
    <w:rsid w:val="00E849E5"/>
    <w:rsid w:val="00E84E07"/>
    <w:rsid w:val="00E84EB5"/>
    <w:rsid w:val="00E8505C"/>
    <w:rsid w:val="00E850FB"/>
    <w:rsid w:val="00E85662"/>
    <w:rsid w:val="00E85717"/>
    <w:rsid w:val="00E85865"/>
    <w:rsid w:val="00E85940"/>
    <w:rsid w:val="00E8629D"/>
    <w:rsid w:val="00E86A9C"/>
    <w:rsid w:val="00E86B98"/>
    <w:rsid w:val="00E8734C"/>
    <w:rsid w:val="00E8744A"/>
    <w:rsid w:val="00E8789F"/>
    <w:rsid w:val="00E90613"/>
    <w:rsid w:val="00E9074C"/>
    <w:rsid w:val="00E90AEF"/>
    <w:rsid w:val="00E90B04"/>
    <w:rsid w:val="00E90BF7"/>
    <w:rsid w:val="00E90F9A"/>
    <w:rsid w:val="00E915FE"/>
    <w:rsid w:val="00E918FD"/>
    <w:rsid w:val="00E91A0A"/>
    <w:rsid w:val="00E91BB5"/>
    <w:rsid w:val="00E91BED"/>
    <w:rsid w:val="00E91D64"/>
    <w:rsid w:val="00E92441"/>
    <w:rsid w:val="00E9247F"/>
    <w:rsid w:val="00E925A2"/>
    <w:rsid w:val="00E9272C"/>
    <w:rsid w:val="00E92A81"/>
    <w:rsid w:val="00E92C44"/>
    <w:rsid w:val="00E931CF"/>
    <w:rsid w:val="00E93606"/>
    <w:rsid w:val="00E93945"/>
    <w:rsid w:val="00E93ACE"/>
    <w:rsid w:val="00E93FD8"/>
    <w:rsid w:val="00E943D5"/>
    <w:rsid w:val="00E9470E"/>
    <w:rsid w:val="00E94A36"/>
    <w:rsid w:val="00E950CD"/>
    <w:rsid w:val="00E9542C"/>
    <w:rsid w:val="00E956AB"/>
    <w:rsid w:val="00E956AD"/>
    <w:rsid w:val="00E95C05"/>
    <w:rsid w:val="00E960E0"/>
    <w:rsid w:val="00E960F8"/>
    <w:rsid w:val="00E96527"/>
    <w:rsid w:val="00E96E07"/>
    <w:rsid w:val="00E96E1A"/>
    <w:rsid w:val="00E97A79"/>
    <w:rsid w:val="00E97B71"/>
    <w:rsid w:val="00E97C19"/>
    <w:rsid w:val="00EA00A7"/>
    <w:rsid w:val="00EA030C"/>
    <w:rsid w:val="00EA058D"/>
    <w:rsid w:val="00EA0A0E"/>
    <w:rsid w:val="00EA0ACD"/>
    <w:rsid w:val="00EA10FA"/>
    <w:rsid w:val="00EA1360"/>
    <w:rsid w:val="00EA16D3"/>
    <w:rsid w:val="00EA16FC"/>
    <w:rsid w:val="00EA1A04"/>
    <w:rsid w:val="00EA1BEE"/>
    <w:rsid w:val="00EA301B"/>
    <w:rsid w:val="00EA3091"/>
    <w:rsid w:val="00EA33E8"/>
    <w:rsid w:val="00EA36FF"/>
    <w:rsid w:val="00EA3BB7"/>
    <w:rsid w:val="00EA3CC1"/>
    <w:rsid w:val="00EA3D34"/>
    <w:rsid w:val="00EA4459"/>
    <w:rsid w:val="00EA4585"/>
    <w:rsid w:val="00EA458C"/>
    <w:rsid w:val="00EA4702"/>
    <w:rsid w:val="00EA470D"/>
    <w:rsid w:val="00EA4837"/>
    <w:rsid w:val="00EA4865"/>
    <w:rsid w:val="00EA53B4"/>
    <w:rsid w:val="00EA59B1"/>
    <w:rsid w:val="00EA59BB"/>
    <w:rsid w:val="00EA5C48"/>
    <w:rsid w:val="00EA5D1F"/>
    <w:rsid w:val="00EA5DBC"/>
    <w:rsid w:val="00EA5E58"/>
    <w:rsid w:val="00EA6097"/>
    <w:rsid w:val="00EA609D"/>
    <w:rsid w:val="00EA640E"/>
    <w:rsid w:val="00EA68AD"/>
    <w:rsid w:val="00EA6E86"/>
    <w:rsid w:val="00EA71E0"/>
    <w:rsid w:val="00EA7416"/>
    <w:rsid w:val="00EA74FD"/>
    <w:rsid w:val="00EA7A5D"/>
    <w:rsid w:val="00EA7DA0"/>
    <w:rsid w:val="00EA7DAD"/>
    <w:rsid w:val="00EA7EF4"/>
    <w:rsid w:val="00EB0237"/>
    <w:rsid w:val="00EB0584"/>
    <w:rsid w:val="00EB0A73"/>
    <w:rsid w:val="00EB0CC8"/>
    <w:rsid w:val="00EB0CE7"/>
    <w:rsid w:val="00EB0EBD"/>
    <w:rsid w:val="00EB1199"/>
    <w:rsid w:val="00EB1228"/>
    <w:rsid w:val="00EB1307"/>
    <w:rsid w:val="00EB1348"/>
    <w:rsid w:val="00EB151A"/>
    <w:rsid w:val="00EB17DA"/>
    <w:rsid w:val="00EB1949"/>
    <w:rsid w:val="00EB1FA6"/>
    <w:rsid w:val="00EB24F9"/>
    <w:rsid w:val="00EB26D3"/>
    <w:rsid w:val="00EB2AC2"/>
    <w:rsid w:val="00EB2D76"/>
    <w:rsid w:val="00EB38D2"/>
    <w:rsid w:val="00EB3952"/>
    <w:rsid w:val="00EB39AE"/>
    <w:rsid w:val="00EB3E59"/>
    <w:rsid w:val="00EB3F5A"/>
    <w:rsid w:val="00EB413B"/>
    <w:rsid w:val="00EB454D"/>
    <w:rsid w:val="00EB473E"/>
    <w:rsid w:val="00EB492B"/>
    <w:rsid w:val="00EB496A"/>
    <w:rsid w:val="00EB4EF7"/>
    <w:rsid w:val="00EB521A"/>
    <w:rsid w:val="00EB576A"/>
    <w:rsid w:val="00EB60D2"/>
    <w:rsid w:val="00EB6159"/>
    <w:rsid w:val="00EB65F1"/>
    <w:rsid w:val="00EB6709"/>
    <w:rsid w:val="00EB6964"/>
    <w:rsid w:val="00EB6A38"/>
    <w:rsid w:val="00EB6BB4"/>
    <w:rsid w:val="00EB6DE1"/>
    <w:rsid w:val="00EB7027"/>
    <w:rsid w:val="00EB71A1"/>
    <w:rsid w:val="00EB720C"/>
    <w:rsid w:val="00EB762E"/>
    <w:rsid w:val="00EB7776"/>
    <w:rsid w:val="00EB7C0C"/>
    <w:rsid w:val="00EB7CCF"/>
    <w:rsid w:val="00EB7D08"/>
    <w:rsid w:val="00EC01D9"/>
    <w:rsid w:val="00EC07A3"/>
    <w:rsid w:val="00EC1348"/>
    <w:rsid w:val="00EC250C"/>
    <w:rsid w:val="00EC25B8"/>
    <w:rsid w:val="00EC271E"/>
    <w:rsid w:val="00EC2CD7"/>
    <w:rsid w:val="00EC3420"/>
    <w:rsid w:val="00EC3939"/>
    <w:rsid w:val="00EC3F5A"/>
    <w:rsid w:val="00EC40F3"/>
    <w:rsid w:val="00EC456F"/>
    <w:rsid w:val="00EC4DAF"/>
    <w:rsid w:val="00EC57CD"/>
    <w:rsid w:val="00EC5871"/>
    <w:rsid w:val="00EC5AE5"/>
    <w:rsid w:val="00EC5C06"/>
    <w:rsid w:val="00EC5EC4"/>
    <w:rsid w:val="00EC5F21"/>
    <w:rsid w:val="00EC5FC9"/>
    <w:rsid w:val="00EC6162"/>
    <w:rsid w:val="00EC699E"/>
    <w:rsid w:val="00EC6C07"/>
    <w:rsid w:val="00EC6FCD"/>
    <w:rsid w:val="00EC730A"/>
    <w:rsid w:val="00EC75CD"/>
    <w:rsid w:val="00EC7729"/>
    <w:rsid w:val="00EC7939"/>
    <w:rsid w:val="00EC7E71"/>
    <w:rsid w:val="00ED022D"/>
    <w:rsid w:val="00ED075D"/>
    <w:rsid w:val="00ED13EE"/>
    <w:rsid w:val="00ED1421"/>
    <w:rsid w:val="00ED14D5"/>
    <w:rsid w:val="00ED18DC"/>
    <w:rsid w:val="00ED1A3E"/>
    <w:rsid w:val="00ED1B01"/>
    <w:rsid w:val="00ED1B04"/>
    <w:rsid w:val="00ED1C68"/>
    <w:rsid w:val="00ED211C"/>
    <w:rsid w:val="00ED248C"/>
    <w:rsid w:val="00ED2824"/>
    <w:rsid w:val="00ED295F"/>
    <w:rsid w:val="00ED2B97"/>
    <w:rsid w:val="00ED3118"/>
    <w:rsid w:val="00ED367B"/>
    <w:rsid w:val="00ED3D04"/>
    <w:rsid w:val="00ED4148"/>
    <w:rsid w:val="00ED4370"/>
    <w:rsid w:val="00ED4911"/>
    <w:rsid w:val="00ED4F32"/>
    <w:rsid w:val="00ED52D6"/>
    <w:rsid w:val="00ED54AA"/>
    <w:rsid w:val="00ED58DB"/>
    <w:rsid w:val="00ED5C74"/>
    <w:rsid w:val="00ED5D69"/>
    <w:rsid w:val="00ED5FA0"/>
    <w:rsid w:val="00ED65C4"/>
    <w:rsid w:val="00ED67F1"/>
    <w:rsid w:val="00ED75BD"/>
    <w:rsid w:val="00ED76BE"/>
    <w:rsid w:val="00ED7C53"/>
    <w:rsid w:val="00EE0032"/>
    <w:rsid w:val="00EE071F"/>
    <w:rsid w:val="00EE0747"/>
    <w:rsid w:val="00EE07CF"/>
    <w:rsid w:val="00EE0CF4"/>
    <w:rsid w:val="00EE0E65"/>
    <w:rsid w:val="00EE0EF2"/>
    <w:rsid w:val="00EE0F1D"/>
    <w:rsid w:val="00EE0F3C"/>
    <w:rsid w:val="00EE0F71"/>
    <w:rsid w:val="00EE1655"/>
    <w:rsid w:val="00EE1908"/>
    <w:rsid w:val="00EE1981"/>
    <w:rsid w:val="00EE1F51"/>
    <w:rsid w:val="00EE1F68"/>
    <w:rsid w:val="00EE20C5"/>
    <w:rsid w:val="00EE24AD"/>
    <w:rsid w:val="00EE24F0"/>
    <w:rsid w:val="00EE2B90"/>
    <w:rsid w:val="00EE2B93"/>
    <w:rsid w:val="00EE30BB"/>
    <w:rsid w:val="00EE3881"/>
    <w:rsid w:val="00EE3C36"/>
    <w:rsid w:val="00EE3E89"/>
    <w:rsid w:val="00EE3EEA"/>
    <w:rsid w:val="00EE40D7"/>
    <w:rsid w:val="00EE4163"/>
    <w:rsid w:val="00EE4181"/>
    <w:rsid w:val="00EE42B2"/>
    <w:rsid w:val="00EE44D5"/>
    <w:rsid w:val="00EE4F2C"/>
    <w:rsid w:val="00EE5038"/>
    <w:rsid w:val="00EE51CE"/>
    <w:rsid w:val="00EE52BC"/>
    <w:rsid w:val="00EE56E1"/>
    <w:rsid w:val="00EE5AB2"/>
    <w:rsid w:val="00EE62E2"/>
    <w:rsid w:val="00EE6E06"/>
    <w:rsid w:val="00EE7652"/>
    <w:rsid w:val="00EE78D4"/>
    <w:rsid w:val="00EE7AF3"/>
    <w:rsid w:val="00EE7DB5"/>
    <w:rsid w:val="00EE7DC6"/>
    <w:rsid w:val="00EF0086"/>
    <w:rsid w:val="00EF019F"/>
    <w:rsid w:val="00EF0339"/>
    <w:rsid w:val="00EF041B"/>
    <w:rsid w:val="00EF0CFD"/>
    <w:rsid w:val="00EF0E20"/>
    <w:rsid w:val="00EF0E91"/>
    <w:rsid w:val="00EF0E9C"/>
    <w:rsid w:val="00EF10AE"/>
    <w:rsid w:val="00EF1FDC"/>
    <w:rsid w:val="00EF20EA"/>
    <w:rsid w:val="00EF25E4"/>
    <w:rsid w:val="00EF2CC9"/>
    <w:rsid w:val="00EF2E44"/>
    <w:rsid w:val="00EF300A"/>
    <w:rsid w:val="00EF3628"/>
    <w:rsid w:val="00EF3789"/>
    <w:rsid w:val="00EF380F"/>
    <w:rsid w:val="00EF3997"/>
    <w:rsid w:val="00EF3A41"/>
    <w:rsid w:val="00EF3AA4"/>
    <w:rsid w:val="00EF3AAC"/>
    <w:rsid w:val="00EF3ACE"/>
    <w:rsid w:val="00EF3F5D"/>
    <w:rsid w:val="00EF42B8"/>
    <w:rsid w:val="00EF47C6"/>
    <w:rsid w:val="00EF4A52"/>
    <w:rsid w:val="00EF4B8C"/>
    <w:rsid w:val="00EF4D4A"/>
    <w:rsid w:val="00EF5489"/>
    <w:rsid w:val="00EF55FC"/>
    <w:rsid w:val="00EF5C68"/>
    <w:rsid w:val="00EF5F2C"/>
    <w:rsid w:val="00EF60DC"/>
    <w:rsid w:val="00EF619B"/>
    <w:rsid w:val="00EF6C7F"/>
    <w:rsid w:val="00EF6DE9"/>
    <w:rsid w:val="00EF7060"/>
    <w:rsid w:val="00EF73D7"/>
    <w:rsid w:val="00EF758E"/>
    <w:rsid w:val="00EF769D"/>
    <w:rsid w:val="00EF7710"/>
    <w:rsid w:val="00EF7AD6"/>
    <w:rsid w:val="00EF7B0E"/>
    <w:rsid w:val="00EF7C5E"/>
    <w:rsid w:val="00EF7E01"/>
    <w:rsid w:val="00F00055"/>
    <w:rsid w:val="00F00323"/>
    <w:rsid w:val="00F0043F"/>
    <w:rsid w:val="00F00735"/>
    <w:rsid w:val="00F00B55"/>
    <w:rsid w:val="00F00B7C"/>
    <w:rsid w:val="00F01E62"/>
    <w:rsid w:val="00F01F5F"/>
    <w:rsid w:val="00F01F7B"/>
    <w:rsid w:val="00F02506"/>
    <w:rsid w:val="00F027CA"/>
    <w:rsid w:val="00F02865"/>
    <w:rsid w:val="00F02932"/>
    <w:rsid w:val="00F02987"/>
    <w:rsid w:val="00F029FA"/>
    <w:rsid w:val="00F02AD1"/>
    <w:rsid w:val="00F031DF"/>
    <w:rsid w:val="00F03977"/>
    <w:rsid w:val="00F03B99"/>
    <w:rsid w:val="00F03D56"/>
    <w:rsid w:val="00F03DA3"/>
    <w:rsid w:val="00F0417F"/>
    <w:rsid w:val="00F042BD"/>
    <w:rsid w:val="00F048F3"/>
    <w:rsid w:val="00F04F35"/>
    <w:rsid w:val="00F0509B"/>
    <w:rsid w:val="00F05E26"/>
    <w:rsid w:val="00F06515"/>
    <w:rsid w:val="00F065B7"/>
    <w:rsid w:val="00F065D0"/>
    <w:rsid w:val="00F06BB9"/>
    <w:rsid w:val="00F071A7"/>
    <w:rsid w:val="00F07980"/>
    <w:rsid w:val="00F07BE5"/>
    <w:rsid w:val="00F07D4B"/>
    <w:rsid w:val="00F10358"/>
    <w:rsid w:val="00F1049E"/>
    <w:rsid w:val="00F107B2"/>
    <w:rsid w:val="00F109B2"/>
    <w:rsid w:val="00F10D7E"/>
    <w:rsid w:val="00F10EF7"/>
    <w:rsid w:val="00F10F5F"/>
    <w:rsid w:val="00F10FF9"/>
    <w:rsid w:val="00F11B32"/>
    <w:rsid w:val="00F11CDE"/>
    <w:rsid w:val="00F11CF8"/>
    <w:rsid w:val="00F121B8"/>
    <w:rsid w:val="00F12D3C"/>
    <w:rsid w:val="00F12E32"/>
    <w:rsid w:val="00F12E5C"/>
    <w:rsid w:val="00F13524"/>
    <w:rsid w:val="00F13B62"/>
    <w:rsid w:val="00F1409E"/>
    <w:rsid w:val="00F141E4"/>
    <w:rsid w:val="00F146A7"/>
    <w:rsid w:val="00F146ED"/>
    <w:rsid w:val="00F14818"/>
    <w:rsid w:val="00F14D01"/>
    <w:rsid w:val="00F14E7D"/>
    <w:rsid w:val="00F14F60"/>
    <w:rsid w:val="00F1510C"/>
    <w:rsid w:val="00F154CF"/>
    <w:rsid w:val="00F15C84"/>
    <w:rsid w:val="00F15FDD"/>
    <w:rsid w:val="00F1644E"/>
    <w:rsid w:val="00F16538"/>
    <w:rsid w:val="00F16B67"/>
    <w:rsid w:val="00F16D7C"/>
    <w:rsid w:val="00F16E58"/>
    <w:rsid w:val="00F1755B"/>
    <w:rsid w:val="00F2057E"/>
    <w:rsid w:val="00F2075F"/>
    <w:rsid w:val="00F20ABD"/>
    <w:rsid w:val="00F20CC3"/>
    <w:rsid w:val="00F2142B"/>
    <w:rsid w:val="00F2171B"/>
    <w:rsid w:val="00F218B3"/>
    <w:rsid w:val="00F2192C"/>
    <w:rsid w:val="00F219EA"/>
    <w:rsid w:val="00F21A94"/>
    <w:rsid w:val="00F22F20"/>
    <w:rsid w:val="00F23AFC"/>
    <w:rsid w:val="00F23B3A"/>
    <w:rsid w:val="00F23B45"/>
    <w:rsid w:val="00F23C77"/>
    <w:rsid w:val="00F23DB8"/>
    <w:rsid w:val="00F23F87"/>
    <w:rsid w:val="00F247A0"/>
    <w:rsid w:val="00F2488D"/>
    <w:rsid w:val="00F250C7"/>
    <w:rsid w:val="00F250FC"/>
    <w:rsid w:val="00F253CC"/>
    <w:rsid w:val="00F2551C"/>
    <w:rsid w:val="00F2579B"/>
    <w:rsid w:val="00F25A36"/>
    <w:rsid w:val="00F25CD8"/>
    <w:rsid w:val="00F2600C"/>
    <w:rsid w:val="00F263E2"/>
    <w:rsid w:val="00F26524"/>
    <w:rsid w:val="00F26610"/>
    <w:rsid w:val="00F26A2B"/>
    <w:rsid w:val="00F26BDA"/>
    <w:rsid w:val="00F2702A"/>
    <w:rsid w:val="00F270F1"/>
    <w:rsid w:val="00F2770D"/>
    <w:rsid w:val="00F2796D"/>
    <w:rsid w:val="00F27A79"/>
    <w:rsid w:val="00F27EFA"/>
    <w:rsid w:val="00F30148"/>
    <w:rsid w:val="00F3016F"/>
    <w:rsid w:val="00F301F1"/>
    <w:rsid w:val="00F3062D"/>
    <w:rsid w:val="00F30798"/>
    <w:rsid w:val="00F308DF"/>
    <w:rsid w:val="00F318EF"/>
    <w:rsid w:val="00F31EA0"/>
    <w:rsid w:val="00F3246D"/>
    <w:rsid w:val="00F32627"/>
    <w:rsid w:val="00F328BD"/>
    <w:rsid w:val="00F330E4"/>
    <w:rsid w:val="00F33748"/>
    <w:rsid w:val="00F33955"/>
    <w:rsid w:val="00F33AF9"/>
    <w:rsid w:val="00F34B5A"/>
    <w:rsid w:val="00F351BB"/>
    <w:rsid w:val="00F3585A"/>
    <w:rsid w:val="00F36342"/>
    <w:rsid w:val="00F367FD"/>
    <w:rsid w:val="00F3684D"/>
    <w:rsid w:val="00F3692A"/>
    <w:rsid w:val="00F36BBC"/>
    <w:rsid w:val="00F36BD1"/>
    <w:rsid w:val="00F36DD3"/>
    <w:rsid w:val="00F37106"/>
    <w:rsid w:val="00F3776F"/>
    <w:rsid w:val="00F400D1"/>
    <w:rsid w:val="00F4059E"/>
    <w:rsid w:val="00F405CE"/>
    <w:rsid w:val="00F40611"/>
    <w:rsid w:val="00F40950"/>
    <w:rsid w:val="00F40F53"/>
    <w:rsid w:val="00F41724"/>
    <w:rsid w:val="00F417F4"/>
    <w:rsid w:val="00F42613"/>
    <w:rsid w:val="00F42707"/>
    <w:rsid w:val="00F42AAE"/>
    <w:rsid w:val="00F42BD0"/>
    <w:rsid w:val="00F43422"/>
    <w:rsid w:val="00F435E2"/>
    <w:rsid w:val="00F4360C"/>
    <w:rsid w:val="00F43957"/>
    <w:rsid w:val="00F43AEE"/>
    <w:rsid w:val="00F4406D"/>
    <w:rsid w:val="00F4462C"/>
    <w:rsid w:val="00F446CF"/>
    <w:rsid w:val="00F446F9"/>
    <w:rsid w:val="00F44A15"/>
    <w:rsid w:val="00F44C09"/>
    <w:rsid w:val="00F44CA5"/>
    <w:rsid w:val="00F44D14"/>
    <w:rsid w:val="00F44FED"/>
    <w:rsid w:val="00F45631"/>
    <w:rsid w:val="00F458B4"/>
    <w:rsid w:val="00F45942"/>
    <w:rsid w:val="00F45ADC"/>
    <w:rsid w:val="00F45B86"/>
    <w:rsid w:val="00F460BD"/>
    <w:rsid w:val="00F46421"/>
    <w:rsid w:val="00F46DCE"/>
    <w:rsid w:val="00F46E91"/>
    <w:rsid w:val="00F47077"/>
    <w:rsid w:val="00F476EA"/>
    <w:rsid w:val="00F47821"/>
    <w:rsid w:val="00F50213"/>
    <w:rsid w:val="00F503E5"/>
    <w:rsid w:val="00F506DB"/>
    <w:rsid w:val="00F50950"/>
    <w:rsid w:val="00F50C83"/>
    <w:rsid w:val="00F50D1D"/>
    <w:rsid w:val="00F50E2F"/>
    <w:rsid w:val="00F5120C"/>
    <w:rsid w:val="00F5126E"/>
    <w:rsid w:val="00F519CF"/>
    <w:rsid w:val="00F52036"/>
    <w:rsid w:val="00F52669"/>
    <w:rsid w:val="00F5266C"/>
    <w:rsid w:val="00F52ED7"/>
    <w:rsid w:val="00F53091"/>
    <w:rsid w:val="00F536F2"/>
    <w:rsid w:val="00F537C8"/>
    <w:rsid w:val="00F539AD"/>
    <w:rsid w:val="00F53D74"/>
    <w:rsid w:val="00F54512"/>
    <w:rsid w:val="00F54740"/>
    <w:rsid w:val="00F54ECA"/>
    <w:rsid w:val="00F550DF"/>
    <w:rsid w:val="00F55253"/>
    <w:rsid w:val="00F5569F"/>
    <w:rsid w:val="00F557DF"/>
    <w:rsid w:val="00F56089"/>
    <w:rsid w:val="00F560E0"/>
    <w:rsid w:val="00F561E3"/>
    <w:rsid w:val="00F56791"/>
    <w:rsid w:val="00F56BA5"/>
    <w:rsid w:val="00F56C88"/>
    <w:rsid w:val="00F56E69"/>
    <w:rsid w:val="00F57246"/>
    <w:rsid w:val="00F57702"/>
    <w:rsid w:val="00F57724"/>
    <w:rsid w:val="00F57978"/>
    <w:rsid w:val="00F57B9F"/>
    <w:rsid w:val="00F57D68"/>
    <w:rsid w:val="00F607B9"/>
    <w:rsid w:val="00F60E22"/>
    <w:rsid w:val="00F60E5B"/>
    <w:rsid w:val="00F6165A"/>
    <w:rsid w:val="00F61A1A"/>
    <w:rsid w:val="00F61FE4"/>
    <w:rsid w:val="00F62282"/>
    <w:rsid w:val="00F62600"/>
    <w:rsid w:val="00F62748"/>
    <w:rsid w:val="00F628F3"/>
    <w:rsid w:val="00F62C58"/>
    <w:rsid w:val="00F62D1E"/>
    <w:rsid w:val="00F62FE2"/>
    <w:rsid w:val="00F63469"/>
    <w:rsid w:val="00F634D9"/>
    <w:rsid w:val="00F63CCB"/>
    <w:rsid w:val="00F640C5"/>
    <w:rsid w:val="00F649AD"/>
    <w:rsid w:val="00F64B8B"/>
    <w:rsid w:val="00F64DB1"/>
    <w:rsid w:val="00F653D2"/>
    <w:rsid w:val="00F65545"/>
    <w:rsid w:val="00F659EC"/>
    <w:rsid w:val="00F6703B"/>
    <w:rsid w:val="00F6731B"/>
    <w:rsid w:val="00F67A50"/>
    <w:rsid w:val="00F67B09"/>
    <w:rsid w:val="00F67C38"/>
    <w:rsid w:val="00F70327"/>
    <w:rsid w:val="00F704B2"/>
    <w:rsid w:val="00F70FB8"/>
    <w:rsid w:val="00F711C6"/>
    <w:rsid w:val="00F7124D"/>
    <w:rsid w:val="00F71A9D"/>
    <w:rsid w:val="00F71E40"/>
    <w:rsid w:val="00F7244A"/>
    <w:rsid w:val="00F72BD4"/>
    <w:rsid w:val="00F73170"/>
    <w:rsid w:val="00F73584"/>
    <w:rsid w:val="00F735AE"/>
    <w:rsid w:val="00F73687"/>
    <w:rsid w:val="00F739DF"/>
    <w:rsid w:val="00F73EDB"/>
    <w:rsid w:val="00F746C3"/>
    <w:rsid w:val="00F74E0A"/>
    <w:rsid w:val="00F75766"/>
    <w:rsid w:val="00F759DA"/>
    <w:rsid w:val="00F75A47"/>
    <w:rsid w:val="00F75F3C"/>
    <w:rsid w:val="00F76487"/>
    <w:rsid w:val="00F764FE"/>
    <w:rsid w:val="00F76E2B"/>
    <w:rsid w:val="00F77DF8"/>
    <w:rsid w:val="00F804AE"/>
    <w:rsid w:val="00F80657"/>
    <w:rsid w:val="00F8067B"/>
    <w:rsid w:val="00F80A4F"/>
    <w:rsid w:val="00F80E66"/>
    <w:rsid w:val="00F81147"/>
    <w:rsid w:val="00F816DE"/>
    <w:rsid w:val="00F81BE3"/>
    <w:rsid w:val="00F82261"/>
    <w:rsid w:val="00F82642"/>
    <w:rsid w:val="00F82DD5"/>
    <w:rsid w:val="00F82E43"/>
    <w:rsid w:val="00F83A86"/>
    <w:rsid w:val="00F843AA"/>
    <w:rsid w:val="00F84D44"/>
    <w:rsid w:val="00F852F7"/>
    <w:rsid w:val="00F852FC"/>
    <w:rsid w:val="00F85337"/>
    <w:rsid w:val="00F85974"/>
    <w:rsid w:val="00F85A52"/>
    <w:rsid w:val="00F860B1"/>
    <w:rsid w:val="00F8621E"/>
    <w:rsid w:val="00F866A6"/>
    <w:rsid w:val="00F868FF"/>
    <w:rsid w:val="00F869AF"/>
    <w:rsid w:val="00F869E0"/>
    <w:rsid w:val="00F86B3A"/>
    <w:rsid w:val="00F877C0"/>
    <w:rsid w:val="00F90217"/>
    <w:rsid w:val="00F9023E"/>
    <w:rsid w:val="00F90433"/>
    <w:rsid w:val="00F9043B"/>
    <w:rsid w:val="00F90590"/>
    <w:rsid w:val="00F90767"/>
    <w:rsid w:val="00F90AEF"/>
    <w:rsid w:val="00F90CAC"/>
    <w:rsid w:val="00F90CC2"/>
    <w:rsid w:val="00F90CE4"/>
    <w:rsid w:val="00F91160"/>
    <w:rsid w:val="00F91542"/>
    <w:rsid w:val="00F917D1"/>
    <w:rsid w:val="00F91A90"/>
    <w:rsid w:val="00F91B83"/>
    <w:rsid w:val="00F91BBA"/>
    <w:rsid w:val="00F91BDC"/>
    <w:rsid w:val="00F92433"/>
    <w:rsid w:val="00F92604"/>
    <w:rsid w:val="00F92850"/>
    <w:rsid w:val="00F92A8E"/>
    <w:rsid w:val="00F932CA"/>
    <w:rsid w:val="00F93327"/>
    <w:rsid w:val="00F9392B"/>
    <w:rsid w:val="00F93F64"/>
    <w:rsid w:val="00F94216"/>
    <w:rsid w:val="00F94442"/>
    <w:rsid w:val="00F9451A"/>
    <w:rsid w:val="00F9491D"/>
    <w:rsid w:val="00F94F45"/>
    <w:rsid w:val="00F954CA"/>
    <w:rsid w:val="00F9568E"/>
    <w:rsid w:val="00F957AE"/>
    <w:rsid w:val="00F95A27"/>
    <w:rsid w:val="00F95C4F"/>
    <w:rsid w:val="00F96160"/>
    <w:rsid w:val="00F964F8"/>
    <w:rsid w:val="00F9653B"/>
    <w:rsid w:val="00F9666C"/>
    <w:rsid w:val="00F96778"/>
    <w:rsid w:val="00F96E6F"/>
    <w:rsid w:val="00F96EE6"/>
    <w:rsid w:val="00F97516"/>
    <w:rsid w:val="00F97A52"/>
    <w:rsid w:val="00F97E2D"/>
    <w:rsid w:val="00F97E62"/>
    <w:rsid w:val="00FA02EB"/>
    <w:rsid w:val="00FA0338"/>
    <w:rsid w:val="00FA0711"/>
    <w:rsid w:val="00FA084C"/>
    <w:rsid w:val="00FA08DD"/>
    <w:rsid w:val="00FA0908"/>
    <w:rsid w:val="00FA093F"/>
    <w:rsid w:val="00FA0D48"/>
    <w:rsid w:val="00FA174E"/>
    <w:rsid w:val="00FA1A07"/>
    <w:rsid w:val="00FA1A78"/>
    <w:rsid w:val="00FA1FAA"/>
    <w:rsid w:val="00FA1FBB"/>
    <w:rsid w:val="00FA2208"/>
    <w:rsid w:val="00FA2595"/>
    <w:rsid w:val="00FA2E9D"/>
    <w:rsid w:val="00FA30A1"/>
    <w:rsid w:val="00FA35B3"/>
    <w:rsid w:val="00FA3858"/>
    <w:rsid w:val="00FA3987"/>
    <w:rsid w:val="00FA3AA9"/>
    <w:rsid w:val="00FA4035"/>
    <w:rsid w:val="00FA410D"/>
    <w:rsid w:val="00FA4293"/>
    <w:rsid w:val="00FA46DA"/>
    <w:rsid w:val="00FA4AD3"/>
    <w:rsid w:val="00FA5737"/>
    <w:rsid w:val="00FA57A0"/>
    <w:rsid w:val="00FA5957"/>
    <w:rsid w:val="00FA5C21"/>
    <w:rsid w:val="00FA5EAE"/>
    <w:rsid w:val="00FA60B9"/>
    <w:rsid w:val="00FA65A6"/>
    <w:rsid w:val="00FA65BB"/>
    <w:rsid w:val="00FA66D9"/>
    <w:rsid w:val="00FA6A30"/>
    <w:rsid w:val="00FA6C23"/>
    <w:rsid w:val="00FA6DA6"/>
    <w:rsid w:val="00FA7494"/>
    <w:rsid w:val="00FA7605"/>
    <w:rsid w:val="00FA77B7"/>
    <w:rsid w:val="00FA7A5C"/>
    <w:rsid w:val="00FA7E11"/>
    <w:rsid w:val="00FB0522"/>
    <w:rsid w:val="00FB05F9"/>
    <w:rsid w:val="00FB069F"/>
    <w:rsid w:val="00FB098E"/>
    <w:rsid w:val="00FB0A94"/>
    <w:rsid w:val="00FB0D60"/>
    <w:rsid w:val="00FB1072"/>
    <w:rsid w:val="00FB1084"/>
    <w:rsid w:val="00FB10AB"/>
    <w:rsid w:val="00FB1351"/>
    <w:rsid w:val="00FB14D9"/>
    <w:rsid w:val="00FB1666"/>
    <w:rsid w:val="00FB1AC2"/>
    <w:rsid w:val="00FB2096"/>
    <w:rsid w:val="00FB2A66"/>
    <w:rsid w:val="00FB2E57"/>
    <w:rsid w:val="00FB2ED7"/>
    <w:rsid w:val="00FB37B1"/>
    <w:rsid w:val="00FB3D94"/>
    <w:rsid w:val="00FB3F52"/>
    <w:rsid w:val="00FB3F5D"/>
    <w:rsid w:val="00FB4364"/>
    <w:rsid w:val="00FB43C8"/>
    <w:rsid w:val="00FB43DD"/>
    <w:rsid w:val="00FB465A"/>
    <w:rsid w:val="00FB4BD3"/>
    <w:rsid w:val="00FB4E37"/>
    <w:rsid w:val="00FB4EB8"/>
    <w:rsid w:val="00FB52E5"/>
    <w:rsid w:val="00FB54A0"/>
    <w:rsid w:val="00FB57E4"/>
    <w:rsid w:val="00FB5E1B"/>
    <w:rsid w:val="00FB616C"/>
    <w:rsid w:val="00FB62CF"/>
    <w:rsid w:val="00FB6330"/>
    <w:rsid w:val="00FB64DE"/>
    <w:rsid w:val="00FB6512"/>
    <w:rsid w:val="00FB68F0"/>
    <w:rsid w:val="00FB6A39"/>
    <w:rsid w:val="00FB713A"/>
    <w:rsid w:val="00FB726D"/>
    <w:rsid w:val="00FB78FA"/>
    <w:rsid w:val="00FB7B6A"/>
    <w:rsid w:val="00FC045D"/>
    <w:rsid w:val="00FC0A1C"/>
    <w:rsid w:val="00FC0F90"/>
    <w:rsid w:val="00FC0FA1"/>
    <w:rsid w:val="00FC1635"/>
    <w:rsid w:val="00FC1660"/>
    <w:rsid w:val="00FC171D"/>
    <w:rsid w:val="00FC1F8E"/>
    <w:rsid w:val="00FC2002"/>
    <w:rsid w:val="00FC2226"/>
    <w:rsid w:val="00FC27FD"/>
    <w:rsid w:val="00FC2925"/>
    <w:rsid w:val="00FC2B0C"/>
    <w:rsid w:val="00FC3301"/>
    <w:rsid w:val="00FC33C2"/>
    <w:rsid w:val="00FC375C"/>
    <w:rsid w:val="00FC3B74"/>
    <w:rsid w:val="00FC3B9C"/>
    <w:rsid w:val="00FC3E44"/>
    <w:rsid w:val="00FC4122"/>
    <w:rsid w:val="00FC415B"/>
    <w:rsid w:val="00FC47E0"/>
    <w:rsid w:val="00FC488C"/>
    <w:rsid w:val="00FC54C6"/>
    <w:rsid w:val="00FC551C"/>
    <w:rsid w:val="00FC563C"/>
    <w:rsid w:val="00FC5691"/>
    <w:rsid w:val="00FC57AF"/>
    <w:rsid w:val="00FC5AF3"/>
    <w:rsid w:val="00FC5BED"/>
    <w:rsid w:val="00FC6038"/>
    <w:rsid w:val="00FC634A"/>
    <w:rsid w:val="00FC6609"/>
    <w:rsid w:val="00FC721A"/>
    <w:rsid w:val="00FC7319"/>
    <w:rsid w:val="00FC73F0"/>
    <w:rsid w:val="00FC7D96"/>
    <w:rsid w:val="00FD0576"/>
    <w:rsid w:val="00FD05AE"/>
    <w:rsid w:val="00FD05B2"/>
    <w:rsid w:val="00FD0C3E"/>
    <w:rsid w:val="00FD0D0F"/>
    <w:rsid w:val="00FD0EFE"/>
    <w:rsid w:val="00FD11D8"/>
    <w:rsid w:val="00FD125C"/>
    <w:rsid w:val="00FD13DD"/>
    <w:rsid w:val="00FD1971"/>
    <w:rsid w:val="00FD1A5F"/>
    <w:rsid w:val="00FD1ABA"/>
    <w:rsid w:val="00FD1AFA"/>
    <w:rsid w:val="00FD1CEF"/>
    <w:rsid w:val="00FD21EF"/>
    <w:rsid w:val="00FD26A1"/>
    <w:rsid w:val="00FD27E6"/>
    <w:rsid w:val="00FD2C07"/>
    <w:rsid w:val="00FD2E3F"/>
    <w:rsid w:val="00FD2FDF"/>
    <w:rsid w:val="00FD3C3B"/>
    <w:rsid w:val="00FD3D23"/>
    <w:rsid w:val="00FD44C4"/>
    <w:rsid w:val="00FD46A6"/>
    <w:rsid w:val="00FD49F4"/>
    <w:rsid w:val="00FD4EC1"/>
    <w:rsid w:val="00FD4F75"/>
    <w:rsid w:val="00FD51B3"/>
    <w:rsid w:val="00FD5273"/>
    <w:rsid w:val="00FD54DA"/>
    <w:rsid w:val="00FD5540"/>
    <w:rsid w:val="00FD55C0"/>
    <w:rsid w:val="00FD5921"/>
    <w:rsid w:val="00FD60E3"/>
    <w:rsid w:val="00FD66F9"/>
    <w:rsid w:val="00FD70E8"/>
    <w:rsid w:val="00FD729D"/>
    <w:rsid w:val="00FD76F2"/>
    <w:rsid w:val="00FD7769"/>
    <w:rsid w:val="00FD7903"/>
    <w:rsid w:val="00FD79FD"/>
    <w:rsid w:val="00FD79FF"/>
    <w:rsid w:val="00FE0043"/>
    <w:rsid w:val="00FE0851"/>
    <w:rsid w:val="00FE0A9C"/>
    <w:rsid w:val="00FE0BC9"/>
    <w:rsid w:val="00FE0E59"/>
    <w:rsid w:val="00FE0EE6"/>
    <w:rsid w:val="00FE12C4"/>
    <w:rsid w:val="00FE15F2"/>
    <w:rsid w:val="00FE18F9"/>
    <w:rsid w:val="00FE1DFE"/>
    <w:rsid w:val="00FE1F1B"/>
    <w:rsid w:val="00FE1F8C"/>
    <w:rsid w:val="00FE29EC"/>
    <w:rsid w:val="00FE31C6"/>
    <w:rsid w:val="00FE350D"/>
    <w:rsid w:val="00FE3895"/>
    <w:rsid w:val="00FE45EF"/>
    <w:rsid w:val="00FE487F"/>
    <w:rsid w:val="00FE4928"/>
    <w:rsid w:val="00FE5017"/>
    <w:rsid w:val="00FE52B3"/>
    <w:rsid w:val="00FE554C"/>
    <w:rsid w:val="00FE584B"/>
    <w:rsid w:val="00FE5E14"/>
    <w:rsid w:val="00FE66A3"/>
    <w:rsid w:val="00FE6783"/>
    <w:rsid w:val="00FE6B45"/>
    <w:rsid w:val="00FE6BB0"/>
    <w:rsid w:val="00FE6F27"/>
    <w:rsid w:val="00FE7413"/>
    <w:rsid w:val="00FE762A"/>
    <w:rsid w:val="00FF08C7"/>
    <w:rsid w:val="00FF0BCF"/>
    <w:rsid w:val="00FF11B9"/>
    <w:rsid w:val="00FF14ED"/>
    <w:rsid w:val="00FF1BD8"/>
    <w:rsid w:val="00FF1FF3"/>
    <w:rsid w:val="00FF222C"/>
    <w:rsid w:val="00FF22DB"/>
    <w:rsid w:val="00FF289C"/>
    <w:rsid w:val="00FF2A34"/>
    <w:rsid w:val="00FF2E0B"/>
    <w:rsid w:val="00FF2FF7"/>
    <w:rsid w:val="00FF342C"/>
    <w:rsid w:val="00FF3556"/>
    <w:rsid w:val="00FF4690"/>
    <w:rsid w:val="00FF4706"/>
    <w:rsid w:val="00FF4711"/>
    <w:rsid w:val="00FF48F6"/>
    <w:rsid w:val="00FF4D55"/>
    <w:rsid w:val="00FF4E38"/>
    <w:rsid w:val="00FF4F04"/>
    <w:rsid w:val="00FF522C"/>
    <w:rsid w:val="00FF5263"/>
    <w:rsid w:val="00FF5851"/>
    <w:rsid w:val="00FF5EE6"/>
    <w:rsid w:val="00FF5F63"/>
    <w:rsid w:val="00FF64F1"/>
    <w:rsid w:val="00FF6BD0"/>
    <w:rsid w:val="00FF726F"/>
    <w:rsid w:val="00FF7876"/>
    <w:rsid w:val="00FF7B79"/>
    <w:rsid w:val="00FF7D01"/>
    <w:rsid w:val="00FF7DF5"/>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
    <w:link w:val="ListParagraphChar"/>
    <w:uiPriority w:val="99"/>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BB1DDE"/>
    <w:pPr>
      <w:tabs>
        <w:tab w:val="left" w:pos="1440"/>
        <w:tab w:val="right" w:leader="dot" w:pos="9440"/>
      </w:tabs>
      <w:spacing w:after="100"/>
    </w:pPr>
    <w:rPr>
      <w:rFonts w:asciiTheme="majorHAnsi" w:hAnsiTheme="majorHAnsi"/>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
    <w:link w:val="ListParagraph"/>
    <w:uiPriority w:val="99"/>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
    <w:link w:val="ListParagraphChar"/>
    <w:uiPriority w:val="99"/>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BB1DDE"/>
    <w:pPr>
      <w:tabs>
        <w:tab w:val="left" w:pos="1440"/>
        <w:tab w:val="right" w:leader="dot" w:pos="9440"/>
      </w:tabs>
      <w:spacing w:after="100"/>
    </w:pPr>
    <w:rPr>
      <w:rFonts w:asciiTheme="majorHAnsi" w:hAnsiTheme="majorHAnsi"/>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
    <w:link w:val="ListParagraph"/>
    <w:uiPriority w:val="99"/>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512569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981352473">
      <w:bodyDiv w:val="1"/>
      <w:marLeft w:val="0"/>
      <w:marRight w:val="0"/>
      <w:marTop w:val="0"/>
      <w:marBottom w:val="0"/>
      <w:divBdr>
        <w:top w:val="none" w:sz="0" w:space="0" w:color="auto"/>
        <w:left w:val="none" w:sz="0" w:space="0" w:color="auto"/>
        <w:bottom w:val="none" w:sz="0" w:space="0" w:color="auto"/>
        <w:right w:val="none" w:sz="0" w:space="0" w:color="auto"/>
      </w:divBdr>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8783">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2184">
      <w:bodyDiv w:val="1"/>
      <w:marLeft w:val="0"/>
      <w:marRight w:val="0"/>
      <w:marTop w:val="0"/>
      <w:marBottom w:val="0"/>
      <w:divBdr>
        <w:top w:val="none" w:sz="0" w:space="0" w:color="auto"/>
        <w:left w:val="none" w:sz="0" w:space="0" w:color="auto"/>
        <w:bottom w:val="none" w:sz="0" w:space="0" w:color="auto"/>
        <w:right w:val="none" w:sz="0" w:space="0" w:color="auto"/>
      </w:divBdr>
    </w:div>
    <w:div w:id="1730836369">
      <w:bodyDiv w:val="1"/>
      <w:marLeft w:val="0"/>
      <w:marRight w:val="0"/>
      <w:marTop w:val="0"/>
      <w:marBottom w:val="0"/>
      <w:divBdr>
        <w:top w:val="none" w:sz="0" w:space="0" w:color="auto"/>
        <w:left w:val="none" w:sz="0" w:space="0" w:color="auto"/>
        <w:bottom w:val="none" w:sz="0" w:space="0" w:color="auto"/>
        <w:right w:val="none" w:sz="0" w:space="0" w:color="auto"/>
      </w:divBdr>
      <w:divsChild>
        <w:div w:id="1244685949">
          <w:marLeft w:val="0"/>
          <w:marRight w:val="0"/>
          <w:marTop w:val="0"/>
          <w:marBottom w:val="0"/>
          <w:divBdr>
            <w:top w:val="none" w:sz="0" w:space="0" w:color="auto"/>
            <w:left w:val="none" w:sz="0" w:space="0" w:color="auto"/>
            <w:bottom w:val="none" w:sz="0" w:space="0" w:color="auto"/>
            <w:right w:val="none" w:sz="0" w:space="0" w:color="auto"/>
          </w:divBdr>
        </w:div>
      </w:divsChild>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7195">
      <w:bodyDiv w:val="1"/>
      <w:marLeft w:val="0"/>
      <w:marRight w:val="0"/>
      <w:marTop w:val="0"/>
      <w:marBottom w:val="0"/>
      <w:divBdr>
        <w:top w:val="none" w:sz="0" w:space="0" w:color="auto"/>
        <w:left w:val="none" w:sz="0" w:space="0" w:color="auto"/>
        <w:bottom w:val="none" w:sz="0" w:space="0" w:color="auto"/>
        <w:right w:val="none" w:sz="0" w:space="0" w:color="auto"/>
      </w:divBdr>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86876998">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2A49-07C5-4705-88BA-7D4B4CB4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31</Pages>
  <Words>14121</Words>
  <Characters>80490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Christian</cp:lastModifiedBy>
  <cp:revision>20</cp:revision>
  <cp:lastPrinted>2016-12-13T17:38:00Z</cp:lastPrinted>
  <dcterms:created xsi:type="dcterms:W3CDTF">2016-11-22T16:44:00Z</dcterms:created>
  <dcterms:modified xsi:type="dcterms:W3CDTF">2016-12-13T22:08:00Z</dcterms:modified>
</cp:coreProperties>
</file>