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B56CF7" w:rsidRDefault="00C0075D" w:rsidP="00627C9F">
      <w:pPr>
        <w:jc w:val="both"/>
        <w:rPr>
          <w:rFonts w:asciiTheme="majorHAnsi" w:hAnsiTheme="majorHAnsi" w:cs="Univers"/>
          <w:b/>
          <w:bCs/>
          <w:sz w:val="20"/>
          <w:szCs w:val="20"/>
          <w:lang w:val="es-ES_tradnl"/>
        </w:rPr>
      </w:pPr>
      <w:r w:rsidRPr="00B56CF7">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0374F52" wp14:editId="34EAC552">
                <wp:simplePos x="0" y="0"/>
                <wp:positionH relativeFrom="column">
                  <wp:posOffset>1282065</wp:posOffset>
                </wp:positionH>
                <wp:positionV relativeFrom="paragraph">
                  <wp:posOffset>-373380</wp:posOffset>
                </wp:positionV>
                <wp:extent cx="5248275" cy="902335"/>
                <wp:effectExtent l="0" t="0" r="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6307" w:rsidRDefault="00A26307" w:rsidP="00AE5488">
                            <w:r>
                              <w:rPr>
                                <w:noProof/>
                              </w:rPr>
                              <w:drawing>
                                <wp:inline distT="0" distB="0" distL="0" distR="0" wp14:anchorId="544C72C7" wp14:editId="13DC164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29.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" filled="f" stroked="f" strokeweight=".5pt">
                <v:path arrowok="t"/>
                <v:textbox>
                  <w:txbxContent>
                    <w:p w:rsidR="00A26307" w:rsidRDefault="00A26307" w:rsidP="00AE5488">
                      <w:r>
                        <w:rPr>
                          <w:noProof/>
                        </w:rPr>
                        <w:drawing>
                          <wp:inline distT="0" distB="0" distL="0" distR="0" wp14:anchorId="544C72C7" wp14:editId="13DC164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043F74">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DA0AE09" wp14:editId="0841618B">
                <wp:simplePos x="0" y="0"/>
                <wp:positionH relativeFrom="column">
                  <wp:posOffset>-415925</wp:posOffset>
                </wp:positionH>
                <wp:positionV relativeFrom="paragraph">
                  <wp:posOffset>-439420</wp:posOffset>
                </wp:positionV>
                <wp:extent cx="1543050" cy="9096375"/>
                <wp:effectExtent l="0" t="0" r="635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At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BC9sAtogIAAJ8FAAAOAAAAAAAAAAAAAAAA&#10;AC4CAABkcnMvZTJvRG9jLnhtbFBLAQItABQABgAIAAAAIQDzmg9R4gAAAAwBAAAPAAAAAAAAAAAA&#10;AAAAAPwEAABkcnMvZG93bnJldi54bWxQSwUGAAAAAAQABADzAAAACwYAAAAA&#10;" fillcolor="#4a7194" stroked="f" strokeweight="2pt">
                <v:path arrowok="t"/>
              </v:rect>
            </w:pict>
          </mc:Fallback>
        </mc:AlternateContent>
      </w:r>
    </w:p>
    <w:p w:rsidR="00040C3A" w:rsidRPr="00B56CF7" w:rsidRDefault="00040C3A" w:rsidP="00040C3A">
      <w:pPr>
        <w:tabs>
          <w:tab w:val="center" w:pos="5400"/>
        </w:tabs>
        <w:suppressAutoHyphens/>
        <w:jc w:val="both"/>
        <w:rPr>
          <w:rFonts w:asciiTheme="majorHAnsi" w:hAnsiTheme="majorHAnsi"/>
          <w:sz w:val="20"/>
          <w:szCs w:val="20"/>
          <w:lang w:val="es-ES_tradnl"/>
        </w:rPr>
      </w:pPr>
    </w:p>
    <w:p w:rsidR="00040C3A" w:rsidRPr="00B56CF7" w:rsidRDefault="00040C3A" w:rsidP="00040C3A">
      <w:pPr>
        <w:tabs>
          <w:tab w:val="center" w:pos="5400"/>
        </w:tabs>
        <w:suppressAutoHyphens/>
        <w:jc w:val="both"/>
        <w:rPr>
          <w:rFonts w:asciiTheme="majorHAnsi" w:hAnsiTheme="majorHAnsi"/>
          <w:sz w:val="20"/>
          <w:szCs w:val="20"/>
          <w:lang w:val="es-ES_tradnl"/>
        </w:rPr>
      </w:pPr>
    </w:p>
    <w:p w:rsidR="005128E4" w:rsidRPr="00B56CF7" w:rsidRDefault="005128E4" w:rsidP="00040C3A">
      <w:pPr>
        <w:tabs>
          <w:tab w:val="center" w:pos="5400"/>
        </w:tabs>
        <w:suppressAutoHyphens/>
        <w:rPr>
          <w:rFonts w:asciiTheme="majorHAnsi" w:hAnsiTheme="majorHAnsi"/>
          <w:sz w:val="20"/>
          <w:szCs w:val="20"/>
          <w:lang w:val="es-ES_tradnl"/>
        </w:rPr>
      </w:pPr>
    </w:p>
    <w:p w:rsidR="005128E4" w:rsidRPr="00B56CF7" w:rsidRDefault="005128E4" w:rsidP="00040C3A">
      <w:pPr>
        <w:tabs>
          <w:tab w:val="center" w:pos="5400"/>
        </w:tabs>
        <w:suppressAutoHyphens/>
        <w:rPr>
          <w:rFonts w:asciiTheme="majorHAnsi" w:hAnsiTheme="majorHAnsi"/>
          <w:sz w:val="20"/>
          <w:szCs w:val="20"/>
          <w:lang w:val="es-ES_tradnl"/>
        </w:rPr>
      </w:pPr>
    </w:p>
    <w:p w:rsidR="005128E4" w:rsidRPr="00B56CF7" w:rsidRDefault="005128E4" w:rsidP="00040C3A">
      <w:pPr>
        <w:tabs>
          <w:tab w:val="center" w:pos="5400"/>
        </w:tabs>
        <w:suppressAutoHyphens/>
        <w:rPr>
          <w:rFonts w:asciiTheme="majorHAnsi" w:hAnsiTheme="majorHAnsi"/>
          <w:sz w:val="20"/>
          <w:szCs w:val="20"/>
          <w:lang w:val="es-ES_tradnl"/>
        </w:rPr>
      </w:pPr>
    </w:p>
    <w:p w:rsidR="00040C3A" w:rsidRPr="00B56CF7" w:rsidRDefault="00040C3A" w:rsidP="005128E4">
      <w:pPr>
        <w:tabs>
          <w:tab w:val="center" w:pos="5400"/>
        </w:tabs>
        <w:suppressAutoHyphens/>
        <w:jc w:val="center"/>
        <w:rPr>
          <w:rFonts w:asciiTheme="majorHAnsi" w:hAnsiTheme="majorHAnsi"/>
          <w:sz w:val="20"/>
          <w:szCs w:val="20"/>
          <w:lang w:val="es-ES_tradnl"/>
        </w:rPr>
      </w:pPr>
    </w:p>
    <w:p w:rsidR="005B52B0" w:rsidRPr="00B56CF7" w:rsidRDefault="005B52B0" w:rsidP="005128E4">
      <w:pPr>
        <w:tabs>
          <w:tab w:val="center" w:pos="5400"/>
        </w:tabs>
        <w:suppressAutoHyphens/>
        <w:jc w:val="center"/>
        <w:rPr>
          <w:rFonts w:asciiTheme="majorHAnsi" w:hAnsiTheme="majorHAnsi"/>
          <w:sz w:val="20"/>
          <w:szCs w:val="20"/>
          <w:lang w:val="es-ES_tradnl"/>
        </w:rPr>
      </w:pPr>
    </w:p>
    <w:p w:rsidR="005B52B0" w:rsidRPr="00B56CF7" w:rsidRDefault="005B52B0" w:rsidP="005128E4">
      <w:pPr>
        <w:tabs>
          <w:tab w:val="center" w:pos="5400"/>
        </w:tabs>
        <w:suppressAutoHyphens/>
        <w:jc w:val="center"/>
        <w:rPr>
          <w:rFonts w:asciiTheme="majorHAnsi" w:hAnsiTheme="majorHAnsi"/>
          <w:sz w:val="20"/>
          <w:szCs w:val="20"/>
          <w:lang w:val="es-ES_tradnl"/>
        </w:rPr>
      </w:pPr>
    </w:p>
    <w:p w:rsidR="005B52B0" w:rsidRPr="00B56CF7" w:rsidRDefault="005B52B0" w:rsidP="005128E4">
      <w:pPr>
        <w:tabs>
          <w:tab w:val="center" w:pos="5400"/>
        </w:tabs>
        <w:suppressAutoHyphens/>
        <w:jc w:val="center"/>
        <w:rPr>
          <w:rFonts w:asciiTheme="majorHAnsi" w:hAnsiTheme="majorHAnsi"/>
          <w:sz w:val="20"/>
          <w:szCs w:val="20"/>
          <w:lang w:val="es-ES_tradnl"/>
        </w:rPr>
      </w:pPr>
    </w:p>
    <w:p w:rsidR="00040C3A" w:rsidRPr="00B56CF7" w:rsidRDefault="00040C3A" w:rsidP="00040C3A">
      <w:pPr>
        <w:tabs>
          <w:tab w:val="center" w:pos="5400"/>
        </w:tabs>
        <w:suppressAutoHyphens/>
        <w:jc w:val="center"/>
        <w:rPr>
          <w:rFonts w:asciiTheme="majorHAnsi" w:hAnsiTheme="majorHAnsi"/>
          <w:sz w:val="20"/>
          <w:szCs w:val="20"/>
          <w:lang w:val="es-ES_tradnl"/>
        </w:rPr>
      </w:pPr>
    </w:p>
    <w:p w:rsidR="00040C3A" w:rsidRPr="00B56CF7" w:rsidRDefault="00040C3A" w:rsidP="00040C3A">
      <w:pPr>
        <w:tabs>
          <w:tab w:val="center" w:pos="5400"/>
        </w:tabs>
        <w:suppressAutoHyphens/>
        <w:jc w:val="center"/>
        <w:rPr>
          <w:rFonts w:asciiTheme="majorHAnsi" w:hAnsiTheme="majorHAnsi"/>
          <w:sz w:val="20"/>
          <w:szCs w:val="20"/>
          <w:lang w:val="es-ES_tradnl"/>
        </w:rPr>
      </w:pPr>
    </w:p>
    <w:p w:rsidR="00040C3A" w:rsidRPr="00B56CF7" w:rsidRDefault="00C0075D" w:rsidP="00040C3A">
      <w:pPr>
        <w:tabs>
          <w:tab w:val="center" w:pos="5400"/>
        </w:tabs>
        <w:suppressAutoHyphens/>
        <w:jc w:val="center"/>
        <w:rPr>
          <w:rFonts w:asciiTheme="majorHAnsi" w:hAnsiTheme="majorHAnsi"/>
          <w:sz w:val="20"/>
          <w:szCs w:val="20"/>
          <w:lang w:val="es-ES_tradnl"/>
        </w:rPr>
      </w:pPr>
      <w:r w:rsidRPr="00B56CF7">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4F47D5E8" wp14:editId="11E5F8E8">
                <wp:simplePos x="0" y="0"/>
                <wp:positionH relativeFrom="column">
                  <wp:posOffset>1352550</wp:posOffset>
                </wp:positionH>
                <wp:positionV relativeFrom="paragraph">
                  <wp:posOffset>107315</wp:posOffset>
                </wp:positionV>
                <wp:extent cx="4441190" cy="218122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6307" w:rsidRPr="00B06C1C" w:rsidRDefault="00A26307"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53/16</w:t>
                            </w:r>
                          </w:p>
                          <w:p w:rsidR="00A26307" w:rsidRPr="00093196" w:rsidRDefault="00A26307" w:rsidP="00997BC5">
                            <w:pPr>
                              <w:spacing w:line="276" w:lineRule="auto"/>
                              <w:rPr>
                                <w:rFonts w:asciiTheme="majorHAnsi" w:hAnsiTheme="majorHAnsi" w:cs="Arial"/>
                                <w:b/>
                                <w:color w:val="0D0D0D" w:themeColor="text1" w:themeTint="F2"/>
                                <w:sz w:val="36"/>
                                <w:szCs w:val="22"/>
                                <w:lang w:val="es-ES"/>
                              </w:rPr>
                            </w:pPr>
                            <w:r>
                              <w:rPr>
                                <w:rFonts w:asciiTheme="majorHAnsi" w:hAnsiTheme="majorHAnsi" w:cs="Arial"/>
                                <w:b/>
                                <w:color w:val="0D0D0D" w:themeColor="text1" w:themeTint="F2"/>
                                <w:sz w:val="36"/>
                                <w:szCs w:val="22"/>
                                <w:lang w:val="es-ES"/>
                              </w:rPr>
                              <w:t>CASO 12.056</w:t>
                            </w:r>
                          </w:p>
                          <w:p w:rsidR="00A26307" w:rsidRPr="0010736F" w:rsidRDefault="00A2630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 xml:space="preserve">FONDO </w:t>
                            </w:r>
                          </w:p>
                          <w:p w:rsidR="00A26307" w:rsidRPr="0010736F" w:rsidRDefault="00A26307" w:rsidP="00997BC5">
                            <w:pPr>
                              <w:spacing w:line="276" w:lineRule="auto"/>
                              <w:rPr>
                                <w:rFonts w:asciiTheme="majorHAnsi" w:hAnsiTheme="majorHAnsi" w:cs="Arial"/>
                                <w:color w:val="0D0D0D" w:themeColor="text1" w:themeTint="F2"/>
                                <w:szCs w:val="22"/>
                                <w:lang w:val="es-ES_tradnl"/>
                              </w:rPr>
                            </w:pPr>
                            <w:bookmarkStart w:id="0" w:name="_ftnref1"/>
                          </w:p>
                          <w:bookmarkEnd w:id="0"/>
                          <w:p w:rsidR="00A26307" w:rsidRPr="005E21D4" w:rsidRDefault="00A26307" w:rsidP="00997BC5">
                            <w:pPr>
                              <w:spacing w:line="276" w:lineRule="auto"/>
                              <w:rPr>
                                <w:rFonts w:asciiTheme="majorHAnsi" w:hAnsiTheme="majorHAnsi" w:cs="Arial"/>
                                <w:color w:val="0D0D0D" w:themeColor="text1" w:themeTint="F2"/>
                                <w:szCs w:val="22"/>
                                <w:lang w:val="es-VE"/>
                              </w:rPr>
                            </w:pPr>
                            <w:r>
                              <w:rPr>
                                <w:rFonts w:ascii="Cambria" w:hAnsi="Cambria"/>
                                <w:lang w:val="es-ES"/>
                              </w:rPr>
                              <w:t>GABRIEL OSCAR JENKINS</w:t>
                            </w:r>
                          </w:p>
                          <w:p w:rsidR="00A26307" w:rsidRPr="0010736F" w:rsidRDefault="00A2630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ARGENTINA</w:t>
                            </w:r>
                          </w:p>
                          <w:p w:rsidR="00A26307" w:rsidRPr="00AE5488" w:rsidRDefault="00A2630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wbqEeo0CAACDBQAADgAAAAAAAAAAAAAAAAAuAgAAZHJzL2Uyb0RvYy54bWxQSwEC&#10;LQAUAAYACAAAACEA9UR3F+AAAAAKAQAADwAAAAAAAAAAAAAAAADnBAAAZHJzL2Rvd25yZXYueG1s&#10;UEsFBgAAAAAEAAQA8wAAAPQFAAAAAA==&#10;" filled="f" stroked="f" strokeweight=".5pt">
                <v:path arrowok="t"/>
                <v:textbox>
                  <w:txbxContent>
                    <w:p w:rsidR="00A26307" w:rsidRPr="00B06C1C" w:rsidRDefault="00A26307" w:rsidP="00997BC5">
                      <w:pPr>
                        <w:spacing w:line="276" w:lineRule="auto"/>
                        <w:rPr>
                          <w:rFonts w:asciiTheme="majorHAnsi" w:hAnsiTheme="majorHAnsi" w:cs="Arial"/>
                          <w:b/>
                          <w:bCs/>
                          <w:color w:val="0D0D0D" w:themeColor="text1" w:themeTint="F2"/>
                          <w:sz w:val="36"/>
                          <w:szCs w:val="22"/>
                          <w:lang w:val="es-ES"/>
                        </w:rPr>
                      </w:pPr>
                      <w:r w:rsidRPr="00B06C1C">
                        <w:rPr>
                          <w:rFonts w:asciiTheme="majorHAnsi" w:hAnsiTheme="majorHAnsi" w:cs="Arial"/>
                          <w:b/>
                          <w:bCs/>
                          <w:color w:val="0D0D0D" w:themeColor="text1" w:themeTint="F2"/>
                          <w:sz w:val="36"/>
                          <w:szCs w:val="22"/>
                          <w:lang w:val="es-ES"/>
                        </w:rPr>
                        <w:t xml:space="preserve">INFORME </w:t>
                      </w:r>
                      <w:r w:rsidRPr="00B06C1C">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53/16</w:t>
                      </w:r>
                    </w:p>
                    <w:p w:rsidR="00A26307" w:rsidRPr="00093196" w:rsidRDefault="00A26307" w:rsidP="00997BC5">
                      <w:pPr>
                        <w:spacing w:line="276" w:lineRule="auto"/>
                        <w:rPr>
                          <w:rFonts w:asciiTheme="majorHAnsi" w:hAnsiTheme="majorHAnsi" w:cs="Arial"/>
                          <w:b/>
                          <w:color w:val="0D0D0D" w:themeColor="text1" w:themeTint="F2"/>
                          <w:sz w:val="36"/>
                          <w:szCs w:val="22"/>
                          <w:lang w:val="es-ES"/>
                        </w:rPr>
                      </w:pPr>
                      <w:r>
                        <w:rPr>
                          <w:rFonts w:asciiTheme="majorHAnsi" w:hAnsiTheme="majorHAnsi" w:cs="Arial"/>
                          <w:b/>
                          <w:color w:val="0D0D0D" w:themeColor="text1" w:themeTint="F2"/>
                          <w:sz w:val="36"/>
                          <w:szCs w:val="22"/>
                          <w:lang w:val="es-ES"/>
                        </w:rPr>
                        <w:t>CASO 12.056</w:t>
                      </w:r>
                    </w:p>
                    <w:p w:rsidR="00A26307" w:rsidRPr="0010736F" w:rsidRDefault="00A2630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 xml:space="preserve">FONDO </w:t>
                      </w:r>
                    </w:p>
                    <w:p w:rsidR="00A26307" w:rsidRPr="0010736F" w:rsidRDefault="00A26307" w:rsidP="00997BC5">
                      <w:pPr>
                        <w:spacing w:line="276" w:lineRule="auto"/>
                        <w:rPr>
                          <w:rFonts w:asciiTheme="majorHAnsi" w:hAnsiTheme="majorHAnsi" w:cs="Arial"/>
                          <w:color w:val="0D0D0D" w:themeColor="text1" w:themeTint="F2"/>
                          <w:szCs w:val="22"/>
                          <w:lang w:val="es-ES_tradnl"/>
                        </w:rPr>
                      </w:pPr>
                      <w:bookmarkStart w:id="1" w:name="_ftnref1"/>
                    </w:p>
                    <w:bookmarkEnd w:id="1"/>
                    <w:p w:rsidR="00A26307" w:rsidRPr="005E21D4" w:rsidRDefault="00A26307" w:rsidP="00997BC5">
                      <w:pPr>
                        <w:spacing w:line="276" w:lineRule="auto"/>
                        <w:rPr>
                          <w:rFonts w:asciiTheme="majorHAnsi" w:hAnsiTheme="majorHAnsi" w:cs="Arial"/>
                          <w:color w:val="0D0D0D" w:themeColor="text1" w:themeTint="F2"/>
                          <w:szCs w:val="22"/>
                          <w:lang w:val="es-VE"/>
                        </w:rPr>
                      </w:pPr>
                      <w:r>
                        <w:rPr>
                          <w:rFonts w:ascii="Cambria" w:hAnsi="Cambria"/>
                          <w:lang w:val="es-ES"/>
                        </w:rPr>
                        <w:t>GABRIEL OSCAR JENKINS</w:t>
                      </w:r>
                    </w:p>
                    <w:p w:rsidR="00A26307" w:rsidRPr="0010736F" w:rsidRDefault="00A2630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ARGENTINA</w:t>
                      </w:r>
                    </w:p>
                    <w:p w:rsidR="00A26307" w:rsidRPr="00AE5488" w:rsidRDefault="00A26307" w:rsidP="007A5817">
                      <w:pPr>
                        <w:rPr>
                          <w:color w:val="0D0D0D" w:themeColor="text1" w:themeTint="F2"/>
                          <w:lang w:val="es-ES_tradnl"/>
                        </w:rPr>
                      </w:pPr>
                    </w:p>
                  </w:txbxContent>
                </v:textbox>
              </v:shape>
            </w:pict>
          </mc:Fallback>
        </mc:AlternateContent>
      </w:r>
      <w:r w:rsidRPr="00043F74">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3E8A84AB" wp14:editId="63106A4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6307" w:rsidRPr="0094120E" w:rsidRDefault="00A2630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OEA/Ser.L/V/II.159</w:t>
                            </w:r>
                          </w:p>
                          <w:p w:rsidR="00A26307" w:rsidRPr="0094120E" w:rsidRDefault="00A2630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62</w:t>
                            </w:r>
                          </w:p>
                          <w:p w:rsidR="00A26307" w:rsidRPr="00B06C1C" w:rsidRDefault="00A2630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6 de diciembre de</w:t>
                            </w:r>
                            <w:r w:rsidRPr="00B06C1C">
                              <w:rPr>
                                <w:rFonts w:asciiTheme="minorHAnsi" w:hAnsiTheme="minorHAnsi"/>
                                <w:color w:val="FFFFFF" w:themeColor="background1"/>
                                <w:sz w:val="22"/>
                                <w:lang w:val="pt-BR"/>
                              </w:rPr>
                              <w:t xml:space="preserve"> 201</w:t>
                            </w:r>
                            <w:r>
                              <w:rPr>
                                <w:rFonts w:asciiTheme="minorHAnsi" w:hAnsiTheme="minorHAnsi"/>
                                <w:color w:val="FFFFFF" w:themeColor="background1"/>
                                <w:sz w:val="22"/>
                                <w:lang w:val="pt-BR"/>
                              </w:rPr>
                              <w:t>6</w:t>
                            </w:r>
                          </w:p>
                          <w:p w:rsidR="00A26307" w:rsidRPr="000C5BC3" w:rsidRDefault="00A26307" w:rsidP="007A5817">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A26307" w:rsidRPr="0094120E" w:rsidRDefault="00A2630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OEA/Ser.L/V/II.159</w:t>
                      </w:r>
                    </w:p>
                    <w:p w:rsidR="00A26307" w:rsidRPr="0094120E" w:rsidRDefault="00A2630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62</w:t>
                      </w:r>
                    </w:p>
                    <w:p w:rsidR="00A26307" w:rsidRPr="00B06C1C" w:rsidRDefault="00A2630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6 de diciembre de</w:t>
                      </w:r>
                      <w:r w:rsidRPr="00B06C1C">
                        <w:rPr>
                          <w:rFonts w:asciiTheme="minorHAnsi" w:hAnsiTheme="minorHAnsi"/>
                          <w:color w:val="FFFFFF" w:themeColor="background1"/>
                          <w:sz w:val="22"/>
                          <w:lang w:val="pt-BR"/>
                        </w:rPr>
                        <w:t xml:space="preserve"> 201</w:t>
                      </w:r>
                      <w:r>
                        <w:rPr>
                          <w:rFonts w:asciiTheme="minorHAnsi" w:hAnsiTheme="minorHAnsi"/>
                          <w:color w:val="FFFFFF" w:themeColor="background1"/>
                          <w:sz w:val="22"/>
                          <w:lang w:val="pt-BR"/>
                        </w:rPr>
                        <w:t>6</w:t>
                      </w:r>
                    </w:p>
                    <w:p w:rsidR="00A26307" w:rsidRPr="000C5BC3" w:rsidRDefault="00A26307" w:rsidP="007A5817">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v:textbox>
              </v:shape>
            </w:pict>
          </mc:Fallback>
        </mc:AlternateContent>
      </w:r>
    </w:p>
    <w:p w:rsidR="00040C3A" w:rsidRPr="00B56CF7" w:rsidRDefault="00040C3A" w:rsidP="00040C3A">
      <w:pPr>
        <w:tabs>
          <w:tab w:val="center" w:pos="5400"/>
        </w:tabs>
        <w:suppressAutoHyphens/>
        <w:jc w:val="center"/>
        <w:rPr>
          <w:rFonts w:asciiTheme="majorHAnsi" w:hAnsiTheme="majorHAnsi"/>
          <w:sz w:val="20"/>
          <w:szCs w:val="20"/>
          <w:lang w:val="es-ES_tradnl"/>
        </w:rPr>
      </w:pPr>
    </w:p>
    <w:p w:rsidR="00040C3A" w:rsidRPr="00B56CF7" w:rsidRDefault="00040C3A" w:rsidP="00040C3A">
      <w:pPr>
        <w:tabs>
          <w:tab w:val="center" w:pos="5400"/>
        </w:tabs>
        <w:suppressAutoHyphens/>
        <w:jc w:val="center"/>
        <w:rPr>
          <w:rFonts w:asciiTheme="majorHAnsi" w:hAnsiTheme="majorHAnsi"/>
          <w:sz w:val="20"/>
          <w:szCs w:val="20"/>
          <w:lang w:val="es-ES_tradnl"/>
        </w:rPr>
      </w:pPr>
    </w:p>
    <w:p w:rsidR="00040C3A" w:rsidRPr="00B56CF7" w:rsidRDefault="00040C3A" w:rsidP="00040C3A">
      <w:pPr>
        <w:tabs>
          <w:tab w:val="center" w:pos="5400"/>
        </w:tabs>
        <w:suppressAutoHyphens/>
        <w:jc w:val="center"/>
        <w:rPr>
          <w:rFonts w:asciiTheme="majorHAnsi" w:hAnsiTheme="majorHAnsi" w:cs="Arial"/>
          <w:sz w:val="20"/>
          <w:szCs w:val="20"/>
          <w:lang w:val="es-ES_tradnl"/>
        </w:rPr>
      </w:pPr>
    </w:p>
    <w:p w:rsidR="00040C3A" w:rsidRPr="00B56CF7" w:rsidRDefault="00040C3A" w:rsidP="00040C3A">
      <w:pPr>
        <w:tabs>
          <w:tab w:val="center" w:pos="5400"/>
        </w:tabs>
        <w:suppressAutoHyphens/>
        <w:jc w:val="center"/>
        <w:rPr>
          <w:rFonts w:asciiTheme="majorHAnsi" w:hAnsiTheme="majorHAnsi"/>
          <w:sz w:val="20"/>
          <w:szCs w:val="20"/>
          <w:lang w:val="es-ES_tradnl"/>
        </w:rPr>
      </w:pPr>
    </w:p>
    <w:p w:rsidR="00040C3A" w:rsidRPr="00B56CF7" w:rsidRDefault="00040C3A" w:rsidP="00040C3A">
      <w:pPr>
        <w:tabs>
          <w:tab w:val="center" w:pos="5400"/>
        </w:tabs>
        <w:suppressAutoHyphens/>
        <w:jc w:val="center"/>
        <w:rPr>
          <w:rFonts w:asciiTheme="majorHAnsi" w:hAnsiTheme="majorHAnsi"/>
          <w:sz w:val="20"/>
          <w:szCs w:val="20"/>
          <w:lang w:val="es-ES_tradnl"/>
        </w:rPr>
      </w:pPr>
    </w:p>
    <w:p w:rsidR="00040C3A" w:rsidRPr="00B56CF7" w:rsidRDefault="00040C3A" w:rsidP="00040C3A">
      <w:pPr>
        <w:tabs>
          <w:tab w:val="center" w:pos="5400"/>
        </w:tabs>
        <w:suppressAutoHyphens/>
        <w:jc w:val="center"/>
        <w:rPr>
          <w:rFonts w:asciiTheme="majorHAnsi" w:hAnsiTheme="majorHAnsi"/>
          <w:sz w:val="20"/>
          <w:szCs w:val="20"/>
          <w:lang w:val="es-ES_tradnl"/>
        </w:rPr>
      </w:pPr>
    </w:p>
    <w:p w:rsidR="00040C3A" w:rsidRPr="00B56CF7" w:rsidRDefault="00040C3A" w:rsidP="00040C3A">
      <w:pPr>
        <w:tabs>
          <w:tab w:val="center" w:pos="5400"/>
        </w:tabs>
        <w:suppressAutoHyphens/>
        <w:jc w:val="center"/>
        <w:rPr>
          <w:rFonts w:asciiTheme="majorHAnsi" w:hAnsiTheme="majorHAnsi"/>
          <w:sz w:val="20"/>
          <w:szCs w:val="20"/>
          <w:lang w:val="es-ES_tradnl"/>
        </w:rPr>
      </w:pPr>
    </w:p>
    <w:p w:rsidR="005128E4" w:rsidRPr="00B56CF7" w:rsidRDefault="005128E4" w:rsidP="00040C3A">
      <w:pPr>
        <w:tabs>
          <w:tab w:val="center" w:pos="5400"/>
        </w:tabs>
        <w:suppressAutoHyphens/>
        <w:jc w:val="center"/>
        <w:rPr>
          <w:rFonts w:asciiTheme="majorHAnsi" w:hAnsiTheme="majorHAnsi"/>
          <w:sz w:val="20"/>
          <w:szCs w:val="20"/>
          <w:lang w:val="es-ES_tradnl"/>
        </w:rPr>
      </w:pPr>
    </w:p>
    <w:p w:rsidR="00040C3A" w:rsidRPr="00B56CF7" w:rsidRDefault="00040C3A" w:rsidP="00040C3A">
      <w:pPr>
        <w:tabs>
          <w:tab w:val="center" w:pos="5400"/>
        </w:tabs>
        <w:suppressAutoHyphens/>
        <w:jc w:val="center"/>
        <w:rPr>
          <w:rFonts w:asciiTheme="majorHAnsi" w:hAnsiTheme="majorHAnsi"/>
          <w:sz w:val="20"/>
          <w:szCs w:val="20"/>
          <w:lang w:val="es-ES_tradnl"/>
        </w:rPr>
      </w:pPr>
    </w:p>
    <w:p w:rsidR="005128E4" w:rsidRPr="00B56CF7" w:rsidRDefault="005128E4" w:rsidP="00040C3A">
      <w:pPr>
        <w:tabs>
          <w:tab w:val="center" w:pos="5400"/>
        </w:tabs>
        <w:suppressAutoHyphens/>
        <w:jc w:val="center"/>
        <w:rPr>
          <w:rFonts w:asciiTheme="majorHAnsi" w:hAnsiTheme="majorHAnsi"/>
          <w:sz w:val="20"/>
          <w:szCs w:val="20"/>
          <w:lang w:val="es-ES_tradnl"/>
        </w:rPr>
      </w:pPr>
    </w:p>
    <w:p w:rsidR="005128E4" w:rsidRPr="00B56CF7" w:rsidRDefault="005128E4" w:rsidP="00040C3A">
      <w:pPr>
        <w:tabs>
          <w:tab w:val="center" w:pos="5400"/>
        </w:tabs>
        <w:suppressAutoHyphens/>
        <w:jc w:val="center"/>
        <w:rPr>
          <w:rFonts w:asciiTheme="majorHAnsi" w:hAnsiTheme="majorHAnsi"/>
          <w:sz w:val="20"/>
          <w:szCs w:val="20"/>
          <w:lang w:val="es-ES_tradnl"/>
        </w:rPr>
      </w:pPr>
    </w:p>
    <w:p w:rsidR="005128E4" w:rsidRPr="00B56CF7" w:rsidRDefault="005128E4" w:rsidP="00040C3A">
      <w:pPr>
        <w:tabs>
          <w:tab w:val="center" w:pos="5400"/>
        </w:tabs>
        <w:suppressAutoHyphens/>
        <w:jc w:val="center"/>
        <w:rPr>
          <w:rFonts w:asciiTheme="majorHAnsi" w:hAnsiTheme="majorHAnsi"/>
          <w:sz w:val="20"/>
          <w:szCs w:val="20"/>
          <w:lang w:val="es-ES_tradnl"/>
        </w:rPr>
      </w:pPr>
    </w:p>
    <w:p w:rsidR="00040C3A" w:rsidRPr="00B56CF7" w:rsidRDefault="00040C3A" w:rsidP="00040C3A">
      <w:pPr>
        <w:tabs>
          <w:tab w:val="center" w:pos="5400"/>
        </w:tabs>
        <w:suppressAutoHyphens/>
        <w:jc w:val="center"/>
        <w:rPr>
          <w:rFonts w:asciiTheme="majorHAnsi" w:hAnsiTheme="majorHAnsi"/>
          <w:sz w:val="20"/>
          <w:szCs w:val="20"/>
          <w:lang w:val="es-ES_tradnl"/>
        </w:rPr>
      </w:pPr>
    </w:p>
    <w:p w:rsidR="00040C3A" w:rsidRPr="00B56CF7" w:rsidRDefault="00040C3A" w:rsidP="00040C3A">
      <w:pPr>
        <w:tabs>
          <w:tab w:val="center" w:pos="5400"/>
        </w:tabs>
        <w:suppressAutoHyphens/>
        <w:jc w:val="center"/>
        <w:rPr>
          <w:rFonts w:asciiTheme="majorHAnsi" w:hAnsiTheme="majorHAnsi"/>
          <w:sz w:val="20"/>
          <w:szCs w:val="20"/>
          <w:lang w:val="es-ES_tradnl"/>
        </w:rPr>
      </w:pPr>
    </w:p>
    <w:p w:rsidR="00A50FCF" w:rsidRPr="00B56CF7" w:rsidRDefault="00A50FCF" w:rsidP="00040C3A">
      <w:pPr>
        <w:tabs>
          <w:tab w:val="center" w:pos="5400"/>
        </w:tabs>
        <w:suppressAutoHyphens/>
        <w:jc w:val="center"/>
        <w:rPr>
          <w:rFonts w:asciiTheme="majorHAnsi" w:hAnsiTheme="majorHAnsi"/>
          <w:sz w:val="20"/>
          <w:szCs w:val="20"/>
          <w:lang w:val="es-ES_tradnl"/>
        </w:rPr>
      </w:pPr>
    </w:p>
    <w:p w:rsidR="00A50FCF" w:rsidRPr="00B56CF7" w:rsidRDefault="00A50FCF" w:rsidP="00040C3A">
      <w:pPr>
        <w:tabs>
          <w:tab w:val="center" w:pos="5400"/>
        </w:tabs>
        <w:suppressAutoHyphens/>
        <w:jc w:val="center"/>
        <w:rPr>
          <w:rFonts w:asciiTheme="majorHAnsi" w:hAnsiTheme="majorHAnsi"/>
          <w:sz w:val="20"/>
          <w:szCs w:val="20"/>
          <w:lang w:val="es-ES_tradnl"/>
        </w:rPr>
      </w:pPr>
    </w:p>
    <w:p w:rsidR="00A50FCF" w:rsidRPr="00B56CF7" w:rsidRDefault="00A50FCF" w:rsidP="00040C3A">
      <w:pPr>
        <w:tabs>
          <w:tab w:val="center" w:pos="5400"/>
        </w:tabs>
        <w:suppressAutoHyphens/>
        <w:jc w:val="center"/>
        <w:rPr>
          <w:rFonts w:asciiTheme="majorHAnsi" w:hAnsiTheme="majorHAnsi"/>
          <w:sz w:val="20"/>
          <w:szCs w:val="20"/>
          <w:lang w:val="es-ES_tradnl"/>
        </w:rPr>
      </w:pPr>
    </w:p>
    <w:p w:rsidR="00A50FCF" w:rsidRPr="00B56CF7" w:rsidRDefault="00A50FCF" w:rsidP="00040C3A">
      <w:pPr>
        <w:tabs>
          <w:tab w:val="center" w:pos="5400"/>
        </w:tabs>
        <w:suppressAutoHyphens/>
        <w:jc w:val="center"/>
        <w:rPr>
          <w:rFonts w:asciiTheme="majorHAnsi" w:hAnsiTheme="majorHAnsi"/>
          <w:sz w:val="20"/>
          <w:szCs w:val="20"/>
          <w:lang w:val="es-ES_tradnl"/>
        </w:rPr>
      </w:pPr>
    </w:p>
    <w:p w:rsidR="00A50FCF" w:rsidRPr="00B56CF7" w:rsidRDefault="00A50FCF" w:rsidP="00040C3A">
      <w:pPr>
        <w:tabs>
          <w:tab w:val="center" w:pos="5400"/>
        </w:tabs>
        <w:suppressAutoHyphens/>
        <w:jc w:val="center"/>
        <w:rPr>
          <w:rFonts w:asciiTheme="majorHAnsi" w:hAnsiTheme="majorHAnsi"/>
          <w:sz w:val="20"/>
          <w:szCs w:val="20"/>
          <w:lang w:val="es-ES_tradnl"/>
        </w:rPr>
      </w:pPr>
    </w:p>
    <w:p w:rsidR="00A50FCF" w:rsidRPr="00B56CF7" w:rsidRDefault="00A50FCF" w:rsidP="00040C3A">
      <w:pPr>
        <w:tabs>
          <w:tab w:val="center" w:pos="5400"/>
        </w:tabs>
        <w:suppressAutoHyphens/>
        <w:jc w:val="center"/>
        <w:rPr>
          <w:rFonts w:asciiTheme="majorHAnsi" w:hAnsiTheme="majorHAnsi"/>
          <w:sz w:val="20"/>
          <w:szCs w:val="20"/>
          <w:lang w:val="es-ES_tradnl"/>
        </w:rPr>
      </w:pPr>
    </w:p>
    <w:p w:rsidR="00A50FCF" w:rsidRPr="00B56CF7" w:rsidRDefault="00A50FCF" w:rsidP="00040C3A">
      <w:pPr>
        <w:tabs>
          <w:tab w:val="center" w:pos="5400"/>
        </w:tabs>
        <w:suppressAutoHyphens/>
        <w:jc w:val="center"/>
        <w:rPr>
          <w:rFonts w:asciiTheme="majorHAnsi" w:hAnsiTheme="majorHAnsi"/>
          <w:sz w:val="20"/>
          <w:szCs w:val="20"/>
          <w:lang w:val="es-ES_tradnl"/>
        </w:rPr>
      </w:pPr>
    </w:p>
    <w:p w:rsidR="00A50FCF" w:rsidRPr="00B56CF7" w:rsidRDefault="00A50FCF" w:rsidP="00040C3A">
      <w:pPr>
        <w:tabs>
          <w:tab w:val="center" w:pos="5400"/>
        </w:tabs>
        <w:suppressAutoHyphens/>
        <w:jc w:val="center"/>
        <w:rPr>
          <w:rFonts w:asciiTheme="majorHAnsi" w:hAnsiTheme="majorHAnsi"/>
          <w:sz w:val="20"/>
          <w:szCs w:val="20"/>
          <w:lang w:val="es-ES_tradnl"/>
        </w:rPr>
      </w:pPr>
    </w:p>
    <w:p w:rsidR="00A50FCF" w:rsidRPr="00B56CF7" w:rsidRDefault="00A50FCF" w:rsidP="00040C3A">
      <w:pPr>
        <w:tabs>
          <w:tab w:val="center" w:pos="5400"/>
        </w:tabs>
        <w:suppressAutoHyphens/>
        <w:jc w:val="center"/>
        <w:rPr>
          <w:rFonts w:asciiTheme="majorHAnsi" w:hAnsiTheme="majorHAnsi"/>
          <w:sz w:val="20"/>
          <w:szCs w:val="20"/>
          <w:lang w:val="es-ES_tradnl"/>
        </w:rPr>
      </w:pPr>
    </w:p>
    <w:p w:rsidR="00A50FCF" w:rsidRPr="00B56CF7" w:rsidRDefault="00A50FCF" w:rsidP="00040C3A">
      <w:pPr>
        <w:tabs>
          <w:tab w:val="center" w:pos="5400"/>
        </w:tabs>
        <w:suppressAutoHyphens/>
        <w:jc w:val="center"/>
        <w:rPr>
          <w:rFonts w:asciiTheme="majorHAnsi" w:hAnsiTheme="majorHAnsi"/>
          <w:sz w:val="20"/>
          <w:szCs w:val="20"/>
          <w:lang w:val="es-ES_tradnl"/>
        </w:rPr>
      </w:pPr>
    </w:p>
    <w:p w:rsidR="00A50FCF" w:rsidRPr="00B56CF7" w:rsidRDefault="00A50FCF" w:rsidP="00040C3A">
      <w:pPr>
        <w:tabs>
          <w:tab w:val="center" w:pos="5400"/>
        </w:tabs>
        <w:suppressAutoHyphens/>
        <w:jc w:val="center"/>
        <w:rPr>
          <w:rFonts w:asciiTheme="majorHAnsi" w:hAnsiTheme="majorHAnsi"/>
          <w:sz w:val="20"/>
          <w:szCs w:val="20"/>
          <w:lang w:val="es-ES_tradnl"/>
        </w:rPr>
      </w:pPr>
    </w:p>
    <w:p w:rsidR="00A50FCF" w:rsidRPr="00B56CF7" w:rsidRDefault="00A50FCF" w:rsidP="00040C3A">
      <w:pPr>
        <w:tabs>
          <w:tab w:val="center" w:pos="5400"/>
        </w:tabs>
        <w:suppressAutoHyphens/>
        <w:jc w:val="center"/>
        <w:rPr>
          <w:rFonts w:asciiTheme="majorHAnsi" w:hAnsiTheme="majorHAnsi"/>
          <w:sz w:val="20"/>
          <w:szCs w:val="20"/>
          <w:lang w:val="es-ES_tradnl"/>
        </w:rPr>
      </w:pPr>
    </w:p>
    <w:p w:rsidR="00A50FCF" w:rsidRPr="00B56CF7" w:rsidRDefault="00A50FCF" w:rsidP="00040C3A">
      <w:pPr>
        <w:tabs>
          <w:tab w:val="center" w:pos="5400"/>
        </w:tabs>
        <w:suppressAutoHyphens/>
        <w:jc w:val="center"/>
        <w:rPr>
          <w:rFonts w:asciiTheme="majorHAnsi" w:hAnsiTheme="majorHAnsi"/>
          <w:sz w:val="20"/>
          <w:szCs w:val="20"/>
          <w:lang w:val="es-ES_tradnl"/>
        </w:rPr>
      </w:pPr>
    </w:p>
    <w:p w:rsidR="00A50FCF" w:rsidRPr="00B56CF7" w:rsidRDefault="00A50FCF" w:rsidP="00040C3A">
      <w:pPr>
        <w:tabs>
          <w:tab w:val="center" w:pos="5400"/>
        </w:tabs>
        <w:suppressAutoHyphens/>
        <w:jc w:val="center"/>
        <w:rPr>
          <w:rFonts w:asciiTheme="majorHAnsi" w:hAnsiTheme="majorHAnsi"/>
          <w:sz w:val="20"/>
          <w:szCs w:val="20"/>
          <w:lang w:val="es-ES_tradnl"/>
        </w:rPr>
      </w:pPr>
    </w:p>
    <w:p w:rsidR="00A50FCF" w:rsidRPr="00B56CF7" w:rsidRDefault="00C0075D" w:rsidP="00040C3A">
      <w:pPr>
        <w:tabs>
          <w:tab w:val="center" w:pos="5400"/>
        </w:tabs>
        <w:suppressAutoHyphens/>
        <w:jc w:val="center"/>
        <w:rPr>
          <w:rFonts w:asciiTheme="majorHAnsi" w:hAnsiTheme="majorHAnsi"/>
          <w:sz w:val="20"/>
          <w:szCs w:val="20"/>
          <w:lang w:val="es-ES_tradnl"/>
        </w:rPr>
      </w:pPr>
      <w:r w:rsidRPr="00B56CF7">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07CA6E61" wp14:editId="7BF93C60">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6307" w:rsidRPr="00890650" w:rsidRDefault="00A26307"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 xml:space="preserve">o. 2070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6 de diciembre de 2016</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159</w:t>
                            </w:r>
                            <w:r w:rsidRPr="00890650">
                              <w:rPr>
                                <w:rFonts w:asciiTheme="majorHAnsi" w:hAnsiTheme="majorHAnsi" w:cs="Univers"/>
                                <w:color w:val="0D0D0D" w:themeColor="text1" w:themeTint="F2"/>
                                <w:sz w:val="18"/>
                                <w:szCs w:val="20"/>
                                <w:lang w:val="es-ES_tradnl"/>
                              </w:rPr>
                              <w:t xml:space="preserve"> período ordinario de sesiones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A26307" w:rsidRPr="00890650" w:rsidRDefault="00A26307"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 xml:space="preserve">o. 2070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6 de diciembre de 2016</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159</w:t>
                      </w:r>
                      <w:r w:rsidRPr="00890650">
                        <w:rPr>
                          <w:rFonts w:asciiTheme="majorHAnsi" w:hAnsiTheme="majorHAnsi" w:cs="Univers"/>
                          <w:color w:val="0D0D0D" w:themeColor="text1" w:themeTint="F2"/>
                          <w:sz w:val="18"/>
                          <w:szCs w:val="20"/>
                          <w:lang w:val="es-ES_tradnl"/>
                        </w:rPr>
                        <w:t xml:space="preserve"> período ordinario de sesiones</w:t>
                      </w:r>
                    </w:p>
                  </w:txbxContent>
                </v:textbox>
              </v:shape>
            </w:pict>
          </mc:Fallback>
        </mc:AlternateContent>
      </w:r>
    </w:p>
    <w:p w:rsidR="00A50FCF" w:rsidRPr="00B56CF7" w:rsidRDefault="00A50FCF" w:rsidP="00040C3A">
      <w:pPr>
        <w:tabs>
          <w:tab w:val="center" w:pos="5400"/>
        </w:tabs>
        <w:suppressAutoHyphens/>
        <w:jc w:val="center"/>
        <w:rPr>
          <w:rFonts w:asciiTheme="majorHAnsi" w:hAnsiTheme="majorHAnsi"/>
          <w:sz w:val="20"/>
          <w:szCs w:val="20"/>
          <w:lang w:val="es-ES_tradnl"/>
        </w:rPr>
      </w:pPr>
    </w:p>
    <w:p w:rsidR="00A50FCF" w:rsidRPr="00B56CF7" w:rsidRDefault="00A50FCF" w:rsidP="00040C3A">
      <w:pPr>
        <w:tabs>
          <w:tab w:val="center" w:pos="5400"/>
        </w:tabs>
        <w:suppressAutoHyphens/>
        <w:jc w:val="center"/>
        <w:rPr>
          <w:rFonts w:asciiTheme="majorHAnsi" w:hAnsiTheme="majorHAnsi"/>
          <w:sz w:val="20"/>
          <w:szCs w:val="20"/>
          <w:lang w:val="es-ES_tradnl"/>
        </w:rPr>
      </w:pPr>
    </w:p>
    <w:p w:rsidR="00A50FCF" w:rsidRPr="00B56CF7" w:rsidRDefault="00A50FCF" w:rsidP="00040C3A">
      <w:pPr>
        <w:tabs>
          <w:tab w:val="center" w:pos="5400"/>
        </w:tabs>
        <w:suppressAutoHyphens/>
        <w:jc w:val="center"/>
        <w:rPr>
          <w:rFonts w:asciiTheme="majorHAnsi" w:hAnsiTheme="majorHAnsi"/>
          <w:sz w:val="20"/>
          <w:szCs w:val="20"/>
          <w:lang w:val="es-ES_tradnl"/>
        </w:rPr>
      </w:pPr>
    </w:p>
    <w:p w:rsidR="00A50FCF" w:rsidRPr="00B56CF7" w:rsidRDefault="00A50FCF" w:rsidP="00040C3A">
      <w:pPr>
        <w:tabs>
          <w:tab w:val="center" w:pos="5400"/>
        </w:tabs>
        <w:suppressAutoHyphens/>
        <w:jc w:val="center"/>
        <w:rPr>
          <w:rFonts w:asciiTheme="majorHAnsi" w:hAnsiTheme="majorHAnsi"/>
          <w:sz w:val="20"/>
          <w:szCs w:val="20"/>
          <w:lang w:val="es-ES_tradnl"/>
        </w:rPr>
      </w:pPr>
    </w:p>
    <w:p w:rsidR="00A50FCF" w:rsidRPr="00B56CF7" w:rsidRDefault="00C0075D" w:rsidP="00040C3A">
      <w:pPr>
        <w:tabs>
          <w:tab w:val="center" w:pos="5400"/>
        </w:tabs>
        <w:suppressAutoHyphens/>
        <w:jc w:val="center"/>
        <w:rPr>
          <w:rFonts w:asciiTheme="majorHAnsi" w:hAnsiTheme="majorHAnsi"/>
          <w:sz w:val="20"/>
          <w:szCs w:val="20"/>
          <w:lang w:val="es-ES_tradnl"/>
        </w:rPr>
      </w:pPr>
      <w:r w:rsidRPr="00B56CF7">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38E3779" wp14:editId="21F2D588">
                <wp:simplePos x="0" y="0"/>
                <wp:positionH relativeFrom="column">
                  <wp:posOffset>1333500</wp:posOffset>
                </wp:positionH>
                <wp:positionV relativeFrom="paragraph">
                  <wp:posOffset>5715</wp:posOffset>
                </wp:positionV>
                <wp:extent cx="4943475" cy="65722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6307" w:rsidRDefault="00A26307"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093196">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
                              </w:rPr>
                              <w:t>53</w:t>
                            </w:r>
                            <w:r w:rsidRPr="000C5BC3">
                              <w:rPr>
                                <w:rFonts w:asciiTheme="majorHAnsi" w:hAnsiTheme="majorHAnsi"/>
                                <w:color w:val="595959" w:themeColor="text1" w:themeTint="A6"/>
                                <w:sz w:val="18"/>
                                <w:szCs w:val="18"/>
                                <w:lang w:val="es-ES"/>
                              </w:rPr>
                              <w:t>/16</w:t>
                            </w:r>
                            <w:r>
                              <w:rPr>
                                <w:rFonts w:asciiTheme="majorHAnsi" w:hAnsiTheme="majorHAnsi"/>
                                <w:color w:val="595959" w:themeColor="text1" w:themeTint="A6"/>
                                <w:sz w:val="18"/>
                                <w:szCs w:val="18"/>
                                <w:lang w:val="es-ES_tradnl"/>
                              </w:rPr>
                              <w:t>, Caso 12</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056</w:t>
                            </w:r>
                          </w:p>
                          <w:p w:rsidR="00A26307" w:rsidRDefault="00A26307" w:rsidP="00EB1199">
                            <w:pPr>
                              <w:spacing w:line="276" w:lineRule="auto"/>
                              <w:rPr>
                                <w:rFonts w:asciiTheme="majorHAnsi" w:hAnsiTheme="majorHAnsi"/>
                                <w:color w:val="595959" w:themeColor="text1" w:themeTint="A6"/>
                                <w:sz w:val="18"/>
                                <w:szCs w:val="18"/>
                                <w:lang w:val="es-VE"/>
                              </w:rPr>
                            </w:pPr>
                            <w:r w:rsidRPr="00890650">
                              <w:rPr>
                                <w:rFonts w:asciiTheme="majorHAnsi" w:hAnsiTheme="majorHAnsi"/>
                                <w:color w:val="595959" w:themeColor="text1" w:themeTint="A6"/>
                                <w:sz w:val="18"/>
                                <w:szCs w:val="18"/>
                                <w:lang w:val="es-ES_tradnl"/>
                              </w:rPr>
                              <w:t xml:space="preserve">Fondo. </w:t>
                            </w:r>
                            <w:r>
                              <w:rPr>
                                <w:rFonts w:asciiTheme="majorHAnsi" w:hAnsiTheme="majorHAnsi"/>
                                <w:color w:val="595959" w:themeColor="text1" w:themeTint="A6"/>
                                <w:sz w:val="18"/>
                                <w:szCs w:val="18"/>
                                <w:lang w:val="es-VE"/>
                              </w:rPr>
                              <w:t>Gabriel Oscar Jenkins.</w:t>
                            </w:r>
                          </w:p>
                          <w:p w:rsidR="00A26307" w:rsidRPr="00093196" w:rsidRDefault="00A26307" w:rsidP="00EB1199">
                            <w:pPr>
                              <w:spacing w:line="276" w:lineRule="auto"/>
                              <w:rPr>
                                <w:rFonts w:asciiTheme="majorHAnsi" w:hAnsiTheme="majorHAnsi"/>
                                <w:color w:val="595959" w:themeColor="text1" w:themeTint="A6"/>
                                <w:sz w:val="18"/>
                                <w:szCs w:val="18"/>
                                <w:lang w:val="es-ES_tradnl"/>
                              </w:rPr>
                            </w:pP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6 de diciembre de 2016</w:t>
                            </w:r>
                            <w:r w:rsidRPr="00093196">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A26307" w:rsidRDefault="00A26307"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093196">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
                        </w:rPr>
                        <w:t>53</w:t>
                      </w:r>
                      <w:r w:rsidRPr="000C5BC3">
                        <w:rPr>
                          <w:rFonts w:asciiTheme="majorHAnsi" w:hAnsiTheme="majorHAnsi"/>
                          <w:color w:val="595959" w:themeColor="text1" w:themeTint="A6"/>
                          <w:sz w:val="18"/>
                          <w:szCs w:val="18"/>
                          <w:lang w:val="es-ES"/>
                        </w:rPr>
                        <w:t>/16</w:t>
                      </w:r>
                      <w:r>
                        <w:rPr>
                          <w:rFonts w:asciiTheme="majorHAnsi" w:hAnsiTheme="majorHAnsi"/>
                          <w:color w:val="595959" w:themeColor="text1" w:themeTint="A6"/>
                          <w:sz w:val="18"/>
                          <w:szCs w:val="18"/>
                          <w:lang w:val="es-ES_tradnl"/>
                        </w:rPr>
                        <w:t>, Caso 12</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056</w:t>
                      </w:r>
                    </w:p>
                    <w:p w:rsidR="00A26307" w:rsidRDefault="00A26307" w:rsidP="00EB1199">
                      <w:pPr>
                        <w:spacing w:line="276" w:lineRule="auto"/>
                        <w:rPr>
                          <w:rFonts w:asciiTheme="majorHAnsi" w:hAnsiTheme="majorHAnsi"/>
                          <w:color w:val="595959" w:themeColor="text1" w:themeTint="A6"/>
                          <w:sz w:val="18"/>
                          <w:szCs w:val="18"/>
                          <w:lang w:val="es-VE"/>
                        </w:rPr>
                      </w:pPr>
                      <w:r w:rsidRPr="00890650">
                        <w:rPr>
                          <w:rFonts w:asciiTheme="majorHAnsi" w:hAnsiTheme="majorHAnsi"/>
                          <w:color w:val="595959" w:themeColor="text1" w:themeTint="A6"/>
                          <w:sz w:val="18"/>
                          <w:szCs w:val="18"/>
                          <w:lang w:val="es-ES_tradnl"/>
                        </w:rPr>
                        <w:t xml:space="preserve">Fondo. </w:t>
                      </w:r>
                      <w:r>
                        <w:rPr>
                          <w:rFonts w:asciiTheme="majorHAnsi" w:hAnsiTheme="majorHAnsi"/>
                          <w:color w:val="595959" w:themeColor="text1" w:themeTint="A6"/>
                          <w:sz w:val="18"/>
                          <w:szCs w:val="18"/>
                          <w:lang w:val="es-VE"/>
                        </w:rPr>
                        <w:t>Gabriel Oscar Jenkins.</w:t>
                      </w:r>
                    </w:p>
                    <w:p w:rsidR="00A26307" w:rsidRPr="00093196" w:rsidRDefault="00A26307" w:rsidP="00EB1199">
                      <w:pPr>
                        <w:spacing w:line="276" w:lineRule="auto"/>
                        <w:rPr>
                          <w:rFonts w:asciiTheme="majorHAnsi" w:hAnsiTheme="majorHAnsi"/>
                          <w:color w:val="595959" w:themeColor="text1" w:themeTint="A6"/>
                          <w:sz w:val="18"/>
                          <w:szCs w:val="18"/>
                          <w:lang w:val="es-ES_tradnl"/>
                        </w:rPr>
                      </w:pP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6 de diciembre de 2016</w:t>
                      </w:r>
                      <w:r w:rsidRPr="00093196">
                        <w:rPr>
                          <w:rFonts w:asciiTheme="majorHAnsi" w:hAnsiTheme="majorHAnsi"/>
                          <w:color w:val="595959" w:themeColor="text1" w:themeTint="A6"/>
                          <w:sz w:val="18"/>
                          <w:szCs w:val="18"/>
                          <w:lang w:val="es-ES"/>
                        </w:rPr>
                        <w:t>.</w:t>
                      </w:r>
                    </w:p>
                  </w:txbxContent>
                </v:textbox>
              </v:shape>
            </w:pict>
          </mc:Fallback>
        </mc:AlternateContent>
      </w:r>
    </w:p>
    <w:p w:rsidR="00A50FCF" w:rsidRPr="00B56CF7" w:rsidRDefault="00A50FCF" w:rsidP="00040C3A">
      <w:pPr>
        <w:tabs>
          <w:tab w:val="center" w:pos="5400"/>
        </w:tabs>
        <w:suppressAutoHyphens/>
        <w:jc w:val="center"/>
        <w:rPr>
          <w:rFonts w:asciiTheme="majorHAnsi" w:hAnsiTheme="majorHAnsi"/>
          <w:sz w:val="20"/>
          <w:szCs w:val="20"/>
          <w:lang w:val="es-ES_tradnl"/>
        </w:rPr>
      </w:pPr>
    </w:p>
    <w:p w:rsidR="0090270B" w:rsidRPr="00B56CF7" w:rsidRDefault="00C0075D" w:rsidP="005516A1">
      <w:pPr>
        <w:tabs>
          <w:tab w:val="center" w:pos="5400"/>
        </w:tabs>
        <w:suppressAutoHyphens/>
        <w:jc w:val="center"/>
        <w:rPr>
          <w:rFonts w:asciiTheme="majorHAnsi" w:hAnsiTheme="majorHAnsi"/>
          <w:b/>
          <w:sz w:val="20"/>
          <w:szCs w:val="20"/>
          <w:lang w:val="es-ES_tradnl"/>
        </w:rPr>
      </w:pPr>
      <w:r w:rsidRPr="00B56CF7">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7BF67B33" wp14:editId="39E14798">
                <wp:simplePos x="0" y="0"/>
                <wp:positionH relativeFrom="column">
                  <wp:posOffset>1329690</wp:posOffset>
                </wp:positionH>
                <wp:positionV relativeFrom="paragraph">
                  <wp:posOffset>638810</wp:posOffset>
                </wp:positionV>
                <wp:extent cx="4096385" cy="5670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6307" w:rsidRPr="00D72DC6" w:rsidRDefault="00A26307" w:rsidP="00F02AD1">
                            <w:pPr>
                              <w:rPr>
                                <w:color w:val="FFFFFF" w:themeColor="background1"/>
                              </w:rPr>
                            </w:pPr>
                            <w:r w:rsidRPr="00D72DC6">
                              <w:rPr>
                                <w:noProof/>
                                <w:color w:val="FFFFFF" w:themeColor="background1"/>
                              </w:rPr>
                              <w:drawing>
                                <wp:inline distT="0" distB="0" distL="0" distR="0" wp14:anchorId="7D4FA7C3" wp14:editId="73E3DB59">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" fillcolor="white [3201]" stroked="f" strokeweight=".5pt">
                <v:path arrowok="t"/>
                <v:textbox>
                  <w:txbxContent>
                    <w:p w:rsidR="00A26307" w:rsidRPr="00D72DC6" w:rsidRDefault="00A26307" w:rsidP="00F02AD1">
                      <w:pPr>
                        <w:rPr>
                          <w:color w:val="FFFFFF" w:themeColor="background1"/>
                        </w:rPr>
                      </w:pPr>
                      <w:r w:rsidRPr="00D72DC6">
                        <w:rPr>
                          <w:noProof/>
                          <w:color w:val="FFFFFF" w:themeColor="background1"/>
                        </w:rPr>
                        <w:drawing>
                          <wp:inline distT="0" distB="0" distL="0" distR="0" wp14:anchorId="7D4FA7C3" wp14:editId="73E3DB59">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043F74">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28453A2" wp14:editId="79893747">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6307" w:rsidRPr="004B7EB6" w:rsidRDefault="00A2630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cG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" filled="f" stroked="f" strokeweight=".5pt">
                <v:path arrowok="t"/>
                <v:textbox>
                  <w:txbxContent>
                    <w:p w:rsidR="00A26307" w:rsidRPr="004B7EB6" w:rsidRDefault="00A2630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B56CF7" w:rsidRDefault="0070697F" w:rsidP="005516A1">
      <w:pPr>
        <w:tabs>
          <w:tab w:val="center" w:pos="5400"/>
        </w:tabs>
        <w:suppressAutoHyphens/>
        <w:jc w:val="center"/>
        <w:rPr>
          <w:rFonts w:asciiTheme="majorHAnsi" w:hAnsiTheme="majorHAnsi"/>
          <w:b/>
          <w:sz w:val="20"/>
          <w:szCs w:val="20"/>
          <w:lang w:val="es-ES_tradnl"/>
        </w:rPr>
        <w:sectPr w:rsidR="0070697F" w:rsidRPr="00B56CF7"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4B316C" w:rsidRPr="00B56CF7" w:rsidRDefault="00796C54"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r>
        <w:rPr>
          <w:rFonts w:asciiTheme="majorHAnsi" w:eastAsia="Times New Roman" w:hAnsiTheme="majorHAnsi"/>
          <w:b/>
          <w:sz w:val="20"/>
          <w:szCs w:val="20"/>
          <w:bdr w:val="none" w:sz="0" w:space="0" w:color="auto"/>
          <w:lang w:val="es-ES_tradnl"/>
        </w:rPr>
        <w:lastRenderedPageBreak/>
        <w:t>INFORME No. 53</w:t>
      </w:r>
      <w:r w:rsidR="00EB1199" w:rsidRPr="00B56CF7">
        <w:rPr>
          <w:rFonts w:asciiTheme="majorHAnsi" w:eastAsia="Times New Roman" w:hAnsiTheme="majorHAnsi"/>
          <w:b/>
          <w:sz w:val="20"/>
          <w:szCs w:val="20"/>
          <w:bdr w:val="none" w:sz="0" w:space="0" w:color="auto"/>
          <w:lang w:val="es-ES_tradnl"/>
        </w:rPr>
        <w:t>/16</w:t>
      </w:r>
    </w:p>
    <w:p w:rsidR="004B316C" w:rsidRPr="00B56CF7" w:rsidRDefault="003B3094"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_tradnl"/>
        </w:rPr>
      </w:pPr>
      <w:r w:rsidRPr="00B56CF7">
        <w:rPr>
          <w:rFonts w:asciiTheme="majorHAnsi" w:eastAsia="Times New Roman" w:hAnsiTheme="majorHAnsi"/>
          <w:b/>
          <w:sz w:val="20"/>
          <w:szCs w:val="20"/>
          <w:bdr w:val="none" w:sz="0" w:space="0" w:color="auto"/>
          <w:lang w:val="es-ES_tradnl"/>
        </w:rPr>
        <w:t>CASO 12.0</w:t>
      </w:r>
      <w:r w:rsidR="00EB1199" w:rsidRPr="00B56CF7">
        <w:rPr>
          <w:rFonts w:asciiTheme="majorHAnsi" w:eastAsia="Times New Roman" w:hAnsiTheme="majorHAnsi"/>
          <w:b/>
          <w:sz w:val="20"/>
          <w:szCs w:val="20"/>
          <w:bdr w:val="none" w:sz="0" w:space="0" w:color="auto"/>
          <w:lang w:val="es-ES_tradnl"/>
        </w:rPr>
        <w:t>56</w:t>
      </w:r>
    </w:p>
    <w:p w:rsidR="004B316C" w:rsidRPr="00B56CF7" w:rsidRDefault="004B316C"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sidRPr="00B56CF7">
        <w:rPr>
          <w:rFonts w:asciiTheme="majorHAnsi" w:eastAsia="Times New Roman" w:hAnsiTheme="majorHAnsi"/>
          <w:sz w:val="20"/>
          <w:szCs w:val="20"/>
          <w:bdr w:val="none" w:sz="0" w:space="0" w:color="auto"/>
          <w:lang w:val="es-ES_tradnl"/>
        </w:rPr>
        <w:t>FONDO</w:t>
      </w:r>
    </w:p>
    <w:p w:rsidR="00B06C1C" w:rsidRPr="00B56CF7" w:rsidRDefault="003B3094"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sidRPr="00B56CF7">
        <w:rPr>
          <w:rFonts w:asciiTheme="majorHAnsi" w:eastAsia="Times New Roman" w:hAnsiTheme="majorHAnsi"/>
          <w:sz w:val="20"/>
          <w:szCs w:val="20"/>
          <w:bdr w:val="none" w:sz="0" w:space="0" w:color="auto"/>
          <w:lang w:val="es-ES_tradnl"/>
        </w:rPr>
        <w:t>GABRIEL OSCAR JENKINS</w:t>
      </w:r>
    </w:p>
    <w:p w:rsidR="00B06C1C" w:rsidRPr="00B56CF7" w:rsidRDefault="003B3094"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sidRPr="00B56CF7">
        <w:rPr>
          <w:rFonts w:asciiTheme="majorHAnsi" w:eastAsia="Times New Roman" w:hAnsiTheme="majorHAnsi"/>
          <w:sz w:val="20"/>
          <w:szCs w:val="20"/>
          <w:bdr w:val="none" w:sz="0" w:space="0" w:color="auto"/>
          <w:lang w:val="es-ES_tradnl"/>
        </w:rPr>
        <w:t>ARGENTINA</w:t>
      </w:r>
    </w:p>
    <w:p w:rsidR="0073741F" w:rsidRPr="00B56CF7" w:rsidRDefault="00796C54"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r>
        <w:rPr>
          <w:rFonts w:asciiTheme="majorHAnsi" w:eastAsia="Times New Roman" w:hAnsiTheme="majorHAnsi"/>
          <w:sz w:val="20"/>
          <w:szCs w:val="20"/>
          <w:bdr w:val="none" w:sz="0" w:space="0" w:color="auto"/>
          <w:lang w:val="es-ES_tradnl"/>
        </w:rPr>
        <w:t>6</w:t>
      </w:r>
      <w:r w:rsidR="00E24E60" w:rsidRPr="00B56CF7">
        <w:rPr>
          <w:rFonts w:asciiTheme="majorHAnsi" w:eastAsia="Times New Roman" w:hAnsiTheme="majorHAnsi"/>
          <w:sz w:val="20"/>
          <w:szCs w:val="20"/>
          <w:bdr w:val="none" w:sz="0" w:space="0" w:color="auto"/>
          <w:lang w:val="es-ES_tradnl"/>
        </w:rPr>
        <w:t xml:space="preserve"> DE </w:t>
      </w:r>
      <w:r>
        <w:rPr>
          <w:rFonts w:asciiTheme="majorHAnsi" w:eastAsia="Times New Roman" w:hAnsiTheme="majorHAnsi"/>
          <w:sz w:val="20"/>
          <w:szCs w:val="20"/>
          <w:bdr w:val="none" w:sz="0" w:space="0" w:color="auto"/>
          <w:lang w:val="es-ES_tradnl"/>
        </w:rPr>
        <w:t>DICIEMBRE</w:t>
      </w:r>
      <w:r w:rsidR="00EB1199" w:rsidRPr="00B56CF7">
        <w:rPr>
          <w:rFonts w:asciiTheme="majorHAnsi" w:eastAsia="Times New Roman" w:hAnsiTheme="majorHAnsi"/>
          <w:sz w:val="20"/>
          <w:szCs w:val="20"/>
          <w:bdr w:val="none" w:sz="0" w:space="0" w:color="auto"/>
          <w:lang w:val="es-ES_tradnl"/>
        </w:rPr>
        <w:t xml:space="preserve"> DE 2016</w:t>
      </w:r>
    </w:p>
    <w:p w:rsidR="004B316C" w:rsidRPr="00B56CF7" w:rsidRDefault="004B316C"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sz w:val="20"/>
          <w:szCs w:val="20"/>
          <w:lang w:val="es-ES_tradnl"/>
        </w:rPr>
      </w:pPr>
    </w:p>
    <w:p w:rsidR="004064A2" w:rsidRPr="00BB1DDE" w:rsidRDefault="00AA09A2" w:rsidP="00BB1DDE">
      <w:pPr>
        <w:tabs>
          <w:tab w:val="center" w:pos="5400"/>
        </w:tabs>
        <w:suppressAutoHyphens/>
        <w:spacing w:line="276" w:lineRule="auto"/>
        <w:jc w:val="center"/>
        <w:rPr>
          <w:rFonts w:asciiTheme="majorHAnsi" w:hAnsiTheme="majorHAnsi"/>
          <w:b/>
          <w:sz w:val="20"/>
          <w:szCs w:val="20"/>
          <w:lang w:val="es-ES_tradnl"/>
        </w:rPr>
      </w:pPr>
      <w:r w:rsidRPr="00B56CF7">
        <w:rPr>
          <w:rFonts w:asciiTheme="majorHAnsi" w:hAnsiTheme="majorHAnsi"/>
          <w:b/>
          <w:sz w:val="20"/>
          <w:szCs w:val="20"/>
          <w:lang w:val="es-ES_tradnl"/>
        </w:rPr>
        <w:t>Í</w:t>
      </w:r>
      <w:r w:rsidR="00DC7023" w:rsidRPr="00B56CF7">
        <w:rPr>
          <w:rFonts w:asciiTheme="majorHAnsi" w:hAnsiTheme="majorHAnsi"/>
          <w:b/>
          <w:sz w:val="20"/>
          <w:szCs w:val="20"/>
          <w:lang w:val="es-ES_tradnl"/>
        </w:rPr>
        <w:t>NDICE</w:t>
      </w:r>
    </w:p>
    <w:p w:rsidR="00BB1DDE" w:rsidRPr="00BB1DDE" w:rsidRDefault="002F4AB7" w:rsidP="00BB1DDE">
      <w:pPr>
        <w:pStyle w:val="TOC1"/>
        <w:rPr>
          <w:rFonts w:eastAsiaTheme="minorEastAsia" w:cstheme="minorBidi"/>
          <w:b/>
          <w:bdr w:val="none" w:sz="0" w:space="0" w:color="auto"/>
        </w:rPr>
      </w:pPr>
      <w:r w:rsidRPr="00BB1DDE">
        <w:rPr>
          <w:lang w:val="es-VE"/>
        </w:rPr>
        <w:fldChar w:fldCharType="begin"/>
      </w:r>
      <w:r w:rsidRPr="00BB1DDE">
        <w:rPr>
          <w:lang w:val="es-VE"/>
        </w:rPr>
        <w:instrText xml:space="preserve"> TOC \o "1-3" \h \z \u </w:instrText>
      </w:r>
      <w:r w:rsidRPr="00BB1DDE">
        <w:rPr>
          <w:lang w:val="es-VE"/>
        </w:rPr>
        <w:fldChar w:fldCharType="separate"/>
      </w:r>
      <w:hyperlink w:anchor="_Toc469409076" w:history="1">
        <w:r w:rsidR="00BB1DDE" w:rsidRPr="00BB1DDE">
          <w:rPr>
            <w:rStyle w:val="Hyperlink"/>
            <w:b/>
          </w:rPr>
          <w:t>I.</w:t>
        </w:r>
        <w:r w:rsidR="00BB1DDE" w:rsidRPr="00BB1DDE">
          <w:rPr>
            <w:rFonts w:eastAsiaTheme="minorEastAsia" w:cstheme="minorBidi"/>
            <w:b/>
            <w:bdr w:val="none" w:sz="0" w:space="0" w:color="auto"/>
          </w:rPr>
          <w:tab/>
        </w:r>
        <w:r w:rsidR="00BB1DDE" w:rsidRPr="00BB1DDE">
          <w:rPr>
            <w:rStyle w:val="Hyperlink"/>
            <w:b/>
          </w:rPr>
          <w:t>RESUMEN</w:t>
        </w:r>
        <w:r w:rsidR="00BB1DDE" w:rsidRPr="00BB1DDE">
          <w:rPr>
            <w:b/>
            <w:webHidden/>
          </w:rPr>
          <w:tab/>
        </w:r>
        <w:r w:rsidR="00BB1DDE" w:rsidRPr="00BB1DDE">
          <w:rPr>
            <w:b/>
            <w:webHidden/>
          </w:rPr>
          <w:fldChar w:fldCharType="begin"/>
        </w:r>
        <w:r w:rsidR="00BB1DDE" w:rsidRPr="00BB1DDE">
          <w:rPr>
            <w:b/>
            <w:webHidden/>
          </w:rPr>
          <w:instrText xml:space="preserve"> PAGEREF _Toc469409076 \h </w:instrText>
        </w:r>
        <w:r w:rsidR="00BB1DDE" w:rsidRPr="00BB1DDE">
          <w:rPr>
            <w:b/>
            <w:webHidden/>
          </w:rPr>
        </w:r>
        <w:r w:rsidR="00BB1DDE" w:rsidRPr="00BB1DDE">
          <w:rPr>
            <w:b/>
            <w:webHidden/>
          </w:rPr>
          <w:fldChar w:fldCharType="separate"/>
        </w:r>
        <w:r w:rsidR="00BB1DDE" w:rsidRPr="00BB1DDE">
          <w:rPr>
            <w:b/>
            <w:webHidden/>
          </w:rPr>
          <w:t>1</w:t>
        </w:r>
        <w:r w:rsidR="00BB1DDE" w:rsidRPr="00BB1DDE">
          <w:rPr>
            <w:b/>
            <w:webHidden/>
          </w:rPr>
          <w:fldChar w:fldCharType="end"/>
        </w:r>
      </w:hyperlink>
    </w:p>
    <w:p w:rsidR="00BB1DDE" w:rsidRPr="00BB1DDE" w:rsidRDefault="00ED58DB" w:rsidP="00BB1DDE">
      <w:pPr>
        <w:pStyle w:val="TOC1"/>
        <w:rPr>
          <w:rFonts w:eastAsiaTheme="minorEastAsia" w:cstheme="minorBidi"/>
          <w:b/>
          <w:bdr w:val="none" w:sz="0" w:space="0" w:color="auto"/>
        </w:rPr>
      </w:pPr>
      <w:hyperlink w:anchor="_Toc469409077" w:history="1">
        <w:r w:rsidR="00BB1DDE" w:rsidRPr="00BB1DDE">
          <w:rPr>
            <w:rStyle w:val="Hyperlink"/>
            <w:b/>
          </w:rPr>
          <w:t>II.</w:t>
        </w:r>
        <w:r w:rsidR="00BB1DDE" w:rsidRPr="00BB1DDE">
          <w:rPr>
            <w:rFonts w:eastAsiaTheme="minorEastAsia" w:cstheme="minorBidi"/>
            <w:b/>
            <w:bdr w:val="none" w:sz="0" w:space="0" w:color="auto"/>
          </w:rPr>
          <w:tab/>
        </w:r>
        <w:r w:rsidR="00BB1DDE" w:rsidRPr="00BB1DDE">
          <w:rPr>
            <w:rStyle w:val="Hyperlink"/>
            <w:b/>
          </w:rPr>
          <w:t>TRÁMITE ANTE LA COMISIÓN</w:t>
        </w:r>
        <w:r w:rsidR="00BB1DDE" w:rsidRPr="00BB1DDE">
          <w:rPr>
            <w:b/>
            <w:webHidden/>
          </w:rPr>
          <w:tab/>
        </w:r>
        <w:r w:rsidR="00BB1DDE" w:rsidRPr="00BB1DDE">
          <w:rPr>
            <w:b/>
            <w:webHidden/>
          </w:rPr>
          <w:fldChar w:fldCharType="begin"/>
        </w:r>
        <w:r w:rsidR="00BB1DDE" w:rsidRPr="00BB1DDE">
          <w:rPr>
            <w:b/>
            <w:webHidden/>
          </w:rPr>
          <w:instrText xml:space="preserve"> PAGEREF _Toc469409077 \h </w:instrText>
        </w:r>
        <w:r w:rsidR="00BB1DDE" w:rsidRPr="00BB1DDE">
          <w:rPr>
            <w:b/>
            <w:webHidden/>
          </w:rPr>
        </w:r>
        <w:r w:rsidR="00BB1DDE" w:rsidRPr="00BB1DDE">
          <w:rPr>
            <w:b/>
            <w:webHidden/>
          </w:rPr>
          <w:fldChar w:fldCharType="separate"/>
        </w:r>
        <w:r w:rsidR="00BB1DDE" w:rsidRPr="00BB1DDE">
          <w:rPr>
            <w:b/>
            <w:webHidden/>
          </w:rPr>
          <w:t>1</w:t>
        </w:r>
        <w:r w:rsidR="00BB1DDE" w:rsidRPr="00BB1DDE">
          <w:rPr>
            <w:b/>
            <w:webHidden/>
          </w:rPr>
          <w:fldChar w:fldCharType="end"/>
        </w:r>
      </w:hyperlink>
    </w:p>
    <w:p w:rsidR="00BB1DDE" w:rsidRPr="00BB1DDE" w:rsidRDefault="00ED58DB" w:rsidP="00BB1DDE">
      <w:pPr>
        <w:pStyle w:val="TOC1"/>
        <w:rPr>
          <w:rFonts w:eastAsiaTheme="minorEastAsia" w:cstheme="minorBidi"/>
          <w:b/>
          <w:bdr w:val="none" w:sz="0" w:space="0" w:color="auto"/>
        </w:rPr>
      </w:pPr>
      <w:hyperlink w:anchor="_Toc469409078" w:history="1">
        <w:r w:rsidR="00BB1DDE" w:rsidRPr="00BB1DDE">
          <w:rPr>
            <w:rStyle w:val="Hyperlink"/>
            <w:b/>
          </w:rPr>
          <w:t>III.</w:t>
        </w:r>
        <w:r w:rsidR="00BB1DDE" w:rsidRPr="00BB1DDE">
          <w:rPr>
            <w:rFonts w:eastAsiaTheme="minorEastAsia" w:cstheme="minorBidi"/>
            <w:b/>
            <w:bdr w:val="none" w:sz="0" w:space="0" w:color="auto"/>
          </w:rPr>
          <w:tab/>
        </w:r>
        <w:r w:rsidR="00BB1DDE" w:rsidRPr="00BB1DDE">
          <w:rPr>
            <w:rStyle w:val="Hyperlink"/>
            <w:b/>
          </w:rPr>
          <w:t>POSICIONES DE LAS PARTES</w:t>
        </w:r>
        <w:r w:rsidR="00BB1DDE" w:rsidRPr="00BB1DDE">
          <w:rPr>
            <w:b/>
            <w:webHidden/>
          </w:rPr>
          <w:tab/>
        </w:r>
        <w:r w:rsidR="00BB1DDE" w:rsidRPr="00BB1DDE">
          <w:rPr>
            <w:b/>
            <w:webHidden/>
          </w:rPr>
          <w:fldChar w:fldCharType="begin"/>
        </w:r>
        <w:r w:rsidR="00BB1DDE" w:rsidRPr="00BB1DDE">
          <w:rPr>
            <w:b/>
            <w:webHidden/>
          </w:rPr>
          <w:instrText xml:space="preserve"> PAGEREF _Toc469409078 \h </w:instrText>
        </w:r>
        <w:r w:rsidR="00BB1DDE" w:rsidRPr="00BB1DDE">
          <w:rPr>
            <w:b/>
            <w:webHidden/>
          </w:rPr>
        </w:r>
        <w:r w:rsidR="00BB1DDE" w:rsidRPr="00BB1DDE">
          <w:rPr>
            <w:b/>
            <w:webHidden/>
          </w:rPr>
          <w:fldChar w:fldCharType="separate"/>
        </w:r>
        <w:r w:rsidR="00BB1DDE" w:rsidRPr="00BB1DDE">
          <w:rPr>
            <w:b/>
            <w:webHidden/>
          </w:rPr>
          <w:t>2</w:t>
        </w:r>
        <w:r w:rsidR="00BB1DDE" w:rsidRPr="00BB1DDE">
          <w:rPr>
            <w:b/>
            <w:webHidden/>
          </w:rPr>
          <w:fldChar w:fldCharType="end"/>
        </w:r>
      </w:hyperlink>
    </w:p>
    <w:p w:rsidR="00BB1DDE" w:rsidRPr="00BB1DDE" w:rsidRDefault="00ED58DB">
      <w:pPr>
        <w:pStyle w:val="TOC2"/>
        <w:rPr>
          <w:rFonts w:asciiTheme="majorHAnsi" w:eastAsiaTheme="minorEastAsia" w:hAnsiTheme="majorHAnsi" w:cstheme="minorBidi"/>
          <w:noProof/>
          <w:sz w:val="20"/>
          <w:szCs w:val="20"/>
          <w:bdr w:val="none" w:sz="0" w:space="0" w:color="auto"/>
        </w:rPr>
      </w:pPr>
      <w:hyperlink w:anchor="_Toc469409079" w:history="1">
        <w:r w:rsidR="00BB1DDE" w:rsidRPr="00BB1DDE">
          <w:rPr>
            <w:rStyle w:val="Hyperlink"/>
            <w:rFonts w:asciiTheme="majorHAnsi" w:hAnsiTheme="majorHAnsi"/>
            <w:noProof/>
            <w:sz w:val="20"/>
            <w:szCs w:val="20"/>
          </w:rPr>
          <w:t>A.</w:t>
        </w:r>
        <w:r w:rsidR="00BB1DDE" w:rsidRPr="00BB1DDE">
          <w:rPr>
            <w:rFonts w:asciiTheme="majorHAnsi" w:eastAsiaTheme="minorEastAsia" w:hAnsiTheme="majorHAnsi" w:cstheme="minorBidi"/>
            <w:noProof/>
            <w:sz w:val="20"/>
            <w:szCs w:val="20"/>
            <w:bdr w:val="none" w:sz="0" w:space="0" w:color="auto"/>
          </w:rPr>
          <w:tab/>
        </w:r>
        <w:r w:rsidR="00BB1DDE" w:rsidRPr="00BB1DDE">
          <w:rPr>
            <w:rStyle w:val="Hyperlink"/>
            <w:rFonts w:asciiTheme="majorHAnsi" w:hAnsiTheme="majorHAnsi"/>
            <w:noProof/>
            <w:sz w:val="20"/>
            <w:szCs w:val="20"/>
          </w:rPr>
          <w:t>Posición del peticionario</w:t>
        </w:r>
        <w:r w:rsidR="00BB1DDE" w:rsidRPr="00BB1DDE">
          <w:rPr>
            <w:rFonts w:asciiTheme="majorHAnsi" w:hAnsiTheme="majorHAnsi"/>
            <w:noProof/>
            <w:webHidden/>
            <w:sz w:val="20"/>
            <w:szCs w:val="20"/>
          </w:rPr>
          <w:tab/>
        </w:r>
        <w:r w:rsidR="00BB1DDE" w:rsidRPr="00BB1DDE">
          <w:rPr>
            <w:rFonts w:asciiTheme="majorHAnsi" w:hAnsiTheme="majorHAnsi"/>
            <w:noProof/>
            <w:webHidden/>
            <w:sz w:val="20"/>
            <w:szCs w:val="20"/>
          </w:rPr>
          <w:fldChar w:fldCharType="begin"/>
        </w:r>
        <w:r w:rsidR="00BB1DDE" w:rsidRPr="00BB1DDE">
          <w:rPr>
            <w:rFonts w:asciiTheme="majorHAnsi" w:hAnsiTheme="majorHAnsi"/>
            <w:noProof/>
            <w:webHidden/>
            <w:sz w:val="20"/>
            <w:szCs w:val="20"/>
          </w:rPr>
          <w:instrText xml:space="preserve"> PAGEREF _Toc469409079 \h </w:instrText>
        </w:r>
        <w:r w:rsidR="00BB1DDE" w:rsidRPr="00BB1DDE">
          <w:rPr>
            <w:rFonts w:asciiTheme="majorHAnsi" w:hAnsiTheme="majorHAnsi"/>
            <w:noProof/>
            <w:webHidden/>
            <w:sz w:val="20"/>
            <w:szCs w:val="20"/>
          </w:rPr>
        </w:r>
        <w:r w:rsidR="00BB1DDE" w:rsidRPr="00BB1DDE">
          <w:rPr>
            <w:rFonts w:asciiTheme="majorHAnsi" w:hAnsiTheme="majorHAnsi"/>
            <w:noProof/>
            <w:webHidden/>
            <w:sz w:val="20"/>
            <w:szCs w:val="20"/>
          </w:rPr>
          <w:fldChar w:fldCharType="separate"/>
        </w:r>
        <w:r w:rsidR="00BB1DDE" w:rsidRPr="00BB1DDE">
          <w:rPr>
            <w:rFonts w:asciiTheme="majorHAnsi" w:hAnsiTheme="majorHAnsi"/>
            <w:noProof/>
            <w:webHidden/>
            <w:sz w:val="20"/>
            <w:szCs w:val="20"/>
          </w:rPr>
          <w:t>2</w:t>
        </w:r>
        <w:r w:rsidR="00BB1DDE" w:rsidRPr="00BB1DDE">
          <w:rPr>
            <w:rFonts w:asciiTheme="majorHAnsi" w:hAnsiTheme="majorHAnsi"/>
            <w:noProof/>
            <w:webHidden/>
            <w:sz w:val="20"/>
            <w:szCs w:val="20"/>
          </w:rPr>
          <w:fldChar w:fldCharType="end"/>
        </w:r>
      </w:hyperlink>
    </w:p>
    <w:p w:rsidR="00BB1DDE" w:rsidRPr="00BB1DDE" w:rsidRDefault="00ED58DB">
      <w:pPr>
        <w:pStyle w:val="TOC2"/>
        <w:rPr>
          <w:rFonts w:asciiTheme="majorHAnsi" w:eastAsiaTheme="minorEastAsia" w:hAnsiTheme="majorHAnsi" w:cstheme="minorBidi"/>
          <w:noProof/>
          <w:sz w:val="20"/>
          <w:szCs w:val="20"/>
          <w:bdr w:val="none" w:sz="0" w:space="0" w:color="auto"/>
        </w:rPr>
      </w:pPr>
      <w:hyperlink w:anchor="_Toc469409080" w:history="1">
        <w:r w:rsidR="00BB1DDE" w:rsidRPr="00BB1DDE">
          <w:rPr>
            <w:rStyle w:val="Hyperlink"/>
            <w:rFonts w:asciiTheme="majorHAnsi" w:hAnsiTheme="majorHAnsi"/>
            <w:noProof/>
            <w:sz w:val="20"/>
            <w:szCs w:val="20"/>
          </w:rPr>
          <w:t>B.</w:t>
        </w:r>
        <w:r w:rsidR="00BB1DDE" w:rsidRPr="00BB1DDE">
          <w:rPr>
            <w:rFonts w:asciiTheme="majorHAnsi" w:eastAsiaTheme="minorEastAsia" w:hAnsiTheme="majorHAnsi" w:cstheme="minorBidi"/>
            <w:noProof/>
            <w:sz w:val="20"/>
            <w:szCs w:val="20"/>
            <w:bdr w:val="none" w:sz="0" w:space="0" w:color="auto"/>
          </w:rPr>
          <w:tab/>
        </w:r>
        <w:r w:rsidR="00BB1DDE" w:rsidRPr="00BB1DDE">
          <w:rPr>
            <w:rStyle w:val="Hyperlink"/>
            <w:rFonts w:asciiTheme="majorHAnsi" w:hAnsiTheme="majorHAnsi"/>
            <w:noProof/>
            <w:sz w:val="20"/>
            <w:szCs w:val="20"/>
          </w:rPr>
          <w:t>Posición del Estado</w:t>
        </w:r>
        <w:r w:rsidR="00BB1DDE" w:rsidRPr="00BB1DDE">
          <w:rPr>
            <w:rFonts w:asciiTheme="majorHAnsi" w:hAnsiTheme="majorHAnsi"/>
            <w:noProof/>
            <w:webHidden/>
            <w:sz w:val="20"/>
            <w:szCs w:val="20"/>
          </w:rPr>
          <w:tab/>
        </w:r>
        <w:r w:rsidR="00BB1DDE" w:rsidRPr="00BB1DDE">
          <w:rPr>
            <w:rFonts w:asciiTheme="majorHAnsi" w:hAnsiTheme="majorHAnsi"/>
            <w:noProof/>
            <w:webHidden/>
            <w:sz w:val="20"/>
            <w:szCs w:val="20"/>
          </w:rPr>
          <w:fldChar w:fldCharType="begin"/>
        </w:r>
        <w:r w:rsidR="00BB1DDE" w:rsidRPr="00BB1DDE">
          <w:rPr>
            <w:rFonts w:asciiTheme="majorHAnsi" w:hAnsiTheme="majorHAnsi"/>
            <w:noProof/>
            <w:webHidden/>
            <w:sz w:val="20"/>
            <w:szCs w:val="20"/>
          </w:rPr>
          <w:instrText xml:space="preserve"> PAGEREF _Toc469409080 \h </w:instrText>
        </w:r>
        <w:r w:rsidR="00BB1DDE" w:rsidRPr="00BB1DDE">
          <w:rPr>
            <w:rFonts w:asciiTheme="majorHAnsi" w:hAnsiTheme="majorHAnsi"/>
            <w:noProof/>
            <w:webHidden/>
            <w:sz w:val="20"/>
            <w:szCs w:val="20"/>
          </w:rPr>
        </w:r>
        <w:r w:rsidR="00BB1DDE" w:rsidRPr="00BB1DDE">
          <w:rPr>
            <w:rFonts w:asciiTheme="majorHAnsi" w:hAnsiTheme="majorHAnsi"/>
            <w:noProof/>
            <w:webHidden/>
            <w:sz w:val="20"/>
            <w:szCs w:val="20"/>
          </w:rPr>
          <w:fldChar w:fldCharType="separate"/>
        </w:r>
        <w:r w:rsidR="00BB1DDE" w:rsidRPr="00BB1DDE">
          <w:rPr>
            <w:rFonts w:asciiTheme="majorHAnsi" w:hAnsiTheme="majorHAnsi"/>
            <w:noProof/>
            <w:webHidden/>
            <w:sz w:val="20"/>
            <w:szCs w:val="20"/>
          </w:rPr>
          <w:t>4</w:t>
        </w:r>
        <w:r w:rsidR="00BB1DDE" w:rsidRPr="00BB1DDE">
          <w:rPr>
            <w:rFonts w:asciiTheme="majorHAnsi" w:hAnsiTheme="majorHAnsi"/>
            <w:noProof/>
            <w:webHidden/>
            <w:sz w:val="20"/>
            <w:szCs w:val="20"/>
          </w:rPr>
          <w:fldChar w:fldCharType="end"/>
        </w:r>
      </w:hyperlink>
    </w:p>
    <w:p w:rsidR="00BB1DDE" w:rsidRPr="00BB1DDE" w:rsidRDefault="00ED58DB" w:rsidP="00BB1DDE">
      <w:pPr>
        <w:pStyle w:val="TOC1"/>
        <w:rPr>
          <w:rFonts w:eastAsiaTheme="minorEastAsia" w:cstheme="minorBidi"/>
          <w:bdr w:val="none" w:sz="0" w:space="0" w:color="auto"/>
        </w:rPr>
      </w:pPr>
      <w:hyperlink w:anchor="_Toc469409081" w:history="1">
        <w:r w:rsidR="00BB1DDE" w:rsidRPr="00BB1DDE">
          <w:rPr>
            <w:rStyle w:val="Hyperlink"/>
            <w:b/>
          </w:rPr>
          <w:t>IV.</w:t>
        </w:r>
        <w:r w:rsidR="00BB1DDE" w:rsidRPr="00BB1DDE">
          <w:rPr>
            <w:rFonts w:eastAsiaTheme="minorEastAsia" w:cstheme="minorBidi"/>
            <w:bdr w:val="none" w:sz="0" w:space="0" w:color="auto"/>
          </w:rPr>
          <w:tab/>
        </w:r>
        <w:r w:rsidR="00BB1DDE" w:rsidRPr="00BB1DDE">
          <w:rPr>
            <w:rStyle w:val="Hyperlink"/>
            <w:b/>
          </w:rPr>
          <w:t>HECHOS PROBADOS</w:t>
        </w:r>
        <w:r w:rsidR="00BB1DDE" w:rsidRPr="00BB1DDE">
          <w:rPr>
            <w:webHidden/>
          </w:rPr>
          <w:tab/>
        </w:r>
        <w:r w:rsidR="00BB1DDE" w:rsidRPr="00BB1DDE">
          <w:rPr>
            <w:webHidden/>
          </w:rPr>
          <w:fldChar w:fldCharType="begin"/>
        </w:r>
        <w:r w:rsidR="00BB1DDE" w:rsidRPr="00BB1DDE">
          <w:rPr>
            <w:webHidden/>
          </w:rPr>
          <w:instrText xml:space="preserve"> PAGEREF _Toc469409081 \h </w:instrText>
        </w:r>
        <w:r w:rsidR="00BB1DDE" w:rsidRPr="00BB1DDE">
          <w:rPr>
            <w:webHidden/>
          </w:rPr>
        </w:r>
        <w:r w:rsidR="00BB1DDE" w:rsidRPr="00BB1DDE">
          <w:rPr>
            <w:webHidden/>
          </w:rPr>
          <w:fldChar w:fldCharType="separate"/>
        </w:r>
        <w:r w:rsidR="00BB1DDE" w:rsidRPr="00BB1DDE">
          <w:rPr>
            <w:webHidden/>
          </w:rPr>
          <w:t>6</w:t>
        </w:r>
        <w:r w:rsidR="00BB1DDE" w:rsidRPr="00BB1DDE">
          <w:rPr>
            <w:webHidden/>
          </w:rPr>
          <w:fldChar w:fldCharType="end"/>
        </w:r>
      </w:hyperlink>
    </w:p>
    <w:p w:rsidR="00BB1DDE" w:rsidRPr="00BB1DDE" w:rsidRDefault="00ED58DB">
      <w:pPr>
        <w:pStyle w:val="TOC2"/>
        <w:rPr>
          <w:rFonts w:asciiTheme="majorHAnsi" w:eastAsiaTheme="minorEastAsia" w:hAnsiTheme="majorHAnsi" w:cstheme="minorBidi"/>
          <w:noProof/>
          <w:sz w:val="20"/>
          <w:szCs w:val="20"/>
          <w:bdr w:val="none" w:sz="0" w:space="0" w:color="auto"/>
        </w:rPr>
      </w:pPr>
      <w:hyperlink w:anchor="_Toc469409082" w:history="1">
        <w:r w:rsidR="00BB1DDE" w:rsidRPr="00BB1DDE">
          <w:rPr>
            <w:rStyle w:val="Hyperlink"/>
            <w:rFonts w:asciiTheme="majorHAnsi" w:hAnsiTheme="majorHAnsi"/>
            <w:noProof/>
            <w:sz w:val="20"/>
            <w:szCs w:val="20"/>
          </w:rPr>
          <w:t>A.</w:t>
        </w:r>
        <w:r w:rsidR="00BB1DDE" w:rsidRPr="00BB1DDE">
          <w:rPr>
            <w:rFonts w:asciiTheme="majorHAnsi" w:eastAsiaTheme="minorEastAsia" w:hAnsiTheme="majorHAnsi" w:cstheme="minorBidi"/>
            <w:noProof/>
            <w:sz w:val="20"/>
            <w:szCs w:val="20"/>
            <w:bdr w:val="none" w:sz="0" w:space="0" w:color="auto"/>
          </w:rPr>
          <w:tab/>
        </w:r>
        <w:r w:rsidR="00BB1DDE" w:rsidRPr="00BB1DDE">
          <w:rPr>
            <w:rStyle w:val="Hyperlink"/>
            <w:rFonts w:asciiTheme="majorHAnsi" w:hAnsiTheme="majorHAnsi"/>
            <w:noProof/>
            <w:sz w:val="20"/>
            <w:szCs w:val="20"/>
            <w:lang w:val="es-VE"/>
          </w:rPr>
          <w:t>El proceso penal en contra del peticionario y su posterior absolución</w:t>
        </w:r>
        <w:r w:rsidR="00BB1DDE" w:rsidRPr="00BB1DDE">
          <w:rPr>
            <w:rFonts w:asciiTheme="majorHAnsi" w:hAnsiTheme="majorHAnsi"/>
            <w:noProof/>
            <w:webHidden/>
            <w:sz w:val="20"/>
            <w:szCs w:val="20"/>
          </w:rPr>
          <w:tab/>
        </w:r>
        <w:r w:rsidR="00BB1DDE" w:rsidRPr="00BB1DDE">
          <w:rPr>
            <w:rFonts w:asciiTheme="majorHAnsi" w:hAnsiTheme="majorHAnsi"/>
            <w:noProof/>
            <w:webHidden/>
            <w:sz w:val="20"/>
            <w:szCs w:val="20"/>
          </w:rPr>
          <w:fldChar w:fldCharType="begin"/>
        </w:r>
        <w:r w:rsidR="00BB1DDE" w:rsidRPr="00BB1DDE">
          <w:rPr>
            <w:rFonts w:asciiTheme="majorHAnsi" w:hAnsiTheme="majorHAnsi"/>
            <w:noProof/>
            <w:webHidden/>
            <w:sz w:val="20"/>
            <w:szCs w:val="20"/>
          </w:rPr>
          <w:instrText xml:space="preserve"> PAGEREF _Toc469409082 \h </w:instrText>
        </w:r>
        <w:r w:rsidR="00BB1DDE" w:rsidRPr="00BB1DDE">
          <w:rPr>
            <w:rFonts w:asciiTheme="majorHAnsi" w:hAnsiTheme="majorHAnsi"/>
            <w:noProof/>
            <w:webHidden/>
            <w:sz w:val="20"/>
            <w:szCs w:val="20"/>
          </w:rPr>
        </w:r>
        <w:r w:rsidR="00BB1DDE" w:rsidRPr="00BB1DDE">
          <w:rPr>
            <w:rFonts w:asciiTheme="majorHAnsi" w:hAnsiTheme="majorHAnsi"/>
            <w:noProof/>
            <w:webHidden/>
            <w:sz w:val="20"/>
            <w:szCs w:val="20"/>
          </w:rPr>
          <w:fldChar w:fldCharType="separate"/>
        </w:r>
        <w:r w:rsidR="00BB1DDE" w:rsidRPr="00BB1DDE">
          <w:rPr>
            <w:rFonts w:asciiTheme="majorHAnsi" w:hAnsiTheme="majorHAnsi"/>
            <w:noProof/>
            <w:webHidden/>
            <w:sz w:val="20"/>
            <w:szCs w:val="20"/>
          </w:rPr>
          <w:t>6</w:t>
        </w:r>
        <w:r w:rsidR="00BB1DDE" w:rsidRPr="00BB1DDE">
          <w:rPr>
            <w:rFonts w:asciiTheme="majorHAnsi" w:hAnsiTheme="majorHAnsi"/>
            <w:noProof/>
            <w:webHidden/>
            <w:sz w:val="20"/>
            <w:szCs w:val="20"/>
          </w:rPr>
          <w:fldChar w:fldCharType="end"/>
        </w:r>
      </w:hyperlink>
    </w:p>
    <w:p w:rsidR="00BB1DDE" w:rsidRPr="00BB1DDE" w:rsidRDefault="00ED58DB">
      <w:pPr>
        <w:pStyle w:val="TOC3"/>
        <w:tabs>
          <w:tab w:val="left" w:pos="2160"/>
        </w:tabs>
        <w:rPr>
          <w:rFonts w:asciiTheme="majorHAnsi" w:eastAsiaTheme="minorEastAsia" w:hAnsiTheme="majorHAnsi" w:cstheme="minorBidi"/>
          <w:noProof/>
          <w:sz w:val="20"/>
          <w:szCs w:val="20"/>
          <w:bdr w:val="none" w:sz="0" w:space="0" w:color="auto"/>
        </w:rPr>
      </w:pPr>
      <w:hyperlink w:anchor="_Toc469409083" w:history="1">
        <w:r w:rsidR="00BB1DDE" w:rsidRPr="00BB1DDE">
          <w:rPr>
            <w:rStyle w:val="Hyperlink"/>
            <w:rFonts w:asciiTheme="majorHAnsi" w:hAnsiTheme="majorHAnsi"/>
            <w:noProof/>
            <w:sz w:val="20"/>
            <w:szCs w:val="20"/>
            <w:lang w:val="es-VE"/>
          </w:rPr>
          <w:t>1.</w:t>
        </w:r>
        <w:r w:rsidR="00BB1DDE" w:rsidRPr="00BB1DDE">
          <w:rPr>
            <w:rFonts w:asciiTheme="majorHAnsi" w:eastAsiaTheme="minorEastAsia" w:hAnsiTheme="majorHAnsi" w:cstheme="minorBidi"/>
            <w:noProof/>
            <w:sz w:val="20"/>
            <w:szCs w:val="20"/>
            <w:bdr w:val="none" w:sz="0" w:space="0" w:color="auto"/>
          </w:rPr>
          <w:tab/>
        </w:r>
        <w:r w:rsidR="00BB1DDE" w:rsidRPr="00BB1DDE">
          <w:rPr>
            <w:rStyle w:val="Hyperlink"/>
            <w:rFonts w:asciiTheme="majorHAnsi" w:hAnsiTheme="majorHAnsi"/>
            <w:noProof/>
            <w:sz w:val="20"/>
            <w:szCs w:val="20"/>
            <w:lang w:val="es-VE"/>
          </w:rPr>
          <w:t>Incorporación de una grabación telefónica y solicitud de elevación a juicio de Gabriel Jenkins</w:t>
        </w:r>
        <w:r w:rsidR="00BB1DDE" w:rsidRPr="00BB1DDE">
          <w:rPr>
            <w:rFonts w:asciiTheme="majorHAnsi" w:hAnsiTheme="majorHAnsi"/>
            <w:noProof/>
            <w:webHidden/>
            <w:sz w:val="20"/>
            <w:szCs w:val="20"/>
          </w:rPr>
          <w:tab/>
        </w:r>
        <w:r w:rsidR="00BB1DDE" w:rsidRPr="00BB1DDE">
          <w:rPr>
            <w:rFonts w:asciiTheme="majorHAnsi" w:hAnsiTheme="majorHAnsi"/>
            <w:noProof/>
            <w:webHidden/>
            <w:sz w:val="20"/>
            <w:szCs w:val="20"/>
          </w:rPr>
          <w:fldChar w:fldCharType="begin"/>
        </w:r>
        <w:r w:rsidR="00BB1DDE" w:rsidRPr="00BB1DDE">
          <w:rPr>
            <w:rFonts w:asciiTheme="majorHAnsi" w:hAnsiTheme="majorHAnsi"/>
            <w:noProof/>
            <w:webHidden/>
            <w:sz w:val="20"/>
            <w:szCs w:val="20"/>
          </w:rPr>
          <w:instrText xml:space="preserve"> PAGEREF _Toc469409083 \h </w:instrText>
        </w:r>
        <w:r w:rsidR="00BB1DDE" w:rsidRPr="00BB1DDE">
          <w:rPr>
            <w:rFonts w:asciiTheme="majorHAnsi" w:hAnsiTheme="majorHAnsi"/>
            <w:noProof/>
            <w:webHidden/>
            <w:sz w:val="20"/>
            <w:szCs w:val="20"/>
          </w:rPr>
        </w:r>
        <w:r w:rsidR="00BB1DDE" w:rsidRPr="00BB1DDE">
          <w:rPr>
            <w:rFonts w:asciiTheme="majorHAnsi" w:hAnsiTheme="majorHAnsi"/>
            <w:noProof/>
            <w:webHidden/>
            <w:sz w:val="20"/>
            <w:szCs w:val="20"/>
          </w:rPr>
          <w:fldChar w:fldCharType="separate"/>
        </w:r>
        <w:r w:rsidR="00BB1DDE" w:rsidRPr="00BB1DDE">
          <w:rPr>
            <w:rFonts w:asciiTheme="majorHAnsi" w:hAnsiTheme="majorHAnsi"/>
            <w:noProof/>
            <w:webHidden/>
            <w:sz w:val="20"/>
            <w:szCs w:val="20"/>
          </w:rPr>
          <w:t>6</w:t>
        </w:r>
        <w:r w:rsidR="00BB1DDE" w:rsidRPr="00BB1DDE">
          <w:rPr>
            <w:rFonts w:asciiTheme="majorHAnsi" w:hAnsiTheme="majorHAnsi"/>
            <w:noProof/>
            <w:webHidden/>
            <w:sz w:val="20"/>
            <w:szCs w:val="20"/>
          </w:rPr>
          <w:fldChar w:fldCharType="end"/>
        </w:r>
      </w:hyperlink>
    </w:p>
    <w:p w:rsidR="00BB1DDE" w:rsidRPr="00BB1DDE" w:rsidRDefault="00ED58DB">
      <w:pPr>
        <w:pStyle w:val="TOC3"/>
        <w:tabs>
          <w:tab w:val="left" w:pos="2160"/>
        </w:tabs>
        <w:rPr>
          <w:rFonts w:asciiTheme="majorHAnsi" w:eastAsiaTheme="minorEastAsia" w:hAnsiTheme="majorHAnsi" w:cstheme="minorBidi"/>
          <w:noProof/>
          <w:sz w:val="20"/>
          <w:szCs w:val="20"/>
          <w:bdr w:val="none" w:sz="0" w:space="0" w:color="auto"/>
        </w:rPr>
      </w:pPr>
      <w:hyperlink w:anchor="_Toc469409084" w:history="1">
        <w:r w:rsidR="00BB1DDE" w:rsidRPr="00BB1DDE">
          <w:rPr>
            <w:rStyle w:val="Hyperlink"/>
            <w:rFonts w:asciiTheme="majorHAnsi" w:hAnsiTheme="majorHAnsi"/>
            <w:noProof/>
            <w:sz w:val="20"/>
            <w:szCs w:val="20"/>
            <w:lang w:val="es-VE"/>
          </w:rPr>
          <w:t>2.</w:t>
        </w:r>
        <w:r w:rsidR="00BB1DDE" w:rsidRPr="00BB1DDE">
          <w:rPr>
            <w:rFonts w:asciiTheme="majorHAnsi" w:eastAsiaTheme="minorEastAsia" w:hAnsiTheme="majorHAnsi" w:cstheme="minorBidi"/>
            <w:noProof/>
            <w:sz w:val="20"/>
            <w:szCs w:val="20"/>
            <w:bdr w:val="none" w:sz="0" w:space="0" w:color="auto"/>
          </w:rPr>
          <w:tab/>
        </w:r>
        <w:r w:rsidR="00BB1DDE" w:rsidRPr="00BB1DDE">
          <w:rPr>
            <w:rStyle w:val="Hyperlink"/>
            <w:rFonts w:asciiTheme="majorHAnsi" w:hAnsiTheme="majorHAnsi"/>
            <w:noProof/>
            <w:sz w:val="20"/>
            <w:szCs w:val="20"/>
            <w:lang w:val="es-VE"/>
          </w:rPr>
          <w:t>Falta de acusación fiscal y absolución del peticionario</w:t>
        </w:r>
        <w:r w:rsidR="00BB1DDE" w:rsidRPr="00BB1DDE">
          <w:rPr>
            <w:rFonts w:asciiTheme="majorHAnsi" w:hAnsiTheme="majorHAnsi"/>
            <w:noProof/>
            <w:webHidden/>
            <w:sz w:val="20"/>
            <w:szCs w:val="20"/>
          </w:rPr>
          <w:tab/>
        </w:r>
        <w:r w:rsidR="00BB1DDE" w:rsidRPr="00BB1DDE">
          <w:rPr>
            <w:rFonts w:asciiTheme="majorHAnsi" w:hAnsiTheme="majorHAnsi"/>
            <w:noProof/>
            <w:webHidden/>
            <w:sz w:val="20"/>
            <w:szCs w:val="20"/>
          </w:rPr>
          <w:fldChar w:fldCharType="begin"/>
        </w:r>
        <w:r w:rsidR="00BB1DDE" w:rsidRPr="00BB1DDE">
          <w:rPr>
            <w:rFonts w:asciiTheme="majorHAnsi" w:hAnsiTheme="majorHAnsi"/>
            <w:noProof/>
            <w:webHidden/>
            <w:sz w:val="20"/>
            <w:szCs w:val="20"/>
          </w:rPr>
          <w:instrText xml:space="preserve"> PAGEREF _Toc469409084 \h </w:instrText>
        </w:r>
        <w:r w:rsidR="00BB1DDE" w:rsidRPr="00BB1DDE">
          <w:rPr>
            <w:rFonts w:asciiTheme="majorHAnsi" w:hAnsiTheme="majorHAnsi"/>
            <w:noProof/>
            <w:webHidden/>
            <w:sz w:val="20"/>
            <w:szCs w:val="20"/>
          </w:rPr>
        </w:r>
        <w:r w:rsidR="00BB1DDE" w:rsidRPr="00BB1DDE">
          <w:rPr>
            <w:rFonts w:asciiTheme="majorHAnsi" w:hAnsiTheme="majorHAnsi"/>
            <w:noProof/>
            <w:webHidden/>
            <w:sz w:val="20"/>
            <w:szCs w:val="20"/>
          </w:rPr>
          <w:fldChar w:fldCharType="separate"/>
        </w:r>
        <w:r w:rsidR="00BB1DDE" w:rsidRPr="00BB1DDE">
          <w:rPr>
            <w:rFonts w:asciiTheme="majorHAnsi" w:hAnsiTheme="majorHAnsi"/>
            <w:noProof/>
            <w:webHidden/>
            <w:sz w:val="20"/>
            <w:szCs w:val="20"/>
          </w:rPr>
          <w:t>9</w:t>
        </w:r>
        <w:r w:rsidR="00BB1DDE" w:rsidRPr="00BB1DDE">
          <w:rPr>
            <w:rFonts w:asciiTheme="majorHAnsi" w:hAnsiTheme="majorHAnsi"/>
            <w:noProof/>
            <w:webHidden/>
            <w:sz w:val="20"/>
            <w:szCs w:val="20"/>
          </w:rPr>
          <w:fldChar w:fldCharType="end"/>
        </w:r>
      </w:hyperlink>
    </w:p>
    <w:p w:rsidR="00BB1DDE" w:rsidRPr="00BB1DDE" w:rsidRDefault="00ED58DB">
      <w:pPr>
        <w:pStyle w:val="TOC3"/>
        <w:tabs>
          <w:tab w:val="left" w:pos="2160"/>
        </w:tabs>
        <w:rPr>
          <w:rFonts w:asciiTheme="majorHAnsi" w:eastAsiaTheme="minorEastAsia" w:hAnsiTheme="majorHAnsi" w:cstheme="minorBidi"/>
          <w:noProof/>
          <w:sz w:val="20"/>
          <w:szCs w:val="20"/>
          <w:bdr w:val="none" w:sz="0" w:space="0" w:color="auto"/>
        </w:rPr>
      </w:pPr>
      <w:hyperlink w:anchor="_Toc469409085" w:history="1">
        <w:r w:rsidR="00BB1DDE" w:rsidRPr="00BB1DDE">
          <w:rPr>
            <w:rStyle w:val="Hyperlink"/>
            <w:rFonts w:asciiTheme="majorHAnsi" w:hAnsiTheme="majorHAnsi"/>
            <w:noProof/>
            <w:sz w:val="20"/>
            <w:szCs w:val="20"/>
            <w:lang w:val="es-VE"/>
          </w:rPr>
          <w:t>3.</w:t>
        </w:r>
        <w:r w:rsidR="00BB1DDE" w:rsidRPr="00BB1DDE">
          <w:rPr>
            <w:rFonts w:asciiTheme="majorHAnsi" w:eastAsiaTheme="minorEastAsia" w:hAnsiTheme="majorHAnsi" w:cstheme="minorBidi"/>
            <w:noProof/>
            <w:sz w:val="20"/>
            <w:szCs w:val="20"/>
            <w:bdr w:val="none" w:sz="0" w:space="0" w:color="auto"/>
          </w:rPr>
          <w:tab/>
        </w:r>
        <w:r w:rsidR="00BB1DDE" w:rsidRPr="00BB1DDE">
          <w:rPr>
            <w:rStyle w:val="Hyperlink"/>
            <w:rFonts w:asciiTheme="majorHAnsi" w:hAnsiTheme="majorHAnsi"/>
            <w:noProof/>
            <w:sz w:val="20"/>
            <w:szCs w:val="20"/>
            <w:lang w:val="es-VE"/>
          </w:rPr>
          <w:t>Solicitud de investigación de las diferencias entre la grabación y su constancia</w:t>
        </w:r>
        <w:r w:rsidR="00BB1DDE" w:rsidRPr="00BB1DDE">
          <w:rPr>
            <w:rFonts w:asciiTheme="majorHAnsi" w:hAnsiTheme="majorHAnsi"/>
            <w:noProof/>
            <w:webHidden/>
            <w:sz w:val="20"/>
            <w:szCs w:val="20"/>
          </w:rPr>
          <w:tab/>
        </w:r>
        <w:r w:rsidR="00BB1DDE" w:rsidRPr="00BB1DDE">
          <w:rPr>
            <w:rFonts w:asciiTheme="majorHAnsi" w:hAnsiTheme="majorHAnsi"/>
            <w:noProof/>
            <w:webHidden/>
            <w:sz w:val="20"/>
            <w:szCs w:val="20"/>
          </w:rPr>
          <w:fldChar w:fldCharType="begin"/>
        </w:r>
        <w:r w:rsidR="00BB1DDE" w:rsidRPr="00BB1DDE">
          <w:rPr>
            <w:rFonts w:asciiTheme="majorHAnsi" w:hAnsiTheme="majorHAnsi"/>
            <w:noProof/>
            <w:webHidden/>
            <w:sz w:val="20"/>
            <w:szCs w:val="20"/>
          </w:rPr>
          <w:instrText xml:space="preserve"> PAGEREF _Toc469409085 \h </w:instrText>
        </w:r>
        <w:r w:rsidR="00BB1DDE" w:rsidRPr="00BB1DDE">
          <w:rPr>
            <w:rFonts w:asciiTheme="majorHAnsi" w:hAnsiTheme="majorHAnsi"/>
            <w:noProof/>
            <w:webHidden/>
            <w:sz w:val="20"/>
            <w:szCs w:val="20"/>
          </w:rPr>
        </w:r>
        <w:r w:rsidR="00BB1DDE" w:rsidRPr="00BB1DDE">
          <w:rPr>
            <w:rFonts w:asciiTheme="majorHAnsi" w:hAnsiTheme="majorHAnsi"/>
            <w:noProof/>
            <w:webHidden/>
            <w:sz w:val="20"/>
            <w:szCs w:val="20"/>
          </w:rPr>
          <w:fldChar w:fldCharType="separate"/>
        </w:r>
        <w:r w:rsidR="00BB1DDE" w:rsidRPr="00BB1DDE">
          <w:rPr>
            <w:rFonts w:asciiTheme="majorHAnsi" w:hAnsiTheme="majorHAnsi"/>
            <w:noProof/>
            <w:webHidden/>
            <w:sz w:val="20"/>
            <w:szCs w:val="20"/>
          </w:rPr>
          <w:t>9</w:t>
        </w:r>
        <w:r w:rsidR="00BB1DDE" w:rsidRPr="00BB1DDE">
          <w:rPr>
            <w:rFonts w:asciiTheme="majorHAnsi" w:hAnsiTheme="majorHAnsi"/>
            <w:noProof/>
            <w:webHidden/>
            <w:sz w:val="20"/>
            <w:szCs w:val="20"/>
          </w:rPr>
          <w:fldChar w:fldCharType="end"/>
        </w:r>
      </w:hyperlink>
    </w:p>
    <w:p w:rsidR="00BB1DDE" w:rsidRPr="00BB1DDE" w:rsidRDefault="00ED58DB">
      <w:pPr>
        <w:pStyle w:val="TOC2"/>
        <w:rPr>
          <w:rFonts w:asciiTheme="majorHAnsi" w:eastAsiaTheme="minorEastAsia" w:hAnsiTheme="majorHAnsi" w:cstheme="minorBidi"/>
          <w:noProof/>
          <w:sz w:val="20"/>
          <w:szCs w:val="20"/>
          <w:bdr w:val="none" w:sz="0" w:space="0" w:color="auto"/>
        </w:rPr>
      </w:pPr>
      <w:hyperlink w:anchor="_Toc469409086" w:history="1">
        <w:r w:rsidR="00BB1DDE" w:rsidRPr="00BB1DDE">
          <w:rPr>
            <w:rStyle w:val="Hyperlink"/>
            <w:rFonts w:asciiTheme="majorHAnsi" w:hAnsiTheme="majorHAnsi"/>
            <w:noProof/>
            <w:sz w:val="20"/>
            <w:szCs w:val="20"/>
            <w:lang w:val="es-VE"/>
          </w:rPr>
          <w:t>B.</w:t>
        </w:r>
        <w:r w:rsidR="00BB1DDE" w:rsidRPr="00BB1DDE">
          <w:rPr>
            <w:rFonts w:asciiTheme="majorHAnsi" w:eastAsiaTheme="minorEastAsia" w:hAnsiTheme="majorHAnsi" w:cstheme="minorBidi"/>
            <w:noProof/>
            <w:sz w:val="20"/>
            <w:szCs w:val="20"/>
            <w:bdr w:val="none" w:sz="0" w:space="0" w:color="auto"/>
          </w:rPr>
          <w:tab/>
        </w:r>
        <w:r w:rsidR="00BB1DDE" w:rsidRPr="00BB1DDE">
          <w:rPr>
            <w:rStyle w:val="Hyperlink"/>
            <w:rFonts w:asciiTheme="majorHAnsi" w:hAnsiTheme="majorHAnsi"/>
            <w:noProof/>
            <w:sz w:val="20"/>
            <w:szCs w:val="20"/>
            <w:lang w:val="es-VE"/>
          </w:rPr>
          <w:t>Recursos intentados por el peticionario para lograr su libertad mientras se encontraba en prisión preventiva</w:t>
        </w:r>
        <w:r w:rsidR="00BB1DDE" w:rsidRPr="00BB1DDE">
          <w:rPr>
            <w:rFonts w:asciiTheme="majorHAnsi" w:hAnsiTheme="majorHAnsi"/>
            <w:noProof/>
            <w:webHidden/>
            <w:sz w:val="20"/>
            <w:szCs w:val="20"/>
          </w:rPr>
          <w:tab/>
        </w:r>
        <w:r w:rsidR="00BB1DDE" w:rsidRPr="00BB1DDE">
          <w:rPr>
            <w:rFonts w:asciiTheme="majorHAnsi" w:hAnsiTheme="majorHAnsi"/>
            <w:noProof/>
            <w:webHidden/>
            <w:sz w:val="20"/>
            <w:szCs w:val="20"/>
          </w:rPr>
          <w:fldChar w:fldCharType="begin"/>
        </w:r>
        <w:r w:rsidR="00BB1DDE" w:rsidRPr="00BB1DDE">
          <w:rPr>
            <w:rFonts w:asciiTheme="majorHAnsi" w:hAnsiTheme="majorHAnsi"/>
            <w:noProof/>
            <w:webHidden/>
            <w:sz w:val="20"/>
            <w:szCs w:val="20"/>
          </w:rPr>
          <w:instrText xml:space="preserve"> PAGEREF _Toc469409086 \h </w:instrText>
        </w:r>
        <w:r w:rsidR="00BB1DDE" w:rsidRPr="00BB1DDE">
          <w:rPr>
            <w:rFonts w:asciiTheme="majorHAnsi" w:hAnsiTheme="majorHAnsi"/>
            <w:noProof/>
            <w:webHidden/>
            <w:sz w:val="20"/>
            <w:szCs w:val="20"/>
          </w:rPr>
        </w:r>
        <w:r w:rsidR="00BB1DDE" w:rsidRPr="00BB1DDE">
          <w:rPr>
            <w:rFonts w:asciiTheme="majorHAnsi" w:hAnsiTheme="majorHAnsi"/>
            <w:noProof/>
            <w:webHidden/>
            <w:sz w:val="20"/>
            <w:szCs w:val="20"/>
          </w:rPr>
          <w:fldChar w:fldCharType="separate"/>
        </w:r>
        <w:r w:rsidR="00BB1DDE" w:rsidRPr="00BB1DDE">
          <w:rPr>
            <w:rFonts w:asciiTheme="majorHAnsi" w:hAnsiTheme="majorHAnsi"/>
            <w:noProof/>
            <w:webHidden/>
            <w:sz w:val="20"/>
            <w:szCs w:val="20"/>
          </w:rPr>
          <w:t>10</w:t>
        </w:r>
        <w:r w:rsidR="00BB1DDE" w:rsidRPr="00BB1DDE">
          <w:rPr>
            <w:rFonts w:asciiTheme="majorHAnsi" w:hAnsiTheme="majorHAnsi"/>
            <w:noProof/>
            <w:webHidden/>
            <w:sz w:val="20"/>
            <w:szCs w:val="20"/>
          </w:rPr>
          <w:fldChar w:fldCharType="end"/>
        </w:r>
      </w:hyperlink>
    </w:p>
    <w:p w:rsidR="00BB1DDE" w:rsidRPr="00BB1DDE" w:rsidRDefault="00ED58DB">
      <w:pPr>
        <w:pStyle w:val="TOC3"/>
        <w:tabs>
          <w:tab w:val="left" w:pos="2160"/>
        </w:tabs>
        <w:rPr>
          <w:rFonts w:asciiTheme="majorHAnsi" w:eastAsiaTheme="minorEastAsia" w:hAnsiTheme="majorHAnsi" w:cstheme="minorBidi"/>
          <w:noProof/>
          <w:sz w:val="20"/>
          <w:szCs w:val="20"/>
          <w:bdr w:val="none" w:sz="0" w:space="0" w:color="auto"/>
        </w:rPr>
      </w:pPr>
      <w:hyperlink w:anchor="_Toc469409087" w:history="1">
        <w:r w:rsidR="00BB1DDE" w:rsidRPr="00BB1DDE">
          <w:rPr>
            <w:rStyle w:val="Hyperlink"/>
            <w:rFonts w:asciiTheme="majorHAnsi" w:hAnsiTheme="majorHAnsi"/>
            <w:noProof/>
            <w:sz w:val="20"/>
            <w:szCs w:val="20"/>
            <w:lang w:val="es-VE"/>
          </w:rPr>
          <w:t>1.</w:t>
        </w:r>
        <w:r w:rsidR="00BB1DDE" w:rsidRPr="00BB1DDE">
          <w:rPr>
            <w:rFonts w:asciiTheme="majorHAnsi" w:eastAsiaTheme="minorEastAsia" w:hAnsiTheme="majorHAnsi" w:cstheme="minorBidi"/>
            <w:noProof/>
            <w:sz w:val="20"/>
            <w:szCs w:val="20"/>
            <w:bdr w:val="none" w:sz="0" w:space="0" w:color="auto"/>
          </w:rPr>
          <w:tab/>
        </w:r>
        <w:r w:rsidR="00BB1DDE" w:rsidRPr="00BB1DDE">
          <w:rPr>
            <w:rStyle w:val="Hyperlink"/>
            <w:rFonts w:asciiTheme="majorHAnsi" w:hAnsiTheme="majorHAnsi"/>
            <w:noProof/>
            <w:sz w:val="20"/>
            <w:szCs w:val="20"/>
            <w:lang w:val="es-VE"/>
          </w:rPr>
          <w:t>Queja ante el Defensor del Pueblo de la Ciudad de Buenos Aires</w:t>
        </w:r>
        <w:r w:rsidR="00BB1DDE" w:rsidRPr="00BB1DDE">
          <w:rPr>
            <w:rFonts w:asciiTheme="majorHAnsi" w:hAnsiTheme="majorHAnsi"/>
            <w:noProof/>
            <w:webHidden/>
            <w:sz w:val="20"/>
            <w:szCs w:val="20"/>
          </w:rPr>
          <w:tab/>
        </w:r>
        <w:r w:rsidR="00BB1DDE" w:rsidRPr="00BB1DDE">
          <w:rPr>
            <w:rFonts w:asciiTheme="majorHAnsi" w:hAnsiTheme="majorHAnsi"/>
            <w:noProof/>
            <w:webHidden/>
            <w:sz w:val="20"/>
            <w:szCs w:val="20"/>
          </w:rPr>
          <w:fldChar w:fldCharType="begin"/>
        </w:r>
        <w:r w:rsidR="00BB1DDE" w:rsidRPr="00BB1DDE">
          <w:rPr>
            <w:rFonts w:asciiTheme="majorHAnsi" w:hAnsiTheme="majorHAnsi"/>
            <w:noProof/>
            <w:webHidden/>
            <w:sz w:val="20"/>
            <w:szCs w:val="20"/>
          </w:rPr>
          <w:instrText xml:space="preserve"> PAGEREF _Toc469409087 \h </w:instrText>
        </w:r>
        <w:r w:rsidR="00BB1DDE" w:rsidRPr="00BB1DDE">
          <w:rPr>
            <w:rFonts w:asciiTheme="majorHAnsi" w:hAnsiTheme="majorHAnsi"/>
            <w:noProof/>
            <w:webHidden/>
            <w:sz w:val="20"/>
            <w:szCs w:val="20"/>
          </w:rPr>
        </w:r>
        <w:r w:rsidR="00BB1DDE" w:rsidRPr="00BB1DDE">
          <w:rPr>
            <w:rFonts w:asciiTheme="majorHAnsi" w:hAnsiTheme="majorHAnsi"/>
            <w:noProof/>
            <w:webHidden/>
            <w:sz w:val="20"/>
            <w:szCs w:val="20"/>
          </w:rPr>
          <w:fldChar w:fldCharType="separate"/>
        </w:r>
        <w:r w:rsidR="00BB1DDE" w:rsidRPr="00BB1DDE">
          <w:rPr>
            <w:rFonts w:asciiTheme="majorHAnsi" w:hAnsiTheme="majorHAnsi"/>
            <w:noProof/>
            <w:webHidden/>
            <w:sz w:val="20"/>
            <w:szCs w:val="20"/>
          </w:rPr>
          <w:t>11</w:t>
        </w:r>
        <w:r w:rsidR="00BB1DDE" w:rsidRPr="00BB1DDE">
          <w:rPr>
            <w:rFonts w:asciiTheme="majorHAnsi" w:hAnsiTheme="majorHAnsi"/>
            <w:noProof/>
            <w:webHidden/>
            <w:sz w:val="20"/>
            <w:szCs w:val="20"/>
          </w:rPr>
          <w:fldChar w:fldCharType="end"/>
        </w:r>
      </w:hyperlink>
    </w:p>
    <w:p w:rsidR="00BB1DDE" w:rsidRPr="00BB1DDE" w:rsidRDefault="00ED58DB">
      <w:pPr>
        <w:pStyle w:val="TOC3"/>
        <w:tabs>
          <w:tab w:val="left" w:pos="2160"/>
        </w:tabs>
        <w:rPr>
          <w:rFonts w:asciiTheme="majorHAnsi" w:eastAsiaTheme="minorEastAsia" w:hAnsiTheme="majorHAnsi" w:cstheme="minorBidi"/>
          <w:noProof/>
          <w:sz w:val="20"/>
          <w:szCs w:val="20"/>
          <w:bdr w:val="none" w:sz="0" w:space="0" w:color="auto"/>
        </w:rPr>
      </w:pPr>
      <w:hyperlink w:anchor="_Toc469409088" w:history="1">
        <w:r w:rsidR="00BB1DDE" w:rsidRPr="00BB1DDE">
          <w:rPr>
            <w:rStyle w:val="Hyperlink"/>
            <w:rFonts w:asciiTheme="majorHAnsi" w:hAnsiTheme="majorHAnsi"/>
            <w:noProof/>
            <w:sz w:val="20"/>
            <w:szCs w:val="20"/>
            <w:lang w:val="es-VE"/>
          </w:rPr>
          <w:t>2.</w:t>
        </w:r>
        <w:r w:rsidR="00BB1DDE" w:rsidRPr="00BB1DDE">
          <w:rPr>
            <w:rFonts w:asciiTheme="majorHAnsi" w:eastAsiaTheme="minorEastAsia" w:hAnsiTheme="majorHAnsi" w:cstheme="minorBidi"/>
            <w:noProof/>
            <w:sz w:val="20"/>
            <w:szCs w:val="20"/>
            <w:bdr w:val="none" w:sz="0" w:space="0" w:color="auto"/>
          </w:rPr>
          <w:tab/>
        </w:r>
        <w:r w:rsidR="00BB1DDE" w:rsidRPr="00BB1DDE">
          <w:rPr>
            <w:rStyle w:val="Hyperlink"/>
            <w:rFonts w:asciiTheme="majorHAnsi" w:hAnsiTheme="majorHAnsi"/>
            <w:noProof/>
            <w:sz w:val="20"/>
            <w:szCs w:val="20"/>
            <w:lang w:val="es-VE"/>
          </w:rPr>
          <w:t>Acción de inconstitucionalidad y solicitud de excarcelación</w:t>
        </w:r>
        <w:r w:rsidR="00BB1DDE" w:rsidRPr="00BB1DDE">
          <w:rPr>
            <w:rFonts w:asciiTheme="majorHAnsi" w:hAnsiTheme="majorHAnsi"/>
            <w:noProof/>
            <w:webHidden/>
            <w:sz w:val="20"/>
            <w:szCs w:val="20"/>
          </w:rPr>
          <w:tab/>
        </w:r>
        <w:r w:rsidR="00BB1DDE" w:rsidRPr="00BB1DDE">
          <w:rPr>
            <w:rFonts w:asciiTheme="majorHAnsi" w:hAnsiTheme="majorHAnsi"/>
            <w:noProof/>
            <w:webHidden/>
            <w:sz w:val="20"/>
            <w:szCs w:val="20"/>
          </w:rPr>
          <w:fldChar w:fldCharType="begin"/>
        </w:r>
        <w:r w:rsidR="00BB1DDE" w:rsidRPr="00BB1DDE">
          <w:rPr>
            <w:rFonts w:asciiTheme="majorHAnsi" w:hAnsiTheme="majorHAnsi"/>
            <w:noProof/>
            <w:webHidden/>
            <w:sz w:val="20"/>
            <w:szCs w:val="20"/>
          </w:rPr>
          <w:instrText xml:space="preserve"> PAGEREF _Toc469409088 \h </w:instrText>
        </w:r>
        <w:r w:rsidR="00BB1DDE" w:rsidRPr="00BB1DDE">
          <w:rPr>
            <w:rFonts w:asciiTheme="majorHAnsi" w:hAnsiTheme="majorHAnsi"/>
            <w:noProof/>
            <w:webHidden/>
            <w:sz w:val="20"/>
            <w:szCs w:val="20"/>
          </w:rPr>
        </w:r>
        <w:r w:rsidR="00BB1DDE" w:rsidRPr="00BB1DDE">
          <w:rPr>
            <w:rFonts w:asciiTheme="majorHAnsi" w:hAnsiTheme="majorHAnsi"/>
            <w:noProof/>
            <w:webHidden/>
            <w:sz w:val="20"/>
            <w:szCs w:val="20"/>
          </w:rPr>
          <w:fldChar w:fldCharType="separate"/>
        </w:r>
        <w:r w:rsidR="00BB1DDE" w:rsidRPr="00BB1DDE">
          <w:rPr>
            <w:rFonts w:asciiTheme="majorHAnsi" w:hAnsiTheme="majorHAnsi"/>
            <w:noProof/>
            <w:webHidden/>
            <w:sz w:val="20"/>
            <w:szCs w:val="20"/>
          </w:rPr>
          <w:t>11</w:t>
        </w:r>
        <w:r w:rsidR="00BB1DDE" w:rsidRPr="00BB1DDE">
          <w:rPr>
            <w:rFonts w:asciiTheme="majorHAnsi" w:hAnsiTheme="majorHAnsi"/>
            <w:noProof/>
            <w:webHidden/>
            <w:sz w:val="20"/>
            <w:szCs w:val="20"/>
          </w:rPr>
          <w:fldChar w:fldCharType="end"/>
        </w:r>
      </w:hyperlink>
    </w:p>
    <w:p w:rsidR="00BB1DDE" w:rsidRPr="00BB1DDE" w:rsidRDefault="00ED58DB">
      <w:pPr>
        <w:pStyle w:val="TOC2"/>
        <w:rPr>
          <w:rFonts w:asciiTheme="majorHAnsi" w:eastAsiaTheme="minorEastAsia" w:hAnsiTheme="majorHAnsi" w:cstheme="minorBidi"/>
          <w:noProof/>
          <w:sz w:val="20"/>
          <w:szCs w:val="20"/>
          <w:bdr w:val="none" w:sz="0" w:space="0" w:color="auto"/>
        </w:rPr>
      </w:pPr>
      <w:hyperlink w:anchor="_Toc469409089" w:history="1">
        <w:r w:rsidR="00BB1DDE" w:rsidRPr="00BB1DDE">
          <w:rPr>
            <w:rStyle w:val="Hyperlink"/>
            <w:rFonts w:asciiTheme="majorHAnsi" w:hAnsiTheme="majorHAnsi"/>
            <w:noProof/>
            <w:sz w:val="20"/>
            <w:szCs w:val="20"/>
            <w:lang w:val="es-VE"/>
          </w:rPr>
          <w:t>C.</w:t>
        </w:r>
        <w:r w:rsidR="00BB1DDE" w:rsidRPr="00BB1DDE">
          <w:rPr>
            <w:rFonts w:asciiTheme="majorHAnsi" w:eastAsiaTheme="minorEastAsia" w:hAnsiTheme="majorHAnsi" w:cstheme="minorBidi"/>
            <w:noProof/>
            <w:sz w:val="20"/>
            <w:szCs w:val="20"/>
            <w:bdr w:val="none" w:sz="0" w:space="0" w:color="auto"/>
          </w:rPr>
          <w:tab/>
        </w:r>
        <w:r w:rsidR="00BB1DDE" w:rsidRPr="00BB1DDE">
          <w:rPr>
            <w:rStyle w:val="Hyperlink"/>
            <w:rFonts w:asciiTheme="majorHAnsi" w:hAnsiTheme="majorHAnsi"/>
            <w:noProof/>
            <w:sz w:val="20"/>
            <w:szCs w:val="20"/>
            <w:lang w:val="es-VE"/>
          </w:rPr>
          <w:t>Las investigaciones penal y administrativa por la prueba incorporada en la causa penal contra la presunta víctima</w:t>
        </w:r>
        <w:r w:rsidR="00BB1DDE" w:rsidRPr="00BB1DDE">
          <w:rPr>
            <w:rFonts w:asciiTheme="majorHAnsi" w:hAnsiTheme="majorHAnsi"/>
            <w:noProof/>
            <w:webHidden/>
            <w:sz w:val="20"/>
            <w:szCs w:val="20"/>
          </w:rPr>
          <w:tab/>
        </w:r>
        <w:r w:rsidR="00BB1DDE" w:rsidRPr="00BB1DDE">
          <w:rPr>
            <w:rFonts w:asciiTheme="majorHAnsi" w:hAnsiTheme="majorHAnsi"/>
            <w:noProof/>
            <w:webHidden/>
            <w:sz w:val="20"/>
            <w:szCs w:val="20"/>
          </w:rPr>
          <w:fldChar w:fldCharType="begin"/>
        </w:r>
        <w:r w:rsidR="00BB1DDE" w:rsidRPr="00BB1DDE">
          <w:rPr>
            <w:rFonts w:asciiTheme="majorHAnsi" w:hAnsiTheme="majorHAnsi"/>
            <w:noProof/>
            <w:webHidden/>
            <w:sz w:val="20"/>
            <w:szCs w:val="20"/>
          </w:rPr>
          <w:instrText xml:space="preserve"> PAGEREF _Toc469409089 \h </w:instrText>
        </w:r>
        <w:r w:rsidR="00BB1DDE" w:rsidRPr="00BB1DDE">
          <w:rPr>
            <w:rFonts w:asciiTheme="majorHAnsi" w:hAnsiTheme="majorHAnsi"/>
            <w:noProof/>
            <w:webHidden/>
            <w:sz w:val="20"/>
            <w:szCs w:val="20"/>
          </w:rPr>
        </w:r>
        <w:r w:rsidR="00BB1DDE" w:rsidRPr="00BB1DDE">
          <w:rPr>
            <w:rFonts w:asciiTheme="majorHAnsi" w:hAnsiTheme="majorHAnsi"/>
            <w:noProof/>
            <w:webHidden/>
            <w:sz w:val="20"/>
            <w:szCs w:val="20"/>
          </w:rPr>
          <w:fldChar w:fldCharType="separate"/>
        </w:r>
        <w:r w:rsidR="00BB1DDE" w:rsidRPr="00BB1DDE">
          <w:rPr>
            <w:rFonts w:asciiTheme="majorHAnsi" w:hAnsiTheme="majorHAnsi"/>
            <w:noProof/>
            <w:webHidden/>
            <w:sz w:val="20"/>
            <w:szCs w:val="20"/>
          </w:rPr>
          <w:t>14</w:t>
        </w:r>
        <w:r w:rsidR="00BB1DDE" w:rsidRPr="00BB1DDE">
          <w:rPr>
            <w:rFonts w:asciiTheme="majorHAnsi" w:hAnsiTheme="majorHAnsi"/>
            <w:noProof/>
            <w:webHidden/>
            <w:sz w:val="20"/>
            <w:szCs w:val="20"/>
          </w:rPr>
          <w:fldChar w:fldCharType="end"/>
        </w:r>
      </w:hyperlink>
    </w:p>
    <w:p w:rsidR="00BB1DDE" w:rsidRPr="00BB1DDE" w:rsidRDefault="00ED58DB">
      <w:pPr>
        <w:pStyle w:val="TOC3"/>
        <w:tabs>
          <w:tab w:val="left" w:pos="2160"/>
        </w:tabs>
        <w:rPr>
          <w:rFonts w:asciiTheme="majorHAnsi" w:eastAsiaTheme="minorEastAsia" w:hAnsiTheme="majorHAnsi" w:cstheme="minorBidi"/>
          <w:noProof/>
          <w:sz w:val="20"/>
          <w:szCs w:val="20"/>
          <w:bdr w:val="none" w:sz="0" w:space="0" w:color="auto"/>
        </w:rPr>
      </w:pPr>
      <w:hyperlink w:anchor="_Toc469409090" w:history="1">
        <w:r w:rsidR="00BB1DDE" w:rsidRPr="00BB1DDE">
          <w:rPr>
            <w:rStyle w:val="Hyperlink"/>
            <w:rFonts w:asciiTheme="majorHAnsi" w:hAnsiTheme="majorHAnsi"/>
            <w:noProof/>
            <w:sz w:val="20"/>
            <w:szCs w:val="20"/>
            <w:lang w:val="es-VE"/>
          </w:rPr>
          <w:t>1.</w:t>
        </w:r>
        <w:r w:rsidR="00BB1DDE" w:rsidRPr="00BB1DDE">
          <w:rPr>
            <w:rFonts w:asciiTheme="majorHAnsi" w:eastAsiaTheme="minorEastAsia" w:hAnsiTheme="majorHAnsi" w:cstheme="minorBidi"/>
            <w:noProof/>
            <w:sz w:val="20"/>
            <w:szCs w:val="20"/>
            <w:bdr w:val="none" w:sz="0" w:space="0" w:color="auto"/>
          </w:rPr>
          <w:tab/>
        </w:r>
        <w:r w:rsidR="00BB1DDE" w:rsidRPr="00BB1DDE">
          <w:rPr>
            <w:rStyle w:val="Hyperlink"/>
            <w:rFonts w:asciiTheme="majorHAnsi" w:hAnsiTheme="majorHAnsi"/>
            <w:noProof/>
            <w:sz w:val="20"/>
            <w:szCs w:val="20"/>
            <w:lang w:val="es-VE"/>
          </w:rPr>
          <w:t>Investigaciones en sede penal</w:t>
        </w:r>
        <w:r w:rsidR="00BB1DDE" w:rsidRPr="00BB1DDE">
          <w:rPr>
            <w:rFonts w:asciiTheme="majorHAnsi" w:hAnsiTheme="majorHAnsi"/>
            <w:noProof/>
            <w:webHidden/>
            <w:sz w:val="20"/>
            <w:szCs w:val="20"/>
          </w:rPr>
          <w:tab/>
        </w:r>
        <w:r w:rsidR="00BB1DDE" w:rsidRPr="00BB1DDE">
          <w:rPr>
            <w:rFonts w:asciiTheme="majorHAnsi" w:hAnsiTheme="majorHAnsi"/>
            <w:noProof/>
            <w:webHidden/>
            <w:sz w:val="20"/>
            <w:szCs w:val="20"/>
          </w:rPr>
          <w:fldChar w:fldCharType="begin"/>
        </w:r>
        <w:r w:rsidR="00BB1DDE" w:rsidRPr="00BB1DDE">
          <w:rPr>
            <w:rFonts w:asciiTheme="majorHAnsi" w:hAnsiTheme="majorHAnsi"/>
            <w:noProof/>
            <w:webHidden/>
            <w:sz w:val="20"/>
            <w:szCs w:val="20"/>
          </w:rPr>
          <w:instrText xml:space="preserve"> PAGEREF _Toc469409090 \h </w:instrText>
        </w:r>
        <w:r w:rsidR="00BB1DDE" w:rsidRPr="00BB1DDE">
          <w:rPr>
            <w:rFonts w:asciiTheme="majorHAnsi" w:hAnsiTheme="majorHAnsi"/>
            <w:noProof/>
            <w:webHidden/>
            <w:sz w:val="20"/>
            <w:szCs w:val="20"/>
          </w:rPr>
        </w:r>
        <w:r w:rsidR="00BB1DDE" w:rsidRPr="00BB1DDE">
          <w:rPr>
            <w:rFonts w:asciiTheme="majorHAnsi" w:hAnsiTheme="majorHAnsi"/>
            <w:noProof/>
            <w:webHidden/>
            <w:sz w:val="20"/>
            <w:szCs w:val="20"/>
          </w:rPr>
          <w:fldChar w:fldCharType="separate"/>
        </w:r>
        <w:r w:rsidR="00BB1DDE" w:rsidRPr="00BB1DDE">
          <w:rPr>
            <w:rFonts w:asciiTheme="majorHAnsi" w:hAnsiTheme="majorHAnsi"/>
            <w:noProof/>
            <w:webHidden/>
            <w:sz w:val="20"/>
            <w:szCs w:val="20"/>
          </w:rPr>
          <w:t>14</w:t>
        </w:r>
        <w:r w:rsidR="00BB1DDE" w:rsidRPr="00BB1DDE">
          <w:rPr>
            <w:rFonts w:asciiTheme="majorHAnsi" w:hAnsiTheme="majorHAnsi"/>
            <w:noProof/>
            <w:webHidden/>
            <w:sz w:val="20"/>
            <w:szCs w:val="20"/>
          </w:rPr>
          <w:fldChar w:fldCharType="end"/>
        </w:r>
      </w:hyperlink>
    </w:p>
    <w:p w:rsidR="00BB1DDE" w:rsidRPr="00BB1DDE" w:rsidRDefault="00ED58DB">
      <w:pPr>
        <w:pStyle w:val="TOC3"/>
        <w:tabs>
          <w:tab w:val="left" w:pos="2160"/>
        </w:tabs>
        <w:rPr>
          <w:rFonts w:asciiTheme="majorHAnsi" w:eastAsiaTheme="minorEastAsia" w:hAnsiTheme="majorHAnsi" w:cstheme="minorBidi"/>
          <w:noProof/>
          <w:sz w:val="20"/>
          <w:szCs w:val="20"/>
          <w:bdr w:val="none" w:sz="0" w:space="0" w:color="auto"/>
        </w:rPr>
      </w:pPr>
      <w:hyperlink w:anchor="_Toc469409091" w:history="1">
        <w:r w:rsidR="00BB1DDE" w:rsidRPr="00BB1DDE">
          <w:rPr>
            <w:rStyle w:val="Hyperlink"/>
            <w:rFonts w:asciiTheme="majorHAnsi" w:hAnsiTheme="majorHAnsi"/>
            <w:noProof/>
            <w:sz w:val="20"/>
            <w:szCs w:val="20"/>
            <w:lang w:val="es-VE"/>
          </w:rPr>
          <w:t>2.</w:t>
        </w:r>
        <w:r w:rsidR="00BB1DDE" w:rsidRPr="00BB1DDE">
          <w:rPr>
            <w:rFonts w:asciiTheme="majorHAnsi" w:eastAsiaTheme="minorEastAsia" w:hAnsiTheme="majorHAnsi" w:cstheme="minorBidi"/>
            <w:noProof/>
            <w:sz w:val="20"/>
            <w:szCs w:val="20"/>
            <w:bdr w:val="none" w:sz="0" w:space="0" w:color="auto"/>
          </w:rPr>
          <w:tab/>
        </w:r>
        <w:r w:rsidR="00BB1DDE" w:rsidRPr="00BB1DDE">
          <w:rPr>
            <w:rStyle w:val="Hyperlink"/>
            <w:rFonts w:asciiTheme="majorHAnsi" w:hAnsiTheme="majorHAnsi"/>
            <w:noProof/>
            <w:sz w:val="20"/>
            <w:szCs w:val="20"/>
            <w:lang w:val="es-VE"/>
          </w:rPr>
          <w:t>Investigaciones en sede administrativa</w:t>
        </w:r>
        <w:r w:rsidR="00BB1DDE" w:rsidRPr="00BB1DDE">
          <w:rPr>
            <w:rFonts w:asciiTheme="majorHAnsi" w:hAnsiTheme="majorHAnsi"/>
            <w:noProof/>
            <w:webHidden/>
            <w:sz w:val="20"/>
            <w:szCs w:val="20"/>
          </w:rPr>
          <w:tab/>
        </w:r>
        <w:r w:rsidR="00BB1DDE" w:rsidRPr="00BB1DDE">
          <w:rPr>
            <w:rFonts w:asciiTheme="majorHAnsi" w:hAnsiTheme="majorHAnsi"/>
            <w:noProof/>
            <w:webHidden/>
            <w:sz w:val="20"/>
            <w:szCs w:val="20"/>
          </w:rPr>
          <w:fldChar w:fldCharType="begin"/>
        </w:r>
        <w:r w:rsidR="00BB1DDE" w:rsidRPr="00BB1DDE">
          <w:rPr>
            <w:rFonts w:asciiTheme="majorHAnsi" w:hAnsiTheme="majorHAnsi"/>
            <w:noProof/>
            <w:webHidden/>
            <w:sz w:val="20"/>
            <w:szCs w:val="20"/>
          </w:rPr>
          <w:instrText xml:space="preserve"> PAGEREF _Toc469409091 \h </w:instrText>
        </w:r>
        <w:r w:rsidR="00BB1DDE" w:rsidRPr="00BB1DDE">
          <w:rPr>
            <w:rFonts w:asciiTheme="majorHAnsi" w:hAnsiTheme="majorHAnsi"/>
            <w:noProof/>
            <w:webHidden/>
            <w:sz w:val="20"/>
            <w:szCs w:val="20"/>
          </w:rPr>
        </w:r>
        <w:r w:rsidR="00BB1DDE" w:rsidRPr="00BB1DDE">
          <w:rPr>
            <w:rFonts w:asciiTheme="majorHAnsi" w:hAnsiTheme="majorHAnsi"/>
            <w:noProof/>
            <w:webHidden/>
            <w:sz w:val="20"/>
            <w:szCs w:val="20"/>
          </w:rPr>
          <w:fldChar w:fldCharType="separate"/>
        </w:r>
        <w:r w:rsidR="00BB1DDE" w:rsidRPr="00BB1DDE">
          <w:rPr>
            <w:rFonts w:asciiTheme="majorHAnsi" w:hAnsiTheme="majorHAnsi"/>
            <w:noProof/>
            <w:webHidden/>
            <w:sz w:val="20"/>
            <w:szCs w:val="20"/>
          </w:rPr>
          <w:t>15</w:t>
        </w:r>
        <w:r w:rsidR="00BB1DDE" w:rsidRPr="00BB1DDE">
          <w:rPr>
            <w:rFonts w:asciiTheme="majorHAnsi" w:hAnsiTheme="majorHAnsi"/>
            <w:noProof/>
            <w:webHidden/>
            <w:sz w:val="20"/>
            <w:szCs w:val="20"/>
          </w:rPr>
          <w:fldChar w:fldCharType="end"/>
        </w:r>
      </w:hyperlink>
    </w:p>
    <w:p w:rsidR="00BB1DDE" w:rsidRPr="00BB1DDE" w:rsidRDefault="00ED58DB">
      <w:pPr>
        <w:pStyle w:val="TOC2"/>
        <w:rPr>
          <w:rFonts w:asciiTheme="majorHAnsi" w:eastAsiaTheme="minorEastAsia" w:hAnsiTheme="majorHAnsi" w:cstheme="minorBidi"/>
          <w:noProof/>
          <w:sz w:val="20"/>
          <w:szCs w:val="20"/>
          <w:bdr w:val="none" w:sz="0" w:space="0" w:color="auto"/>
        </w:rPr>
      </w:pPr>
      <w:hyperlink w:anchor="_Toc469409092" w:history="1">
        <w:r w:rsidR="00BB1DDE" w:rsidRPr="00BB1DDE">
          <w:rPr>
            <w:rStyle w:val="Hyperlink"/>
            <w:rFonts w:asciiTheme="majorHAnsi" w:hAnsiTheme="majorHAnsi"/>
            <w:noProof/>
            <w:sz w:val="20"/>
            <w:szCs w:val="20"/>
            <w:lang w:val="es-VE"/>
          </w:rPr>
          <w:t>D.</w:t>
        </w:r>
        <w:r w:rsidR="00BB1DDE" w:rsidRPr="00BB1DDE">
          <w:rPr>
            <w:rFonts w:asciiTheme="majorHAnsi" w:eastAsiaTheme="minorEastAsia" w:hAnsiTheme="majorHAnsi" w:cstheme="minorBidi"/>
            <w:noProof/>
            <w:sz w:val="20"/>
            <w:szCs w:val="20"/>
            <w:bdr w:val="none" w:sz="0" w:space="0" w:color="auto"/>
          </w:rPr>
          <w:tab/>
        </w:r>
        <w:r w:rsidR="00BB1DDE" w:rsidRPr="00BB1DDE">
          <w:rPr>
            <w:rStyle w:val="Hyperlink"/>
            <w:rFonts w:asciiTheme="majorHAnsi" w:hAnsiTheme="majorHAnsi"/>
            <w:noProof/>
            <w:sz w:val="20"/>
            <w:szCs w:val="20"/>
            <w:lang w:val="es-VE"/>
          </w:rPr>
          <w:t>El proceso por daños y perjuicios promovido por el peticionario</w:t>
        </w:r>
        <w:r w:rsidR="00BB1DDE" w:rsidRPr="00BB1DDE">
          <w:rPr>
            <w:rFonts w:asciiTheme="majorHAnsi" w:hAnsiTheme="majorHAnsi"/>
            <w:noProof/>
            <w:webHidden/>
            <w:sz w:val="20"/>
            <w:szCs w:val="20"/>
          </w:rPr>
          <w:tab/>
        </w:r>
        <w:r w:rsidR="00BB1DDE" w:rsidRPr="00BB1DDE">
          <w:rPr>
            <w:rFonts w:asciiTheme="majorHAnsi" w:hAnsiTheme="majorHAnsi"/>
            <w:noProof/>
            <w:webHidden/>
            <w:sz w:val="20"/>
            <w:szCs w:val="20"/>
          </w:rPr>
          <w:fldChar w:fldCharType="begin"/>
        </w:r>
        <w:r w:rsidR="00BB1DDE" w:rsidRPr="00BB1DDE">
          <w:rPr>
            <w:rFonts w:asciiTheme="majorHAnsi" w:hAnsiTheme="majorHAnsi"/>
            <w:noProof/>
            <w:webHidden/>
            <w:sz w:val="20"/>
            <w:szCs w:val="20"/>
          </w:rPr>
          <w:instrText xml:space="preserve"> PAGEREF _Toc469409092 \h </w:instrText>
        </w:r>
        <w:r w:rsidR="00BB1DDE" w:rsidRPr="00BB1DDE">
          <w:rPr>
            <w:rFonts w:asciiTheme="majorHAnsi" w:hAnsiTheme="majorHAnsi"/>
            <w:noProof/>
            <w:webHidden/>
            <w:sz w:val="20"/>
            <w:szCs w:val="20"/>
          </w:rPr>
        </w:r>
        <w:r w:rsidR="00BB1DDE" w:rsidRPr="00BB1DDE">
          <w:rPr>
            <w:rFonts w:asciiTheme="majorHAnsi" w:hAnsiTheme="majorHAnsi"/>
            <w:noProof/>
            <w:webHidden/>
            <w:sz w:val="20"/>
            <w:szCs w:val="20"/>
          </w:rPr>
          <w:fldChar w:fldCharType="separate"/>
        </w:r>
        <w:r w:rsidR="00BB1DDE" w:rsidRPr="00BB1DDE">
          <w:rPr>
            <w:rFonts w:asciiTheme="majorHAnsi" w:hAnsiTheme="majorHAnsi"/>
            <w:noProof/>
            <w:webHidden/>
            <w:sz w:val="20"/>
            <w:szCs w:val="20"/>
          </w:rPr>
          <w:t>15</w:t>
        </w:r>
        <w:r w:rsidR="00BB1DDE" w:rsidRPr="00BB1DDE">
          <w:rPr>
            <w:rFonts w:asciiTheme="majorHAnsi" w:hAnsiTheme="majorHAnsi"/>
            <w:noProof/>
            <w:webHidden/>
            <w:sz w:val="20"/>
            <w:szCs w:val="20"/>
          </w:rPr>
          <w:fldChar w:fldCharType="end"/>
        </w:r>
      </w:hyperlink>
    </w:p>
    <w:p w:rsidR="00BB1DDE" w:rsidRPr="00BB1DDE" w:rsidRDefault="00ED58DB">
      <w:pPr>
        <w:pStyle w:val="TOC3"/>
        <w:tabs>
          <w:tab w:val="left" w:pos="2160"/>
        </w:tabs>
        <w:rPr>
          <w:rFonts w:asciiTheme="majorHAnsi" w:eastAsiaTheme="minorEastAsia" w:hAnsiTheme="majorHAnsi" w:cstheme="minorBidi"/>
          <w:noProof/>
          <w:sz w:val="20"/>
          <w:szCs w:val="20"/>
          <w:bdr w:val="none" w:sz="0" w:space="0" w:color="auto"/>
        </w:rPr>
      </w:pPr>
      <w:hyperlink w:anchor="_Toc469409093" w:history="1">
        <w:r w:rsidR="00BB1DDE" w:rsidRPr="00BB1DDE">
          <w:rPr>
            <w:rStyle w:val="Hyperlink"/>
            <w:rFonts w:asciiTheme="majorHAnsi" w:hAnsiTheme="majorHAnsi"/>
            <w:noProof/>
            <w:sz w:val="20"/>
            <w:szCs w:val="20"/>
            <w:lang w:val="es-VE"/>
          </w:rPr>
          <w:t>1.</w:t>
        </w:r>
        <w:r w:rsidR="00BB1DDE" w:rsidRPr="00BB1DDE">
          <w:rPr>
            <w:rFonts w:asciiTheme="majorHAnsi" w:eastAsiaTheme="minorEastAsia" w:hAnsiTheme="majorHAnsi" w:cstheme="minorBidi"/>
            <w:noProof/>
            <w:sz w:val="20"/>
            <w:szCs w:val="20"/>
            <w:bdr w:val="none" w:sz="0" w:space="0" w:color="auto"/>
          </w:rPr>
          <w:tab/>
        </w:r>
        <w:r w:rsidR="00BB1DDE" w:rsidRPr="00BB1DDE">
          <w:rPr>
            <w:rStyle w:val="Hyperlink"/>
            <w:rFonts w:asciiTheme="majorHAnsi" w:hAnsiTheme="majorHAnsi"/>
            <w:noProof/>
            <w:sz w:val="20"/>
            <w:szCs w:val="20"/>
            <w:lang w:val="es-VE"/>
          </w:rPr>
          <w:t>Acción por daños y perjuicios y decisión de primera instancia</w:t>
        </w:r>
        <w:r w:rsidR="00BB1DDE" w:rsidRPr="00BB1DDE">
          <w:rPr>
            <w:rFonts w:asciiTheme="majorHAnsi" w:hAnsiTheme="majorHAnsi"/>
            <w:noProof/>
            <w:webHidden/>
            <w:sz w:val="20"/>
            <w:szCs w:val="20"/>
          </w:rPr>
          <w:tab/>
        </w:r>
        <w:r w:rsidR="00BB1DDE" w:rsidRPr="00BB1DDE">
          <w:rPr>
            <w:rFonts w:asciiTheme="majorHAnsi" w:hAnsiTheme="majorHAnsi"/>
            <w:noProof/>
            <w:webHidden/>
            <w:sz w:val="20"/>
            <w:szCs w:val="20"/>
          </w:rPr>
          <w:fldChar w:fldCharType="begin"/>
        </w:r>
        <w:r w:rsidR="00BB1DDE" w:rsidRPr="00BB1DDE">
          <w:rPr>
            <w:rFonts w:asciiTheme="majorHAnsi" w:hAnsiTheme="majorHAnsi"/>
            <w:noProof/>
            <w:webHidden/>
            <w:sz w:val="20"/>
            <w:szCs w:val="20"/>
          </w:rPr>
          <w:instrText xml:space="preserve"> PAGEREF _Toc469409093 \h </w:instrText>
        </w:r>
        <w:r w:rsidR="00BB1DDE" w:rsidRPr="00BB1DDE">
          <w:rPr>
            <w:rFonts w:asciiTheme="majorHAnsi" w:hAnsiTheme="majorHAnsi"/>
            <w:noProof/>
            <w:webHidden/>
            <w:sz w:val="20"/>
            <w:szCs w:val="20"/>
          </w:rPr>
        </w:r>
        <w:r w:rsidR="00BB1DDE" w:rsidRPr="00BB1DDE">
          <w:rPr>
            <w:rFonts w:asciiTheme="majorHAnsi" w:hAnsiTheme="majorHAnsi"/>
            <w:noProof/>
            <w:webHidden/>
            <w:sz w:val="20"/>
            <w:szCs w:val="20"/>
          </w:rPr>
          <w:fldChar w:fldCharType="separate"/>
        </w:r>
        <w:r w:rsidR="00BB1DDE" w:rsidRPr="00BB1DDE">
          <w:rPr>
            <w:rFonts w:asciiTheme="majorHAnsi" w:hAnsiTheme="majorHAnsi"/>
            <w:noProof/>
            <w:webHidden/>
            <w:sz w:val="20"/>
            <w:szCs w:val="20"/>
          </w:rPr>
          <w:t>16</w:t>
        </w:r>
        <w:r w:rsidR="00BB1DDE" w:rsidRPr="00BB1DDE">
          <w:rPr>
            <w:rFonts w:asciiTheme="majorHAnsi" w:hAnsiTheme="majorHAnsi"/>
            <w:noProof/>
            <w:webHidden/>
            <w:sz w:val="20"/>
            <w:szCs w:val="20"/>
          </w:rPr>
          <w:fldChar w:fldCharType="end"/>
        </w:r>
      </w:hyperlink>
    </w:p>
    <w:p w:rsidR="00BB1DDE" w:rsidRPr="00BB1DDE" w:rsidRDefault="00ED58DB">
      <w:pPr>
        <w:pStyle w:val="TOC3"/>
        <w:tabs>
          <w:tab w:val="left" w:pos="2160"/>
        </w:tabs>
        <w:rPr>
          <w:rFonts w:asciiTheme="majorHAnsi" w:eastAsiaTheme="minorEastAsia" w:hAnsiTheme="majorHAnsi" w:cstheme="minorBidi"/>
          <w:noProof/>
          <w:sz w:val="20"/>
          <w:szCs w:val="20"/>
          <w:bdr w:val="none" w:sz="0" w:space="0" w:color="auto"/>
        </w:rPr>
      </w:pPr>
      <w:hyperlink w:anchor="_Toc469409094" w:history="1">
        <w:r w:rsidR="00BB1DDE" w:rsidRPr="00BB1DDE">
          <w:rPr>
            <w:rStyle w:val="Hyperlink"/>
            <w:rFonts w:asciiTheme="majorHAnsi" w:hAnsiTheme="majorHAnsi"/>
            <w:noProof/>
            <w:sz w:val="20"/>
            <w:szCs w:val="20"/>
            <w:lang w:val="es-VE"/>
          </w:rPr>
          <w:t>2.</w:t>
        </w:r>
        <w:r w:rsidR="00BB1DDE" w:rsidRPr="00BB1DDE">
          <w:rPr>
            <w:rFonts w:asciiTheme="majorHAnsi" w:eastAsiaTheme="minorEastAsia" w:hAnsiTheme="majorHAnsi" w:cstheme="minorBidi"/>
            <w:noProof/>
            <w:sz w:val="20"/>
            <w:szCs w:val="20"/>
            <w:bdr w:val="none" w:sz="0" w:space="0" w:color="auto"/>
          </w:rPr>
          <w:tab/>
        </w:r>
        <w:r w:rsidR="00BB1DDE" w:rsidRPr="00BB1DDE">
          <w:rPr>
            <w:rStyle w:val="Hyperlink"/>
            <w:rFonts w:asciiTheme="majorHAnsi" w:hAnsiTheme="majorHAnsi"/>
            <w:noProof/>
            <w:sz w:val="20"/>
            <w:szCs w:val="20"/>
            <w:lang w:val="es-VE"/>
          </w:rPr>
          <w:t>Recurso de apelación, decisión de segunda instancia y recurso de queja</w:t>
        </w:r>
        <w:r w:rsidR="00BB1DDE" w:rsidRPr="00BB1DDE">
          <w:rPr>
            <w:rFonts w:asciiTheme="majorHAnsi" w:hAnsiTheme="majorHAnsi"/>
            <w:noProof/>
            <w:webHidden/>
            <w:sz w:val="20"/>
            <w:szCs w:val="20"/>
          </w:rPr>
          <w:tab/>
        </w:r>
        <w:r w:rsidR="00BB1DDE" w:rsidRPr="00BB1DDE">
          <w:rPr>
            <w:rFonts w:asciiTheme="majorHAnsi" w:hAnsiTheme="majorHAnsi"/>
            <w:noProof/>
            <w:webHidden/>
            <w:sz w:val="20"/>
            <w:szCs w:val="20"/>
          </w:rPr>
          <w:fldChar w:fldCharType="begin"/>
        </w:r>
        <w:r w:rsidR="00BB1DDE" w:rsidRPr="00BB1DDE">
          <w:rPr>
            <w:rFonts w:asciiTheme="majorHAnsi" w:hAnsiTheme="majorHAnsi"/>
            <w:noProof/>
            <w:webHidden/>
            <w:sz w:val="20"/>
            <w:szCs w:val="20"/>
          </w:rPr>
          <w:instrText xml:space="preserve"> PAGEREF _Toc469409094 \h </w:instrText>
        </w:r>
        <w:r w:rsidR="00BB1DDE" w:rsidRPr="00BB1DDE">
          <w:rPr>
            <w:rFonts w:asciiTheme="majorHAnsi" w:hAnsiTheme="majorHAnsi"/>
            <w:noProof/>
            <w:webHidden/>
            <w:sz w:val="20"/>
            <w:szCs w:val="20"/>
          </w:rPr>
        </w:r>
        <w:r w:rsidR="00BB1DDE" w:rsidRPr="00BB1DDE">
          <w:rPr>
            <w:rFonts w:asciiTheme="majorHAnsi" w:hAnsiTheme="majorHAnsi"/>
            <w:noProof/>
            <w:webHidden/>
            <w:sz w:val="20"/>
            <w:szCs w:val="20"/>
          </w:rPr>
          <w:fldChar w:fldCharType="separate"/>
        </w:r>
        <w:r w:rsidR="00BB1DDE" w:rsidRPr="00BB1DDE">
          <w:rPr>
            <w:rFonts w:asciiTheme="majorHAnsi" w:hAnsiTheme="majorHAnsi"/>
            <w:noProof/>
            <w:webHidden/>
            <w:sz w:val="20"/>
            <w:szCs w:val="20"/>
          </w:rPr>
          <w:t>16</w:t>
        </w:r>
        <w:r w:rsidR="00BB1DDE" w:rsidRPr="00BB1DDE">
          <w:rPr>
            <w:rFonts w:asciiTheme="majorHAnsi" w:hAnsiTheme="majorHAnsi"/>
            <w:noProof/>
            <w:webHidden/>
            <w:sz w:val="20"/>
            <w:szCs w:val="20"/>
          </w:rPr>
          <w:fldChar w:fldCharType="end"/>
        </w:r>
      </w:hyperlink>
    </w:p>
    <w:p w:rsidR="00BB1DDE" w:rsidRPr="00BB1DDE" w:rsidRDefault="00ED58DB" w:rsidP="00BB1DDE">
      <w:pPr>
        <w:pStyle w:val="TOC1"/>
        <w:rPr>
          <w:rFonts w:eastAsiaTheme="minorEastAsia" w:cstheme="minorBidi"/>
          <w:bdr w:val="none" w:sz="0" w:space="0" w:color="auto"/>
        </w:rPr>
      </w:pPr>
      <w:hyperlink w:anchor="_Toc469409095" w:history="1">
        <w:r w:rsidR="00BB1DDE" w:rsidRPr="00BB1DDE">
          <w:rPr>
            <w:rStyle w:val="Hyperlink"/>
            <w:b/>
          </w:rPr>
          <w:t>V.</w:t>
        </w:r>
        <w:r w:rsidR="00BB1DDE" w:rsidRPr="00BB1DDE">
          <w:rPr>
            <w:rFonts w:eastAsiaTheme="minorEastAsia" w:cstheme="minorBidi"/>
            <w:b/>
            <w:bdr w:val="none" w:sz="0" w:space="0" w:color="auto"/>
          </w:rPr>
          <w:tab/>
        </w:r>
        <w:r w:rsidR="00BB1DDE" w:rsidRPr="00BB1DDE">
          <w:rPr>
            <w:rStyle w:val="Hyperlink"/>
            <w:b/>
          </w:rPr>
          <w:t>ANALISIS DE DERECHO</w:t>
        </w:r>
        <w:r w:rsidR="00BB1DDE" w:rsidRPr="00BB1DDE">
          <w:rPr>
            <w:webHidden/>
          </w:rPr>
          <w:tab/>
        </w:r>
        <w:r w:rsidR="00BB1DDE" w:rsidRPr="00BB1DDE">
          <w:rPr>
            <w:webHidden/>
          </w:rPr>
          <w:fldChar w:fldCharType="begin"/>
        </w:r>
        <w:r w:rsidR="00BB1DDE" w:rsidRPr="00BB1DDE">
          <w:rPr>
            <w:webHidden/>
          </w:rPr>
          <w:instrText xml:space="preserve"> PAGEREF _Toc469409095 \h </w:instrText>
        </w:r>
        <w:r w:rsidR="00BB1DDE" w:rsidRPr="00BB1DDE">
          <w:rPr>
            <w:webHidden/>
          </w:rPr>
        </w:r>
        <w:r w:rsidR="00BB1DDE" w:rsidRPr="00BB1DDE">
          <w:rPr>
            <w:webHidden/>
          </w:rPr>
          <w:fldChar w:fldCharType="separate"/>
        </w:r>
        <w:r w:rsidR="00BB1DDE" w:rsidRPr="00BB1DDE">
          <w:rPr>
            <w:webHidden/>
          </w:rPr>
          <w:t>17</w:t>
        </w:r>
        <w:r w:rsidR="00BB1DDE" w:rsidRPr="00BB1DDE">
          <w:rPr>
            <w:webHidden/>
          </w:rPr>
          <w:fldChar w:fldCharType="end"/>
        </w:r>
      </w:hyperlink>
    </w:p>
    <w:p w:rsidR="00BB1DDE" w:rsidRPr="00BB1DDE" w:rsidRDefault="00ED58DB">
      <w:pPr>
        <w:pStyle w:val="TOC2"/>
        <w:rPr>
          <w:rFonts w:asciiTheme="majorHAnsi" w:eastAsiaTheme="minorEastAsia" w:hAnsiTheme="majorHAnsi" w:cstheme="minorBidi"/>
          <w:noProof/>
          <w:sz w:val="20"/>
          <w:szCs w:val="20"/>
          <w:bdr w:val="none" w:sz="0" w:space="0" w:color="auto"/>
        </w:rPr>
      </w:pPr>
      <w:hyperlink w:anchor="_Toc469409096" w:history="1">
        <w:r w:rsidR="00BB1DDE" w:rsidRPr="00BB1DDE">
          <w:rPr>
            <w:rStyle w:val="Hyperlink"/>
            <w:rFonts w:asciiTheme="majorHAnsi" w:hAnsiTheme="majorHAnsi"/>
            <w:noProof/>
            <w:sz w:val="20"/>
            <w:szCs w:val="20"/>
            <w:lang w:val="es-ES" w:eastAsia="es-ES"/>
          </w:rPr>
          <w:t>A.</w:t>
        </w:r>
        <w:r w:rsidR="00BB1DDE" w:rsidRPr="00BB1DDE">
          <w:rPr>
            <w:rFonts w:asciiTheme="majorHAnsi" w:eastAsiaTheme="minorEastAsia" w:hAnsiTheme="majorHAnsi" w:cstheme="minorBidi"/>
            <w:noProof/>
            <w:sz w:val="20"/>
            <w:szCs w:val="20"/>
            <w:bdr w:val="none" w:sz="0" w:space="0" w:color="auto"/>
          </w:rPr>
          <w:tab/>
        </w:r>
        <w:r w:rsidR="00BB1DDE" w:rsidRPr="00BB1DDE">
          <w:rPr>
            <w:rStyle w:val="Hyperlink"/>
            <w:rFonts w:asciiTheme="majorHAnsi" w:hAnsiTheme="majorHAnsi"/>
            <w:noProof/>
            <w:sz w:val="20"/>
            <w:szCs w:val="20"/>
            <w:lang w:val="es-ES" w:eastAsia="es-ES"/>
          </w:rPr>
          <w:t>Cuestiones previas</w:t>
        </w:r>
        <w:r w:rsidR="00BB1DDE" w:rsidRPr="00BB1DDE">
          <w:rPr>
            <w:rFonts w:asciiTheme="majorHAnsi" w:hAnsiTheme="majorHAnsi"/>
            <w:noProof/>
            <w:webHidden/>
            <w:sz w:val="20"/>
            <w:szCs w:val="20"/>
          </w:rPr>
          <w:tab/>
        </w:r>
        <w:r w:rsidR="00BB1DDE" w:rsidRPr="00BB1DDE">
          <w:rPr>
            <w:rFonts w:asciiTheme="majorHAnsi" w:hAnsiTheme="majorHAnsi"/>
            <w:noProof/>
            <w:webHidden/>
            <w:sz w:val="20"/>
            <w:szCs w:val="20"/>
          </w:rPr>
          <w:fldChar w:fldCharType="begin"/>
        </w:r>
        <w:r w:rsidR="00BB1DDE" w:rsidRPr="00BB1DDE">
          <w:rPr>
            <w:rFonts w:asciiTheme="majorHAnsi" w:hAnsiTheme="majorHAnsi"/>
            <w:noProof/>
            <w:webHidden/>
            <w:sz w:val="20"/>
            <w:szCs w:val="20"/>
          </w:rPr>
          <w:instrText xml:space="preserve"> PAGEREF _Toc469409096 \h </w:instrText>
        </w:r>
        <w:r w:rsidR="00BB1DDE" w:rsidRPr="00BB1DDE">
          <w:rPr>
            <w:rFonts w:asciiTheme="majorHAnsi" w:hAnsiTheme="majorHAnsi"/>
            <w:noProof/>
            <w:webHidden/>
            <w:sz w:val="20"/>
            <w:szCs w:val="20"/>
          </w:rPr>
        </w:r>
        <w:r w:rsidR="00BB1DDE" w:rsidRPr="00BB1DDE">
          <w:rPr>
            <w:rFonts w:asciiTheme="majorHAnsi" w:hAnsiTheme="majorHAnsi"/>
            <w:noProof/>
            <w:webHidden/>
            <w:sz w:val="20"/>
            <w:szCs w:val="20"/>
          </w:rPr>
          <w:fldChar w:fldCharType="separate"/>
        </w:r>
        <w:r w:rsidR="00BB1DDE" w:rsidRPr="00BB1DDE">
          <w:rPr>
            <w:rFonts w:asciiTheme="majorHAnsi" w:hAnsiTheme="majorHAnsi"/>
            <w:noProof/>
            <w:webHidden/>
            <w:sz w:val="20"/>
            <w:szCs w:val="20"/>
          </w:rPr>
          <w:t>17</w:t>
        </w:r>
        <w:r w:rsidR="00BB1DDE" w:rsidRPr="00BB1DDE">
          <w:rPr>
            <w:rFonts w:asciiTheme="majorHAnsi" w:hAnsiTheme="majorHAnsi"/>
            <w:noProof/>
            <w:webHidden/>
            <w:sz w:val="20"/>
            <w:szCs w:val="20"/>
          </w:rPr>
          <w:fldChar w:fldCharType="end"/>
        </w:r>
      </w:hyperlink>
    </w:p>
    <w:p w:rsidR="00BB1DDE" w:rsidRPr="00BB1DDE" w:rsidRDefault="00ED58DB">
      <w:pPr>
        <w:pStyle w:val="TOC2"/>
        <w:rPr>
          <w:rFonts w:asciiTheme="majorHAnsi" w:eastAsiaTheme="minorEastAsia" w:hAnsiTheme="majorHAnsi" w:cstheme="minorBidi"/>
          <w:noProof/>
          <w:sz w:val="20"/>
          <w:szCs w:val="20"/>
          <w:bdr w:val="none" w:sz="0" w:space="0" w:color="auto"/>
        </w:rPr>
      </w:pPr>
      <w:hyperlink w:anchor="_Toc469409097" w:history="1">
        <w:r w:rsidR="00BB1DDE" w:rsidRPr="00BB1DDE">
          <w:rPr>
            <w:rStyle w:val="Hyperlink"/>
            <w:rFonts w:asciiTheme="majorHAnsi" w:hAnsiTheme="majorHAnsi"/>
            <w:noProof/>
            <w:sz w:val="20"/>
            <w:szCs w:val="20"/>
            <w:lang w:val="es-ES" w:eastAsia="es-ES"/>
          </w:rPr>
          <w:t>B.</w:t>
        </w:r>
        <w:r w:rsidR="00BB1DDE" w:rsidRPr="00BB1DDE">
          <w:rPr>
            <w:rFonts w:asciiTheme="majorHAnsi" w:eastAsiaTheme="minorEastAsia" w:hAnsiTheme="majorHAnsi" w:cstheme="minorBidi"/>
            <w:noProof/>
            <w:sz w:val="20"/>
            <w:szCs w:val="20"/>
            <w:bdr w:val="none" w:sz="0" w:space="0" w:color="auto"/>
          </w:rPr>
          <w:tab/>
        </w:r>
        <w:r w:rsidR="00BB1DDE" w:rsidRPr="00BB1DDE">
          <w:rPr>
            <w:rStyle w:val="Hyperlink"/>
            <w:rFonts w:asciiTheme="majorHAnsi" w:hAnsiTheme="majorHAnsi"/>
            <w:noProof/>
            <w:sz w:val="20"/>
            <w:szCs w:val="20"/>
            <w:lang w:val="es-ES" w:eastAsia="es-ES"/>
          </w:rPr>
          <w:t>El derecho a la libertad personal, a la presunción de inocencia y a la protección judicial  respecto de la motivación de la detención preventiva (Artículos 7.1, 7.3, 7.5, 7.6, 8.2, 25.1, 1.1 y 2 de la Convención Americana)</w:t>
        </w:r>
        <w:r w:rsidR="00BB1DDE" w:rsidRPr="00BB1DDE">
          <w:rPr>
            <w:rFonts w:asciiTheme="majorHAnsi" w:hAnsiTheme="majorHAnsi"/>
            <w:noProof/>
            <w:webHidden/>
            <w:sz w:val="20"/>
            <w:szCs w:val="20"/>
          </w:rPr>
          <w:tab/>
        </w:r>
        <w:r w:rsidR="00BB1DDE" w:rsidRPr="00BB1DDE">
          <w:rPr>
            <w:rFonts w:asciiTheme="majorHAnsi" w:hAnsiTheme="majorHAnsi"/>
            <w:noProof/>
            <w:webHidden/>
            <w:sz w:val="20"/>
            <w:szCs w:val="20"/>
          </w:rPr>
          <w:fldChar w:fldCharType="begin"/>
        </w:r>
        <w:r w:rsidR="00BB1DDE" w:rsidRPr="00BB1DDE">
          <w:rPr>
            <w:rFonts w:asciiTheme="majorHAnsi" w:hAnsiTheme="majorHAnsi"/>
            <w:noProof/>
            <w:webHidden/>
            <w:sz w:val="20"/>
            <w:szCs w:val="20"/>
          </w:rPr>
          <w:instrText xml:space="preserve"> PAGEREF _Toc469409097 \h </w:instrText>
        </w:r>
        <w:r w:rsidR="00BB1DDE" w:rsidRPr="00BB1DDE">
          <w:rPr>
            <w:rFonts w:asciiTheme="majorHAnsi" w:hAnsiTheme="majorHAnsi"/>
            <w:noProof/>
            <w:webHidden/>
            <w:sz w:val="20"/>
            <w:szCs w:val="20"/>
          </w:rPr>
        </w:r>
        <w:r w:rsidR="00BB1DDE" w:rsidRPr="00BB1DDE">
          <w:rPr>
            <w:rFonts w:asciiTheme="majorHAnsi" w:hAnsiTheme="majorHAnsi"/>
            <w:noProof/>
            <w:webHidden/>
            <w:sz w:val="20"/>
            <w:szCs w:val="20"/>
          </w:rPr>
          <w:fldChar w:fldCharType="separate"/>
        </w:r>
        <w:r w:rsidR="00BB1DDE" w:rsidRPr="00BB1DDE">
          <w:rPr>
            <w:rFonts w:asciiTheme="majorHAnsi" w:hAnsiTheme="majorHAnsi"/>
            <w:noProof/>
            <w:webHidden/>
            <w:sz w:val="20"/>
            <w:szCs w:val="20"/>
          </w:rPr>
          <w:t>18</w:t>
        </w:r>
        <w:r w:rsidR="00BB1DDE" w:rsidRPr="00BB1DDE">
          <w:rPr>
            <w:rFonts w:asciiTheme="majorHAnsi" w:hAnsiTheme="majorHAnsi"/>
            <w:noProof/>
            <w:webHidden/>
            <w:sz w:val="20"/>
            <w:szCs w:val="20"/>
          </w:rPr>
          <w:fldChar w:fldCharType="end"/>
        </w:r>
      </w:hyperlink>
    </w:p>
    <w:p w:rsidR="00BB1DDE" w:rsidRPr="00BB1DDE" w:rsidRDefault="00ED58DB">
      <w:pPr>
        <w:pStyle w:val="TOC3"/>
        <w:tabs>
          <w:tab w:val="left" w:pos="2160"/>
        </w:tabs>
        <w:rPr>
          <w:rFonts w:asciiTheme="majorHAnsi" w:eastAsiaTheme="minorEastAsia" w:hAnsiTheme="majorHAnsi" w:cstheme="minorBidi"/>
          <w:noProof/>
          <w:sz w:val="20"/>
          <w:szCs w:val="20"/>
          <w:bdr w:val="none" w:sz="0" w:space="0" w:color="auto"/>
        </w:rPr>
      </w:pPr>
      <w:hyperlink w:anchor="_Toc469409098" w:history="1">
        <w:r w:rsidR="00BB1DDE" w:rsidRPr="00BB1DDE">
          <w:rPr>
            <w:rStyle w:val="Hyperlink"/>
            <w:rFonts w:asciiTheme="majorHAnsi" w:hAnsiTheme="majorHAnsi"/>
            <w:noProof/>
            <w:sz w:val="20"/>
            <w:szCs w:val="20"/>
            <w:lang w:val="es-VE"/>
          </w:rPr>
          <w:t>1.</w:t>
        </w:r>
        <w:r w:rsidR="00BB1DDE" w:rsidRPr="00BB1DDE">
          <w:rPr>
            <w:rFonts w:asciiTheme="majorHAnsi" w:eastAsiaTheme="minorEastAsia" w:hAnsiTheme="majorHAnsi" w:cstheme="minorBidi"/>
            <w:noProof/>
            <w:sz w:val="20"/>
            <w:szCs w:val="20"/>
            <w:bdr w:val="none" w:sz="0" w:space="0" w:color="auto"/>
          </w:rPr>
          <w:tab/>
        </w:r>
        <w:r w:rsidR="00BB1DDE" w:rsidRPr="00BB1DDE">
          <w:rPr>
            <w:rStyle w:val="Hyperlink"/>
            <w:rFonts w:asciiTheme="majorHAnsi" w:hAnsiTheme="majorHAnsi"/>
            <w:noProof/>
            <w:sz w:val="20"/>
            <w:szCs w:val="20"/>
            <w:lang w:val="es-VE"/>
          </w:rPr>
          <w:t>Consideraciones generales sobre la detención preventiva</w:t>
        </w:r>
        <w:r w:rsidR="00BB1DDE" w:rsidRPr="00BB1DDE">
          <w:rPr>
            <w:rFonts w:asciiTheme="majorHAnsi" w:hAnsiTheme="majorHAnsi"/>
            <w:noProof/>
            <w:webHidden/>
            <w:sz w:val="20"/>
            <w:szCs w:val="20"/>
          </w:rPr>
          <w:tab/>
        </w:r>
        <w:r w:rsidR="00BB1DDE" w:rsidRPr="00BB1DDE">
          <w:rPr>
            <w:rFonts w:asciiTheme="majorHAnsi" w:hAnsiTheme="majorHAnsi"/>
            <w:noProof/>
            <w:webHidden/>
            <w:sz w:val="20"/>
            <w:szCs w:val="20"/>
          </w:rPr>
          <w:fldChar w:fldCharType="begin"/>
        </w:r>
        <w:r w:rsidR="00BB1DDE" w:rsidRPr="00BB1DDE">
          <w:rPr>
            <w:rFonts w:asciiTheme="majorHAnsi" w:hAnsiTheme="majorHAnsi"/>
            <w:noProof/>
            <w:webHidden/>
            <w:sz w:val="20"/>
            <w:szCs w:val="20"/>
          </w:rPr>
          <w:instrText xml:space="preserve"> PAGEREF _Toc469409098 \h </w:instrText>
        </w:r>
        <w:r w:rsidR="00BB1DDE" w:rsidRPr="00BB1DDE">
          <w:rPr>
            <w:rFonts w:asciiTheme="majorHAnsi" w:hAnsiTheme="majorHAnsi"/>
            <w:noProof/>
            <w:webHidden/>
            <w:sz w:val="20"/>
            <w:szCs w:val="20"/>
          </w:rPr>
        </w:r>
        <w:r w:rsidR="00BB1DDE" w:rsidRPr="00BB1DDE">
          <w:rPr>
            <w:rFonts w:asciiTheme="majorHAnsi" w:hAnsiTheme="majorHAnsi"/>
            <w:noProof/>
            <w:webHidden/>
            <w:sz w:val="20"/>
            <w:szCs w:val="20"/>
          </w:rPr>
          <w:fldChar w:fldCharType="separate"/>
        </w:r>
        <w:r w:rsidR="00BB1DDE" w:rsidRPr="00BB1DDE">
          <w:rPr>
            <w:rFonts w:asciiTheme="majorHAnsi" w:hAnsiTheme="majorHAnsi"/>
            <w:noProof/>
            <w:webHidden/>
            <w:sz w:val="20"/>
            <w:szCs w:val="20"/>
          </w:rPr>
          <w:t>19</w:t>
        </w:r>
        <w:r w:rsidR="00BB1DDE" w:rsidRPr="00BB1DDE">
          <w:rPr>
            <w:rFonts w:asciiTheme="majorHAnsi" w:hAnsiTheme="majorHAnsi"/>
            <w:noProof/>
            <w:webHidden/>
            <w:sz w:val="20"/>
            <w:szCs w:val="20"/>
          </w:rPr>
          <w:fldChar w:fldCharType="end"/>
        </w:r>
      </w:hyperlink>
    </w:p>
    <w:p w:rsidR="00BB1DDE" w:rsidRPr="00BB1DDE" w:rsidRDefault="00ED58DB">
      <w:pPr>
        <w:pStyle w:val="TOC3"/>
        <w:tabs>
          <w:tab w:val="left" w:pos="2160"/>
        </w:tabs>
        <w:rPr>
          <w:rFonts w:asciiTheme="majorHAnsi" w:eastAsiaTheme="minorEastAsia" w:hAnsiTheme="majorHAnsi" w:cstheme="minorBidi"/>
          <w:noProof/>
          <w:sz w:val="20"/>
          <w:szCs w:val="20"/>
          <w:bdr w:val="none" w:sz="0" w:space="0" w:color="auto"/>
        </w:rPr>
      </w:pPr>
      <w:hyperlink w:anchor="_Toc469409099" w:history="1">
        <w:r w:rsidR="00BB1DDE" w:rsidRPr="00BB1DDE">
          <w:rPr>
            <w:rStyle w:val="Hyperlink"/>
            <w:rFonts w:asciiTheme="majorHAnsi" w:hAnsiTheme="majorHAnsi"/>
            <w:noProof/>
            <w:sz w:val="20"/>
            <w:szCs w:val="20"/>
            <w:lang w:val="es-VE"/>
          </w:rPr>
          <w:t>2.</w:t>
        </w:r>
        <w:r w:rsidR="00BB1DDE" w:rsidRPr="00BB1DDE">
          <w:rPr>
            <w:rFonts w:asciiTheme="majorHAnsi" w:eastAsiaTheme="minorEastAsia" w:hAnsiTheme="majorHAnsi" w:cstheme="minorBidi"/>
            <w:noProof/>
            <w:sz w:val="20"/>
            <w:szCs w:val="20"/>
            <w:bdr w:val="none" w:sz="0" w:space="0" w:color="auto"/>
          </w:rPr>
          <w:tab/>
        </w:r>
        <w:r w:rsidR="00BB1DDE" w:rsidRPr="00BB1DDE">
          <w:rPr>
            <w:rStyle w:val="Hyperlink"/>
            <w:rFonts w:asciiTheme="majorHAnsi" w:hAnsiTheme="majorHAnsi"/>
            <w:noProof/>
            <w:sz w:val="20"/>
            <w:szCs w:val="20"/>
            <w:lang w:val="es-VE"/>
          </w:rPr>
          <w:t>Análisis del caso</w:t>
        </w:r>
        <w:r w:rsidR="00BB1DDE" w:rsidRPr="00BB1DDE">
          <w:rPr>
            <w:rFonts w:asciiTheme="majorHAnsi" w:hAnsiTheme="majorHAnsi"/>
            <w:noProof/>
            <w:webHidden/>
            <w:sz w:val="20"/>
            <w:szCs w:val="20"/>
          </w:rPr>
          <w:tab/>
        </w:r>
        <w:r w:rsidR="00BB1DDE" w:rsidRPr="00BB1DDE">
          <w:rPr>
            <w:rFonts w:asciiTheme="majorHAnsi" w:hAnsiTheme="majorHAnsi"/>
            <w:noProof/>
            <w:webHidden/>
            <w:sz w:val="20"/>
            <w:szCs w:val="20"/>
          </w:rPr>
          <w:fldChar w:fldCharType="begin"/>
        </w:r>
        <w:r w:rsidR="00BB1DDE" w:rsidRPr="00BB1DDE">
          <w:rPr>
            <w:rFonts w:asciiTheme="majorHAnsi" w:hAnsiTheme="majorHAnsi"/>
            <w:noProof/>
            <w:webHidden/>
            <w:sz w:val="20"/>
            <w:szCs w:val="20"/>
          </w:rPr>
          <w:instrText xml:space="preserve"> PAGEREF _Toc469409099 \h </w:instrText>
        </w:r>
        <w:r w:rsidR="00BB1DDE" w:rsidRPr="00BB1DDE">
          <w:rPr>
            <w:rFonts w:asciiTheme="majorHAnsi" w:hAnsiTheme="majorHAnsi"/>
            <w:noProof/>
            <w:webHidden/>
            <w:sz w:val="20"/>
            <w:szCs w:val="20"/>
          </w:rPr>
        </w:r>
        <w:r w:rsidR="00BB1DDE" w:rsidRPr="00BB1DDE">
          <w:rPr>
            <w:rFonts w:asciiTheme="majorHAnsi" w:hAnsiTheme="majorHAnsi"/>
            <w:noProof/>
            <w:webHidden/>
            <w:sz w:val="20"/>
            <w:szCs w:val="20"/>
          </w:rPr>
          <w:fldChar w:fldCharType="separate"/>
        </w:r>
        <w:r w:rsidR="00BB1DDE" w:rsidRPr="00BB1DDE">
          <w:rPr>
            <w:rFonts w:asciiTheme="majorHAnsi" w:hAnsiTheme="majorHAnsi"/>
            <w:noProof/>
            <w:webHidden/>
            <w:sz w:val="20"/>
            <w:szCs w:val="20"/>
          </w:rPr>
          <w:t>22</w:t>
        </w:r>
        <w:r w:rsidR="00BB1DDE" w:rsidRPr="00BB1DDE">
          <w:rPr>
            <w:rFonts w:asciiTheme="majorHAnsi" w:hAnsiTheme="majorHAnsi"/>
            <w:noProof/>
            <w:webHidden/>
            <w:sz w:val="20"/>
            <w:szCs w:val="20"/>
          </w:rPr>
          <w:fldChar w:fldCharType="end"/>
        </w:r>
      </w:hyperlink>
    </w:p>
    <w:p w:rsidR="00BB1DDE" w:rsidRPr="00BB1DDE" w:rsidRDefault="00ED58DB">
      <w:pPr>
        <w:pStyle w:val="TOC2"/>
        <w:rPr>
          <w:rFonts w:asciiTheme="majorHAnsi" w:eastAsiaTheme="minorEastAsia" w:hAnsiTheme="majorHAnsi" w:cstheme="minorBidi"/>
          <w:noProof/>
          <w:sz w:val="20"/>
          <w:szCs w:val="20"/>
          <w:bdr w:val="none" w:sz="0" w:space="0" w:color="auto"/>
        </w:rPr>
      </w:pPr>
      <w:hyperlink w:anchor="_Toc469409100" w:history="1">
        <w:r w:rsidR="00BB1DDE" w:rsidRPr="00BB1DDE">
          <w:rPr>
            <w:rStyle w:val="Hyperlink"/>
            <w:rFonts w:asciiTheme="majorHAnsi" w:hAnsiTheme="majorHAnsi"/>
            <w:noProof/>
            <w:sz w:val="20"/>
            <w:szCs w:val="20"/>
            <w:lang w:val="es-ES" w:eastAsia="es-ES"/>
          </w:rPr>
          <w:t>C.</w:t>
        </w:r>
        <w:r w:rsidR="00BB1DDE" w:rsidRPr="00BB1DDE">
          <w:rPr>
            <w:rFonts w:asciiTheme="majorHAnsi" w:eastAsiaTheme="minorEastAsia" w:hAnsiTheme="majorHAnsi" w:cstheme="minorBidi"/>
            <w:noProof/>
            <w:sz w:val="20"/>
            <w:szCs w:val="20"/>
            <w:bdr w:val="none" w:sz="0" w:space="0" w:color="auto"/>
          </w:rPr>
          <w:tab/>
        </w:r>
        <w:r w:rsidR="00BB1DDE" w:rsidRPr="00BB1DDE">
          <w:rPr>
            <w:rStyle w:val="Hyperlink"/>
            <w:rFonts w:asciiTheme="majorHAnsi" w:hAnsiTheme="majorHAnsi"/>
            <w:noProof/>
            <w:sz w:val="20"/>
            <w:szCs w:val="20"/>
            <w:lang w:val="es-ES" w:eastAsia="es-ES"/>
          </w:rPr>
          <w:t>El derecho a la libertad personal y el derecho de igualdad ante la ley en relación con el deber de adoptar disposiciones de derecho interno (Artículos 7, 24, 1.1 y 2 de la Convención Americana)</w:t>
        </w:r>
        <w:r w:rsidR="00BB1DDE" w:rsidRPr="00BB1DDE">
          <w:rPr>
            <w:rFonts w:asciiTheme="majorHAnsi" w:hAnsiTheme="majorHAnsi"/>
            <w:noProof/>
            <w:webHidden/>
            <w:sz w:val="20"/>
            <w:szCs w:val="20"/>
          </w:rPr>
          <w:tab/>
        </w:r>
        <w:r w:rsidR="00BB1DDE" w:rsidRPr="00BB1DDE">
          <w:rPr>
            <w:rFonts w:asciiTheme="majorHAnsi" w:hAnsiTheme="majorHAnsi"/>
            <w:noProof/>
            <w:webHidden/>
            <w:sz w:val="20"/>
            <w:szCs w:val="20"/>
          </w:rPr>
          <w:fldChar w:fldCharType="begin"/>
        </w:r>
        <w:r w:rsidR="00BB1DDE" w:rsidRPr="00BB1DDE">
          <w:rPr>
            <w:rFonts w:asciiTheme="majorHAnsi" w:hAnsiTheme="majorHAnsi"/>
            <w:noProof/>
            <w:webHidden/>
            <w:sz w:val="20"/>
            <w:szCs w:val="20"/>
          </w:rPr>
          <w:instrText xml:space="preserve"> PAGEREF _Toc469409100 \h </w:instrText>
        </w:r>
        <w:r w:rsidR="00BB1DDE" w:rsidRPr="00BB1DDE">
          <w:rPr>
            <w:rFonts w:asciiTheme="majorHAnsi" w:hAnsiTheme="majorHAnsi"/>
            <w:noProof/>
            <w:webHidden/>
            <w:sz w:val="20"/>
            <w:szCs w:val="20"/>
          </w:rPr>
        </w:r>
        <w:r w:rsidR="00BB1DDE" w:rsidRPr="00BB1DDE">
          <w:rPr>
            <w:rFonts w:asciiTheme="majorHAnsi" w:hAnsiTheme="majorHAnsi"/>
            <w:noProof/>
            <w:webHidden/>
            <w:sz w:val="20"/>
            <w:szCs w:val="20"/>
          </w:rPr>
          <w:fldChar w:fldCharType="separate"/>
        </w:r>
        <w:r w:rsidR="00BB1DDE" w:rsidRPr="00BB1DDE">
          <w:rPr>
            <w:rFonts w:asciiTheme="majorHAnsi" w:hAnsiTheme="majorHAnsi"/>
            <w:noProof/>
            <w:webHidden/>
            <w:sz w:val="20"/>
            <w:szCs w:val="20"/>
          </w:rPr>
          <w:t>23</w:t>
        </w:r>
        <w:r w:rsidR="00BB1DDE" w:rsidRPr="00BB1DDE">
          <w:rPr>
            <w:rFonts w:asciiTheme="majorHAnsi" w:hAnsiTheme="majorHAnsi"/>
            <w:noProof/>
            <w:webHidden/>
            <w:sz w:val="20"/>
            <w:szCs w:val="20"/>
          </w:rPr>
          <w:fldChar w:fldCharType="end"/>
        </w:r>
      </w:hyperlink>
    </w:p>
    <w:p w:rsidR="00BB1DDE" w:rsidRPr="00BB1DDE" w:rsidRDefault="00ED58DB">
      <w:pPr>
        <w:pStyle w:val="TOC2"/>
        <w:rPr>
          <w:rFonts w:asciiTheme="majorHAnsi" w:eastAsiaTheme="minorEastAsia" w:hAnsiTheme="majorHAnsi" w:cstheme="minorBidi"/>
          <w:noProof/>
          <w:sz w:val="20"/>
          <w:szCs w:val="20"/>
          <w:bdr w:val="none" w:sz="0" w:space="0" w:color="auto"/>
        </w:rPr>
      </w:pPr>
      <w:hyperlink w:anchor="_Toc469409101" w:history="1">
        <w:r w:rsidR="00BB1DDE" w:rsidRPr="00BB1DDE">
          <w:rPr>
            <w:rStyle w:val="Hyperlink"/>
            <w:rFonts w:asciiTheme="majorHAnsi" w:hAnsiTheme="majorHAnsi"/>
            <w:noProof/>
            <w:sz w:val="20"/>
            <w:szCs w:val="20"/>
            <w:lang w:val="es-ES" w:eastAsia="es-ES"/>
          </w:rPr>
          <w:t>D.</w:t>
        </w:r>
        <w:r w:rsidR="00BB1DDE" w:rsidRPr="00BB1DDE">
          <w:rPr>
            <w:rFonts w:asciiTheme="majorHAnsi" w:eastAsiaTheme="minorEastAsia" w:hAnsiTheme="majorHAnsi" w:cstheme="minorBidi"/>
            <w:noProof/>
            <w:sz w:val="20"/>
            <w:szCs w:val="20"/>
            <w:bdr w:val="none" w:sz="0" w:space="0" w:color="auto"/>
          </w:rPr>
          <w:tab/>
        </w:r>
        <w:r w:rsidR="00BB1DDE" w:rsidRPr="00BB1DDE">
          <w:rPr>
            <w:rStyle w:val="Hyperlink"/>
            <w:rFonts w:asciiTheme="majorHAnsi" w:hAnsiTheme="majorHAnsi"/>
            <w:noProof/>
            <w:sz w:val="20"/>
            <w:szCs w:val="20"/>
            <w:lang w:val="es-ES" w:eastAsia="es-ES"/>
          </w:rPr>
          <w:t>El derecho a la protección judicial y al plazo razonable respecto del proceso contencioso administrativo (Artículos 8.1, 25.1 y 1.1 de la Convención de la Convención Americana)</w:t>
        </w:r>
        <w:r w:rsidR="00BB1DDE" w:rsidRPr="00BB1DDE">
          <w:rPr>
            <w:rFonts w:asciiTheme="majorHAnsi" w:hAnsiTheme="majorHAnsi"/>
            <w:noProof/>
            <w:webHidden/>
            <w:sz w:val="20"/>
            <w:szCs w:val="20"/>
          </w:rPr>
          <w:tab/>
        </w:r>
        <w:r w:rsidR="00BB1DDE" w:rsidRPr="00BB1DDE">
          <w:rPr>
            <w:rFonts w:asciiTheme="majorHAnsi" w:hAnsiTheme="majorHAnsi"/>
            <w:noProof/>
            <w:webHidden/>
            <w:sz w:val="20"/>
            <w:szCs w:val="20"/>
          </w:rPr>
          <w:fldChar w:fldCharType="begin"/>
        </w:r>
        <w:r w:rsidR="00BB1DDE" w:rsidRPr="00BB1DDE">
          <w:rPr>
            <w:rFonts w:asciiTheme="majorHAnsi" w:hAnsiTheme="majorHAnsi"/>
            <w:noProof/>
            <w:webHidden/>
            <w:sz w:val="20"/>
            <w:szCs w:val="20"/>
          </w:rPr>
          <w:instrText xml:space="preserve"> PAGEREF _Toc469409101 \h </w:instrText>
        </w:r>
        <w:r w:rsidR="00BB1DDE" w:rsidRPr="00BB1DDE">
          <w:rPr>
            <w:rFonts w:asciiTheme="majorHAnsi" w:hAnsiTheme="majorHAnsi"/>
            <w:noProof/>
            <w:webHidden/>
            <w:sz w:val="20"/>
            <w:szCs w:val="20"/>
          </w:rPr>
        </w:r>
        <w:r w:rsidR="00BB1DDE" w:rsidRPr="00BB1DDE">
          <w:rPr>
            <w:rFonts w:asciiTheme="majorHAnsi" w:hAnsiTheme="majorHAnsi"/>
            <w:noProof/>
            <w:webHidden/>
            <w:sz w:val="20"/>
            <w:szCs w:val="20"/>
          </w:rPr>
          <w:fldChar w:fldCharType="separate"/>
        </w:r>
        <w:r w:rsidR="00BB1DDE" w:rsidRPr="00BB1DDE">
          <w:rPr>
            <w:rFonts w:asciiTheme="majorHAnsi" w:hAnsiTheme="majorHAnsi"/>
            <w:noProof/>
            <w:webHidden/>
            <w:sz w:val="20"/>
            <w:szCs w:val="20"/>
          </w:rPr>
          <w:t>25</w:t>
        </w:r>
        <w:r w:rsidR="00BB1DDE" w:rsidRPr="00BB1DDE">
          <w:rPr>
            <w:rFonts w:asciiTheme="majorHAnsi" w:hAnsiTheme="majorHAnsi"/>
            <w:noProof/>
            <w:webHidden/>
            <w:sz w:val="20"/>
            <w:szCs w:val="20"/>
          </w:rPr>
          <w:fldChar w:fldCharType="end"/>
        </w:r>
      </w:hyperlink>
    </w:p>
    <w:p w:rsidR="00BB1DDE" w:rsidRPr="00BB1DDE" w:rsidRDefault="00ED58DB">
      <w:pPr>
        <w:pStyle w:val="TOC2"/>
        <w:rPr>
          <w:rFonts w:asciiTheme="majorHAnsi" w:eastAsiaTheme="minorEastAsia" w:hAnsiTheme="majorHAnsi" w:cstheme="minorBidi"/>
          <w:noProof/>
          <w:sz w:val="20"/>
          <w:szCs w:val="20"/>
          <w:bdr w:val="none" w:sz="0" w:space="0" w:color="auto"/>
        </w:rPr>
      </w:pPr>
      <w:hyperlink w:anchor="_Toc469409102" w:history="1">
        <w:r w:rsidR="00BB1DDE" w:rsidRPr="00BB1DDE">
          <w:rPr>
            <w:rStyle w:val="Hyperlink"/>
            <w:rFonts w:asciiTheme="majorHAnsi" w:hAnsiTheme="majorHAnsi"/>
            <w:noProof/>
            <w:sz w:val="20"/>
            <w:szCs w:val="20"/>
            <w:lang w:val="es-ES" w:eastAsia="es-ES"/>
          </w:rPr>
          <w:t>E.</w:t>
        </w:r>
        <w:r w:rsidR="00BB1DDE" w:rsidRPr="00BB1DDE">
          <w:rPr>
            <w:rFonts w:asciiTheme="majorHAnsi" w:eastAsiaTheme="minorEastAsia" w:hAnsiTheme="majorHAnsi" w:cstheme="minorBidi"/>
            <w:noProof/>
            <w:sz w:val="20"/>
            <w:szCs w:val="20"/>
            <w:bdr w:val="none" w:sz="0" w:space="0" w:color="auto"/>
          </w:rPr>
          <w:tab/>
        </w:r>
        <w:r w:rsidR="00BB1DDE" w:rsidRPr="00BB1DDE">
          <w:rPr>
            <w:rStyle w:val="Hyperlink"/>
            <w:rFonts w:asciiTheme="majorHAnsi" w:hAnsiTheme="majorHAnsi"/>
            <w:noProof/>
            <w:sz w:val="20"/>
            <w:szCs w:val="20"/>
            <w:lang w:val="es-ES" w:eastAsia="es-ES"/>
          </w:rPr>
          <w:t>Los derechos a las garantías judiciales y protección judicial respecto de las investigaciones relativas a la supuesta falsedad ideológica (Artículos 8.1, 25.1 y 1.1 de la Convención Americana.</w:t>
        </w:r>
        <w:r w:rsidR="00BB1DDE" w:rsidRPr="00BB1DDE">
          <w:rPr>
            <w:rFonts w:asciiTheme="majorHAnsi" w:hAnsiTheme="majorHAnsi"/>
            <w:noProof/>
            <w:webHidden/>
            <w:sz w:val="20"/>
            <w:szCs w:val="20"/>
          </w:rPr>
          <w:tab/>
        </w:r>
        <w:r w:rsidR="00BB1DDE" w:rsidRPr="00BB1DDE">
          <w:rPr>
            <w:rFonts w:asciiTheme="majorHAnsi" w:hAnsiTheme="majorHAnsi"/>
            <w:noProof/>
            <w:webHidden/>
            <w:sz w:val="20"/>
            <w:szCs w:val="20"/>
          </w:rPr>
          <w:fldChar w:fldCharType="begin"/>
        </w:r>
        <w:r w:rsidR="00BB1DDE" w:rsidRPr="00BB1DDE">
          <w:rPr>
            <w:rFonts w:asciiTheme="majorHAnsi" w:hAnsiTheme="majorHAnsi"/>
            <w:noProof/>
            <w:webHidden/>
            <w:sz w:val="20"/>
            <w:szCs w:val="20"/>
          </w:rPr>
          <w:instrText xml:space="preserve"> PAGEREF _Toc469409102 \h </w:instrText>
        </w:r>
        <w:r w:rsidR="00BB1DDE" w:rsidRPr="00BB1DDE">
          <w:rPr>
            <w:rFonts w:asciiTheme="majorHAnsi" w:hAnsiTheme="majorHAnsi"/>
            <w:noProof/>
            <w:webHidden/>
            <w:sz w:val="20"/>
            <w:szCs w:val="20"/>
          </w:rPr>
        </w:r>
        <w:r w:rsidR="00BB1DDE" w:rsidRPr="00BB1DDE">
          <w:rPr>
            <w:rFonts w:asciiTheme="majorHAnsi" w:hAnsiTheme="majorHAnsi"/>
            <w:noProof/>
            <w:webHidden/>
            <w:sz w:val="20"/>
            <w:szCs w:val="20"/>
          </w:rPr>
          <w:fldChar w:fldCharType="separate"/>
        </w:r>
        <w:r w:rsidR="00BB1DDE" w:rsidRPr="00BB1DDE">
          <w:rPr>
            <w:rFonts w:asciiTheme="majorHAnsi" w:hAnsiTheme="majorHAnsi"/>
            <w:noProof/>
            <w:webHidden/>
            <w:sz w:val="20"/>
            <w:szCs w:val="20"/>
          </w:rPr>
          <w:t>27</w:t>
        </w:r>
        <w:r w:rsidR="00BB1DDE" w:rsidRPr="00BB1DDE">
          <w:rPr>
            <w:rFonts w:asciiTheme="majorHAnsi" w:hAnsiTheme="majorHAnsi"/>
            <w:noProof/>
            <w:webHidden/>
            <w:sz w:val="20"/>
            <w:szCs w:val="20"/>
          </w:rPr>
          <w:fldChar w:fldCharType="end"/>
        </w:r>
      </w:hyperlink>
    </w:p>
    <w:p w:rsidR="00BB1DDE" w:rsidRPr="00BB1DDE" w:rsidRDefault="00ED58DB" w:rsidP="00BB1DDE">
      <w:pPr>
        <w:pStyle w:val="TOC1"/>
        <w:rPr>
          <w:rFonts w:eastAsiaTheme="minorEastAsia" w:cstheme="minorBidi"/>
          <w:bdr w:val="none" w:sz="0" w:space="0" w:color="auto"/>
        </w:rPr>
      </w:pPr>
      <w:hyperlink w:anchor="_Toc469409103" w:history="1">
        <w:r w:rsidR="00BB1DDE" w:rsidRPr="00BB1DDE">
          <w:rPr>
            <w:rStyle w:val="Hyperlink"/>
            <w:b/>
            <w:bCs/>
            <w:lang w:val="es-AR"/>
          </w:rPr>
          <w:t>VI.</w:t>
        </w:r>
        <w:r w:rsidR="00BB1DDE" w:rsidRPr="00BB1DDE">
          <w:rPr>
            <w:rFonts w:eastAsiaTheme="minorEastAsia" w:cstheme="minorBidi"/>
            <w:bdr w:val="none" w:sz="0" w:space="0" w:color="auto"/>
          </w:rPr>
          <w:tab/>
        </w:r>
        <w:r w:rsidR="00BB1DDE" w:rsidRPr="00BB1DDE">
          <w:rPr>
            <w:rStyle w:val="Hyperlink"/>
            <w:b/>
          </w:rPr>
          <w:t>CONCLUSIONES</w:t>
        </w:r>
        <w:r w:rsidR="00BB1DDE" w:rsidRPr="00BB1DDE">
          <w:rPr>
            <w:webHidden/>
          </w:rPr>
          <w:tab/>
        </w:r>
        <w:r w:rsidR="00BB1DDE" w:rsidRPr="00BB1DDE">
          <w:rPr>
            <w:webHidden/>
          </w:rPr>
          <w:fldChar w:fldCharType="begin"/>
        </w:r>
        <w:r w:rsidR="00BB1DDE" w:rsidRPr="00BB1DDE">
          <w:rPr>
            <w:webHidden/>
          </w:rPr>
          <w:instrText xml:space="preserve"> PAGEREF _Toc469409103 \h </w:instrText>
        </w:r>
        <w:r w:rsidR="00BB1DDE" w:rsidRPr="00BB1DDE">
          <w:rPr>
            <w:webHidden/>
          </w:rPr>
        </w:r>
        <w:r w:rsidR="00BB1DDE" w:rsidRPr="00BB1DDE">
          <w:rPr>
            <w:webHidden/>
          </w:rPr>
          <w:fldChar w:fldCharType="separate"/>
        </w:r>
        <w:r w:rsidR="00BB1DDE" w:rsidRPr="00BB1DDE">
          <w:rPr>
            <w:webHidden/>
          </w:rPr>
          <w:t>27</w:t>
        </w:r>
        <w:r w:rsidR="00BB1DDE" w:rsidRPr="00BB1DDE">
          <w:rPr>
            <w:webHidden/>
          </w:rPr>
          <w:fldChar w:fldCharType="end"/>
        </w:r>
      </w:hyperlink>
    </w:p>
    <w:p w:rsidR="00BB1DDE" w:rsidRPr="00BB1DDE" w:rsidRDefault="00ED58DB" w:rsidP="00BB1DDE">
      <w:pPr>
        <w:pStyle w:val="TOC1"/>
        <w:rPr>
          <w:rFonts w:eastAsiaTheme="minorEastAsia" w:cstheme="minorBidi"/>
          <w:bdr w:val="none" w:sz="0" w:space="0" w:color="auto"/>
        </w:rPr>
      </w:pPr>
      <w:hyperlink w:anchor="_Toc469409104" w:history="1">
        <w:r w:rsidR="00BB1DDE" w:rsidRPr="00BB1DDE">
          <w:rPr>
            <w:rStyle w:val="Hyperlink"/>
            <w:b/>
          </w:rPr>
          <w:t>VII.</w:t>
        </w:r>
        <w:r w:rsidR="00BB1DDE" w:rsidRPr="00BB1DDE">
          <w:rPr>
            <w:rFonts w:eastAsiaTheme="minorEastAsia" w:cstheme="minorBidi"/>
            <w:bdr w:val="none" w:sz="0" w:space="0" w:color="auto"/>
          </w:rPr>
          <w:tab/>
        </w:r>
        <w:r w:rsidR="00BB1DDE" w:rsidRPr="00BB1DDE">
          <w:rPr>
            <w:rStyle w:val="Hyperlink"/>
            <w:b/>
          </w:rPr>
          <w:t>RECOMENDACIONES</w:t>
        </w:r>
        <w:r w:rsidR="00BB1DDE" w:rsidRPr="00BB1DDE">
          <w:rPr>
            <w:webHidden/>
          </w:rPr>
          <w:tab/>
        </w:r>
        <w:r w:rsidR="00BB1DDE" w:rsidRPr="00BB1DDE">
          <w:rPr>
            <w:webHidden/>
          </w:rPr>
          <w:fldChar w:fldCharType="begin"/>
        </w:r>
        <w:r w:rsidR="00BB1DDE" w:rsidRPr="00BB1DDE">
          <w:rPr>
            <w:webHidden/>
          </w:rPr>
          <w:instrText xml:space="preserve"> PAGEREF _Toc469409104 \h </w:instrText>
        </w:r>
        <w:r w:rsidR="00BB1DDE" w:rsidRPr="00BB1DDE">
          <w:rPr>
            <w:webHidden/>
          </w:rPr>
        </w:r>
        <w:r w:rsidR="00BB1DDE" w:rsidRPr="00BB1DDE">
          <w:rPr>
            <w:webHidden/>
          </w:rPr>
          <w:fldChar w:fldCharType="separate"/>
        </w:r>
        <w:r w:rsidR="00BB1DDE" w:rsidRPr="00BB1DDE">
          <w:rPr>
            <w:webHidden/>
          </w:rPr>
          <w:t>27</w:t>
        </w:r>
        <w:r w:rsidR="00BB1DDE" w:rsidRPr="00BB1DDE">
          <w:rPr>
            <w:webHidden/>
          </w:rPr>
          <w:fldChar w:fldCharType="end"/>
        </w:r>
      </w:hyperlink>
    </w:p>
    <w:p w:rsidR="00845264" w:rsidRPr="00BB1DDE" w:rsidRDefault="002F4AB7" w:rsidP="00BB1DDE">
      <w:pPr>
        <w:tabs>
          <w:tab w:val="left" w:pos="720"/>
        </w:tabs>
        <w:rPr>
          <w:rFonts w:asciiTheme="majorHAnsi" w:hAnsiTheme="majorHAnsi"/>
          <w:sz w:val="20"/>
          <w:szCs w:val="20"/>
          <w:lang w:val="es-VE"/>
        </w:rPr>
      </w:pPr>
      <w:r w:rsidRPr="00BB1DDE">
        <w:rPr>
          <w:rFonts w:asciiTheme="majorHAnsi" w:hAnsiTheme="majorHAnsi"/>
          <w:sz w:val="20"/>
          <w:szCs w:val="20"/>
          <w:lang w:val="es-VE"/>
        </w:rPr>
        <w:fldChar w:fldCharType="end"/>
      </w:r>
    </w:p>
    <w:p w:rsidR="006D6521" w:rsidRPr="00B56CF7" w:rsidRDefault="006D6521" w:rsidP="0055661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b/>
          <w:sz w:val="20"/>
          <w:szCs w:val="20"/>
          <w:bdr w:val="none" w:sz="0" w:space="0" w:color="auto"/>
          <w:lang w:val="es-CO"/>
        </w:rPr>
      </w:pPr>
    </w:p>
    <w:p w:rsidR="00E76156" w:rsidRDefault="00E76156"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lang w:val="es-CO"/>
        </w:rPr>
        <w:sectPr w:rsidR="00E76156" w:rsidSect="00905478">
          <w:type w:val="oddPage"/>
          <w:pgSz w:w="12240" w:h="15840"/>
          <w:pgMar w:top="1440" w:right="1350" w:bottom="1440" w:left="1440" w:header="720" w:footer="720" w:gutter="0"/>
          <w:pgNumType w:start="1"/>
          <w:cols w:space="720"/>
          <w:docGrid w:linePitch="326"/>
        </w:sectPr>
      </w:pPr>
    </w:p>
    <w:p w:rsidR="004B316C" w:rsidRPr="00E76156" w:rsidRDefault="00B06C1C"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lang w:val="es-ES_tradnl"/>
        </w:rPr>
      </w:pPr>
      <w:r w:rsidRPr="00E76156">
        <w:rPr>
          <w:rFonts w:asciiTheme="majorHAnsi" w:eastAsia="Times New Roman" w:hAnsiTheme="majorHAnsi"/>
          <w:b/>
          <w:sz w:val="18"/>
          <w:szCs w:val="18"/>
          <w:bdr w:val="none" w:sz="0" w:space="0" w:color="auto"/>
          <w:lang w:val="es-CO"/>
        </w:rPr>
        <w:lastRenderedPageBreak/>
        <w:t xml:space="preserve">INFORME No. </w:t>
      </w:r>
      <w:r w:rsidR="00796C54">
        <w:rPr>
          <w:rFonts w:asciiTheme="majorHAnsi" w:eastAsia="Times New Roman" w:hAnsiTheme="majorHAnsi"/>
          <w:b/>
          <w:sz w:val="18"/>
          <w:szCs w:val="18"/>
          <w:bdr w:val="none" w:sz="0" w:space="0" w:color="auto"/>
          <w:lang w:val="es-ES_tradnl"/>
        </w:rPr>
        <w:t>53</w:t>
      </w:r>
      <w:r w:rsidR="003B3094" w:rsidRPr="00E76156">
        <w:rPr>
          <w:rFonts w:asciiTheme="majorHAnsi" w:eastAsia="Times New Roman" w:hAnsiTheme="majorHAnsi"/>
          <w:b/>
          <w:sz w:val="18"/>
          <w:szCs w:val="18"/>
          <w:bdr w:val="none" w:sz="0" w:space="0" w:color="auto"/>
          <w:lang w:val="es-ES_tradnl"/>
        </w:rPr>
        <w:t>/16</w:t>
      </w:r>
    </w:p>
    <w:p w:rsidR="004B316C" w:rsidRPr="00E76156" w:rsidRDefault="003B3094"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lang w:val="es-ES_tradnl"/>
        </w:rPr>
      </w:pPr>
      <w:r w:rsidRPr="00E76156">
        <w:rPr>
          <w:rFonts w:asciiTheme="majorHAnsi" w:eastAsia="Times New Roman" w:hAnsiTheme="majorHAnsi"/>
          <w:b/>
          <w:sz w:val="18"/>
          <w:szCs w:val="18"/>
          <w:bdr w:val="none" w:sz="0" w:space="0" w:color="auto"/>
          <w:lang w:val="es-ES_tradnl"/>
        </w:rPr>
        <w:t>CASO 12.0</w:t>
      </w:r>
      <w:r w:rsidR="00EB1199" w:rsidRPr="00E76156">
        <w:rPr>
          <w:rFonts w:asciiTheme="majorHAnsi" w:eastAsia="Times New Roman" w:hAnsiTheme="majorHAnsi"/>
          <w:b/>
          <w:sz w:val="18"/>
          <w:szCs w:val="18"/>
          <w:bdr w:val="none" w:sz="0" w:space="0" w:color="auto"/>
          <w:lang w:val="es-ES_tradnl"/>
        </w:rPr>
        <w:t>56</w:t>
      </w:r>
    </w:p>
    <w:p w:rsidR="004B316C" w:rsidRPr="00E76156" w:rsidRDefault="004B316C"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ES_tradnl"/>
        </w:rPr>
      </w:pPr>
      <w:r w:rsidRPr="00E76156">
        <w:rPr>
          <w:rFonts w:asciiTheme="majorHAnsi" w:eastAsia="Times New Roman" w:hAnsiTheme="majorHAnsi"/>
          <w:sz w:val="18"/>
          <w:szCs w:val="18"/>
          <w:bdr w:val="none" w:sz="0" w:space="0" w:color="auto"/>
          <w:lang w:val="es-ES_tradnl"/>
        </w:rPr>
        <w:t>FONDO</w:t>
      </w:r>
    </w:p>
    <w:p w:rsidR="00B06C1C" w:rsidRPr="00E76156" w:rsidRDefault="003B3094"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ES_tradnl"/>
        </w:rPr>
      </w:pPr>
      <w:r w:rsidRPr="00E76156">
        <w:rPr>
          <w:rFonts w:asciiTheme="majorHAnsi" w:eastAsia="Times New Roman" w:hAnsiTheme="majorHAnsi"/>
          <w:sz w:val="18"/>
          <w:szCs w:val="18"/>
          <w:bdr w:val="none" w:sz="0" w:space="0" w:color="auto"/>
          <w:lang w:val="es-ES_tradnl"/>
        </w:rPr>
        <w:t>GABRIEL OSCAR JENKINS</w:t>
      </w:r>
    </w:p>
    <w:p w:rsidR="00B06C1C" w:rsidRPr="00E76156" w:rsidRDefault="003B3094"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ES_tradnl"/>
        </w:rPr>
      </w:pPr>
      <w:r w:rsidRPr="00E76156">
        <w:rPr>
          <w:rFonts w:asciiTheme="majorHAnsi" w:eastAsia="Times New Roman" w:hAnsiTheme="majorHAnsi"/>
          <w:sz w:val="18"/>
          <w:szCs w:val="18"/>
          <w:bdr w:val="none" w:sz="0" w:space="0" w:color="auto"/>
          <w:lang w:val="es-ES_tradnl"/>
        </w:rPr>
        <w:t>ARGENTINA</w:t>
      </w:r>
    </w:p>
    <w:p w:rsidR="004B316C" w:rsidRPr="00E76156" w:rsidRDefault="00796C54" w:rsidP="00B3309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ES_tradnl"/>
        </w:rPr>
      </w:pPr>
      <w:r>
        <w:rPr>
          <w:rFonts w:asciiTheme="majorHAnsi" w:eastAsia="Times New Roman" w:hAnsiTheme="majorHAnsi"/>
          <w:sz w:val="18"/>
          <w:szCs w:val="18"/>
          <w:bdr w:val="none" w:sz="0" w:space="0" w:color="auto"/>
          <w:lang w:val="es-ES_tradnl"/>
        </w:rPr>
        <w:t>6</w:t>
      </w:r>
      <w:r w:rsidR="00B5326D" w:rsidRPr="00E76156">
        <w:rPr>
          <w:rFonts w:asciiTheme="majorHAnsi" w:eastAsia="Times New Roman" w:hAnsiTheme="majorHAnsi"/>
          <w:sz w:val="18"/>
          <w:szCs w:val="18"/>
          <w:bdr w:val="none" w:sz="0" w:space="0" w:color="auto"/>
          <w:lang w:val="es-ES_tradnl"/>
        </w:rPr>
        <w:t xml:space="preserve"> DE </w:t>
      </w:r>
      <w:r>
        <w:rPr>
          <w:rFonts w:asciiTheme="majorHAnsi" w:eastAsia="Times New Roman" w:hAnsiTheme="majorHAnsi"/>
          <w:sz w:val="18"/>
          <w:szCs w:val="18"/>
          <w:bdr w:val="none" w:sz="0" w:space="0" w:color="auto"/>
          <w:lang w:val="es-ES_tradnl"/>
        </w:rPr>
        <w:t>DICIEMBRE</w:t>
      </w:r>
      <w:r w:rsidR="00EB1199" w:rsidRPr="00E76156">
        <w:rPr>
          <w:rFonts w:asciiTheme="majorHAnsi" w:eastAsia="Times New Roman" w:hAnsiTheme="majorHAnsi"/>
          <w:sz w:val="18"/>
          <w:szCs w:val="18"/>
          <w:bdr w:val="none" w:sz="0" w:space="0" w:color="auto"/>
          <w:lang w:val="es-ES_tradnl"/>
        </w:rPr>
        <w:t xml:space="preserve"> DE 2016</w:t>
      </w:r>
    </w:p>
    <w:p w:rsidR="004B316C" w:rsidRDefault="004B316C" w:rsidP="004B316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_tradnl"/>
        </w:rPr>
      </w:pPr>
    </w:p>
    <w:p w:rsidR="00E76156" w:rsidRPr="00B56CF7" w:rsidRDefault="00E76156" w:rsidP="004B316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_tradnl"/>
        </w:rPr>
      </w:pPr>
    </w:p>
    <w:p w:rsidR="00E40449" w:rsidRPr="00B56CF7" w:rsidRDefault="00E40449" w:rsidP="005E081B">
      <w:pPr>
        <w:pStyle w:val="Heading1"/>
        <w:numPr>
          <w:ilvl w:val="0"/>
          <w:numId w:val="55"/>
        </w:numPr>
        <w:tabs>
          <w:tab w:val="clear" w:pos="1440"/>
        </w:tabs>
      </w:pPr>
      <w:bookmarkStart w:id="2" w:name="_Toc370840743"/>
      <w:bookmarkStart w:id="3" w:name="_Toc370840839"/>
      <w:bookmarkStart w:id="4" w:name="_Toc423514405"/>
      <w:bookmarkStart w:id="5" w:name="_Toc433115981"/>
      <w:bookmarkStart w:id="6" w:name="_Toc444958124"/>
      <w:bookmarkStart w:id="7" w:name="_Toc467577905"/>
      <w:bookmarkStart w:id="8" w:name="_Toc469409076"/>
      <w:r w:rsidRPr="00B56CF7">
        <w:t>RESUMEN</w:t>
      </w:r>
      <w:bookmarkEnd w:id="2"/>
      <w:bookmarkEnd w:id="3"/>
      <w:bookmarkEnd w:id="4"/>
      <w:bookmarkEnd w:id="5"/>
      <w:bookmarkEnd w:id="6"/>
      <w:bookmarkEnd w:id="7"/>
      <w:bookmarkEnd w:id="8"/>
    </w:p>
    <w:p w:rsidR="00E40449" w:rsidRPr="00B56CF7" w:rsidRDefault="00E40449" w:rsidP="00E40449">
      <w:pPr>
        <w:jc w:val="both"/>
        <w:rPr>
          <w:rFonts w:asciiTheme="majorHAnsi" w:hAnsiTheme="majorHAnsi" w:cs="Arial"/>
          <w:sz w:val="20"/>
          <w:szCs w:val="20"/>
          <w:lang w:val="es-ES"/>
        </w:rPr>
      </w:pPr>
    </w:p>
    <w:p w:rsidR="00E40449" w:rsidRPr="00B56CF7" w:rsidRDefault="00E40449" w:rsidP="00051C4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 xml:space="preserve">El </w:t>
      </w:r>
      <w:r w:rsidR="00051C44" w:rsidRPr="00B56CF7">
        <w:rPr>
          <w:rFonts w:asciiTheme="majorHAnsi" w:eastAsia="Calibri" w:hAnsiTheme="majorHAnsi"/>
          <w:sz w:val="20"/>
          <w:szCs w:val="20"/>
          <w:lang w:val="es-VE"/>
        </w:rPr>
        <w:t>9</w:t>
      </w:r>
      <w:r w:rsidR="005E21D4" w:rsidRPr="00B56CF7">
        <w:rPr>
          <w:rFonts w:asciiTheme="majorHAnsi" w:eastAsia="Calibri" w:hAnsiTheme="majorHAnsi"/>
          <w:sz w:val="20"/>
          <w:szCs w:val="20"/>
          <w:lang w:val="es-VE"/>
        </w:rPr>
        <w:t xml:space="preserve"> de </w:t>
      </w:r>
      <w:r w:rsidR="00EB1199" w:rsidRPr="00B56CF7">
        <w:rPr>
          <w:rFonts w:asciiTheme="majorHAnsi" w:eastAsia="Calibri" w:hAnsiTheme="majorHAnsi"/>
          <w:sz w:val="20"/>
          <w:szCs w:val="20"/>
          <w:lang w:val="es-VE"/>
        </w:rPr>
        <w:t>septiembre de</w:t>
      </w:r>
      <w:r w:rsidR="005E21D4" w:rsidRPr="00B56CF7">
        <w:rPr>
          <w:rFonts w:asciiTheme="majorHAnsi" w:eastAsia="Calibri" w:hAnsiTheme="majorHAnsi"/>
          <w:sz w:val="20"/>
          <w:szCs w:val="20"/>
          <w:lang w:val="es-VE"/>
        </w:rPr>
        <w:t xml:space="preserve"> </w:t>
      </w:r>
      <w:r w:rsidR="00051C44" w:rsidRPr="00B56CF7">
        <w:rPr>
          <w:rFonts w:asciiTheme="majorHAnsi" w:eastAsia="Calibri" w:hAnsiTheme="majorHAnsi"/>
          <w:sz w:val="20"/>
          <w:szCs w:val="20"/>
          <w:lang w:val="es-VE"/>
        </w:rPr>
        <w:t>1997</w:t>
      </w:r>
      <w:r w:rsidR="005E21D4" w:rsidRPr="00B56CF7">
        <w:rPr>
          <w:rFonts w:asciiTheme="majorHAnsi" w:eastAsia="Calibri" w:hAnsiTheme="majorHAnsi"/>
          <w:sz w:val="20"/>
          <w:szCs w:val="20"/>
          <w:lang w:val="es-VE"/>
        </w:rPr>
        <w:t xml:space="preserve"> la Comisión Interamericana de Derechos Humanos (en adelante “la Comisión”</w:t>
      </w:r>
      <w:r w:rsidR="0046192F" w:rsidRPr="00B56CF7">
        <w:rPr>
          <w:rFonts w:asciiTheme="majorHAnsi" w:eastAsia="Calibri" w:hAnsiTheme="majorHAnsi"/>
          <w:sz w:val="20"/>
          <w:szCs w:val="20"/>
          <w:lang w:val="es-VE"/>
        </w:rPr>
        <w:t>, “la Comisión Interamericana”</w:t>
      </w:r>
      <w:r w:rsidR="005E21D4" w:rsidRPr="00B56CF7">
        <w:rPr>
          <w:rFonts w:asciiTheme="majorHAnsi" w:eastAsia="Calibri" w:hAnsiTheme="majorHAnsi"/>
          <w:sz w:val="20"/>
          <w:szCs w:val="20"/>
          <w:lang w:val="es-VE"/>
        </w:rPr>
        <w:t xml:space="preserve"> o “</w:t>
      </w:r>
      <w:r w:rsidR="0046192F" w:rsidRPr="00B56CF7">
        <w:rPr>
          <w:rFonts w:asciiTheme="majorHAnsi" w:eastAsia="Calibri" w:hAnsiTheme="majorHAnsi"/>
          <w:sz w:val="20"/>
          <w:szCs w:val="20"/>
          <w:lang w:val="es-VE"/>
        </w:rPr>
        <w:t xml:space="preserve">la </w:t>
      </w:r>
      <w:r w:rsidR="005E21D4" w:rsidRPr="00B56CF7">
        <w:rPr>
          <w:rFonts w:asciiTheme="majorHAnsi" w:eastAsia="Calibri" w:hAnsiTheme="majorHAnsi"/>
          <w:sz w:val="20"/>
          <w:szCs w:val="20"/>
          <w:lang w:val="es-VE"/>
        </w:rPr>
        <w:t>CIDH”) recibió una petición presentada por</w:t>
      </w:r>
      <w:r w:rsidR="00FB3F52" w:rsidRPr="00B56CF7">
        <w:rPr>
          <w:rFonts w:asciiTheme="majorHAnsi" w:eastAsia="Calibri" w:hAnsiTheme="majorHAnsi"/>
          <w:sz w:val="20"/>
          <w:szCs w:val="20"/>
          <w:lang w:val="es-VE"/>
        </w:rPr>
        <w:t xml:space="preserve"> </w:t>
      </w:r>
      <w:r w:rsidR="00051C44" w:rsidRPr="00B56CF7">
        <w:rPr>
          <w:rFonts w:asciiTheme="majorHAnsi" w:eastAsia="Calibri" w:hAnsiTheme="majorHAnsi"/>
          <w:sz w:val="20"/>
          <w:szCs w:val="20"/>
          <w:lang w:val="es-VE"/>
        </w:rPr>
        <w:t>Gabriel Oscar Jenkins</w:t>
      </w:r>
      <w:r w:rsidR="006A7A63" w:rsidRPr="00B56CF7">
        <w:rPr>
          <w:rFonts w:asciiTheme="majorHAnsi" w:eastAsia="Calibri" w:hAnsiTheme="majorHAnsi"/>
          <w:sz w:val="20"/>
          <w:szCs w:val="20"/>
          <w:lang w:val="es-VE"/>
        </w:rPr>
        <w:t xml:space="preserve"> </w:t>
      </w:r>
      <w:r w:rsidR="005E21D4" w:rsidRPr="00B56CF7">
        <w:rPr>
          <w:rFonts w:asciiTheme="majorHAnsi" w:eastAsia="Calibri" w:hAnsiTheme="majorHAnsi"/>
          <w:sz w:val="20"/>
          <w:szCs w:val="20"/>
          <w:lang w:val="es-VE"/>
        </w:rPr>
        <w:t xml:space="preserve">en la cual se alega la responsabilidad de la República de </w:t>
      </w:r>
      <w:r w:rsidR="00051C44" w:rsidRPr="00B56CF7">
        <w:rPr>
          <w:rFonts w:asciiTheme="majorHAnsi" w:eastAsia="Calibri" w:hAnsiTheme="majorHAnsi"/>
          <w:sz w:val="20"/>
          <w:szCs w:val="20"/>
          <w:lang w:val="es-VE"/>
        </w:rPr>
        <w:t>Argentina</w:t>
      </w:r>
      <w:r w:rsidR="005E21D4" w:rsidRPr="00B56CF7">
        <w:rPr>
          <w:rFonts w:asciiTheme="majorHAnsi" w:eastAsia="Calibri" w:hAnsiTheme="majorHAnsi"/>
          <w:sz w:val="20"/>
          <w:szCs w:val="20"/>
          <w:lang w:val="es-VE"/>
        </w:rPr>
        <w:t xml:space="preserve"> (en adelante “el Estado”</w:t>
      </w:r>
      <w:r w:rsidR="008A0EC3" w:rsidRPr="00B56CF7">
        <w:rPr>
          <w:rFonts w:asciiTheme="majorHAnsi" w:eastAsia="Calibri" w:hAnsiTheme="majorHAnsi"/>
          <w:sz w:val="20"/>
          <w:szCs w:val="20"/>
          <w:lang w:val="es-VE"/>
        </w:rPr>
        <w:t>,</w:t>
      </w:r>
      <w:r w:rsidR="005E21D4" w:rsidRPr="00B56CF7">
        <w:rPr>
          <w:rFonts w:asciiTheme="majorHAnsi" w:eastAsia="Calibri" w:hAnsiTheme="majorHAnsi"/>
          <w:sz w:val="20"/>
          <w:szCs w:val="20"/>
          <w:lang w:val="es-VE"/>
        </w:rPr>
        <w:t xml:space="preserve">  “el Estado </w:t>
      </w:r>
      <w:r w:rsidR="00F146A7" w:rsidRPr="00B56CF7">
        <w:rPr>
          <w:rFonts w:asciiTheme="majorHAnsi" w:eastAsia="Calibri" w:hAnsiTheme="majorHAnsi"/>
          <w:sz w:val="20"/>
          <w:szCs w:val="20"/>
          <w:lang w:val="es-VE"/>
        </w:rPr>
        <w:t xml:space="preserve"> de </w:t>
      </w:r>
      <w:r w:rsidR="00051C44" w:rsidRPr="00B56CF7">
        <w:rPr>
          <w:rFonts w:asciiTheme="majorHAnsi" w:eastAsia="Calibri" w:hAnsiTheme="majorHAnsi"/>
          <w:sz w:val="20"/>
          <w:szCs w:val="20"/>
          <w:lang w:val="es-VE"/>
        </w:rPr>
        <w:t>argentina</w:t>
      </w:r>
      <w:r w:rsidR="005E21D4" w:rsidRPr="00B56CF7">
        <w:rPr>
          <w:rFonts w:asciiTheme="majorHAnsi" w:eastAsia="Calibri" w:hAnsiTheme="majorHAnsi"/>
          <w:sz w:val="20"/>
          <w:szCs w:val="20"/>
          <w:lang w:val="es-VE"/>
        </w:rPr>
        <w:t>”</w:t>
      </w:r>
      <w:r w:rsidR="00F146A7" w:rsidRPr="00B56CF7">
        <w:rPr>
          <w:rFonts w:asciiTheme="majorHAnsi" w:eastAsia="Calibri" w:hAnsiTheme="majorHAnsi"/>
          <w:sz w:val="20"/>
          <w:szCs w:val="20"/>
          <w:lang w:val="es-VE"/>
        </w:rPr>
        <w:t>, “el Estado argentino”</w:t>
      </w:r>
      <w:r w:rsidR="008A0EC3" w:rsidRPr="00B56CF7">
        <w:rPr>
          <w:rFonts w:asciiTheme="majorHAnsi" w:eastAsia="Calibri" w:hAnsiTheme="majorHAnsi"/>
          <w:sz w:val="20"/>
          <w:szCs w:val="20"/>
          <w:lang w:val="es-VE"/>
        </w:rPr>
        <w:t xml:space="preserve"> o “</w:t>
      </w:r>
      <w:r w:rsidR="00051C44" w:rsidRPr="00B56CF7">
        <w:rPr>
          <w:rFonts w:asciiTheme="majorHAnsi" w:eastAsia="Calibri" w:hAnsiTheme="majorHAnsi"/>
          <w:sz w:val="20"/>
          <w:szCs w:val="20"/>
          <w:lang w:val="es-VE"/>
        </w:rPr>
        <w:t>Argentina</w:t>
      </w:r>
      <w:r w:rsidR="008A0EC3" w:rsidRPr="00B56CF7">
        <w:rPr>
          <w:rFonts w:asciiTheme="majorHAnsi" w:eastAsia="Calibri" w:hAnsiTheme="majorHAnsi"/>
          <w:sz w:val="20"/>
          <w:szCs w:val="20"/>
          <w:lang w:val="es-VE"/>
        </w:rPr>
        <w:t>”</w:t>
      </w:r>
      <w:r w:rsidR="005E21D4" w:rsidRPr="00B56CF7">
        <w:rPr>
          <w:rFonts w:asciiTheme="majorHAnsi" w:eastAsia="Calibri" w:hAnsiTheme="majorHAnsi"/>
          <w:sz w:val="20"/>
          <w:szCs w:val="20"/>
          <w:lang w:val="es-VE"/>
        </w:rPr>
        <w:t>) por la violación de</w:t>
      </w:r>
      <w:r w:rsidR="00646412" w:rsidRPr="00B56CF7">
        <w:rPr>
          <w:rFonts w:asciiTheme="majorHAnsi" w:eastAsia="Calibri" w:hAnsiTheme="majorHAnsi"/>
          <w:sz w:val="20"/>
          <w:szCs w:val="20"/>
          <w:lang w:val="es-VE"/>
        </w:rPr>
        <w:t xml:space="preserve"> varias disposiciones de la Convención Americana sobre Derechos Humanos</w:t>
      </w:r>
      <w:r w:rsidR="00EF10AE" w:rsidRPr="00B56CF7">
        <w:rPr>
          <w:rFonts w:asciiTheme="majorHAnsi" w:eastAsia="Calibri" w:hAnsiTheme="majorHAnsi"/>
          <w:sz w:val="20"/>
          <w:szCs w:val="20"/>
          <w:lang w:val="es-VE"/>
        </w:rPr>
        <w:t xml:space="preserve"> (en adelante “la Convención” o “la Convención Americana”)</w:t>
      </w:r>
      <w:r w:rsidR="00051C44" w:rsidRPr="00B56CF7">
        <w:rPr>
          <w:rFonts w:asciiTheme="majorHAnsi" w:eastAsia="Calibri" w:hAnsiTheme="majorHAnsi"/>
          <w:sz w:val="20"/>
          <w:szCs w:val="20"/>
          <w:lang w:val="es-VE"/>
        </w:rPr>
        <w:t>.</w:t>
      </w:r>
    </w:p>
    <w:p w:rsidR="00051C44" w:rsidRPr="00B56CF7" w:rsidRDefault="00051C44" w:rsidP="00051C4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051C44" w:rsidRPr="00B56CF7" w:rsidRDefault="00051C44" w:rsidP="00F964F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El peticionario</w:t>
      </w:r>
      <w:r w:rsidR="00E40449" w:rsidRPr="00B56CF7">
        <w:rPr>
          <w:rFonts w:asciiTheme="majorHAnsi" w:eastAsia="Calibri" w:hAnsiTheme="majorHAnsi"/>
          <w:sz w:val="20"/>
          <w:szCs w:val="20"/>
          <w:lang w:val="es-VE"/>
        </w:rPr>
        <w:t xml:space="preserve"> </w:t>
      </w:r>
      <w:r w:rsidR="008C1B2F" w:rsidRPr="00B56CF7">
        <w:rPr>
          <w:rFonts w:asciiTheme="majorHAnsi" w:eastAsia="Calibri" w:hAnsiTheme="majorHAnsi"/>
          <w:sz w:val="20"/>
          <w:szCs w:val="20"/>
          <w:lang w:val="es-VE"/>
        </w:rPr>
        <w:t>denunció</w:t>
      </w:r>
      <w:r w:rsidR="0041306A" w:rsidRPr="00B56CF7">
        <w:rPr>
          <w:rFonts w:asciiTheme="majorHAnsi" w:eastAsia="Calibri" w:hAnsiTheme="majorHAnsi"/>
          <w:sz w:val="20"/>
          <w:szCs w:val="20"/>
          <w:lang w:val="es-VE"/>
        </w:rPr>
        <w:t xml:space="preserve"> </w:t>
      </w:r>
      <w:r w:rsidR="00887304" w:rsidRPr="00B56CF7">
        <w:rPr>
          <w:rFonts w:asciiTheme="majorHAnsi" w:eastAsia="Calibri" w:hAnsiTheme="majorHAnsi"/>
          <w:sz w:val="20"/>
          <w:szCs w:val="20"/>
          <w:lang w:val="es-VE"/>
        </w:rPr>
        <w:t>s</w:t>
      </w:r>
      <w:r w:rsidRPr="00B56CF7">
        <w:rPr>
          <w:rFonts w:asciiTheme="majorHAnsi" w:eastAsia="Calibri" w:hAnsiTheme="majorHAnsi"/>
          <w:sz w:val="20"/>
          <w:szCs w:val="20"/>
          <w:lang w:val="es-VE"/>
        </w:rPr>
        <w:t>u</w:t>
      </w:r>
      <w:r w:rsidRPr="00B56CF7">
        <w:rPr>
          <w:rFonts w:asciiTheme="majorHAnsi" w:hAnsiTheme="majorHAnsi"/>
          <w:color w:val="000000"/>
          <w:sz w:val="20"/>
          <w:szCs w:val="20"/>
          <w:shd w:val="clear" w:color="auto" w:fill="FFFFFF"/>
          <w:lang w:val="es-VE"/>
        </w:rPr>
        <w:t xml:space="preserve"> detención en </w:t>
      </w:r>
      <w:r w:rsidR="000A2034" w:rsidRPr="00B56CF7">
        <w:rPr>
          <w:rFonts w:asciiTheme="majorHAnsi" w:hAnsiTheme="majorHAnsi"/>
          <w:color w:val="000000"/>
          <w:sz w:val="20"/>
          <w:szCs w:val="20"/>
          <w:shd w:val="clear" w:color="auto" w:fill="FFFFFF"/>
          <w:lang w:val="es-VE"/>
        </w:rPr>
        <w:t xml:space="preserve">prisión preventiva por más de tres </w:t>
      </w:r>
      <w:r w:rsidRPr="00B56CF7">
        <w:rPr>
          <w:rFonts w:asciiTheme="majorHAnsi" w:hAnsiTheme="majorHAnsi"/>
          <w:color w:val="000000"/>
          <w:sz w:val="20"/>
          <w:szCs w:val="20"/>
          <w:shd w:val="clear" w:color="auto" w:fill="FFFFFF"/>
          <w:lang w:val="es-VE"/>
        </w:rPr>
        <w:t xml:space="preserve">años y las reiteradas negativas de las autoridades judiciales argentinas a concederle el beneficio de </w:t>
      </w:r>
      <w:r w:rsidR="002854DD" w:rsidRPr="00B56CF7">
        <w:rPr>
          <w:rFonts w:asciiTheme="majorHAnsi" w:hAnsiTheme="majorHAnsi"/>
          <w:color w:val="000000"/>
          <w:sz w:val="20"/>
          <w:szCs w:val="20"/>
          <w:shd w:val="clear" w:color="auto" w:fill="FFFFFF"/>
          <w:lang w:val="es-VE"/>
        </w:rPr>
        <w:t>“</w:t>
      </w:r>
      <w:r w:rsidRPr="00B56CF7">
        <w:rPr>
          <w:rFonts w:asciiTheme="majorHAnsi" w:hAnsiTheme="majorHAnsi"/>
          <w:color w:val="000000"/>
          <w:sz w:val="20"/>
          <w:szCs w:val="20"/>
          <w:shd w:val="clear" w:color="auto" w:fill="FFFFFF"/>
          <w:lang w:val="es-VE"/>
        </w:rPr>
        <w:t>excarcelación</w:t>
      </w:r>
      <w:r w:rsidR="002854DD" w:rsidRPr="00B56CF7">
        <w:rPr>
          <w:rFonts w:asciiTheme="majorHAnsi" w:hAnsiTheme="majorHAnsi"/>
          <w:color w:val="000000"/>
          <w:sz w:val="20"/>
          <w:szCs w:val="20"/>
          <w:shd w:val="clear" w:color="auto" w:fill="FFFFFF"/>
          <w:lang w:val="es-VE"/>
        </w:rPr>
        <w:t>”</w:t>
      </w:r>
      <w:r w:rsidRPr="00B56CF7">
        <w:rPr>
          <w:rFonts w:asciiTheme="majorHAnsi" w:hAnsiTheme="majorHAnsi"/>
          <w:color w:val="000000"/>
          <w:sz w:val="20"/>
          <w:szCs w:val="20"/>
          <w:shd w:val="clear" w:color="auto" w:fill="FFFFFF"/>
          <w:lang w:val="es-VE"/>
        </w:rPr>
        <w:t>, debido a</w:t>
      </w:r>
      <w:r w:rsidR="00496B95" w:rsidRPr="00B56CF7">
        <w:rPr>
          <w:rFonts w:asciiTheme="majorHAnsi" w:hAnsiTheme="majorHAnsi"/>
          <w:color w:val="000000"/>
          <w:sz w:val="20"/>
          <w:szCs w:val="20"/>
          <w:shd w:val="clear" w:color="auto" w:fill="FFFFFF"/>
          <w:lang w:val="es-VE"/>
        </w:rPr>
        <w:t xml:space="preserve"> la naturaleza </w:t>
      </w:r>
      <w:r w:rsidRPr="00B56CF7">
        <w:rPr>
          <w:rFonts w:asciiTheme="majorHAnsi" w:hAnsiTheme="majorHAnsi"/>
          <w:color w:val="000000"/>
          <w:sz w:val="20"/>
          <w:szCs w:val="20"/>
          <w:shd w:val="clear" w:color="auto" w:fill="FFFFFF"/>
          <w:lang w:val="es-VE"/>
        </w:rPr>
        <w:t>de</w:t>
      </w:r>
      <w:r w:rsidR="00496B95" w:rsidRPr="00B56CF7">
        <w:rPr>
          <w:rFonts w:asciiTheme="majorHAnsi" w:hAnsiTheme="majorHAnsi"/>
          <w:color w:val="000000"/>
          <w:sz w:val="20"/>
          <w:szCs w:val="20"/>
          <w:shd w:val="clear" w:color="auto" w:fill="FFFFFF"/>
          <w:lang w:val="es-VE"/>
        </w:rPr>
        <w:t>l</w:t>
      </w:r>
      <w:r w:rsidRPr="00B56CF7">
        <w:rPr>
          <w:rFonts w:asciiTheme="majorHAnsi" w:hAnsiTheme="majorHAnsi"/>
          <w:color w:val="000000"/>
          <w:sz w:val="20"/>
          <w:szCs w:val="20"/>
          <w:shd w:val="clear" w:color="auto" w:fill="FFFFFF"/>
          <w:lang w:val="es-VE"/>
        </w:rPr>
        <w:t xml:space="preserve"> delito por el cual había sido acusado. La </w:t>
      </w:r>
      <w:r w:rsidR="00496B95" w:rsidRPr="00B56CF7">
        <w:rPr>
          <w:rFonts w:asciiTheme="majorHAnsi" w:hAnsiTheme="majorHAnsi"/>
          <w:color w:val="000000"/>
          <w:sz w:val="20"/>
          <w:szCs w:val="20"/>
          <w:shd w:val="clear" w:color="auto" w:fill="FFFFFF"/>
          <w:lang w:val="es-VE"/>
        </w:rPr>
        <w:t xml:space="preserve">petición </w:t>
      </w:r>
      <w:r w:rsidRPr="00B56CF7">
        <w:rPr>
          <w:rFonts w:asciiTheme="majorHAnsi" w:hAnsiTheme="majorHAnsi"/>
          <w:color w:val="000000"/>
          <w:sz w:val="20"/>
          <w:szCs w:val="20"/>
          <w:shd w:val="clear" w:color="auto" w:fill="FFFFFF"/>
          <w:lang w:val="es-VE"/>
        </w:rPr>
        <w:t>se refiere también a la supuesta falta de debida diligencia en el proceso de investigación de dos funcionarios de la fiscalía que presentaron pruebas presuntamente adulteradas en el proceso jud</w:t>
      </w:r>
      <w:r w:rsidR="008C1B2F" w:rsidRPr="00B56CF7">
        <w:rPr>
          <w:rFonts w:asciiTheme="majorHAnsi" w:hAnsiTheme="majorHAnsi"/>
          <w:color w:val="000000"/>
          <w:sz w:val="20"/>
          <w:szCs w:val="20"/>
          <w:shd w:val="clear" w:color="auto" w:fill="FFFFFF"/>
          <w:lang w:val="es-VE"/>
        </w:rPr>
        <w:t>icial seguido contra la</w:t>
      </w:r>
      <w:r w:rsidR="00465212" w:rsidRPr="00B56CF7">
        <w:rPr>
          <w:rFonts w:asciiTheme="majorHAnsi" w:hAnsiTheme="majorHAnsi"/>
          <w:color w:val="000000"/>
          <w:sz w:val="20"/>
          <w:szCs w:val="20"/>
          <w:shd w:val="clear" w:color="auto" w:fill="FFFFFF"/>
          <w:lang w:val="es-VE"/>
        </w:rPr>
        <w:t xml:space="preserve"> presunta</w:t>
      </w:r>
      <w:r w:rsidR="008C1B2F" w:rsidRPr="00B56CF7">
        <w:rPr>
          <w:rFonts w:asciiTheme="majorHAnsi" w:hAnsiTheme="majorHAnsi"/>
          <w:color w:val="000000"/>
          <w:sz w:val="20"/>
          <w:szCs w:val="20"/>
          <w:shd w:val="clear" w:color="auto" w:fill="FFFFFF"/>
          <w:lang w:val="es-VE"/>
        </w:rPr>
        <w:t xml:space="preserve"> víctima, así como a la falta de reparaciones por </w:t>
      </w:r>
      <w:r w:rsidR="00302DD3" w:rsidRPr="00B56CF7">
        <w:rPr>
          <w:rFonts w:asciiTheme="majorHAnsi" w:hAnsiTheme="majorHAnsi"/>
          <w:color w:val="000000"/>
          <w:sz w:val="20"/>
          <w:szCs w:val="20"/>
          <w:shd w:val="clear" w:color="auto" w:fill="FFFFFF"/>
          <w:lang w:val="es-VE"/>
        </w:rPr>
        <w:t xml:space="preserve">la prisión preventiva prolongada y </w:t>
      </w:r>
      <w:r w:rsidR="00465212" w:rsidRPr="00B56CF7">
        <w:rPr>
          <w:rFonts w:asciiTheme="majorHAnsi" w:hAnsiTheme="majorHAnsi"/>
          <w:color w:val="000000"/>
          <w:sz w:val="20"/>
          <w:szCs w:val="20"/>
          <w:shd w:val="clear" w:color="auto" w:fill="FFFFFF"/>
          <w:lang w:val="es-VE"/>
        </w:rPr>
        <w:t xml:space="preserve">por </w:t>
      </w:r>
      <w:r w:rsidR="008C1B2F" w:rsidRPr="00B56CF7">
        <w:rPr>
          <w:rFonts w:asciiTheme="majorHAnsi" w:hAnsiTheme="majorHAnsi"/>
          <w:color w:val="000000"/>
          <w:sz w:val="20"/>
          <w:szCs w:val="20"/>
          <w:shd w:val="clear" w:color="auto" w:fill="FFFFFF"/>
          <w:lang w:val="es-VE"/>
        </w:rPr>
        <w:t xml:space="preserve">el error judicial del cual aseguró haber sido </w:t>
      </w:r>
      <w:r w:rsidR="00465212" w:rsidRPr="00B56CF7">
        <w:rPr>
          <w:rFonts w:asciiTheme="majorHAnsi" w:hAnsiTheme="majorHAnsi"/>
          <w:color w:val="000000"/>
          <w:sz w:val="20"/>
          <w:szCs w:val="20"/>
          <w:shd w:val="clear" w:color="auto" w:fill="FFFFFF"/>
          <w:lang w:val="es-VE"/>
        </w:rPr>
        <w:t>víctima</w:t>
      </w:r>
      <w:r w:rsidR="008C1B2F" w:rsidRPr="00B56CF7">
        <w:rPr>
          <w:rFonts w:asciiTheme="majorHAnsi" w:hAnsiTheme="majorHAnsi"/>
          <w:color w:val="000000"/>
          <w:sz w:val="20"/>
          <w:szCs w:val="20"/>
          <w:shd w:val="clear" w:color="auto" w:fill="FFFFFF"/>
          <w:lang w:val="es-VE"/>
        </w:rPr>
        <w:t xml:space="preserve">. </w:t>
      </w:r>
    </w:p>
    <w:p w:rsidR="00051C44" w:rsidRPr="00B56CF7" w:rsidRDefault="00051C44" w:rsidP="00051C44">
      <w:pPr>
        <w:pStyle w:val="ListParagraph"/>
        <w:rPr>
          <w:rFonts w:asciiTheme="majorHAnsi" w:hAnsiTheme="majorHAnsi"/>
          <w:sz w:val="20"/>
          <w:szCs w:val="20"/>
          <w:shd w:val="clear" w:color="auto" w:fill="FFFFFF"/>
          <w:lang w:val="es-VE"/>
        </w:rPr>
      </w:pPr>
    </w:p>
    <w:p w:rsidR="00302DD3" w:rsidRPr="00B56CF7" w:rsidRDefault="00051C44" w:rsidP="00F964F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hAnsiTheme="majorHAnsi"/>
          <w:color w:val="000000"/>
          <w:sz w:val="20"/>
          <w:szCs w:val="20"/>
          <w:shd w:val="clear" w:color="auto" w:fill="FFFFFF"/>
          <w:lang w:val="es-VE"/>
        </w:rPr>
        <w:t>El Estado soli</w:t>
      </w:r>
      <w:r w:rsidR="00302DD3" w:rsidRPr="00B56CF7">
        <w:rPr>
          <w:rFonts w:asciiTheme="majorHAnsi" w:hAnsiTheme="majorHAnsi"/>
          <w:color w:val="000000"/>
          <w:sz w:val="20"/>
          <w:szCs w:val="20"/>
          <w:shd w:val="clear" w:color="auto" w:fill="FFFFFF"/>
          <w:lang w:val="es-VE"/>
        </w:rPr>
        <w:t xml:space="preserve">citó a la Comisión que declare </w:t>
      </w:r>
      <w:r w:rsidR="002854DD" w:rsidRPr="00B56CF7">
        <w:rPr>
          <w:rFonts w:asciiTheme="majorHAnsi" w:hAnsiTheme="majorHAnsi"/>
          <w:color w:val="000000"/>
          <w:sz w:val="20"/>
          <w:szCs w:val="20"/>
          <w:shd w:val="clear" w:color="auto" w:fill="FFFFFF"/>
          <w:lang w:val="es-VE"/>
        </w:rPr>
        <w:t>que no es</w:t>
      </w:r>
      <w:r w:rsidR="00302DD3" w:rsidRPr="00B56CF7">
        <w:rPr>
          <w:rFonts w:asciiTheme="majorHAnsi" w:hAnsiTheme="majorHAnsi"/>
          <w:color w:val="000000"/>
          <w:sz w:val="20"/>
          <w:szCs w:val="20"/>
          <w:shd w:val="clear" w:color="auto" w:fill="FFFFFF"/>
          <w:lang w:val="es-VE"/>
        </w:rPr>
        <w:t xml:space="preserve"> responsab</w:t>
      </w:r>
      <w:r w:rsidR="002854DD" w:rsidRPr="00B56CF7">
        <w:rPr>
          <w:rFonts w:asciiTheme="majorHAnsi" w:hAnsiTheme="majorHAnsi"/>
          <w:color w:val="000000"/>
          <w:sz w:val="20"/>
          <w:szCs w:val="20"/>
          <w:shd w:val="clear" w:color="auto" w:fill="FFFFFF"/>
          <w:lang w:val="es-VE"/>
        </w:rPr>
        <w:t xml:space="preserve">le </w:t>
      </w:r>
      <w:r w:rsidR="00302DD3" w:rsidRPr="00B56CF7">
        <w:rPr>
          <w:rFonts w:asciiTheme="majorHAnsi" w:hAnsiTheme="majorHAnsi"/>
          <w:color w:val="000000"/>
          <w:sz w:val="20"/>
          <w:szCs w:val="20"/>
          <w:shd w:val="clear" w:color="auto" w:fill="FFFFFF"/>
          <w:lang w:val="es-VE"/>
        </w:rPr>
        <w:t>internacional</w:t>
      </w:r>
      <w:r w:rsidR="002854DD" w:rsidRPr="00B56CF7">
        <w:rPr>
          <w:rFonts w:asciiTheme="majorHAnsi" w:hAnsiTheme="majorHAnsi"/>
          <w:color w:val="000000"/>
          <w:sz w:val="20"/>
          <w:szCs w:val="20"/>
          <w:shd w:val="clear" w:color="auto" w:fill="FFFFFF"/>
          <w:lang w:val="es-VE"/>
        </w:rPr>
        <w:t>mente</w:t>
      </w:r>
      <w:r w:rsidR="00302DD3" w:rsidRPr="00B56CF7">
        <w:rPr>
          <w:rFonts w:asciiTheme="majorHAnsi" w:hAnsiTheme="majorHAnsi"/>
          <w:color w:val="000000"/>
          <w:sz w:val="20"/>
          <w:szCs w:val="20"/>
          <w:shd w:val="clear" w:color="auto" w:fill="FFFFFF"/>
          <w:lang w:val="es-VE"/>
        </w:rPr>
        <w:t xml:space="preserve"> por co</w:t>
      </w:r>
      <w:r w:rsidR="004D6A88" w:rsidRPr="00B56CF7">
        <w:rPr>
          <w:rFonts w:asciiTheme="majorHAnsi" w:hAnsiTheme="majorHAnsi"/>
          <w:color w:val="000000"/>
          <w:sz w:val="20"/>
          <w:szCs w:val="20"/>
          <w:shd w:val="clear" w:color="auto" w:fill="FFFFFF"/>
          <w:lang w:val="es-VE"/>
        </w:rPr>
        <w:t xml:space="preserve">nsiderar que los planteamientos del peticionario devinieron abstractos ya que el 13 de noviembre de 1997 el </w:t>
      </w:r>
      <w:r w:rsidR="00596876" w:rsidRPr="00B56CF7">
        <w:rPr>
          <w:rFonts w:asciiTheme="majorHAnsi" w:hAnsiTheme="majorHAnsi"/>
          <w:sz w:val="20"/>
          <w:szCs w:val="20"/>
          <w:lang w:val="es-VE"/>
        </w:rPr>
        <w:t>Tribunal en lo Criminal Federal No 6 de Capital Federal</w:t>
      </w:r>
      <w:r w:rsidR="00596876" w:rsidRPr="00B56CF7">
        <w:rPr>
          <w:rFonts w:asciiTheme="majorHAnsi" w:hAnsiTheme="majorHAnsi"/>
          <w:color w:val="000000"/>
          <w:sz w:val="20"/>
          <w:szCs w:val="20"/>
          <w:shd w:val="clear" w:color="auto" w:fill="FFFFFF"/>
          <w:lang w:val="es-VE"/>
        </w:rPr>
        <w:t xml:space="preserve"> </w:t>
      </w:r>
      <w:r w:rsidR="004D6A88" w:rsidRPr="00B56CF7">
        <w:rPr>
          <w:rFonts w:asciiTheme="majorHAnsi" w:hAnsiTheme="majorHAnsi"/>
          <w:color w:val="000000"/>
          <w:sz w:val="20"/>
          <w:szCs w:val="20"/>
          <w:shd w:val="clear" w:color="auto" w:fill="FFFFFF"/>
          <w:lang w:val="es-VE"/>
        </w:rPr>
        <w:t>ordenó s</w:t>
      </w:r>
      <w:r w:rsidR="00D96050" w:rsidRPr="00B56CF7">
        <w:rPr>
          <w:rFonts w:asciiTheme="majorHAnsi" w:hAnsiTheme="majorHAnsi"/>
          <w:color w:val="000000"/>
          <w:sz w:val="20"/>
          <w:szCs w:val="20"/>
          <w:shd w:val="clear" w:color="auto" w:fill="FFFFFF"/>
          <w:lang w:val="es-VE"/>
        </w:rPr>
        <w:t>u</w:t>
      </w:r>
      <w:r w:rsidR="004D6A88" w:rsidRPr="00B56CF7">
        <w:rPr>
          <w:rFonts w:asciiTheme="majorHAnsi" w:hAnsiTheme="majorHAnsi"/>
          <w:color w:val="000000"/>
          <w:sz w:val="20"/>
          <w:szCs w:val="20"/>
          <w:shd w:val="clear" w:color="auto" w:fill="FFFFFF"/>
          <w:lang w:val="es-VE"/>
        </w:rPr>
        <w:t xml:space="preserve"> libertad. Además</w:t>
      </w:r>
      <w:r w:rsidR="00D93A78" w:rsidRPr="00B56CF7">
        <w:rPr>
          <w:rFonts w:asciiTheme="majorHAnsi" w:hAnsiTheme="majorHAnsi"/>
          <w:color w:val="000000"/>
          <w:sz w:val="20"/>
          <w:szCs w:val="20"/>
          <w:shd w:val="clear" w:color="auto" w:fill="FFFFFF"/>
          <w:lang w:val="es-VE"/>
        </w:rPr>
        <w:t>, alegó que</w:t>
      </w:r>
      <w:r w:rsidR="004D6A88" w:rsidRPr="00B56CF7">
        <w:rPr>
          <w:rFonts w:asciiTheme="majorHAnsi" w:hAnsiTheme="majorHAnsi"/>
          <w:color w:val="000000"/>
          <w:sz w:val="20"/>
          <w:szCs w:val="20"/>
          <w:shd w:val="clear" w:color="auto" w:fill="FFFFFF"/>
          <w:lang w:val="es-VE"/>
        </w:rPr>
        <w:t xml:space="preserve"> </w:t>
      </w:r>
      <w:r w:rsidR="00A974AC" w:rsidRPr="00B56CF7">
        <w:rPr>
          <w:rFonts w:asciiTheme="majorHAnsi" w:hAnsiTheme="majorHAnsi"/>
          <w:color w:val="000000"/>
          <w:sz w:val="20"/>
          <w:szCs w:val="20"/>
          <w:shd w:val="clear" w:color="auto" w:fill="FFFFFF"/>
          <w:lang w:val="es-VE"/>
        </w:rPr>
        <w:t xml:space="preserve">el 23 de diciembre de 1997 fue </w:t>
      </w:r>
      <w:r w:rsidR="004D6A88" w:rsidRPr="00B56CF7">
        <w:rPr>
          <w:rFonts w:asciiTheme="majorHAnsi" w:hAnsiTheme="majorHAnsi"/>
          <w:color w:val="000000"/>
          <w:sz w:val="20"/>
          <w:szCs w:val="20"/>
          <w:shd w:val="clear" w:color="auto" w:fill="FFFFFF"/>
          <w:lang w:val="es-VE"/>
        </w:rPr>
        <w:t>absuelto en el marco del proceso penal y</w:t>
      </w:r>
      <w:r w:rsidR="00A974AC" w:rsidRPr="00B56CF7">
        <w:rPr>
          <w:rFonts w:asciiTheme="majorHAnsi" w:hAnsiTheme="majorHAnsi"/>
          <w:color w:val="000000"/>
          <w:sz w:val="20"/>
          <w:szCs w:val="20"/>
          <w:shd w:val="clear" w:color="auto" w:fill="FFFFFF"/>
          <w:lang w:val="es-VE"/>
        </w:rPr>
        <w:t xml:space="preserve"> que</w:t>
      </w:r>
      <w:r w:rsidR="004D6A88" w:rsidRPr="00B56CF7">
        <w:rPr>
          <w:rFonts w:asciiTheme="majorHAnsi" w:hAnsiTheme="majorHAnsi"/>
          <w:color w:val="000000"/>
          <w:sz w:val="20"/>
          <w:szCs w:val="20"/>
          <w:shd w:val="clear" w:color="auto" w:fill="FFFFFF"/>
          <w:lang w:val="es-VE"/>
        </w:rPr>
        <w:t xml:space="preserve"> los funcionarios que incorporaron la prueba </w:t>
      </w:r>
      <w:r w:rsidR="00D96050" w:rsidRPr="00B56CF7">
        <w:rPr>
          <w:rFonts w:asciiTheme="majorHAnsi" w:hAnsiTheme="majorHAnsi"/>
          <w:color w:val="000000"/>
          <w:sz w:val="20"/>
          <w:szCs w:val="20"/>
          <w:shd w:val="clear" w:color="auto" w:fill="FFFFFF"/>
          <w:lang w:val="es-VE"/>
        </w:rPr>
        <w:t>telefónica fueron investigados debidamente en la vía administrativa y penal</w:t>
      </w:r>
      <w:r w:rsidR="00556617" w:rsidRPr="00B56CF7">
        <w:rPr>
          <w:rFonts w:asciiTheme="majorHAnsi" w:hAnsiTheme="majorHAnsi"/>
          <w:color w:val="000000"/>
          <w:sz w:val="20"/>
          <w:szCs w:val="20"/>
          <w:shd w:val="clear" w:color="auto" w:fill="FFFFFF"/>
          <w:lang w:val="es-VE"/>
        </w:rPr>
        <w:t>,</w:t>
      </w:r>
      <w:r w:rsidR="00D96050" w:rsidRPr="00B56CF7">
        <w:rPr>
          <w:rFonts w:asciiTheme="majorHAnsi" w:hAnsiTheme="majorHAnsi"/>
          <w:color w:val="000000"/>
          <w:sz w:val="20"/>
          <w:szCs w:val="20"/>
          <w:shd w:val="clear" w:color="auto" w:fill="FFFFFF"/>
          <w:lang w:val="es-VE"/>
        </w:rPr>
        <w:t xml:space="preserve"> determinándose que no incurrieron en ninguna falta.</w:t>
      </w:r>
      <w:r w:rsidR="00AD5E46" w:rsidRPr="00B56CF7">
        <w:rPr>
          <w:rFonts w:asciiTheme="majorHAnsi" w:hAnsiTheme="majorHAnsi"/>
          <w:color w:val="000000"/>
          <w:sz w:val="20"/>
          <w:szCs w:val="20"/>
          <w:shd w:val="clear" w:color="auto" w:fill="FFFFFF"/>
          <w:lang w:val="es-VE"/>
        </w:rPr>
        <w:t xml:space="preserve"> En cuanto a la pretensión de reparación en la vía interna, el Estado alegó que fue desechada pues la detención preventiva no fue arbitraria ni infundada y la absolución no se basó en una </w:t>
      </w:r>
      <w:r w:rsidR="00B4442F" w:rsidRPr="00B56CF7">
        <w:rPr>
          <w:rFonts w:asciiTheme="majorHAnsi" w:hAnsiTheme="majorHAnsi"/>
          <w:color w:val="000000"/>
          <w:sz w:val="20"/>
          <w:szCs w:val="20"/>
          <w:shd w:val="clear" w:color="auto" w:fill="FFFFFF"/>
          <w:lang w:val="es-VE"/>
        </w:rPr>
        <w:t>declaratoria de inocencia manifi</w:t>
      </w:r>
      <w:r w:rsidR="00AD5E46" w:rsidRPr="00B56CF7">
        <w:rPr>
          <w:rFonts w:asciiTheme="majorHAnsi" w:hAnsiTheme="majorHAnsi"/>
          <w:color w:val="000000"/>
          <w:sz w:val="20"/>
          <w:szCs w:val="20"/>
          <w:shd w:val="clear" w:color="auto" w:fill="FFFFFF"/>
          <w:lang w:val="es-VE"/>
        </w:rPr>
        <w:t xml:space="preserve">esta. </w:t>
      </w:r>
    </w:p>
    <w:p w:rsidR="00051C44" w:rsidRPr="00B56CF7" w:rsidRDefault="00051C44" w:rsidP="00051C4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rsidR="00E40449" w:rsidRPr="00B56CF7" w:rsidRDefault="00E40449" w:rsidP="00EC250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B41CF">
        <w:rPr>
          <w:rFonts w:asciiTheme="majorHAnsi" w:eastAsia="Calibri" w:hAnsiTheme="majorHAnsi"/>
          <w:sz w:val="20"/>
          <w:szCs w:val="20"/>
          <w:lang w:val="es-VE"/>
        </w:rPr>
        <w:t>Tras analizar las posiciones de las partes, la Comisión Interamericana concluyó que el Estado</w:t>
      </w:r>
      <w:r w:rsidR="001D78C3" w:rsidRPr="00BB41CF">
        <w:rPr>
          <w:rFonts w:asciiTheme="majorHAnsi" w:eastAsia="Calibri" w:hAnsiTheme="majorHAnsi"/>
          <w:sz w:val="20"/>
          <w:szCs w:val="20"/>
          <w:lang w:val="es-VE"/>
        </w:rPr>
        <w:t xml:space="preserve"> </w:t>
      </w:r>
      <w:r w:rsidR="00051C44" w:rsidRPr="00BB41CF">
        <w:rPr>
          <w:rFonts w:asciiTheme="majorHAnsi" w:eastAsia="Calibri" w:hAnsiTheme="majorHAnsi"/>
          <w:sz w:val="20"/>
          <w:szCs w:val="20"/>
          <w:lang w:val="es-VE"/>
        </w:rPr>
        <w:t>argentino</w:t>
      </w:r>
      <w:r w:rsidRPr="00BB41CF">
        <w:rPr>
          <w:rFonts w:asciiTheme="majorHAnsi" w:eastAsia="Calibri" w:hAnsiTheme="majorHAnsi"/>
          <w:sz w:val="20"/>
          <w:szCs w:val="20"/>
          <w:lang w:val="es-VE"/>
        </w:rPr>
        <w:t xml:space="preserve"> es responsable por la violación de los derechos consagrados en los artículos</w:t>
      </w:r>
      <w:r w:rsidR="00051C44" w:rsidRPr="00BB41CF">
        <w:rPr>
          <w:rFonts w:asciiTheme="majorHAnsi" w:eastAsia="Calibri" w:hAnsiTheme="majorHAnsi"/>
          <w:sz w:val="20"/>
          <w:szCs w:val="20"/>
          <w:lang w:val="es-VE"/>
        </w:rPr>
        <w:t xml:space="preserve"> 7</w:t>
      </w:r>
      <w:r w:rsidR="00D1578E" w:rsidRPr="00BB41CF">
        <w:rPr>
          <w:rFonts w:asciiTheme="majorHAnsi" w:eastAsia="Calibri" w:hAnsiTheme="majorHAnsi"/>
          <w:sz w:val="20"/>
          <w:szCs w:val="20"/>
          <w:lang w:val="es-VE"/>
        </w:rPr>
        <w:t>.1, 7.3, 7.5 y 7.6</w:t>
      </w:r>
      <w:r w:rsidR="00051C44" w:rsidRPr="00BB41CF">
        <w:rPr>
          <w:rFonts w:asciiTheme="majorHAnsi" w:eastAsia="Calibri" w:hAnsiTheme="majorHAnsi"/>
          <w:sz w:val="20"/>
          <w:szCs w:val="20"/>
          <w:lang w:val="es-VE"/>
        </w:rPr>
        <w:t xml:space="preserve"> (de</w:t>
      </w:r>
      <w:r w:rsidR="00BB3189" w:rsidRPr="00BB41CF">
        <w:rPr>
          <w:rFonts w:asciiTheme="majorHAnsi" w:eastAsia="Calibri" w:hAnsiTheme="majorHAnsi"/>
          <w:sz w:val="20"/>
          <w:szCs w:val="20"/>
          <w:lang w:val="es-VE"/>
        </w:rPr>
        <w:t xml:space="preserve">recho a la libertad personal), </w:t>
      </w:r>
      <w:r w:rsidR="00EC250C" w:rsidRPr="00BB41CF">
        <w:rPr>
          <w:rFonts w:asciiTheme="majorHAnsi" w:eastAsia="Calibri" w:hAnsiTheme="majorHAnsi"/>
          <w:sz w:val="20"/>
          <w:szCs w:val="20"/>
          <w:lang w:val="es-VE"/>
        </w:rPr>
        <w:t>8</w:t>
      </w:r>
      <w:r w:rsidR="00D1578E" w:rsidRPr="00BB41CF">
        <w:rPr>
          <w:rFonts w:asciiTheme="majorHAnsi" w:eastAsia="Calibri" w:hAnsiTheme="majorHAnsi"/>
          <w:sz w:val="20"/>
          <w:szCs w:val="20"/>
          <w:lang w:val="es-VE"/>
        </w:rPr>
        <w:t>.1</w:t>
      </w:r>
      <w:r w:rsidR="00FF5F63" w:rsidRPr="00BB41CF">
        <w:rPr>
          <w:rFonts w:asciiTheme="majorHAnsi" w:eastAsia="Calibri" w:hAnsiTheme="majorHAnsi"/>
          <w:sz w:val="20"/>
          <w:szCs w:val="20"/>
          <w:lang w:val="es-VE"/>
        </w:rPr>
        <w:t xml:space="preserve"> y 8.2 </w:t>
      </w:r>
      <w:r w:rsidR="00EC250C" w:rsidRPr="00BB41CF">
        <w:rPr>
          <w:rFonts w:asciiTheme="majorHAnsi" w:eastAsia="Calibri" w:hAnsiTheme="majorHAnsi"/>
          <w:sz w:val="20"/>
          <w:szCs w:val="20"/>
          <w:lang w:val="es-VE"/>
        </w:rPr>
        <w:t xml:space="preserve">(garantías </w:t>
      </w:r>
      <w:r w:rsidR="00804360" w:rsidRPr="00BB41CF">
        <w:rPr>
          <w:rFonts w:asciiTheme="majorHAnsi" w:eastAsia="Calibri" w:hAnsiTheme="majorHAnsi"/>
          <w:sz w:val="20"/>
          <w:szCs w:val="20"/>
          <w:lang w:val="es-VE"/>
        </w:rPr>
        <w:t>judiciales</w:t>
      </w:r>
      <w:r w:rsidR="00556617" w:rsidRPr="00BB41CF">
        <w:rPr>
          <w:rFonts w:asciiTheme="majorHAnsi" w:eastAsia="Calibri" w:hAnsiTheme="majorHAnsi"/>
          <w:sz w:val="20"/>
          <w:szCs w:val="20"/>
          <w:lang w:val="es-VE"/>
        </w:rPr>
        <w:t>)</w:t>
      </w:r>
      <w:r w:rsidR="00804360" w:rsidRPr="00BB41CF">
        <w:rPr>
          <w:rFonts w:asciiTheme="majorHAnsi" w:eastAsia="Calibri" w:hAnsiTheme="majorHAnsi"/>
          <w:sz w:val="20"/>
          <w:szCs w:val="20"/>
          <w:lang w:val="es-VE"/>
        </w:rPr>
        <w:t xml:space="preserve">, 24 (igualdad ante la ley) y </w:t>
      </w:r>
      <w:r w:rsidR="00EC250C" w:rsidRPr="00BB41CF">
        <w:rPr>
          <w:rFonts w:asciiTheme="majorHAnsi" w:eastAsia="Calibri" w:hAnsiTheme="majorHAnsi"/>
          <w:sz w:val="20"/>
          <w:szCs w:val="20"/>
          <w:lang w:val="es-VE"/>
        </w:rPr>
        <w:t>25</w:t>
      </w:r>
      <w:r w:rsidR="00D1578E" w:rsidRPr="00BB41CF">
        <w:rPr>
          <w:rFonts w:asciiTheme="majorHAnsi" w:eastAsia="Calibri" w:hAnsiTheme="majorHAnsi"/>
          <w:sz w:val="20"/>
          <w:szCs w:val="20"/>
          <w:lang w:val="es-VE"/>
        </w:rPr>
        <w:t>.1</w:t>
      </w:r>
      <w:r w:rsidR="00EC250C" w:rsidRPr="00BB41CF">
        <w:rPr>
          <w:rFonts w:asciiTheme="majorHAnsi" w:eastAsia="Calibri" w:hAnsiTheme="majorHAnsi"/>
          <w:sz w:val="20"/>
          <w:szCs w:val="20"/>
          <w:lang w:val="es-VE"/>
        </w:rPr>
        <w:t xml:space="preserve"> (protección judicial) </w:t>
      </w:r>
      <w:r w:rsidRPr="00BB41CF">
        <w:rPr>
          <w:rFonts w:asciiTheme="majorHAnsi" w:eastAsia="Calibri" w:hAnsiTheme="majorHAnsi"/>
          <w:sz w:val="20"/>
          <w:szCs w:val="20"/>
          <w:lang w:val="es-VE"/>
        </w:rPr>
        <w:t>de la Convención Americana en relación con las obligaciones establecidas en los artículos 1.1 y 2 del mismo instrumento en perjuicio de</w:t>
      </w:r>
      <w:r w:rsidR="002676E2" w:rsidRPr="00BB41CF">
        <w:rPr>
          <w:rFonts w:asciiTheme="majorHAnsi" w:eastAsia="Calibri" w:hAnsiTheme="majorHAnsi"/>
          <w:sz w:val="20"/>
          <w:szCs w:val="20"/>
          <w:lang w:val="es-VE"/>
        </w:rPr>
        <w:t xml:space="preserve"> </w:t>
      </w:r>
      <w:r w:rsidR="00EC250C" w:rsidRPr="00BB41CF">
        <w:rPr>
          <w:rFonts w:asciiTheme="majorHAnsi" w:eastAsia="Calibri" w:hAnsiTheme="majorHAnsi"/>
          <w:sz w:val="20"/>
          <w:szCs w:val="20"/>
          <w:lang w:val="es-VE"/>
        </w:rPr>
        <w:t>Gabriel Oscar Jenkins</w:t>
      </w:r>
      <w:r w:rsidR="00A42D88" w:rsidRPr="00B56CF7">
        <w:rPr>
          <w:rFonts w:asciiTheme="majorHAnsi" w:eastAsia="Calibri" w:hAnsiTheme="majorHAnsi"/>
          <w:sz w:val="20"/>
          <w:szCs w:val="20"/>
          <w:lang w:val="es-VE"/>
        </w:rPr>
        <w:t>.</w:t>
      </w:r>
      <w:r w:rsidR="009413D3" w:rsidRPr="00B56CF7">
        <w:rPr>
          <w:rFonts w:asciiTheme="majorHAnsi" w:eastAsia="Calibri" w:hAnsiTheme="majorHAnsi"/>
          <w:sz w:val="20"/>
          <w:szCs w:val="20"/>
          <w:lang w:val="es-VE"/>
        </w:rPr>
        <w:t xml:space="preserve"> </w:t>
      </w:r>
      <w:r w:rsidR="00D1578E" w:rsidRPr="00B56CF7">
        <w:rPr>
          <w:rFonts w:asciiTheme="majorHAnsi" w:eastAsia="Calibri" w:hAnsiTheme="majorHAnsi"/>
          <w:sz w:val="20"/>
          <w:szCs w:val="20"/>
          <w:lang w:val="es-VE"/>
        </w:rPr>
        <w:t xml:space="preserve">En consecuencia, </w:t>
      </w:r>
      <w:r w:rsidRPr="00B56CF7">
        <w:rPr>
          <w:rFonts w:asciiTheme="majorHAnsi" w:eastAsia="Calibri" w:hAnsiTheme="majorHAnsi"/>
          <w:sz w:val="20"/>
          <w:szCs w:val="20"/>
          <w:lang w:val="es-VE"/>
        </w:rPr>
        <w:t xml:space="preserve">la Comisión formuló las recomendaciones respectivas. </w:t>
      </w:r>
    </w:p>
    <w:p w:rsidR="00EC250C" w:rsidRPr="00B56CF7" w:rsidRDefault="00EC250C" w:rsidP="0055682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highlight w:val="yellow"/>
          <w:lang w:val="es-VE"/>
        </w:rPr>
      </w:pPr>
    </w:p>
    <w:p w:rsidR="00E40449" w:rsidRPr="00B56CF7" w:rsidRDefault="00E40449" w:rsidP="005E081B">
      <w:pPr>
        <w:pStyle w:val="Heading1"/>
        <w:numPr>
          <w:ilvl w:val="0"/>
          <w:numId w:val="55"/>
        </w:numPr>
        <w:tabs>
          <w:tab w:val="clear" w:pos="1440"/>
        </w:tabs>
      </w:pPr>
      <w:bookmarkStart w:id="9" w:name="_Toc370840744"/>
      <w:bookmarkStart w:id="10" w:name="_Toc370840840"/>
      <w:bookmarkStart w:id="11" w:name="_Toc423514406"/>
      <w:bookmarkStart w:id="12" w:name="_Toc433115982"/>
      <w:bookmarkStart w:id="13" w:name="_Toc444958125"/>
      <w:bookmarkStart w:id="14" w:name="_Toc467577906"/>
      <w:bookmarkStart w:id="15" w:name="_Toc469409077"/>
      <w:r w:rsidRPr="00B56CF7">
        <w:t xml:space="preserve">TRÁMITE ANTE LA </w:t>
      </w:r>
      <w:bookmarkStart w:id="16" w:name="_Toc370840745"/>
      <w:bookmarkStart w:id="17" w:name="_Toc370840841"/>
      <w:bookmarkEnd w:id="9"/>
      <w:bookmarkEnd w:id="10"/>
      <w:r w:rsidRPr="00B56CF7">
        <w:t>COMISIÓN</w:t>
      </w:r>
      <w:bookmarkEnd w:id="11"/>
      <w:bookmarkEnd w:id="12"/>
      <w:bookmarkEnd w:id="13"/>
      <w:bookmarkEnd w:id="14"/>
      <w:bookmarkEnd w:id="15"/>
    </w:p>
    <w:p w:rsidR="00E40449" w:rsidRPr="00B56CF7" w:rsidRDefault="00E40449" w:rsidP="00E40449">
      <w:pPr>
        <w:rPr>
          <w:rFonts w:asciiTheme="majorHAnsi" w:hAnsiTheme="majorHAnsi"/>
          <w:sz w:val="20"/>
          <w:szCs w:val="20"/>
          <w:lang w:val="es-ES"/>
        </w:rPr>
      </w:pPr>
    </w:p>
    <w:p w:rsidR="00E40449" w:rsidRPr="00B56CF7" w:rsidRDefault="00E40449" w:rsidP="00E40449">
      <w:pPr>
        <w:ind w:left="708"/>
        <w:rPr>
          <w:rFonts w:asciiTheme="majorHAnsi" w:hAnsiTheme="majorHAnsi"/>
          <w:b/>
          <w:sz w:val="20"/>
          <w:szCs w:val="20"/>
          <w:lang w:val="es-ES"/>
        </w:rPr>
      </w:pPr>
      <w:r w:rsidRPr="00B56CF7">
        <w:rPr>
          <w:rFonts w:asciiTheme="majorHAnsi" w:hAnsiTheme="majorHAnsi"/>
          <w:b/>
          <w:sz w:val="20"/>
          <w:szCs w:val="20"/>
          <w:lang w:val="es-ES"/>
        </w:rPr>
        <w:t>A.</w:t>
      </w:r>
      <w:r w:rsidRPr="00B56CF7">
        <w:rPr>
          <w:rFonts w:asciiTheme="majorHAnsi" w:hAnsiTheme="majorHAnsi"/>
          <w:b/>
          <w:sz w:val="20"/>
          <w:szCs w:val="20"/>
          <w:lang w:val="es-ES"/>
        </w:rPr>
        <w:tab/>
        <w:t>Trámite del caso desde el informe de admisibilidad</w:t>
      </w:r>
    </w:p>
    <w:p w:rsidR="00E40449" w:rsidRPr="00B56CF7" w:rsidRDefault="00E40449" w:rsidP="00E40449">
      <w:pPr>
        <w:rPr>
          <w:rFonts w:asciiTheme="majorHAnsi" w:hAnsiTheme="majorHAnsi"/>
          <w:sz w:val="20"/>
          <w:szCs w:val="20"/>
          <w:lang w:val="es-ES"/>
        </w:rPr>
      </w:pPr>
    </w:p>
    <w:p w:rsidR="007022F9" w:rsidRPr="00B56CF7" w:rsidRDefault="008825B3" w:rsidP="007022F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El 9</w:t>
      </w:r>
      <w:r w:rsidR="00E40449" w:rsidRPr="00B56CF7">
        <w:rPr>
          <w:rFonts w:asciiTheme="majorHAnsi" w:eastAsia="Calibri" w:hAnsiTheme="majorHAnsi"/>
          <w:sz w:val="20"/>
          <w:szCs w:val="20"/>
          <w:lang w:val="es-VE"/>
        </w:rPr>
        <w:t xml:space="preserve"> de </w:t>
      </w:r>
      <w:r w:rsidR="00FB3F52" w:rsidRPr="00B56CF7">
        <w:rPr>
          <w:rFonts w:asciiTheme="majorHAnsi" w:eastAsia="Calibri" w:hAnsiTheme="majorHAnsi"/>
          <w:sz w:val="20"/>
          <w:szCs w:val="20"/>
          <w:lang w:val="es-VE"/>
        </w:rPr>
        <w:t>septiembre</w:t>
      </w:r>
      <w:r w:rsidR="00C35013" w:rsidRPr="00B56CF7">
        <w:rPr>
          <w:rFonts w:asciiTheme="majorHAnsi" w:eastAsia="Calibri" w:hAnsiTheme="majorHAnsi"/>
          <w:sz w:val="20"/>
          <w:szCs w:val="20"/>
          <w:lang w:val="es-VE"/>
        </w:rPr>
        <w:t xml:space="preserve"> de </w:t>
      </w:r>
      <w:r w:rsidRPr="00B56CF7">
        <w:rPr>
          <w:rFonts w:asciiTheme="majorHAnsi" w:eastAsia="Calibri" w:hAnsiTheme="majorHAnsi"/>
          <w:sz w:val="20"/>
          <w:szCs w:val="20"/>
          <w:lang w:val="es-VE"/>
        </w:rPr>
        <w:t>1997</w:t>
      </w:r>
      <w:r w:rsidR="00E40449" w:rsidRPr="00B56CF7">
        <w:rPr>
          <w:rFonts w:asciiTheme="majorHAnsi" w:eastAsia="Calibri" w:hAnsiTheme="majorHAnsi"/>
          <w:sz w:val="20"/>
          <w:szCs w:val="20"/>
          <w:lang w:val="es-VE"/>
        </w:rPr>
        <w:t xml:space="preserve"> la Comisión recibió la petición y la registró bajo el número </w:t>
      </w:r>
      <w:r w:rsidR="00A26C11" w:rsidRPr="00B56CF7">
        <w:rPr>
          <w:rFonts w:asciiTheme="majorHAnsi" w:eastAsia="Calibri" w:hAnsiTheme="majorHAnsi"/>
          <w:sz w:val="20"/>
          <w:szCs w:val="20"/>
          <w:lang w:val="es-VE"/>
        </w:rPr>
        <w:t>12.05</w:t>
      </w:r>
      <w:r w:rsidR="00C35013" w:rsidRPr="00B56CF7">
        <w:rPr>
          <w:rFonts w:asciiTheme="majorHAnsi" w:eastAsia="Calibri" w:hAnsiTheme="majorHAnsi"/>
          <w:sz w:val="20"/>
          <w:szCs w:val="20"/>
          <w:lang w:val="es-VE"/>
        </w:rPr>
        <w:t>6</w:t>
      </w:r>
      <w:r w:rsidR="00E40449" w:rsidRPr="00B56CF7">
        <w:rPr>
          <w:rFonts w:asciiTheme="majorHAnsi" w:eastAsia="Calibri" w:hAnsiTheme="majorHAnsi"/>
          <w:sz w:val="20"/>
          <w:szCs w:val="20"/>
          <w:lang w:val="es-VE"/>
        </w:rPr>
        <w:t>. El trámite hasta la decisión sobre admisibilidad se encuentra explicad</w:t>
      </w:r>
      <w:r w:rsidR="00C35013" w:rsidRPr="00B56CF7">
        <w:rPr>
          <w:rFonts w:asciiTheme="majorHAnsi" w:eastAsia="Calibri" w:hAnsiTheme="majorHAnsi"/>
          <w:sz w:val="20"/>
          <w:szCs w:val="20"/>
          <w:lang w:val="es-VE"/>
        </w:rPr>
        <w:t>o en detalle en el Informe No.</w:t>
      </w:r>
      <w:r w:rsidR="00A26C11" w:rsidRPr="00B56CF7">
        <w:rPr>
          <w:rFonts w:asciiTheme="majorHAnsi" w:eastAsia="Calibri" w:hAnsiTheme="majorHAnsi"/>
          <w:sz w:val="20"/>
          <w:szCs w:val="20"/>
          <w:lang w:val="es-VE"/>
        </w:rPr>
        <w:t xml:space="preserve"> 50/04 de 13</w:t>
      </w:r>
      <w:r w:rsidR="00FB3F52" w:rsidRPr="00B56CF7">
        <w:rPr>
          <w:rFonts w:asciiTheme="majorHAnsi" w:eastAsia="Calibri" w:hAnsiTheme="majorHAnsi"/>
          <w:sz w:val="20"/>
          <w:szCs w:val="20"/>
          <w:lang w:val="es-VE"/>
        </w:rPr>
        <w:t xml:space="preserve"> de </w:t>
      </w:r>
      <w:r w:rsidR="00A26C11" w:rsidRPr="00B56CF7">
        <w:rPr>
          <w:rFonts w:asciiTheme="majorHAnsi" w:eastAsia="Calibri" w:hAnsiTheme="majorHAnsi"/>
          <w:sz w:val="20"/>
          <w:szCs w:val="20"/>
          <w:lang w:val="es-VE"/>
        </w:rPr>
        <w:t>octubre de 2004</w:t>
      </w:r>
      <w:r w:rsidR="00E40449" w:rsidRPr="00B56CF7">
        <w:rPr>
          <w:rFonts w:asciiTheme="majorHAnsi" w:eastAsia="Calibri" w:hAnsiTheme="majorHAnsi"/>
          <w:sz w:val="20"/>
          <w:szCs w:val="20"/>
          <w:vertAlign w:val="superscript"/>
        </w:rPr>
        <w:footnoteReference w:id="2"/>
      </w:r>
      <w:r w:rsidR="00E40449" w:rsidRPr="00B56CF7">
        <w:rPr>
          <w:rFonts w:asciiTheme="majorHAnsi" w:eastAsia="Calibri" w:hAnsiTheme="majorHAnsi"/>
          <w:sz w:val="20"/>
          <w:szCs w:val="20"/>
          <w:lang w:val="es-VE"/>
        </w:rPr>
        <w:t xml:space="preserve">. En dicho informe la CIDH declaró la petición admisible en cuanto a la posible violación de los derechos consagrados en los artículos </w:t>
      </w:r>
      <w:r w:rsidR="00D7724D" w:rsidRPr="00B56CF7">
        <w:rPr>
          <w:rFonts w:asciiTheme="majorHAnsi" w:eastAsia="Calibri" w:hAnsiTheme="majorHAnsi"/>
          <w:sz w:val="20"/>
          <w:szCs w:val="20"/>
          <w:lang w:val="es-VE"/>
        </w:rPr>
        <w:t>1</w:t>
      </w:r>
      <w:r w:rsidR="00A01FAF" w:rsidRPr="00B56CF7">
        <w:rPr>
          <w:rFonts w:asciiTheme="majorHAnsi" w:eastAsia="Calibri" w:hAnsiTheme="majorHAnsi"/>
          <w:sz w:val="20"/>
          <w:szCs w:val="20"/>
          <w:lang w:val="es-VE"/>
        </w:rPr>
        <w:t>.</w:t>
      </w:r>
      <w:r w:rsidR="00D7724D" w:rsidRPr="00B56CF7">
        <w:rPr>
          <w:rFonts w:asciiTheme="majorHAnsi" w:eastAsia="Calibri" w:hAnsiTheme="majorHAnsi"/>
          <w:sz w:val="20"/>
          <w:szCs w:val="20"/>
          <w:lang w:val="es-VE"/>
        </w:rPr>
        <w:t>1,</w:t>
      </w:r>
      <w:r w:rsidR="00A26C11" w:rsidRPr="00B56CF7">
        <w:rPr>
          <w:rFonts w:asciiTheme="majorHAnsi" w:eastAsia="Calibri" w:hAnsiTheme="majorHAnsi"/>
          <w:sz w:val="20"/>
          <w:szCs w:val="20"/>
          <w:lang w:val="es-VE"/>
        </w:rPr>
        <w:t xml:space="preserve"> 2, </w:t>
      </w:r>
      <w:r w:rsidR="00D7724D" w:rsidRPr="00B56CF7">
        <w:rPr>
          <w:rFonts w:asciiTheme="majorHAnsi" w:eastAsia="Calibri" w:hAnsiTheme="majorHAnsi"/>
          <w:sz w:val="20"/>
          <w:szCs w:val="20"/>
          <w:lang w:val="es-VE"/>
        </w:rPr>
        <w:t>7, 8</w:t>
      </w:r>
      <w:r w:rsidR="000F1BFB" w:rsidRPr="00B56CF7">
        <w:rPr>
          <w:rFonts w:asciiTheme="majorHAnsi" w:eastAsia="Calibri" w:hAnsiTheme="majorHAnsi"/>
          <w:sz w:val="20"/>
          <w:szCs w:val="20"/>
          <w:lang w:val="es-VE"/>
        </w:rPr>
        <w:t>, 24 y 25</w:t>
      </w:r>
      <w:r w:rsidR="00CF4EE8" w:rsidRPr="00B56CF7">
        <w:rPr>
          <w:rFonts w:asciiTheme="majorHAnsi" w:eastAsia="Calibri" w:hAnsiTheme="majorHAnsi"/>
          <w:sz w:val="20"/>
          <w:szCs w:val="20"/>
          <w:lang w:val="es-VE"/>
        </w:rPr>
        <w:t xml:space="preserve"> </w:t>
      </w:r>
      <w:r w:rsidR="00E40449" w:rsidRPr="00B56CF7">
        <w:rPr>
          <w:rFonts w:asciiTheme="majorHAnsi" w:eastAsia="Calibri" w:hAnsiTheme="majorHAnsi"/>
          <w:sz w:val="20"/>
          <w:szCs w:val="20"/>
          <w:lang w:val="es-VE"/>
        </w:rPr>
        <w:t>de la Convención Americana</w:t>
      </w:r>
      <w:r w:rsidR="00D7724D" w:rsidRPr="00B56CF7">
        <w:rPr>
          <w:rFonts w:asciiTheme="majorHAnsi" w:eastAsia="Calibri" w:hAnsiTheme="majorHAnsi"/>
          <w:sz w:val="20"/>
          <w:szCs w:val="20"/>
          <w:lang w:val="es-VE"/>
        </w:rPr>
        <w:t>.</w:t>
      </w:r>
    </w:p>
    <w:p w:rsidR="007022F9" w:rsidRPr="00B56CF7" w:rsidRDefault="007022F9" w:rsidP="007022F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826E70" w:rsidRPr="00B56CF7" w:rsidRDefault="004F3B0B" w:rsidP="007022F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 xml:space="preserve">El </w:t>
      </w:r>
      <w:r w:rsidR="00B674E6" w:rsidRPr="00B56CF7">
        <w:rPr>
          <w:rFonts w:asciiTheme="majorHAnsi" w:eastAsia="Calibri" w:hAnsiTheme="majorHAnsi"/>
          <w:sz w:val="20"/>
          <w:szCs w:val="20"/>
          <w:lang w:val="es-VE"/>
        </w:rPr>
        <w:t>3</w:t>
      </w:r>
      <w:r w:rsidR="00E40449" w:rsidRPr="00B56CF7">
        <w:rPr>
          <w:rFonts w:asciiTheme="majorHAnsi" w:eastAsia="Calibri" w:hAnsiTheme="majorHAnsi"/>
          <w:sz w:val="20"/>
          <w:szCs w:val="20"/>
          <w:lang w:val="es-VE"/>
        </w:rPr>
        <w:t xml:space="preserve"> de </w:t>
      </w:r>
      <w:r w:rsidR="00B674E6" w:rsidRPr="00B56CF7">
        <w:rPr>
          <w:rFonts w:asciiTheme="majorHAnsi" w:eastAsia="Calibri" w:hAnsiTheme="majorHAnsi"/>
          <w:sz w:val="20"/>
          <w:szCs w:val="20"/>
          <w:lang w:val="es-VE"/>
        </w:rPr>
        <w:t>diciembre de 2004</w:t>
      </w:r>
      <w:r w:rsidR="00E40449" w:rsidRPr="00B56CF7">
        <w:rPr>
          <w:rFonts w:asciiTheme="majorHAnsi" w:eastAsia="Calibri" w:hAnsiTheme="majorHAnsi"/>
          <w:sz w:val="20"/>
          <w:szCs w:val="20"/>
          <w:lang w:val="es-VE"/>
        </w:rPr>
        <w:t xml:space="preserve"> la Comisión notificó a las partes el infor</w:t>
      </w:r>
      <w:r w:rsidR="00804360" w:rsidRPr="00B56CF7">
        <w:rPr>
          <w:rFonts w:asciiTheme="majorHAnsi" w:eastAsia="Calibri" w:hAnsiTheme="majorHAnsi"/>
          <w:sz w:val="20"/>
          <w:szCs w:val="20"/>
          <w:lang w:val="es-VE"/>
        </w:rPr>
        <w:t>me de admisibilidad. C</w:t>
      </w:r>
      <w:r w:rsidR="00E40449" w:rsidRPr="00B56CF7">
        <w:rPr>
          <w:rFonts w:asciiTheme="majorHAnsi" w:eastAsia="Calibri" w:hAnsiTheme="majorHAnsi"/>
          <w:sz w:val="20"/>
          <w:szCs w:val="20"/>
          <w:lang w:val="es-VE"/>
        </w:rPr>
        <w:t xml:space="preserve">onforme </w:t>
      </w:r>
      <w:r w:rsidRPr="00B56CF7">
        <w:rPr>
          <w:rFonts w:asciiTheme="majorHAnsi" w:eastAsia="Calibri" w:hAnsiTheme="majorHAnsi"/>
          <w:sz w:val="20"/>
          <w:szCs w:val="20"/>
          <w:lang w:val="es-VE"/>
        </w:rPr>
        <w:t xml:space="preserve">a </w:t>
      </w:r>
      <w:r w:rsidR="00E40449" w:rsidRPr="00B56CF7">
        <w:rPr>
          <w:rFonts w:asciiTheme="majorHAnsi" w:eastAsia="Calibri" w:hAnsiTheme="majorHAnsi"/>
          <w:sz w:val="20"/>
          <w:szCs w:val="20"/>
          <w:lang w:val="es-VE"/>
        </w:rPr>
        <w:t xml:space="preserve">su Reglamento, se puso a disposición de las partes a fin de llegar a una solución amistosa y solicitó a </w:t>
      </w:r>
      <w:r w:rsidR="00815160">
        <w:rPr>
          <w:rFonts w:asciiTheme="majorHAnsi" w:eastAsia="Calibri" w:hAnsiTheme="majorHAnsi"/>
          <w:sz w:val="20"/>
          <w:szCs w:val="20"/>
          <w:lang w:val="es-VE"/>
        </w:rPr>
        <w:t xml:space="preserve"> las dos</w:t>
      </w:r>
      <w:r w:rsidRPr="00B56CF7">
        <w:rPr>
          <w:rFonts w:asciiTheme="majorHAnsi" w:eastAsia="Calibri" w:hAnsiTheme="majorHAnsi"/>
          <w:sz w:val="20"/>
          <w:szCs w:val="20"/>
          <w:lang w:val="es-VE"/>
        </w:rPr>
        <w:t xml:space="preserve"> partes presentar sus observaciones sobre</w:t>
      </w:r>
      <w:r w:rsidR="00174C43" w:rsidRPr="00B56CF7">
        <w:rPr>
          <w:rFonts w:asciiTheme="majorHAnsi" w:eastAsia="Calibri" w:hAnsiTheme="majorHAnsi"/>
          <w:sz w:val="20"/>
          <w:szCs w:val="20"/>
          <w:lang w:val="es-VE"/>
        </w:rPr>
        <w:t xml:space="preserve"> dicha posibilidad </w:t>
      </w:r>
      <w:r w:rsidR="00D20A44" w:rsidRPr="00B56CF7">
        <w:rPr>
          <w:rFonts w:asciiTheme="majorHAnsi" w:eastAsia="Calibri" w:hAnsiTheme="majorHAnsi"/>
          <w:sz w:val="20"/>
          <w:szCs w:val="20"/>
          <w:lang w:val="es-VE"/>
        </w:rPr>
        <w:t xml:space="preserve">en el plazo de un mes. </w:t>
      </w:r>
      <w:r w:rsidRPr="00B56CF7">
        <w:rPr>
          <w:rFonts w:asciiTheme="majorHAnsi" w:eastAsia="Calibri" w:hAnsiTheme="majorHAnsi"/>
          <w:sz w:val="20"/>
          <w:szCs w:val="20"/>
          <w:lang w:val="es-VE"/>
        </w:rPr>
        <w:t xml:space="preserve">Asimismo, solicitó </w:t>
      </w:r>
      <w:r w:rsidRPr="00B56CF7">
        <w:rPr>
          <w:rFonts w:asciiTheme="majorHAnsi" w:eastAsia="Calibri" w:hAnsiTheme="majorHAnsi"/>
          <w:sz w:val="20"/>
          <w:szCs w:val="20"/>
          <w:lang w:val="es-VE"/>
        </w:rPr>
        <w:lastRenderedPageBreak/>
        <w:t xml:space="preserve">a los peticionarios presentar sus observaciones adicionales sobre el fondo en un plazo de dos meses. </w:t>
      </w:r>
      <w:r w:rsidR="00EE44D5" w:rsidRPr="00B56CF7">
        <w:rPr>
          <w:rFonts w:asciiTheme="majorHAnsi" w:eastAsia="Calibri" w:hAnsiTheme="majorHAnsi"/>
          <w:sz w:val="20"/>
          <w:szCs w:val="20"/>
          <w:lang w:val="es-VE"/>
        </w:rPr>
        <w:t>El 10 de febrero de 2005 el peticionario presentó sus observaciones adicionales sobre el fondo.</w:t>
      </w:r>
      <w:r w:rsidR="00DB0D85" w:rsidRPr="00B56CF7">
        <w:rPr>
          <w:rFonts w:asciiTheme="majorHAnsi" w:eastAsia="Calibri" w:hAnsiTheme="majorHAnsi"/>
          <w:sz w:val="20"/>
          <w:szCs w:val="20"/>
          <w:lang w:val="es-VE"/>
        </w:rPr>
        <w:t xml:space="preserve"> </w:t>
      </w:r>
      <w:r w:rsidR="00917159" w:rsidRPr="00B56CF7">
        <w:rPr>
          <w:rFonts w:asciiTheme="majorHAnsi" w:eastAsia="Calibri" w:hAnsiTheme="majorHAnsi"/>
          <w:sz w:val="20"/>
          <w:szCs w:val="20"/>
          <w:lang w:val="es-VE"/>
        </w:rPr>
        <w:t xml:space="preserve">Dichas observaciones fueron transmitidas al Estado argentino el </w:t>
      </w:r>
      <w:r w:rsidR="00BD4CE2" w:rsidRPr="00B56CF7">
        <w:rPr>
          <w:rFonts w:asciiTheme="majorHAnsi" w:eastAsia="Calibri" w:hAnsiTheme="majorHAnsi"/>
          <w:sz w:val="20"/>
          <w:szCs w:val="20"/>
          <w:lang w:val="es-VE"/>
        </w:rPr>
        <w:t xml:space="preserve">14 de abril de 2005. El </w:t>
      </w:r>
      <w:r w:rsidR="000A5E04" w:rsidRPr="00B56CF7">
        <w:rPr>
          <w:rFonts w:asciiTheme="majorHAnsi" w:eastAsia="Calibri" w:hAnsiTheme="majorHAnsi"/>
          <w:sz w:val="20"/>
          <w:szCs w:val="20"/>
          <w:lang w:val="es-VE"/>
        </w:rPr>
        <w:t>16</w:t>
      </w:r>
      <w:r w:rsidR="000574FF" w:rsidRPr="00B56CF7">
        <w:rPr>
          <w:rFonts w:asciiTheme="majorHAnsi" w:eastAsia="Calibri" w:hAnsiTheme="majorHAnsi"/>
          <w:sz w:val="20"/>
          <w:szCs w:val="20"/>
          <w:lang w:val="es-VE"/>
        </w:rPr>
        <w:t xml:space="preserve"> </w:t>
      </w:r>
      <w:r w:rsidR="003B3A0B" w:rsidRPr="00B56CF7">
        <w:rPr>
          <w:rFonts w:asciiTheme="majorHAnsi" w:eastAsia="Calibri" w:hAnsiTheme="majorHAnsi"/>
          <w:sz w:val="20"/>
          <w:szCs w:val="20"/>
          <w:lang w:val="es-VE"/>
        </w:rPr>
        <w:t xml:space="preserve">de </w:t>
      </w:r>
      <w:r w:rsidR="000A5E04" w:rsidRPr="00B56CF7">
        <w:rPr>
          <w:rFonts w:asciiTheme="majorHAnsi" w:eastAsia="Calibri" w:hAnsiTheme="majorHAnsi"/>
          <w:sz w:val="20"/>
          <w:szCs w:val="20"/>
          <w:lang w:val="es-VE"/>
        </w:rPr>
        <w:t>octu</w:t>
      </w:r>
      <w:r w:rsidR="000574FF" w:rsidRPr="00B56CF7">
        <w:rPr>
          <w:rFonts w:asciiTheme="majorHAnsi" w:eastAsia="Calibri" w:hAnsiTheme="majorHAnsi"/>
          <w:sz w:val="20"/>
          <w:szCs w:val="20"/>
          <w:lang w:val="es-VE"/>
        </w:rPr>
        <w:t>bre</w:t>
      </w:r>
      <w:r w:rsidR="00BD4CE2" w:rsidRPr="00B56CF7">
        <w:rPr>
          <w:rFonts w:asciiTheme="majorHAnsi" w:eastAsia="Calibri" w:hAnsiTheme="majorHAnsi"/>
          <w:sz w:val="20"/>
          <w:szCs w:val="20"/>
          <w:lang w:val="es-VE"/>
        </w:rPr>
        <w:t xml:space="preserve"> de 2009</w:t>
      </w:r>
      <w:r w:rsidR="003B3A0B" w:rsidRPr="00B56CF7">
        <w:rPr>
          <w:rFonts w:asciiTheme="majorHAnsi" w:eastAsia="Calibri" w:hAnsiTheme="majorHAnsi"/>
          <w:sz w:val="20"/>
          <w:szCs w:val="20"/>
          <w:lang w:val="es-VE"/>
        </w:rPr>
        <w:t xml:space="preserve"> el Estado presentó sus observaciones adicionales sobre el fondo. </w:t>
      </w:r>
    </w:p>
    <w:p w:rsidR="00826E70" w:rsidRPr="00B56CF7" w:rsidRDefault="00826E70" w:rsidP="007022F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rsidR="00522F4D" w:rsidRPr="00B56CF7" w:rsidRDefault="00522F4D" w:rsidP="00522F4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 xml:space="preserve">El peticionario presentó información adicional el 10 de enero de 2007, 9 de febrero de 2007, 7 de abril de 2010, 26 de septiembre de 2011, 31 de octubre de 2012, 24 de abril de 2013, 8 de agosto de 2013, 28 de noviembre de 2014, 4 de marzo de 2015 y 4 de mayo de 2016. </w:t>
      </w:r>
    </w:p>
    <w:p w:rsidR="00522F4D" w:rsidRPr="00B56CF7" w:rsidRDefault="00522F4D" w:rsidP="007022F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556617" w:rsidRPr="00B56CF7" w:rsidRDefault="0000484F" w:rsidP="00D225C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E</w:t>
      </w:r>
      <w:r w:rsidR="00513755" w:rsidRPr="00B56CF7">
        <w:rPr>
          <w:rFonts w:asciiTheme="majorHAnsi" w:eastAsia="Calibri" w:hAnsiTheme="majorHAnsi"/>
          <w:sz w:val="20"/>
          <w:szCs w:val="20"/>
          <w:lang w:val="es-VE"/>
        </w:rPr>
        <w:t>l</w:t>
      </w:r>
      <w:r w:rsidRPr="00B56CF7">
        <w:rPr>
          <w:rFonts w:asciiTheme="majorHAnsi" w:eastAsia="Calibri" w:hAnsiTheme="majorHAnsi"/>
          <w:sz w:val="20"/>
          <w:szCs w:val="20"/>
          <w:lang w:val="es-VE"/>
        </w:rPr>
        <w:t xml:space="preserve"> Estado presentó información adicional</w:t>
      </w:r>
      <w:r w:rsidR="00640F7D" w:rsidRPr="00B56CF7">
        <w:rPr>
          <w:rFonts w:asciiTheme="majorHAnsi" w:eastAsia="Calibri" w:hAnsiTheme="majorHAnsi"/>
          <w:sz w:val="20"/>
          <w:szCs w:val="20"/>
          <w:lang w:val="es-VE"/>
        </w:rPr>
        <w:t xml:space="preserve"> el 14 de enero de 2011, 30 de julio de 2013, </w:t>
      </w:r>
      <w:r w:rsidR="00D0639F" w:rsidRPr="00B56CF7">
        <w:rPr>
          <w:rFonts w:asciiTheme="majorHAnsi" w:eastAsia="Calibri" w:hAnsiTheme="majorHAnsi"/>
          <w:sz w:val="20"/>
          <w:szCs w:val="20"/>
          <w:lang w:val="es-VE"/>
        </w:rPr>
        <w:t>10 de junio de 2014</w:t>
      </w:r>
      <w:r w:rsidR="002854DD" w:rsidRPr="00B56CF7">
        <w:rPr>
          <w:rFonts w:asciiTheme="majorHAnsi" w:eastAsia="Calibri" w:hAnsiTheme="majorHAnsi"/>
          <w:sz w:val="20"/>
          <w:szCs w:val="20"/>
          <w:lang w:val="es-VE"/>
        </w:rPr>
        <w:t>, 23 de abril de 2015 y</w:t>
      </w:r>
      <w:r w:rsidR="00D225CE" w:rsidRPr="00B56CF7">
        <w:rPr>
          <w:rFonts w:asciiTheme="majorHAnsi" w:eastAsia="Calibri" w:hAnsiTheme="majorHAnsi"/>
          <w:sz w:val="20"/>
          <w:szCs w:val="20"/>
          <w:lang w:val="es-VE"/>
        </w:rPr>
        <w:t xml:space="preserve"> 26 de mayo de 2016. </w:t>
      </w:r>
    </w:p>
    <w:p w:rsidR="00F400D1" w:rsidRPr="0062236D" w:rsidRDefault="00F400D1" w:rsidP="007022F9">
      <w:pPr>
        <w:rPr>
          <w:rFonts w:asciiTheme="majorHAnsi" w:hAnsiTheme="majorHAnsi"/>
          <w:sz w:val="20"/>
          <w:szCs w:val="20"/>
          <w:lang w:val="es-VE"/>
        </w:rPr>
      </w:pPr>
    </w:p>
    <w:p w:rsidR="00BB3189" w:rsidRPr="00B56CF7" w:rsidRDefault="00BB3189" w:rsidP="00BB318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El 8 de abril de 2016</w:t>
      </w:r>
      <w:r w:rsidR="00556617" w:rsidRPr="00B56CF7">
        <w:rPr>
          <w:rFonts w:asciiTheme="majorHAnsi" w:eastAsia="Calibri" w:hAnsiTheme="majorHAnsi"/>
          <w:sz w:val="20"/>
          <w:szCs w:val="20"/>
          <w:lang w:val="es-VE"/>
        </w:rPr>
        <w:t>,</w:t>
      </w:r>
      <w:r w:rsidRPr="00B56CF7">
        <w:rPr>
          <w:rFonts w:asciiTheme="majorHAnsi" w:eastAsia="Calibri" w:hAnsiTheme="majorHAnsi"/>
          <w:sz w:val="20"/>
          <w:szCs w:val="20"/>
          <w:lang w:val="es-VE"/>
        </w:rPr>
        <w:t xml:space="preserve"> durante el 157 periodo</w:t>
      </w:r>
      <w:r w:rsidR="00035E02" w:rsidRPr="00B56CF7">
        <w:rPr>
          <w:rFonts w:asciiTheme="majorHAnsi" w:eastAsia="Calibri" w:hAnsiTheme="majorHAnsi"/>
          <w:sz w:val="20"/>
          <w:szCs w:val="20"/>
          <w:lang w:val="es-VE"/>
        </w:rPr>
        <w:t xml:space="preserve"> ordinario</w:t>
      </w:r>
      <w:r w:rsidRPr="00B56CF7">
        <w:rPr>
          <w:rFonts w:asciiTheme="majorHAnsi" w:eastAsia="Calibri" w:hAnsiTheme="majorHAnsi"/>
          <w:sz w:val="20"/>
          <w:szCs w:val="20"/>
          <w:lang w:val="es-VE"/>
        </w:rPr>
        <w:t xml:space="preserve"> de sesiones, la CIDH celebró una audiencia </w:t>
      </w:r>
      <w:r w:rsidR="004B5B99" w:rsidRPr="00B56CF7">
        <w:rPr>
          <w:rFonts w:asciiTheme="majorHAnsi" w:eastAsia="Calibri" w:hAnsiTheme="majorHAnsi"/>
          <w:sz w:val="20"/>
          <w:szCs w:val="20"/>
          <w:lang w:val="es-VE"/>
        </w:rPr>
        <w:t xml:space="preserve">pública </w:t>
      </w:r>
      <w:r w:rsidRPr="00B56CF7">
        <w:rPr>
          <w:rFonts w:asciiTheme="majorHAnsi" w:eastAsia="Calibri" w:hAnsiTheme="majorHAnsi"/>
          <w:sz w:val="20"/>
          <w:szCs w:val="20"/>
          <w:lang w:val="es-VE"/>
        </w:rPr>
        <w:t>sobre</w:t>
      </w:r>
      <w:r w:rsidR="00035E02" w:rsidRPr="00B56CF7">
        <w:rPr>
          <w:rFonts w:asciiTheme="majorHAnsi" w:eastAsia="Calibri" w:hAnsiTheme="majorHAnsi"/>
          <w:sz w:val="20"/>
          <w:szCs w:val="20"/>
          <w:lang w:val="es-VE"/>
        </w:rPr>
        <w:t xml:space="preserve"> el fondo d</w:t>
      </w:r>
      <w:r w:rsidR="004064A2">
        <w:rPr>
          <w:rFonts w:asciiTheme="majorHAnsi" w:eastAsia="Calibri" w:hAnsiTheme="majorHAnsi"/>
          <w:sz w:val="20"/>
          <w:szCs w:val="20"/>
          <w:lang w:val="es-VE"/>
        </w:rPr>
        <w:t xml:space="preserve">el caso, con la participación de las dos partes. </w:t>
      </w:r>
    </w:p>
    <w:p w:rsidR="00A8571D" w:rsidRPr="00B56CF7" w:rsidRDefault="00A8571D" w:rsidP="00E40449">
      <w:pPr>
        <w:rPr>
          <w:rFonts w:asciiTheme="majorHAnsi" w:hAnsiTheme="majorHAnsi"/>
          <w:sz w:val="20"/>
          <w:szCs w:val="20"/>
          <w:lang w:val="es-VE"/>
        </w:rPr>
      </w:pPr>
    </w:p>
    <w:p w:rsidR="00E40449" w:rsidRPr="00B56CF7" w:rsidRDefault="00E40449" w:rsidP="005E081B">
      <w:pPr>
        <w:pStyle w:val="Heading1"/>
        <w:numPr>
          <w:ilvl w:val="0"/>
          <w:numId w:val="55"/>
        </w:numPr>
        <w:tabs>
          <w:tab w:val="clear" w:pos="1440"/>
        </w:tabs>
      </w:pPr>
      <w:bookmarkStart w:id="18" w:name="_Toc423514407"/>
      <w:bookmarkStart w:id="19" w:name="_Toc433115983"/>
      <w:bookmarkStart w:id="20" w:name="_Toc444958126"/>
      <w:bookmarkStart w:id="21" w:name="_Toc467577907"/>
      <w:bookmarkStart w:id="22" w:name="_Toc469409078"/>
      <w:r w:rsidRPr="00B56CF7">
        <w:t>POSICIONES DE LAS PARTES</w:t>
      </w:r>
      <w:bookmarkEnd w:id="16"/>
      <w:bookmarkEnd w:id="17"/>
      <w:bookmarkEnd w:id="18"/>
      <w:bookmarkEnd w:id="19"/>
      <w:bookmarkEnd w:id="20"/>
      <w:bookmarkEnd w:id="21"/>
      <w:bookmarkEnd w:id="22"/>
    </w:p>
    <w:p w:rsidR="00E40449" w:rsidRPr="00B56CF7" w:rsidRDefault="00E40449" w:rsidP="00E40449">
      <w:pPr>
        <w:rPr>
          <w:rFonts w:asciiTheme="majorHAnsi" w:hAnsiTheme="majorHAnsi"/>
          <w:sz w:val="20"/>
          <w:szCs w:val="20"/>
          <w:lang w:val="es-CO"/>
        </w:rPr>
      </w:pPr>
    </w:p>
    <w:p w:rsidR="00E40449" w:rsidRPr="00B56CF7" w:rsidRDefault="00E40449" w:rsidP="005E081B">
      <w:pPr>
        <w:pStyle w:val="Heading2"/>
        <w:numPr>
          <w:ilvl w:val="0"/>
          <w:numId w:val="59"/>
        </w:numPr>
      </w:pPr>
      <w:bookmarkStart w:id="23" w:name="_Toc423514408"/>
      <w:bookmarkStart w:id="24" w:name="_Toc433115984"/>
      <w:bookmarkStart w:id="25" w:name="_Toc444958127"/>
      <w:bookmarkStart w:id="26" w:name="_Toc467577908"/>
      <w:bookmarkStart w:id="27" w:name="_Toc469409079"/>
      <w:r w:rsidRPr="00B56CF7">
        <w:t>Posición d</w:t>
      </w:r>
      <w:bookmarkEnd w:id="23"/>
      <w:bookmarkEnd w:id="24"/>
      <w:bookmarkEnd w:id="25"/>
      <w:r w:rsidR="00FA084C" w:rsidRPr="00B56CF7">
        <w:t>el peticionario</w:t>
      </w:r>
      <w:bookmarkEnd w:id="26"/>
      <w:bookmarkEnd w:id="27"/>
      <w:r w:rsidR="00FA084C" w:rsidRPr="00B56CF7">
        <w:t xml:space="preserve"> </w:t>
      </w:r>
    </w:p>
    <w:p w:rsidR="008514D3" w:rsidRPr="00B56CF7" w:rsidRDefault="008514D3" w:rsidP="0042445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rsidR="000A103F" w:rsidRPr="00B56CF7" w:rsidRDefault="000A103F" w:rsidP="000A103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 xml:space="preserve">Durante la etapa de fondo el peticionario ratificó en todas sus partes el contenido de su denuncia inicial de 9 de septiembre de 1997. </w:t>
      </w:r>
    </w:p>
    <w:p w:rsidR="000A103F" w:rsidRPr="00B56CF7" w:rsidRDefault="000A103F" w:rsidP="000A103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Calibri" w:hAnsiTheme="majorHAnsi"/>
          <w:sz w:val="20"/>
          <w:szCs w:val="20"/>
          <w:lang w:val="es-VE"/>
        </w:rPr>
      </w:pPr>
    </w:p>
    <w:p w:rsidR="00132C5C" w:rsidRPr="00B56CF7" w:rsidRDefault="000A103F" w:rsidP="00712DD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Refirió que</w:t>
      </w:r>
      <w:r w:rsidR="00D661BB" w:rsidRPr="00B56CF7">
        <w:rPr>
          <w:rFonts w:asciiTheme="majorHAnsi" w:eastAsia="Calibri" w:hAnsiTheme="majorHAnsi"/>
          <w:sz w:val="20"/>
          <w:szCs w:val="20"/>
          <w:lang w:val="es-VE"/>
        </w:rPr>
        <w:t xml:space="preserve"> fue detenido el día 8 de junio de 1994 en la ciudad Mar de</w:t>
      </w:r>
      <w:r w:rsidR="00BB3952" w:rsidRPr="00B56CF7">
        <w:rPr>
          <w:rFonts w:asciiTheme="majorHAnsi" w:eastAsia="Calibri" w:hAnsiTheme="majorHAnsi"/>
          <w:sz w:val="20"/>
          <w:szCs w:val="20"/>
          <w:lang w:val="es-VE"/>
        </w:rPr>
        <w:t>l</w:t>
      </w:r>
      <w:r w:rsidR="00D661BB" w:rsidRPr="00B56CF7">
        <w:rPr>
          <w:rFonts w:asciiTheme="majorHAnsi" w:eastAsia="Calibri" w:hAnsiTheme="majorHAnsi"/>
          <w:sz w:val="20"/>
          <w:szCs w:val="20"/>
          <w:lang w:val="es-VE"/>
        </w:rPr>
        <w:t xml:space="preserve"> Plata y recluido en la Unidad N° 2 del Servicio Penitenciario Federal en Devoto hasta el 13 de noviembre de 1997,</w:t>
      </w:r>
      <w:r w:rsidR="00712DD6" w:rsidRPr="00B56CF7">
        <w:rPr>
          <w:rFonts w:asciiTheme="majorHAnsi" w:eastAsia="Calibri" w:hAnsiTheme="majorHAnsi"/>
          <w:sz w:val="20"/>
          <w:szCs w:val="20"/>
          <w:lang w:val="es-VE"/>
        </w:rPr>
        <w:t xml:space="preserve"> en virtud de una orden dictada </w:t>
      </w:r>
      <w:r w:rsidR="00D661BB" w:rsidRPr="00B56CF7">
        <w:rPr>
          <w:rFonts w:asciiTheme="majorHAnsi" w:eastAsia="Calibri" w:hAnsiTheme="majorHAnsi"/>
          <w:sz w:val="20"/>
          <w:szCs w:val="20"/>
          <w:lang w:val="es-VE"/>
        </w:rPr>
        <w:t xml:space="preserve">por el Juzgado Nacional en lo Criminal y Correccional Federal N° 9, dentro de la causa penal N° 73 caratulada "PADILLA ECHEVERRY José Gildardo y otros s/ </w:t>
      </w:r>
      <w:proofErr w:type="spellStart"/>
      <w:r w:rsidR="00D661BB" w:rsidRPr="00B56CF7">
        <w:rPr>
          <w:rFonts w:asciiTheme="majorHAnsi" w:eastAsia="Calibri" w:hAnsiTheme="majorHAnsi"/>
          <w:sz w:val="20"/>
          <w:szCs w:val="20"/>
          <w:lang w:val="es-VE"/>
        </w:rPr>
        <w:t>inf</w:t>
      </w:r>
      <w:proofErr w:type="spellEnd"/>
      <w:r w:rsidR="00D661BB" w:rsidRPr="00B56CF7">
        <w:rPr>
          <w:rFonts w:asciiTheme="majorHAnsi" w:eastAsia="Calibri" w:hAnsiTheme="majorHAnsi"/>
          <w:sz w:val="20"/>
          <w:szCs w:val="20"/>
          <w:lang w:val="es-VE"/>
        </w:rPr>
        <w:t>. Ley N° 23.737" seguida ante el Tribunal Oral en lo Criminal Federal N° 6 de Buenos Aires</w:t>
      </w:r>
      <w:r w:rsidR="00132C5C" w:rsidRPr="00B56CF7">
        <w:rPr>
          <w:rFonts w:asciiTheme="majorHAnsi" w:eastAsia="Calibri" w:hAnsiTheme="majorHAnsi"/>
          <w:sz w:val="20"/>
          <w:szCs w:val="20"/>
          <w:lang w:val="es-VE"/>
        </w:rPr>
        <w:t xml:space="preserve"> por los delitos de tráfico de estupefacientes y asociación ilícita. </w:t>
      </w:r>
    </w:p>
    <w:p w:rsidR="00712DD6" w:rsidRPr="00B56CF7" w:rsidRDefault="00712DD6" w:rsidP="00712DD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rsidR="00A262AF" w:rsidRPr="00B56CF7" w:rsidRDefault="00A262AF" w:rsidP="00575E9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Indicó</w:t>
      </w:r>
      <w:r w:rsidR="00306E40" w:rsidRPr="00B56CF7">
        <w:rPr>
          <w:rFonts w:asciiTheme="majorHAnsi" w:eastAsia="Calibri" w:hAnsiTheme="majorHAnsi"/>
          <w:sz w:val="20"/>
          <w:szCs w:val="20"/>
          <w:lang w:val="es-VE"/>
        </w:rPr>
        <w:t xml:space="preserve"> que su privación de libertad y su consecuente sometimiento a juicio obedecieron a </w:t>
      </w:r>
      <w:r w:rsidR="00575E9C" w:rsidRPr="00B56CF7">
        <w:rPr>
          <w:rFonts w:asciiTheme="majorHAnsi" w:eastAsia="Calibri" w:hAnsiTheme="majorHAnsi"/>
          <w:sz w:val="20"/>
          <w:szCs w:val="20"/>
          <w:lang w:val="es-VE"/>
        </w:rPr>
        <w:t xml:space="preserve">que </w:t>
      </w:r>
      <w:r w:rsidR="00306E40" w:rsidRPr="00B56CF7">
        <w:rPr>
          <w:rFonts w:asciiTheme="majorHAnsi" w:eastAsia="Calibri" w:hAnsiTheme="majorHAnsi"/>
          <w:sz w:val="20"/>
          <w:szCs w:val="20"/>
          <w:lang w:val="es-VE"/>
        </w:rPr>
        <w:t xml:space="preserve">en la etapa de instrucción del proceso penal </w:t>
      </w:r>
      <w:r w:rsidR="00575E9C" w:rsidRPr="00B56CF7">
        <w:rPr>
          <w:rFonts w:asciiTheme="majorHAnsi" w:eastAsia="Calibri" w:hAnsiTheme="majorHAnsi"/>
          <w:sz w:val="20"/>
          <w:szCs w:val="20"/>
          <w:lang w:val="es-VE"/>
        </w:rPr>
        <w:t>el Ministerio Público presentó la transcripción adulterada</w:t>
      </w:r>
      <w:r w:rsidR="00306E40" w:rsidRPr="00B56CF7">
        <w:rPr>
          <w:rFonts w:asciiTheme="majorHAnsi" w:eastAsia="Calibri" w:hAnsiTheme="majorHAnsi"/>
          <w:sz w:val="20"/>
          <w:szCs w:val="20"/>
          <w:lang w:val="es-VE"/>
        </w:rPr>
        <w:t xml:space="preserve"> de la grabación de una conversación telefónica entre el peticionario y otro de los acusados, supuestamente </w:t>
      </w:r>
      <w:r w:rsidR="00575E9C" w:rsidRPr="00B56CF7">
        <w:rPr>
          <w:rFonts w:asciiTheme="majorHAnsi" w:eastAsia="Calibri" w:hAnsiTheme="majorHAnsi"/>
          <w:sz w:val="20"/>
          <w:szCs w:val="20"/>
          <w:lang w:val="es-VE"/>
        </w:rPr>
        <w:t xml:space="preserve">efectuada el 2 de abril de 1994, la cual se refería </w:t>
      </w:r>
      <w:r w:rsidR="00556617" w:rsidRPr="00B56CF7">
        <w:rPr>
          <w:rFonts w:asciiTheme="majorHAnsi" w:eastAsia="Calibri" w:hAnsiTheme="majorHAnsi"/>
          <w:sz w:val="20"/>
          <w:szCs w:val="20"/>
          <w:lang w:val="es-VE"/>
        </w:rPr>
        <w:t>a la compra</w:t>
      </w:r>
      <w:r w:rsidR="00306E40" w:rsidRPr="00B56CF7">
        <w:rPr>
          <w:rFonts w:asciiTheme="majorHAnsi" w:eastAsia="Calibri" w:hAnsiTheme="majorHAnsi"/>
          <w:sz w:val="20"/>
          <w:szCs w:val="20"/>
          <w:lang w:val="es-VE"/>
        </w:rPr>
        <w:t>venta de una embarcación deportiva en la que el denunciante estaba actuando como intermediario y no consistía en una invitación para asistir en la República de Panamá a una supu</w:t>
      </w:r>
      <w:r w:rsidR="002854DD" w:rsidRPr="00B56CF7">
        <w:rPr>
          <w:rFonts w:asciiTheme="majorHAnsi" w:eastAsia="Calibri" w:hAnsiTheme="majorHAnsi"/>
          <w:sz w:val="20"/>
          <w:szCs w:val="20"/>
          <w:lang w:val="es-VE"/>
        </w:rPr>
        <w:t>esta reunión del Cartel de Cali,</w:t>
      </w:r>
      <w:r w:rsidR="004A70F3" w:rsidRPr="00B56CF7">
        <w:rPr>
          <w:rFonts w:asciiTheme="majorHAnsi" w:eastAsia="Calibri" w:hAnsiTheme="majorHAnsi"/>
          <w:sz w:val="20"/>
          <w:szCs w:val="20"/>
          <w:lang w:val="es-VE"/>
        </w:rPr>
        <w:t xml:space="preserve"> </w:t>
      </w:r>
      <w:r w:rsidR="00306E40" w:rsidRPr="00B56CF7">
        <w:rPr>
          <w:rFonts w:asciiTheme="majorHAnsi" w:eastAsia="Calibri" w:hAnsiTheme="majorHAnsi"/>
          <w:sz w:val="20"/>
          <w:szCs w:val="20"/>
          <w:lang w:val="es-VE"/>
        </w:rPr>
        <w:t>como se consideró en el proceso.</w:t>
      </w:r>
      <w:r w:rsidRPr="00B56CF7">
        <w:rPr>
          <w:rFonts w:asciiTheme="majorHAnsi" w:eastAsia="Calibri" w:hAnsiTheme="majorHAnsi"/>
          <w:sz w:val="20"/>
          <w:szCs w:val="20"/>
          <w:lang w:val="es-VE"/>
        </w:rPr>
        <w:t xml:space="preserve"> </w:t>
      </w:r>
    </w:p>
    <w:p w:rsidR="00A262AF" w:rsidRPr="00B56CF7" w:rsidRDefault="00A262AF" w:rsidP="00A262AF">
      <w:pPr>
        <w:pStyle w:val="ListParagraph"/>
        <w:rPr>
          <w:rFonts w:asciiTheme="majorHAnsi" w:eastAsia="Calibri" w:hAnsiTheme="majorHAnsi"/>
          <w:sz w:val="20"/>
          <w:szCs w:val="20"/>
          <w:lang w:val="es-VE"/>
        </w:rPr>
      </w:pPr>
    </w:p>
    <w:p w:rsidR="00575E9C" w:rsidRPr="00B56CF7" w:rsidRDefault="00A262AF" w:rsidP="00575E9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 xml:space="preserve">Agregó que su defensa denunció que el contenido de la conversación grabada en el </w:t>
      </w:r>
      <w:proofErr w:type="spellStart"/>
      <w:r w:rsidRPr="00B56CF7">
        <w:rPr>
          <w:rFonts w:asciiTheme="majorHAnsi" w:eastAsia="Calibri" w:hAnsiTheme="majorHAnsi"/>
          <w:sz w:val="20"/>
          <w:szCs w:val="20"/>
          <w:lang w:val="es-VE"/>
        </w:rPr>
        <w:t>cassette</w:t>
      </w:r>
      <w:proofErr w:type="spellEnd"/>
      <w:r w:rsidRPr="00B56CF7">
        <w:rPr>
          <w:rFonts w:asciiTheme="majorHAnsi" w:eastAsia="Calibri" w:hAnsiTheme="majorHAnsi"/>
          <w:sz w:val="20"/>
          <w:szCs w:val="20"/>
          <w:lang w:val="es-VE"/>
        </w:rPr>
        <w:t xml:space="preserve"> </w:t>
      </w:r>
      <w:r w:rsidR="007E7D65" w:rsidRPr="00B56CF7">
        <w:rPr>
          <w:rFonts w:asciiTheme="majorHAnsi" w:eastAsia="Calibri" w:hAnsiTheme="majorHAnsi"/>
          <w:sz w:val="20"/>
          <w:szCs w:val="20"/>
          <w:lang w:val="es-VE"/>
        </w:rPr>
        <w:t>N</w:t>
      </w:r>
      <w:r w:rsidRPr="00B56CF7">
        <w:rPr>
          <w:rFonts w:asciiTheme="majorHAnsi" w:eastAsia="Calibri" w:hAnsiTheme="majorHAnsi"/>
          <w:sz w:val="20"/>
          <w:szCs w:val="20"/>
          <w:lang w:val="es-VE"/>
        </w:rPr>
        <w:t>o.</w:t>
      </w:r>
      <w:r w:rsidR="007E7D65" w:rsidRPr="00B56CF7">
        <w:rPr>
          <w:rFonts w:asciiTheme="majorHAnsi" w:eastAsia="Calibri" w:hAnsiTheme="majorHAnsi"/>
          <w:sz w:val="20"/>
          <w:szCs w:val="20"/>
          <w:lang w:val="es-VE"/>
        </w:rPr>
        <w:t xml:space="preserve"> </w:t>
      </w:r>
      <w:r w:rsidRPr="00B56CF7">
        <w:rPr>
          <w:rFonts w:asciiTheme="majorHAnsi" w:eastAsia="Calibri" w:hAnsiTheme="majorHAnsi"/>
          <w:sz w:val="20"/>
          <w:szCs w:val="20"/>
          <w:lang w:val="es-VE"/>
        </w:rPr>
        <w:t>40 y el acta de transcripción del mismo constante a fojas 1099 del expedi</w:t>
      </w:r>
      <w:r w:rsidR="00575E9C" w:rsidRPr="00B56CF7">
        <w:rPr>
          <w:rFonts w:asciiTheme="majorHAnsi" w:eastAsia="Calibri" w:hAnsiTheme="majorHAnsi"/>
          <w:sz w:val="20"/>
          <w:szCs w:val="20"/>
          <w:lang w:val="es-VE"/>
        </w:rPr>
        <w:t xml:space="preserve">ente de la causa no coincidían y una vez que </w:t>
      </w:r>
      <w:r w:rsidR="008645D3" w:rsidRPr="00B56CF7">
        <w:rPr>
          <w:rFonts w:asciiTheme="majorHAnsi" w:eastAsia="Calibri" w:hAnsiTheme="majorHAnsi"/>
          <w:sz w:val="20"/>
          <w:szCs w:val="20"/>
          <w:lang w:val="es-VE"/>
        </w:rPr>
        <w:t xml:space="preserve">el Tribunal Oral en lo Criminal Federal No. 6 de Buenos Aires determinó que el contenido de la conversación grabada en el </w:t>
      </w:r>
      <w:proofErr w:type="spellStart"/>
      <w:r w:rsidR="008645D3" w:rsidRPr="00B56CF7">
        <w:rPr>
          <w:rFonts w:asciiTheme="majorHAnsi" w:eastAsia="Calibri" w:hAnsiTheme="majorHAnsi"/>
          <w:sz w:val="20"/>
          <w:szCs w:val="20"/>
          <w:lang w:val="es-VE"/>
        </w:rPr>
        <w:t>cassette</w:t>
      </w:r>
      <w:proofErr w:type="spellEnd"/>
      <w:r w:rsidR="008645D3" w:rsidRPr="00B56CF7">
        <w:rPr>
          <w:rFonts w:asciiTheme="majorHAnsi" w:eastAsia="Calibri" w:hAnsiTheme="majorHAnsi"/>
          <w:sz w:val="20"/>
          <w:szCs w:val="20"/>
          <w:lang w:val="es-VE"/>
        </w:rPr>
        <w:t xml:space="preserve"> </w:t>
      </w:r>
      <w:r w:rsidR="00115F79" w:rsidRPr="00B56CF7">
        <w:rPr>
          <w:rFonts w:asciiTheme="majorHAnsi" w:eastAsia="Calibri" w:hAnsiTheme="majorHAnsi"/>
          <w:sz w:val="20"/>
          <w:szCs w:val="20"/>
          <w:lang w:val="es-VE"/>
        </w:rPr>
        <w:t>N</w:t>
      </w:r>
      <w:r w:rsidR="008645D3" w:rsidRPr="00B56CF7">
        <w:rPr>
          <w:rFonts w:asciiTheme="majorHAnsi" w:eastAsia="Calibri" w:hAnsiTheme="majorHAnsi"/>
          <w:sz w:val="20"/>
          <w:szCs w:val="20"/>
          <w:lang w:val="es-VE"/>
        </w:rPr>
        <w:t>o. 40 y su transcripción no coincidían</w:t>
      </w:r>
      <w:r w:rsidR="005C7F7D" w:rsidRPr="00B56CF7">
        <w:rPr>
          <w:rFonts w:asciiTheme="majorHAnsi" w:eastAsia="Calibri" w:hAnsiTheme="majorHAnsi"/>
          <w:sz w:val="20"/>
          <w:szCs w:val="20"/>
          <w:lang w:val="es-VE"/>
        </w:rPr>
        <w:t>, ordenó su inmediata libertad</w:t>
      </w:r>
      <w:r w:rsidR="000640B9" w:rsidRPr="00B56CF7">
        <w:rPr>
          <w:rFonts w:asciiTheme="majorHAnsi" w:eastAsia="Calibri" w:hAnsiTheme="majorHAnsi"/>
          <w:sz w:val="20"/>
          <w:szCs w:val="20"/>
          <w:lang w:val="es-VE"/>
        </w:rPr>
        <w:t>,</w:t>
      </w:r>
      <w:r w:rsidR="005C7F7D" w:rsidRPr="00B56CF7">
        <w:rPr>
          <w:rFonts w:asciiTheme="majorHAnsi" w:eastAsia="Calibri" w:hAnsiTheme="majorHAnsi"/>
          <w:sz w:val="20"/>
          <w:szCs w:val="20"/>
          <w:lang w:val="es-VE"/>
        </w:rPr>
        <w:t xml:space="preserve"> la cual se hizo efectiva el 13 d</w:t>
      </w:r>
      <w:r w:rsidR="00575E9C" w:rsidRPr="00B56CF7">
        <w:rPr>
          <w:rFonts w:asciiTheme="majorHAnsi" w:eastAsia="Calibri" w:hAnsiTheme="majorHAnsi"/>
          <w:sz w:val="20"/>
          <w:szCs w:val="20"/>
          <w:lang w:val="es-VE"/>
        </w:rPr>
        <w:t xml:space="preserve">e noviembre de 1997. </w:t>
      </w:r>
    </w:p>
    <w:p w:rsidR="00575E9C" w:rsidRPr="00B56CF7" w:rsidRDefault="00575E9C" w:rsidP="00575E9C">
      <w:pPr>
        <w:pStyle w:val="ListParagraph"/>
        <w:rPr>
          <w:rFonts w:asciiTheme="majorHAnsi" w:eastAsia="Calibri" w:hAnsiTheme="majorHAnsi"/>
          <w:sz w:val="20"/>
          <w:szCs w:val="20"/>
          <w:lang w:val="es-VE"/>
        </w:rPr>
      </w:pPr>
    </w:p>
    <w:p w:rsidR="00D345DE" w:rsidRPr="00B56CF7" w:rsidRDefault="00575E9C" w:rsidP="00115F7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Resaltó</w:t>
      </w:r>
      <w:r w:rsidR="005C7F7D" w:rsidRPr="00B56CF7">
        <w:rPr>
          <w:rFonts w:asciiTheme="majorHAnsi" w:eastAsia="Calibri" w:hAnsiTheme="majorHAnsi"/>
          <w:sz w:val="20"/>
          <w:szCs w:val="20"/>
          <w:lang w:val="es-VE"/>
        </w:rPr>
        <w:t xml:space="preserve"> que permaneció en la cárcel por 3 años y 5 meses con base en una sola prueba en su contra.</w:t>
      </w:r>
      <w:r w:rsidR="00115F79" w:rsidRPr="00B56CF7">
        <w:rPr>
          <w:rFonts w:asciiTheme="majorHAnsi" w:eastAsia="Calibri" w:hAnsiTheme="majorHAnsi"/>
          <w:sz w:val="20"/>
          <w:szCs w:val="20"/>
          <w:lang w:val="es-VE"/>
        </w:rPr>
        <w:t xml:space="preserve"> </w:t>
      </w:r>
      <w:r w:rsidR="00D345DE" w:rsidRPr="00B56CF7">
        <w:rPr>
          <w:rFonts w:asciiTheme="majorHAnsi" w:eastAsia="Calibri" w:hAnsiTheme="majorHAnsi"/>
          <w:sz w:val="20"/>
          <w:szCs w:val="20"/>
          <w:lang w:val="es-VE"/>
        </w:rPr>
        <w:t xml:space="preserve">Agregó que el 23 de diciembre de 1997 el Tribunal </w:t>
      </w:r>
      <w:r w:rsidR="00612AAA" w:rsidRPr="00B56CF7">
        <w:rPr>
          <w:rFonts w:asciiTheme="majorHAnsi" w:eastAsia="Calibri" w:hAnsiTheme="majorHAnsi"/>
          <w:sz w:val="20"/>
          <w:szCs w:val="20"/>
          <w:lang w:val="es-VE"/>
        </w:rPr>
        <w:t>Oral dictó sentencia absolutoria a su favor y ordenó a la Procuración General de la Nación, a la Cámara Nacional en lo Criminal y Corrección Federal y a un Juzgado Federal en lo Criminal</w:t>
      </w:r>
      <w:r w:rsidR="00E66142" w:rsidRPr="00B56CF7">
        <w:rPr>
          <w:rFonts w:asciiTheme="majorHAnsi" w:eastAsia="Calibri" w:hAnsiTheme="majorHAnsi"/>
          <w:sz w:val="20"/>
          <w:szCs w:val="20"/>
          <w:lang w:val="es-VE"/>
        </w:rPr>
        <w:t>,</w:t>
      </w:r>
      <w:r w:rsidR="00612AAA" w:rsidRPr="00B56CF7">
        <w:rPr>
          <w:rFonts w:asciiTheme="majorHAnsi" w:eastAsia="Calibri" w:hAnsiTheme="majorHAnsi"/>
          <w:sz w:val="20"/>
          <w:szCs w:val="20"/>
          <w:lang w:val="es-VE"/>
        </w:rPr>
        <w:t xml:space="preserve"> iniciar las investigaciones correspondientes para investigar si se incurrió en un delito en la presentación de pruebas a</w:t>
      </w:r>
      <w:r w:rsidR="005C0569" w:rsidRPr="00B56CF7">
        <w:rPr>
          <w:rFonts w:asciiTheme="majorHAnsi" w:eastAsia="Calibri" w:hAnsiTheme="majorHAnsi"/>
          <w:sz w:val="20"/>
          <w:szCs w:val="20"/>
          <w:lang w:val="es-VE"/>
        </w:rPr>
        <w:t xml:space="preserve">dulteradas en el juicio penal. </w:t>
      </w:r>
    </w:p>
    <w:p w:rsidR="00017A0C" w:rsidRPr="00B56CF7" w:rsidRDefault="00017A0C" w:rsidP="00017A0C">
      <w:pPr>
        <w:pStyle w:val="ListParagraph"/>
        <w:rPr>
          <w:rFonts w:asciiTheme="majorHAnsi" w:eastAsia="Calibri" w:hAnsiTheme="majorHAnsi"/>
          <w:sz w:val="20"/>
          <w:szCs w:val="20"/>
          <w:lang w:val="es-VE"/>
        </w:rPr>
      </w:pPr>
    </w:p>
    <w:p w:rsidR="00A129D6" w:rsidRPr="00B56CF7" w:rsidRDefault="00017A0C" w:rsidP="00D661B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Indicó que tanto la causa penal como el procedimiento administrativo fueron desestimados en abril de 1998 y septiembre de 1999</w:t>
      </w:r>
      <w:r w:rsidR="005C0569" w:rsidRPr="00B56CF7">
        <w:rPr>
          <w:rFonts w:asciiTheme="majorHAnsi" w:eastAsia="Calibri" w:hAnsiTheme="majorHAnsi"/>
          <w:sz w:val="20"/>
          <w:szCs w:val="20"/>
          <w:lang w:val="es-VE"/>
        </w:rPr>
        <w:t xml:space="preserve"> respectivamente</w:t>
      </w:r>
      <w:r w:rsidR="000640B9" w:rsidRPr="00B56CF7">
        <w:rPr>
          <w:rFonts w:asciiTheme="majorHAnsi" w:eastAsia="Calibri" w:hAnsiTheme="majorHAnsi"/>
          <w:sz w:val="20"/>
          <w:szCs w:val="20"/>
          <w:lang w:val="es-VE"/>
        </w:rPr>
        <w:t>,</w:t>
      </w:r>
      <w:r w:rsidRPr="00B56CF7">
        <w:rPr>
          <w:rFonts w:asciiTheme="majorHAnsi" w:eastAsia="Calibri" w:hAnsiTheme="majorHAnsi"/>
          <w:sz w:val="20"/>
          <w:szCs w:val="20"/>
          <w:lang w:val="es-VE"/>
        </w:rPr>
        <w:t xml:space="preserve"> por considerarse que las conductas de los fiscales en la causa no constituía</w:t>
      </w:r>
      <w:r w:rsidR="005C0569" w:rsidRPr="00B56CF7">
        <w:rPr>
          <w:rFonts w:asciiTheme="majorHAnsi" w:eastAsia="Calibri" w:hAnsiTheme="majorHAnsi"/>
          <w:sz w:val="20"/>
          <w:szCs w:val="20"/>
          <w:lang w:val="es-VE"/>
        </w:rPr>
        <w:t>n infracción alguna</w:t>
      </w:r>
      <w:r w:rsidR="004A70F3" w:rsidRPr="00B56CF7">
        <w:rPr>
          <w:rFonts w:asciiTheme="majorHAnsi" w:eastAsia="Calibri" w:hAnsiTheme="majorHAnsi"/>
          <w:sz w:val="20"/>
          <w:szCs w:val="20"/>
          <w:lang w:val="es-VE"/>
        </w:rPr>
        <w:t>. A</w:t>
      </w:r>
      <w:r w:rsidR="00985C45" w:rsidRPr="00B56CF7">
        <w:rPr>
          <w:rFonts w:asciiTheme="majorHAnsi" w:eastAsia="Calibri" w:hAnsiTheme="majorHAnsi"/>
          <w:sz w:val="20"/>
          <w:szCs w:val="20"/>
          <w:lang w:val="es-VE"/>
        </w:rPr>
        <w:t xml:space="preserve">rgumentó que </w:t>
      </w:r>
      <w:r w:rsidR="00E66142" w:rsidRPr="00B56CF7">
        <w:rPr>
          <w:rFonts w:asciiTheme="majorHAnsi" w:eastAsia="Calibri" w:hAnsiTheme="majorHAnsi"/>
          <w:sz w:val="20"/>
          <w:szCs w:val="20"/>
          <w:lang w:val="es-VE"/>
        </w:rPr>
        <w:t xml:space="preserve">este resultado </w:t>
      </w:r>
      <w:r w:rsidR="00985C45" w:rsidRPr="00B56CF7">
        <w:rPr>
          <w:rFonts w:asciiTheme="majorHAnsi" w:eastAsia="Calibri" w:hAnsiTheme="majorHAnsi"/>
          <w:sz w:val="20"/>
          <w:szCs w:val="20"/>
          <w:lang w:val="es-VE"/>
        </w:rPr>
        <w:t>obedeció al carácter</w:t>
      </w:r>
      <w:r w:rsidR="00A129D6" w:rsidRPr="00B56CF7">
        <w:rPr>
          <w:rFonts w:asciiTheme="majorHAnsi" w:eastAsia="Calibri" w:hAnsiTheme="majorHAnsi"/>
          <w:sz w:val="20"/>
          <w:szCs w:val="20"/>
          <w:lang w:val="es-VE"/>
        </w:rPr>
        <w:t xml:space="preserve"> superficial </w:t>
      </w:r>
      <w:r w:rsidR="005E730B">
        <w:rPr>
          <w:rFonts w:asciiTheme="majorHAnsi" w:eastAsia="Calibri" w:hAnsiTheme="majorHAnsi"/>
          <w:sz w:val="20"/>
          <w:szCs w:val="20"/>
          <w:lang w:val="es-VE"/>
        </w:rPr>
        <w:t xml:space="preserve">y negligente </w:t>
      </w:r>
      <w:r w:rsidR="00A129D6" w:rsidRPr="00B56CF7">
        <w:rPr>
          <w:rFonts w:asciiTheme="majorHAnsi" w:eastAsia="Calibri" w:hAnsiTheme="majorHAnsi"/>
          <w:sz w:val="20"/>
          <w:szCs w:val="20"/>
          <w:lang w:val="es-VE"/>
        </w:rPr>
        <w:t>de las investigaciones.</w:t>
      </w:r>
    </w:p>
    <w:p w:rsidR="00A129D6" w:rsidRPr="00B56CF7" w:rsidRDefault="00A129D6" w:rsidP="00A129D6">
      <w:pPr>
        <w:pStyle w:val="ListParagraph"/>
        <w:rPr>
          <w:rFonts w:asciiTheme="majorHAnsi" w:eastAsia="Calibri" w:hAnsiTheme="majorHAnsi"/>
          <w:sz w:val="20"/>
          <w:szCs w:val="20"/>
          <w:lang w:val="es-VE"/>
        </w:rPr>
      </w:pPr>
    </w:p>
    <w:p w:rsidR="004A70F3" w:rsidRPr="00B56CF7" w:rsidRDefault="00A129D6" w:rsidP="004A70F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Consideró que los fiscales incurrieron en el delito de falsedad ideológica y que no se trató de un simple error, porque tenían la obligación de contra</w:t>
      </w:r>
      <w:r w:rsidR="00EB7C0C" w:rsidRPr="00B56CF7">
        <w:rPr>
          <w:rFonts w:asciiTheme="majorHAnsi" w:eastAsia="Calibri" w:hAnsiTheme="majorHAnsi"/>
          <w:sz w:val="20"/>
          <w:szCs w:val="20"/>
          <w:lang w:val="es-VE"/>
        </w:rPr>
        <w:t xml:space="preserve">star el </w:t>
      </w:r>
      <w:proofErr w:type="spellStart"/>
      <w:r w:rsidR="00694478" w:rsidRPr="00B56CF7">
        <w:rPr>
          <w:rFonts w:asciiTheme="majorHAnsi" w:eastAsia="Calibri" w:hAnsiTheme="majorHAnsi"/>
          <w:sz w:val="20"/>
          <w:szCs w:val="20"/>
          <w:lang w:val="es-VE"/>
        </w:rPr>
        <w:t>cassette</w:t>
      </w:r>
      <w:proofErr w:type="spellEnd"/>
      <w:r w:rsidR="00694478" w:rsidRPr="00B56CF7">
        <w:rPr>
          <w:rFonts w:asciiTheme="majorHAnsi" w:eastAsia="Calibri" w:hAnsiTheme="majorHAnsi"/>
          <w:sz w:val="20"/>
          <w:szCs w:val="20"/>
          <w:lang w:val="es-VE"/>
        </w:rPr>
        <w:t xml:space="preserve"> con su transcripción. Además</w:t>
      </w:r>
      <w:r w:rsidR="006D424B" w:rsidRPr="00B56CF7">
        <w:rPr>
          <w:rFonts w:asciiTheme="majorHAnsi" w:eastAsia="Calibri" w:hAnsiTheme="majorHAnsi"/>
          <w:sz w:val="20"/>
          <w:szCs w:val="20"/>
          <w:lang w:val="es-VE"/>
        </w:rPr>
        <w:t>,</w:t>
      </w:r>
      <w:r w:rsidR="00694478" w:rsidRPr="00B56CF7">
        <w:rPr>
          <w:rFonts w:asciiTheme="majorHAnsi" w:eastAsia="Calibri" w:hAnsiTheme="majorHAnsi"/>
          <w:sz w:val="20"/>
          <w:szCs w:val="20"/>
          <w:lang w:val="es-VE"/>
        </w:rPr>
        <w:t xml:space="preserve"> </w:t>
      </w:r>
      <w:r w:rsidR="000640B9" w:rsidRPr="00B56CF7">
        <w:rPr>
          <w:rFonts w:asciiTheme="majorHAnsi" w:eastAsia="Calibri" w:hAnsiTheme="majorHAnsi"/>
          <w:sz w:val="20"/>
          <w:szCs w:val="20"/>
          <w:lang w:val="es-VE"/>
        </w:rPr>
        <w:t>estimó</w:t>
      </w:r>
      <w:r w:rsidR="00694478" w:rsidRPr="00B56CF7">
        <w:rPr>
          <w:rFonts w:asciiTheme="majorHAnsi" w:eastAsia="Calibri" w:hAnsiTheme="majorHAnsi"/>
          <w:sz w:val="20"/>
          <w:szCs w:val="20"/>
          <w:lang w:val="es-VE"/>
        </w:rPr>
        <w:t xml:space="preserve"> que </w:t>
      </w:r>
      <w:r w:rsidR="00694478" w:rsidRPr="00B56CF7">
        <w:rPr>
          <w:rFonts w:asciiTheme="majorHAnsi" w:eastAsia="Calibri" w:hAnsiTheme="majorHAnsi"/>
          <w:sz w:val="20"/>
          <w:szCs w:val="20"/>
          <w:lang w:val="es-VE"/>
        </w:rPr>
        <w:lastRenderedPageBreak/>
        <w:t>el j</w:t>
      </w:r>
      <w:r w:rsidR="00EB7C0C" w:rsidRPr="00B56CF7">
        <w:rPr>
          <w:rFonts w:asciiTheme="majorHAnsi" w:eastAsia="Calibri" w:hAnsiTheme="majorHAnsi"/>
          <w:sz w:val="20"/>
          <w:szCs w:val="20"/>
          <w:lang w:val="es-VE"/>
        </w:rPr>
        <w:t xml:space="preserve">uez incurrió en el delito de incumplimiento de los deberes de funcionario público porque tenía el deber de controlar la prueba, la labor de los fiscales de grado y la actuación de la policía. </w:t>
      </w:r>
    </w:p>
    <w:p w:rsidR="007022F9" w:rsidRPr="00B56CF7" w:rsidRDefault="007022F9" w:rsidP="007022F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rsidR="00694478" w:rsidRPr="00B56CF7" w:rsidRDefault="00410A7A" w:rsidP="00D661B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Agregó que mientras se</w:t>
      </w:r>
      <w:r w:rsidR="00694478" w:rsidRPr="00B56CF7">
        <w:rPr>
          <w:rFonts w:asciiTheme="majorHAnsi" w:eastAsia="Calibri" w:hAnsiTheme="majorHAnsi"/>
          <w:sz w:val="20"/>
          <w:szCs w:val="20"/>
          <w:lang w:val="es-VE"/>
        </w:rPr>
        <w:t xml:space="preserve"> encontraba privado de libertad</w:t>
      </w:r>
      <w:r w:rsidRPr="00B56CF7">
        <w:rPr>
          <w:rFonts w:asciiTheme="majorHAnsi" w:eastAsia="Calibri" w:hAnsiTheme="majorHAnsi"/>
          <w:sz w:val="20"/>
          <w:szCs w:val="20"/>
          <w:lang w:val="es-VE"/>
        </w:rPr>
        <w:t xml:space="preserve"> intentó en diversas ocasiones obtener el beneficio de excarcelación, </w:t>
      </w:r>
      <w:r w:rsidR="00694478" w:rsidRPr="00B56CF7">
        <w:rPr>
          <w:rFonts w:asciiTheme="majorHAnsi" w:eastAsia="Calibri" w:hAnsiTheme="majorHAnsi"/>
          <w:sz w:val="20"/>
          <w:szCs w:val="20"/>
          <w:lang w:val="es-VE"/>
        </w:rPr>
        <w:t xml:space="preserve">sin embargo le fue negado porque el artículo 10 de la ley 24.390 niega </w:t>
      </w:r>
      <w:r w:rsidR="00200B39">
        <w:rPr>
          <w:rFonts w:asciiTheme="majorHAnsi" w:eastAsia="Calibri" w:hAnsiTheme="majorHAnsi"/>
          <w:sz w:val="20"/>
          <w:szCs w:val="20"/>
          <w:lang w:val="es-VE"/>
        </w:rPr>
        <w:t>este beneficio a las</w:t>
      </w:r>
      <w:r w:rsidR="00694478" w:rsidRPr="00B56CF7">
        <w:rPr>
          <w:rFonts w:asciiTheme="majorHAnsi" w:eastAsia="Calibri" w:hAnsiTheme="majorHAnsi"/>
          <w:sz w:val="20"/>
          <w:szCs w:val="20"/>
          <w:lang w:val="es-VE"/>
        </w:rPr>
        <w:t xml:space="preserve"> personas acusadas de tenencia y tráfico de estu</w:t>
      </w:r>
      <w:r w:rsidR="000640B9" w:rsidRPr="00B56CF7">
        <w:rPr>
          <w:rFonts w:asciiTheme="majorHAnsi" w:eastAsia="Calibri" w:hAnsiTheme="majorHAnsi"/>
          <w:sz w:val="20"/>
          <w:szCs w:val="20"/>
          <w:lang w:val="es-VE"/>
        </w:rPr>
        <w:t xml:space="preserve">pefacientes, como era su caso. </w:t>
      </w:r>
      <w:r w:rsidR="00694478" w:rsidRPr="00B56CF7">
        <w:rPr>
          <w:rFonts w:asciiTheme="majorHAnsi" w:eastAsia="Calibri" w:hAnsiTheme="majorHAnsi"/>
          <w:sz w:val="20"/>
          <w:szCs w:val="20"/>
          <w:lang w:val="es-VE"/>
        </w:rPr>
        <w:t>Indicó que incluso atacó la constitucionalidad de la norma, sin embargo su acción</w:t>
      </w:r>
      <w:r w:rsidR="00985C45" w:rsidRPr="00B56CF7">
        <w:rPr>
          <w:rFonts w:asciiTheme="majorHAnsi" w:eastAsia="Calibri" w:hAnsiTheme="majorHAnsi"/>
          <w:sz w:val="20"/>
          <w:szCs w:val="20"/>
          <w:lang w:val="es-VE"/>
        </w:rPr>
        <w:t xml:space="preserve"> no tuvo éxito y</w:t>
      </w:r>
      <w:r w:rsidR="000640B9" w:rsidRPr="00B56CF7">
        <w:rPr>
          <w:rFonts w:asciiTheme="majorHAnsi" w:eastAsia="Calibri" w:hAnsiTheme="majorHAnsi"/>
          <w:sz w:val="20"/>
          <w:szCs w:val="20"/>
          <w:lang w:val="es-VE"/>
        </w:rPr>
        <w:t xml:space="preserve"> se confirmó la validez de dicha</w:t>
      </w:r>
      <w:r w:rsidR="00985C45" w:rsidRPr="00B56CF7">
        <w:rPr>
          <w:rFonts w:asciiTheme="majorHAnsi" w:eastAsia="Calibri" w:hAnsiTheme="majorHAnsi"/>
          <w:sz w:val="20"/>
          <w:szCs w:val="20"/>
          <w:lang w:val="es-VE"/>
        </w:rPr>
        <w:t xml:space="preserve"> disposición.</w:t>
      </w:r>
    </w:p>
    <w:p w:rsidR="00694478" w:rsidRPr="00B56CF7" w:rsidRDefault="00694478" w:rsidP="00694478">
      <w:pPr>
        <w:rPr>
          <w:rFonts w:asciiTheme="majorHAnsi" w:eastAsia="Calibri" w:hAnsiTheme="majorHAnsi"/>
          <w:sz w:val="20"/>
          <w:szCs w:val="20"/>
          <w:lang w:val="es-VE"/>
        </w:rPr>
      </w:pPr>
    </w:p>
    <w:p w:rsidR="00410A7A" w:rsidRPr="00B56CF7" w:rsidRDefault="00B630CF" w:rsidP="00410A7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Indicó que promovió un proceso contencioso administrativo con el fin de obtener una compensación por el tiempo que permaneció ilegítimamente privado de libertad</w:t>
      </w:r>
      <w:r w:rsidR="00F71E40" w:rsidRPr="00B56CF7">
        <w:rPr>
          <w:rFonts w:asciiTheme="majorHAnsi" w:eastAsia="Calibri" w:hAnsiTheme="majorHAnsi"/>
          <w:sz w:val="20"/>
          <w:szCs w:val="20"/>
          <w:lang w:val="es-VE"/>
        </w:rPr>
        <w:t xml:space="preserve">. Señaló que esta acción fue </w:t>
      </w:r>
      <w:r w:rsidR="00C2045A" w:rsidRPr="00B56CF7">
        <w:rPr>
          <w:rFonts w:asciiTheme="majorHAnsi" w:eastAsia="Calibri" w:hAnsiTheme="majorHAnsi"/>
          <w:sz w:val="20"/>
          <w:szCs w:val="20"/>
          <w:lang w:val="es-VE"/>
        </w:rPr>
        <w:t xml:space="preserve">declarada sin lugar por medio de decisiones </w:t>
      </w:r>
      <w:r w:rsidR="00156E26" w:rsidRPr="00B56CF7">
        <w:rPr>
          <w:rFonts w:asciiTheme="majorHAnsi" w:eastAsia="Calibri" w:hAnsiTheme="majorHAnsi"/>
          <w:sz w:val="20"/>
          <w:szCs w:val="20"/>
          <w:lang w:val="es-VE"/>
        </w:rPr>
        <w:t xml:space="preserve">que calificó de </w:t>
      </w:r>
      <w:r w:rsidR="00C2045A" w:rsidRPr="00B56CF7">
        <w:rPr>
          <w:rFonts w:asciiTheme="majorHAnsi" w:eastAsia="Calibri" w:hAnsiTheme="majorHAnsi"/>
          <w:sz w:val="20"/>
          <w:szCs w:val="20"/>
          <w:lang w:val="es-VE"/>
        </w:rPr>
        <w:t>arbitrarias.</w:t>
      </w:r>
    </w:p>
    <w:p w:rsidR="00017A0C" w:rsidRPr="00B56CF7" w:rsidRDefault="00017A0C" w:rsidP="00017A0C">
      <w:pPr>
        <w:pStyle w:val="ListParagraph"/>
        <w:rPr>
          <w:rFonts w:asciiTheme="majorHAnsi" w:eastAsia="Calibri" w:hAnsiTheme="majorHAnsi"/>
          <w:sz w:val="20"/>
          <w:szCs w:val="20"/>
          <w:lang w:val="es-VE"/>
        </w:rPr>
      </w:pPr>
    </w:p>
    <w:p w:rsidR="00C2045A" w:rsidRPr="00B56CF7" w:rsidRDefault="00C2045A" w:rsidP="00C204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Argumen</w:t>
      </w:r>
      <w:r w:rsidR="003E3EAA" w:rsidRPr="00B56CF7">
        <w:rPr>
          <w:rFonts w:asciiTheme="majorHAnsi" w:eastAsia="Calibri" w:hAnsiTheme="majorHAnsi"/>
          <w:sz w:val="20"/>
          <w:szCs w:val="20"/>
          <w:lang w:val="es-VE"/>
        </w:rPr>
        <w:t>tó que a raíz de su búsqueda de</w:t>
      </w:r>
      <w:r w:rsidRPr="00B56CF7">
        <w:rPr>
          <w:rFonts w:asciiTheme="majorHAnsi" w:eastAsia="Calibri" w:hAnsiTheme="majorHAnsi"/>
          <w:sz w:val="20"/>
          <w:szCs w:val="20"/>
          <w:lang w:val="es-VE"/>
        </w:rPr>
        <w:t xml:space="preserve"> justi</w:t>
      </w:r>
      <w:r w:rsidR="00F90433" w:rsidRPr="00B56CF7">
        <w:rPr>
          <w:rFonts w:asciiTheme="majorHAnsi" w:eastAsia="Calibri" w:hAnsiTheme="majorHAnsi"/>
          <w:sz w:val="20"/>
          <w:szCs w:val="20"/>
          <w:lang w:val="es-VE"/>
        </w:rPr>
        <w:t>cia</w:t>
      </w:r>
      <w:r w:rsidR="000640B9" w:rsidRPr="00B56CF7">
        <w:rPr>
          <w:rFonts w:asciiTheme="majorHAnsi" w:eastAsia="Calibri" w:hAnsiTheme="majorHAnsi"/>
          <w:sz w:val="20"/>
          <w:szCs w:val="20"/>
          <w:lang w:val="es-VE"/>
        </w:rPr>
        <w:t xml:space="preserve"> sufrió</w:t>
      </w:r>
      <w:r w:rsidR="00F90433" w:rsidRPr="00B56CF7">
        <w:rPr>
          <w:rFonts w:asciiTheme="majorHAnsi" w:eastAsia="Calibri" w:hAnsiTheme="majorHAnsi"/>
          <w:sz w:val="20"/>
          <w:szCs w:val="20"/>
          <w:lang w:val="es-VE"/>
        </w:rPr>
        <w:t xml:space="preserve"> amenazas y que</w:t>
      </w:r>
      <w:r w:rsidRPr="00B56CF7">
        <w:rPr>
          <w:rFonts w:asciiTheme="majorHAnsi" w:eastAsia="Calibri" w:hAnsiTheme="majorHAnsi"/>
          <w:sz w:val="20"/>
          <w:szCs w:val="20"/>
          <w:lang w:val="es-VE"/>
        </w:rPr>
        <w:t xml:space="preserve"> uno de los clientes de su despacho profesional fue amenazado en plena calle por dos personas que le indicaron que dejara de apoyar al “loquito de Jenkins” y le aconsejaron que no se metiera con la </w:t>
      </w:r>
      <w:r w:rsidR="00472DCC" w:rsidRPr="00B56CF7">
        <w:rPr>
          <w:rFonts w:asciiTheme="majorHAnsi" w:eastAsia="Calibri" w:hAnsiTheme="majorHAnsi"/>
          <w:sz w:val="20"/>
          <w:szCs w:val="20"/>
          <w:lang w:val="es-VE"/>
        </w:rPr>
        <w:t>“</w:t>
      </w:r>
      <w:r w:rsidRPr="00B56CF7">
        <w:rPr>
          <w:rFonts w:asciiTheme="majorHAnsi" w:eastAsia="Calibri" w:hAnsiTheme="majorHAnsi"/>
          <w:sz w:val="20"/>
          <w:szCs w:val="20"/>
          <w:lang w:val="es-VE"/>
        </w:rPr>
        <w:t>familia judicial</w:t>
      </w:r>
      <w:r w:rsidR="00472DCC" w:rsidRPr="00B56CF7">
        <w:rPr>
          <w:rFonts w:asciiTheme="majorHAnsi" w:eastAsia="Calibri" w:hAnsiTheme="majorHAnsi"/>
          <w:sz w:val="20"/>
          <w:szCs w:val="20"/>
          <w:lang w:val="es-VE"/>
        </w:rPr>
        <w:t>”</w:t>
      </w:r>
      <w:r w:rsidRPr="00B56CF7">
        <w:rPr>
          <w:rFonts w:asciiTheme="majorHAnsi" w:eastAsia="Calibri" w:hAnsiTheme="majorHAnsi"/>
          <w:sz w:val="20"/>
          <w:szCs w:val="20"/>
          <w:lang w:val="es-VE"/>
        </w:rPr>
        <w:t>. Indicó que esta situación nunca fue investigada.</w:t>
      </w:r>
    </w:p>
    <w:p w:rsidR="005E65A6" w:rsidRPr="00B56CF7" w:rsidRDefault="005E65A6" w:rsidP="005E65A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rsidR="007019A7" w:rsidRPr="00B56CF7" w:rsidRDefault="00424BA4" w:rsidP="004A70F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 xml:space="preserve">En cuanto al derecho, </w:t>
      </w:r>
      <w:r w:rsidR="00FD0576" w:rsidRPr="00B56CF7">
        <w:rPr>
          <w:rFonts w:asciiTheme="majorHAnsi" w:eastAsia="Calibri" w:hAnsiTheme="majorHAnsi"/>
          <w:sz w:val="20"/>
          <w:szCs w:val="20"/>
          <w:lang w:val="es-VE"/>
        </w:rPr>
        <w:t>el peticionario argumentó</w:t>
      </w:r>
      <w:r w:rsidR="00667BC7" w:rsidRPr="00B56CF7">
        <w:rPr>
          <w:rFonts w:asciiTheme="majorHAnsi" w:eastAsia="Calibri" w:hAnsiTheme="majorHAnsi"/>
          <w:sz w:val="20"/>
          <w:szCs w:val="20"/>
          <w:lang w:val="es-VE"/>
        </w:rPr>
        <w:t xml:space="preserve"> </w:t>
      </w:r>
      <w:r w:rsidR="00315471" w:rsidRPr="00B56CF7">
        <w:rPr>
          <w:rFonts w:asciiTheme="majorHAnsi" w:eastAsia="Calibri" w:hAnsiTheme="majorHAnsi"/>
          <w:sz w:val="20"/>
          <w:szCs w:val="20"/>
          <w:lang w:val="es-VE"/>
        </w:rPr>
        <w:t>que</w:t>
      </w:r>
      <w:r w:rsidR="007019A7" w:rsidRPr="00B56CF7">
        <w:rPr>
          <w:rFonts w:asciiTheme="majorHAnsi" w:eastAsia="Calibri" w:hAnsiTheme="majorHAnsi"/>
          <w:sz w:val="20"/>
          <w:szCs w:val="20"/>
          <w:lang w:val="es-VE"/>
        </w:rPr>
        <w:t xml:space="preserve"> se violó el </w:t>
      </w:r>
      <w:r w:rsidR="007019A7" w:rsidRPr="00B56CF7">
        <w:rPr>
          <w:rFonts w:asciiTheme="majorHAnsi" w:eastAsia="Calibri" w:hAnsiTheme="majorHAnsi"/>
          <w:b/>
          <w:sz w:val="20"/>
          <w:szCs w:val="20"/>
          <w:lang w:val="es-VE"/>
        </w:rPr>
        <w:t>derecho a la libertad personal</w:t>
      </w:r>
      <w:r w:rsidR="002F7310" w:rsidRPr="00B56CF7">
        <w:rPr>
          <w:rFonts w:asciiTheme="majorHAnsi" w:eastAsia="Calibri" w:hAnsiTheme="majorHAnsi"/>
          <w:b/>
          <w:sz w:val="20"/>
          <w:szCs w:val="20"/>
          <w:lang w:val="es-VE"/>
        </w:rPr>
        <w:t xml:space="preserve"> y</w:t>
      </w:r>
      <w:r w:rsidR="00FA5737" w:rsidRPr="00B56CF7">
        <w:rPr>
          <w:rFonts w:asciiTheme="majorHAnsi" w:eastAsia="Calibri" w:hAnsiTheme="majorHAnsi"/>
          <w:b/>
          <w:sz w:val="20"/>
          <w:szCs w:val="20"/>
          <w:lang w:val="es-VE"/>
        </w:rPr>
        <w:t xml:space="preserve"> a las</w:t>
      </w:r>
      <w:r w:rsidR="002F7310" w:rsidRPr="00B56CF7">
        <w:rPr>
          <w:rFonts w:asciiTheme="majorHAnsi" w:eastAsia="Calibri" w:hAnsiTheme="majorHAnsi"/>
          <w:b/>
          <w:sz w:val="20"/>
          <w:szCs w:val="20"/>
          <w:lang w:val="es-VE"/>
        </w:rPr>
        <w:t xml:space="preserve"> garantías judiciales</w:t>
      </w:r>
      <w:r w:rsidR="007019A7" w:rsidRPr="00B56CF7">
        <w:rPr>
          <w:rFonts w:asciiTheme="majorHAnsi" w:eastAsia="Calibri" w:hAnsiTheme="majorHAnsi"/>
          <w:sz w:val="20"/>
          <w:szCs w:val="20"/>
          <w:lang w:val="es-VE"/>
        </w:rPr>
        <w:t xml:space="preserve"> </w:t>
      </w:r>
      <w:r w:rsidR="00925733" w:rsidRPr="00B56CF7">
        <w:rPr>
          <w:rFonts w:asciiTheme="majorHAnsi" w:eastAsia="Calibri" w:hAnsiTheme="majorHAnsi"/>
          <w:sz w:val="20"/>
          <w:szCs w:val="20"/>
          <w:lang w:val="es-VE"/>
        </w:rPr>
        <w:t>porque fue sometido a un proceso arbitrario donde se violó recurrentemente su derecho de defensa en juicio, negándose a proveer pruebas solicitadas por la defensa y negando la libertad sin con</w:t>
      </w:r>
      <w:r w:rsidR="001707AB" w:rsidRPr="00B56CF7">
        <w:rPr>
          <w:rFonts w:asciiTheme="majorHAnsi" w:eastAsia="Calibri" w:hAnsiTheme="majorHAnsi"/>
          <w:sz w:val="20"/>
          <w:szCs w:val="20"/>
          <w:lang w:val="es-VE"/>
        </w:rPr>
        <w:t>dicionarla a fines procesales. Agregó</w:t>
      </w:r>
      <w:r w:rsidR="00925733" w:rsidRPr="00B56CF7">
        <w:rPr>
          <w:rFonts w:asciiTheme="majorHAnsi" w:eastAsia="Calibri" w:hAnsiTheme="majorHAnsi"/>
          <w:sz w:val="20"/>
          <w:szCs w:val="20"/>
          <w:lang w:val="es-VE"/>
        </w:rPr>
        <w:t xml:space="preserve"> que </w:t>
      </w:r>
      <w:r w:rsidR="001707AB" w:rsidRPr="00B56CF7">
        <w:rPr>
          <w:rFonts w:asciiTheme="majorHAnsi" w:eastAsia="Calibri" w:hAnsiTheme="majorHAnsi"/>
          <w:sz w:val="20"/>
          <w:szCs w:val="20"/>
          <w:lang w:val="es-VE"/>
        </w:rPr>
        <w:t>su privación de libertad desde el 8 de junio de 1994 hasta el</w:t>
      </w:r>
      <w:r w:rsidR="00925733" w:rsidRPr="00B56CF7">
        <w:rPr>
          <w:rFonts w:asciiTheme="majorHAnsi" w:eastAsia="Calibri" w:hAnsiTheme="majorHAnsi"/>
          <w:sz w:val="20"/>
          <w:szCs w:val="20"/>
          <w:lang w:val="es-VE"/>
        </w:rPr>
        <w:t xml:space="preserve"> 19 de noviembre de 1997 </w:t>
      </w:r>
      <w:r w:rsidR="007150A7" w:rsidRPr="00B56CF7">
        <w:rPr>
          <w:rFonts w:asciiTheme="majorHAnsi" w:eastAsia="Calibri" w:hAnsiTheme="majorHAnsi"/>
          <w:sz w:val="20"/>
          <w:szCs w:val="20"/>
          <w:lang w:val="es-VE"/>
        </w:rPr>
        <w:t>es una viola</w:t>
      </w:r>
      <w:r w:rsidR="001707AB" w:rsidRPr="00B56CF7">
        <w:rPr>
          <w:rFonts w:asciiTheme="majorHAnsi" w:eastAsia="Calibri" w:hAnsiTheme="majorHAnsi"/>
          <w:sz w:val="20"/>
          <w:szCs w:val="20"/>
          <w:lang w:val="es-VE"/>
        </w:rPr>
        <w:t>ción de</w:t>
      </w:r>
      <w:r w:rsidR="007150A7" w:rsidRPr="00B56CF7">
        <w:rPr>
          <w:rFonts w:asciiTheme="majorHAnsi" w:eastAsia="Calibri" w:hAnsiTheme="majorHAnsi"/>
          <w:sz w:val="20"/>
          <w:szCs w:val="20"/>
          <w:lang w:val="es-VE"/>
        </w:rPr>
        <w:t xml:space="preserve">l plazo razonable de la detención. </w:t>
      </w:r>
    </w:p>
    <w:p w:rsidR="007150A7" w:rsidRPr="00B56CF7" w:rsidRDefault="007150A7" w:rsidP="000A103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rsidR="00847E88" w:rsidRPr="00B56CF7" w:rsidRDefault="00FD0576" w:rsidP="00847E8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Alegó</w:t>
      </w:r>
      <w:r w:rsidR="007150A7" w:rsidRPr="00B56CF7">
        <w:rPr>
          <w:rFonts w:asciiTheme="majorHAnsi" w:eastAsia="Calibri" w:hAnsiTheme="majorHAnsi"/>
          <w:sz w:val="20"/>
          <w:szCs w:val="20"/>
          <w:lang w:val="es-VE"/>
        </w:rPr>
        <w:t xml:space="preserve"> que el Estado </w:t>
      </w:r>
      <w:r w:rsidR="00FA5737" w:rsidRPr="00B56CF7">
        <w:rPr>
          <w:rFonts w:asciiTheme="majorHAnsi" w:eastAsia="Calibri" w:hAnsiTheme="majorHAnsi"/>
          <w:sz w:val="20"/>
          <w:szCs w:val="20"/>
          <w:lang w:val="es-VE"/>
        </w:rPr>
        <w:t xml:space="preserve">también </w:t>
      </w:r>
      <w:r w:rsidR="007150A7" w:rsidRPr="00B56CF7">
        <w:rPr>
          <w:rFonts w:asciiTheme="majorHAnsi" w:eastAsia="Calibri" w:hAnsiTheme="majorHAnsi"/>
          <w:sz w:val="20"/>
          <w:szCs w:val="20"/>
          <w:lang w:val="es-VE"/>
        </w:rPr>
        <w:t xml:space="preserve">violó </w:t>
      </w:r>
      <w:r w:rsidR="007150A7" w:rsidRPr="00B56CF7">
        <w:rPr>
          <w:rFonts w:asciiTheme="majorHAnsi" w:eastAsia="Calibri" w:hAnsiTheme="majorHAnsi"/>
          <w:b/>
          <w:sz w:val="20"/>
          <w:szCs w:val="20"/>
          <w:lang w:val="es-VE"/>
        </w:rPr>
        <w:t>el derecho a las garantías judiciales</w:t>
      </w:r>
      <w:r w:rsidR="007150A7" w:rsidRPr="00B56CF7">
        <w:rPr>
          <w:rFonts w:asciiTheme="majorHAnsi" w:eastAsia="Calibri" w:hAnsiTheme="majorHAnsi"/>
          <w:sz w:val="20"/>
          <w:szCs w:val="20"/>
          <w:lang w:val="es-VE"/>
        </w:rPr>
        <w:t xml:space="preserve"> y</w:t>
      </w:r>
      <w:r w:rsidR="005B0E0E" w:rsidRPr="00B56CF7">
        <w:rPr>
          <w:rFonts w:asciiTheme="majorHAnsi" w:eastAsia="Calibri" w:hAnsiTheme="majorHAnsi"/>
          <w:sz w:val="20"/>
          <w:szCs w:val="20"/>
          <w:lang w:val="es-VE"/>
        </w:rPr>
        <w:t>,</w:t>
      </w:r>
      <w:r w:rsidR="007150A7" w:rsidRPr="00B56CF7">
        <w:rPr>
          <w:rFonts w:asciiTheme="majorHAnsi" w:eastAsia="Calibri" w:hAnsiTheme="majorHAnsi"/>
          <w:sz w:val="20"/>
          <w:szCs w:val="20"/>
          <w:lang w:val="es-VE"/>
        </w:rPr>
        <w:t xml:space="preserve"> en particular</w:t>
      </w:r>
      <w:r w:rsidR="005B0E0E" w:rsidRPr="00B56CF7">
        <w:rPr>
          <w:rFonts w:asciiTheme="majorHAnsi" w:eastAsia="Calibri" w:hAnsiTheme="majorHAnsi"/>
          <w:sz w:val="20"/>
          <w:szCs w:val="20"/>
          <w:lang w:val="es-VE"/>
        </w:rPr>
        <w:t>,</w:t>
      </w:r>
      <w:r w:rsidR="007150A7" w:rsidRPr="00B56CF7">
        <w:rPr>
          <w:rFonts w:asciiTheme="majorHAnsi" w:eastAsia="Calibri" w:hAnsiTheme="majorHAnsi"/>
          <w:sz w:val="20"/>
          <w:szCs w:val="20"/>
          <w:lang w:val="es-VE"/>
        </w:rPr>
        <w:t xml:space="preserve"> </w:t>
      </w:r>
      <w:r w:rsidR="007150A7" w:rsidRPr="00B56CF7">
        <w:rPr>
          <w:rFonts w:asciiTheme="majorHAnsi" w:eastAsia="Calibri" w:hAnsiTheme="majorHAnsi"/>
          <w:b/>
          <w:sz w:val="20"/>
          <w:szCs w:val="20"/>
          <w:lang w:val="es-VE"/>
        </w:rPr>
        <w:t>el principio de presunción de inocencia</w:t>
      </w:r>
      <w:r w:rsidR="007150A7" w:rsidRPr="00B56CF7">
        <w:rPr>
          <w:rFonts w:asciiTheme="majorHAnsi" w:eastAsia="Calibri" w:hAnsiTheme="majorHAnsi"/>
          <w:sz w:val="20"/>
          <w:szCs w:val="20"/>
          <w:lang w:val="es-VE"/>
        </w:rPr>
        <w:t xml:space="preserve"> contenido en el artículo 8.2 de la Convención Americana pues al utilizar la prisión preventiva sin fines procesal</w:t>
      </w:r>
      <w:r w:rsidR="0096763A" w:rsidRPr="00B56CF7">
        <w:rPr>
          <w:rFonts w:asciiTheme="majorHAnsi" w:eastAsia="Calibri" w:hAnsiTheme="majorHAnsi"/>
          <w:sz w:val="20"/>
          <w:szCs w:val="20"/>
          <w:lang w:val="es-VE"/>
        </w:rPr>
        <w:t>es</w:t>
      </w:r>
      <w:r w:rsidR="007150A7" w:rsidRPr="00B56CF7">
        <w:rPr>
          <w:rFonts w:asciiTheme="majorHAnsi" w:eastAsia="Calibri" w:hAnsiTheme="majorHAnsi"/>
          <w:sz w:val="20"/>
          <w:szCs w:val="20"/>
          <w:lang w:val="es-VE"/>
        </w:rPr>
        <w:t xml:space="preserve"> el Estado </w:t>
      </w:r>
      <w:r w:rsidR="005B0E0E" w:rsidRPr="00B56CF7">
        <w:rPr>
          <w:rFonts w:asciiTheme="majorHAnsi" w:eastAsia="Calibri" w:hAnsiTheme="majorHAnsi"/>
          <w:sz w:val="20"/>
          <w:szCs w:val="20"/>
          <w:lang w:val="es-VE"/>
        </w:rPr>
        <w:t>a</w:t>
      </w:r>
      <w:r w:rsidR="007150A7" w:rsidRPr="00B56CF7">
        <w:rPr>
          <w:rFonts w:asciiTheme="majorHAnsi" w:eastAsia="Calibri" w:hAnsiTheme="majorHAnsi"/>
          <w:sz w:val="20"/>
          <w:szCs w:val="20"/>
          <w:lang w:val="es-VE"/>
        </w:rPr>
        <w:t>rgentino transformó dicha medida en un</w:t>
      </w:r>
      <w:r w:rsidR="005B0E0E" w:rsidRPr="00B56CF7">
        <w:rPr>
          <w:rFonts w:asciiTheme="majorHAnsi" w:eastAsia="Calibri" w:hAnsiTheme="majorHAnsi"/>
          <w:sz w:val="20"/>
          <w:szCs w:val="20"/>
          <w:lang w:val="es-VE"/>
        </w:rPr>
        <w:t xml:space="preserve"> mecanismo</w:t>
      </w:r>
      <w:r w:rsidR="007150A7" w:rsidRPr="00B56CF7">
        <w:rPr>
          <w:rFonts w:asciiTheme="majorHAnsi" w:eastAsia="Calibri" w:hAnsiTheme="majorHAnsi"/>
          <w:sz w:val="20"/>
          <w:szCs w:val="20"/>
          <w:lang w:val="es-VE"/>
        </w:rPr>
        <w:t xml:space="preserve"> punitiv</w:t>
      </w:r>
      <w:r w:rsidR="005B0E0E" w:rsidRPr="00B56CF7">
        <w:rPr>
          <w:rFonts w:asciiTheme="majorHAnsi" w:eastAsia="Calibri" w:hAnsiTheme="majorHAnsi"/>
          <w:sz w:val="20"/>
          <w:szCs w:val="20"/>
          <w:lang w:val="es-VE"/>
        </w:rPr>
        <w:t>o</w:t>
      </w:r>
      <w:r w:rsidR="007150A7" w:rsidRPr="00B56CF7">
        <w:rPr>
          <w:rFonts w:asciiTheme="majorHAnsi" w:eastAsia="Calibri" w:hAnsiTheme="majorHAnsi"/>
          <w:sz w:val="20"/>
          <w:szCs w:val="20"/>
          <w:lang w:val="es-VE"/>
        </w:rPr>
        <w:t xml:space="preserve"> contra una persona cuya responsabilidad no había sido establecida y que lueg</w:t>
      </w:r>
      <w:r w:rsidR="0096763A" w:rsidRPr="00B56CF7">
        <w:rPr>
          <w:rFonts w:asciiTheme="majorHAnsi" w:eastAsia="Calibri" w:hAnsiTheme="majorHAnsi"/>
          <w:sz w:val="20"/>
          <w:szCs w:val="20"/>
          <w:lang w:val="es-VE"/>
        </w:rPr>
        <w:t>o fue declarada inocente.</w:t>
      </w:r>
      <w:r w:rsidR="0072111C" w:rsidRPr="00B56CF7">
        <w:rPr>
          <w:rFonts w:asciiTheme="majorHAnsi" w:eastAsia="Calibri" w:hAnsiTheme="majorHAnsi"/>
          <w:sz w:val="20"/>
          <w:szCs w:val="20"/>
          <w:lang w:val="es-VE"/>
        </w:rPr>
        <w:t xml:space="preserve"> </w:t>
      </w:r>
    </w:p>
    <w:p w:rsidR="009D5770" w:rsidRPr="00B56CF7" w:rsidRDefault="009D5770" w:rsidP="009D5770">
      <w:pPr>
        <w:pStyle w:val="ListParagraph"/>
        <w:rPr>
          <w:rFonts w:asciiTheme="majorHAnsi" w:eastAsia="Calibri" w:hAnsiTheme="majorHAnsi"/>
          <w:sz w:val="20"/>
          <w:szCs w:val="20"/>
          <w:lang w:val="es-VE"/>
        </w:rPr>
      </w:pPr>
    </w:p>
    <w:p w:rsidR="00847E88" w:rsidRPr="00B56CF7" w:rsidRDefault="00847E88" w:rsidP="00847E8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Agregó que el Estado incumplió con su deber de debida diligencia por la falta de investigación y sanción de todos los funcionarios involucrados en la incorporación de pruebas adulteradas en el proceso penal en su contra. Al respecto, señaló l</w:t>
      </w:r>
      <w:r w:rsidR="00C20CA9" w:rsidRPr="00B56CF7">
        <w:rPr>
          <w:rFonts w:asciiTheme="majorHAnsi" w:eastAsia="Calibri" w:hAnsiTheme="majorHAnsi"/>
          <w:sz w:val="20"/>
          <w:szCs w:val="20"/>
          <w:lang w:val="es-VE"/>
        </w:rPr>
        <w:t>os</w:t>
      </w:r>
      <w:r w:rsidRPr="00B56CF7">
        <w:rPr>
          <w:rFonts w:asciiTheme="majorHAnsi" w:eastAsia="Calibri" w:hAnsiTheme="majorHAnsi"/>
          <w:sz w:val="20"/>
          <w:szCs w:val="20"/>
          <w:lang w:val="es-VE"/>
        </w:rPr>
        <w:t xml:space="preserve"> siguientes</w:t>
      </w:r>
      <w:r w:rsidR="00C20CA9" w:rsidRPr="00B56CF7">
        <w:rPr>
          <w:rFonts w:asciiTheme="majorHAnsi" w:eastAsia="Calibri" w:hAnsiTheme="majorHAnsi"/>
          <w:sz w:val="20"/>
          <w:szCs w:val="20"/>
          <w:lang w:val="es-VE"/>
        </w:rPr>
        <w:t xml:space="preserve"> aspectos que calificó como </w:t>
      </w:r>
      <w:r w:rsidR="00150511" w:rsidRPr="00B56CF7">
        <w:rPr>
          <w:rFonts w:asciiTheme="majorHAnsi" w:eastAsia="Calibri" w:hAnsiTheme="majorHAnsi"/>
          <w:sz w:val="20"/>
          <w:szCs w:val="20"/>
          <w:lang w:val="es-VE"/>
        </w:rPr>
        <w:t>“</w:t>
      </w:r>
      <w:r w:rsidRPr="00B56CF7">
        <w:rPr>
          <w:rFonts w:asciiTheme="majorHAnsi" w:eastAsia="Calibri" w:hAnsiTheme="majorHAnsi"/>
          <w:sz w:val="20"/>
          <w:szCs w:val="20"/>
          <w:lang w:val="es-VE"/>
        </w:rPr>
        <w:t>anomalías</w:t>
      </w:r>
      <w:r w:rsidR="00150511" w:rsidRPr="00B56CF7">
        <w:rPr>
          <w:rFonts w:asciiTheme="majorHAnsi" w:eastAsia="Calibri" w:hAnsiTheme="majorHAnsi"/>
          <w:sz w:val="20"/>
          <w:szCs w:val="20"/>
          <w:lang w:val="es-VE"/>
        </w:rPr>
        <w:t>”</w:t>
      </w:r>
      <w:r w:rsidR="00200B39">
        <w:rPr>
          <w:rFonts w:asciiTheme="majorHAnsi" w:eastAsia="Calibri" w:hAnsiTheme="majorHAnsi"/>
          <w:sz w:val="20"/>
          <w:szCs w:val="20"/>
          <w:lang w:val="es-VE"/>
        </w:rPr>
        <w:t xml:space="preserve"> del proceso</w:t>
      </w:r>
      <w:r w:rsidRPr="00B56CF7">
        <w:rPr>
          <w:rFonts w:asciiTheme="majorHAnsi" w:eastAsia="Calibri" w:hAnsiTheme="majorHAnsi"/>
          <w:sz w:val="20"/>
          <w:szCs w:val="20"/>
          <w:lang w:val="es-VE"/>
        </w:rPr>
        <w:t>: i) el principal Salomone de la Policía Federal, quien transcribió el acta pública de fs. 1099</w:t>
      </w:r>
      <w:r w:rsidR="00697A5E" w:rsidRPr="00B56CF7">
        <w:rPr>
          <w:rFonts w:asciiTheme="majorHAnsi" w:eastAsia="Calibri" w:hAnsiTheme="majorHAnsi"/>
          <w:sz w:val="20"/>
          <w:szCs w:val="20"/>
          <w:lang w:val="es-VE"/>
        </w:rPr>
        <w:t>,</w:t>
      </w:r>
      <w:r w:rsidRPr="00B56CF7">
        <w:rPr>
          <w:rFonts w:asciiTheme="majorHAnsi" w:eastAsia="Calibri" w:hAnsiTheme="majorHAnsi"/>
          <w:sz w:val="20"/>
          <w:szCs w:val="20"/>
          <w:lang w:val="es-VE"/>
        </w:rPr>
        <w:t xml:space="preserve"> afirmó que existe una conversación de su persona con el principal imputado</w:t>
      </w:r>
      <w:r w:rsidR="00200B39">
        <w:rPr>
          <w:rFonts w:asciiTheme="majorHAnsi" w:eastAsia="Calibri" w:hAnsiTheme="majorHAnsi"/>
          <w:sz w:val="20"/>
          <w:szCs w:val="20"/>
          <w:lang w:val="es-VE"/>
        </w:rPr>
        <w:t>,</w:t>
      </w:r>
      <w:r w:rsidRPr="00B56CF7">
        <w:rPr>
          <w:rFonts w:asciiTheme="majorHAnsi" w:eastAsia="Calibri" w:hAnsiTheme="majorHAnsi"/>
          <w:sz w:val="20"/>
          <w:szCs w:val="20"/>
          <w:lang w:val="es-VE"/>
        </w:rPr>
        <w:t xml:space="preserve"> que corrobora su participación en operaciones de narcotráfico; ii) el Comisario Jorge Palacios que también firma el acta de fs. 1099 corroboró lo que afirmó el principal Salomone; iii)</w:t>
      </w:r>
      <w:r w:rsidR="00150511" w:rsidRPr="00B56CF7">
        <w:rPr>
          <w:rFonts w:asciiTheme="majorHAnsi" w:eastAsia="Calibri" w:hAnsiTheme="majorHAnsi"/>
          <w:sz w:val="20"/>
          <w:szCs w:val="20"/>
          <w:lang w:val="es-VE"/>
        </w:rPr>
        <w:t xml:space="preserve"> </w:t>
      </w:r>
      <w:r w:rsidRPr="00B56CF7">
        <w:rPr>
          <w:rFonts w:asciiTheme="majorHAnsi" w:eastAsia="Calibri" w:hAnsiTheme="majorHAnsi"/>
          <w:sz w:val="20"/>
          <w:szCs w:val="20"/>
          <w:lang w:val="es-VE"/>
        </w:rPr>
        <w:t xml:space="preserve">los fiscales </w:t>
      </w:r>
      <w:proofErr w:type="spellStart"/>
      <w:r w:rsidRPr="00B56CF7">
        <w:rPr>
          <w:rFonts w:asciiTheme="majorHAnsi" w:eastAsia="Calibri" w:hAnsiTheme="majorHAnsi"/>
          <w:sz w:val="20"/>
          <w:szCs w:val="20"/>
          <w:lang w:val="es-VE"/>
        </w:rPr>
        <w:t>Eamon</w:t>
      </w:r>
      <w:proofErr w:type="spellEnd"/>
      <w:r w:rsidRPr="00B56CF7">
        <w:rPr>
          <w:rFonts w:asciiTheme="majorHAnsi" w:eastAsia="Calibri" w:hAnsiTheme="majorHAnsi"/>
          <w:sz w:val="20"/>
          <w:szCs w:val="20"/>
          <w:lang w:val="es-VE"/>
        </w:rPr>
        <w:t xml:space="preserve"> Mullen y José </w:t>
      </w:r>
      <w:proofErr w:type="spellStart"/>
      <w:r w:rsidRPr="00B56CF7">
        <w:rPr>
          <w:rFonts w:asciiTheme="majorHAnsi" w:eastAsia="Calibri" w:hAnsiTheme="majorHAnsi"/>
          <w:sz w:val="20"/>
          <w:szCs w:val="20"/>
          <w:lang w:val="es-VE"/>
        </w:rPr>
        <w:t>Barbaccia</w:t>
      </w:r>
      <w:proofErr w:type="spellEnd"/>
      <w:r w:rsidRPr="00B56CF7">
        <w:rPr>
          <w:rFonts w:asciiTheme="majorHAnsi" w:eastAsia="Calibri" w:hAnsiTheme="majorHAnsi"/>
          <w:sz w:val="20"/>
          <w:szCs w:val="20"/>
          <w:lang w:val="es-VE"/>
        </w:rPr>
        <w:t xml:space="preserve"> utilizaron esta prueba falsa para negar su excarcelación y solicitar su elevación a juicio; iv) el Juez de Instrucción Juan José Galeano avaló toda esta situación.</w:t>
      </w:r>
    </w:p>
    <w:p w:rsidR="00847E88" w:rsidRPr="00B56CF7" w:rsidRDefault="00847E88" w:rsidP="00847E88">
      <w:pPr>
        <w:rPr>
          <w:rFonts w:asciiTheme="majorHAnsi" w:eastAsia="Calibri" w:hAnsiTheme="majorHAnsi"/>
          <w:sz w:val="20"/>
          <w:szCs w:val="20"/>
          <w:lang w:val="es-VE"/>
        </w:rPr>
      </w:pPr>
    </w:p>
    <w:p w:rsidR="009D5770" w:rsidRPr="00B56CF7" w:rsidRDefault="009D5770" w:rsidP="000A103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 xml:space="preserve">Argumentó </w:t>
      </w:r>
      <w:r w:rsidR="004A70F3" w:rsidRPr="00B56CF7">
        <w:rPr>
          <w:rFonts w:asciiTheme="majorHAnsi" w:eastAsia="Calibri" w:hAnsiTheme="majorHAnsi"/>
          <w:sz w:val="20"/>
          <w:szCs w:val="20"/>
          <w:lang w:val="es-VE"/>
        </w:rPr>
        <w:t xml:space="preserve">que el Estado violó su </w:t>
      </w:r>
      <w:r w:rsidR="004A70F3" w:rsidRPr="00B56CF7">
        <w:rPr>
          <w:rFonts w:asciiTheme="majorHAnsi" w:eastAsia="Calibri" w:hAnsiTheme="majorHAnsi"/>
          <w:b/>
          <w:sz w:val="20"/>
          <w:szCs w:val="20"/>
          <w:lang w:val="es-VE"/>
        </w:rPr>
        <w:t>derecho de igualdad ante la ley</w:t>
      </w:r>
      <w:r w:rsidR="00945A2C" w:rsidRPr="00B56CF7">
        <w:rPr>
          <w:rFonts w:asciiTheme="majorHAnsi" w:eastAsia="Calibri" w:hAnsiTheme="majorHAnsi"/>
          <w:sz w:val="20"/>
          <w:szCs w:val="20"/>
          <w:lang w:val="es-VE"/>
        </w:rPr>
        <w:t xml:space="preserve"> porque el artículo 10 de la ley 24.390 niega el beneficio de excarcelación previsto en el artículo 1 de la misma ley a las pe</w:t>
      </w:r>
      <w:r w:rsidR="005E730B">
        <w:rPr>
          <w:rFonts w:asciiTheme="majorHAnsi" w:eastAsia="Calibri" w:hAnsiTheme="majorHAnsi"/>
          <w:sz w:val="20"/>
          <w:szCs w:val="20"/>
          <w:lang w:val="es-VE"/>
        </w:rPr>
        <w:t xml:space="preserve">rsonas acusadas de narcotráfico. Indicó que este artículo le impidió acceder a salvaguardas que aplican a otras personas. </w:t>
      </w:r>
    </w:p>
    <w:p w:rsidR="009D5770" w:rsidRPr="00B56CF7" w:rsidRDefault="009D5770" w:rsidP="009D5770">
      <w:pPr>
        <w:pStyle w:val="ListParagraph"/>
        <w:rPr>
          <w:rFonts w:asciiTheme="majorHAnsi" w:eastAsia="Calibri" w:hAnsiTheme="majorHAnsi"/>
          <w:sz w:val="20"/>
          <w:szCs w:val="20"/>
          <w:lang w:val="es-VE"/>
        </w:rPr>
      </w:pPr>
    </w:p>
    <w:p w:rsidR="00925733" w:rsidRPr="00B56CF7" w:rsidRDefault="0072111C" w:rsidP="000A103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A</w:t>
      </w:r>
      <w:r w:rsidR="00FD0576" w:rsidRPr="00B56CF7">
        <w:rPr>
          <w:rFonts w:asciiTheme="majorHAnsi" w:eastAsia="Calibri" w:hAnsiTheme="majorHAnsi"/>
          <w:sz w:val="20"/>
          <w:szCs w:val="20"/>
          <w:lang w:val="es-VE"/>
        </w:rPr>
        <w:t>gregó</w:t>
      </w:r>
      <w:r w:rsidRPr="00B56CF7">
        <w:rPr>
          <w:rFonts w:asciiTheme="majorHAnsi" w:eastAsia="Calibri" w:hAnsiTheme="majorHAnsi"/>
          <w:sz w:val="20"/>
          <w:szCs w:val="20"/>
          <w:lang w:val="es-VE"/>
        </w:rPr>
        <w:t xml:space="preserve"> que también se violó el </w:t>
      </w:r>
      <w:r w:rsidRPr="00B56CF7">
        <w:rPr>
          <w:rFonts w:asciiTheme="majorHAnsi" w:eastAsia="Calibri" w:hAnsiTheme="majorHAnsi"/>
          <w:b/>
          <w:sz w:val="20"/>
          <w:szCs w:val="20"/>
          <w:lang w:val="es-VE"/>
        </w:rPr>
        <w:t>derecho a la protección judicial</w:t>
      </w:r>
      <w:r w:rsidRPr="00B56CF7">
        <w:rPr>
          <w:rFonts w:asciiTheme="majorHAnsi" w:eastAsia="Calibri" w:hAnsiTheme="majorHAnsi"/>
          <w:sz w:val="20"/>
          <w:szCs w:val="20"/>
          <w:lang w:val="es-VE"/>
        </w:rPr>
        <w:t xml:space="preserve"> contenido en el artículo 25 de la Convención Americana porque </w:t>
      </w:r>
      <w:r w:rsidR="00C12104" w:rsidRPr="00B56CF7">
        <w:rPr>
          <w:rFonts w:asciiTheme="majorHAnsi" w:eastAsia="Calibri" w:hAnsiTheme="majorHAnsi"/>
          <w:sz w:val="20"/>
          <w:szCs w:val="20"/>
          <w:lang w:val="es-VE"/>
        </w:rPr>
        <w:t>el peticionario no contó con un recurso efectivo para ampararse contra actos que violen sus derechos fundamentales. En particular, su solicitud de beneficio de excarcelación y recurso de inconstitucionalidad fueron declarados sin lugar. Además,</w:t>
      </w:r>
      <w:r w:rsidR="00FD0576" w:rsidRPr="00B56CF7">
        <w:rPr>
          <w:rFonts w:asciiTheme="majorHAnsi" w:eastAsia="Calibri" w:hAnsiTheme="majorHAnsi"/>
          <w:sz w:val="20"/>
          <w:szCs w:val="20"/>
          <w:lang w:val="es-VE"/>
        </w:rPr>
        <w:t xml:space="preserve"> indicó</w:t>
      </w:r>
      <w:r w:rsidR="00C12104" w:rsidRPr="00B56CF7">
        <w:rPr>
          <w:rFonts w:asciiTheme="majorHAnsi" w:eastAsia="Calibri" w:hAnsiTheme="majorHAnsi"/>
          <w:sz w:val="20"/>
          <w:szCs w:val="20"/>
          <w:lang w:val="es-VE"/>
        </w:rPr>
        <w:t xml:space="preserve"> que presentó otra solicitud para ejercer la defensa del debate del juicio sin estar privado de libertad, sin embargo el Tribunal Oral</w:t>
      </w:r>
      <w:r w:rsidR="000640B9" w:rsidRPr="00B56CF7">
        <w:rPr>
          <w:rFonts w:asciiTheme="majorHAnsi" w:eastAsia="Calibri" w:hAnsiTheme="majorHAnsi"/>
          <w:sz w:val="20"/>
          <w:szCs w:val="20"/>
          <w:lang w:val="es-VE"/>
        </w:rPr>
        <w:t xml:space="preserve"> nunca resolvió dicho recurso. </w:t>
      </w:r>
    </w:p>
    <w:p w:rsidR="00F94F45" w:rsidRPr="00B56CF7" w:rsidRDefault="00F94F45" w:rsidP="00BB336D">
      <w:pPr>
        <w:rPr>
          <w:rFonts w:asciiTheme="majorHAnsi" w:eastAsia="Calibri" w:hAnsiTheme="majorHAnsi"/>
          <w:sz w:val="20"/>
          <w:szCs w:val="20"/>
          <w:lang w:val="es-VE"/>
        </w:rPr>
      </w:pPr>
    </w:p>
    <w:p w:rsidR="0035634C" w:rsidRDefault="00F94F45" w:rsidP="0035634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Indicó</w:t>
      </w:r>
      <w:r w:rsidR="00FC721A" w:rsidRPr="00B56CF7">
        <w:rPr>
          <w:rFonts w:asciiTheme="majorHAnsi" w:eastAsia="Calibri" w:hAnsiTheme="majorHAnsi"/>
          <w:sz w:val="20"/>
          <w:szCs w:val="20"/>
          <w:lang w:val="es-VE"/>
        </w:rPr>
        <w:t xml:space="preserve"> que el 25 de septiembre de 1997 se agotaron sin éxito los recursos disponibles para lograr el beneficio de excarcelación previsto </w:t>
      </w:r>
      <w:r w:rsidR="00794BE2" w:rsidRPr="00B56CF7">
        <w:rPr>
          <w:rFonts w:asciiTheme="majorHAnsi" w:eastAsia="Calibri" w:hAnsiTheme="majorHAnsi"/>
          <w:sz w:val="20"/>
          <w:szCs w:val="20"/>
          <w:lang w:val="es-VE"/>
        </w:rPr>
        <w:t>en</w:t>
      </w:r>
      <w:r w:rsidR="00FC721A" w:rsidRPr="00B56CF7">
        <w:rPr>
          <w:rFonts w:asciiTheme="majorHAnsi" w:eastAsia="Calibri" w:hAnsiTheme="majorHAnsi"/>
          <w:sz w:val="20"/>
          <w:szCs w:val="20"/>
          <w:lang w:val="es-VE"/>
        </w:rPr>
        <w:t xml:space="preserve"> el artículo 1 de la ley 24.390 y la declaratoria de inconstitucionalidad del artículo 10 de dicha norma. </w:t>
      </w:r>
    </w:p>
    <w:p w:rsidR="00A47809" w:rsidRDefault="00A47809" w:rsidP="00A47809">
      <w:pPr>
        <w:pStyle w:val="ListParagraph"/>
        <w:rPr>
          <w:rFonts w:asciiTheme="majorHAnsi" w:eastAsia="Calibri" w:hAnsiTheme="majorHAnsi"/>
          <w:sz w:val="20"/>
          <w:szCs w:val="20"/>
          <w:lang w:val="es-VE"/>
        </w:rPr>
      </w:pPr>
    </w:p>
    <w:p w:rsidR="00A47809" w:rsidRPr="00B56CF7" w:rsidRDefault="00A47809" w:rsidP="0035634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Pr>
          <w:rFonts w:asciiTheme="majorHAnsi" w:eastAsia="Calibri" w:hAnsiTheme="majorHAnsi"/>
          <w:sz w:val="20"/>
          <w:szCs w:val="20"/>
          <w:lang w:val="es-VE"/>
        </w:rPr>
        <w:t xml:space="preserve">Finalmente, a lo largo del trámite el peticionario ha venido haciendo referencia al impacto de las violaciones alegadas en su vida personal, familiar y profesional. </w:t>
      </w:r>
    </w:p>
    <w:p w:rsidR="006D6521" w:rsidRPr="00B56CF7" w:rsidRDefault="006D6521" w:rsidP="006D652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rsidR="00E40449" w:rsidRPr="00B56CF7" w:rsidRDefault="00E40449" w:rsidP="005E081B">
      <w:pPr>
        <w:pStyle w:val="Heading2"/>
        <w:numPr>
          <w:ilvl w:val="0"/>
          <w:numId w:val="59"/>
        </w:numPr>
      </w:pPr>
      <w:bookmarkStart w:id="28" w:name="_Toc370840747"/>
      <w:bookmarkStart w:id="29" w:name="_Toc370840843"/>
      <w:bookmarkStart w:id="30" w:name="_Toc423514409"/>
      <w:bookmarkStart w:id="31" w:name="_Toc433115985"/>
      <w:bookmarkStart w:id="32" w:name="_Toc444958128"/>
      <w:bookmarkStart w:id="33" w:name="_Toc467577909"/>
      <w:bookmarkStart w:id="34" w:name="_Toc469409080"/>
      <w:r w:rsidRPr="00B56CF7">
        <w:t>Posición del Estado</w:t>
      </w:r>
      <w:bookmarkEnd w:id="28"/>
      <w:bookmarkEnd w:id="29"/>
      <w:bookmarkEnd w:id="30"/>
      <w:bookmarkEnd w:id="31"/>
      <w:bookmarkEnd w:id="32"/>
      <w:bookmarkEnd w:id="33"/>
      <w:bookmarkEnd w:id="34"/>
    </w:p>
    <w:p w:rsidR="0044096C" w:rsidRPr="00B56CF7" w:rsidRDefault="0044096C" w:rsidP="00BE253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rsidR="0044096C" w:rsidRPr="00B56CF7" w:rsidRDefault="0044096C" w:rsidP="00AB119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En cuanto a los hechos del caso</w:t>
      </w:r>
      <w:r w:rsidR="00DB22F3" w:rsidRPr="00B56CF7">
        <w:rPr>
          <w:rFonts w:asciiTheme="majorHAnsi" w:eastAsia="Calibri" w:hAnsiTheme="majorHAnsi"/>
          <w:sz w:val="20"/>
          <w:szCs w:val="20"/>
          <w:lang w:val="es-VE"/>
        </w:rPr>
        <w:t>, el Estado</w:t>
      </w:r>
      <w:r w:rsidRPr="00B56CF7">
        <w:rPr>
          <w:rFonts w:asciiTheme="majorHAnsi" w:eastAsia="Calibri" w:hAnsiTheme="majorHAnsi"/>
          <w:sz w:val="20"/>
          <w:szCs w:val="20"/>
          <w:lang w:val="es-VE"/>
        </w:rPr>
        <w:t xml:space="preserve"> manifestó que en junio de 1994 se produjo un allanamiento en la ciudad de Mar del Plata en virtud de </w:t>
      </w:r>
      <w:r w:rsidR="00847E88" w:rsidRPr="00B56CF7">
        <w:rPr>
          <w:rFonts w:asciiTheme="majorHAnsi" w:eastAsia="Calibri" w:hAnsiTheme="majorHAnsi"/>
          <w:sz w:val="20"/>
          <w:szCs w:val="20"/>
          <w:lang w:val="es-VE"/>
        </w:rPr>
        <w:t xml:space="preserve">la </w:t>
      </w:r>
      <w:r w:rsidRPr="00B56CF7">
        <w:rPr>
          <w:rFonts w:asciiTheme="majorHAnsi" w:eastAsia="Calibri" w:hAnsiTheme="majorHAnsi"/>
          <w:sz w:val="20"/>
          <w:szCs w:val="20"/>
          <w:lang w:val="es-VE"/>
        </w:rPr>
        <w:t>orden dictada por el Juez Federal No. 9, Juan José Galeano, el cual resultó en la detención de</w:t>
      </w:r>
      <w:r w:rsidR="00847E88" w:rsidRPr="00B56CF7">
        <w:rPr>
          <w:rFonts w:asciiTheme="majorHAnsi" w:eastAsia="Calibri" w:hAnsiTheme="majorHAnsi"/>
          <w:sz w:val="20"/>
          <w:szCs w:val="20"/>
          <w:lang w:val="es-VE"/>
        </w:rPr>
        <w:t xml:space="preserve"> Gabriel Oscar Jenkins,</w:t>
      </w:r>
      <w:r w:rsidRPr="00B56CF7">
        <w:rPr>
          <w:rFonts w:asciiTheme="majorHAnsi" w:eastAsia="Calibri" w:hAnsiTheme="majorHAnsi"/>
          <w:sz w:val="20"/>
          <w:szCs w:val="20"/>
          <w:lang w:val="es-VE"/>
        </w:rPr>
        <w:t xml:space="preserve"> en el marco de la causa “Padilla Echeverry y otros” seguida por el Tribunal Oral en lo Criminal Federal No. 6. </w:t>
      </w:r>
    </w:p>
    <w:p w:rsidR="0044096C" w:rsidRPr="00B56CF7" w:rsidRDefault="0044096C" w:rsidP="00F94442">
      <w:pPr>
        <w:rPr>
          <w:rFonts w:asciiTheme="majorHAnsi" w:eastAsia="Calibri" w:hAnsiTheme="majorHAnsi"/>
          <w:sz w:val="20"/>
          <w:szCs w:val="20"/>
          <w:lang w:val="es-VE"/>
        </w:rPr>
      </w:pPr>
    </w:p>
    <w:p w:rsidR="00F94442" w:rsidRPr="00B56CF7" w:rsidRDefault="00F62C58" w:rsidP="00F9444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Indicó que d</w:t>
      </w:r>
      <w:r w:rsidR="0044096C" w:rsidRPr="00B56CF7">
        <w:rPr>
          <w:rFonts w:asciiTheme="majorHAnsi" w:eastAsia="Calibri" w:hAnsiTheme="majorHAnsi"/>
          <w:sz w:val="20"/>
          <w:szCs w:val="20"/>
          <w:lang w:val="es-VE"/>
        </w:rPr>
        <w:t xml:space="preserve">urante su detención el peticionario solicitó acogerse al beneficio de excarcelación establecido en </w:t>
      </w:r>
      <w:r w:rsidR="00291690" w:rsidRPr="00B56CF7">
        <w:rPr>
          <w:rFonts w:asciiTheme="majorHAnsi" w:eastAsia="Calibri" w:hAnsiTheme="majorHAnsi"/>
          <w:sz w:val="20"/>
          <w:szCs w:val="20"/>
          <w:lang w:val="es-VE"/>
        </w:rPr>
        <w:t>el artículo 1 de la ley 24.390</w:t>
      </w:r>
      <w:r w:rsidR="003F4E60" w:rsidRPr="00B56CF7">
        <w:rPr>
          <w:rFonts w:asciiTheme="majorHAnsi" w:eastAsia="Calibri" w:hAnsiTheme="majorHAnsi"/>
          <w:sz w:val="20"/>
          <w:szCs w:val="20"/>
          <w:lang w:val="es-VE"/>
        </w:rPr>
        <w:t>,</w:t>
      </w:r>
      <w:r w:rsidR="00291690" w:rsidRPr="00B56CF7">
        <w:rPr>
          <w:rFonts w:asciiTheme="majorHAnsi" w:eastAsia="Calibri" w:hAnsiTheme="majorHAnsi"/>
          <w:sz w:val="20"/>
          <w:szCs w:val="20"/>
          <w:lang w:val="es-VE"/>
        </w:rPr>
        <w:t xml:space="preserve"> </w:t>
      </w:r>
      <w:r w:rsidR="0044096C" w:rsidRPr="00B56CF7">
        <w:rPr>
          <w:rFonts w:asciiTheme="majorHAnsi" w:eastAsia="Calibri" w:hAnsiTheme="majorHAnsi"/>
          <w:sz w:val="20"/>
          <w:szCs w:val="20"/>
          <w:lang w:val="es-VE"/>
        </w:rPr>
        <w:t>el cual fue denegado por el Tribunal Oral Federal conforme a lo dispuesto por el artículo 1</w:t>
      </w:r>
      <w:r w:rsidR="003F4E60" w:rsidRPr="00B56CF7">
        <w:rPr>
          <w:rFonts w:asciiTheme="majorHAnsi" w:eastAsia="Calibri" w:hAnsiTheme="majorHAnsi"/>
          <w:sz w:val="20"/>
          <w:szCs w:val="20"/>
          <w:lang w:val="es-VE"/>
        </w:rPr>
        <w:t>0</w:t>
      </w:r>
      <w:r w:rsidR="0044096C" w:rsidRPr="00B56CF7">
        <w:rPr>
          <w:rFonts w:asciiTheme="majorHAnsi" w:eastAsia="Calibri" w:hAnsiTheme="majorHAnsi"/>
          <w:sz w:val="20"/>
          <w:szCs w:val="20"/>
          <w:lang w:val="es-VE"/>
        </w:rPr>
        <w:t xml:space="preserve"> de dicha ley, que niega dicho beneficio a las personas acusadas bajo la ley 23.737 (tenencia y</w:t>
      </w:r>
      <w:r w:rsidR="00F94442" w:rsidRPr="00B56CF7">
        <w:rPr>
          <w:rFonts w:asciiTheme="majorHAnsi" w:eastAsia="Calibri" w:hAnsiTheme="majorHAnsi"/>
          <w:sz w:val="20"/>
          <w:szCs w:val="20"/>
          <w:lang w:val="es-VE"/>
        </w:rPr>
        <w:t xml:space="preserve"> tráfico de estupefacientes). </w:t>
      </w:r>
      <w:r w:rsidR="0044096C" w:rsidRPr="00B56CF7">
        <w:rPr>
          <w:rFonts w:asciiTheme="majorHAnsi" w:eastAsia="Calibri" w:hAnsiTheme="majorHAnsi"/>
          <w:sz w:val="20"/>
          <w:szCs w:val="20"/>
          <w:lang w:val="es-VE"/>
        </w:rPr>
        <w:t>Agregó que dicha decisión fue impugnada por el peticionario ante la Cámara Nacional de Casación Penal, la c</w:t>
      </w:r>
      <w:r w:rsidR="00035642" w:rsidRPr="00B56CF7">
        <w:rPr>
          <w:rFonts w:asciiTheme="majorHAnsi" w:eastAsia="Calibri" w:hAnsiTheme="majorHAnsi"/>
          <w:sz w:val="20"/>
          <w:szCs w:val="20"/>
          <w:lang w:val="es-VE"/>
        </w:rPr>
        <w:t>ual ratificó la resolución de primera instancia</w:t>
      </w:r>
      <w:r w:rsidR="002260D4" w:rsidRPr="00B56CF7">
        <w:rPr>
          <w:rFonts w:asciiTheme="majorHAnsi" w:eastAsia="Calibri" w:hAnsiTheme="majorHAnsi"/>
          <w:sz w:val="20"/>
          <w:szCs w:val="20"/>
          <w:lang w:val="es-VE"/>
        </w:rPr>
        <w:t xml:space="preserve">, por lo que </w:t>
      </w:r>
      <w:r w:rsidR="00035642" w:rsidRPr="00B56CF7">
        <w:rPr>
          <w:rFonts w:asciiTheme="majorHAnsi" w:eastAsia="Calibri" w:hAnsiTheme="majorHAnsi"/>
          <w:sz w:val="20"/>
          <w:szCs w:val="20"/>
          <w:lang w:val="es-VE"/>
        </w:rPr>
        <w:t>finalmente acudió a la Corte Suprema de Justicia de la Nación que desestimó la pretensión del peticionario en diciembre de 1997.</w:t>
      </w:r>
    </w:p>
    <w:p w:rsidR="00527E01" w:rsidRPr="00B56CF7" w:rsidRDefault="00527E01" w:rsidP="00527E0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rsidR="00C72302" w:rsidRPr="00B56CF7" w:rsidRDefault="00F62C58" w:rsidP="00C7230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Agregó</w:t>
      </w:r>
      <w:r w:rsidR="00F94442" w:rsidRPr="00B56CF7">
        <w:rPr>
          <w:rFonts w:asciiTheme="majorHAnsi" w:eastAsia="Calibri" w:hAnsiTheme="majorHAnsi"/>
          <w:sz w:val="20"/>
          <w:szCs w:val="20"/>
          <w:lang w:val="es-VE"/>
        </w:rPr>
        <w:t xml:space="preserve"> que </w:t>
      </w:r>
      <w:r w:rsidR="00C72302" w:rsidRPr="00B56CF7">
        <w:rPr>
          <w:rFonts w:asciiTheme="majorHAnsi" w:eastAsia="Calibri" w:hAnsiTheme="majorHAnsi"/>
          <w:sz w:val="20"/>
          <w:szCs w:val="20"/>
          <w:lang w:val="es-VE"/>
        </w:rPr>
        <w:t>por resolución de 13 de noviembre de 1997</w:t>
      </w:r>
      <w:r w:rsidR="00FB43C8">
        <w:rPr>
          <w:rFonts w:asciiTheme="majorHAnsi" w:eastAsia="Calibri" w:hAnsiTheme="majorHAnsi"/>
          <w:sz w:val="20"/>
          <w:szCs w:val="20"/>
          <w:lang w:val="es-VE"/>
        </w:rPr>
        <w:t>,</w:t>
      </w:r>
      <w:r w:rsidR="00C72302" w:rsidRPr="00B56CF7">
        <w:rPr>
          <w:rFonts w:asciiTheme="majorHAnsi" w:eastAsia="Calibri" w:hAnsiTheme="majorHAnsi"/>
          <w:sz w:val="20"/>
          <w:szCs w:val="20"/>
          <w:lang w:val="es-VE"/>
        </w:rPr>
        <w:t xml:space="preserve"> el Tribunal Oral Federal ordenó la libertad de la presunta víctima</w:t>
      </w:r>
      <w:r w:rsidR="00FB43C8">
        <w:rPr>
          <w:rFonts w:asciiTheme="majorHAnsi" w:eastAsia="Calibri" w:hAnsiTheme="majorHAnsi"/>
          <w:sz w:val="20"/>
          <w:szCs w:val="20"/>
          <w:lang w:val="es-VE"/>
        </w:rPr>
        <w:t>,</w:t>
      </w:r>
      <w:r w:rsidR="00C72302" w:rsidRPr="00B56CF7">
        <w:rPr>
          <w:rFonts w:asciiTheme="majorHAnsi" w:eastAsia="Calibri" w:hAnsiTheme="majorHAnsi"/>
          <w:sz w:val="20"/>
          <w:szCs w:val="20"/>
          <w:lang w:val="es-VE"/>
        </w:rPr>
        <w:t xml:space="preserve"> al constatar la falsedad ideológica de ciertas constancias probatorias que obraban en su contra y que</w:t>
      </w:r>
      <w:r w:rsidR="00582AE1" w:rsidRPr="00B56CF7">
        <w:rPr>
          <w:rFonts w:asciiTheme="majorHAnsi" w:eastAsia="Calibri" w:hAnsiTheme="majorHAnsi"/>
          <w:sz w:val="20"/>
          <w:szCs w:val="20"/>
          <w:lang w:val="es-VE"/>
        </w:rPr>
        <w:t>,</w:t>
      </w:r>
      <w:r w:rsidR="00C72302" w:rsidRPr="00B56CF7">
        <w:rPr>
          <w:rFonts w:asciiTheme="majorHAnsi" w:eastAsia="Calibri" w:hAnsiTheme="majorHAnsi"/>
          <w:sz w:val="20"/>
          <w:szCs w:val="20"/>
          <w:lang w:val="es-VE"/>
        </w:rPr>
        <w:t xml:space="preserve"> el 23 de diciembre de 1997</w:t>
      </w:r>
      <w:r w:rsidR="00582AE1" w:rsidRPr="00B56CF7">
        <w:rPr>
          <w:rFonts w:asciiTheme="majorHAnsi" w:eastAsia="Calibri" w:hAnsiTheme="majorHAnsi"/>
          <w:sz w:val="20"/>
          <w:szCs w:val="20"/>
          <w:lang w:val="es-VE"/>
        </w:rPr>
        <w:t>,</w:t>
      </w:r>
      <w:r w:rsidR="00C72302" w:rsidRPr="00B56CF7">
        <w:rPr>
          <w:rFonts w:asciiTheme="majorHAnsi" w:eastAsia="Calibri" w:hAnsiTheme="majorHAnsi"/>
          <w:sz w:val="20"/>
          <w:szCs w:val="20"/>
          <w:lang w:val="es-VE"/>
        </w:rPr>
        <w:t xml:space="preserve"> dictó sentencia</w:t>
      </w:r>
      <w:r w:rsidR="00F94442" w:rsidRPr="00B56CF7">
        <w:rPr>
          <w:rFonts w:asciiTheme="majorHAnsi" w:eastAsia="Calibri" w:hAnsiTheme="majorHAnsi"/>
          <w:sz w:val="20"/>
          <w:szCs w:val="20"/>
          <w:lang w:val="es-VE"/>
        </w:rPr>
        <w:t xml:space="preserve"> absolviendo a </w:t>
      </w:r>
      <w:r w:rsidR="00C97979" w:rsidRPr="00B56CF7">
        <w:rPr>
          <w:rFonts w:asciiTheme="majorHAnsi" w:eastAsia="Calibri" w:hAnsiTheme="majorHAnsi"/>
          <w:sz w:val="20"/>
          <w:szCs w:val="20"/>
          <w:lang w:val="es-VE"/>
        </w:rPr>
        <w:t>la presunta víctima</w:t>
      </w:r>
      <w:r w:rsidR="00F94442" w:rsidRPr="00B56CF7">
        <w:rPr>
          <w:rFonts w:asciiTheme="majorHAnsi" w:eastAsia="Calibri" w:hAnsiTheme="majorHAnsi"/>
          <w:sz w:val="20"/>
          <w:szCs w:val="20"/>
          <w:lang w:val="es-VE"/>
        </w:rPr>
        <w:t xml:space="preserve"> por no haberse producido acusación fiscal </w:t>
      </w:r>
      <w:r w:rsidR="00C72302" w:rsidRPr="00B56CF7">
        <w:rPr>
          <w:rFonts w:asciiTheme="majorHAnsi" w:eastAsia="Calibri" w:hAnsiTheme="majorHAnsi"/>
          <w:sz w:val="20"/>
          <w:szCs w:val="20"/>
          <w:lang w:val="es-VE"/>
        </w:rPr>
        <w:t>en su contra</w:t>
      </w:r>
      <w:r w:rsidR="00702EFA" w:rsidRPr="00B56CF7">
        <w:rPr>
          <w:rFonts w:asciiTheme="majorHAnsi" w:eastAsia="Calibri" w:hAnsiTheme="majorHAnsi"/>
          <w:sz w:val="20"/>
          <w:szCs w:val="20"/>
          <w:lang w:val="es-VE"/>
        </w:rPr>
        <w:t xml:space="preserve">. Señaló que en la misma sentencia se </w:t>
      </w:r>
      <w:r w:rsidR="00F94442" w:rsidRPr="00B56CF7">
        <w:rPr>
          <w:rFonts w:asciiTheme="majorHAnsi" w:eastAsia="Calibri" w:hAnsiTheme="majorHAnsi"/>
          <w:sz w:val="20"/>
          <w:szCs w:val="20"/>
          <w:lang w:val="es-VE"/>
        </w:rPr>
        <w:t xml:space="preserve">ordenó investigar la prueba </w:t>
      </w:r>
      <w:r w:rsidR="00C72302" w:rsidRPr="00B56CF7">
        <w:rPr>
          <w:rFonts w:asciiTheme="majorHAnsi" w:eastAsia="Calibri" w:hAnsiTheme="majorHAnsi"/>
          <w:sz w:val="20"/>
          <w:szCs w:val="20"/>
          <w:lang w:val="es-VE"/>
        </w:rPr>
        <w:t xml:space="preserve">telefónica y su transcripción, </w:t>
      </w:r>
      <w:r w:rsidR="00F94442" w:rsidRPr="00B56CF7">
        <w:rPr>
          <w:rFonts w:asciiTheme="majorHAnsi" w:eastAsia="Calibri" w:hAnsiTheme="majorHAnsi"/>
          <w:sz w:val="20"/>
          <w:szCs w:val="20"/>
          <w:lang w:val="es-VE"/>
        </w:rPr>
        <w:t>utilizada</w:t>
      </w:r>
      <w:r w:rsidR="00C72302" w:rsidRPr="00B56CF7">
        <w:rPr>
          <w:rFonts w:asciiTheme="majorHAnsi" w:eastAsia="Calibri" w:hAnsiTheme="majorHAnsi"/>
          <w:sz w:val="20"/>
          <w:szCs w:val="20"/>
          <w:lang w:val="es-VE"/>
        </w:rPr>
        <w:t>s</w:t>
      </w:r>
      <w:r w:rsidR="00F94442" w:rsidRPr="00B56CF7">
        <w:rPr>
          <w:rFonts w:asciiTheme="majorHAnsi" w:eastAsia="Calibri" w:hAnsiTheme="majorHAnsi"/>
          <w:sz w:val="20"/>
          <w:szCs w:val="20"/>
          <w:lang w:val="es-VE"/>
        </w:rPr>
        <w:t xml:space="preserve"> como elemento de cargo por los fiscales de instrucción Mullen y </w:t>
      </w:r>
      <w:proofErr w:type="spellStart"/>
      <w:r w:rsidR="00F94442" w:rsidRPr="00B56CF7">
        <w:rPr>
          <w:rFonts w:asciiTheme="majorHAnsi" w:eastAsia="Calibri" w:hAnsiTheme="majorHAnsi"/>
          <w:sz w:val="20"/>
          <w:szCs w:val="20"/>
          <w:lang w:val="es-VE"/>
        </w:rPr>
        <w:t>Barbaccia</w:t>
      </w:r>
      <w:proofErr w:type="spellEnd"/>
      <w:r w:rsidR="00F94442" w:rsidRPr="00B56CF7">
        <w:rPr>
          <w:rFonts w:asciiTheme="majorHAnsi" w:eastAsia="Calibri" w:hAnsiTheme="majorHAnsi"/>
          <w:sz w:val="20"/>
          <w:szCs w:val="20"/>
          <w:lang w:val="es-VE"/>
        </w:rPr>
        <w:t xml:space="preserve"> para formular solicitud de elevación a juicio del peticionario. </w:t>
      </w:r>
    </w:p>
    <w:p w:rsidR="0065540B" w:rsidRPr="00B56CF7" w:rsidRDefault="0065540B" w:rsidP="00D812CF">
      <w:pPr>
        <w:rPr>
          <w:rFonts w:asciiTheme="majorHAnsi" w:eastAsia="Calibri" w:hAnsiTheme="majorHAnsi"/>
          <w:sz w:val="20"/>
          <w:szCs w:val="20"/>
          <w:lang w:val="es-VE"/>
        </w:rPr>
      </w:pPr>
    </w:p>
    <w:p w:rsidR="00F94442" w:rsidRPr="00B56CF7" w:rsidRDefault="00F94442" w:rsidP="009F552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Agregó que en virtud de ello se iniciaron sendas investigaciones administrativa y penal ante la Procuraci</w:t>
      </w:r>
      <w:r w:rsidR="00C72302" w:rsidRPr="00B56CF7">
        <w:rPr>
          <w:rFonts w:asciiTheme="majorHAnsi" w:eastAsia="Calibri" w:hAnsiTheme="majorHAnsi"/>
          <w:sz w:val="20"/>
          <w:szCs w:val="20"/>
          <w:lang w:val="es-VE"/>
        </w:rPr>
        <w:t>ón</w:t>
      </w:r>
      <w:r w:rsidRPr="00B56CF7">
        <w:rPr>
          <w:rFonts w:asciiTheme="majorHAnsi" w:eastAsia="Calibri" w:hAnsiTheme="majorHAnsi"/>
          <w:sz w:val="20"/>
          <w:szCs w:val="20"/>
          <w:lang w:val="es-VE"/>
        </w:rPr>
        <w:t xml:space="preserve"> General de la Nación y </w:t>
      </w:r>
      <w:r w:rsidR="005032BD" w:rsidRPr="00B56CF7">
        <w:rPr>
          <w:rFonts w:asciiTheme="majorHAnsi" w:eastAsia="Calibri" w:hAnsiTheme="majorHAnsi"/>
          <w:sz w:val="20"/>
          <w:szCs w:val="20"/>
          <w:lang w:val="es-VE"/>
        </w:rPr>
        <w:t xml:space="preserve">ante </w:t>
      </w:r>
      <w:r w:rsidRPr="00B56CF7">
        <w:rPr>
          <w:rFonts w:asciiTheme="majorHAnsi" w:eastAsia="Calibri" w:hAnsiTheme="majorHAnsi"/>
          <w:sz w:val="20"/>
          <w:szCs w:val="20"/>
          <w:lang w:val="es-VE"/>
        </w:rPr>
        <w:t xml:space="preserve">un juzgado criminal respectivamente. </w:t>
      </w:r>
    </w:p>
    <w:p w:rsidR="00F94442" w:rsidRPr="00B56CF7" w:rsidRDefault="00F94442" w:rsidP="00F94442">
      <w:pPr>
        <w:pStyle w:val="ListParagraph"/>
        <w:rPr>
          <w:rFonts w:asciiTheme="majorHAnsi" w:eastAsia="Calibri" w:hAnsiTheme="majorHAnsi"/>
          <w:sz w:val="20"/>
          <w:szCs w:val="20"/>
          <w:lang w:val="es-VE"/>
        </w:rPr>
      </w:pPr>
    </w:p>
    <w:p w:rsidR="002A2373" w:rsidRPr="00B56CF7" w:rsidRDefault="00F94442" w:rsidP="00F9444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Con respecto a la investigación administrativa</w:t>
      </w:r>
      <w:r w:rsidR="00FB43C8">
        <w:rPr>
          <w:rFonts w:asciiTheme="majorHAnsi" w:eastAsia="Calibri" w:hAnsiTheme="majorHAnsi"/>
          <w:sz w:val="20"/>
          <w:szCs w:val="20"/>
          <w:lang w:val="es-VE"/>
        </w:rPr>
        <w:t>,</w:t>
      </w:r>
      <w:r w:rsidRPr="00B56CF7">
        <w:rPr>
          <w:rFonts w:asciiTheme="majorHAnsi" w:eastAsia="Calibri" w:hAnsiTheme="majorHAnsi"/>
          <w:sz w:val="20"/>
          <w:szCs w:val="20"/>
          <w:lang w:val="es-VE"/>
        </w:rPr>
        <w:t xml:space="preserve"> </w:t>
      </w:r>
      <w:r w:rsidR="00D811FC" w:rsidRPr="00B56CF7">
        <w:rPr>
          <w:rFonts w:asciiTheme="majorHAnsi" w:eastAsia="Calibri" w:hAnsiTheme="majorHAnsi"/>
          <w:sz w:val="20"/>
          <w:szCs w:val="20"/>
          <w:lang w:val="es-VE"/>
        </w:rPr>
        <w:t xml:space="preserve">el Estado </w:t>
      </w:r>
      <w:r w:rsidRPr="00B56CF7">
        <w:rPr>
          <w:rFonts w:asciiTheme="majorHAnsi" w:eastAsia="Calibri" w:hAnsiTheme="majorHAnsi"/>
          <w:sz w:val="20"/>
          <w:szCs w:val="20"/>
          <w:lang w:val="es-VE"/>
        </w:rPr>
        <w:t xml:space="preserve">indicó que la </w:t>
      </w:r>
      <w:r w:rsidR="002A2373" w:rsidRPr="00B56CF7">
        <w:rPr>
          <w:rFonts w:asciiTheme="majorHAnsi" w:eastAsia="Calibri" w:hAnsiTheme="majorHAnsi"/>
          <w:sz w:val="20"/>
          <w:szCs w:val="20"/>
          <w:lang w:val="es-VE"/>
        </w:rPr>
        <w:t>Procuració</w:t>
      </w:r>
      <w:r w:rsidRPr="00B56CF7">
        <w:rPr>
          <w:rFonts w:asciiTheme="majorHAnsi" w:eastAsia="Calibri" w:hAnsiTheme="majorHAnsi"/>
          <w:sz w:val="20"/>
          <w:szCs w:val="20"/>
          <w:lang w:val="es-VE"/>
        </w:rPr>
        <w:t>n General de la Nación desestimó</w:t>
      </w:r>
      <w:r w:rsidR="002A2373" w:rsidRPr="00B56CF7">
        <w:rPr>
          <w:rFonts w:asciiTheme="majorHAnsi" w:eastAsia="Calibri" w:hAnsiTheme="majorHAnsi"/>
          <w:sz w:val="20"/>
          <w:szCs w:val="20"/>
          <w:lang w:val="es-VE"/>
        </w:rPr>
        <w:t xml:space="preserve"> la denuncia por inexistencia de delito y ordenó el archivo de las actuaciones </w:t>
      </w:r>
      <w:r w:rsidRPr="00B56CF7">
        <w:rPr>
          <w:rFonts w:asciiTheme="majorHAnsi" w:eastAsia="Calibri" w:hAnsiTheme="majorHAnsi"/>
          <w:sz w:val="20"/>
          <w:szCs w:val="20"/>
          <w:lang w:val="es-VE"/>
        </w:rPr>
        <w:t>al considerar</w:t>
      </w:r>
      <w:r w:rsidR="002A2373" w:rsidRPr="00B56CF7">
        <w:rPr>
          <w:rFonts w:asciiTheme="majorHAnsi" w:eastAsia="Calibri" w:hAnsiTheme="majorHAnsi"/>
          <w:sz w:val="20"/>
          <w:szCs w:val="20"/>
          <w:lang w:val="es-VE"/>
        </w:rPr>
        <w:t xml:space="preserve"> que la constancia del expediente correspondía con la conversación grabada en el </w:t>
      </w:r>
      <w:proofErr w:type="spellStart"/>
      <w:r w:rsidR="002A2373" w:rsidRPr="00B56CF7">
        <w:rPr>
          <w:rFonts w:asciiTheme="majorHAnsi" w:eastAsia="Calibri" w:hAnsiTheme="majorHAnsi"/>
          <w:sz w:val="20"/>
          <w:szCs w:val="20"/>
          <w:lang w:val="es-VE"/>
        </w:rPr>
        <w:t>cassette</w:t>
      </w:r>
      <w:proofErr w:type="spellEnd"/>
      <w:r w:rsidR="002A2373" w:rsidRPr="00B56CF7">
        <w:rPr>
          <w:rFonts w:asciiTheme="majorHAnsi" w:eastAsia="Calibri" w:hAnsiTheme="majorHAnsi"/>
          <w:sz w:val="20"/>
          <w:szCs w:val="20"/>
          <w:lang w:val="es-VE"/>
        </w:rPr>
        <w:t>, además de q</w:t>
      </w:r>
      <w:r w:rsidR="00D812CF" w:rsidRPr="00B56CF7">
        <w:rPr>
          <w:rFonts w:asciiTheme="majorHAnsi" w:eastAsia="Calibri" w:hAnsiTheme="majorHAnsi"/>
          <w:sz w:val="20"/>
          <w:szCs w:val="20"/>
          <w:lang w:val="es-VE"/>
        </w:rPr>
        <w:t>ue</w:t>
      </w:r>
      <w:r w:rsidR="002A2373" w:rsidRPr="00B56CF7">
        <w:rPr>
          <w:rFonts w:asciiTheme="majorHAnsi" w:eastAsia="Calibri" w:hAnsiTheme="majorHAnsi"/>
          <w:sz w:val="20"/>
          <w:szCs w:val="20"/>
          <w:lang w:val="es-VE"/>
        </w:rPr>
        <w:t xml:space="preserve"> dicho elemento de cargo fue tenido en cuenta como un elemento probatorio más</w:t>
      </w:r>
      <w:r w:rsidR="00FB43C8">
        <w:rPr>
          <w:rFonts w:asciiTheme="majorHAnsi" w:eastAsia="Calibri" w:hAnsiTheme="majorHAnsi"/>
          <w:sz w:val="20"/>
          <w:szCs w:val="20"/>
          <w:lang w:val="es-VE"/>
        </w:rPr>
        <w:t>,</w:t>
      </w:r>
      <w:r w:rsidRPr="00B56CF7">
        <w:rPr>
          <w:rFonts w:asciiTheme="majorHAnsi" w:eastAsia="Calibri" w:hAnsiTheme="majorHAnsi"/>
          <w:sz w:val="20"/>
          <w:szCs w:val="20"/>
          <w:lang w:val="es-VE"/>
        </w:rPr>
        <w:t xml:space="preserve"> entre</w:t>
      </w:r>
      <w:r w:rsidR="002A2373" w:rsidRPr="00B56CF7">
        <w:rPr>
          <w:rFonts w:asciiTheme="majorHAnsi" w:eastAsia="Calibri" w:hAnsiTheme="majorHAnsi"/>
          <w:sz w:val="20"/>
          <w:szCs w:val="20"/>
          <w:lang w:val="es-VE"/>
        </w:rPr>
        <w:t xml:space="preserve"> los varios</w:t>
      </w:r>
      <w:r w:rsidRPr="00B56CF7">
        <w:rPr>
          <w:rFonts w:asciiTheme="majorHAnsi" w:eastAsia="Calibri" w:hAnsiTheme="majorHAnsi"/>
          <w:sz w:val="20"/>
          <w:szCs w:val="20"/>
          <w:lang w:val="es-VE"/>
        </w:rPr>
        <w:t xml:space="preserve"> que</w:t>
      </w:r>
      <w:r w:rsidR="002A2373" w:rsidRPr="00B56CF7">
        <w:rPr>
          <w:rFonts w:asciiTheme="majorHAnsi" w:eastAsia="Calibri" w:hAnsiTheme="majorHAnsi"/>
          <w:sz w:val="20"/>
          <w:szCs w:val="20"/>
          <w:lang w:val="es-VE"/>
        </w:rPr>
        <w:t xml:space="preserve"> hacían referencia a la relación entre el peticionario y los demás imputados. </w:t>
      </w:r>
    </w:p>
    <w:p w:rsidR="00F94442" w:rsidRPr="00B56CF7" w:rsidRDefault="00F94442" w:rsidP="00F94442">
      <w:pPr>
        <w:pStyle w:val="ListParagraph"/>
        <w:rPr>
          <w:rFonts w:asciiTheme="majorHAnsi" w:eastAsia="Calibri" w:hAnsiTheme="majorHAnsi"/>
          <w:sz w:val="20"/>
          <w:szCs w:val="20"/>
          <w:lang w:val="es-VE"/>
        </w:rPr>
      </w:pPr>
    </w:p>
    <w:p w:rsidR="002A2373" w:rsidRPr="00B56CF7" w:rsidRDefault="00F94442" w:rsidP="008F2D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 xml:space="preserve">Con relación a la causa penal </w:t>
      </w:r>
      <w:r w:rsidR="00277E0C">
        <w:rPr>
          <w:rFonts w:asciiTheme="majorHAnsi" w:eastAsia="Calibri" w:hAnsiTheme="majorHAnsi"/>
          <w:sz w:val="20"/>
          <w:szCs w:val="20"/>
          <w:lang w:val="es-VE"/>
        </w:rPr>
        <w:t>abierta respecto a l</w:t>
      </w:r>
      <w:r w:rsidR="00DD73F4">
        <w:rPr>
          <w:rFonts w:asciiTheme="majorHAnsi" w:eastAsia="Calibri" w:hAnsiTheme="majorHAnsi"/>
          <w:sz w:val="20"/>
          <w:szCs w:val="20"/>
          <w:lang w:val="es-VE"/>
        </w:rPr>
        <w:t>a prueba relativa a la llamada t</w:t>
      </w:r>
      <w:r w:rsidR="00277E0C">
        <w:rPr>
          <w:rFonts w:asciiTheme="majorHAnsi" w:eastAsia="Calibri" w:hAnsiTheme="majorHAnsi"/>
          <w:sz w:val="20"/>
          <w:szCs w:val="20"/>
          <w:lang w:val="es-VE"/>
        </w:rPr>
        <w:t xml:space="preserve">elefónica, </w:t>
      </w:r>
      <w:r w:rsidRPr="00B56CF7">
        <w:rPr>
          <w:rFonts w:asciiTheme="majorHAnsi" w:eastAsia="Calibri" w:hAnsiTheme="majorHAnsi"/>
          <w:sz w:val="20"/>
          <w:szCs w:val="20"/>
          <w:lang w:val="es-VE"/>
        </w:rPr>
        <w:t xml:space="preserve">indicó que el Juzgado Nacional Criminal y Correccional No. 2 </w:t>
      </w:r>
      <w:r w:rsidR="008F2D9D" w:rsidRPr="00B56CF7">
        <w:rPr>
          <w:rFonts w:asciiTheme="majorHAnsi" w:eastAsia="Calibri" w:hAnsiTheme="majorHAnsi"/>
          <w:sz w:val="20"/>
          <w:szCs w:val="20"/>
          <w:lang w:val="es-VE"/>
        </w:rPr>
        <w:t>desestimó la causa por el delito de estafa procesal</w:t>
      </w:r>
      <w:r w:rsidR="00FB43C8">
        <w:rPr>
          <w:rFonts w:asciiTheme="majorHAnsi" w:eastAsia="Calibri" w:hAnsiTheme="majorHAnsi"/>
          <w:sz w:val="20"/>
          <w:szCs w:val="20"/>
          <w:lang w:val="es-VE"/>
        </w:rPr>
        <w:t>,</w:t>
      </w:r>
      <w:r w:rsidR="008F2D9D" w:rsidRPr="00B56CF7">
        <w:rPr>
          <w:rFonts w:asciiTheme="majorHAnsi" w:eastAsia="Calibri" w:hAnsiTheme="majorHAnsi"/>
          <w:sz w:val="20"/>
          <w:szCs w:val="20"/>
          <w:lang w:val="es-VE"/>
        </w:rPr>
        <w:t xml:space="preserve"> considerando que la prueba utilizada por los fiscales fue </w:t>
      </w:r>
      <w:r w:rsidR="009F38F6" w:rsidRPr="00B56CF7">
        <w:rPr>
          <w:rFonts w:asciiTheme="majorHAnsi" w:eastAsia="Calibri" w:hAnsiTheme="majorHAnsi"/>
          <w:sz w:val="20"/>
          <w:szCs w:val="20"/>
          <w:lang w:val="es-VE"/>
        </w:rPr>
        <w:t xml:space="preserve">utilizada </w:t>
      </w:r>
      <w:r w:rsidR="008F2D9D" w:rsidRPr="00B56CF7">
        <w:rPr>
          <w:rFonts w:asciiTheme="majorHAnsi" w:eastAsia="Calibri" w:hAnsiTheme="majorHAnsi"/>
          <w:sz w:val="20"/>
          <w:szCs w:val="20"/>
          <w:lang w:val="es-VE"/>
        </w:rPr>
        <w:t>como medio de prueba no concluyente y</w:t>
      </w:r>
      <w:r w:rsidR="00271392" w:rsidRPr="00B56CF7">
        <w:rPr>
          <w:rFonts w:asciiTheme="majorHAnsi" w:eastAsia="Calibri" w:hAnsiTheme="majorHAnsi"/>
          <w:sz w:val="20"/>
          <w:szCs w:val="20"/>
          <w:lang w:val="es-VE"/>
        </w:rPr>
        <w:t xml:space="preserve"> dentro de un contexto de indicios que llevaron a los mismos a solicitar la elevación a juicio del peticionario. </w:t>
      </w:r>
    </w:p>
    <w:p w:rsidR="00271392" w:rsidRPr="00B56CF7" w:rsidRDefault="00271392" w:rsidP="00271392">
      <w:pPr>
        <w:pStyle w:val="ListParagraph"/>
        <w:rPr>
          <w:rFonts w:asciiTheme="majorHAnsi" w:eastAsia="Calibri" w:hAnsiTheme="majorHAnsi"/>
          <w:sz w:val="20"/>
          <w:szCs w:val="20"/>
          <w:lang w:val="es-VE"/>
        </w:rPr>
      </w:pPr>
    </w:p>
    <w:p w:rsidR="00271392" w:rsidRPr="00B56CF7" w:rsidRDefault="008F2D9D" w:rsidP="008F2D9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Agregó que en diciembre de 1999</w:t>
      </w:r>
      <w:r w:rsidR="00271392" w:rsidRPr="00B56CF7">
        <w:rPr>
          <w:rFonts w:asciiTheme="majorHAnsi" w:eastAsia="Calibri" w:hAnsiTheme="majorHAnsi"/>
          <w:sz w:val="20"/>
          <w:szCs w:val="20"/>
          <w:lang w:val="es-VE"/>
        </w:rPr>
        <w:t xml:space="preserve"> el peticionario promovió </w:t>
      </w:r>
      <w:r w:rsidR="00B06FE4" w:rsidRPr="00B56CF7">
        <w:rPr>
          <w:rFonts w:asciiTheme="majorHAnsi" w:eastAsia="Calibri" w:hAnsiTheme="majorHAnsi"/>
          <w:sz w:val="20"/>
          <w:szCs w:val="20"/>
          <w:lang w:val="es-VE"/>
        </w:rPr>
        <w:t>demanda por daños y perjuicios contra el Estado Nacional (Ministerio del Interior y Ministerio de Justicia), contra el Ex Juez Correccional Federa</w:t>
      </w:r>
      <w:r w:rsidR="007D0278" w:rsidRPr="00B56CF7">
        <w:rPr>
          <w:rFonts w:asciiTheme="majorHAnsi" w:eastAsia="Calibri" w:hAnsiTheme="majorHAnsi"/>
          <w:sz w:val="20"/>
          <w:szCs w:val="20"/>
          <w:lang w:val="es-VE"/>
        </w:rPr>
        <w:t>l</w:t>
      </w:r>
      <w:r w:rsidR="00B06FE4" w:rsidRPr="00B56CF7">
        <w:rPr>
          <w:rFonts w:asciiTheme="majorHAnsi" w:eastAsia="Calibri" w:hAnsiTheme="majorHAnsi"/>
          <w:sz w:val="20"/>
          <w:szCs w:val="20"/>
          <w:lang w:val="es-VE"/>
        </w:rPr>
        <w:t xml:space="preserve"> </w:t>
      </w:r>
      <w:r w:rsidR="00DD73F4">
        <w:rPr>
          <w:rFonts w:asciiTheme="majorHAnsi" w:eastAsia="Calibri" w:hAnsiTheme="majorHAnsi"/>
          <w:sz w:val="20"/>
          <w:szCs w:val="20"/>
          <w:lang w:val="es-VE"/>
        </w:rPr>
        <w:t xml:space="preserve">Galeano </w:t>
      </w:r>
      <w:r w:rsidR="00B06FE4" w:rsidRPr="00B56CF7">
        <w:rPr>
          <w:rFonts w:asciiTheme="majorHAnsi" w:eastAsia="Calibri" w:hAnsiTheme="majorHAnsi"/>
          <w:sz w:val="20"/>
          <w:szCs w:val="20"/>
          <w:lang w:val="es-VE"/>
        </w:rPr>
        <w:t>a cargo del Juzgado No 9 y contra los Fiscales</w:t>
      </w:r>
      <w:r w:rsidR="004866BC" w:rsidRPr="00B56CF7">
        <w:rPr>
          <w:rFonts w:asciiTheme="majorHAnsi" w:eastAsia="Calibri" w:hAnsiTheme="majorHAnsi"/>
          <w:sz w:val="20"/>
          <w:szCs w:val="20"/>
          <w:lang w:val="es-VE"/>
        </w:rPr>
        <w:t>,</w:t>
      </w:r>
      <w:r w:rsidR="00B06FE4" w:rsidRPr="00B56CF7">
        <w:rPr>
          <w:rFonts w:asciiTheme="majorHAnsi" w:eastAsia="Calibri" w:hAnsiTheme="majorHAnsi"/>
          <w:sz w:val="20"/>
          <w:szCs w:val="20"/>
          <w:lang w:val="es-VE"/>
        </w:rPr>
        <w:t xml:space="preserve"> en la causa denominada “Jenkins c. </w:t>
      </w:r>
      <w:proofErr w:type="spellStart"/>
      <w:r w:rsidR="00B06FE4" w:rsidRPr="00B56CF7">
        <w:rPr>
          <w:rFonts w:asciiTheme="majorHAnsi" w:eastAsia="Calibri" w:hAnsiTheme="majorHAnsi"/>
          <w:sz w:val="20"/>
          <w:szCs w:val="20"/>
          <w:lang w:val="es-VE"/>
        </w:rPr>
        <w:t>e.N</w:t>
      </w:r>
      <w:proofErr w:type="spellEnd"/>
      <w:r w:rsidR="00B06FE4" w:rsidRPr="00B56CF7">
        <w:rPr>
          <w:rFonts w:asciiTheme="majorHAnsi" w:eastAsia="Calibri" w:hAnsiTheme="majorHAnsi"/>
          <w:sz w:val="20"/>
          <w:szCs w:val="20"/>
          <w:lang w:val="es-VE"/>
        </w:rPr>
        <w:t xml:space="preserve">. s/Daños y perjuicios” ante el Juzgado Nacional Contencioso </w:t>
      </w:r>
      <w:r w:rsidRPr="00B56CF7">
        <w:rPr>
          <w:rFonts w:asciiTheme="majorHAnsi" w:eastAsia="Calibri" w:hAnsiTheme="majorHAnsi"/>
          <w:sz w:val="20"/>
          <w:szCs w:val="20"/>
          <w:lang w:val="es-VE"/>
        </w:rPr>
        <w:t xml:space="preserve">Administrativo Federal No. 10, </w:t>
      </w:r>
      <w:r w:rsidR="00B06FE4" w:rsidRPr="00B56CF7">
        <w:rPr>
          <w:rFonts w:asciiTheme="majorHAnsi" w:eastAsia="Calibri" w:hAnsiTheme="majorHAnsi"/>
          <w:sz w:val="20"/>
          <w:szCs w:val="20"/>
          <w:lang w:val="es-VE"/>
        </w:rPr>
        <w:t xml:space="preserve">con el fin de </w:t>
      </w:r>
      <w:r w:rsidR="00A90BE4" w:rsidRPr="00B56CF7">
        <w:rPr>
          <w:rFonts w:asciiTheme="majorHAnsi" w:eastAsia="Calibri" w:hAnsiTheme="majorHAnsi"/>
          <w:sz w:val="20"/>
          <w:szCs w:val="20"/>
          <w:lang w:val="es-VE"/>
        </w:rPr>
        <w:t>obtener</w:t>
      </w:r>
      <w:r w:rsidR="00B06FE4" w:rsidRPr="00B56CF7">
        <w:rPr>
          <w:rFonts w:asciiTheme="majorHAnsi" w:eastAsia="Calibri" w:hAnsiTheme="majorHAnsi"/>
          <w:sz w:val="20"/>
          <w:szCs w:val="20"/>
          <w:lang w:val="es-VE"/>
        </w:rPr>
        <w:t xml:space="preserve"> el pago de una compensación por el tiempo </w:t>
      </w:r>
      <w:r w:rsidR="00DF7ADF" w:rsidRPr="00B56CF7">
        <w:rPr>
          <w:rFonts w:asciiTheme="majorHAnsi" w:eastAsia="Calibri" w:hAnsiTheme="majorHAnsi"/>
          <w:sz w:val="20"/>
          <w:szCs w:val="20"/>
          <w:lang w:val="es-VE"/>
        </w:rPr>
        <w:t xml:space="preserve">en que </w:t>
      </w:r>
      <w:r w:rsidR="00B06FE4" w:rsidRPr="00B56CF7">
        <w:rPr>
          <w:rFonts w:asciiTheme="majorHAnsi" w:eastAsia="Calibri" w:hAnsiTheme="majorHAnsi"/>
          <w:sz w:val="20"/>
          <w:szCs w:val="20"/>
          <w:lang w:val="es-VE"/>
        </w:rPr>
        <w:t>permaneció privado de libertad</w:t>
      </w:r>
      <w:r w:rsidR="00DF7ADF" w:rsidRPr="00B56CF7">
        <w:rPr>
          <w:rFonts w:asciiTheme="majorHAnsi" w:eastAsia="Calibri" w:hAnsiTheme="majorHAnsi"/>
          <w:sz w:val="20"/>
          <w:szCs w:val="20"/>
          <w:lang w:val="es-VE"/>
        </w:rPr>
        <w:t>, en su consideración, de manera ilegítima.</w:t>
      </w:r>
    </w:p>
    <w:p w:rsidR="00B06FE4" w:rsidRPr="00B56CF7" w:rsidRDefault="00B06FE4" w:rsidP="00B06FE4">
      <w:pPr>
        <w:pStyle w:val="ListParagraph"/>
        <w:rPr>
          <w:rFonts w:asciiTheme="majorHAnsi" w:eastAsia="Calibri" w:hAnsiTheme="majorHAnsi"/>
          <w:sz w:val="20"/>
          <w:szCs w:val="20"/>
          <w:lang w:val="es-VE"/>
        </w:rPr>
      </w:pPr>
    </w:p>
    <w:p w:rsidR="009F552D" w:rsidRPr="00B56CF7" w:rsidRDefault="00B54749" w:rsidP="008E22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Indicó que e</w:t>
      </w:r>
      <w:r w:rsidR="00B06FE4" w:rsidRPr="00B56CF7">
        <w:rPr>
          <w:rFonts w:asciiTheme="majorHAnsi" w:eastAsia="Calibri" w:hAnsiTheme="majorHAnsi"/>
          <w:sz w:val="20"/>
          <w:szCs w:val="20"/>
          <w:lang w:val="es-VE"/>
        </w:rPr>
        <w:t xml:space="preserve">l 30 de abril de 2007 </w:t>
      </w:r>
      <w:r w:rsidR="00395C27" w:rsidRPr="00B56CF7">
        <w:rPr>
          <w:rFonts w:asciiTheme="majorHAnsi" w:eastAsia="Calibri" w:hAnsiTheme="majorHAnsi"/>
          <w:sz w:val="20"/>
          <w:szCs w:val="20"/>
          <w:lang w:val="es-VE"/>
        </w:rPr>
        <w:t>se dictó sentencia rechazando la demanda</w:t>
      </w:r>
      <w:r w:rsidR="00FB43C8">
        <w:rPr>
          <w:rFonts w:asciiTheme="majorHAnsi" w:eastAsia="Calibri" w:hAnsiTheme="majorHAnsi"/>
          <w:sz w:val="20"/>
          <w:szCs w:val="20"/>
          <w:lang w:val="es-VE"/>
        </w:rPr>
        <w:t>,</w:t>
      </w:r>
      <w:r w:rsidR="00395C27" w:rsidRPr="00B56CF7">
        <w:rPr>
          <w:rFonts w:asciiTheme="majorHAnsi" w:eastAsia="Calibri" w:hAnsiTheme="majorHAnsi"/>
          <w:sz w:val="20"/>
          <w:szCs w:val="20"/>
          <w:lang w:val="es-VE"/>
        </w:rPr>
        <w:t xml:space="preserve"> por considerar la juzgadora que para que el Estado sea responsable del perjuicio ocasionado a quien sufre prisión preventiva y luego es absuelto, se requiere que la absolución haya sido dictada en virtud de su inocencia manifiesta </w:t>
      </w:r>
      <w:r w:rsidR="00D52D7B" w:rsidRPr="00B56CF7">
        <w:rPr>
          <w:rFonts w:asciiTheme="majorHAnsi" w:eastAsia="Calibri" w:hAnsiTheme="majorHAnsi"/>
          <w:sz w:val="20"/>
          <w:szCs w:val="20"/>
          <w:lang w:val="es-VE"/>
        </w:rPr>
        <w:t>y</w:t>
      </w:r>
      <w:r w:rsidR="008220D0" w:rsidRPr="00B56CF7">
        <w:rPr>
          <w:rFonts w:asciiTheme="majorHAnsi" w:eastAsia="Calibri" w:hAnsiTheme="majorHAnsi"/>
          <w:sz w:val="20"/>
          <w:szCs w:val="20"/>
          <w:lang w:val="es-VE"/>
        </w:rPr>
        <w:t>,</w:t>
      </w:r>
      <w:r w:rsidR="00D52D7B" w:rsidRPr="00B56CF7">
        <w:rPr>
          <w:rFonts w:asciiTheme="majorHAnsi" w:eastAsia="Calibri" w:hAnsiTheme="majorHAnsi"/>
          <w:sz w:val="20"/>
          <w:szCs w:val="20"/>
          <w:lang w:val="es-VE"/>
        </w:rPr>
        <w:t xml:space="preserve"> </w:t>
      </w:r>
      <w:r w:rsidR="00395C27" w:rsidRPr="00B56CF7">
        <w:rPr>
          <w:rFonts w:asciiTheme="majorHAnsi" w:eastAsia="Calibri" w:hAnsiTheme="majorHAnsi"/>
          <w:sz w:val="20"/>
          <w:szCs w:val="20"/>
          <w:lang w:val="es-VE"/>
        </w:rPr>
        <w:t>en el presente caso</w:t>
      </w:r>
      <w:r w:rsidR="008220D0" w:rsidRPr="00B56CF7">
        <w:rPr>
          <w:rFonts w:asciiTheme="majorHAnsi" w:eastAsia="Calibri" w:hAnsiTheme="majorHAnsi"/>
          <w:sz w:val="20"/>
          <w:szCs w:val="20"/>
          <w:lang w:val="es-VE"/>
        </w:rPr>
        <w:t>,</w:t>
      </w:r>
      <w:r w:rsidR="00395C27" w:rsidRPr="00B56CF7">
        <w:rPr>
          <w:rFonts w:asciiTheme="majorHAnsi" w:eastAsia="Calibri" w:hAnsiTheme="majorHAnsi"/>
          <w:sz w:val="20"/>
          <w:szCs w:val="20"/>
          <w:lang w:val="es-VE"/>
        </w:rPr>
        <w:t xml:space="preserve"> el peticionario fue absuelto debido a que no hubo acusación fiscal </w:t>
      </w:r>
      <w:r w:rsidR="008220D0" w:rsidRPr="00B56CF7">
        <w:rPr>
          <w:rFonts w:asciiTheme="majorHAnsi" w:eastAsia="Calibri" w:hAnsiTheme="majorHAnsi"/>
          <w:sz w:val="20"/>
          <w:szCs w:val="20"/>
          <w:lang w:val="es-VE"/>
        </w:rPr>
        <w:t>con</w:t>
      </w:r>
      <w:r w:rsidR="00395C27" w:rsidRPr="00B56CF7">
        <w:rPr>
          <w:rFonts w:asciiTheme="majorHAnsi" w:eastAsia="Calibri" w:hAnsiTheme="majorHAnsi"/>
          <w:sz w:val="20"/>
          <w:szCs w:val="20"/>
          <w:lang w:val="es-VE"/>
        </w:rPr>
        <w:t xml:space="preserve"> relación a su persona. Por otra parte, </w:t>
      </w:r>
      <w:r w:rsidR="00163541" w:rsidRPr="00B56CF7">
        <w:rPr>
          <w:rFonts w:asciiTheme="majorHAnsi" w:eastAsia="Calibri" w:hAnsiTheme="majorHAnsi"/>
          <w:sz w:val="20"/>
          <w:szCs w:val="20"/>
          <w:lang w:val="es-VE"/>
        </w:rPr>
        <w:t xml:space="preserve">en </w:t>
      </w:r>
      <w:r w:rsidR="00395C27" w:rsidRPr="00B56CF7">
        <w:rPr>
          <w:rFonts w:asciiTheme="majorHAnsi" w:eastAsia="Calibri" w:hAnsiTheme="majorHAnsi"/>
          <w:sz w:val="20"/>
          <w:szCs w:val="20"/>
          <w:lang w:val="es-VE"/>
        </w:rPr>
        <w:t>la sentencia</w:t>
      </w:r>
      <w:r w:rsidR="00163541" w:rsidRPr="00B56CF7">
        <w:rPr>
          <w:rFonts w:asciiTheme="majorHAnsi" w:eastAsia="Calibri" w:hAnsiTheme="majorHAnsi"/>
          <w:sz w:val="20"/>
          <w:szCs w:val="20"/>
          <w:lang w:val="es-VE"/>
        </w:rPr>
        <w:t xml:space="preserve"> se</w:t>
      </w:r>
      <w:r w:rsidR="00395C27" w:rsidRPr="00B56CF7">
        <w:rPr>
          <w:rFonts w:asciiTheme="majorHAnsi" w:eastAsia="Calibri" w:hAnsiTheme="majorHAnsi"/>
          <w:sz w:val="20"/>
          <w:szCs w:val="20"/>
          <w:lang w:val="es-VE"/>
        </w:rPr>
        <w:t xml:space="preserve"> expresó que el auto de prisión preventiva debería haber sido incuestionablemente infundado o arbitrario para generar derecho a indemnización, lo cual no ocurrió en el </w:t>
      </w:r>
      <w:r w:rsidR="00395C27" w:rsidRPr="00B56CF7">
        <w:rPr>
          <w:rFonts w:asciiTheme="majorHAnsi" w:eastAsia="Calibri" w:hAnsiTheme="majorHAnsi"/>
          <w:sz w:val="20"/>
          <w:szCs w:val="20"/>
          <w:lang w:val="es-VE"/>
        </w:rPr>
        <w:lastRenderedPageBreak/>
        <w:t>presente caso</w:t>
      </w:r>
      <w:r w:rsidR="00FB43C8">
        <w:rPr>
          <w:rFonts w:asciiTheme="majorHAnsi" w:eastAsia="Calibri" w:hAnsiTheme="majorHAnsi"/>
          <w:sz w:val="20"/>
          <w:szCs w:val="20"/>
          <w:lang w:val="es-VE"/>
        </w:rPr>
        <w:t>,</w:t>
      </w:r>
      <w:r w:rsidR="00395C27" w:rsidRPr="00B56CF7">
        <w:rPr>
          <w:rFonts w:asciiTheme="majorHAnsi" w:eastAsia="Calibri" w:hAnsiTheme="majorHAnsi"/>
          <w:sz w:val="20"/>
          <w:szCs w:val="20"/>
          <w:lang w:val="es-VE"/>
        </w:rPr>
        <w:t xml:space="preserve"> debido a que al momento de dictar prisión preventiva existían suficientes elementos de prueba susceptibles de generar una legítima sospecha respecto de </w:t>
      </w:r>
      <w:r w:rsidR="00E722E2" w:rsidRPr="00B56CF7">
        <w:rPr>
          <w:rFonts w:asciiTheme="majorHAnsi" w:eastAsia="Calibri" w:hAnsiTheme="majorHAnsi"/>
          <w:sz w:val="20"/>
          <w:szCs w:val="20"/>
          <w:lang w:val="es-VE"/>
        </w:rPr>
        <w:t>la responsabilidad del peticionario.</w:t>
      </w:r>
    </w:p>
    <w:p w:rsidR="00E722E2" w:rsidRPr="00B56CF7" w:rsidRDefault="00E722E2" w:rsidP="00E722E2">
      <w:pPr>
        <w:pStyle w:val="ListParagraph"/>
        <w:rPr>
          <w:rFonts w:asciiTheme="majorHAnsi" w:eastAsia="Calibri" w:hAnsiTheme="majorHAnsi"/>
          <w:sz w:val="20"/>
          <w:szCs w:val="20"/>
          <w:lang w:val="es-VE"/>
        </w:rPr>
      </w:pPr>
    </w:p>
    <w:p w:rsidR="00E722E2" w:rsidRPr="00B56CF7" w:rsidRDefault="00B54749" w:rsidP="008E22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Agregó que el</w:t>
      </w:r>
      <w:r w:rsidR="00EB0A73" w:rsidRPr="00B56CF7">
        <w:rPr>
          <w:rFonts w:asciiTheme="majorHAnsi" w:eastAsia="Calibri" w:hAnsiTheme="majorHAnsi"/>
          <w:sz w:val="20"/>
          <w:szCs w:val="20"/>
          <w:lang w:val="es-VE"/>
        </w:rPr>
        <w:t xml:space="preserve"> peticionario apeló dicha sentencia ante la Cámara Nacional de Apelaciones Contencioso Administrativo, la cual resolvió declarar desierto el recurso</w:t>
      </w:r>
      <w:r w:rsidR="0039447A">
        <w:rPr>
          <w:rFonts w:asciiTheme="majorHAnsi" w:eastAsia="Calibri" w:hAnsiTheme="majorHAnsi"/>
          <w:sz w:val="20"/>
          <w:szCs w:val="20"/>
          <w:lang w:val="es-VE"/>
        </w:rPr>
        <w:t xml:space="preserve"> debido a que no se habrían impugnado concretamente las motivaciones de la decisión de primera instancia,</w:t>
      </w:r>
      <w:r w:rsidR="00EB0A73" w:rsidRPr="00B56CF7">
        <w:rPr>
          <w:rFonts w:asciiTheme="majorHAnsi" w:eastAsia="Calibri" w:hAnsiTheme="majorHAnsi"/>
          <w:sz w:val="20"/>
          <w:szCs w:val="20"/>
          <w:lang w:val="es-VE"/>
        </w:rPr>
        <w:t xml:space="preserve"> quedando firme la sentencia dene</w:t>
      </w:r>
      <w:r w:rsidRPr="00B56CF7">
        <w:rPr>
          <w:rFonts w:asciiTheme="majorHAnsi" w:eastAsia="Calibri" w:hAnsiTheme="majorHAnsi"/>
          <w:sz w:val="20"/>
          <w:szCs w:val="20"/>
          <w:lang w:val="es-VE"/>
        </w:rPr>
        <w:t>gatoria el 25 de marzo de 2008.</w:t>
      </w:r>
      <w:r w:rsidR="0039447A">
        <w:rPr>
          <w:rFonts w:asciiTheme="majorHAnsi" w:eastAsia="Calibri" w:hAnsiTheme="majorHAnsi"/>
          <w:sz w:val="20"/>
          <w:szCs w:val="20"/>
          <w:lang w:val="es-VE"/>
        </w:rPr>
        <w:t xml:space="preserve"> </w:t>
      </w:r>
    </w:p>
    <w:p w:rsidR="00F90433" w:rsidRPr="00B56CF7" w:rsidRDefault="00F90433" w:rsidP="003527E2">
      <w:pPr>
        <w:pStyle w:val="ListParagraph"/>
        <w:rPr>
          <w:rFonts w:asciiTheme="majorHAnsi" w:eastAsia="Calibri" w:hAnsiTheme="majorHAnsi"/>
          <w:sz w:val="20"/>
          <w:szCs w:val="20"/>
          <w:lang w:val="es-VE"/>
        </w:rPr>
      </w:pPr>
    </w:p>
    <w:p w:rsidR="00F90433" w:rsidRPr="00B56CF7" w:rsidRDefault="00F90433" w:rsidP="008E22A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En cuanto a las amenazas que el peticionario alega haber recibido como represalia a su búsqueda por justicia, el Estado indicó que no es de “buena fe” imputar la ola de asaltos que se da en el país a una supuesta persecución de funcionarios del Estado</w:t>
      </w:r>
      <w:r w:rsidR="00BD403B" w:rsidRPr="00B56CF7">
        <w:rPr>
          <w:rFonts w:asciiTheme="majorHAnsi" w:eastAsia="Calibri" w:hAnsiTheme="majorHAnsi"/>
          <w:sz w:val="20"/>
          <w:szCs w:val="20"/>
          <w:lang w:val="es-VE"/>
        </w:rPr>
        <w:t xml:space="preserve">. Agregó que </w:t>
      </w:r>
      <w:r w:rsidR="00DA326B" w:rsidRPr="00B56CF7">
        <w:rPr>
          <w:rFonts w:asciiTheme="majorHAnsi" w:eastAsia="Calibri" w:hAnsiTheme="majorHAnsi"/>
          <w:sz w:val="20"/>
          <w:szCs w:val="20"/>
          <w:lang w:val="es-VE"/>
        </w:rPr>
        <w:t xml:space="preserve">ese argumento se utilizó </w:t>
      </w:r>
      <w:r w:rsidRPr="00B56CF7">
        <w:rPr>
          <w:rFonts w:asciiTheme="majorHAnsi" w:eastAsia="Calibri" w:hAnsiTheme="majorHAnsi"/>
          <w:sz w:val="20"/>
          <w:szCs w:val="20"/>
          <w:lang w:val="es-VE"/>
        </w:rPr>
        <w:t xml:space="preserve">como pretexto para no </w:t>
      </w:r>
      <w:r w:rsidR="00E35520" w:rsidRPr="00B56CF7">
        <w:rPr>
          <w:rFonts w:asciiTheme="majorHAnsi" w:eastAsia="Calibri" w:hAnsiTheme="majorHAnsi"/>
          <w:sz w:val="20"/>
          <w:szCs w:val="20"/>
          <w:lang w:val="es-VE"/>
        </w:rPr>
        <w:t xml:space="preserve">agotar </w:t>
      </w:r>
      <w:r w:rsidRPr="00B56CF7">
        <w:rPr>
          <w:rFonts w:asciiTheme="majorHAnsi" w:eastAsia="Calibri" w:hAnsiTheme="majorHAnsi"/>
          <w:sz w:val="20"/>
          <w:szCs w:val="20"/>
          <w:lang w:val="es-VE"/>
        </w:rPr>
        <w:t>los recurso</w:t>
      </w:r>
      <w:r w:rsidR="00E35520" w:rsidRPr="00B56CF7">
        <w:rPr>
          <w:rFonts w:asciiTheme="majorHAnsi" w:eastAsia="Calibri" w:hAnsiTheme="majorHAnsi"/>
          <w:sz w:val="20"/>
          <w:szCs w:val="20"/>
          <w:lang w:val="es-VE"/>
        </w:rPr>
        <w:t>s</w:t>
      </w:r>
      <w:r w:rsidRPr="00B56CF7">
        <w:rPr>
          <w:rFonts w:asciiTheme="majorHAnsi" w:eastAsia="Calibri" w:hAnsiTheme="majorHAnsi"/>
          <w:sz w:val="20"/>
          <w:szCs w:val="20"/>
          <w:lang w:val="es-VE"/>
        </w:rPr>
        <w:t xml:space="preserve"> internos. </w:t>
      </w:r>
    </w:p>
    <w:p w:rsidR="00F90433" w:rsidRPr="00B56CF7" w:rsidRDefault="00F90433" w:rsidP="00F90433">
      <w:pPr>
        <w:rPr>
          <w:rFonts w:asciiTheme="majorHAnsi" w:eastAsia="Calibri" w:hAnsiTheme="majorHAnsi"/>
          <w:sz w:val="20"/>
          <w:szCs w:val="20"/>
          <w:lang w:val="es-VE"/>
        </w:rPr>
      </w:pPr>
    </w:p>
    <w:p w:rsidR="00B25D3C" w:rsidRPr="00B56CF7" w:rsidRDefault="00B54749" w:rsidP="00B5474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 xml:space="preserve">En cuanto al derecho, el Estado argumentó que </w:t>
      </w:r>
      <w:r w:rsidR="00FD0576" w:rsidRPr="00B56CF7">
        <w:rPr>
          <w:rFonts w:asciiTheme="majorHAnsi" w:eastAsia="Calibri" w:hAnsiTheme="majorHAnsi"/>
          <w:sz w:val="20"/>
          <w:szCs w:val="20"/>
          <w:lang w:val="es-VE"/>
        </w:rPr>
        <w:t xml:space="preserve">los alegatos relacionados con violaciones a </w:t>
      </w:r>
      <w:r w:rsidR="00FD0576" w:rsidRPr="00B56CF7">
        <w:rPr>
          <w:rFonts w:asciiTheme="majorHAnsi" w:eastAsia="Calibri" w:hAnsiTheme="majorHAnsi"/>
          <w:b/>
          <w:sz w:val="20"/>
          <w:szCs w:val="20"/>
          <w:lang w:val="es-VE"/>
        </w:rPr>
        <w:t xml:space="preserve">los derechos a libertad personal, garantías judiciales y protección judicial </w:t>
      </w:r>
      <w:r w:rsidR="00FD0576" w:rsidRPr="00B56CF7">
        <w:rPr>
          <w:rFonts w:asciiTheme="majorHAnsi" w:eastAsia="Calibri" w:hAnsiTheme="majorHAnsi"/>
          <w:sz w:val="20"/>
          <w:szCs w:val="20"/>
          <w:lang w:val="es-VE"/>
        </w:rPr>
        <w:t xml:space="preserve">devinieron abstractos debido a que el peticionario fue sometido a proceso penal en la causa </w:t>
      </w:r>
      <w:r w:rsidR="00AB5881" w:rsidRPr="00B56CF7">
        <w:rPr>
          <w:rFonts w:asciiTheme="majorHAnsi" w:eastAsia="Calibri" w:hAnsiTheme="majorHAnsi"/>
          <w:sz w:val="20"/>
          <w:szCs w:val="20"/>
          <w:lang w:val="es-VE"/>
        </w:rPr>
        <w:t>N</w:t>
      </w:r>
      <w:r w:rsidR="00FD0576" w:rsidRPr="00B56CF7">
        <w:rPr>
          <w:rFonts w:asciiTheme="majorHAnsi" w:eastAsia="Calibri" w:hAnsiTheme="majorHAnsi"/>
          <w:sz w:val="20"/>
          <w:szCs w:val="20"/>
          <w:lang w:val="es-VE"/>
        </w:rPr>
        <w:t xml:space="preserve">o. 73 </w:t>
      </w:r>
      <w:r w:rsidR="00C36DFD" w:rsidRPr="00B56CF7">
        <w:rPr>
          <w:rFonts w:asciiTheme="majorHAnsi" w:eastAsia="Calibri" w:hAnsiTheme="majorHAnsi"/>
          <w:sz w:val="20"/>
          <w:szCs w:val="20"/>
          <w:lang w:val="es-VE"/>
        </w:rPr>
        <w:t xml:space="preserve">“Padilla Echeverry, José </w:t>
      </w:r>
      <w:proofErr w:type="spellStart"/>
      <w:r w:rsidR="00C36DFD" w:rsidRPr="00B56CF7">
        <w:rPr>
          <w:rFonts w:asciiTheme="majorHAnsi" w:eastAsia="Calibri" w:hAnsiTheme="majorHAnsi"/>
          <w:sz w:val="20"/>
          <w:szCs w:val="20"/>
          <w:lang w:val="es-VE"/>
        </w:rPr>
        <w:t>Gilardo</w:t>
      </w:r>
      <w:proofErr w:type="spellEnd"/>
      <w:r w:rsidR="00C36DFD" w:rsidRPr="00B56CF7">
        <w:rPr>
          <w:rFonts w:asciiTheme="majorHAnsi" w:eastAsia="Calibri" w:hAnsiTheme="majorHAnsi"/>
          <w:sz w:val="20"/>
          <w:szCs w:val="20"/>
          <w:lang w:val="es-VE"/>
        </w:rPr>
        <w:t xml:space="preserve"> y otros s/ Infracción Ley 23.737- Falsificación de documentos públicos y tenencia de armas de guerra”, la</w:t>
      </w:r>
      <w:r w:rsidR="00FD0576" w:rsidRPr="00B56CF7">
        <w:rPr>
          <w:rFonts w:asciiTheme="majorHAnsi" w:eastAsia="Calibri" w:hAnsiTheme="majorHAnsi"/>
          <w:sz w:val="20"/>
          <w:szCs w:val="20"/>
          <w:lang w:val="es-VE"/>
        </w:rPr>
        <w:t xml:space="preserve"> cual se sustanció en la fase oral ante el Tribunal en lo Criminal Federal No 6</w:t>
      </w:r>
      <w:r w:rsidR="00914361" w:rsidRPr="00B56CF7">
        <w:rPr>
          <w:rFonts w:asciiTheme="majorHAnsi" w:eastAsia="Calibri" w:hAnsiTheme="majorHAnsi"/>
          <w:sz w:val="20"/>
          <w:szCs w:val="20"/>
          <w:lang w:val="es-VE"/>
        </w:rPr>
        <w:t xml:space="preserve">. Indicó que </w:t>
      </w:r>
      <w:r w:rsidR="00FD0576" w:rsidRPr="00B56CF7">
        <w:rPr>
          <w:rFonts w:asciiTheme="majorHAnsi" w:eastAsia="Calibri" w:hAnsiTheme="majorHAnsi"/>
          <w:sz w:val="20"/>
          <w:szCs w:val="20"/>
          <w:lang w:val="es-VE"/>
        </w:rPr>
        <w:t>por resolución de 13 de noviembre de 1997 dicho tribu</w:t>
      </w:r>
      <w:r w:rsidR="00B25D3C" w:rsidRPr="00B56CF7">
        <w:rPr>
          <w:rFonts w:asciiTheme="majorHAnsi" w:eastAsia="Calibri" w:hAnsiTheme="majorHAnsi"/>
          <w:sz w:val="20"/>
          <w:szCs w:val="20"/>
          <w:lang w:val="es-VE"/>
        </w:rPr>
        <w:t>n</w:t>
      </w:r>
      <w:r w:rsidR="00FD0576" w:rsidRPr="00B56CF7">
        <w:rPr>
          <w:rFonts w:asciiTheme="majorHAnsi" w:eastAsia="Calibri" w:hAnsiTheme="majorHAnsi"/>
          <w:sz w:val="20"/>
          <w:szCs w:val="20"/>
          <w:lang w:val="es-VE"/>
        </w:rPr>
        <w:t xml:space="preserve">al ordenó su libertad </w:t>
      </w:r>
      <w:r w:rsidR="00B25D3C" w:rsidRPr="00B56CF7">
        <w:rPr>
          <w:rFonts w:asciiTheme="majorHAnsi" w:eastAsia="Calibri" w:hAnsiTheme="majorHAnsi"/>
          <w:sz w:val="20"/>
          <w:szCs w:val="20"/>
          <w:lang w:val="es-VE"/>
        </w:rPr>
        <w:t>al constatar la falsedad ideológica de ciertas constancias probato</w:t>
      </w:r>
      <w:r w:rsidRPr="00B56CF7">
        <w:rPr>
          <w:rFonts w:asciiTheme="majorHAnsi" w:eastAsia="Calibri" w:hAnsiTheme="majorHAnsi"/>
          <w:sz w:val="20"/>
          <w:szCs w:val="20"/>
          <w:lang w:val="es-VE"/>
        </w:rPr>
        <w:t xml:space="preserve">rias que obraban en su contra. </w:t>
      </w:r>
      <w:r w:rsidR="00B25D3C" w:rsidRPr="00B56CF7">
        <w:rPr>
          <w:rFonts w:asciiTheme="majorHAnsi" w:eastAsia="Calibri" w:hAnsiTheme="majorHAnsi"/>
          <w:sz w:val="20"/>
          <w:szCs w:val="20"/>
          <w:lang w:val="es-VE"/>
        </w:rPr>
        <w:t xml:space="preserve">Agregó que dicho tribunal absolvió al peticionario el 23 de diciembre de 1997 y que en el marco de dicho proceso el peticionario tuvo acceso a los recursos legalmente disponibles así como a un defensor oficial. </w:t>
      </w:r>
    </w:p>
    <w:p w:rsidR="00B25D3C" w:rsidRPr="00B56CF7" w:rsidRDefault="00B25D3C" w:rsidP="00B25D3C">
      <w:pPr>
        <w:pStyle w:val="ListParagraph"/>
        <w:rPr>
          <w:rFonts w:asciiTheme="majorHAnsi" w:eastAsia="Calibri" w:hAnsiTheme="majorHAnsi"/>
          <w:sz w:val="20"/>
          <w:szCs w:val="20"/>
          <w:lang w:val="es-VE"/>
        </w:rPr>
      </w:pPr>
    </w:p>
    <w:p w:rsidR="00285A70" w:rsidRPr="00B56CF7" w:rsidRDefault="00B25D3C" w:rsidP="00BF559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En relación con la falta de investigación y sanción de los funcionarios judiciales</w:t>
      </w:r>
      <w:r w:rsidR="000E5533" w:rsidRPr="00B56CF7">
        <w:rPr>
          <w:rFonts w:asciiTheme="majorHAnsi" w:eastAsia="Calibri" w:hAnsiTheme="majorHAnsi"/>
          <w:sz w:val="20"/>
          <w:szCs w:val="20"/>
          <w:lang w:val="es-VE"/>
        </w:rPr>
        <w:t>,</w:t>
      </w:r>
      <w:r w:rsidRPr="00B56CF7">
        <w:rPr>
          <w:rFonts w:asciiTheme="majorHAnsi" w:eastAsia="Calibri" w:hAnsiTheme="majorHAnsi"/>
          <w:sz w:val="20"/>
          <w:szCs w:val="20"/>
          <w:lang w:val="es-VE"/>
        </w:rPr>
        <w:t xml:space="preserve"> </w:t>
      </w:r>
      <w:r w:rsidR="00C36DFD" w:rsidRPr="00B56CF7">
        <w:rPr>
          <w:rFonts w:asciiTheme="majorHAnsi" w:eastAsia="Calibri" w:hAnsiTheme="majorHAnsi"/>
          <w:sz w:val="20"/>
          <w:szCs w:val="20"/>
          <w:lang w:val="es-VE"/>
        </w:rPr>
        <w:t xml:space="preserve">el Estado argumentó que la causa a la que fue sometido el peticionario implicó una investigación sumamente compleja que contó con 19 imputados, de los cuales 9 fueron condenados con penas entre 4 y 17 años de prisión. </w:t>
      </w:r>
      <w:r w:rsidR="00163082" w:rsidRPr="00B56CF7">
        <w:rPr>
          <w:rFonts w:asciiTheme="majorHAnsi" w:eastAsia="Calibri" w:hAnsiTheme="majorHAnsi"/>
          <w:sz w:val="20"/>
          <w:szCs w:val="20"/>
          <w:lang w:val="es-VE"/>
        </w:rPr>
        <w:t xml:space="preserve">Indicó que en el marco de dicha investigación se dispuso la intervención de más de 40 líneas telefónicas y se secuestró una importante cantidad de </w:t>
      </w:r>
      <w:r w:rsidR="00A95835" w:rsidRPr="00B56CF7">
        <w:rPr>
          <w:rFonts w:asciiTheme="majorHAnsi" w:eastAsia="Calibri" w:hAnsiTheme="majorHAnsi"/>
          <w:sz w:val="20"/>
          <w:szCs w:val="20"/>
          <w:lang w:val="es-VE"/>
        </w:rPr>
        <w:t>estupefacientes correspondientes a una red internacional de narcotráfico.</w:t>
      </w:r>
      <w:r w:rsidR="00692DE8" w:rsidRPr="00B56CF7">
        <w:rPr>
          <w:rFonts w:asciiTheme="majorHAnsi" w:eastAsia="Calibri" w:hAnsiTheme="majorHAnsi"/>
          <w:sz w:val="20"/>
          <w:szCs w:val="20"/>
          <w:lang w:val="es-VE"/>
        </w:rPr>
        <w:t xml:space="preserve"> Alegó que en ese marco</w:t>
      </w:r>
      <w:r w:rsidR="007B2A71">
        <w:rPr>
          <w:rFonts w:asciiTheme="majorHAnsi" w:eastAsia="Calibri" w:hAnsiTheme="majorHAnsi"/>
          <w:sz w:val="20"/>
          <w:szCs w:val="20"/>
          <w:lang w:val="es-VE"/>
        </w:rPr>
        <w:t>,</w:t>
      </w:r>
      <w:r w:rsidR="00692DE8" w:rsidRPr="00B56CF7">
        <w:rPr>
          <w:rFonts w:asciiTheme="majorHAnsi" w:eastAsia="Calibri" w:hAnsiTheme="majorHAnsi"/>
          <w:sz w:val="20"/>
          <w:szCs w:val="20"/>
          <w:lang w:val="es-VE"/>
        </w:rPr>
        <w:t xml:space="preserve"> el Tribunal Oral Criminal Federal No. 6 impulsó la investigación de la presunta falsedad ideológica de la transcripción de las escuchas telefónicas que fueron utilizadas como prueba de cargo contra el peticionario, para lo cual ordenó la promoción de actuaciones administrativas que se tramitaron ante la Procuración General de la Nación y de actuaciones judiciales que se tramitaron ante el Juzgado Nacional en lo Criminal y Correccional Federal No</w:t>
      </w:r>
      <w:r w:rsidR="00EF47C6" w:rsidRPr="00B56CF7">
        <w:rPr>
          <w:rFonts w:asciiTheme="majorHAnsi" w:eastAsia="Calibri" w:hAnsiTheme="majorHAnsi"/>
          <w:sz w:val="20"/>
          <w:szCs w:val="20"/>
          <w:lang w:val="es-VE"/>
        </w:rPr>
        <w:t>.</w:t>
      </w:r>
      <w:r w:rsidR="00692DE8" w:rsidRPr="00B56CF7">
        <w:rPr>
          <w:rFonts w:asciiTheme="majorHAnsi" w:eastAsia="Calibri" w:hAnsiTheme="majorHAnsi"/>
          <w:sz w:val="20"/>
          <w:szCs w:val="20"/>
          <w:lang w:val="es-VE"/>
        </w:rPr>
        <w:t xml:space="preserve"> 2 en la causa no. 19.756 caratulada “ NN s/Delito de acción pública”. </w:t>
      </w:r>
    </w:p>
    <w:p w:rsidR="00625E2A" w:rsidRPr="0062236D" w:rsidRDefault="00625E2A" w:rsidP="00910B7A">
      <w:pPr>
        <w:rPr>
          <w:rFonts w:asciiTheme="majorHAnsi" w:hAnsiTheme="majorHAnsi"/>
          <w:sz w:val="20"/>
          <w:szCs w:val="20"/>
          <w:lang w:val="es-VE"/>
        </w:rPr>
      </w:pPr>
    </w:p>
    <w:p w:rsidR="00625E2A" w:rsidRPr="00B56CF7" w:rsidRDefault="00625E2A" w:rsidP="00B25D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En cuanto a las actuaciones administrativas</w:t>
      </w:r>
      <w:r w:rsidR="007B2A71">
        <w:rPr>
          <w:rFonts w:asciiTheme="majorHAnsi" w:eastAsia="Calibri" w:hAnsiTheme="majorHAnsi"/>
          <w:sz w:val="20"/>
          <w:szCs w:val="20"/>
          <w:lang w:val="es-VE"/>
        </w:rPr>
        <w:t>,</w:t>
      </w:r>
      <w:r w:rsidRPr="00B56CF7">
        <w:rPr>
          <w:rFonts w:asciiTheme="majorHAnsi" w:eastAsia="Calibri" w:hAnsiTheme="majorHAnsi"/>
          <w:sz w:val="20"/>
          <w:szCs w:val="20"/>
          <w:lang w:val="es-VE"/>
        </w:rPr>
        <w:t xml:space="preserve"> </w:t>
      </w:r>
      <w:r w:rsidR="006415F5" w:rsidRPr="00B56CF7">
        <w:rPr>
          <w:rFonts w:asciiTheme="majorHAnsi" w:eastAsia="Calibri" w:hAnsiTheme="majorHAnsi"/>
          <w:sz w:val="20"/>
          <w:szCs w:val="20"/>
          <w:lang w:val="es-VE"/>
        </w:rPr>
        <w:t xml:space="preserve">indicó que por resolución 108/99 de 6 de septiembre de 1999, la Procuración de la Nación resolvió que no correspondía efectuar reproches de </w:t>
      </w:r>
      <w:r w:rsidR="00767453" w:rsidRPr="00B56CF7">
        <w:rPr>
          <w:rFonts w:asciiTheme="majorHAnsi" w:eastAsia="Calibri" w:hAnsiTheme="majorHAnsi"/>
          <w:sz w:val="20"/>
          <w:szCs w:val="20"/>
          <w:lang w:val="es-VE"/>
        </w:rPr>
        <w:t>índole</w:t>
      </w:r>
      <w:r w:rsidR="006415F5" w:rsidRPr="00B56CF7">
        <w:rPr>
          <w:rFonts w:asciiTheme="majorHAnsi" w:eastAsia="Calibri" w:hAnsiTheme="majorHAnsi"/>
          <w:sz w:val="20"/>
          <w:szCs w:val="20"/>
          <w:lang w:val="es-VE"/>
        </w:rPr>
        <w:t xml:space="preserve"> funcional a los fiscales de la Fiscalía No. 9</w:t>
      </w:r>
      <w:r w:rsidR="00D52D7B" w:rsidRPr="00B56CF7">
        <w:rPr>
          <w:rFonts w:asciiTheme="majorHAnsi" w:eastAsia="Calibri" w:hAnsiTheme="majorHAnsi"/>
          <w:sz w:val="20"/>
          <w:szCs w:val="20"/>
          <w:lang w:val="es-VE"/>
        </w:rPr>
        <w:t xml:space="preserve">. </w:t>
      </w:r>
      <w:r w:rsidR="00CE4419" w:rsidRPr="00B56CF7">
        <w:rPr>
          <w:rFonts w:asciiTheme="majorHAnsi" w:eastAsia="Calibri" w:hAnsiTheme="majorHAnsi"/>
          <w:sz w:val="20"/>
          <w:szCs w:val="20"/>
          <w:lang w:val="es-VE"/>
        </w:rPr>
        <w:t>Además</w:t>
      </w:r>
      <w:r w:rsidR="00161CB4" w:rsidRPr="00B56CF7">
        <w:rPr>
          <w:rFonts w:asciiTheme="majorHAnsi" w:eastAsia="Calibri" w:hAnsiTheme="majorHAnsi"/>
          <w:sz w:val="20"/>
          <w:szCs w:val="20"/>
          <w:lang w:val="es-VE"/>
        </w:rPr>
        <w:t>,</w:t>
      </w:r>
      <w:r w:rsidR="00CE4419" w:rsidRPr="00B56CF7">
        <w:rPr>
          <w:rFonts w:asciiTheme="majorHAnsi" w:eastAsia="Calibri" w:hAnsiTheme="majorHAnsi"/>
          <w:sz w:val="20"/>
          <w:szCs w:val="20"/>
          <w:lang w:val="es-VE"/>
        </w:rPr>
        <w:t xml:space="preserve"> concluyó que los fiscales no habían incurrido en una falta funcional, tomando en cuenta que </w:t>
      </w:r>
      <w:r w:rsidR="00161CB4" w:rsidRPr="00B56CF7">
        <w:rPr>
          <w:rFonts w:asciiTheme="majorHAnsi" w:eastAsia="Calibri" w:hAnsiTheme="majorHAnsi"/>
          <w:sz w:val="20"/>
          <w:szCs w:val="20"/>
          <w:lang w:val="es-VE"/>
        </w:rPr>
        <w:t xml:space="preserve">las escuchas telefónicas en el </w:t>
      </w:r>
      <w:proofErr w:type="spellStart"/>
      <w:r w:rsidR="00161CB4" w:rsidRPr="00B56CF7">
        <w:rPr>
          <w:rFonts w:asciiTheme="majorHAnsi" w:eastAsia="Calibri" w:hAnsiTheme="majorHAnsi"/>
          <w:sz w:val="20"/>
          <w:szCs w:val="20"/>
          <w:lang w:val="es-VE"/>
        </w:rPr>
        <w:t>cassette</w:t>
      </w:r>
      <w:proofErr w:type="spellEnd"/>
      <w:r w:rsidR="00161CB4" w:rsidRPr="00B56CF7">
        <w:rPr>
          <w:rFonts w:asciiTheme="majorHAnsi" w:eastAsia="Calibri" w:hAnsiTheme="majorHAnsi"/>
          <w:sz w:val="20"/>
          <w:szCs w:val="20"/>
          <w:lang w:val="es-VE"/>
        </w:rPr>
        <w:t xml:space="preserve"> </w:t>
      </w:r>
      <w:r w:rsidR="00EF47C6" w:rsidRPr="00B56CF7">
        <w:rPr>
          <w:rFonts w:asciiTheme="majorHAnsi" w:eastAsia="Calibri" w:hAnsiTheme="majorHAnsi"/>
          <w:sz w:val="20"/>
          <w:szCs w:val="20"/>
          <w:lang w:val="es-VE"/>
        </w:rPr>
        <w:t>N</w:t>
      </w:r>
      <w:r w:rsidR="00161CB4" w:rsidRPr="00B56CF7">
        <w:rPr>
          <w:rFonts w:asciiTheme="majorHAnsi" w:eastAsia="Calibri" w:hAnsiTheme="majorHAnsi"/>
          <w:sz w:val="20"/>
          <w:szCs w:val="20"/>
          <w:lang w:val="es-VE"/>
        </w:rPr>
        <w:t>o. 40 si bien fueron conside</w:t>
      </w:r>
      <w:r w:rsidR="00C72302" w:rsidRPr="00B56CF7">
        <w:rPr>
          <w:rFonts w:asciiTheme="majorHAnsi" w:eastAsia="Calibri" w:hAnsiTheme="majorHAnsi"/>
          <w:sz w:val="20"/>
          <w:szCs w:val="20"/>
          <w:lang w:val="es-VE"/>
        </w:rPr>
        <w:t xml:space="preserve">rados como elementos de cargo, </w:t>
      </w:r>
      <w:r w:rsidR="00161CB4" w:rsidRPr="00B56CF7">
        <w:rPr>
          <w:rFonts w:asciiTheme="majorHAnsi" w:eastAsia="Calibri" w:hAnsiTheme="majorHAnsi"/>
          <w:sz w:val="20"/>
          <w:szCs w:val="20"/>
          <w:lang w:val="es-VE"/>
        </w:rPr>
        <w:t>fueron utilizados como un medio de prueba no concluyente, dentro de un contexto de indicios que llevaron a los funcionarios a solicitar la elevación a juicio de Gabriel Jenkins.</w:t>
      </w:r>
    </w:p>
    <w:p w:rsidR="00161CB4" w:rsidRPr="00B56CF7" w:rsidRDefault="00161CB4" w:rsidP="00161CB4">
      <w:pPr>
        <w:pStyle w:val="ListParagraph"/>
        <w:rPr>
          <w:rFonts w:asciiTheme="majorHAnsi" w:eastAsia="Calibri" w:hAnsiTheme="majorHAnsi"/>
          <w:sz w:val="20"/>
          <w:szCs w:val="20"/>
          <w:lang w:val="es-VE"/>
        </w:rPr>
      </w:pPr>
    </w:p>
    <w:p w:rsidR="00161CB4" w:rsidRPr="00B56CF7" w:rsidRDefault="001E2ACA" w:rsidP="00B25D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 xml:space="preserve">En cuanto a la causa penal 19.756, el Estado informó que en la misma se concluyó que no existían diferencias entre el acta de fs. 1099 y el contenido del </w:t>
      </w:r>
      <w:proofErr w:type="spellStart"/>
      <w:r w:rsidRPr="00B56CF7">
        <w:rPr>
          <w:rFonts w:asciiTheme="majorHAnsi" w:eastAsia="Calibri" w:hAnsiTheme="majorHAnsi"/>
          <w:sz w:val="20"/>
          <w:szCs w:val="20"/>
          <w:lang w:val="es-VE"/>
        </w:rPr>
        <w:t>cassette</w:t>
      </w:r>
      <w:proofErr w:type="spellEnd"/>
      <w:r w:rsidRPr="00B56CF7">
        <w:rPr>
          <w:rFonts w:asciiTheme="majorHAnsi" w:eastAsia="Calibri" w:hAnsiTheme="majorHAnsi"/>
          <w:sz w:val="20"/>
          <w:szCs w:val="20"/>
          <w:lang w:val="es-VE"/>
        </w:rPr>
        <w:t xml:space="preserve"> </w:t>
      </w:r>
      <w:proofErr w:type="spellStart"/>
      <w:r w:rsidR="00D53D62" w:rsidRPr="00B56CF7">
        <w:rPr>
          <w:rFonts w:asciiTheme="majorHAnsi" w:eastAsia="Calibri" w:hAnsiTheme="majorHAnsi"/>
          <w:sz w:val="20"/>
          <w:szCs w:val="20"/>
          <w:lang w:val="es-VE"/>
        </w:rPr>
        <w:t>desgrab</w:t>
      </w:r>
      <w:r w:rsidRPr="00B56CF7">
        <w:rPr>
          <w:rFonts w:asciiTheme="majorHAnsi" w:eastAsia="Calibri" w:hAnsiTheme="majorHAnsi"/>
          <w:sz w:val="20"/>
          <w:szCs w:val="20"/>
          <w:lang w:val="es-VE"/>
        </w:rPr>
        <w:t>ado</w:t>
      </w:r>
      <w:proofErr w:type="spellEnd"/>
      <w:r w:rsidRPr="00B56CF7">
        <w:rPr>
          <w:rFonts w:asciiTheme="majorHAnsi" w:eastAsia="Calibri" w:hAnsiTheme="majorHAnsi"/>
          <w:sz w:val="20"/>
          <w:szCs w:val="20"/>
          <w:lang w:val="es-VE"/>
        </w:rPr>
        <w:t xml:space="preserve"> ya que ambos se referían a un viaje al exterior; no obstante en el auto de elevación a juicio, los fiscales hicieron alusión a un viaje a “Panamá” en lugar de un “viaje al exterior”</w:t>
      </w:r>
      <w:r w:rsidR="00D53D62" w:rsidRPr="00B56CF7">
        <w:rPr>
          <w:rFonts w:asciiTheme="majorHAnsi" w:eastAsia="Calibri" w:hAnsiTheme="majorHAnsi"/>
          <w:sz w:val="20"/>
          <w:szCs w:val="20"/>
          <w:lang w:val="es-VE"/>
        </w:rPr>
        <w:t>, como genéricamente se lo menciona en la gr</w:t>
      </w:r>
      <w:r w:rsidR="00C72302" w:rsidRPr="00B56CF7">
        <w:rPr>
          <w:rFonts w:asciiTheme="majorHAnsi" w:eastAsia="Calibri" w:hAnsiTheme="majorHAnsi"/>
          <w:sz w:val="20"/>
          <w:szCs w:val="20"/>
          <w:lang w:val="es-VE"/>
        </w:rPr>
        <w:t xml:space="preserve">abación y el acta de fs. 1099. </w:t>
      </w:r>
      <w:r w:rsidR="00EF47C6" w:rsidRPr="00B56CF7">
        <w:rPr>
          <w:rFonts w:asciiTheme="majorHAnsi" w:eastAsia="Calibri" w:hAnsiTheme="majorHAnsi"/>
          <w:sz w:val="20"/>
          <w:szCs w:val="20"/>
          <w:lang w:val="es-VE"/>
        </w:rPr>
        <w:t>Indicó que a</w:t>
      </w:r>
      <w:r w:rsidR="00D53D62" w:rsidRPr="00B56CF7">
        <w:rPr>
          <w:rFonts w:asciiTheme="majorHAnsi" w:eastAsia="Calibri" w:hAnsiTheme="majorHAnsi"/>
          <w:sz w:val="20"/>
          <w:szCs w:val="20"/>
          <w:lang w:val="es-VE"/>
        </w:rPr>
        <w:t xml:space="preserve"> pesar de dicha diferencia, se concluyó que los fiscales no se refirieron exclusivamente al acta de fs. 1099, la cual no constituyó ni el único ni el más importante indicio que tuvieron en cuenta para solicitar la elevaci</w:t>
      </w:r>
      <w:r w:rsidR="00C72302" w:rsidRPr="00B56CF7">
        <w:rPr>
          <w:rFonts w:asciiTheme="majorHAnsi" w:eastAsia="Calibri" w:hAnsiTheme="majorHAnsi"/>
          <w:sz w:val="20"/>
          <w:szCs w:val="20"/>
          <w:lang w:val="es-VE"/>
        </w:rPr>
        <w:t xml:space="preserve">ón a juicio del peticionario. </w:t>
      </w:r>
      <w:r w:rsidR="003E2D79" w:rsidRPr="00B56CF7">
        <w:rPr>
          <w:rFonts w:asciiTheme="majorHAnsi" w:eastAsia="Calibri" w:hAnsiTheme="majorHAnsi"/>
          <w:sz w:val="20"/>
          <w:szCs w:val="20"/>
          <w:lang w:val="es-VE"/>
        </w:rPr>
        <w:t>Agregó que e</w:t>
      </w:r>
      <w:r w:rsidR="00D53D62" w:rsidRPr="00B56CF7">
        <w:rPr>
          <w:rFonts w:asciiTheme="majorHAnsi" w:eastAsia="Calibri" w:hAnsiTheme="majorHAnsi"/>
          <w:sz w:val="20"/>
          <w:szCs w:val="20"/>
          <w:lang w:val="es-VE"/>
        </w:rPr>
        <w:t>n vista de ello, por medio de sentencia de 20 de abril de 1998 se ordenó desestimar la cau</w:t>
      </w:r>
      <w:r w:rsidR="00677345" w:rsidRPr="00B56CF7">
        <w:rPr>
          <w:rFonts w:asciiTheme="majorHAnsi" w:eastAsia="Calibri" w:hAnsiTheme="majorHAnsi"/>
          <w:sz w:val="20"/>
          <w:szCs w:val="20"/>
          <w:lang w:val="es-VE"/>
        </w:rPr>
        <w:t>sa por inexistencia de delito.</w:t>
      </w:r>
    </w:p>
    <w:p w:rsidR="003F7FAD" w:rsidRPr="00B56CF7" w:rsidRDefault="003F7FAD" w:rsidP="003F7FAD">
      <w:pPr>
        <w:pStyle w:val="ListParagraph"/>
        <w:rPr>
          <w:rFonts w:asciiTheme="majorHAnsi" w:eastAsia="Calibri" w:hAnsiTheme="majorHAnsi"/>
          <w:sz w:val="20"/>
          <w:szCs w:val="20"/>
          <w:lang w:val="es-VE"/>
        </w:rPr>
      </w:pPr>
    </w:p>
    <w:p w:rsidR="003F7FAD" w:rsidRPr="00B56CF7" w:rsidRDefault="003F7FAD" w:rsidP="00B25D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Alegó que en vista de las razones anteriores, el Estado cumplió con su deber de investigar</w:t>
      </w:r>
      <w:r w:rsidR="00B47060" w:rsidRPr="00B56CF7">
        <w:rPr>
          <w:rFonts w:asciiTheme="majorHAnsi" w:eastAsia="Calibri" w:hAnsiTheme="majorHAnsi"/>
          <w:sz w:val="20"/>
          <w:szCs w:val="20"/>
          <w:lang w:val="es-VE"/>
        </w:rPr>
        <w:t xml:space="preserve"> con la debida diligencia</w:t>
      </w:r>
      <w:r w:rsidRPr="00B56CF7">
        <w:rPr>
          <w:rFonts w:asciiTheme="majorHAnsi" w:eastAsia="Calibri" w:hAnsiTheme="majorHAnsi"/>
          <w:sz w:val="20"/>
          <w:szCs w:val="20"/>
          <w:lang w:val="es-VE"/>
        </w:rPr>
        <w:t xml:space="preserve"> al declarar judicialmente la falsedad ideológica de la prueba, ordenar la inmediata libertad del peticionario y su posterior absolución, así como las actuaciones administrativas y penales para establecer las </w:t>
      </w:r>
      <w:r w:rsidR="00130393" w:rsidRPr="00B56CF7">
        <w:rPr>
          <w:rFonts w:asciiTheme="majorHAnsi" w:eastAsia="Calibri" w:hAnsiTheme="majorHAnsi"/>
          <w:sz w:val="20"/>
          <w:szCs w:val="20"/>
          <w:lang w:val="es-VE"/>
        </w:rPr>
        <w:t xml:space="preserve">posibles </w:t>
      </w:r>
      <w:r w:rsidRPr="00B56CF7">
        <w:rPr>
          <w:rFonts w:asciiTheme="majorHAnsi" w:eastAsia="Calibri" w:hAnsiTheme="majorHAnsi"/>
          <w:sz w:val="20"/>
          <w:szCs w:val="20"/>
          <w:lang w:val="es-VE"/>
        </w:rPr>
        <w:t xml:space="preserve">responsabilidades por los hechos. </w:t>
      </w:r>
    </w:p>
    <w:p w:rsidR="003F7FAD" w:rsidRPr="00B56CF7" w:rsidRDefault="003F7FAD" w:rsidP="003F7FAD">
      <w:pPr>
        <w:pStyle w:val="ListParagraph"/>
        <w:rPr>
          <w:rFonts w:asciiTheme="majorHAnsi" w:eastAsia="Calibri" w:hAnsiTheme="majorHAnsi"/>
          <w:sz w:val="20"/>
          <w:szCs w:val="20"/>
          <w:lang w:val="es-VE"/>
        </w:rPr>
      </w:pPr>
    </w:p>
    <w:p w:rsidR="003A557C" w:rsidRPr="00B56CF7" w:rsidRDefault="003A557C" w:rsidP="00B25D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 xml:space="preserve">Con respecto a la violación del </w:t>
      </w:r>
      <w:r w:rsidRPr="00B56CF7">
        <w:rPr>
          <w:rFonts w:asciiTheme="majorHAnsi" w:eastAsia="Calibri" w:hAnsiTheme="majorHAnsi"/>
          <w:b/>
          <w:sz w:val="20"/>
          <w:szCs w:val="20"/>
          <w:lang w:val="es-VE"/>
        </w:rPr>
        <w:t>derecho a la igualdad</w:t>
      </w:r>
      <w:r w:rsidRPr="00B56CF7">
        <w:rPr>
          <w:rFonts w:asciiTheme="majorHAnsi" w:eastAsia="Calibri" w:hAnsiTheme="majorHAnsi"/>
          <w:sz w:val="20"/>
          <w:szCs w:val="20"/>
          <w:lang w:val="es-VE"/>
        </w:rPr>
        <w:t xml:space="preserve"> el Estado indicó que la le</w:t>
      </w:r>
      <w:r w:rsidR="00DF22C9" w:rsidRPr="00B56CF7">
        <w:rPr>
          <w:rFonts w:asciiTheme="majorHAnsi" w:eastAsia="Calibri" w:hAnsiTheme="majorHAnsi"/>
          <w:sz w:val="20"/>
          <w:szCs w:val="20"/>
          <w:lang w:val="es-VE"/>
        </w:rPr>
        <w:t>y</w:t>
      </w:r>
      <w:r w:rsidRPr="00B56CF7">
        <w:rPr>
          <w:rFonts w:asciiTheme="majorHAnsi" w:eastAsia="Calibri" w:hAnsiTheme="majorHAnsi"/>
          <w:sz w:val="20"/>
          <w:szCs w:val="20"/>
          <w:lang w:val="es-VE"/>
        </w:rPr>
        <w:t xml:space="preserve"> 24.390 niega el beneficio de excarcelación a las personas acusadas de narcotráfico, en consonancia con los compromisos internacionales asumidos por Argentina respecto del flagelo del tráfico de drogas y la delincuencia organizada, los cuales requieren ser armonizados con las disposiciones del derecho interno. </w:t>
      </w:r>
    </w:p>
    <w:p w:rsidR="003A557C" w:rsidRPr="00B56CF7" w:rsidRDefault="003A557C" w:rsidP="003A557C">
      <w:pPr>
        <w:pStyle w:val="ListParagraph"/>
        <w:rPr>
          <w:rFonts w:asciiTheme="majorHAnsi" w:eastAsia="Calibri" w:hAnsiTheme="majorHAnsi"/>
          <w:sz w:val="20"/>
          <w:szCs w:val="20"/>
          <w:lang w:val="es-VE"/>
        </w:rPr>
      </w:pPr>
    </w:p>
    <w:p w:rsidR="003F7FAD" w:rsidRPr="00B56CF7" w:rsidRDefault="003F7FAD" w:rsidP="00B25D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Por otra parte, en cuanto a la falta de reparación en el proceso por daños y perjuicios seguidos contra el Estado Nacional,</w:t>
      </w:r>
      <w:r w:rsidR="009301F7" w:rsidRPr="00B56CF7">
        <w:rPr>
          <w:rFonts w:asciiTheme="majorHAnsi" w:eastAsia="Calibri" w:hAnsiTheme="majorHAnsi"/>
          <w:sz w:val="20"/>
          <w:szCs w:val="20"/>
          <w:lang w:val="es-VE"/>
        </w:rPr>
        <w:t xml:space="preserve"> </w:t>
      </w:r>
      <w:r w:rsidRPr="00B56CF7">
        <w:rPr>
          <w:rFonts w:asciiTheme="majorHAnsi" w:eastAsia="Calibri" w:hAnsiTheme="majorHAnsi"/>
          <w:sz w:val="20"/>
          <w:szCs w:val="20"/>
          <w:lang w:val="es-VE"/>
        </w:rPr>
        <w:t xml:space="preserve">argumentó que </w:t>
      </w:r>
      <w:r w:rsidR="009301F7" w:rsidRPr="00B56CF7">
        <w:rPr>
          <w:rFonts w:asciiTheme="majorHAnsi" w:eastAsia="Calibri" w:hAnsiTheme="majorHAnsi"/>
          <w:sz w:val="20"/>
          <w:szCs w:val="20"/>
          <w:lang w:val="es-VE"/>
        </w:rPr>
        <w:t>la causa por daños y perjuicios promovida por el peticionario contra el Estado Nacional</w:t>
      </w:r>
      <w:r w:rsidR="00FA2208">
        <w:rPr>
          <w:rFonts w:asciiTheme="majorHAnsi" w:eastAsia="Calibri" w:hAnsiTheme="majorHAnsi"/>
          <w:sz w:val="20"/>
          <w:szCs w:val="20"/>
          <w:lang w:val="es-VE"/>
        </w:rPr>
        <w:t>,</w:t>
      </w:r>
      <w:r w:rsidR="009301F7" w:rsidRPr="00B56CF7">
        <w:rPr>
          <w:rFonts w:asciiTheme="majorHAnsi" w:eastAsia="Calibri" w:hAnsiTheme="majorHAnsi"/>
          <w:sz w:val="20"/>
          <w:szCs w:val="20"/>
          <w:lang w:val="es-VE"/>
        </w:rPr>
        <w:t xml:space="preserve"> concluyó con el rechazo de la demanda por sentencia de segunda instancia de la Cámara Nacional de Apelaciones en lo Contencioso Administrativo Federal de 25 de marzo de 2008. </w:t>
      </w:r>
      <w:r w:rsidR="00D735F6" w:rsidRPr="00B56CF7">
        <w:rPr>
          <w:rFonts w:asciiTheme="majorHAnsi" w:eastAsia="Calibri" w:hAnsiTheme="majorHAnsi"/>
          <w:sz w:val="20"/>
          <w:szCs w:val="20"/>
          <w:lang w:val="es-VE"/>
        </w:rPr>
        <w:t>Señaló que e</w:t>
      </w:r>
      <w:r w:rsidR="009301F7" w:rsidRPr="00B56CF7">
        <w:rPr>
          <w:rFonts w:asciiTheme="majorHAnsi" w:eastAsia="Calibri" w:hAnsiTheme="majorHAnsi"/>
          <w:sz w:val="20"/>
          <w:szCs w:val="20"/>
          <w:lang w:val="es-VE"/>
        </w:rPr>
        <w:t xml:space="preserve">l Tribunal de alzada desestimó el recurso de apelación interpuesto por el peticionario por considerar que la absolución del señor Jenkins obedeció no a su “inocencia manifiesta” sino a la insuficiencia de elementos probatorios. </w:t>
      </w:r>
    </w:p>
    <w:p w:rsidR="00A6411A" w:rsidRPr="00B56CF7" w:rsidRDefault="00A6411A" w:rsidP="00A6411A">
      <w:pPr>
        <w:pStyle w:val="ListParagraph"/>
        <w:rPr>
          <w:rFonts w:asciiTheme="majorHAnsi" w:eastAsia="Calibri" w:hAnsiTheme="majorHAnsi"/>
          <w:sz w:val="20"/>
          <w:szCs w:val="20"/>
          <w:lang w:val="es-VE"/>
        </w:rPr>
      </w:pPr>
    </w:p>
    <w:p w:rsidR="00A6411A" w:rsidRPr="00B56CF7" w:rsidRDefault="00A6411A" w:rsidP="00B25D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Indicó que de conformidad con la declaración interpretativa formulada por</w:t>
      </w:r>
      <w:r w:rsidR="00C83458" w:rsidRPr="00B56CF7">
        <w:rPr>
          <w:rFonts w:asciiTheme="majorHAnsi" w:eastAsia="Calibri" w:hAnsiTheme="majorHAnsi"/>
          <w:sz w:val="20"/>
          <w:szCs w:val="20"/>
          <w:lang w:val="es-VE"/>
        </w:rPr>
        <w:t xml:space="preserve"> el Estado </w:t>
      </w:r>
      <w:r w:rsidRPr="00B56CF7">
        <w:rPr>
          <w:rFonts w:asciiTheme="majorHAnsi" w:eastAsia="Calibri" w:hAnsiTheme="majorHAnsi"/>
          <w:sz w:val="20"/>
          <w:szCs w:val="20"/>
          <w:lang w:val="es-VE"/>
        </w:rPr>
        <w:t>respecto del artículo 10 de la Convención Americana, se requiere la determinación del error judicial por un tribunal nacional para que proceda la indemnización.</w:t>
      </w:r>
    </w:p>
    <w:p w:rsidR="009301F7" w:rsidRPr="00B56CF7" w:rsidRDefault="009301F7" w:rsidP="009301F7">
      <w:pPr>
        <w:pStyle w:val="ListParagraph"/>
        <w:rPr>
          <w:rFonts w:asciiTheme="majorHAnsi" w:eastAsia="Calibri" w:hAnsiTheme="majorHAnsi"/>
          <w:sz w:val="20"/>
          <w:szCs w:val="20"/>
          <w:lang w:val="es-VE"/>
        </w:rPr>
      </w:pPr>
    </w:p>
    <w:p w:rsidR="0065540B" w:rsidRPr="00B56CF7" w:rsidRDefault="00C2211A" w:rsidP="00B25D3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 xml:space="preserve">Agregó </w:t>
      </w:r>
      <w:r w:rsidR="00A6411A" w:rsidRPr="00B56CF7">
        <w:rPr>
          <w:rFonts w:asciiTheme="majorHAnsi" w:eastAsia="Calibri" w:hAnsiTheme="majorHAnsi"/>
          <w:sz w:val="20"/>
          <w:szCs w:val="20"/>
          <w:lang w:val="es-VE"/>
        </w:rPr>
        <w:t xml:space="preserve">con respecto a la prisión preventiva, </w:t>
      </w:r>
      <w:r w:rsidRPr="00B56CF7">
        <w:rPr>
          <w:rFonts w:asciiTheme="majorHAnsi" w:eastAsia="Calibri" w:hAnsiTheme="majorHAnsi"/>
          <w:sz w:val="20"/>
          <w:szCs w:val="20"/>
          <w:lang w:val="es-VE"/>
        </w:rPr>
        <w:t>que la Cámara Nacional de Apelaciones consider</w:t>
      </w:r>
      <w:r w:rsidR="007E5655" w:rsidRPr="00B56CF7">
        <w:rPr>
          <w:rFonts w:asciiTheme="majorHAnsi" w:eastAsia="Calibri" w:hAnsiTheme="majorHAnsi"/>
          <w:sz w:val="20"/>
          <w:szCs w:val="20"/>
          <w:lang w:val="es-VE"/>
        </w:rPr>
        <w:t xml:space="preserve">ó que el dictado de </w:t>
      </w:r>
      <w:r w:rsidR="00A6411A" w:rsidRPr="00B56CF7">
        <w:rPr>
          <w:rFonts w:asciiTheme="majorHAnsi" w:eastAsia="Calibri" w:hAnsiTheme="majorHAnsi"/>
          <w:sz w:val="20"/>
          <w:szCs w:val="20"/>
          <w:lang w:val="es-VE"/>
        </w:rPr>
        <w:t>dicha medida</w:t>
      </w:r>
      <w:r w:rsidRPr="00B56CF7">
        <w:rPr>
          <w:rFonts w:asciiTheme="majorHAnsi" w:eastAsia="Calibri" w:hAnsiTheme="majorHAnsi"/>
          <w:sz w:val="20"/>
          <w:szCs w:val="20"/>
          <w:lang w:val="es-VE"/>
        </w:rPr>
        <w:t xml:space="preserve"> no resultó arbitrario o infundado ya que no solamente tuvo en cuenta la prueba </w:t>
      </w:r>
      <w:r w:rsidR="007E5655" w:rsidRPr="00B56CF7">
        <w:rPr>
          <w:rFonts w:asciiTheme="majorHAnsi" w:eastAsia="Calibri" w:hAnsiTheme="majorHAnsi"/>
          <w:sz w:val="20"/>
          <w:szCs w:val="20"/>
          <w:lang w:val="es-VE"/>
        </w:rPr>
        <w:t>cuestionada</w:t>
      </w:r>
      <w:r w:rsidR="007B2A71">
        <w:rPr>
          <w:rFonts w:asciiTheme="majorHAnsi" w:eastAsia="Calibri" w:hAnsiTheme="majorHAnsi"/>
          <w:sz w:val="20"/>
          <w:szCs w:val="20"/>
          <w:lang w:val="es-VE"/>
        </w:rPr>
        <w:t>,</w:t>
      </w:r>
      <w:r w:rsidR="007E5655" w:rsidRPr="00B56CF7">
        <w:rPr>
          <w:rFonts w:asciiTheme="majorHAnsi" w:eastAsia="Calibri" w:hAnsiTheme="majorHAnsi"/>
          <w:sz w:val="20"/>
          <w:szCs w:val="20"/>
          <w:lang w:val="es-VE"/>
        </w:rPr>
        <w:t xml:space="preserve"> sino una serie de elementos probatorios que convencieron al juzgador en el sentido de disponer esa medida </w:t>
      </w:r>
      <w:r w:rsidR="00E950CD" w:rsidRPr="00B56CF7">
        <w:rPr>
          <w:rFonts w:asciiTheme="majorHAnsi" w:eastAsia="Calibri" w:hAnsiTheme="majorHAnsi"/>
          <w:sz w:val="20"/>
          <w:szCs w:val="20"/>
          <w:lang w:val="es-VE"/>
        </w:rPr>
        <w:t>procesal</w:t>
      </w:r>
      <w:r w:rsidR="007E5655" w:rsidRPr="00B56CF7">
        <w:rPr>
          <w:rFonts w:asciiTheme="majorHAnsi" w:eastAsia="Calibri" w:hAnsiTheme="majorHAnsi"/>
          <w:sz w:val="20"/>
          <w:szCs w:val="20"/>
          <w:lang w:val="es-VE"/>
        </w:rPr>
        <w:t xml:space="preserve">. </w:t>
      </w:r>
    </w:p>
    <w:p w:rsidR="0065540B" w:rsidRPr="00B56CF7" w:rsidRDefault="0065540B" w:rsidP="0065540B">
      <w:pPr>
        <w:pStyle w:val="ListParagraph"/>
        <w:rPr>
          <w:rFonts w:asciiTheme="majorHAnsi" w:eastAsia="Calibri" w:hAnsiTheme="majorHAnsi"/>
          <w:sz w:val="20"/>
          <w:szCs w:val="20"/>
          <w:lang w:val="es-VE"/>
        </w:rPr>
      </w:pPr>
    </w:p>
    <w:p w:rsidR="00BE2530" w:rsidRPr="00B56CF7" w:rsidRDefault="00906820" w:rsidP="00BE253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eastAsia="Calibri" w:hAnsiTheme="majorHAnsi"/>
          <w:sz w:val="20"/>
          <w:szCs w:val="20"/>
          <w:lang w:val="es-VE"/>
        </w:rPr>
        <w:t xml:space="preserve"> Concluyó indicando que lo que el peticionario presenta como falta de una adecuada reparación, no es sino el rechazo en el ámbito interno de las pretensiones indemnizatorias </w:t>
      </w:r>
      <w:r w:rsidR="00505527" w:rsidRPr="00B56CF7">
        <w:rPr>
          <w:rFonts w:asciiTheme="majorHAnsi" w:eastAsia="Calibri" w:hAnsiTheme="majorHAnsi"/>
          <w:sz w:val="20"/>
          <w:szCs w:val="20"/>
          <w:lang w:val="es-VE"/>
        </w:rPr>
        <w:t>que han sido consideradas carentes de fun</w:t>
      </w:r>
      <w:r w:rsidR="00C72302" w:rsidRPr="00B56CF7">
        <w:rPr>
          <w:rFonts w:asciiTheme="majorHAnsi" w:eastAsia="Calibri" w:hAnsiTheme="majorHAnsi"/>
          <w:sz w:val="20"/>
          <w:szCs w:val="20"/>
          <w:lang w:val="es-VE"/>
        </w:rPr>
        <w:t>damento jurídico</w:t>
      </w:r>
      <w:r w:rsidR="0082100E" w:rsidRPr="00B56CF7">
        <w:rPr>
          <w:rFonts w:asciiTheme="majorHAnsi" w:eastAsia="Calibri" w:hAnsiTheme="majorHAnsi"/>
          <w:sz w:val="20"/>
          <w:szCs w:val="20"/>
          <w:lang w:val="es-VE"/>
        </w:rPr>
        <w:t>. Agregó</w:t>
      </w:r>
      <w:r w:rsidR="00C05A94" w:rsidRPr="00B56CF7">
        <w:rPr>
          <w:rFonts w:asciiTheme="majorHAnsi" w:eastAsia="Calibri" w:hAnsiTheme="majorHAnsi"/>
          <w:sz w:val="20"/>
          <w:szCs w:val="20"/>
          <w:lang w:val="es-VE"/>
        </w:rPr>
        <w:t xml:space="preserve"> que</w:t>
      </w:r>
      <w:r w:rsidR="00A1622F" w:rsidRPr="00B56CF7">
        <w:rPr>
          <w:rFonts w:asciiTheme="majorHAnsi" w:eastAsia="Calibri" w:hAnsiTheme="majorHAnsi"/>
          <w:sz w:val="20"/>
          <w:szCs w:val="20"/>
          <w:lang w:val="es-VE"/>
        </w:rPr>
        <w:t xml:space="preserve"> la revisión de dichas decisiones por la CIDH vulneraría la </w:t>
      </w:r>
      <w:r w:rsidR="00BE2530" w:rsidRPr="00B56CF7">
        <w:rPr>
          <w:rFonts w:asciiTheme="majorHAnsi" w:eastAsia="Calibri" w:hAnsiTheme="majorHAnsi"/>
          <w:sz w:val="20"/>
          <w:szCs w:val="20"/>
          <w:lang w:val="es-VE"/>
        </w:rPr>
        <w:t xml:space="preserve">doctrina de la cuarta instancia y solicitó a la Comisión que declare que no es responsable internacionalmente en el presente caso. </w:t>
      </w:r>
    </w:p>
    <w:p w:rsidR="00BE2530" w:rsidRPr="00B56CF7" w:rsidRDefault="00BE2530" w:rsidP="0039344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Calibri" w:hAnsiTheme="majorHAnsi"/>
          <w:sz w:val="20"/>
          <w:szCs w:val="20"/>
          <w:lang w:val="es-VE"/>
        </w:rPr>
      </w:pPr>
    </w:p>
    <w:p w:rsidR="00E40449" w:rsidRPr="00B56CF7" w:rsidRDefault="00E40449" w:rsidP="00985C1C">
      <w:pPr>
        <w:pStyle w:val="Heading1"/>
        <w:numPr>
          <w:ilvl w:val="0"/>
          <w:numId w:val="55"/>
        </w:numPr>
        <w:tabs>
          <w:tab w:val="clear" w:pos="1440"/>
        </w:tabs>
      </w:pPr>
      <w:bookmarkStart w:id="35" w:name="_Toc370840748"/>
      <w:bookmarkStart w:id="36" w:name="_Toc370840844"/>
      <w:bookmarkStart w:id="37" w:name="_Toc423514410"/>
      <w:bookmarkStart w:id="38" w:name="_Toc433115986"/>
      <w:bookmarkStart w:id="39" w:name="_Toc444958129"/>
      <w:bookmarkStart w:id="40" w:name="_Toc467577910"/>
      <w:bookmarkStart w:id="41" w:name="_Toc469409081"/>
      <w:r w:rsidRPr="00B56CF7">
        <w:t>HECHOS PROBADOS</w:t>
      </w:r>
      <w:bookmarkEnd w:id="35"/>
      <w:bookmarkEnd w:id="36"/>
      <w:bookmarkEnd w:id="37"/>
      <w:bookmarkEnd w:id="38"/>
      <w:bookmarkEnd w:id="39"/>
      <w:bookmarkEnd w:id="40"/>
      <w:bookmarkEnd w:id="41"/>
    </w:p>
    <w:p w:rsidR="00F75A47" w:rsidRPr="00B56CF7" w:rsidRDefault="00E40449" w:rsidP="00F75A47">
      <w:pPr>
        <w:ind w:right="720"/>
        <w:jc w:val="both"/>
        <w:rPr>
          <w:rFonts w:asciiTheme="majorHAnsi" w:hAnsiTheme="majorHAnsi"/>
          <w:sz w:val="20"/>
          <w:szCs w:val="20"/>
          <w:highlight w:val="yellow"/>
          <w:lang w:val="es-VE"/>
        </w:rPr>
      </w:pPr>
      <w:r w:rsidRPr="00B56CF7">
        <w:rPr>
          <w:rFonts w:asciiTheme="majorHAnsi" w:hAnsiTheme="majorHAnsi"/>
          <w:sz w:val="20"/>
          <w:szCs w:val="20"/>
          <w:highlight w:val="yellow"/>
          <w:lang w:val="es-VE"/>
        </w:rPr>
        <w:t xml:space="preserve"> </w:t>
      </w:r>
    </w:p>
    <w:p w:rsidR="00241518" w:rsidRPr="00B56CF7" w:rsidRDefault="008E07BC" w:rsidP="00C7651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Tomando en cuenta la información disponible en el expediente,</w:t>
      </w:r>
      <w:r w:rsidR="00924C27" w:rsidRPr="00B56CF7">
        <w:rPr>
          <w:rFonts w:asciiTheme="majorHAnsi" w:eastAsia="Times New Roman" w:hAnsiTheme="majorHAnsi"/>
          <w:sz w:val="20"/>
          <w:szCs w:val="20"/>
          <w:bdr w:val="none" w:sz="0" w:space="0" w:color="auto"/>
          <w:lang w:val="es-AR"/>
        </w:rPr>
        <w:t xml:space="preserve"> los alegatos de las partes</w:t>
      </w:r>
      <w:r w:rsidRPr="00B56CF7">
        <w:rPr>
          <w:rFonts w:asciiTheme="majorHAnsi" w:eastAsia="Times New Roman" w:hAnsiTheme="majorHAnsi"/>
          <w:sz w:val="20"/>
          <w:szCs w:val="20"/>
          <w:bdr w:val="none" w:sz="0" w:space="0" w:color="auto"/>
          <w:lang w:val="es-AR"/>
        </w:rPr>
        <w:t xml:space="preserve"> </w:t>
      </w:r>
      <w:r w:rsidR="00924C27" w:rsidRPr="00B56CF7">
        <w:rPr>
          <w:rFonts w:asciiTheme="majorHAnsi" w:eastAsia="Times New Roman" w:hAnsiTheme="majorHAnsi"/>
          <w:sz w:val="20"/>
          <w:szCs w:val="20"/>
          <w:bdr w:val="none" w:sz="0" w:space="0" w:color="auto"/>
          <w:lang w:val="es-AR"/>
        </w:rPr>
        <w:t xml:space="preserve">e </w:t>
      </w:r>
      <w:r w:rsidRPr="00B56CF7">
        <w:rPr>
          <w:rFonts w:asciiTheme="majorHAnsi" w:eastAsia="Times New Roman" w:hAnsiTheme="majorHAnsi"/>
          <w:sz w:val="20"/>
          <w:szCs w:val="20"/>
          <w:bdr w:val="none" w:sz="0" w:space="0" w:color="auto"/>
          <w:lang w:val="es-AR"/>
        </w:rPr>
        <w:t>información de público co</w:t>
      </w:r>
      <w:r w:rsidR="000017F9" w:rsidRPr="00B56CF7">
        <w:rPr>
          <w:rFonts w:asciiTheme="majorHAnsi" w:eastAsia="Times New Roman" w:hAnsiTheme="majorHAnsi"/>
          <w:sz w:val="20"/>
          <w:szCs w:val="20"/>
          <w:bdr w:val="none" w:sz="0" w:space="0" w:color="auto"/>
          <w:lang w:val="es-AR"/>
        </w:rPr>
        <w:t>nocimiento, los hechos probados</w:t>
      </w:r>
      <w:r w:rsidR="00E40449" w:rsidRPr="00B56CF7">
        <w:rPr>
          <w:rFonts w:asciiTheme="majorHAnsi" w:eastAsia="Times New Roman" w:hAnsiTheme="majorHAnsi"/>
          <w:sz w:val="20"/>
          <w:szCs w:val="20"/>
          <w:bdr w:val="none" w:sz="0" w:space="0" w:color="auto"/>
          <w:lang w:val="es-AR"/>
        </w:rPr>
        <w:t xml:space="preserve"> serán descritos en el siguiente orden:</w:t>
      </w:r>
      <w:bookmarkStart w:id="42" w:name="_Toc420680447"/>
      <w:r w:rsidR="00C7651F" w:rsidRPr="00B56CF7">
        <w:rPr>
          <w:rFonts w:asciiTheme="majorHAnsi" w:eastAsia="Times New Roman" w:hAnsiTheme="majorHAnsi"/>
          <w:sz w:val="20"/>
          <w:szCs w:val="20"/>
          <w:bdr w:val="none" w:sz="0" w:space="0" w:color="auto"/>
          <w:lang w:val="es-AR"/>
        </w:rPr>
        <w:t xml:space="preserve"> </w:t>
      </w:r>
      <w:r w:rsidR="00C90D02" w:rsidRPr="00B56CF7">
        <w:rPr>
          <w:rFonts w:asciiTheme="majorHAnsi" w:eastAsia="Times New Roman" w:hAnsiTheme="majorHAnsi"/>
          <w:sz w:val="20"/>
          <w:szCs w:val="20"/>
          <w:bdr w:val="none" w:sz="0" w:space="0" w:color="auto"/>
          <w:lang w:val="es-AR"/>
        </w:rPr>
        <w:t>A</w:t>
      </w:r>
      <w:r w:rsidR="00C7651F" w:rsidRPr="00B56CF7">
        <w:rPr>
          <w:rFonts w:asciiTheme="majorHAnsi" w:eastAsia="Times New Roman" w:hAnsiTheme="majorHAnsi"/>
          <w:sz w:val="20"/>
          <w:szCs w:val="20"/>
          <w:bdr w:val="none" w:sz="0" w:space="0" w:color="auto"/>
          <w:lang w:val="es-AR"/>
        </w:rPr>
        <w:t xml:space="preserve">. </w:t>
      </w:r>
      <w:r w:rsidR="00C90D02" w:rsidRPr="00B56CF7">
        <w:rPr>
          <w:rFonts w:asciiTheme="majorHAnsi" w:eastAsia="Times New Roman" w:hAnsiTheme="majorHAnsi"/>
          <w:sz w:val="20"/>
          <w:szCs w:val="20"/>
          <w:bdr w:val="none" w:sz="0" w:space="0" w:color="auto"/>
          <w:lang w:val="es-AR"/>
        </w:rPr>
        <w:t xml:space="preserve">El proceso penal en contra del peticionario y su </w:t>
      </w:r>
      <w:r w:rsidR="00936F64" w:rsidRPr="00B56CF7">
        <w:rPr>
          <w:rFonts w:asciiTheme="majorHAnsi" w:eastAsia="Times New Roman" w:hAnsiTheme="majorHAnsi"/>
          <w:sz w:val="20"/>
          <w:szCs w:val="20"/>
          <w:bdr w:val="none" w:sz="0" w:space="0" w:color="auto"/>
          <w:lang w:val="es-AR"/>
        </w:rPr>
        <w:t xml:space="preserve">posterior </w:t>
      </w:r>
      <w:r w:rsidR="00C90D02" w:rsidRPr="00B56CF7">
        <w:rPr>
          <w:rFonts w:asciiTheme="majorHAnsi" w:eastAsia="Times New Roman" w:hAnsiTheme="majorHAnsi"/>
          <w:sz w:val="20"/>
          <w:szCs w:val="20"/>
          <w:bdr w:val="none" w:sz="0" w:space="0" w:color="auto"/>
          <w:lang w:val="es-AR"/>
        </w:rPr>
        <w:t xml:space="preserve">absolución; B. Los recursos intentados por el peticionario para lograr su </w:t>
      </w:r>
      <w:r w:rsidR="00505A4D" w:rsidRPr="00B56CF7">
        <w:rPr>
          <w:rFonts w:asciiTheme="majorHAnsi" w:eastAsia="Times New Roman" w:hAnsiTheme="majorHAnsi"/>
          <w:sz w:val="20"/>
          <w:szCs w:val="20"/>
          <w:bdr w:val="none" w:sz="0" w:space="0" w:color="auto"/>
          <w:lang w:val="es-AR"/>
        </w:rPr>
        <w:t>libertad</w:t>
      </w:r>
      <w:r w:rsidR="00C90D02" w:rsidRPr="00B56CF7">
        <w:rPr>
          <w:rFonts w:asciiTheme="majorHAnsi" w:eastAsia="Times New Roman" w:hAnsiTheme="majorHAnsi"/>
          <w:sz w:val="20"/>
          <w:szCs w:val="20"/>
          <w:bdr w:val="none" w:sz="0" w:space="0" w:color="auto"/>
          <w:lang w:val="es-AR"/>
        </w:rPr>
        <w:t xml:space="preserve"> mientras se encontraba </w:t>
      </w:r>
      <w:r w:rsidR="00505A4D" w:rsidRPr="00B56CF7">
        <w:rPr>
          <w:rFonts w:asciiTheme="majorHAnsi" w:eastAsia="Times New Roman" w:hAnsiTheme="majorHAnsi"/>
          <w:sz w:val="20"/>
          <w:szCs w:val="20"/>
          <w:bdr w:val="none" w:sz="0" w:space="0" w:color="auto"/>
          <w:lang w:val="es-AR"/>
        </w:rPr>
        <w:t>en prisión preventiva</w:t>
      </w:r>
      <w:r w:rsidR="00C90D02" w:rsidRPr="00B56CF7">
        <w:rPr>
          <w:rFonts w:asciiTheme="majorHAnsi" w:eastAsia="Times New Roman" w:hAnsiTheme="majorHAnsi"/>
          <w:sz w:val="20"/>
          <w:szCs w:val="20"/>
          <w:bdr w:val="none" w:sz="0" w:space="0" w:color="auto"/>
          <w:lang w:val="es-AR"/>
        </w:rPr>
        <w:t xml:space="preserve">; C. </w:t>
      </w:r>
      <w:r w:rsidR="00111511" w:rsidRPr="00B56CF7">
        <w:rPr>
          <w:rFonts w:asciiTheme="majorHAnsi" w:eastAsia="Times New Roman" w:hAnsiTheme="majorHAnsi"/>
          <w:sz w:val="20"/>
          <w:szCs w:val="20"/>
          <w:bdr w:val="none" w:sz="0" w:space="0" w:color="auto"/>
          <w:lang w:val="es-AR"/>
        </w:rPr>
        <w:t>Las i</w:t>
      </w:r>
      <w:r w:rsidR="00C90D02" w:rsidRPr="00B56CF7">
        <w:rPr>
          <w:rFonts w:asciiTheme="majorHAnsi" w:eastAsia="Times New Roman" w:hAnsiTheme="majorHAnsi"/>
          <w:sz w:val="20"/>
          <w:szCs w:val="20"/>
          <w:bdr w:val="none" w:sz="0" w:space="0" w:color="auto"/>
          <w:lang w:val="es-AR"/>
        </w:rPr>
        <w:t xml:space="preserve">nvestigaciones penales y administrativas relacionadas con la prueba telefónica </w:t>
      </w:r>
      <w:r w:rsidR="00111511" w:rsidRPr="00B56CF7">
        <w:rPr>
          <w:rFonts w:asciiTheme="majorHAnsi" w:eastAsia="Times New Roman" w:hAnsiTheme="majorHAnsi"/>
          <w:sz w:val="20"/>
          <w:szCs w:val="20"/>
          <w:bdr w:val="none" w:sz="0" w:space="0" w:color="auto"/>
          <w:lang w:val="es-AR"/>
        </w:rPr>
        <w:t xml:space="preserve">incorporada en la causa penal contra </w:t>
      </w:r>
      <w:r w:rsidR="00054691" w:rsidRPr="00B56CF7">
        <w:rPr>
          <w:rFonts w:asciiTheme="majorHAnsi" w:eastAsia="Times New Roman" w:hAnsiTheme="majorHAnsi"/>
          <w:sz w:val="20"/>
          <w:szCs w:val="20"/>
          <w:bdr w:val="none" w:sz="0" w:space="0" w:color="auto"/>
          <w:lang w:val="es-AR"/>
        </w:rPr>
        <w:t>el peticionario</w:t>
      </w:r>
      <w:r w:rsidR="00111511" w:rsidRPr="00B56CF7">
        <w:rPr>
          <w:rFonts w:asciiTheme="majorHAnsi" w:eastAsia="Times New Roman" w:hAnsiTheme="majorHAnsi"/>
          <w:sz w:val="20"/>
          <w:szCs w:val="20"/>
          <w:bdr w:val="none" w:sz="0" w:space="0" w:color="auto"/>
          <w:lang w:val="es-AR"/>
        </w:rPr>
        <w:t>;</w:t>
      </w:r>
      <w:r w:rsidR="00E44A40" w:rsidRPr="00B56CF7">
        <w:rPr>
          <w:rFonts w:asciiTheme="majorHAnsi" w:eastAsia="Times New Roman" w:hAnsiTheme="majorHAnsi"/>
          <w:sz w:val="20"/>
          <w:szCs w:val="20"/>
          <w:bdr w:val="none" w:sz="0" w:space="0" w:color="auto"/>
          <w:lang w:val="es-AR"/>
        </w:rPr>
        <w:t xml:space="preserve"> y</w:t>
      </w:r>
      <w:r w:rsidR="00111511" w:rsidRPr="00B56CF7">
        <w:rPr>
          <w:rFonts w:asciiTheme="majorHAnsi" w:eastAsia="Times New Roman" w:hAnsiTheme="majorHAnsi"/>
          <w:sz w:val="20"/>
          <w:szCs w:val="20"/>
          <w:bdr w:val="none" w:sz="0" w:space="0" w:color="auto"/>
          <w:lang w:val="es-AR"/>
        </w:rPr>
        <w:t xml:space="preserve"> </w:t>
      </w:r>
      <w:r w:rsidR="00333AB7" w:rsidRPr="00B56CF7">
        <w:rPr>
          <w:rFonts w:asciiTheme="majorHAnsi" w:eastAsia="Times New Roman" w:hAnsiTheme="majorHAnsi"/>
          <w:sz w:val="20"/>
          <w:szCs w:val="20"/>
          <w:bdr w:val="none" w:sz="0" w:space="0" w:color="auto"/>
          <w:lang w:val="es-AR"/>
        </w:rPr>
        <w:t xml:space="preserve">D. </w:t>
      </w:r>
      <w:r w:rsidR="0047664A" w:rsidRPr="00B56CF7">
        <w:rPr>
          <w:rFonts w:asciiTheme="majorHAnsi" w:eastAsia="Times New Roman" w:hAnsiTheme="majorHAnsi"/>
          <w:sz w:val="20"/>
          <w:szCs w:val="20"/>
          <w:bdr w:val="none" w:sz="0" w:space="0" w:color="auto"/>
          <w:lang w:val="es-AR"/>
        </w:rPr>
        <w:t>El proceso por daños y per</w:t>
      </w:r>
      <w:r w:rsidR="00936F64" w:rsidRPr="00B56CF7">
        <w:rPr>
          <w:rFonts w:asciiTheme="majorHAnsi" w:eastAsia="Times New Roman" w:hAnsiTheme="majorHAnsi"/>
          <w:sz w:val="20"/>
          <w:szCs w:val="20"/>
          <w:bdr w:val="none" w:sz="0" w:space="0" w:color="auto"/>
          <w:lang w:val="es-AR"/>
        </w:rPr>
        <w:t>juicios promovido por el peticionario.</w:t>
      </w:r>
    </w:p>
    <w:p w:rsidR="00C90D02" w:rsidRPr="00B56CF7" w:rsidRDefault="00C90D02" w:rsidP="00252F69">
      <w:pPr>
        <w:rPr>
          <w:rFonts w:asciiTheme="majorHAnsi" w:hAnsiTheme="majorHAnsi"/>
          <w:sz w:val="20"/>
          <w:szCs w:val="20"/>
          <w:lang w:val="es-ES_tradnl"/>
        </w:rPr>
      </w:pPr>
    </w:p>
    <w:p w:rsidR="00224155" w:rsidRPr="00B56CF7" w:rsidRDefault="003F706E" w:rsidP="00911CD9">
      <w:pPr>
        <w:pStyle w:val="Heading2"/>
        <w:numPr>
          <w:ilvl w:val="0"/>
          <w:numId w:val="60"/>
        </w:numPr>
      </w:pPr>
      <w:bookmarkStart w:id="43" w:name="_Toc467577911"/>
      <w:bookmarkStart w:id="44" w:name="_Toc469409082"/>
      <w:r w:rsidRPr="00B56CF7">
        <w:rPr>
          <w:lang w:val="es-VE"/>
        </w:rPr>
        <w:t xml:space="preserve">El proceso penal </w:t>
      </w:r>
      <w:r w:rsidR="00936F64" w:rsidRPr="00B56CF7">
        <w:rPr>
          <w:lang w:val="es-VE"/>
        </w:rPr>
        <w:t>en contra del peticionario y su posterior absolución</w:t>
      </w:r>
      <w:bookmarkEnd w:id="43"/>
      <w:bookmarkEnd w:id="44"/>
    </w:p>
    <w:p w:rsidR="00B60C61" w:rsidRPr="00B56CF7" w:rsidRDefault="00B60C61" w:rsidP="00C520A7">
      <w:pPr>
        <w:jc w:val="both"/>
        <w:rPr>
          <w:rFonts w:asciiTheme="majorHAnsi" w:hAnsiTheme="majorHAnsi"/>
          <w:b/>
          <w:sz w:val="20"/>
          <w:szCs w:val="20"/>
          <w:lang w:val="es-VE"/>
        </w:rPr>
      </w:pPr>
    </w:p>
    <w:p w:rsidR="008167A5" w:rsidRPr="00B56CF7" w:rsidRDefault="000915E1" w:rsidP="008167A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E</w:t>
      </w:r>
      <w:r w:rsidR="008167A5" w:rsidRPr="00B56CF7">
        <w:rPr>
          <w:rFonts w:asciiTheme="majorHAnsi" w:eastAsia="Times New Roman" w:hAnsiTheme="majorHAnsi"/>
          <w:sz w:val="20"/>
          <w:szCs w:val="20"/>
          <w:bdr w:val="none" w:sz="0" w:space="0" w:color="auto"/>
          <w:lang w:val="es-AR"/>
        </w:rPr>
        <w:t xml:space="preserve">s un hecho no controvertido </w:t>
      </w:r>
      <w:r w:rsidR="00CB1970" w:rsidRPr="00B56CF7">
        <w:rPr>
          <w:rFonts w:asciiTheme="majorHAnsi" w:eastAsia="Times New Roman" w:hAnsiTheme="majorHAnsi"/>
          <w:sz w:val="20"/>
          <w:szCs w:val="20"/>
          <w:bdr w:val="none" w:sz="0" w:space="0" w:color="auto"/>
          <w:lang w:val="es-AR"/>
        </w:rPr>
        <w:t>entre las partes</w:t>
      </w:r>
      <w:r w:rsidR="008167A5" w:rsidRPr="00B56CF7">
        <w:rPr>
          <w:rFonts w:asciiTheme="majorHAnsi" w:eastAsia="Times New Roman" w:hAnsiTheme="majorHAnsi"/>
          <w:sz w:val="20"/>
          <w:szCs w:val="20"/>
          <w:bdr w:val="none" w:sz="0" w:space="0" w:color="auto"/>
          <w:lang w:val="es-AR"/>
        </w:rPr>
        <w:t xml:space="preserve"> que el peticionario fue detenido </w:t>
      </w:r>
      <w:r w:rsidR="00D1284F" w:rsidRPr="00B56CF7">
        <w:rPr>
          <w:rFonts w:asciiTheme="majorHAnsi" w:eastAsia="Times New Roman" w:hAnsiTheme="majorHAnsi"/>
          <w:sz w:val="20"/>
          <w:szCs w:val="20"/>
          <w:bdr w:val="none" w:sz="0" w:space="0" w:color="auto"/>
          <w:lang w:val="es-AR"/>
        </w:rPr>
        <w:t>el 8 de</w:t>
      </w:r>
      <w:r w:rsidR="00D071B0" w:rsidRPr="00B56CF7">
        <w:rPr>
          <w:rFonts w:asciiTheme="majorHAnsi" w:eastAsia="Times New Roman" w:hAnsiTheme="majorHAnsi"/>
          <w:sz w:val="20"/>
          <w:szCs w:val="20"/>
          <w:bdr w:val="none" w:sz="0" w:space="0" w:color="auto"/>
          <w:lang w:val="es-AR"/>
        </w:rPr>
        <w:t xml:space="preserve"> junio de 1994 en virtud de una orden dictada por el Juez Federal No. 9, Juan José Galeano</w:t>
      </w:r>
      <w:r w:rsidR="00B829A2" w:rsidRPr="00B56CF7">
        <w:rPr>
          <w:rFonts w:asciiTheme="majorHAnsi" w:eastAsia="Times New Roman" w:hAnsiTheme="majorHAnsi"/>
          <w:sz w:val="20"/>
          <w:szCs w:val="20"/>
          <w:bdr w:val="none" w:sz="0" w:space="0" w:color="auto"/>
          <w:lang w:val="es-AR"/>
        </w:rPr>
        <w:t>. Tampoco está en controversia que el señor Jenkins fue</w:t>
      </w:r>
      <w:r w:rsidR="00D071B0" w:rsidRPr="00B56CF7">
        <w:rPr>
          <w:rFonts w:asciiTheme="majorHAnsi" w:eastAsia="Times New Roman" w:hAnsiTheme="majorHAnsi"/>
          <w:sz w:val="20"/>
          <w:szCs w:val="20"/>
          <w:bdr w:val="none" w:sz="0" w:space="0" w:color="auto"/>
          <w:lang w:val="es-AR"/>
        </w:rPr>
        <w:t xml:space="preserve"> sometido a proceso penal en el marco de la causa “Padilla Echeverry y otros” seguida por el Tribunal Oral </w:t>
      </w:r>
      <w:r w:rsidR="00CF6C35" w:rsidRPr="00B56CF7">
        <w:rPr>
          <w:rFonts w:asciiTheme="majorHAnsi" w:eastAsia="Times New Roman" w:hAnsiTheme="majorHAnsi"/>
          <w:sz w:val="20"/>
          <w:szCs w:val="20"/>
          <w:bdr w:val="none" w:sz="0" w:space="0" w:color="auto"/>
          <w:lang w:val="es-AR"/>
        </w:rPr>
        <w:t>en lo Criminal Federal No. 6</w:t>
      </w:r>
      <w:r w:rsidR="001B17A9" w:rsidRPr="00B56CF7">
        <w:rPr>
          <w:rFonts w:asciiTheme="majorHAnsi" w:eastAsia="Times New Roman" w:hAnsiTheme="majorHAnsi"/>
          <w:sz w:val="20"/>
          <w:szCs w:val="20"/>
          <w:bdr w:val="none" w:sz="0" w:space="0" w:color="auto"/>
          <w:lang w:val="es-AR"/>
        </w:rPr>
        <w:t xml:space="preserve"> por los delitos de </w:t>
      </w:r>
      <w:r w:rsidR="00605ED0" w:rsidRPr="00B56CF7">
        <w:rPr>
          <w:rFonts w:asciiTheme="majorHAnsi" w:eastAsia="Times New Roman" w:hAnsiTheme="majorHAnsi"/>
          <w:sz w:val="20"/>
          <w:szCs w:val="20"/>
          <w:bdr w:val="none" w:sz="0" w:space="0" w:color="auto"/>
          <w:lang w:val="es-AR"/>
        </w:rPr>
        <w:t>tráfico ilícito de estupefacientes y asociación ilícita.</w:t>
      </w:r>
      <w:r w:rsidR="00CC5E22" w:rsidRPr="00B56CF7">
        <w:rPr>
          <w:rFonts w:asciiTheme="majorHAnsi" w:eastAsia="Times New Roman" w:hAnsiTheme="majorHAnsi"/>
          <w:sz w:val="20"/>
          <w:szCs w:val="20"/>
          <w:bdr w:val="none" w:sz="0" w:space="0" w:color="auto"/>
          <w:lang w:val="es-AR"/>
        </w:rPr>
        <w:t xml:space="preserve"> A continuación la Comisión efectuará una narración cronológica del referido proceso, tomando en cuenta los temas debatidos entre las partes durante la etapa de fondo del caso. </w:t>
      </w:r>
    </w:p>
    <w:p w:rsidR="008C4A05" w:rsidRPr="00B56CF7" w:rsidRDefault="008C4A05" w:rsidP="007C452A">
      <w:pPr>
        <w:jc w:val="both"/>
        <w:rPr>
          <w:rFonts w:asciiTheme="majorHAnsi" w:hAnsiTheme="majorHAnsi"/>
          <w:b/>
          <w:sz w:val="20"/>
          <w:szCs w:val="20"/>
          <w:lang w:val="es-VE"/>
        </w:rPr>
      </w:pPr>
    </w:p>
    <w:p w:rsidR="008C4A05" w:rsidRPr="005553B9" w:rsidRDefault="008C4A05" w:rsidP="005553B9">
      <w:pPr>
        <w:pStyle w:val="Heading3"/>
        <w:numPr>
          <w:ilvl w:val="1"/>
          <w:numId w:val="55"/>
        </w:numPr>
        <w:tabs>
          <w:tab w:val="clear" w:pos="1800"/>
          <w:tab w:val="num" w:pos="1440"/>
        </w:tabs>
        <w:ind w:hanging="1080"/>
        <w:rPr>
          <w:color w:val="auto"/>
          <w:sz w:val="20"/>
          <w:szCs w:val="20"/>
          <w:lang w:val="es-VE"/>
        </w:rPr>
      </w:pPr>
      <w:bookmarkStart w:id="45" w:name="_Toc469409083"/>
      <w:r w:rsidRPr="005553B9">
        <w:rPr>
          <w:color w:val="auto"/>
          <w:sz w:val="20"/>
          <w:szCs w:val="20"/>
          <w:lang w:val="es-VE"/>
        </w:rPr>
        <w:t xml:space="preserve">Incorporación de </w:t>
      </w:r>
      <w:r w:rsidR="008F627B" w:rsidRPr="005553B9">
        <w:rPr>
          <w:color w:val="auto"/>
          <w:sz w:val="20"/>
          <w:szCs w:val="20"/>
          <w:lang w:val="es-VE"/>
        </w:rPr>
        <w:t xml:space="preserve">una </w:t>
      </w:r>
      <w:r w:rsidRPr="005553B9">
        <w:rPr>
          <w:color w:val="auto"/>
          <w:sz w:val="20"/>
          <w:szCs w:val="20"/>
          <w:lang w:val="es-VE"/>
        </w:rPr>
        <w:t xml:space="preserve">grabación telefónica </w:t>
      </w:r>
      <w:r w:rsidR="00BE75DE" w:rsidRPr="005553B9">
        <w:rPr>
          <w:color w:val="auto"/>
          <w:sz w:val="20"/>
          <w:szCs w:val="20"/>
          <w:lang w:val="es-VE"/>
        </w:rPr>
        <w:t>y solicitud de elevación a juicio de Gabriel Jenkins</w:t>
      </w:r>
      <w:bookmarkEnd w:id="45"/>
    </w:p>
    <w:p w:rsidR="008C4A05" w:rsidRPr="00B56CF7" w:rsidRDefault="008C4A05" w:rsidP="008C4A0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sz w:val="20"/>
          <w:szCs w:val="20"/>
          <w:bdr w:val="none" w:sz="0" w:space="0" w:color="auto"/>
          <w:lang w:val="es-AR"/>
        </w:rPr>
      </w:pPr>
    </w:p>
    <w:p w:rsidR="007E5462" w:rsidRPr="00B56CF7" w:rsidRDefault="007E5462" w:rsidP="00B83B2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 xml:space="preserve">Según consta en el </w:t>
      </w:r>
      <w:r w:rsidR="00EF5C68" w:rsidRPr="00B56CF7">
        <w:rPr>
          <w:rFonts w:asciiTheme="majorHAnsi" w:eastAsia="Times New Roman" w:hAnsiTheme="majorHAnsi"/>
          <w:sz w:val="20"/>
          <w:szCs w:val="20"/>
          <w:bdr w:val="none" w:sz="0" w:space="0" w:color="auto"/>
          <w:lang w:val="es-AR"/>
        </w:rPr>
        <w:t>expediente,</w:t>
      </w:r>
      <w:r w:rsidRPr="00B56CF7">
        <w:rPr>
          <w:rFonts w:asciiTheme="majorHAnsi" w:eastAsia="Times New Roman" w:hAnsiTheme="majorHAnsi"/>
          <w:sz w:val="20"/>
          <w:szCs w:val="20"/>
          <w:bdr w:val="none" w:sz="0" w:space="0" w:color="auto"/>
          <w:lang w:val="es-AR"/>
        </w:rPr>
        <w:t xml:space="preserve"> en el marco de dicho proceso se incorporó como prueba de cargo en contra del peticionario una conversaci</w:t>
      </w:r>
      <w:r w:rsidR="006E6E08" w:rsidRPr="00B56CF7">
        <w:rPr>
          <w:rFonts w:asciiTheme="majorHAnsi" w:eastAsia="Times New Roman" w:hAnsiTheme="majorHAnsi"/>
          <w:sz w:val="20"/>
          <w:szCs w:val="20"/>
          <w:bdr w:val="none" w:sz="0" w:space="0" w:color="auto"/>
          <w:lang w:val="es-AR"/>
        </w:rPr>
        <w:t xml:space="preserve">ón </w:t>
      </w:r>
      <w:r w:rsidR="00B83B21" w:rsidRPr="00B56CF7">
        <w:rPr>
          <w:rFonts w:asciiTheme="majorHAnsi" w:eastAsia="Times New Roman" w:hAnsiTheme="majorHAnsi"/>
          <w:sz w:val="20"/>
          <w:szCs w:val="20"/>
          <w:bdr w:val="none" w:sz="0" w:space="0" w:color="auto"/>
          <w:lang w:val="es-AR"/>
        </w:rPr>
        <w:t xml:space="preserve">que </w:t>
      </w:r>
      <w:r w:rsidR="00A44C2B" w:rsidRPr="00B56CF7">
        <w:rPr>
          <w:rFonts w:asciiTheme="majorHAnsi" w:eastAsia="Times New Roman" w:hAnsiTheme="majorHAnsi"/>
          <w:sz w:val="20"/>
          <w:szCs w:val="20"/>
          <w:bdr w:val="none" w:sz="0" w:space="0" w:color="auto"/>
          <w:lang w:val="es-AR"/>
        </w:rPr>
        <w:t>é</w:t>
      </w:r>
      <w:r w:rsidR="00B83B21" w:rsidRPr="00B56CF7">
        <w:rPr>
          <w:rFonts w:asciiTheme="majorHAnsi" w:eastAsia="Times New Roman" w:hAnsiTheme="majorHAnsi"/>
          <w:sz w:val="20"/>
          <w:szCs w:val="20"/>
          <w:bdr w:val="none" w:sz="0" w:space="0" w:color="auto"/>
          <w:lang w:val="es-AR"/>
        </w:rPr>
        <w:t>ste sostuvo con Jorge Martínez, también procesado, quien en</w:t>
      </w:r>
      <w:r w:rsidR="00A44C2B" w:rsidRPr="00B56CF7">
        <w:rPr>
          <w:rFonts w:asciiTheme="majorHAnsi" w:eastAsia="Times New Roman" w:hAnsiTheme="majorHAnsi"/>
          <w:sz w:val="20"/>
          <w:szCs w:val="20"/>
          <w:bdr w:val="none" w:sz="0" w:space="0" w:color="auto"/>
          <w:lang w:val="es-AR"/>
        </w:rPr>
        <w:t xml:space="preserve"> dicha conversación </w:t>
      </w:r>
      <w:r w:rsidR="00B83B21" w:rsidRPr="00B56CF7">
        <w:rPr>
          <w:rFonts w:asciiTheme="majorHAnsi" w:eastAsia="Times New Roman" w:hAnsiTheme="majorHAnsi"/>
          <w:sz w:val="20"/>
          <w:szCs w:val="20"/>
          <w:bdr w:val="none" w:sz="0" w:space="0" w:color="auto"/>
          <w:lang w:val="es-AR"/>
        </w:rPr>
        <w:t>quedó en llamar al peticionario a fin de que lo acompañ</w:t>
      </w:r>
      <w:r w:rsidR="00B77461" w:rsidRPr="00B56CF7">
        <w:rPr>
          <w:rFonts w:asciiTheme="majorHAnsi" w:eastAsia="Times New Roman" w:hAnsiTheme="majorHAnsi"/>
          <w:sz w:val="20"/>
          <w:szCs w:val="20"/>
          <w:bdr w:val="none" w:sz="0" w:space="0" w:color="auto"/>
          <w:lang w:val="es-AR"/>
        </w:rPr>
        <w:t>e</w:t>
      </w:r>
      <w:r w:rsidR="00B83B21" w:rsidRPr="00B56CF7">
        <w:rPr>
          <w:rFonts w:asciiTheme="majorHAnsi" w:eastAsia="Times New Roman" w:hAnsiTheme="majorHAnsi"/>
          <w:sz w:val="20"/>
          <w:szCs w:val="20"/>
          <w:bdr w:val="none" w:sz="0" w:space="0" w:color="auto"/>
          <w:lang w:val="es-AR"/>
        </w:rPr>
        <w:t xml:space="preserve"> a un viaje al exterior. </w:t>
      </w:r>
      <w:r w:rsidR="00B83B21" w:rsidRPr="00B56CF7">
        <w:rPr>
          <w:rFonts w:asciiTheme="majorHAnsi" w:eastAsia="Times New Roman" w:hAnsiTheme="majorHAnsi"/>
          <w:sz w:val="20"/>
          <w:szCs w:val="20"/>
          <w:bdr w:val="none" w:sz="0" w:space="0" w:color="auto"/>
          <w:lang w:val="es-AR"/>
        </w:rPr>
        <w:lastRenderedPageBreak/>
        <w:t xml:space="preserve">Dicha conversación quedó grabada en el </w:t>
      </w:r>
      <w:proofErr w:type="spellStart"/>
      <w:r w:rsidR="00B83B21" w:rsidRPr="00B56CF7">
        <w:rPr>
          <w:rFonts w:asciiTheme="majorHAnsi" w:eastAsia="Times New Roman" w:hAnsiTheme="majorHAnsi"/>
          <w:sz w:val="20"/>
          <w:szCs w:val="20"/>
          <w:bdr w:val="none" w:sz="0" w:space="0" w:color="auto"/>
          <w:lang w:val="es-AR"/>
        </w:rPr>
        <w:t>cassette</w:t>
      </w:r>
      <w:proofErr w:type="spellEnd"/>
      <w:r w:rsidR="00B83B21" w:rsidRPr="00B56CF7">
        <w:rPr>
          <w:rFonts w:asciiTheme="majorHAnsi" w:eastAsia="Times New Roman" w:hAnsiTheme="majorHAnsi"/>
          <w:sz w:val="20"/>
          <w:szCs w:val="20"/>
          <w:bdr w:val="none" w:sz="0" w:space="0" w:color="auto"/>
          <w:lang w:val="es-AR"/>
        </w:rPr>
        <w:t xml:space="preserve"> identificado con </w:t>
      </w:r>
      <w:r w:rsidR="00EF5C68" w:rsidRPr="00B56CF7">
        <w:rPr>
          <w:rFonts w:asciiTheme="majorHAnsi" w:eastAsia="Times New Roman" w:hAnsiTheme="majorHAnsi"/>
          <w:sz w:val="20"/>
          <w:szCs w:val="20"/>
          <w:bdr w:val="none" w:sz="0" w:space="0" w:color="auto"/>
          <w:lang w:val="es-AR"/>
        </w:rPr>
        <w:t xml:space="preserve">el </w:t>
      </w:r>
      <w:r w:rsidR="00822126" w:rsidRPr="00B56CF7">
        <w:rPr>
          <w:rFonts w:asciiTheme="majorHAnsi" w:eastAsia="Times New Roman" w:hAnsiTheme="majorHAnsi"/>
          <w:sz w:val="20"/>
          <w:szCs w:val="20"/>
          <w:bdr w:val="none" w:sz="0" w:space="0" w:color="auto"/>
          <w:lang w:val="es-AR"/>
        </w:rPr>
        <w:t>No.</w:t>
      </w:r>
      <w:r w:rsidR="00EF5C68" w:rsidRPr="00B56CF7">
        <w:rPr>
          <w:rFonts w:asciiTheme="majorHAnsi" w:eastAsia="Times New Roman" w:hAnsiTheme="majorHAnsi"/>
          <w:sz w:val="20"/>
          <w:szCs w:val="20"/>
          <w:bdr w:val="none" w:sz="0" w:space="0" w:color="auto"/>
          <w:lang w:val="es-AR"/>
        </w:rPr>
        <w:t xml:space="preserve"> 40 dentro de las constancias probatorias del proceso</w:t>
      </w:r>
      <w:r w:rsidR="00EF5C68" w:rsidRPr="00B56CF7">
        <w:rPr>
          <w:rFonts w:asciiTheme="majorHAnsi" w:eastAsia="Times New Roman" w:hAnsiTheme="majorHAnsi"/>
          <w:sz w:val="20"/>
          <w:szCs w:val="20"/>
          <w:bdr w:val="none" w:sz="0" w:space="0" w:color="auto"/>
          <w:vertAlign w:val="superscript"/>
          <w:lang w:val="es-AR"/>
        </w:rPr>
        <w:footnoteReference w:id="3"/>
      </w:r>
      <w:r w:rsidR="00EF5C68" w:rsidRPr="00B56CF7">
        <w:rPr>
          <w:rFonts w:asciiTheme="majorHAnsi" w:eastAsia="Times New Roman" w:hAnsiTheme="majorHAnsi"/>
          <w:sz w:val="20"/>
          <w:szCs w:val="20"/>
          <w:bdr w:val="none" w:sz="0" w:space="0" w:color="auto"/>
          <w:lang w:val="es-AR"/>
        </w:rPr>
        <w:t xml:space="preserve">. </w:t>
      </w:r>
    </w:p>
    <w:p w:rsidR="008F627B" w:rsidRPr="00B56CF7" w:rsidRDefault="008F627B" w:rsidP="00524D3F">
      <w:pPr>
        <w:rPr>
          <w:rFonts w:asciiTheme="majorHAnsi" w:eastAsia="Times New Roman" w:hAnsiTheme="majorHAnsi"/>
          <w:sz w:val="20"/>
          <w:szCs w:val="20"/>
          <w:bdr w:val="none" w:sz="0" w:space="0" w:color="auto"/>
          <w:lang w:val="es-AR"/>
        </w:rPr>
      </w:pPr>
    </w:p>
    <w:p w:rsidR="00B83B21" w:rsidRPr="00B56CF7" w:rsidRDefault="00E14556" w:rsidP="00B83B2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Según indicaron las partes, la constanc</w:t>
      </w:r>
      <w:r w:rsidR="00C74AF3" w:rsidRPr="00B56CF7">
        <w:rPr>
          <w:rFonts w:asciiTheme="majorHAnsi" w:eastAsia="Times New Roman" w:hAnsiTheme="majorHAnsi"/>
          <w:sz w:val="20"/>
          <w:szCs w:val="20"/>
          <w:bdr w:val="none" w:sz="0" w:space="0" w:color="auto"/>
          <w:lang w:val="es-AR"/>
        </w:rPr>
        <w:t>ia de dicha conversación quedó</w:t>
      </w:r>
      <w:r w:rsidRPr="00B56CF7">
        <w:rPr>
          <w:rFonts w:asciiTheme="majorHAnsi" w:eastAsia="Times New Roman" w:hAnsiTheme="majorHAnsi"/>
          <w:sz w:val="20"/>
          <w:szCs w:val="20"/>
          <w:bdr w:val="none" w:sz="0" w:space="0" w:color="auto"/>
          <w:lang w:val="es-AR"/>
        </w:rPr>
        <w:t xml:space="preserve"> contenida en el folio 1099 </w:t>
      </w:r>
      <w:r w:rsidR="000529B2" w:rsidRPr="00B56CF7">
        <w:rPr>
          <w:rFonts w:asciiTheme="majorHAnsi" w:eastAsia="Times New Roman" w:hAnsiTheme="majorHAnsi"/>
          <w:sz w:val="20"/>
          <w:szCs w:val="20"/>
          <w:bdr w:val="none" w:sz="0" w:space="0" w:color="auto"/>
          <w:lang w:val="es-AR"/>
        </w:rPr>
        <w:t xml:space="preserve">y estaba </w:t>
      </w:r>
      <w:r w:rsidRPr="00B56CF7">
        <w:rPr>
          <w:rFonts w:asciiTheme="majorHAnsi" w:eastAsia="Times New Roman" w:hAnsiTheme="majorHAnsi"/>
          <w:sz w:val="20"/>
          <w:szCs w:val="20"/>
          <w:bdr w:val="none" w:sz="0" w:space="0" w:color="auto"/>
          <w:lang w:val="es-AR"/>
        </w:rPr>
        <w:t>firmada por el Principal Carlos Salomone y el Comisario Jorge Alberto Palacios</w:t>
      </w:r>
      <w:r w:rsidRPr="00B56CF7">
        <w:rPr>
          <w:rFonts w:asciiTheme="majorHAnsi" w:eastAsia="Times New Roman" w:hAnsiTheme="majorHAnsi"/>
          <w:sz w:val="20"/>
          <w:szCs w:val="20"/>
          <w:bdr w:val="none" w:sz="0" w:space="0" w:color="auto"/>
          <w:vertAlign w:val="superscript"/>
          <w:lang w:val="es-AR"/>
        </w:rPr>
        <w:footnoteReference w:id="4"/>
      </w:r>
      <w:r w:rsidRPr="00B56CF7">
        <w:rPr>
          <w:rFonts w:asciiTheme="majorHAnsi" w:eastAsia="Times New Roman" w:hAnsiTheme="majorHAnsi"/>
          <w:sz w:val="20"/>
          <w:szCs w:val="20"/>
          <w:bdr w:val="none" w:sz="0" w:space="0" w:color="auto"/>
          <w:lang w:val="es-AR"/>
        </w:rPr>
        <w:t xml:space="preserve">. </w:t>
      </w:r>
    </w:p>
    <w:p w:rsidR="00126F99" w:rsidRPr="00B56CF7" w:rsidRDefault="00126F99" w:rsidP="00126F99">
      <w:pPr>
        <w:pStyle w:val="ListParagraph"/>
        <w:rPr>
          <w:rFonts w:asciiTheme="majorHAnsi" w:eastAsia="Times New Roman" w:hAnsiTheme="majorHAnsi"/>
          <w:sz w:val="20"/>
          <w:szCs w:val="20"/>
          <w:bdr w:val="none" w:sz="0" w:space="0" w:color="auto"/>
          <w:lang w:val="es-AR"/>
        </w:rPr>
      </w:pPr>
    </w:p>
    <w:p w:rsidR="00CC2D25" w:rsidRPr="00B56CF7" w:rsidRDefault="00126F99" w:rsidP="00AD1F9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eastAsia="Times New Roman" w:hAnsiTheme="majorHAnsi"/>
          <w:sz w:val="20"/>
          <w:szCs w:val="20"/>
          <w:bdr w:val="none" w:sz="0" w:space="0" w:color="auto"/>
          <w:lang w:val="es-AR"/>
        </w:rPr>
        <w:t>En dicha constancia se indica lo siguiente</w:t>
      </w:r>
      <w:r w:rsidR="00093BA5" w:rsidRPr="00B56CF7">
        <w:rPr>
          <w:rFonts w:asciiTheme="majorHAnsi" w:hAnsiTheme="majorHAnsi"/>
          <w:sz w:val="20"/>
          <w:szCs w:val="20"/>
          <w:lang w:val="es-VE"/>
        </w:rPr>
        <w:t xml:space="preserve">: </w:t>
      </w:r>
    </w:p>
    <w:p w:rsidR="00CC2D25" w:rsidRPr="00B56CF7" w:rsidRDefault="00CC2D25" w:rsidP="00CC2D25">
      <w:pPr>
        <w:pStyle w:val="ListParagraph"/>
        <w:rPr>
          <w:rFonts w:asciiTheme="majorHAnsi" w:hAnsiTheme="majorHAnsi"/>
          <w:sz w:val="20"/>
          <w:szCs w:val="20"/>
          <w:lang w:val="es-VE"/>
        </w:rPr>
      </w:pPr>
    </w:p>
    <w:p w:rsidR="00126F99" w:rsidRPr="0062236D" w:rsidRDefault="00126F99" w:rsidP="00CC2D25">
      <w:pPr>
        <w:tabs>
          <w:tab w:val="num" w:pos="1440"/>
        </w:tabs>
        <w:ind w:left="720" w:right="720"/>
        <w:jc w:val="both"/>
        <w:rPr>
          <w:rFonts w:asciiTheme="majorHAnsi" w:hAnsiTheme="majorHAnsi"/>
          <w:sz w:val="20"/>
          <w:szCs w:val="20"/>
          <w:lang w:val="es-ES"/>
        </w:rPr>
      </w:pPr>
      <w:r w:rsidRPr="0062236D">
        <w:rPr>
          <w:rFonts w:asciiTheme="majorHAnsi" w:hAnsiTheme="majorHAnsi"/>
          <w:sz w:val="20"/>
          <w:szCs w:val="20"/>
          <w:lang w:val="es-ES"/>
        </w:rPr>
        <w:t xml:space="preserve">(…) el funcionario que suscribe con la actuación del secretario que refrenda a los fines legales hace constar: que en este acto se recibe procedente de la Dirección de Observaciones Judiciales de la S.I.D.E, </w:t>
      </w:r>
      <w:proofErr w:type="spellStart"/>
      <w:r w:rsidRPr="0062236D">
        <w:rPr>
          <w:rFonts w:asciiTheme="majorHAnsi" w:hAnsiTheme="majorHAnsi"/>
          <w:sz w:val="20"/>
          <w:szCs w:val="20"/>
          <w:lang w:val="es-ES"/>
        </w:rPr>
        <w:t>cassette</w:t>
      </w:r>
      <w:proofErr w:type="spellEnd"/>
      <w:r w:rsidRPr="0062236D">
        <w:rPr>
          <w:rFonts w:asciiTheme="majorHAnsi" w:hAnsiTheme="majorHAnsi"/>
          <w:sz w:val="20"/>
          <w:szCs w:val="20"/>
          <w:lang w:val="es-ES"/>
        </w:rPr>
        <w:t xml:space="preserve"> no. 40 correspondiente al abonado 414-7004, de fecha 28 del corriente y, de las escuchas practicadas al mismo se determinaron las siguientes</w:t>
      </w:r>
      <w:r w:rsidR="008F627B" w:rsidRPr="0062236D">
        <w:rPr>
          <w:rFonts w:asciiTheme="majorHAnsi" w:hAnsiTheme="majorHAnsi"/>
          <w:sz w:val="20"/>
          <w:szCs w:val="20"/>
          <w:lang w:val="es-ES"/>
        </w:rPr>
        <w:t xml:space="preserve"> circunstancias: </w:t>
      </w:r>
      <w:r w:rsidRPr="0062236D">
        <w:rPr>
          <w:rFonts w:asciiTheme="majorHAnsi" w:hAnsiTheme="majorHAnsi"/>
          <w:sz w:val="20"/>
          <w:szCs w:val="20"/>
          <w:lang w:val="es-ES"/>
        </w:rPr>
        <w:t xml:space="preserve">surge una conversación mantenida entre JORGE MARTINEZ y ALFONSO FIGAL, en la cual, éste último le pasa los teléfonos del hotel en que está alojado en ESPAÑA, siendo los mismos el 27-8000 y 27-7905. Asimismo, una conversación mantenida entre JORGE MARTINEZ Y GABRIEL, en la cual </w:t>
      </w:r>
      <w:r w:rsidR="00994B64" w:rsidRPr="0062236D">
        <w:rPr>
          <w:rFonts w:asciiTheme="majorHAnsi" w:hAnsiTheme="majorHAnsi"/>
          <w:sz w:val="20"/>
          <w:szCs w:val="20"/>
          <w:lang w:val="es-ES"/>
        </w:rPr>
        <w:t>Martínez</w:t>
      </w:r>
      <w:r w:rsidRPr="0062236D">
        <w:rPr>
          <w:rFonts w:asciiTheme="majorHAnsi" w:hAnsiTheme="majorHAnsi"/>
          <w:sz w:val="20"/>
          <w:szCs w:val="20"/>
          <w:lang w:val="es-ES"/>
        </w:rPr>
        <w:t>, queda en llamarlo a fin de que lo acompañe a un viaje en el exterior. – Se deja constancia que no se efectúan transcripciones, quedando el cas.</w:t>
      </w:r>
      <w:r w:rsidR="00994B64" w:rsidRPr="0062236D">
        <w:rPr>
          <w:rFonts w:asciiTheme="majorHAnsi" w:hAnsiTheme="majorHAnsi"/>
          <w:sz w:val="20"/>
          <w:szCs w:val="20"/>
          <w:lang w:val="es-ES"/>
        </w:rPr>
        <w:t xml:space="preserve"> </w:t>
      </w:r>
      <w:r w:rsidRPr="0062236D">
        <w:rPr>
          <w:rFonts w:asciiTheme="majorHAnsi" w:hAnsiTheme="majorHAnsi"/>
          <w:sz w:val="20"/>
          <w:szCs w:val="20"/>
          <w:lang w:val="es-ES"/>
        </w:rPr>
        <w:t>40 afectado al presente sumario. CONSTE</w:t>
      </w:r>
      <w:r w:rsidR="00093BA5" w:rsidRPr="00B56CF7">
        <w:rPr>
          <w:rFonts w:asciiTheme="majorHAnsi" w:eastAsia="Times New Roman" w:hAnsiTheme="majorHAnsi"/>
          <w:sz w:val="20"/>
          <w:szCs w:val="20"/>
          <w:bdr w:val="none" w:sz="0" w:space="0" w:color="auto"/>
          <w:vertAlign w:val="superscript"/>
          <w:lang w:val="es-AR"/>
        </w:rPr>
        <w:footnoteReference w:id="5"/>
      </w:r>
      <w:r w:rsidRPr="0062236D">
        <w:rPr>
          <w:rFonts w:asciiTheme="majorHAnsi" w:hAnsiTheme="majorHAnsi"/>
          <w:sz w:val="20"/>
          <w:szCs w:val="20"/>
          <w:lang w:val="es-ES"/>
        </w:rPr>
        <w:t>.</w:t>
      </w:r>
    </w:p>
    <w:p w:rsidR="00126F99" w:rsidRPr="00B56CF7" w:rsidRDefault="00126F99" w:rsidP="00093BA5">
      <w:pPr>
        <w:rPr>
          <w:rFonts w:asciiTheme="majorHAnsi" w:eastAsia="Times New Roman" w:hAnsiTheme="majorHAnsi"/>
          <w:sz w:val="20"/>
          <w:szCs w:val="20"/>
          <w:bdr w:val="none" w:sz="0" w:space="0" w:color="auto"/>
          <w:lang w:val="es-AR"/>
        </w:rPr>
      </w:pPr>
    </w:p>
    <w:p w:rsidR="00F2075F" w:rsidRPr="00B56CF7" w:rsidRDefault="00F2075F" w:rsidP="0080241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 xml:space="preserve">La Comisión </w:t>
      </w:r>
      <w:r w:rsidR="001E582D" w:rsidRPr="00B56CF7">
        <w:rPr>
          <w:rFonts w:asciiTheme="majorHAnsi" w:eastAsia="Times New Roman" w:hAnsiTheme="majorHAnsi"/>
          <w:sz w:val="20"/>
          <w:szCs w:val="20"/>
          <w:bdr w:val="none" w:sz="0" w:space="0" w:color="auto"/>
          <w:lang w:val="es-AR"/>
        </w:rPr>
        <w:t>nota</w:t>
      </w:r>
      <w:r w:rsidRPr="00B56CF7">
        <w:rPr>
          <w:rFonts w:asciiTheme="majorHAnsi" w:eastAsia="Times New Roman" w:hAnsiTheme="majorHAnsi"/>
          <w:sz w:val="20"/>
          <w:szCs w:val="20"/>
          <w:bdr w:val="none" w:sz="0" w:space="0" w:color="auto"/>
          <w:lang w:val="es-AR"/>
        </w:rPr>
        <w:t xml:space="preserve"> que si bien no se dejó constancia o transcripc</w:t>
      </w:r>
      <w:r w:rsidR="00B16895" w:rsidRPr="00B56CF7">
        <w:rPr>
          <w:rFonts w:asciiTheme="majorHAnsi" w:eastAsia="Times New Roman" w:hAnsiTheme="majorHAnsi"/>
          <w:sz w:val="20"/>
          <w:szCs w:val="20"/>
          <w:bdr w:val="none" w:sz="0" w:space="0" w:color="auto"/>
          <w:lang w:val="es-AR"/>
        </w:rPr>
        <w:t>ión de dicha llamada telefónica</w:t>
      </w:r>
      <w:r w:rsidRPr="00B56CF7">
        <w:rPr>
          <w:rFonts w:asciiTheme="majorHAnsi" w:eastAsia="Times New Roman" w:hAnsiTheme="majorHAnsi"/>
          <w:sz w:val="20"/>
          <w:szCs w:val="20"/>
          <w:bdr w:val="none" w:sz="0" w:space="0" w:color="auto"/>
          <w:lang w:val="es-AR"/>
        </w:rPr>
        <w:t>,</w:t>
      </w:r>
      <w:r w:rsidR="00B16895" w:rsidRPr="00B56CF7">
        <w:rPr>
          <w:rFonts w:asciiTheme="majorHAnsi" w:eastAsia="Times New Roman" w:hAnsiTheme="majorHAnsi"/>
          <w:sz w:val="20"/>
          <w:szCs w:val="20"/>
          <w:bdr w:val="none" w:sz="0" w:space="0" w:color="auto"/>
          <w:lang w:val="es-AR"/>
        </w:rPr>
        <w:t xml:space="preserve"> </w:t>
      </w:r>
      <w:r w:rsidRPr="00B56CF7">
        <w:rPr>
          <w:rFonts w:asciiTheme="majorHAnsi" w:eastAsia="Times New Roman" w:hAnsiTheme="majorHAnsi"/>
          <w:sz w:val="20"/>
          <w:szCs w:val="20"/>
          <w:bdr w:val="none" w:sz="0" w:space="0" w:color="auto"/>
          <w:lang w:val="es-AR"/>
        </w:rPr>
        <w:t xml:space="preserve">en el marco del proceso se incorporaron las transcripciones de otras llamadas telefónicas </w:t>
      </w:r>
      <w:r w:rsidR="00AD3691" w:rsidRPr="00B56CF7">
        <w:rPr>
          <w:rFonts w:asciiTheme="majorHAnsi" w:eastAsia="Times New Roman" w:hAnsiTheme="majorHAnsi"/>
          <w:sz w:val="20"/>
          <w:szCs w:val="20"/>
          <w:bdr w:val="none" w:sz="0" w:space="0" w:color="auto"/>
          <w:lang w:val="es-AR"/>
        </w:rPr>
        <w:t>supuestamente sostenidas por el peticionario</w:t>
      </w:r>
      <w:r w:rsidR="00BE3A33" w:rsidRPr="00B56CF7">
        <w:rPr>
          <w:rFonts w:asciiTheme="majorHAnsi" w:eastAsia="Times New Roman" w:hAnsiTheme="majorHAnsi"/>
          <w:sz w:val="20"/>
          <w:szCs w:val="20"/>
          <w:bdr w:val="none" w:sz="0" w:space="0" w:color="auto"/>
          <w:lang w:val="es-AR"/>
        </w:rPr>
        <w:t xml:space="preserve"> y su esposa</w:t>
      </w:r>
      <w:r w:rsidR="00AD3691" w:rsidRPr="00B56CF7">
        <w:rPr>
          <w:rFonts w:asciiTheme="majorHAnsi" w:eastAsia="Times New Roman" w:hAnsiTheme="majorHAnsi"/>
          <w:sz w:val="20"/>
          <w:szCs w:val="20"/>
          <w:bdr w:val="none" w:sz="0" w:space="0" w:color="auto"/>
          <w:lang w:val="es-AR"/>
        </w:rPr>
        <w:t xml:space="preserve">, como las que </w:t>
      </w:r>
      <w:r w:rsidRPr="00B56CF7">
        <w:rPr>
          <w:rFonts w:asciiTheme="majorHAnsi" w:eastAsia="Times New Roman" w:hAnsiTheme="majorHAnsi"/>
          <w:sz w:val="20"/>
          <w:szCs w:val="20"/>
          <w:bdr w:val="none" w:sz="0" w:space="0" w:color="auto"/>
          <w:lang w:val="es-AR"/>
        </w:rPr>
        <w:t>constan en los folios 1121/22 y 130</w:t>
      </w:r>
      <w:r w:rsidR="0080241F" w:rsidRPr="00B56CF7">
        <w:rPr>
          <w:rFonts w:asciiTheme="majorHAnsi" w:eastAsia="Times New Roman" w:hAnsiTheme="majorHAnsi"/>
          <w:sz w:val="20"/>
          <w:szCs w:val="20"/>
          <w:bdr w:val="none" w:sz="0" w:space="0" w:color="auto"/>
          <w:lang w:val="es-AR"/>
        </w:rPr>
        <w:t>9/</w:t>
      </w:r>
      <w:proofErr w:type="gramStart"/>
      <w:r w:rsidR="0080241F" w:rsidRPr="00B56CF7">
        <w:rPr>
          <w:rFonts w:asciiTheme="majorHAnsi" w:eastAsia="Times New Roman" w:hAnsiTheme="majorHAnsi"/>
          <w:sz w:val="20"/>
          <w:szCs w:val="20"/>
          <w:bdr w:val="none" w:sz="0" w:space="0" w:color="auto"/>
          <w:lang w:val="es-AR"/>
        </w:rPr>
        <w:t xml:space="preserve">10 </w:t>
      </w:r>
      <w:r w:rsidR="00FA2208">
        <w:rPr>
          <w:rFonts w:asciiTheme="majorHAnsi" w:eastAsia="Times New Roman" w:hAnsiTheme="majorHAnsi"/>
          <w:sz w:val="20"/>
          <w:szCs w:val="20"/>
          <w:bdr w:val="none" w:sz="0" w:space="0" w:color="auto"/>
          <w:lang w:val="es-AR"/>
        </w:rPr>
        <w:t>,</w:t>
      </w:r>
      <w:proofErr w:type="gramEnd"/>
      <w:r w:rsidR="0080241F" w:rsidRPr="00B56CF7">
        <w:rPr>
          <w:rFonts w:asciiTheme="majorHAnsi" w:eastAsia="Times New Roman" w:hAnsiTheme="majorHAnsi"/>
          <w:sz w:val="20"/>
          <w:szCs w:val="20"/>
          <w:bdr w:val="none" w:sz="0" w:space="0" w:color="auto"/>
          <w:lang w:val="es-AR"/>
        </w:rPr>
        <w:t xml:space="preserve"> que se describen a continuación</w:t>
      </w:r>
      <w:r w:rsidR="00457DA5" w:rsidRPr="00B56CF7">
        <w:rPr>
          <w:rStyle w:val="FootnoteReference"/>
          <w:rFonts w:asciiTheme="majorHAnsi" w:eastAsia="Times New Roman" w:hAnsiTheme="majorHAnsi"/>
          <w:sz w:val="20"/>
          <w:szCs w:val="20"/>
          <w:bdr w:val="none" w:sz="0" w:space="0" w:color="auto"/>
          <w:lang w:val="es-AR"/>
        </w:rPr>
        <w:footnoteReference w:id="6"/>
      </w:r>
      <w:r w:rsidR="00457DA5" w:rsidRPr="00B56CF7">
        <w:rPr>
          <w:rFonts w:asciiTheme="majorHAnsi" w:eastAsia="Times New Roman" w:hAnsiTheme="majorHAnsi"/>
          <w:sz w:val="20"/>
          <w:szCs w:val="20"/>
          <w:bdr w:val="none" w:sz="0" w:space="0" w:color="auto"/>
          <w:lang w:val="es-AR"/>
        </w:rPr>
        <w:t>.</w:t>
      </w:r>
    </w:p>
    <w:p w:rsidR="00F2075F" w:rsidRPr="00B56CF7" w:rsidRDefault="00F2075F" w:rsidP="00F2075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sz w:val="20"/>
          <w:szCs w:val="20"/>
          <w:bdr w:val="none" w:sz="0" w:space="0" w:color="auto"/>
          <w:lang w:val="es-AR"/>
        </w:rPr>
      </w:pPr>
    </w:p>
    <w:p w:rsidR="00AD3691" w:rsidRPr="00B56CF7" w:rsidRDefault="00F2075F" w:rsidP="00524D3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En el folio 1121/22 se transcribió</w:t>
      </w:r>
      <w:r w:rsidR="00BE3A33" w:rsidRPr="00B56CF7">
        <w:rPr>
          <w:rFonts w:asciiTheme="majorHAnsi" w:eastAsia="Times New Roman" w:hAnsiTheme="majorHAnsi"/>
          <w:sz w:val="20"/>
          <w:szCs w:val="20"/>
          <w:bdr w:val="none" w:sz="0" w:space="0" w:color="auto"/>
          <w:lang w:val="es-AR"/>
        </w:rPr>
        <w:t xml:space="preserve"> </w:t>
      </w:r>
      <w:r w:rsidRPr="00B56CF7">
        <w:rPr>
          <w:rFonts w:asciiTheme="majorHAnsi" w:eastAsia="Times New Roman" w:hAnsiTheme="majorHAnsi"/>
          <w:sz w:val="20"/>
          <w:szCs w:val="20"/>
          <w:bdr w:val="none" w:sz="0" w:space="0" w:color="auto"/>
          <w:lang w:val="es-AR"/>
        </w:rPr>
        <w:t xml:space="preserve">la grabación de </w:t>
      </w:r>
      <w:r w:rsidR="00005529" w:rsidRPr="00B56CF7">
        <w:rPr>
          <w:rFonts w:asciiTheme="majorHAnsi" w:eastAsia="Times New Roman" w:hAnsiTheme="majorHAnsi"/>
          <w:sz w:val="20"/>
          <w:szCs w:val="20"/>
          <w:bdr w:val="none" w:sz="0" w:space="0" w:color="auto"/>
          <w:lang w:val="es-AR"/>
        </w:rPr>
        <w:t>una supuesta</w:t>
      </w:r>
      <w:r w:rsidRPr="00B56CF7">
        <w:rPr>
          <w:rFonts w:asciiTheme="majorHAnsi" w:eastAsia="Times New Roman" w:hAnsiTheme="majorHAnsi"/>
          <w:sz w:val="20"/>
          <w:szCs w:val="20"/>
          <w:bdr w:val="none" w:sz="0" w:space="0" w:color="auto"/>
          <w:lang w:val="es-AR"/>
        </w:rPr>
        <w:t xml:space="preserve"> conversación telefónica</w:t>
      </w:r>
      <w:r w:rsidR="00C34A62" w:rsidRPr="00B56CF7">
        <w:rPr>
          <w:rFonts w:asciiTheme="majorHAnsi" w:eastAsia="Times New Roman" w:hAnsiTheme="majorHAnsi"/>
          <w:sz w:val="20"/>
          <w:szCs w:val="20"/>
          <w:bdr w:val="none" w:sz="0" w:space="0" w:color="auto"/>
          <w:lang w:val="es-AR"/>
        </w:rPr>
        <w:t xml:space="preserve"> contenida en </w:t>
      </w:r>
      <w:r w:rsidRPr="00B56CF7">
        <w:rPr>
          <w:rFonts w:asciiTheme="majorHAnsi" w:eastAsia="Times New Roman" w:hAnsiTheme="majorHAnsi"/>
          <w:sz w:val="20"/>
          <w:szCs w:val="20"/>
          <w:bdr w:val="none" w:sz="0" w:space="0" w:color="auto"/>
          <w:lang w:val="es-AR"/>
        </w:rPr>
        <w:t xml:space="preserve">el </w:t>
      </w:r>
      <w:proofErr w:type="spellStart"/>
      <w:r w:rsidRPr="00B56CF7">
        <w:rPr>
          <w:rFonts w:asciiTheme="majorHAnsi" w:eastAsia="Times New Roman" w:hAnsiTheme="majorHAnsi"/>
          <w:sz w:val="20"/>
          <w:szCs w:val="20"/>
          <w:bdr w:val="none" w:sz="0" w:space="0" w:color="auto"/>
          <w:lang w:val="es-AR"/>
        </w:rPr>
        <w:t>casset</w:t>
      </w:r>
      <w:r w:rsidR="00BE3A33" w:rsidRPr="00B56CF7">
        <w:rPr>
          <w:rFonts w:asciiTheme="majorHAnsi" w:eastAsia="Times New Roman" w:hAnsiTheme="majorHAnsi"/>
          <w:sz w:val="20"/>
          <w:szCs w:val="20"/>
          <w:bdr w:val="none" w:sz="0" w:space="0" w:color="auto"/>
          <w:lang w:val="es-AR"/>
        </w:rPr>
        <w:t>t</w:t>
      </w:r>
      <w:r w:rsidRPr="00B56CF7">
        <w:rPr>
          <w:rFonts w:asciiTheme="majorHAnsi" w:eastAsia="Times New Roman" w:hAnsiTheme="majorHAnsi"/>
          <w:sz w:val="20"/>
          <w:szCs w:val="20"/>
          <w:bdr w:val="none" w:sz="0" w:space="0" w:color="auto"/>
          <w:lang w:val="es-AR"/>
        </w:rPr>
        <w:t>e</w:t>
      </w:r>
      <w:proofErr w:type="spellEnd"/>
      <w:r w:rsidRPr="00B56CF7">
        <w:rPr>
          <w:rFonts w:asciiTheme="majorHAnsi" w:eastAsia="Times New Roman" w:hAnsiTheme="majorHAnsi"/>
          <w:sz w:val="20"/>
          <w:szCs w:val="20"/>
          <w:bdr w:val="none" w:sz="0" w:space="0" w:color="auto"/>
          <w:lang w:val="es-AR"/>
        </w:rPr>
        <w:t xml:space="preserve"> </w:t>
      </w:r>
      <w:r w:rsidR="00A63A97" w:rsidRPr="00B56CF7">
        <w:rPr>
          <w:rFonts w:asciiTheme="majorHAnsi" w:eastAsia="Times New Roman" w:hAnsiTheme="majorHAnsi"/>
          <w:sz w:val="20"/>
          <w:szCs w:val="20"/>
          <w:bdr w:val="none" w:sz="0" w:space="0" w:color="auto"/>
          <w:lang w:val="es-AR"/>
        </w:rPr>
        <w:t>N</w:t>
      </w:r>
      <w:r w:rsidRPr="00B56CF7">
        <w:rPr>
          <w:rFonts w:asciiTheme="majorHAnsi" w:eastAsia="Times New Roman" w:hAnsiTheme="majorHAnsi"/>
          <w:sz w:val="20"/>
          <w:szCs w:val="20"/>
          <w:bdr w:val="none" w:sz="0" w:space="0" w:color="auto"/>
          <w:lang w:val="es-AR"/>
        </w:rPr>
        <w:t>o.</w:t>
      </w:r>
      <w:r w:rsidR="00A63A97" w:rsidRPr="00B56CF7">
        <w:rPr>
          <w:rFonts w:asciiTheme="majorHAnsi" w:eastAsia="Times New Roman" w:hAnsiTheme="majorHAnsi"/>
          <w:sz w:val="20"/>
          <w:szCs w:val="20"/>
          <w:bdr w:val="none" w:sz="0" w:space="0" w:color="auto"/>
          <w:lang w:val="es-AR"/>
        </w:rPr>
        <w:t xml:space="preserve"> </w:t>
      </w:r>
      <w:r w:rsidRPr="00B56CF7">
        <w:rPr>
          <w:rFonts w:asciiTheme="majorHAnsi" w:eastAsia="Times New Roman" w:hAnsiTheme="majorHAnsi"/>
          <w:sz w:val="20"/>
          <w:szCs w:val="20"/>
          <w:bdr w:val="none" w:sz="0" w:space="0" w:color="auto"/>
          <w:lang w:val="es-AR"/>
        </w:rPr>
        <w:t>41 que corresponde a una conversación entre Jorge Martínez y Gabriel Jenkins relacionada con los preparativos para un supuesto viaje</w:t>
      </w:r>
      <w:r w:rsidR="00B16895" w:rsidRPr="00B56CF7">
        <w:rPr>
          <w:rStyle w:val="FootnoteReference"/>
          <w:rFonts w:asciiTheme="majorHAnsi" w:eastAsia="Times New Roman" w:hAnsiTheme="majorHAnsi"/>
          <w:sz w:val="20"/>
          <w:szCs w:val="20"/>
          <w:bdr w:val="none" w:sz="0" w:space="0" w:color="auto"/>
          <w:lang w:val="es-AR"/>
        </w:rPr>
        <w:footnoteReference w:id="7"/>
      </w:r>
      <w:r w:rsidRPr="00B56CF7">
        <w:rPr>
          <w:rFonts w:asciiTheme="majorHAnsi" w:eastAsia="Times New Roman" w:hAnsiTheme="majorHAnsi"/>
          <w:sz w:val="20"/>
          <w:szCs w:val="20"/>
          <w:bdr w:val="none" w:sz="0" w:space="0" w:color="auto"/>
          <w:lang w:val="es-AR"/>
        </w:rPr>
        <w:t xml:space="preserve">. </w:t>
      </w:r>
      <w:r w:rsidR="00AD3691" w:rsidRPr="00B56CF7">
        <w:rPr>
          <w:rFonts w:asciiTheme="majorHAnsi" w:eastAsia="Times New Roman" w:hAnsiTheme="majorHAnsi"/>
          <w:sz w:val="20"/>
          <w:szCs w:val="20"/>
          <w:bdr w:val="none" w:sz="0" w:space="0" w:color="auto"/>
          <w:lang w:val="es-AR"/>
        </w:rPr>
        <w:t>En dicha transcripción constan</w:t>
      </w:r>
      <w:r w:rsidR="00AC46D0" w:rsidRPr="00B56CF7">
        <w:rPr>
          <w:rFonts w:asciiTheme="majorHAnsi" w:eastAsia="Times New Roman" w:hAnsiTheme="majorHAnsi"/>
          <w:sz w:val="20"/>
          <w:szCs w:val="20"/>
          <w:bdr w:val="none" w:sz="0" w:space="0" w:color="auto"/>
          <w:lang w:val="es-AR"/>
        </w:rPr>
        <w:t>,</w:t>
      </w:r>
      <w:r w:rsidR="00AD3691" w:rsidRPr="00B56CF7">
        <w:rPr>
          <w:rFonts w:asciiTheme="majorHAnsi" w:eastAsia="Times New Roman" w:hAnsiTheme="majorHAnsi"/>
          <w:sz w:val="20"/>
          <w:szCs w:val="20"/>
          <w:bdr w:val="none" w:sz="0" w:space="0" w:color="auto"/>
          <w:lang w:val="es-AR"/>
        </w:rPr>
        <w:t xml:space="preserve"> entre otros, los siguientes diálogos</w:t>
      </w:r>
      <w:r w:rsidR="00AC46D0" w:rsidRPr="00B56CF7">
        <w:rPr>
          <w:rFonts w:asciiTheme="majorHAnsi" w:eastAsia="Times New Roman" w:hAnsiTheme="majorHAnsi"/>
          <w:sz w:val="20"/>
          <w:szCs w:val="20"/>
          <w:bdr w:val="none" w:sz="0" w:space="0" w:color="auto"/>
          <w:lang w:val="es-AR"/>
        </w:rPr>
        <w:t>:</w:t>
      </w:r>
    </w:p>
    <w:p w:rsidR="00AD3691" w:rsidRPr="00B56CF7" w:rsidRDefault="00AD3691" w:rsidP="00AD3691">
      <w:pPr>
        <w:pStyle w:val="ListParagraph"/>
        <w:rPr>
          <w:rFonts w:asciiTheme="majorHAnsi" w:eastAsia="Times New Roman" w:hAnsiTheme="majorHAnsi"/>
          <w:sz w:val="20"/>
          <w:szCs w:val="20"/>
          <w:bdr w:val="none" w:sz="0" w:space="0" w:color="auto"/>
          <w:lang w:val="es-AR"/>
        </w:rPr>
      </w:pPr>
    </w:p>
    <w:p w:rsidR="00AD3691" w:rsidRPr="00B56CF7" w:rsidRDefault="00AD3691" w:rsidP="00AD36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E: Porque yo necesito estar DOS (2) días ahí…</w:t>
      </w:r>
      <w:proofErr w:type="gramStart"/>
      <w:r w:rsidRPr="00B56CF7">
        <w:rPr>
          <w:rFonts w:asciiTheme="majorHAnsi" w:eastAsia="Times New Roman" w:hAnsiTheme="majorHAnsi"/>
          <w:sz w:val="20"/>
          <w:szCs w:val="20"/>
          <w:bdr w:val="none" w:sz="0" w:space="0" w:color="auto"/>
          <w:lang w:val="es-AR"/>
        </w:rPr>
        <w:t>..</w:t>
      </w:r>
      <w:proofErr w:type="gramEnd"/>
    </w:p>
    <w:p w:rsidR="00AD3691" w:rsidRPr="00B56CF7" w:rsidRDefault="00AD3691" w:rsidP="00AD36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 xml:space="preserve">S: Bueno O.K., mira lo único que te digo, viste, </w:t>
      </w:r>
      <w:r w:rsidRPr="00B56CF7">
        <w:rPr>
          <w:rFonts w:asciiTheme="majorHAnsi" w:eastAsia="Times New Roman" w:hAnsiTheme="majorHAnsi"/>
          <w:sz w:val="20"/>
          <w:szCs w:val="20"/>
          <w:u w:val="single"/>
          <w:bdr w:val="none" w:sz="0" w:space="0" w:color="auto"/>
          <w:lang w:val="es-AR"/>
        </w:rPr>
        <w:t>LA FECHA LA SABES</w:t>
      </w:r>
      <w:r w:rsidRPr="00B56CF7">
        <w:rPr>
          <w:rFonts w:asciiTheme="majorHAnsi" w:eastAsia="Times New Roman" w:hAnsiTheme="majorHAnsi"/>
          <w:sz w:val="20"/>
          <w:szCs w:val="20"/>
          <w:bdr w:val="none" w:sz="0" w:space="0" w:color="auto"/>
          <w:lang w:val="es-AR"/>
        </w:rPr>
        <w:t xml:space="preserve"> (risas)…….viste…</w:t>
      </w:r>
    </w:p>
    <w:p w:rsidR="00AD3691" w:rsidRPr="00B56CF7" w:rsidRDefault="00AD3691" w:rsidP="00AD36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 xml:space="preserve">E: </w:t>
      </w:r>
      <w:r w:rsidR="0080241F" w:rsidRPr="00B56CF7">
        <w:rPr>
          <w:rFonts w:asciiTheme="majorHAnsi" w:eastAsia="Times New Roman" w:hAnsiTheme="majorHAnsi"/>
          <w:sz w:val="20"/>
          <w:szCs w:val="20"/>
          <w:u w:val="single"/>
          <w:bdr w:val="none" w:sz="0" w:space="0" w:color="auto"/>
          <w:lang w:val="es-AR"/>
        </w:rPr>
        <w:t>NO PERO SI YA ESTA TODO</w:t>
      </w:r>
      <w:r w:rsidR="0080241F" w:rsidRPr="00B56CF7">
        <w:rPr>
          <w:rFonts w:asciiTheme="majorHAnsi" w:eastAsia="Times New Roman" w:hAnsiTheme="majorHAnsi"/>
          <w:sz w:val="20"/>
          <w:szCs w:val="20"/>
          <w:bdr w:val="none" w:sz="0" w:space="0" w:color="auto"/>
          <w:lang w:val="es-AR"/>
        </w:rPr>
        <w:t>…..AHI…</w:t>
      </w:r>
    </w:p>
    <w:p w:rsidR="0080241F" w:rsidRPr="00B56CF7" w:rsidRDefault="0080241F" w:rsidP="00AD36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 xml:space="preserve">S: </w:t>
      </w:r>
      <w:r w:rsidRPr="00B56CF7">
        <w:rPr>
          <w:rFonts w:asciiTheme="majorHAnsi" w:eastAsia="Times New Roman" w:hAnsiTheme="majorHAnsi"/>
          <w:sz w:val="20"/>
          <w:szCs w:val="20"/>
          <w:u w:val="single"/>
          <w:bdr w:val="none" w:sz="0" w:space="0" w:color="auto"/>
          <w:lang w:val="es-AR"/>
        </w:rPr>
        <w:t>YA SE YA SE PERO TE DIGO QUE ESTAMOS PASADOS DE FECHA</w:t>
      </w:r>
      <w:r w:rsidRPr="00B56CF7">
        <w:rPr>
          <w:rFonts w:asciiTheme="majorHAnsi" w:eastAsia="Times New Roman" w:hAnsiTheme="majorHAnsi"/>
          <w:sz w:val="20"/>
          <w:szCs w:val="20"/>
          <w:bdr w:val="none" w:sz="0" w:space="0" w:color="auto"/>
          <w:lang w:val="es-AR"/>
        </w:rPr>
        <w:t>…</w:t>
      </w:r>
    </w:p>
    <w:p w:rsidR="0080241F" w:rsidRPr="00B56CF7" w:rsidRDefault="008F627B" w:rsidP="00AD36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u w:val="single"/>
          <w:bdr w:val="none" w:sz="0" w:space="0" w:color="auto"/>
          <w:lang w:val="es-AR"/>
        </w:rPr>
        <w:t>TENGO MIEDO POR ESTE TIPO</w:t>
      </w:r>
      <w:r w:rsidR="0080241F" w:rsidRPr="00B56CF7">
        <w:rPr>
          <w:rFonts w:asciiTheme="majorHAnsi" w:eastAsia="Times New Roman" w:hAnsiTheme="majorHAnsi"/>
          <w:sz w:val="20"/>
          <w:szCs w:val="20"/>
          <w:u w:val="single"/>
          <w:bdr w:val="none" w:sz="0" w:space="0" w:color="auto"/>
          <w:lang w:val="es-AR"/>
        </w:rPr>
        <w:t xml:space="preserve"> VISTE O PIENSE QUE NO VOY O CUALQUIER HISTORIA</w:t>
      </w:r>
      <w:r w:rsidR="0080241F" w:rsidRPr="00B56CF7">
        <w:rPr>
          <w:rFonts w:asciiTheme="majorHAnsi" w:eastAsia="Times New Roman" w:hAnsiTheme="majorHAnsi"/>
          <w:sz w:val="20"/>
          <w:szCs w:val="20"/>
          <w:bdr w:val="none" w:sz="0" w:space="0" w:color="auto"/>
          <w:lang w:val="es-AR"/>
        </w:rPr>
        <w:t xml:space="preserve"> viste</w:t>
      </w:r>
      <w:proofErr w:type="gramStart"/>
      <w:r w:rsidR="0080241F" w:rsidRPr="00B56CF7">
        <w:rPr>
          <w:rFonts w:asciiTheme="majorHAnsi" w:eastAsia="Times New Roman" w:hAnsiTheme="majorHAnsi"/>
          <w:sz w:val="20"/>
          <w:szCs w:val="20"/>
          <w:bdr w:val="none" w:sz="0" w:space="0" w:color="auto"/>
          <w:lang w:val="es-AR"/>
        </w:rPr>
        <w:t>?</w:t>
      </w:r>
      <w:proofErr w:type="gramEnd"/>
    </w:p>
    <w:p w:rsidR="0080241F" w:rsidRPr="00B56CF7" w:rsidRDefault="0080241F" w:rsidP="00AD36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E:</w:t>
      </w:r>
      <w:r w:rsidR="008F627B" w:rsidRPr="00B56CF7">
        <w:rPr>
          <w:rFonts w:asciiTheme="majorHAnsi" w:eastAsia="Times New Roman" w:hAnsiTheme="majorHAnsi"/>
          <w:sz w:val="20"/>
          <w:szCs w:val="20"/>
          <w:bdr w:val="none" w:sz="0" w:space="0" w:color="auto"/>
          <w:lang w:val="es-AR"/>
        </w:rPr>
        <w:t xml:space="preserve"> No, no, no</w:t>
      </w:r>
      <w:proofErr w:type="gramStart"/>
      <w:r w:rsidRPr="00B56CF7">
        <w:rPr>
          <w:rFonts w:asciiTheme="majorHAnsi" w:eastAsia="Times New Roman" w:hAnsiTheme="majorHAnsi"/>
          <w:sz w:val="20"/>
          <w:szCs w:val="20"/>
          <w:bdr w:val="none" w:sz="0" w:space="0" w:color="auto"/>
          <w:lang w:val="es-AR"/>
        </w:rPr>
        <w:t>, …</w:t>
      </w:r>
      <w:proofErr w:type="gramEnd"/>
      <w:r w:rsidRPr="00B56CF7">
        <w:rPr>
          <w:rFonts w:asciiTheme="majorHAnsi" w:eastAsia="Times New Roman" w:hAnsiTheme="majorHAnsi"/>
          <w:sz w:val="20"/>
          <w:szCs w:val="20"/>
          <w:bdr w:val="none" w:sz="0" w:space="0" w:color="auto"/>
          <w:lang w:val="es-AR"/>
        </w:rPr>
        <w:t xml:space="preserve">…SINO…MAÑANA A PRIMERA HORA LO LLAMAMOS o llámalo ahora a la tarde y </w:t>
      </w:r>
      <w:proofErr w:type="spellStart"/>
      <w:r w:rsidRPr="00B56CF7">
        <w:rPr>
          <w:rFonts w:asciiTheme="majorHAnsi" w:eastAsia="Times New Roman" w:hAnsiTheme="majorHAnsi"/>
          <w:sz w:val="20"/>
          <w:szCs w:val="20"/>
          <w:bdr w:val="none" w:sz="0" w:space="0" w:color="auto"/>
          <w:lang w:val="es-AR"/>
        </w:rPr>
        <w:t>dejale</w:t>
      </w:r>
      <w:proofErr w:type="spellEnd"/>
      <w:r w:rsidRPr="00B56CF7">
        <w:rPr>
          <w:rFonts w:asciiTheme="majorHAnsi" w:eastAsia="Times New Roman" w:hAnsiTheme="majorHAnsi"/>
          <w:sz w:val="20"/>
          <w:szCs w:val="20"/>
          <w:bdr w:val="none" w:sz="0" w:space="0" w:color="auto"/>
          <w:lang w:val="es-AR"/>
        </w:rPr>
        <w:t xml:space="preserve"> dicho mañana a tal hora lo llamamos….</w:t>
      </w:r>
    </w:p>
    <w:p w:rsidR="0080241F" w:rsidRPr="00B56CF7" w:rsidRDefault="0080241F" w:rsidP="00AD36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S: Bueno</w:t>
      </w:r>
      <w:proofErr w:type="gramStart"/>
      <w:r w:rsidRPr="00B56CF7">
        <w:rPr>
          <w:rFonts w:asciiTheme="majorHAnsi" w:eastAsia="Times New Roman" w:hAnsiTheme="majorHAnsi"/>
          <w:sz w:val="20"/>
          <w:szCs w:val="20"/>
          <w:bdr w:val="none" w:sz="0" w:space="0" w:color="auto"/>
          <w:lang w:val="es-AR"/>
        </w:rPr>
        <w:t>!</w:t>
      </w:r>
      <w:proofErr w:type="gramEnd"/>
      <w:r w:rsidRPr="00B56CF7">
        <w:rPr>
          <w:rFonts w:asciiTheme="majorHAnsi" w:eastAsia="Times New Roman" w:hAnsiTheme="majorHAnsi"/>
          <w:sz w:val="20"/>
          <w:szCs w:val="20"/>
          <w:bdr w:val="none" w:sz="0" w:space="0" w:color="auto"/>
          <w:lang w:val="es-AR"/>
        </w:rPr>
        <w:t xml:space="preserve"> …</w:t>
      </w:r>
    </w:p>
    <w:p w:rsidR="0080241F" w:rsidRPr="00B56CF7" w:rsidRDefault="0080241F" w:rsidP="00AD36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E: Eh?...</w:t>
      </w:r>
    </w:p>
    <w:p w:rsidR="0080241F" w:rsidRPr="00B56CF7" w:rsidRDefault="0080241F" w:rsidP="00AD36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S: Bueno ENTONCES AGUANTO ACA O.K</w:t>
      </w:r>
    </w:p>
    <w:p w:rsidR="0080241F" w:rsidRPr="00B56CF7" w:rsidRDefault="0080241F" w:rsidP="00AD36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E: Vale</w:t>
      </w:r>
      <w:proofErr w:type="gramStart"/>
      <w:r w:rsidRPr="00B56CF7">
        <w:rPr>
          <w:rFonts w:asciiTheme="majorHAnsi" w:eastAsia="Times New Roman" w:hAnsiTheme="majorHAnsi"/>
          <w:sz w:val="20"/>
          <w:szCs w:val="20"/>
          <w:bdr w:val="none" w:sz="0" w:space="0" w:color="auto"/>
          <w:lang w:val="es-AR"/>
        </w:rPr>
        <w:t>!</w:t>
      </w:r>
      <w:proofErr w:type="gramEnd"/>
    </w:p>
    <w:p w:rsidR="0080241F" w:rsidRPr="00B56CF7" w:rsidRDefault="0080241F" w:rsidP="00AD36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S: al pelo,…….nos vemos…..hasta luego……</w:t>
      </w:r>
    </w:p>
    <w:p w:rsidR="00F2075F" w:rsidRPr="00B56CF7" w:rsidRDefault="00F2075F" w:rsidP="00B1689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AR"/>
        </w:rPr>
      </w:pPr>
    </w:p>
    <w:p w:rsidR="006D3BA3" w:rsidRPr="00B56CF7" w:rsidRDefault="00BE3A33" w:rsidP="00524D3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lastRenderedPageBreak/>
        <w:t xml:space="preserve">Asimismo, en el folio 1309 consta la transcripción </w:t>
      </w:r>
      <w:r w:rsidR="00457DA5" w:rsidRPr="00B56CF7">
        <w:rPr>
          <w:rFonts w:asciiTheme="majorHAnsi" w:eastAsia="Times New Roman" w:hAnsiTheme="majorHAnsi"/>
          <w:sz w:val="20"/>
          <w:szCs w:val="20"/>
          <w:bdr w:val="none" w:sz="0" w:space="0" w:color="auto"/>
          <w:lang w:val="es-AR"/>
        </w:rPr>
        <w:t>de una</w:t>
      </w:r>
      <w:r w:rsidR="00620105" w:rsidRPr="00B56CF7">
        <w:rPr>
          <w:rFonts w:asciiTheme="majorHAnsi" w:eastAsia="Times New Roman" w:hAnsiTheme="majorHAnsi"/>
          <w:sz w:val="20"/>
          <w:szCs w:val="20"/>
          <w:bdr w:val="none" w:sz="0" w:space="0" w:color="auto"/>
          <w:lang w:val="es-AR"/>
        </w:rPr>
        <w:t xml:space="preserve"> supuesta</w:t>
      </w:r>
      <w:r w:rsidR="00457DA5" w:rsidRPr="00B56CF7">
        <w:rPr>
          <w:rFonts w:asciiTheme="majorHAnsi" w:eastAsia="Times New Roman" w:hAnsiTheme="majorHAnsi"/>
          <w:sz w:val="20"/>
          <w:szCs w:val="20"/>
          <w:bdr w:val="none" w:sz="0" w:space="0" w:color="auto"/>
          <w:lang w:val="es-AR"/>
        </w:rPr>
        <w:t xml:space="preserve"> conversación telefónica </w:t>
      </w:r>
      <w:r w:rsidRPr="00B56CF7">
        <w:rPr>
          <w:rFonts w:asciiTheme="majorHAnsi" w:eastAsia="Times New Roman" w:hAnsiTheme="majorHAnsi"/>
          <w:sz w:val="20"/>
          <w:szCs w:val="20"/>
          <w:bdr w:val="none" w:sz="0" w:space="0" w:color="auto"/>
          <w:lang w:val="es-AR"/>
        </w:rPr>
        <w:t>entre la esposa de Gabriel Jenkins</w:t>
      </w:r>
      <w:r w:rsidR="001A10EA" w:rsidRPr="00B56CF7">
        <w:rPr>
          <w:rFonts w:asciiTheme="majorHAnsi" w:eastAsia="Times New Roman" w:hAnsiTheme="majorHAnsi"/>
          <w:sz w:val="20"/>
          <w:szCs w:val="20"/>
          <w:bdr w:val="none" w:sz="0" w:space="0" w:color="auto"/>
          <w:lang w:val="es-AR"/>
        </w:rPr>
        <w:t xml:space="preserve"> -</w:t>
      </w:r>
      <w:r w:rsidRPr="00B56CF7">
        <w:rPr>
          <w:rFonts w:asciiTheme="majorHAnsi" w:eastAsia="Times New Roman" w:hAnsiTheme="majorHAnsi"/>
          <w:sz w:val="20"/>
          <w:szCs w:val="20"/>
          <w:bdr w:val="none" w:sz="0" w:space="0" w:color="auto"/>
          <w:lang w:val="es-AR"/>
        </w:rPr>
        <w:t xml:space="preserve"> Leticia </w:t>
      </w:r>
      <w:proofErr w:type="spellStart"/>
      <w:r w:rsidRPr="00B56CF7">
        <w:rPr>
          <w:rFonts w:asciiTheme="majorHAnsi" w:eastAsia="Times New Roman" w:hAnsiTheme="majorHAnsi"/>
          <w:sz w:val="20"/>
          <w:szCs w:val="20"/>
          <w:bdr w:val="none" w:sz="0" w:space="0" w:color="auto"/>
          <w:lang w:val="es-AR"/>
        </w:rPr>
        <w:t>Pironelli</w:t>
      </w:r>
      <w:proofErr w:type="spellEnd"/>
      <w:r w:rsidR="001A10EA" w:rsidRPr="00B56CF7">
        <w:rPr>
          <w:rFonts w:asciiTheme="majorHAnsi" w:eastAsia="Times New Roman" w:hAnsiTheme="majorHAnsi"/>
          <w:sz w:val="20"/>
          <w:szCs w:val="20"/>
          <w:bdr w:val="none" w:sz="0" w:space="0" w:color="auto"/>
          <w:lang w:val="es-AR"/>
        </w:rPr>
        <w:t xml:space="preserve"> -</w:t>
      </w:r>
      <w:r w:rsidRPr="00B56CF7">
        <w:rPr>
          <w:rFonts w:asciiTheme="majorHAnsi" w:eastAsia="Times New Roman" w:hAnsiTheme="majorHAnsi"/>
          <w:sz w:val="20"/>
          <w:szCs w:val="20"/>
          <w:bdr w:val="none" w:sz="0" w:space="0" w:color="auto"/>
          <w:lang w:val="es-AR"/>
        </w:rPr>
        <w:t xml:space="preserve"> y una persona de sexo femenino</w:t>
      </w:r>
      <w:r w:rsidR="00B16895" w:rsidRPr="00B56CF7">
        <w:rPr>
          <w:rStyle w:val="FootnoteReference"/>
          <w:rFonts w:asciiTheme="majorHAnsi" w:eastAsia="Times New Roman" w:hAnsiTheme="majorHAnsi"/>
          <w:sz w:val="20"/>
          <w:szCs w:val="20"/>
          <w:bdr w:val="none" w:sz="0" w:space="0" w:color="auto"/>
          <w:lang w:val="es-AR"/>
        </w:rPr>
        <w:footnoteReference w:id="8"/>
      </w:r>
      <w:r w:rsidRPr="00B56CF7">
        <w:rPr>
          <w:rFonts w:asciiTheme="majorHAnsi" w:eastAsia="Times New Roman" w:hAnsiTheme="majorHAnsi"/>
          <w:sz w:val="20"/>
          <w:szCs w:val="20"/>
          <w:bdr w:val="none" w:sz="0" w:space="0" w:color="auto"/>
          <w:lang w:val="es-AR"/>
        </w:rPr>
        <w:t xml:space="preserve">. </w:t>
      </w:r>
    </w:p>
    <w:p w:rsidR="006D3BA3" w:rsidRPr="00B56CF7" w:rsidRDefault="006D3BA3" w:rsidP="00524D3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AR"/>
        </w:rPr>
      </w:pPr>
    </w:p>
    <w:p w:rsidR="00457DA5" w:rsidRPr="00B56CF7" w:rsidRDefault="00BE3A33" w:rsidP="00C66B0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En dicha transcripción constan entre otros, los siguientes diálogos</w:t>
      </w:r>
      <w:r w:rsidR="00A20C8B" w:rsidRPr="00B56CF7">
        <w:rPr>
          <w:rFonts w:asciiTheme="majorHAnsi" w:eastAsia="Times New Roman" w:hAnsiTheme="majorHAnsi"/>
          <w:sz w:val="20"/>
          <w:szCs w:val="20"/>
          <w:bdr w:val="none" w:sz="0" w:space="0" w:color="auto"/>
          <w:lang w:val="es-AR"/>
        </w:rPr>
        <w:t>:</w:t>
      </w:r>
    </w:p>
    <w:p w:rsidR="00C66B04" w:rsidRPr="00B56CF7" w:rsidRDefault="00C66B04" w:rsidP="00C66B0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AR"/>
        </w:rPr>
      </w:pPr>
    </w:p>
    <w:p w:rsidR="00457DA5" w:rsidRPr="00B56CF7" w:rsidRDefault="00457DA5" w:rsidP="00E7615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 xml:space="preserve">-Parece que se va el LUNES </w:t>
      </w:r>
      <w:proofErr w:type="gramStart"/>
      <w:r w:rsidRPr="00B56CF7">
        <w:rPr>
          <w:rFonts w:asciiTheme="majorHAnsi" w:eastAsia="Times New Roman" w:hAnsiTheme="majorHAnsi"/>
          <w:sz w:val="20"/>
          <w:szCs w:val="20"/>
          <w:bdr w:val="none" w:sz="0" w:space="0" w:color="auto"/>
          <w:lang w:val="es-AR"/>
        </w:rPr>
        <w:t>él …</w:t>
      </w:r>
      <w:proofErr w:type="gramEnd"/>
      <w:r w:rsidRPr="00B56CF7">
        <w:rPr>
          <w:rFonts w:asciiTheme="majorHAnsi" w:eastAsia="Times New Roman" w:hAnsiTheme="majorHAnsi"/>
          <w:sz w:val="20"/>
          <w:szCs w:val="20"/>
          <w:bdr w:val="none" w:sz="0" w:space="0" w:color="auto"/>
          <w:lang w:val="es-AR"/>
        </w:rPr>
        <w:t>.(por Gabriel JENKINS)</w:t>
      </w:r>
    </w:p>
    <w:p w:rsidR="00457DA5" w:rsidRPr="00B56CF7" w:rsidRDefault="00457DA5" w:rsidP="00E7615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-que se va con PINO</w:t>
      </w:r>
      <w:proofErr w:type="gramStart"/>
      <w:r w:rsidRPr="00B56CF7">
        <w:rPr>
          <w:rFonts w:asciiTheme="majorHAnsi" w:eastAsia="Times New Roman" w:hAnsiTheme="majorHAnsi"/>
          <w:sz w:val="20"/>
          <w:szCs w:val="20"/>
          <w:bdr w:val="none" w:sz="0" w:space="0" w:color="auto"/>
          <w:lang w:val="es-AR"/>
        </w:rPr>
        <w:t>?</w:t>
      </w:r>
      <w:proofErr w:type="gramEnd"/>
    </w:p>
    <w:p w:rsidR="00457DA5" w:rsidRPr="00B56CF7" w:rsidRDefault="00457DA5" w:rsidP="00E7615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-NO ELLOS SE VAN A OTRO LADO</w:t>
      </w:r>
    </w:p>
    <w:p w:rsidR="00457DA5" w:rsidRPr="00B56CF7" w:rsidRDefault="00457DA5" w:rsidP="00E7615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-PINO y JORGE se van….</w:t>
      </w:r>
      <w:proofErr w:type="gramStart"/>
      <w:r w:rsidRPr="00B56CF7">
        <w:rPr>
          <w:rFonts w:asciiTheme="majorHAnsi" w:eastAsia="Times New Roman" w:hAnsiTheme="majorHAnsi"/>
          <w:sz w:val="20"/>
          <w:szCs w:val="20"/>
          <w:bdr w:val="none" w:sz="0" w:space="0" w:color="auto"/>
          <w:lang w:val="es-AR"/>
        </w:rPr>
        <w:t>?</w:t>
      </w:r>
      <w:proofErr w:type="gramEnd"/>
    </w:p>
    <w:p w:rsidR="00457DA5" w:rsidRPr="00B56CF7" w:rsidRDefault="00457DA5" w:rsidP="00E7615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-SI</w:t>
      </w:r>
      <w:proofErr w:type="gramStart"/>
      <w:r w:rsidRPr="00B56CF7">
        <w:rPr>
          <w:rFonts w:asciiTheme="majorHAnsi" w:eastAsia="Times New Roman" w:hAnsiTheme="majorHAnsi"/>
          <w:sz w:val="20"/>
          <w:szCs w:val="20"/>
          <w:bdr w:val="none" w:sz="0" w:space="0" w:color="auto"/>
          <w:lang w:val="es-AR"/>
        </w:rPr>
        <w:t>!</w:t>
      </w:r>
      <w:proofErr w:type="gramEnd"/>
    </w:p>
    <w:p w:rsidR="00457DA5" w:rsidRPr="00B56CF7" w:rsidRDefault="00457DA5" w:rsidP="00E7615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-ajá</w:t>
      </w:r>
      <w:proofErr w:type="gramStart"/>
      <w:r w:rsidRPr="00B56CF7">
        <w:rPr>
          <w:rFonts w:asciiTheme="majorHAnsi" w:eastAsia="Times New Roman" w:hAnsiTheme="majorHAnsi"/>
          <w:sz w:val="20"/>
          <w:szCs w:val="20"/>
          <w:bdr w:val="none" w:sz="0" w:space="0" w:color="auto"/>
          <w:lang w:val="es-AR"/>
        </w:rPr>
        <w:t>..</w:t>
      </w:r>
      <w:proofErr w:type="gramEnd"/>
    </w:p>
    <w:p w:rsidR="00457DA5" w:rsidRPr="00B56CF7" w:rsidRDefault="00457DA5" w:rsidP="00E7615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 xml:space="preserve">-este no </w:t>
      </w:r>
      <w:proofErr w:type="spellStart"/>
      <w:r w:rsidRPr="00B56CF7">
        <w:rPr>
          <w:rFonts w:asciiTheme="majorHAnsi" w:eastAsia="Times New Roman" w:hAnsiTheme="majorHAnsi"/>
          <w:sz w:val="20"/>
          <w:szCs w:val="20"/>
          <w:bdr w:val="none" w:sz="0" w:space="0" w:color="auto"/>
          <w:lang w:val="es-AR"/>
        </w:rPr>
        <w:t>se</w:t>
      </w:r>
      <w:proofErr w:type="spellEnd"/>
      <w:r w:rsidRPr="00B56CF7">
        <w:rPr>
          <w:rFonts w:asciiTheme="majorHAnsi" w:eastAsia="Times New Roman" w:hAnsiTheme="majorHAnsi"/>
          <w:sz w:val="20"/>
          <w:szCs w:val="20"/>
          <w:bdr w:val="none" w:sz="0" w:space="0" w:color="auto"/>
          <w:lang w:val="es-AR"/>
        </w:rPr>
        <w:t xml:space="preserve"> </w:t>
      </w:r>
      <w:proofErr w:type="spellStart"/>
      <w:r w:rsidRPr="00B56CF7">
        <w:rPr>
          <w:rFonts w:asciiTheme="majorHAnsi" w:eastAsia="Times New Roman" w:hAnsiTheme="majorHAnsi"/>
          <w:sz w:val="20"/>
          <w:szCs w:val="20"/>
          <w:bdr w:val="none" w:sz="0" w:space="0" w:color="auto"/>
          <w:lang w:val="es-AR"/>
        </w:rPr>
        <w:t>el</w:t>
      </w:r>
      <w:proofErr w:type="spellEnd"/>
      <w:r w:rsidRPr="00B56CF7">
        <w:rPr>
          <w:rFonts w:asciiTheme="majorHAnsi" w:eastAsia="Times New Roman" w:hAnsiTheme="majorHAnsi"/>
          <w:sz w:val="20"/>
          <w:szCs w:val="20"/>
          <w:bdr w:val="none" w:sz="0" w:space="0" w:color="auto"/>
          <w:lang w:val="es-AR"/>
        </w:rPr>
        <w:t xml:space="preserve"> tendría dice que tenía que ir a Buenos Aires A BUSCAR LA PLATA, no </w:t>
      </w:r>
      <w:proofErr w:type="spellStart"/>
      <w:r w:rsidRPr="00B56CF7">
        <w:rPr>
          <w:rFonts w:asciiTheme="majorHAnsi" w:eastAsia="Times New Roman" w:hAnsiTheme="majorHAnsi"/>
          <w:sz w:val="20"/>
          <w:szCs w:val="20"/>
          <w:bdr w:val="none" w:sz="0" w:space="0" w:color="auto"/>
          <w:lang w:val="es-AR"/>
        </w:rPr>
        <w:t>se</w:t>
      </w:r>
      <w:proofErr w:type="spellEnd"/>
      <w:r w:rsidRPr="00B56CF7">
        <w:rPr>
          <w:rFonts w:asciiTheme="majorHAnsi" w:eastAsia="Times New Roman" w:hAnsiTheme="majorHAnsi"/>
          <w:sz w:val="20"/>
          <w:szCs w:val="20"/>
          <w:bdr w:val="none" w:sz="0" w:space="0" w:color="auto"/>
          <w:lang w:val="es-AR"/>
        </w:rPr>
        <w:t xml:space="preserve"> </w:t>
      </w:r>
      <w:proofErr w:type="spellStart"/>
      <w:r w:rsidRPr="00B56CF7">
        <w:rPr>
          <w:rFonts w:asciiTheme="majorHAnsi" w:eastAsia="Times New Roman" w:hAnsiTheme="majorHAnsi"/>
          <w:sz w:val="20"/>
          <w:szCs w:val="20"/>
          <w:bdr w:val="none" w:sz="0" w:space="0" w:color="auto"/>
          <w:lang w:val="es-AR"/>
        </w:rPr>
        <w:t>que</w:t>
      </w:r>
      <w:proofErr w:type="spellEnd"/>
      <w:r w:rsidRPr="00B56CF7">
        <w:rPr>
          <w:rFonts w:asciiTheme="majorHAnsi" w:eastAsia="Times New Roman" w:hAnsiTheme="majorHAnsi"/>
          <w:sz w:val="20"/>
          <w:szCs w:val="20"/>
          <w:bdr w:val="none" w:sz="0" w:space="0" w:color="auto"/>
          <w:lang w:val="es-AR"/>
        </w:rPr>
        <w:t xml:space="preserve"> hace todos los días que se es que no </w:t>
      </w:r>
      <w:proofErr w:type="spellStart"/>
      <w:r w:rsidRPr="00B56CF7">
        <w:rPr>
          <w:rFonts w:asciiTheme="majorHAnsi" w:eastAsia="Times New Roman" w:hAnsiTheme="majorHAnsi"/>
          <w:sz w:val="20"/>
          <w:szCs w:val="20"/>
          <w:bdr w:val="none" w:sz="0" w:space="0" w:color="auto"/>
          <w:lang w:val="es-AR"/>
        </w:rPr>
        <w:t>se</w:t>
      </w:r>
      <w:proofErr w:type="spellEnd"/>
      <w:r w:rsidRPr="00B56CF7">
        <w:rPr>
          <w:rFonts w:asciiTheme="majorHAnsi" w:eastAsia="Times New Roman" w:hAnsiTheme="majorHAnsi"/>
          <w:sz w:val="20"/>
          <w:szCs w:val="20"/>
          <w:bdr w:val="none" w:sz="0" w:space="0" w:color="auto"/>
          <w:lang w:val="es-AR"/>
        </w:rPr>
        <w:t xml:space="preserve"> </w:t>
      </w:r>
      <w:proofErr w:type="spellStart"/>
      <w:r w:rsidRPr="00B56CF7">
        <w:rPr>
          <w:rFonts w:asciiTheme="majorHAnsi" w:eastAsia="Times New Roman" w:hAnsiTheme="majorHAnsi"/>
          <w:sz w:val="20"/>
          <w:szCs w:val="20"/>
          <w:bdr w:val="none" w:sz="0" w:space="0" w:color="auto"/>
          <w:lang w:val="es-AR"/>
        </w:rPr>
        <w:t>que</w:t>
      </w:r>
      <w:proofErr w:type="spellEnd"/>
      <w:r w:rsidRPr="00B56CF7">
        <w:rPr>
          <w:rFonts w:asciiTheme="majorHAnsi" w:eastAsia="Times New Roman" w:hAnsiTheme="majorHAnsi"/>
          <w:sz w:val="20"/>
          <w:szCs w:val="20"/>
          <w:bdr w:val="none" w:sz="0" w:space="0" w:color="auto"/>
          <w:lang w:val="es-AR"/>
        </w:rPr>
        <w:t xml:space="preserve"> mierda hace…</w:t>
      </w:r>
      <w:proofErr w:type="gramStart"/>
      <w:r w:rsidRPr="00B56CF7">
        <w:rPr>
          <w:rFonts w:asciiTheme="majorHAnsi" w:eastAsia="Times New Roman" w:hAnsiTheme="majorHAnsi"/>
          <w:sz w:val="20"/>
          <w:szCs w:val="20"/>
          <w:bdr w:val="none" w:sz="0" w:space="0" w:color="auto"/>
          <w:lang w:val="es-AR"/>
        </w:rPr>
        <w:t>?</w:t>
      </w:r>
      <w:proofErr w:type="gramEnd"/>
    </w:p>
    <w:p w:rsidR="00457DA5" w:rsidRPr="00B56CF7" w:rsidRDefault="00457DA5" w:rsidP="00E7615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-Aja…</w:t>
      </w:r>
    </w:p>
    <w:p w:rsidR="00457DA5" w:rsidRPr="00B56CF7" w:rsidRDefault="00457DA5" w:rsidP="00E7615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 xml:space="preserve">-Todos los días va…no </w:t>
      </w:r>
      <w:proofErr w:type="spellStart"/>
      <w:r w:rsidRPr="00B56CF7">
        <w:rPr>
          <w:rFonts w:asciiTheme="majorHAnsi" w:eastAsia="Times New Roman" w:hAnsiTheme="majorHAnsi"/>
          <w:sz w:val="20"/>
          <w:szCs w:val="20"/>
          <w:bdr w:val="none" w:sz="0" w:space="0" w:color="auto"/>
          <w:lang w:val="es-AR"/>
        </w:rPr>
        <w:t>se</w:t>
      </w:r>
      <w:proofErr w:type="spellEnd"/>
      <w:r w:rsidRPr="00B56CF7">
        <w:rPr>
          <w:rFonts w:asciiTheme="majorHAnsi" w:eastAsia="Times New Roman" w:hAnsiTheme="majorHAnsi"/>
          <w:sz w:val="20"/>
          <w:szCs w:val="20"/>
          <w:bdr w:val="none" w:sz="0" w:space="0" w:color="auto"/>
          <w:lang w:val="es-AR"/>
        </w:rPr>
        <w:t xml:space="preserve"> </w:t>
      </w:r>
      <w:proofErr w:type="spellStart"/>
      <w:r w:rsidRPr="00B56CF7">
        <w:rPr>
          <w:rFonts w:asciiTheme="majorHAnsi" w:eastAsia="Times New Roman" w:hAnsiTheme="majorHAnsi"/>
          <w:sz w:val="20"/>
          <w:szCs w:val="20"/>
          <w:bdr w:val="none" w:sz="0" w:space="0" w:color="auto"/>
          <w:lang w:val="es-AR"/>
        </w:rPr>
        <w:t>que</w:t>
      </w:r>
      <w:proofErr w:type="spellEnd"/>
      <w:r w:rsidRPr="00B56CF7">
        <w:rPr>
          <w:rFonts w:asciiTheme="majorHAnsi" w:eastAsia="Times New Roman" w:hAnsiTheme="majorHAnsi"/>
          <w:sz w:val="20"/>
          <w:szCs w:val="20"/>
          <w:bdr w:val="none" w:sz="0" w:space="0" w:color="auto"/>
          <w:lang w:val="es-AR"/>
        </w:rPr>
        <w:t xml:space="preserve"> hace…porque tampoco el tipo JORGE le larga un mango….viste….siempre el mismo rollo viste</w:t>
      </w:r>
      <w:proofErr w:type="gramStart"/>
      <w:r w:rsidRPr="00B56CF7">
        <w:rPr>
          <w:rFonts w:asciiTheme="majorHAnsi" w:eastAsia="Times New Roman" w:hAnsiTheme="majorHAnsi"/>
          <w:sz w:val="20"/>
          <w:szCs w:val="20"/>
          <w:bdr w:val="none" w:sz="0" w:space="0" w:color="auto"/>
          <w:lang w:val="es-AR"/>
        </w:rPr>
        <w:t>?</w:t>
      </w:r>
      <w:proofErr w:type="gramEnd"/>
    </w:p>
    <w:p w:rsidR="00457DA5" w:rsidRPr="00B56CF7" w:rsidRDefault="00457DA5" w:rsidP="00E7615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-Que hacen todo el día</w:t>
      </w:r>
      <w:proofErr w:type="gramStart"/>
      <w:r w:rsidRPr="00B56CF7">
        <w:rPr>
          <w:rFonts w:asciiTheme="majorHAnsi" w:eastAsia="Times New Roman" w:hAnsiTheme="majorHAnsi"/>
          <w:sz w:val="20"/>
          <w:szCs w:val="20"/>
          <w:bdr w:val="none" w:sz="0" w:space="0" w:color="auto"/>
          <w:lang w:val="es-AR"/>
        </w:rPr>
        <w:t>?</w:t>
      </w:r>
      <w:proofErr w:type="gramEnd"/>
    </w:p>
    <w:p w:rsidR="00457DA5" w:rsidRPr="00B56CF7" w:rsidRDefault="00457DA5" w:rsidP="00E7615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 xml:space="preserve">-no </w:t>
      </w:r>
      <w:proofErr w:type="spellStart"/>
      <w:r w:rsidRPr="00B56CF7">
        <w:rPr>
          <w:rFonts w:asciiTheme="majorHAnsi" w:eastAsia="Times New Roman" w:hAnsiTheme="majorHAnsi"/>
          <w:sz w:val="20"/>
          <w:szCs w:val="20"/>
          <w:bdr w:val="none" w:sz="0" w:space="0" w:color="auto"/>
          <w:lang w:val="es-AR"/>
        </w:rPr>
        <w:t>se</w:t>
      </w:r>
      <w:proofErr w:type="spellEnd"/>
      <w:r w:rsidRPr="00B56CF7">
        <w:rPr>
          <w:rFonts w:asciiTheme="majorHAnsi" w:eastAsia="Times New Roman" w:hAnsiTheme="majorHAnsi"/>
          <w:sz w:val="20"/>
          <w:szCs w:val="20"/>
          <w:bdr w:val="none" w:sz="0" w:space="0" w:color="auto"/>
          <w:lang w:val="es-AR"/>
        </w:rPr>
        <w:t xml:space="preserve">, no </w:t>
      </w:r>
      <w:proofErr w:type="spellStart"/>
      <w:proofErr w:type="gramStart"/>
      <w:r w:rsidRPr="00B56CF7">
        <w:rPr>
          <w:rFonts w:asciiTheme="majorHAnsi" w:eastAsia="Times New Roman" w:hAnsiTheme="majorHAnsi"/>
          <w:sz w:val="20"/>
          <w:szCs w:val="20"/>
          <w:bdr w:val="none" w:sz="0" w:space="0" w:color="auto"/>
          <w:lang w:val="es-AR"/>
        </w:rPr>
        <w:t>se</w:t>
      </w:r>
      <w:proofErr w:type="spellEnd"/>
      <w:r w:rsidRPr="00B56CF7">
        <w:rPr>
          <w:rFonts w:asciiTheme="majorHAnsi" w:eastAsia="Times New Roman" w:hAnsiTheme="majorHAnsi"/>
          <w:sz w:val="20"/>
          <w:szCs w:val="20"/>
          <w:bdr w:val="none" w:sz="0" w:space="0" w:color="auto"/>
          <w:lang w:val="es-AR"/>
        </w:rPr>
        <w:t xml:space="preserve"> ,</w:t>
      </w:r>
      <w:proofErr w:type="gramEnd"/>
      <w:r w:rsidRPr="00B56CF7">
        <w:rPr>
          <w:rFonts w:asciiTheme="majorHAnsi" w:eastAsia="Times New Roman" w:hAnsiTheme="majorHAnsi"/>
          <w:sz w:val="20"/>
          <w:szCs w:val="20"/>
          <w:bdr w:val="none" w:sz="0" w:space="0" w:color="auto"/>
          <w:lang w:val="es-AR"/>
        </w:rPr>
        <w:t xml:space="preserve"> no se….no tengo ni idea</w:t>
      </w:r>
      <w:r w:rsidR="009F1993" w:rsidRPr="00B56CF7">
        <w:rPr>
          <w:rFonts w:asciiTheme="majorHAnsi" w:eastAsia="Times New Roman" w:hAnsiTheme="majorHAnsi"/>
          <w:sz w:val="20"/>
          <w:szCs w:val="20"/>
          <w:bdr w:val="none" w:sz="0" w:space="0" w:color="auto"/>
          <w:lang w:val="es-AR"/>
        </w:rPr>
        <w:t>.</w:t>
      </w:r>
    </w:p>
    <w:p w:rsidR="00457DA5" w:rsidRPr="00B56CF7" w:rsidRDefault="00457DA5" w:rsidP="009C785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AR"/>
        </w:rPr>
      </w:pPr>
    </w:p>
    <w:p w:rsidR="009C7859" w:rsidRPr="00B56CF7" w:rsidRDefault="009C7859" w:rsidP="009C78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 xml:space="preserve">La Comisión hace notar que en la solicitud de elevación a juicio se </w:t>
      </w:r>
      <w:r w:rsidR="001C0386" w:rsidRPr="00B56CF7">
        <w:rPr>
          <w:rFonts w:asciiTheme="majorHAnsi" w:eastAsia="Times New Roman" w:hAnsiTheme="majorHAnsi"/>
          <w:sz w:val="20"/>
          <w:szCs w:val="20"/>
          <w:bdr w:val="none" w:sz="0" w:space="0" w:color="auto"/>
          <w:lang w:val="es-AR"/>
        </w:rPr>
        <w:t>hizo referencia a los folios citados en los párrafos precedentes y, específicamente, se hizo referencia a un viaje a Panamá</w:t>
      </w:r>
      <w:r w:rsidR="007A6847" w:rsidRPr="00B56CF7">
        <w:rPr>
          <w:rFonts w:asciiTheme="majorHAnsi" w:hAnsiTheme="majorHAnsi"/>
          <w:sz w:val="20"/>
          <w:szCs w:val="20"/>
          <w:vertAlign w:val="superscript"/>
        </w:rPr>
        <w:footnoteReference w:id="9"/>
      </w:r>
      <w:r w:rsidRPr="00B56CF7">
        <w:rPr>
          <w:rFonts w:asciiTheme="majorHAnsi" w:eastAsia="Times New Roman" w:hAnsiTheme="majorHAnsi"/>
          <w:sz w:val="20"/>
          <w:szCs w:val="20"/>
          <w:bdr w:val="none" w:sz="0" w:space="0" w:color="auto"/>
          <w:lang w:val="es-AR"/>
        </w:rPr>
        <w:t>.</w:t>
      </w:r>
      <w:r w:rsidR="001C0386" w:rsidRPr="00B56CF7">
        <w:rPr>
          <w:rFonts w:asciiTheme="majorHAnsi" w:eastAsia="Times New Roman" w:hAnsiTheme="majorHAnsi"/>
          <w:sz w:val="20"/>
          <w:szCs w:val="20"/>
          <w:bdr w:val="none" w:sz="0" w:space="0" w:color="auto"/>
          <w:lang w:val="es-AR"/>
        </w:rPr>
        <w:t xml:space="preserve"> Textualmente se ind</w:t>
      </w:r>
      <w:r w:rsidR="00524D3F" w:rsidRPr="00B56CF7">
        <w:rPr>
          <w:rFonts w:asciiTheme="majorHAnsi" w:eastAsia="Times New Roman" w:hAnsiTheme="majorHAnsi"/>
          <w:sz w:val="20"/>
          <w:szCs w:val="20"/>
          <w:bdr w:val="none" w:sz="0" w:space="0" w:color="auto"/>
          <w:lang w:val="es-AR"/>
        </w:rPr>
        <w:t>ic</w:t>
      </w:r>
      <w:r w:rsidR="001C0386" w:rsidRPr="00B56CF7">
        <w:rPr>
          <w:rFonts w:asciiTheme="majorHAnsi" w:eastAsia="Times New Roman" w:hAnsiTheme="majorHAnsi"/>
          <w:sz w:val="20"/>
          <w:szCs w:val="20"/>
          <w:bdr w:val="none" w:sz="0" w:space="0" w:color="auto"/>
          <w:lang w:val="es-AR"/>
        </w:rPr>
        <w:t xml:space="preserve">ó en dicha solicitud que: </w:t>
      </w:r>
      <w:r w:rsidRPr="00B56CF7">
        <w:rPr>
          <w:rFonts w:asciiTheme="majorHAnsi" w:eastAsia="Times New Roman" w:hAnsiTheme="majorHAnsi"/>
          <w:sz w:val="20"/>
          <w:szCs w:val="20"/>
          <w:bdr w:val="none" w:sz="0" w:space="0" w:color="auto"/>
          <w:lang w:val="es-AR"/>
        </w:rPr>
        <w:t xml:space="preserve"> </w:t>
      </w:r>
    </w:p>
    <w:p w:rsidR="009C7859" w:rsidRPr="00B56CF7" w:rsidRDefault="009C7859" w:rsidP="009C785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sz w:val="20"/>
          <w:szCs w:val="20"/>
          <w:bdr w:val="none" w:sz="0" w:space="0" w:color="auto"/>
          <w:lang w:val="es-AR"/>
        </w:rPr>
      </w:pPr>
    </w:p>
    <w:p w:rsidR="00C74AF3" w:rsidRPr="0062236D" w:rsidRDefault="00F13B62" w:rsidP="00AA027F">
      <w:pPr>
        <w:tabs>
          <w:tab w:val="num" w:pos="1440"/>
        </w:tabs>
        <w:ind w:left="720" w:right="720"/>
        <w:jc w:val="both"/>
        <w:rPr>
          <w:rFonts w:asciiTheme="majorHAnsi" w:hAnsiTheme="majorHAnsi"/>
          <w:sz w:val="20"/>
          <w:szCs w:val="20"/>
          <w:lang w:val="es-ES"/>
        </w:rPr>
      </w:pPr>
      <w:r w:rsidRPr="0062236D">
        <w:rPr>
          <w:rFonts w:asciiTheme="majorHAnsi" w:hAnsiTheme="majorHAnsi"/>
          <w:sz w:val="20"/>
          <w:szCs w:val="20"/>
          <w:lang w:val="es-ES"/>
        </w:rPr>
        <w:t>“</w:t>
      </w:r>
      <w:r w:rsidR="00AA027F" w:rsidRPr="0062236D">
        <w:rPr>
          <w:rFonts w:asciiTheme="majorHAnsi" w:hAnsiTheme="majorHAnsi"/>
          <w:sz w:val="20"/>
          <w:szCs w:val="20"/>
          <w:lang w:val="es-ES"/>
        </w:rPr>
        <w:t xml:space="preserve">(…) </w:t>
      </w:r>
      <w:r w:rsidR="00A807F2" w:rsidRPr="0062236D">
        <w:rPr>
          <w:rFonts w:asciiTheme="majorHAnsi" w:hAnsiTheme="majorHAnsi"/>
          <w:sz w:val="20"/>
          <w:szCs w:val="20"/>
          <w:lang w:val="es-ES"/>
        </w:rPr>
        <w:t>GABRIEL JENKINS: utilizaba sus contactos en España para la venta del estupefaciente</w:t>
      </w:r>
      <w:r w:rsidR="008F627B" w:rsidRPr="0062236D">
        <w:rPr>
          <w:rFonts w:asciiTheme="majorHAnsi" w:hAnsiTheme="majorHAnsi"/>
          <w:sz w:val="20"/>
          <w:szCs w:val="20"/>
          <w:lang w:val="es-ES"/>
        </w:rPr>
        <w:t xml:space="preserve"> que exportaba la organización; </w:t>
      </w:r>
      <w:r w:rsidR="00A807F2" w:rsidRPr="0062236D">
        <w:rPr>
          <w:rFonts w:asciiTheme="majorHAnsi" w:hAnsiTheme="majorHAnsi"/>
          <w:sz w:val="20"/>
          <w:szCs w:val="20"/>
          <w:lang w:val="es-ES"/>
        </w:rPr>
        <w:t>estaba preparando dichos contactos para el envío que efectuarían los colombianos desde Centroamérica; utilizaba la palabra clave “LIBERTADO” para intercambiar números de teléfonos; tenía continuos contactos con RAUL FERNANDEZ- hoy prófugo</w:t>
      </w:r>
      <w:r w:rsidR="00F539AD" w:rsidRPr="0062236D">
        <w:rPr>
          <w:rFonts w:asciiTheme="majorHAnsi" w:hAnsiTheme="majorHAnsi"/>
          <w:sz w:val="20"/>
          <w:szCs w:val="20"/>
          <w:lang w:val="es-ES"/>
        </w:rPr>
        <w:t xml:space="preserve">-; siempre respondía a las directivas de JORGE CARLOS MARTINEZ; no sólo </w:t>
      </w:r>
      <w:r w:rsidR="00083645" w:rsidRPr="0062236D">
        <w:rPr>
          <w:rFonts w:asciiTheme="majorHAnsi" w:hAnsiTheme="majorHAnsi"/>
          <w:sz w:val="20"/>
          <w:szCs w:val="20"/>
          <w:lang w:val="es-ES"/>
        </w:rPr>
        <w:t xml:space="preserve">trataba frecuentemente con éste y SUSANA OLIVERA, sino que también conocía a los restantes, incluyendo a PINO FERNANDEZ y CELSO RUBINSTEIN-este </w:t>
      </w:r>
      <w:r w:rsidR="00022CE6" w:rsidRPr="0062236D">
        <w:rPr>
          <w:rFonts w:asciiTheme="majorHAnsi" w:hAnsiTheme="majorHAnsi"/>
          <w:sz w:val="20"/>
          <w:szCs w:val="20"/>
          <w:lang w:val="es-ES"/>
        </w:rPr>
        <w:t xml:space="preserve">último también prófugo-; también </w:t>
      </w:r>
      <w:r w:rsidRPr="0062236D">
        <w:rPr>
          <w:rFonts w:asciiTheme="majorHAnsi" w:hAnsiTheme="majorHAnsi"/>
          <w:sz w:val="20"/>
          <w:szCs w:val="20"/>
          <w:lang w:val="es-ES"/>
        </w:rPr>
        <w:t>Jorge Carlos MARTINEZ le ofreció a JENKINS viajar a la reunión de Panamá (fs. 1099 y 1309/10), a quien además le mencionó, en relación a cantidades para llevar “afuera del agua, que estaban pasados de fecha y que ya estaba todo” (ver fs. 1121/2)”</w:t>
      </w:r>
      <w:r w:rsidR="00A807F2" w:rsidRPr="0062236D">
        <w:rPr>
          <w:rFonts w:asciiTheme="majorHAnsi" w:hAnsiTheme="majorHAnsi"/>
          <w:sz w:val="20"/>
          <w:szCs w:val="20"/>
          <w:vertAlign w:val="superscript"/>
          <w:lang w:val="es-ES"/>
        </w:rPr>
        <w:footnoteReference w:id="10"/>
      </w:r>
      <w:r w:rsidRPr="0062236D">
        <w:rPr>
          <w:rFonts w:asciiTheme="majorHAnsi" w:hAnsiTheme="majorHAnsi"/>
          <w:sz w:val="20"/>
          <w:szCs w:val="20"/>
          <w:lang w:val="es-ES"/>
        </w:rPr>
        <w:t xml:space="preserve">. </w:t>
      </w:r>
    </w:p>
    <w:p w:rsidR="00022CE6" w:rsidRPr="00B56CF7" w:rsidRDefault="00022CE6" w:rsidP="00022CE6">
      <w:pPr>
        <w:pStyle w:val="ListParagraph"/>
        <w:rPr>
          <w:rFonts w:asciiTheme="majorHAnsi" w:eastAsia="Times New Roman" w:hAnsiTheme="majorHAnsi"/>
          <w:sz w:val="20"/>
          <w:szCs w:val="20"/>
          <w:bdr w:val="none" w:sz="0" w:space="0" w:color="auto"/>
          <w:lang w:val="es-AR"/>
        </w:rPr>
      </w:pPr>
    </w:p>
    <w:p w:rsidR="0070693D" w:rsidRPr="00B56CF7" w:rsidRDefault="00022CE6" w:rsidP="0070693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En la etapa de juicio, el Principal Carlos Alberto Salomone</w:t>
      </w:r>
      <w:r w:rsidR="0070693D" w:rsidRPr="00B56CF7">
        <w:rPr>
          <w:rFonts w:asciiTheme="majorHAnsi" w:eastAsia="Times New Roman" w:hAnsiTheme="majorHAnsi"/>
          <w:sz w:val="20"/>
          <w:szCs w:val="20"/>
          <w:bdr w:val="none" w:sz="0" w:space="0" w:color="auto"/>
          <w:lang w:val="es-AR"/>
        </w:rPr>
        <w:t>, encargado de efectuar las escuchas telefónicas</w:t>
      </w:r>
      <w:r w:rsidR="00FA2208">
        <w:rPr>
          <w:rFonts w:asciiTheme="majorHAnsi" w:eastAsia="Times New Roman" w:hAnsiTheme="majorHAnsi"/>
          <w:sz w:val="20"/>
          <w:szCs w:val="20"/>
          <w:bdr w:val="none" w:sz="0" w:space="0" w:color="auto"/>
          <w:lang w:val="es-AR"/>
        </w:rPr>
        <w:t>,</w:t>
      </w:r>
      <w:r w:rsidRPr="00B56CF7">
        <w:rPr>
          <w:rFonts w:asciiTheme="majorHAnsi" w:eastAsia="Times New Roman" w:hAnsiTheme="majorHAnsi"/>
          <w:sz w:val="20"/>
          <w:szCs w:val="20"/>
          <w:bdr w:val="none" w:sz="0" w:space="0" w:color="auto"/>
          <w:lang w:val="es-AR"/>
        </w:rPr>
        <w:t xml:space="preserve"> </w:t>
      </w:r>
      <w:r w:rsidR="0070693D" w:rsidRPr="00B56CF7">
        <w:rPr>
          <w:rFonts w:asciiTheme="majorHAnsi" w:eastAsia="Times New Roman" w:hAnsiTheme="majorHAnsi"/>
          <w:sz w:val="20"/>
          <w:szCs w:val="20"/>
          <w:bdr w:val="none" w:sz="0" w:space="0" w:color="auto"/>
          <w:lang w:val="es-AR"/>
        </w:rPr>
        <w:t xml:space="preserve">refirió </w:t>
      </w:r>
      <w:r w:rsidR="00842534" w:rsidRPr="00B56CF7">
        <w:rPr>
          <w:rFonts w:asciiTheme="majorHAnsi" w:eastAsia="Times New Roman" w:hAnsiTheme="majorHAnsi"/>
          <w:sz w:val="20"/>
          <w:szCs w:val="20"/>
          <w:bdr w:val="none" w:sz="0" w:space="0" w:color="auto"/>
          <w:lang w:val="es-AR"/>
        </w:rPr>
        <w:t xml:space="preserve">lo siguiente: </w:t>
      </w:r>
      <w:r w:rsidR="0070693D" w:rsidRPr="00B56CF7">
        <w:rPr>
          <w:rFonts w:asciiTheme="majorHAnsi" w:eastAsia="Times New Roman" w:hAnsiTheme="majorHAnsi"/>
          <w:sz w:val="20"/>
          <w:szCs w:val="20"/>
          <w:bdr w:val="none" w:sz="0" w:space="0" w:color="auto"/>
          <w:lang w:val="es-AR"/>
        </w:rPr>
        <w:t>“JENKINS toma contacto con MARTINEZ, y conocía a “Pino” FERNANDEZ. Tomó contacto con JUAN, MARTINEZ le ofreció llevarlo a Panamá. Parecía que lo quería reemplazar por CAÑETE, que cometió errores con la gente que seleccionó para los trabajos, y tenía irregularidades”</w:t>
      </w:r>
      <w:r w:rsidR="0070693D" w:rsidRPr="00B56CF7">
        <w:rPr>
          <w:rStyle w:val="FootnoteReference"/>
          <w:rFonts w:asciiTheme="majorHAnsi" w:eastAsia="Times New Roman" w:hAnsiTheme="majorHAnsi"/>
          <w:sz w:val="20"/>
          <w:szCs w:val="20"/>
          <w:bdr w:val="none" w:sz="0" w:space="0" w:color="auto"/>
          <w:lang w:val="es-AR"/>
        </w:rPr>
        <w:footnoteReference w:id="11"/>
      </w:r>
      <w:r w:rsidR="0070693D" w:rsidRPr="00B56CF7">
        <w:rPr>
          <w:rFonts w:asciiTheme="majorHAnsi" w:eastAsia="Times New Roman" w:hAnsiTheme="majorHAnsi"/>
          <w:sz w:val="20"/>
          <w:szCs w:val="20"/>
          <w:bdr w:val="none" w:sz="0" w:space="0" w:color="auto"/>
          <w:lang w:val="es-AR"/>
        </w:rPr>
        <w:t>.</w:t>
      </w:r>
    </w:p>
    <w:p w:rsidR="0070693D" w:rsidRPr="00B56CF7" w:rsidRDefault="0070693D" w:rsidP="0070693D">
      <w:pPr>
        <w:pStyle w:val="ListParagraph"/>
        <w:rPr>
          <w:rFonts w:asciiTheme="majorHAnsi" w:eastAsia="Times New Roman" w:hAnsiTheme="majorHAnsi"/>
          <w:sz w:val="20"/>
          <w:szCs w:val="20"/>
          <w:bdr w:val="none" w:sz="0" w:space="0" w:color="auto"/>
          <w:lang w:val="es-AR"/>
        </w:rPr>
      </w:pPr>
    </w:p>
    <w:p w:rsidR="009C7859" w:rsidRPr="00B56CF7" w:rsidRDefault="0070693D" w:rsidP="009C78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 xml:space="preserve">La Comisión </w:t>
      </w:r>
      <w:r w:rsidR="006A4720" w:rsidRPr="00B56CF7">
        <w:rPr>
          <w:rFonts w:asciiTheme="majorHAnsi" w:eastAsia="Times New Roman" w:hAnsiTheme="majorHAnsi"/>
          <w:sz w:val="20"/>
          <w:szCs w:val="20"/>
          <w:bdr w:val="none" w:sz="0" w:space="0" w:color="auto"/>
          <w:lang w:val="es-AR"/>
        </w:rPr>
        <w:t xml:space="preserve">observa que </w:t>
      </w:r>
      <w:r w:rsidR="00D24ED7" w:rsidRPr="00B56CF7">
        <w:rPr>
          <w:rFonts w:asciiTheme="majorHAnsi" w:eastAsia="Times New Roman" w:hAnsiTheme="majorHAnsi"/>
          <w:sz w:val="20"/>
          <w:szCs w:val="20"/>
          <w:bdr w:val="none" w:sz="0" w:space="0" w:color="auto"/>
          <w:lang w:val="es-AR"/>
        </w:rPr>
        <w:t xml:space="preserve">el peticionario alegó que </w:t>
      </w:r>
      <w:r w:rsidR="00D67780" w:rsidRPr="00B56CF7">
        <w:rPr>
          <w:rFonts w:asciiTheme="majorHAnsi" w:eastAsia="Times New Roman" w:hAnsiTheme="majorHAnsi"/>
          <w:sz w:val="20"/>
          <w:szCs w:val="20"/>
          <w:bdr w:val="none" w:sz="0" w:space="0" w:color="auto"/>
          <w:lang w:val="es-AR"/>
        </w:rPr>
        <w:t xml:space="preserve">el </w:t>
      </w:r>
      <w:proofErr w:type="spellStart"/>
      <w:r w:rsidR="00D67780" w:rsidRPr="00B56CF7">
        <w:rPr>
          <w:rFonts w:asciiTheme="majorHAnsi" w:eastAsia="Times New Roman" w:hAnsiTheme="majorHAnsi"/>
          <w:sz w:val="20"/>
          <w:szCs w:val="20"/>
          <w:bdr w:val="none" w:sz="0" w:space="0" w:color="auto"/>
          <w:lang w:val="es-AR"/>
        </w:rPr>
        <w:t>cassette</w:t>
      </w:r>
      <w:proofErr w:type="spellEnd"/>
      <w:r w:rsidR="00D67780" w:rsidRPr="00B56CF7">
        <w:rPr>
          <w:rFonts w:asciiTheme="majorHAnsi" w:eastAsia="Times New Roman" w:hAnsiTheme="majorHAnsi"/>
          <w:sz w:val="20"/>
          <w:szCs w:val="20"/>
          <w:bdr w:val="none" w:sz="0" w:space="0" w:color="auto"/>
          <w:lang w:val="es-AR"/>
        </w:rPr>
        <w:t xml:space="preserve"> </w:t>
      </w:r>
      <w:r w:rsidR="00DE6E4D" w:rsidRPr="00B56CF7">
        <w:rPr>
          <w:rFonts w:asciiTheme="majorHAnsi" w:eastAsia="Times New Roman" w:hAnsiTheme="majorHAnsi"/>
          <w:sz w:val="20"/>
          <w:szCs w:val="20"/>
          <w:bdr w:val="none" w:sz="0" w:space="0" w:color="auto"/>
          <w:lang w:val="es-AR"/>
        </w:rPr>
        <w:t>N</w:t>
      </w:r>
      <w:r w:rsidR="00D67780" w:rsidRPr="00B56CF7">
        <w:rPr>
          <w:rFonts w:asciiTheme="majorHAnsi" w:eastAsia="Times New Roman" w:hAnsiTheme="majorHAnsi"/>
          <w:sz w:val="20"/>
          <w:szCs w:val="20"/>
          <w:bdr w:val="none" w:sz="0" w:space="0" w:color="auto"/>
          <w:lang w:val="es-AR"/>
        </w:rPr>
        <w:t xml:space="preserve">o. 40 tenía un contenido distinto del que se afirmaba en la constancia </w:t>
      </w:r>
      <w:proofErr w:type="spellStart"/>
      <w:r w:rsidR="00D67780" w:rsidRPr="00B56CF7">
        <w:rPr>
          <w:rFonts w:asciiTheme="majorHAnsi" w:eastAsia="Times New Roman" w:hAnsiTheme="majorHAnsi"/>
          <w:sz w:val="20"/>
          <w:szCs w:val="20"/>
          <w:bdr w:val="none" w:sz="0" w:space="0" w:color="auto"/>
          <w:lang w:val="es-AR"/>
        </w:rPr>
        <w:t>prevencional</w:t>
      </w:r>
      <w:proofErr w:type="spellEnd"/>
      <w:r w:rsidR="00D67780" w:rsidRPr="00B56CF7">
        <w:rPr>
          <w:rFonts w:asciiTheme="majorHAnsi" w:eastAsia="Times New Roman" w:hAnsiTheme="majorHAnsi"/>
          <w:sz w:val="20"/>
          <w:szCs w:val="20"/>
          <w:bdr w:val="none" w:sz="0" w:space="0" w:color="auto"/>
          <w:lang w:val="es-AR"/>
        </w:rPr>
        <w:t xml:space="preserve"> agregada en el folio 1099 de la causa. </w:t>
      </w:r>
      <w:r w:rsidR="00DE6E4D" w:rsidRPr="00B56CF7">
        <w:rPr>
          <w:rFonts w:asciiTheme="majorHAnsi" w:eastAsia="Times New Roman" w:hAnsiTheme="majorHAnsi"/>
          <w:sz w:val="20"/>
          <w:szCs w:val="20"/>
          <w:bdr w:val="none" w:sz="0" w:space="0" w:color="auto"/>
          <w:lang w:val="es-AR"/>
        </w:rPr>
        <w:t>P</w:t>
      </w:r>
      <w:r w:rsidR="00D67780" w:rsidRPr="00B56CF7">
        <w:rPr>
          <w:rFonts w:asciiTheme="majorHAnsi" w:eastAsia="Times New Roman" w:hAnsiTheme="majorHAnsi"/>
          <w:sz w:val="20"/>
          <w:szCs w:val="20"/>
          <w:bdr w:val="none" w:sz="0" w:space="0" w:color="auto"/>
          <w:lang w:val="es-AR"/>
        </w:rPr>
        <w:t>articular</w:t>
      </w:r>
      <w:r w:rsidR="00DE6E4D" w:rsidRPr="00B56CF7">
        <w:rPr>
          <w:rFonts w:asciiTheme="majorHAnsi" w:eastAsia="Times New Roman" w:hAnsiTheme="majorHAnsi"/>
          <w:sz w:val="20"/>
          <w:szCs w:val="20"/>
          <w:bdr w:val="none" w:sz="0" w:space="0" w:color="auto"/>
          <w:lang w:val="es-AR"/>
        </w:rPr>
        <w:t>mente</w:t>
      </w:r>
      <w:r w:rsidR="00D67780" w:rsidRPr="00B56CF7">
        <w:rPr>
          <w:rFonts w:asciiTheme="majorHAnsi" w:eastAsia="Times New Roman" w:hAnsiTheme="majorHAnsi"/>
          <w:sz w:val="20"/>
          <w:szCs w:val="20"/>
          <w:bdr w:val="none" w:sz="0" w:space="0" w:color="auto"/>
          <w:lang w:val="es-AR"/>
        </w:rPr>
        <w:t>, en la etapa del juicio la defensa del peticionario solicitó al Tribunal que se investigue</w:t>
      </w:r>
      <w:r w:rsidR="00DE6E4D" w:rsidRPr="00B56CF7">
        <w:rPr>
          <w:rFonts w:asciiTheme="majorHAnsi" w:eastAsia="Times New Roman" w:hAnsiTheme="majorHAnsi"/>
          <w:sz w:val="20"/>
          <w:szCs w:val="20"/>
          <w:bdr w:val="none" w:sz="0" w:space="0" w:color="auto"/>
          <w:lang w:val="es-AR"/>
        </w:rPr>
        <w:t>n</w:t>
      </w:r>
      <w:r w:rsidR="00F23B45" w:rsidRPr="00B56CF7">
        <w:rPr>
          <w:rFonts w:asciiTheme="majorHAnsi" w:eastAsia="Times New Roman" w:hAnsiTheme="majorHAnsi"/>
          <w:sz w:val="20"/>
          <w:szCs w:val="20"/>
          <w:bdr w:val="none" w:sz="0" w:space="0" w:color="auto"/>
          <w:lang w:val="es-AR"/>
        </w:rPr>
        <w:t xml:space="preserve"> </w:t>
      </w:r>
      <w:r w:rsidR="00D67780" w:rsidRPr="00B56CF7">
        <w:rPr>
          <w:rFonts w:asciiTheme="majorHAnsi" w:hAnsiTheme="majorHAnsi"/>
          <w:sz w:val="20"/>
          <w:szCs w:val="20"/>
          <w:lang w:val="es-VE"/>
        </w:rPr>
        <w:t xml:space="preserve">las </w:t>
      </w:r>
      <w:r w:rsidR="00D67780" w:rsidRPr="00B56CF7">
        <w:rPr>
          <w:rFonts w:asciiTheme="majorHAnsi" w:hAnsiTheme="majorHAnsi"/>
          <w:sz w:val="20"/>
          <w:szCs w:val="20"/>
          <w:lang w:val="es-VE"/>
        </w:rPr>
        <w:lastRenderedPageBreak/>
        <w:t xml:space="preserve">diferencias existentes entre el contenido de la </w:t>
      </w:r>
      <w:proofErr w:type="spellStart"/>
      <w:r w:rsidR="00D67780" w:rsidRPr="00B56CF7">
        <w:rPr>
          <w:rFonts w:asciiTheme="majorHAnsi" w:hAnsiTheme="majorHAnsi"/>
          <w:sz w:val="20"/>
          <w:szCs w:val="20"/>
          <w:lang w:val="es-VE"/>
        </w:rPr>
        <w:t>cassette</w:t>
      </w:r>
      <w:proofErr w:type="spellEnd"/>
      <w:r w:rsidR="00D67780" w:rsidRPr="00B56CF7">
        <w:rPr>
          <w:rFonts w:asciiTheme="majorHAnsi" w:hAnsiTheme="majorHAnsi"/>
          <w:sz w:val="20"/>
          <w:szCs w:val="20"/>
          <w:lang w:val="es-VE"/>
        </w:rPr>
        <w:t xml:space="preserve"> No</w:t>
      </w:r>
      <w:r w:rsidR="008228F4" w:rsidRPr="00B56CF7">
        <w:rPr>
          <w:rFonts w:asciiTheme="majorHAnsi" w:hAnsiTheme="majorHAnsi"/>
          <w:sz w:val="20"/>
          <w:szCs w:val="20"/>
          <w:lang w:val="es-VE"/>
        </w:rPr>
        <w:t>.</w:t>
      </w:r>
      <w:r w:rsidR="00D67780" w:rsidRPr="00B56CF7">
        <w:rPr>
          <w:rFonts w:asciiTheme="majorHAnsi" w:hAnsiTheme="majorHAnsi"/>
          <w:sz w:val="20"/>
          <w:szCs w:val="20"/>
          <w:lang w:val="es-VE"/>
        </w:rPr>
        <w:t xml:space="preserve"> 40 del abonado 91-2614 y la constancia </w:t>
      </w:r>
      <w:proofErr w:type="spellStart"/>
      <w:r w:rsidR="00D67780" w:rsidRPr="00B56CF7">
        <w:rPr>
          <w:rFonts w:asciiTheme="majorHAnsi" w:hAnsiTheme="majorHAnsi"/>
          <w:sz w:val="20"/>
          <w:szCs w:val="20"/>
          <w:lang w:val="es-VE"/>
        </w:rPr>
        <w:t>prevencional</w:t>
      </w:r>
      <w:proofErr w:type="spellEnd"/>
      <w:r w:rsidR="00D67780" w:rsidRPr="00B56CF7">
        <w:rPr>
          <w:rFonts w:asciiTheme="majorHAnsi" w:hAnsiTheme="majorHAnsi"/>
          <w:sz w:val="20"/>
          <w:szCs w:val="20"/>
          <w:lang w:val="es-VE"/>
        </w:rPr>
        <w:t xml:space="preserve"> agregada a fs. 1099, dado que en </w:t>
      </w:r>
      <w:r w:rsidR="00DE6E4D" w:rsidRPr="00B56CF7">
        <w:rPr>
          <w:rFonts w:asciiTheme="majorHAnsi" w:hAnsiTheme="majorHAnsi"/>
          <w:sz w:val="20"/>
          <w:szCs w:val="20"/>
          <w:lang w:val="es-VE"/>
        </w:rPr>
        <w:t>e</w:t>
      </w:r>
      <w:r w:rsidR="00D67780" w:rsidRPr="00B56CF7">
        <w:rPr>
          <w:rFonts w:asciiTheme="majorHAnsi" w:hAnsiTheme="majorHAnsi"/>
          <w:sz w:val="20"/>
          <w:szCs w:val="20"/>
          <w:lang w:val="es-VE"/>
        </w:rPr>
        <w:t>sta última se alude a un viaje a la ciudad de Panamá, que no consta en aqu</w:t>
      </w:r>
      <w:r w:rsidR="002A08C4" w:rsidRPr="00B56CF7">
        <w:rPr>
          <w:rFonts w:asciiTheme="majorHAnsi" w:hAnsiTheme="majorHAnsi"/>
          <w:sz w:val="20"/>
          <w:szCs w:val="20"/>
          <w:lang w:val="es-VE"/>
        </w:rPr>
        <w:t>e</w:t>
      </w:r>
      <w:r w:rsidR="00D67780" w:rsidRPr="00B56CF7">
        <w:rPr>
          <w:rFonts w:asciiTheme="majorHAnsi" w:hAnsiTheme="majorHAnsi"/>
          <w:sz w:val="20"/>
          <w:szCs w:val="20"/>
          <w:lang w:val="es-VE"/>
        </w:rPr>
        <w:t xml:space="preserve">lla, siendo que tal circunstancia habría sido utilizada como </w:t>
      </w:r>
      <w:r w:rsidR="000571A9" w:rsidRPr="00B56CF7">
        <w:rPr>
          <w:rFonts w:asciiTheme="majorHAnsi" w:hAnsiTheme="majorHAnsi"/>
          <w:sz w:val="20"/>
          <w:szCs w:val="20"/>
          <w:lang w:val="es-VE"/>
        </w:rPr>
        <w:t>“</w:t>
      </w:r>
      <w:r w:rsidR="00D67780" w:rsidRPr="00B56CF7">
        <w:rPr>
          <w:rFonts w:asciiTheme="majorHAnsi" w:hAnsiTheme="majorHAnsi"/>
          <w:sz w:val="20"/>
          <w:szCs w:val="20"/>
          <w:lang w:val="es-VE"/>
        </w:rPr>
        <w:t>elemento cargoso</w:t>
      </w:r>
      <w:r w:rsidR="000571A9" w:rsidRPr="00B56CF7">
        <w:rPr>
          <w:rFonts w:asciiTheme="majorHAnsi" w:hAnsiTheme="majorHAnsi"/>
          <w:sz w:val="20"/>
          <w:szCs w:val="20"/>
          <w:lang w:val="es-VE"/>
        </w:rPr>
        <w:t>”</w:t>
      </w:r>
      <w:r w:rsidR="00D67780" w:rsidRPr="00B56CF7">
        <w:rPr>
          <w:rFonts w:asciiTheme="majorHAnsi" w:hAnsiTheme="majorHAnsi"/>
          <w:sz w:val="20"/>
          <w:szCs w:val="20"/>
          <w:lang w:val="es-VE"/>
        </w:rPr>
        <w:t xml:space="preserve"> por los Fiscales de grado para formular el requerimiento de elevación a juicio</w:t>
      </w:r>
      <w:r w:rsidR="00D15D15" w:rsidRPr="00B56CF7">
        <w:rPr>
          <w:rFonts w:asciiTheme="majorHAnsi" w:hAnsiTheme="majorHAnsi"/>
          <w:sz w:val="20"/>
          <w:szCs w:val="20"/>
          <w:lang w:val="es-VE"/>
        </w:rPr>
        <w:t xml:space="preserve"> del señor Jenkins</w:t>
      </w:r>
      <w:r w:rsidR="00D67780" w:rsidRPr="00B56CF7">
        <w:rPr>
          <w:rStyle w:val="FootnoteReference"/>
          <w:rFonts w:asciiTheme="majorHAnsi" w:hAnsiTheme="majorHAnsi"/>
          <w:sz w:val="20"/>
          <w:szCs w:val="20"/>
          <w:lang w:val="es-VE"/>
        </w:rPr>
        <w:footnoteReference w:id="12"/>
      </w:r>
      <w:r w:rsidR="00D92961" w:rsidRPr="00B56CF7">
        <w:rPr>
          <w:rFonts w:asciiTheme="majorHAnsi" w:hAnsiTheme="majorHAnsi"/>
          <w:sz w:val="20"/>
          <w:szCs w:val="20"/>
          <w:lang w:val="es-VE"/>
        </w:rPr>
        <w:t>.</w:t>
      </w:r>
    </w:p>
    <w:p w:rsidR="008F627B" w:rsidRPr="00B56CF7" w:rsidRDefault="008F627B" w:rsidP="008F627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AR"/>
        </w:rPr>
      </w:pPr>
    </w:p>
    <w:p w:rsidR="000B3F89" w:rsidRPr="00B56CF7" w:rsidRDefault="00F96EE6" w:rsidP="00BF180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Tal como se indicó en la sección de posición de las parte</w:t>
      </w:r>
      <w:r w:rsidR="00556012" w:rsidRPr="00B56CF7">
        <w:rPr>
          <w:rFonts w:asciiTheme="majorHAnsi" w:eastAsia="Times New Roman" w:hAnsiTheme="majorHAnsi"/>
          <w:sz w:val="20"/>
          <w:szCs w:val="20"/>
          <w:bdr w:val="none" w:sz="0" w:space="0" w:color="auto"/>
          <w:lang w:val="es-AR"/>
        </w:rPr>
        <w:t>s</w:t>
      </w:r>
      <w:r w:rsidRPr="00B56CF7">
        <w:rPr>
          <w:rFonts w:asciiTheme="majorHAnsi" w:eastAsia="Times New Roman" w:hAnsiTheme="majorHAnsi"/>
          <w:sz w:val="20"/>
          <w:szCs w:val="20"/>
          <w:bdr w:val="none" w:sz="0" w:space="0" w:color="auto"/>
          <w:lang w:val="es-AR"/>
        </w:rPr>
        <w:t xml:space="preserve">, </w:t>
      </w:r>
      <w:r w:rsidR="000B3F89" w:rsidRPr="00B56CF7">
        <w:rPr>
          <w:rFonts w:asciiTheme="majorHAnsi" w:eastAsia="Times New Roman" w:hAnsiTheme="majorHAnsi"/>
          <w:sz w:val="20"/>
          <w:szCs w:val="20"/>
          <w:bdr w:val="none" w:sz="0" w:space="0" w:color="auto"/>
          <w:lang w:val="es-AR"/>
        </w:rPr>
        <w:t>el Estado afirmó que posteriormente se demostró en la investigación por la incorporación de dicha prueba</w:t>
      </w:r>
      <w:r w:rsidR="00721EF2">
        <w:rPr>
          <w:rFonts w:asciiTheme="majorHAnsi" w:eastAsia="Times New Roman" w:hAnsiTheme="majorHAnsi"/>
          <w:sz w:val="20"/>
          <w:szCs w:val="20"/>
          <w:bdr w:val="none" w:sz="0" w:space="0" w:color="auto"/>
          <w:lang w:val="es-AR"/>
        </w:rPr>
        <w:t>,</w:t>
      </w:r>
      <w:r w:rsidR="00701BD7" w:rsidRPr="00B56CF7">
        <w:rPr>
          <w:rFonts w:asciiTheme="majorHAnsi" w:eastAsia="Times New Roman" w:hAnsiTheme="majorHAnsi"/>
          <w:sz w:val="20"/>
          <w:szCs w:val="20"/>
          <w:bdr w:val="none" w:sz="0" w:space="0" w:color="auto"/>
          <w:lang w:val="es-AR"/>
        </w:rPr>
        <w:t xml:space="preserve"> que</w:t>
      </w:r>
      <w:r w:rsidR="000B3F89" w:rsidRPr="00B56CF7">
        <w:rPr>
          <w:rFonts w:asciiTheme="majorHAnsi" w:eastAsia="Times New Roman" w:hAnsiTheme="majorHAnsi"/>
          <w:sz w:val="20"/>
          <w:szCs w:val="20"/>
          <w:bdr w:val="none" w:sz="0" w:space="0" w:color="auto"/>
          <w:lang w:val="es-AR"/>
        </w:rPr>
        <w:t xml:space="preserve"> no existían diferencias entre</w:t>
      </w:r>
      <w:r w:rsidR="008F627B" w:rsidRPr="00B56CF7">
        <w:rPr>
          <w:rFonts w:asciiTheme="majorHAnsi" w:eastAsia="Times New Roman" w:hAnsiTheme="majorHAnsi"/>
          <w:sz w:val="20"/>
          <w:szCs w:val="20"/>
          <w:bdr w:val="none" w:sz="0" w:space="0" w:color="auto"/>
          <w:lang w:val="es-AR"/>
        </w:rPr>
        <w:t xml:space="preserve"> el acta agregada al folio 1099 y</w:t>
      </w:r>
      <w:r w:rsidR="000B3F89" w:rsidRPr="00B56CF7">
        <w:rPr>
          <w:rFonts w:asciiTheme="majorHAnsi" w:eastAsia="Times New Roman" w:hAnsiTheme="majorHAnsi"/>
          <w:sz w:val="20"/>
          <w:szCs w:val="20"/>
          <w:bdr w:val="none" w:sz="0" w:space="0" w:color="auto"/>
          <w:lang w:val="es-AR"/>
        </w:rPr>
        <w:t xml:space="preserve"> el contenido del </w:t>
      </w:r>
      <w:proofErr w:type="spellStart"/>
      <w:r w:rsidR="000B3F89" w:rsidRPr="00B56CF7">
        <w:rPr>
          <w:rFonts w:asciiTheme="majorHAnsi" w:eastAsia="Times New Roman" w:hAnsiTheme="majorHAnsi"/>
          <w:sz w:val="20"/>
          <w:szCs w:val="20"/>
          <w:bdr w:val="none" w:sz="0" w:space="0" w:color="auto"/>
          <w:lang w:val="es-AR"/>
        </w:rPr>
        <w:t>cassette</w:t>
      </w:r>
      <w:proofErr w:type="spellEnd"/>
      <w:r w:rsidR="008F627B" w:rsidRPr="00B56CF7">
        <w:rPr>
          <w:rFonts w:asciiTheme="majorHAnsi" w:eastAsia="Times New Roman" w:hAnsiTheme="majorHAnsi"/>
          <w:sz w:val="20"/>
          <w:szCs w:val="20"/>
          <w:bdr w:val="none" w:sz="0" w:space="0" w:color="auto"/>
          <w:lang w:val="es-AR"/>
        </w:rPr>
        <w:t>,</w:t>
      </w:r>
      <w:r w:rsidR="000B3F89" w:rsidRPr="00B56CF7">
        <w:rPr>
          <w:rFonts w:asciiTheme="majorHAnsi" w:eastAsia="Times New Roman" w:hAnsiTheme="majorHAnsi"/>
          <w:sz w:val="20"/>
          <w:szCs w:val="20"/>
          <w:bdr w:val="none" w:sz="0" w:space="0" w:color="auto"/>
          <w:lang w:val="es-AR"/>
        </w:rPr>
        <w:t xml:space="preserve"> pues ambos se referían </w:t>
      </w:r>
      <w:r w:rsidR="00B83B56" w:rsidRPr="00B56CF7">
        <w:rPr>
          <w:rFonts w:asciiTheme="majorHAnsi" w:eastAsia="Times New Roman" w:hAnsiTheme="majorHAnsi"/>
          <w:sz w:val="20"/>
          <w:szCs w:val="20"/>
          <w:bdr w:val="none" w:sz="0" w:space="0" w:color="auto"/>
          <w:lang w:val="es-AR"/>
        </w:rPr>
        <w:t xml:space="preserve">a un viaje al exterior. Agregó que si bien en el auto de elevación a juicio los fiscales hicieron alusión a un viaje a “Panamá”, en lugar de un “viaje al </w:t>
      </w:r>
      <w:r w:rsidR="00BF1807" w:rsidRPr="00B56CF7">
        <w:rPr>
          <w:rFonts w:asciiTheme="majorHAnsi" w:eastAsia="Times New Roman" w:hAnsiTheme="majorHAnsi"/>
          <w:sz w:val="20"/>
          <w:szCs w:val="20"/>
          <w:bdr w:val="none" w:sz="0" w:space="0" w:color="auto"/>
          <w:lang w:val="es-AR"/>
        </w:rPr>
        <w:t xml:space="preserve">exterior” como genéricamente consta en el </w:t>
      </w:r>
      <w:proofErr w:type="spellStart"/>
      <w:r w:rsidR="00BF1807" w:rsidRPr="00B56CF7">
        <w:rPr>
          <w:rFonts w:asciiTheme="majorHAnsi" w:eastAsia="Times New Roman" w:hAnsiTheme="majorHAnsi"/>
          <w:sz w:val="20"/>
          <w:szCs w:val="20"/>
          <w:bdr w:val="none" w:sz="0" w:space="0" w:color="auto"/>
          <w:lang w:val="es-AR"/>
        </w:rPr>
        <w:t>cassette</w:t>
      </w:r>
      <w:proofErr w:type="spellEnd"/>
      <w:r w:rsidR="00BF1807" w:rsidRPr="00B56CF7">
        <w:rPr>
          <w:rFonts w:asciiTheme="majorHAnsi" w:eastAsia="Times New Roman" w:hAnsiTheme="majorHAnsi"/>
          <w:sz w:val="20"/>
          <w:szCs w:val="20"/>
          <w:bdr w:val="none" w:sz="0" w:space="0" w:color="auto"/>
          <w:lang w:val="es-AR"/>
        </w:rPr>
        <w:t xml:space="preserve"> y acta de </w:t>
      </w:r>
      <w:proofErr w:type="spellStart"/>
      <w:r w:rsidR="00BF1807" w:rsidRPr="00B56CF7">
        <w:rPr>
          <w:rFonts w:asciiTheme="majorHAnsi" w:eastAsia="Times New Roman" w:hAnsiTheme="majorHAnsi"/>
          <w:sz w:val="20"/>
          <w:szCs w:val="20"/>
          <w:bdr w:val="none" w:sz="0" w:space="0" w:color="auto"/>
          <w:lang w:val="es-AR"/>
        </w:rPr>
        <w:t>fs</w:t>
      </w:r>
      <w:proofErr w:type="spellEnd"/>
      <w:r w:rsidR="00BF1807" w:rsidRPr="00B56CF7">
        <w:rPr>
          <w:rFonts w:asciiTheme="majorHAnsi" w:eastAsia="Times New Roman" w:hAnsiTheme="majorHAnsi"/>
          <w:sz w:val="20"/>
          <w:szCs w:val="20"/>
          <w:bdr w:val="none" w:sz="0" w:space="0" w:color="auto"/>
          <w:lang w:val="es-AR"/>
        </w:rPr>
        <w:t xml:space="preserve"> 109</w:t>
      </w:r>
      <w:r w:rsidR="00045F69" w:rsidRPr="00B56CF7">
        <w:rPr>
          <w:rFonts w:asciiTheme="majorHAnsi" w:eastAsia="Times New Roman" w:hAnsiTheme="majorHAnsi"/>
          <w:sz w:val="20"/>
          <w:szCs w:val="20"/>
          <w:bdr w:val="none" w:sz="0" w:space="0" w:color="auto"/>
          <w:lang w:val="es-AR"/>
        </w:rPr>
        <w:t>9</w:t>
      </w:r>
      <w:r w:rsidR="00BF1807" w:rsidRPr="00B56CF7">
        <w:rPr>
          <w:rFonts w:asciiTheme="majorHAnsi" w:eastAsia="Times New Roman" w:hAnsiTheme="majorHAnsi"/>
          <w:sz w:val="20"/>
          <w:szCs w:val="20"/>
          <w:bdr w:val="none" w:sz="0" w:space="0" w:color="auto"/>
          <w:lang w:val="es-AR"/>
        </w:rPr>
        <w:t>, este no fue el único indicio que tuvieron en cuenta</w:t>
      </w:r>
      <w:r w:rsidR="00B83B56" w:rsidRPr="00B56CF7">
        <w:rPr>
          <w:rFonts w:asciiTheme="majorHAnsi" w:eastAsia="Times New Roman" w:hAnsiTheme="majorHAnsi"/>
          <w:sz w:val="20"/>
          <w:szCs w:val="20"/>
          <w:bdr w:val="none" w:sz="0" w:space="0" w:color="auto"/>
          <w:lang w:val="es-AR"/>
        </w:rPr>
        <w:t xml:space="preserve"> los fiscales para solicitar la elevación a juicio</w:t>
      </w:r>
      <w:r w:rsidR="00D72716" w:rsidRPr="00B56CF7">
        <w:rPr>
          <w:rStyle w:val="FootnoteReference"/>
          <w:rFonts w:asciiTheme="majorHAnsi" w:eastAsia="Times New Roman" w:hAnsiTheme="majorHAnsi"/>
          <w:sz w:val="20"/>
          <w:szCs w:val="20"/>
          <w:bdr w:val="none" w:sz="0" w:space="0" w:color="auto"/>
          <w:lang w:val="es-AR"/>
        </w:rPr>
        <w:footnoteReference w:id="13"/>
      </w:r>
      <w:r w:rsidR="00B83B56" w:rsidRPr="00B56CF7">
        <w:rPr>
          <w:rFonts w:asciiTheme="majorHAnsi" w:eastAsia="Times New Roman" w:hAnsiTheme="majorHAnsi"/>
          <w:sz w:val="20"/>
          <w:szCs w:val="20"/>
          <w:bdr w:val="none" w:sz="0" w:space="0" w:color="auto"/>
          <w:lang w:val="es-AR"/>
        </w:rPr>
        <w:t xml:space="preserve">. </w:t>
      </w:r>
      <w:r w:rsidR="00BF1807" w:rsidRPr="00B56CF7">
        <w:rPr>
          <w:rFonts w:asciiTheme="majorHAnsi" w:eastAsia="Times New Roman" w:hAnsiTheme="majorHAnsi"/>
          <w:sz w:val="20"/>
          <w:szCs w:val="20"/>
          <w:bdr w:val="none" w:sz="0" w:space="0" w:color="auto"/>
          <w:lang w:val="es-AR"/>
        </w:rPr>
        <w:t xml:space="preserve">Indicó que en la solicitud de elevación a juicio también se consideraron otras constancias probatorias como las que constan en los </w:t>
      </w:r>
      <w:r w:rsidR="00B4182B" w:rsidRPr="00B56CF7">
        <w:rPr>
          <w:rFonts w:asciiTheme="majorHAnsi" w:eastAsia="Times New Roman" w:hAnsiTheme="majorHAnsi"/>
          <w:sz w:val="20"/>
          <w:szCs w:val="20"/>
          <w:bdr w:val="none" w:sz="0" w:space="0" w:color="auto"/>
          <w:lang w:val="es-AR"/>
        </w:rPr>
        <w:t>folios</w:t>
      </w:r>
      <w:r w:rsidR="00BF1807" w:rsidRPr="00B56CF7">
        <w:rPr>
          <w:rFonts w:asciiTheme="majorHAnsi" w:eastAsia="Times New Roman" w:hAnsiTheme="majorHAnsi"/>
          <w:sz w:val="20"/>
          <w:szCs w:val="20"/>
          <w:bdr w:val="none" w:sz="0" w:space="0" w:color="auto"/>
          <w:lang w:val="es-AR"/>
        </w:rPr>
        <w:t xml:space="preserve"> 1309/10 y  1121/22</w:t>
      </w:r>
      <w:r w:rsidR="00721EF2">
        <w:rPr>
          <w:rFonts w:asciiTheme="majorHAnsi" w:eastAsia="Times New Roman" w:hAnsiTheme="majorHAnsi"/>
          <w:sz w:val="20"/>
          <w:szCs w:val="20"/>
          <w:bdr w:val="none" w:sz="0" w:space="0" w:color="auto"/>
          <w:lang w:val="es-AR"/>
        </w:rPr>
        <w:t>,</w:t>
      </w:r>
      <w:r w:rsidR="00BF1807" w:rsidRPr="00B56CF7">
        <w:rPr>
          <w:rFonts w:asciiTheme="majorHAnsi" w:eastAsia="Times New Roman" w:hAnsiTheme="majorHAnsi"/>
          <w:sz w:val="20"/>
          <w:szCs w:val="20"/>
          <w:bdr w:val="none" w:sz="0" w:space="0" w:color="auto"/>
          <w:lang w:val="es-AR"/>
        </w:rPr>
        <w:t xml:space="preserve"> así como las tareas llevadas a cabo en Mar del Plata</w:t>
      </w:r>
      <w:r w:rsidR="00BF1807" w:rsidRPr="00B56CF7">
        <w:rPr>
          <w:rStyle w:val="FootnoteReference"/>
          <w:rFonts w:asciiTheme="majorHAnsi" w:eastAsia="Times New Roman" w:hAnsiTheme="majorHAnsi"/>
          <w:sz w:val="20"/>
          <w:szCs w:val="20"/>
          <w:bdr w:val="none" w:sz="0" w:space="0" w:color="auto"/>
          <w:lang w:val="es-AR"/>
        </w:rPr>
        <w:footnoteReference w:id="14"/>
      </w:r>
      <w:r w:rsidR="00BF1807" w:rsidRPr="00B56CF7">
        <w:rPr>
          <w:rFonts w:asciiTheme="majorHAnsi" w:eastAsia="Times New Roman" w:hAnsiTheme="majorHAnsi"/>
          <w:sz w:val="20"/>
          <w:szCs w:val="20"/>
          <w:bdr w:val="none" w:sz="0" w:space="0" w:color="auto"/>
          <w:lang w:val="es-AR"/>
        </w:rPr>
        <w:t xml:space="preserve">. </w:t>
      </w:r>
    </w:p>
    <w:p w:rsidR="009C7859" w:rsidRPr="00B56CF7" w:rsidRDefault="009C7859" w:rsidP="009C7859">
      <w:pPr>
        <w:pStyle w:val="ListParagraph"/>
        <w:rPr>
          <w:rFonts w:asciiTheme="majorHAnsi" w:eastAsia="Times New Roman" w:hAnsiTheme="majorHAnsi"/>
          <w:sz w:val="20"/>
          <w:szCs w:val="20"/>
          <w:bdr w:val="none" w:sz="0" w:space="0" w:color="auto"/>
          <w:lang w:val="es-AR"/>
        </w:rPr>
      </w:pPr>
    </w:p>
    <w:p w:rsidR="009C7859" w:rsidRPr="00B56CF7" w:rsidRDefault="009C7859" w:rsidP="00BF180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La Comisión hace notar que</w:t>
      </w:r>
      <w:r w:rsidR="00B6189E" w:rsidRPr="00B56CF7">
        <w:rPr>
          <w:rFonts w:asciiTheme="majorHAnsi" w:eastAsia="Times New Roman" w:hAnsiTheme="majorHAnsi"/>
          <w:sz w:val="20"/>
          <w:szCs w:val="20"/>
          <w:bdr w:val="none" w:sz="0" w:space="0" w:color="auto"/>
          <w:lang w:val="es-AR"/>
        </w:rPr>
        <w:t>, en efecto,</w:t>
      </w:r>
      <w:r w:rsidRPr="00B56CF7">
        <w:rPr>
          <w:rFonts w:asciiTheme="majorHAnsi" w:eastAsia="Times New Roman" w:hAnsiTheme="majorHAnsi"/>
          <w:sz w:val="20"/>
          <w:szCs w:val="20"/>
          <w:bdr w:val="none" w:sz="0" w:space="0" w:color="auto"/>
          <w:lang w:val="es-AR"/>
        </w:rPr>
        <w:t xml:space="preserve"> según los documentos aportados por el Estado ni en el folio 10</w:t>
      </w:r>
      <w:r w:rsidR="00281E6C" w:rsidRPr="00B56CF7">
        <w:rPr>
          <w:rFonts w:asciiTheme="majorHAnsi" w:eastAsia="Times New Roman" w:hAnsiTheme="majorHAnsi"/>
          <w:sz w:val="20"/>
          <w:szCs w:val="20"/>
          <w:bdr w:val="none" w:sz="0" w:space="0" w:color="auto"/>
          <w:lang w:val="es-AR"/>
        </w:rPr>
        <w:t>9</w:t>
      </w:r>
      <w:r w:rsidRPr="00B56CF7">
        <w:rPr>
          <w:rFonts w:asciiTheme="majorHAnsi" w:eastAsia="Times New Roman" w:hAnsiTheme="majorHAnsi"/>
          <w:sz w:val="20"/>
          <w:szCs w:val="20"/>
          <w:bdr w:val="none" w:sz="0" w:space="0" w:color="auto"/>
          <w:lang w:val="es-AR"/>
        </w:rPr>
        <w:t xml:space="preserve">9 ni en los folios 1309/10 </w:t>
      </w:r>
      <w:r w:rsidR="00B66B23" w:rsidRPr="00B56CF7">
        <w:rPr>
          <w:rFonts w:asciiTheme="majorHAnsi" w:eastAsia="Times New Roman" w:hAnsiTheme="majorHAnsi"/>
          <w:sz w:val="20"/>
          <w:szCs w:val="20"/>
          <w:bdr w:val="none" w:sz="0" w:space="0" w:color="auto"/>
          <w:lang w:val="es-AR"/>
        </w:rPr>
        <w:t>y</w:t>
      </w:r>
      <w:r w:rsidRPr="00B56CF7">
        <w:rPr>
          <w:rFonts w:asciiTheme="majorHAnsi" w:eastAsia="Times New Roman" w:hAnsiTheme="majorHAnsi"/>
          <w:sz w:val="20"/>
          <w:szCs w:val="20"/>
          <w:bdr w:val="none" w:sz="0" w:space="0" w:color="auto"/>
          <w:lang w:val="es-AR"/>
        </w:rPr>
        <w:t xml:space="preserve"> 1121/22 se hace referencia expresa a un viaje a Panamá que realizaría la presunta víctima</w:t>
      </w:r>
      <w:r w:rsidR="00721EF2">
        <w:rPr>
          <w:rFonts w:asciiTheme="majorHAnsi" w:eastAsia="Times New Roman" w:hAnsiTheme="majorHAnsi"/>
          <w:sz w:val="20"/>
          <w:szCs w:val="20"/>
          <w:bdr w:val="none" w:sz="0" w:space="0" w:color="auto"/>
          <w:lang w:val="es-AR"/>
        </w:rPr>
        <w:t>,</w:t>
      </w:r>
      <w:r w:rsidR="005C3AF8" w:rsidRPr="00B56CF7">
        <w:rPr>
          <w:rFonts w:asciiTheme="majorHAnsi" w:eastAsia="Times New Roman" w:hAnsiTheme="majorHAnsi"/>
          <w:sz w:val="20"/>
          <w:szCs w:val="20"/>
          <w:bdr w:val="none" w:sz="0" w:space="0" w:color="auto"/>
          <w:lang w:val="es-AR"/>
        </w:rPr>
        <w:t xml:space="preserve"> y</w:t>
      </w:r>
      <w:r w:rsidR="007A6847" w:rsidRPr="00B56CF7">
        <w:rPr>
          <w:rFonts w:asciiTheme="majorHAnsi" w:eastAsia="Times New Roman" w:hAnsiTheme="majorHAnsi"/>
          <w:sz w:val="20"/>
          <w:szCs w:val="20"/>
          <w:bdr w:val="none" w:sz="0" w:space="0" w:color="auto"/>
          <w:lang w:val="es-AR"/>
        </w:rPr>
        <w:t xml:space="preserve"> existen solamente referencias respecto de un viaje al exterior</w:t>
      </w:r>
      <w:r w:rsidR="007A6847" w:rsidRPr="00B56CF7">
        <w:rPr>
          <w:rStyle w:val="FootnoteReference"/>
          <w:rFonts w:asciiTheme="majorHAnsi" w:eastAsia="Times New Roman" w:hAnsiTheme="majorHAnsi"/>
          <w:sz w:val="20"/>
          <w:szCs w:val="20"/>
          <w:bdr w:val="none" w:sz="0" w:space="0" w:color="auto"/>
          <w:lang w:val="es-AR"/>
        </w:rPr>
        <w:footnoteReference w:id="15"/>
      </w:r>
      <w:r w:rsidR="0048489E" w:rsidRPr="00B56CF7">
        <w:rPr>
          <w:rFonts w:asciiTheme="majorHAnsi" w:eastAsia="Times New Roman" w:hAnsiTheme="majorHAnsi"/>
          <w:sz w:val="20"/>
          <w:szCs w:val="20"/>
          <w:bdr w:val="none" w:sz="0" w:space="0" w:color="auto"/>
          <w:lang w:val="es-AR"/>
        </w:rPr>
        <w:t xml:space="preserve">. Esta referencia aparece únicamente en el auto de elevación a juicio. </w:t>
      </w:r>
      <w:r w:rsidR="007A6847" w:rsidRPr="00B56CF7">
        <w:rPr>
          <w:rFonts w:asciiTheme="majorHAnsi" w:eastAsia="Times New Roman" w:hAnsiTheme="majorHAnsi"/>
          <w:sz w:val="20"/>
          <w:szCs w:val="20"/>
          <w:bdr w:val="none" w:sz="0" w:space="0" w:color="auto"/>
          <w:lang w:val="es-AR"/>
        </w:rPr>
        <w:t xml:space="preserve"> </w:t>
      </w:r>
    </w:p>
    <w:p w:rsidR="008C4A05" w:rsidRPr="00B56CF7" w:rsidRDefault="008C4A05" w:rsidP="007C452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rsidR="008C4A05" w:rsidRPr="005553B9" w:rsidRDefault="00843F3D" w:rsidP="005553B9">
      <w:pPr>
        <w:pStyle w:val="Heading3"/>
        <w:numPr>
          <w:ilvl w:val="1"/>
          <w:numId w:val="55"/>
        </w:numPr>
        <w:tabs>
          <w:tab w:val="clear" w:pos="1800"/>
          <w:tab w:val="num" w:pos="1440"/>
        </w:tabs>
        <w:ind w:hanging="1080"/>
        <w:rPr>
          <w:color w:val="auto"/>
          <w:sz w:val="20"/>
          <w:szCs w:val="20"/>
          <w:lang w:val="es-VE"/>
        </w:rPr>
      </w:pPr>
      <w:bookmarkStart w:id="46" w:name="_Toc469409084"/>
      <w:r w:rsidRPr="005553B9">
        <w:rPr>
          <w:color w:val="auto"/>
          <w:sz w:val="20"/>
          <w:szCs w:val="20"/>
          <w:lang w:val="es-VE"/>
        </w:rPr>
        <w:t xml:space="preserve">Falta de acusación fiscal </w:t>
      </w:r>
      <w:r w:rsidR="007C452A" w:rsidRPr="005553B9">
        <w:rPr>
          <w:color w:val="auto"/>
          <w:sz w:val="20"/>
          <w:szCs w:val="20"/>
          <w:lang w:val="es-VE"/>
        </w:rPr>
        <w:t>y absolución del peticionario</w:t>
      </w:r>
      <w:bookmarkEnd w:id="46"/>
    </w:p>
    <w:p w:rsidR="007C452A" w:rsidRPr="00B56CF7" w:rsidRDefault="007C452A" w:rsidP="00F218B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rsidR="007C452A" w:rsidRPr="0062236D" w:rsidRDefault="00D92961" w:rsidP="00F218B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Durante la etapa de juicio</w:t>
      </w:r>
      <w:r w:rsidR="00F218B3" w:rsidRPr="00B56CF7">
        <w:rPr>
          <w:rFonts w:asciiTheme="majorHAnsi" w:hAnsiTheme="majorHAnsi"/>
          <w:sz w:val="20"/>
          <w:szCs w:val="20"/>
          <w:lang w:val="es-VE"/>
        </w:rPr>
        <w:t xml:space="preserve">, el </w:t>
      </w:r>
      <w:r w:rsidR="00C42213" w:rsidRPr="00B56CF7">
        <w:rPr>
          <w:rFonts w:asciiTheme="majorHAnsi" w:hAnsiTheme="majorHAnsi"/>
          <w:sz w:val="20"/>
          <w:szCs w:val="20"/>
          <w:lang w:val="es-VE"/>
        </w:rPr>
        <w:t>F</w:t>
      </w:r>
      <w:r w:rsidR="00F218B3" w:rsidRPr="00B56CF7">
        <w:rPr>
          <w:rFonts w:asciiTheme="majorHAnsi" w:hAnsiTheme="majorHAnsi"/>
          <w:sz w:val="20"/>
          <w:szCs w:val="20"/>
          <w:lang w:val="es-VE"/>
        </w:rPr>
        <w:t xml:space="preserve">iscal al presentar sus alegatos refirió que </w:t>
      </w:r>
      <w:r w:rsidR="00EC699E" w:rsidRPr="00B56CF7">
        <w:rPr>
          <w:rFonts w:asciiTheme="majorHAnsi" w:eastAsia="Times New Roman" w:hAnsiTheme="majorHAnsi"/>
          <w:sz w:val="20"/>
          <w:szCs w:val="20"/>
          <w:bdr w:val="none" w:sz="0" w:space="0" w:color="auto"/>
          <w:lang w:val="es-AR"/>
        </w:rPr>
        <w:t>“respecto de Oscar Gabriel Jenkins, y valorando la prueba colectada no encontró elementos de imputación en su contra”</w:t>
      </w:r>
      <w:r w:rsidR="00F218B3" w:rsidRPr="00B56CF7">
        <w:rPr>
          <w:rFonts w:asciiTheme="majorHAnsi" w:eastAsia="Times New Roman" w:hAnsiTheme="majorHAnsi"/>
          <w:sz w:val="20"/>
          <w:szCs w:val="20"/>
          <w:bdr w:val="none" w:sz="0" w:space="0" w:color="auto"/>
          <w:lang w:val="es-AR"/>
        </w:rPr>
        <w:t xml:space="preserve"> por lo que solicitó su absolución de culpa y cargo</w:t>
      </w:r>
      <w:r w:rsidR="007C452A" w:rsidRPr="00B56CF7">
        <w:rPr>
          <w:rStyle w:val="FootnoteReference"/>
          <w:rFonts w:asciiTheme="majorHAnsi" w:hAnsiTheme="majorHAnsi"/>
          <w:sz w:val="20"/>
          <w:szCs w:val="20"/>
          <w:lang w:val="es-VE"/>
        </w:rPr>
        <w:footnoteReference w:id="16"/>
      </w:r>
      <w:r w:rsidR="007C452A" w:rsidRPr="00B56CF7">
        <w:rPr>
          <w:rFonts w:asciiTheme="majorHAnsi" w:hAnsiTheme="majorHAnsi"/>
          <w:sz w:val="20"/>
          <w:szCs w:val="20"/>
          <w:lang w:val="es-VE"/>
        </w:rPr>
        <w:t xml:space="preserve">. </w:t>
      </w:r>
    </w:p>
    <w:p w:rsidR="00D52EDC" w:rsidRPr="00B56CF7" w:rsidRDefault="00D52EDC" w:rsidP="00D52EDC">
      <w:pPr>
        <w:jc w:val="both"/>
        <w:rPr>
          <w:rFonts w:asciiTheme="majorHAnsi" w:hAnsiTheme="majorHAnsi"/>
          <w:b/>
          <w:sz w:val="20"/>
          <w:szCs w:val="20"/>
          <w:lang w:val="es-VE"/>
        </w:rPr>
      </w:pPr>
    </w:p>
    <w:p w:rsidR="007C452A" w:rsidRPr="00B56CF7" w:rsidRDefault="00D52EDC" w:rsidP="00BF559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 xml:space="preserve">El 23 de diciembre de 1997 </w:t>
      </w:r>
      <w:r w:rsidR="00A4206A" w:rsidRPr="00B56CF7">
        <w:rPr>
          <w:rFonts w:asciiTheme="majorHAnsi" w:eastAsia="Times New Roman" w:hAnsiTheme="majorHAnsi"/>
          <w:sz w:val="20"/>
          <w:szCs w:val="20"/>
          <w:bdr w:val="none" w:sz="0" w:space="0" w:color="auto"/>
          <w:lang w:val="es-AR"/>
        </w:rPr>
        <w:t xml:space="preserve">el Tribunal Oral en lo Criminal Federal No. 6 de la Capital Federal </w:t>
      </w:r>
      <w:r w:rsidR="00BE4AE9" w:rsidRPr="00B56CF7">
        <w:rPr>
          <w:rFonts w:asciiTheme="majorHAnsi" w:eastAsia="Times New Roman" w:hAnsiTheme="majorHAnsi"/>
          <w:sz w:val="20"/>
          <w:szCs w:val="20"/>
          <w:bdr w:val="none" w:sz="0" w:space="0" w:color="auto"/>
          <w:lang w:val="es-AR"/>
        </w:rPr>
        <w:t xml:space="preserve">dictó sentencia en la causa </w:t>
      </w:r>
      <w:r w:rsidR="000E08AE" w:rsidRPr="00B56CF7">
        <w:rPr>
          <w:rFonts w:asciiTheme="majorHAnsi" w:eastAsia="Times New Roman" w:hAnsiTheme="majorHAnsi"/>
          <w:sz w:val="20"/>
          <w:szCs w:val="20"/>
          <w:bdr w:val="none" w:sz="0" w:space="0" w:color="auto"/>
          <w:lang w:val="es-AR"/>
        </w:rPr>
        <w:t>“</w:t>
      </w:r>
      <w:r w:rsidR="00BE4AE9" w:rsidRPr="00B56CF7">
        <w:rPr>
          <w:rFonts w:asciiTheme="majorHAnsi" w:eastAsia="Times New Roman" w:hAnsiTheme="majorHAnsi"/>
          <w:sz w:val="20"/>
          <w:szCs w:val="20"/>
          <w:bdr w:val="none" w:sz="0" w:space="0" w:color="auto"/>
          <w:lang w:val="es-AR"/>
        </w:rPr>
        <w:t>Padilla Echeverry</w:t>
      </w:r>
      <w:r w:rsidR="000E08AE" w:rsidRPr="00B56CF7">
        <w:rPr>
          <w:rFonts w:asciiTheme="majorHAnsi" w:eastAsia="Times New Roman" w:hAnsiTheme="majorHAnsi"/>
          <w:sz w:val="20"/>
          <w:szCs w:val="20"/>
          <w:bdr w:val="none" w:sz="0" w:space="0" w:color="auto"/>
          <w:lang w:val="es-AR"/>
        </w:rPr>
        <w:t>”</w:t>
      </w:r>
      <w:r w:rsidR="00BE4AE9" w:rsidRPr="00B56CF7">
        <w:rPr>
          <w:rFonts w:asciiTheme="majorHAnsi" w:eastAsia="Times New Roman" w:hAnsiTheme="majorHAnsi"/>
          <w:sz w:val="20"/>
          <w:szCs w:val="20"/>
          <w:bdr w:val="none" w:sz="0" w:space="0" w:color="auto"/>
          <w:lang w:val="es-AR"/>
        </w:rPr>
        <w:t xml:space="preserve"> </w:t>
      </w:r>
      <w:r w:rsidR="00786126" w:rsidRPr="00B56CF7">
        <w:rPr>
          <w:rFonts w:asciiTheme="majorHAnsi" w:eastAsia="Times New Roman" w:hAnsiTheme="majorHAnsi"/>
          <w:sz w:val="20"/>
          <w:szCs w:val="20"/>
          <w:bdr w:val="none" w:sz="0" w:space="0" w:color="auto"/>
          <w:lang w:val="es-AR"/>
        </w:rPr>
        <w:t xml:space="preserve">seguida en contra de Gabriel Oscar Jenkins y otros imputados por los delitos de tráfico ilícito de estupefacientes y asociación ilícita. </w:t>
      </w:r>
      <w:r w:rsidR="00E150F2" w:rsidRPr="00B56CF7">
        <w:rPr>
          <w:rFonts w:asciiTheme="majorHAnsi" w:eastAsia="Times New Roman" w:hAnsiTheme="majorHAnsi"/>
          <w:sz w:val="20"/>
          <w:szCs w:val="20"/>
          <w:bdr w:val="none" w:sz="0" w:space="0" w:color="auto"/>
          <w:lang w:val="es-AR"/>
        </w:rPr>
        <w:t>En dicha sentencia e</w:t>
      </w:r>
      <w:r w:rsidR="00370085" w:rsidRPr="00B56CF7">
        <w:rPr>
          <w:rFonts w:asciiTheme="majorHAnsi" w:eastAsia="Times New Roman" w:hAnsiTheme="majorHAnsi"/>
          <w:sz w:val="20"/>
          <w:szCs w:val="20"/>
          <w:bdr w:val="none" w:sz="0" w:space="0" w:color="auto"/>
          <w:lang w:val="es-AR"/>
        </w:rPr>
        <w:t xml:space="preserve">l Tribunal decidió por mayoría </w:t>
      </w:r>
      <w:r w:rsidR="007C452A" w:rsidRPr="00B56CF7">
        <w:rPr>
          <w:rFonts w:asciiTheme="majorHAnsi" w:hAnsiTheme="majorHAnsi"/>
          <w:sz w:val="20"/>
          <w:szCs w:val="20"/>
          <w:lang w:val="es-VE"/>
        </w:rPr>
        <w:t>absolver a Gabriel Oscar Jenkins y otros por e</w:t>
      </w:r>
      <w:r w:rsidR="00D92961" w:rsidRPr="00B56CF7">
        <w:rPr>
          <w:rFonts w:asciiTheme="majorHAnsi" w:hAnsiTheme="majorHAnsi"/>
          <w:sz w:val="20"/>
          <w:szCs w:val="20"/>
          <w:lang w:val="es-VE"/>
        </w:rPr>
        <w:t xml:space="preserve">l delito de asociación ilícita contemplado en el </w:t>
      </w:r>
      <w:r w:rsidR="007C452A" w:rsidRPr="00B56CF7">
        <w:rPr>
          <w:rFonts w:asciiTheme="majorHAnsi" w:hAnsiTheme="majorHAnsi"/>
          <w:sz w:val="20"/>
          <w:szCs w:val="20"/>
          <w:lang w:val="es-VE"/>
        </w:rPr>
        <w:t>artículo 21</w:t>
      </w:r>
      <w:r w:rsidR="00D92961" w:rsidRPr="00B56CF7">
        <w:rPr>
          <w:rFonts w:asciiTheme="majorHAnsi" w:hAnsiTheme="majorHAnsi"/>
          <w:sz w:val="20"/>
          <w:szCs w:val="20"/>
          <w:lang w:val="es-VE"/>
        </w:rPr>
        <w:t xml:space="preserve">0 del Código Penal de la </w:t>
      </w:r>
      <w:r w:rsidR="00D22BD4" w:rsidRPr="00B56CF7">
        <w:rPr>
          <w:rFonts w:asciiTheme="majorHAnsi" w:hAnsiTheme="majorHAnsi"/>
          <w:sz w:val="20"/>
          <w:szCs w:val="20"/>
          <w:lang w:val="es-VE"/>
        </w:rPr>
        <w:t>N</w:t>
      </w:r>
      <w:r w:rsidR="00D92961" w:rsidRPr="00B56CF7">
        <w:rPr>
          <w:rFonts w:asciiTheme="majorHAnsi" w:hAnsiTheme="majorHAnsi"/>
          <w:sz w:val="20"/>
          <w:szCs w:val="20"/>
          <w:lang w:val="es-VE"/>
        </w:rPr>
        <w:t>ación</w:t>
      </w:r>
      <w:r w:rsidR="00721EF2">
        <w:rPr>
          <w:rFonts w:asciiTheme="majorHAnsi" w:hAnsiTheme="majorHAnsi"/>
          <w:sz w:val="20"/>
          <w:szCs w:val="20"/>
          <w:lang w:val="es-VE"/>
        </w:rPr>
        <w:t>,</w:t>
      </w:r>
      <w:r w:rsidR="007C452A" w:rsidRPr="00B56CF7">
        <w:rPr>
          <w:rFonts w:asciiTheme="majorHAnsi" w:hAnsiTheme="majorHAnsi"/>
          <w:sz w:val="20"/>
          <w:szCs w:val="20"/>
          <w:lang w:val="es-VE"/>
        </w:rPr>
        <w:t xml:space="preserve"> </w:t>
      </w:r>
      <w:r w:rsidR="003E01DC" w:rsidRPr="00B56CF7">
        <w:rPr>
          <w:rFonts w:asciiTheme="majorHAnsi" w:hAnsiTheme="majorHAnsi"/>
          <w:sz w:val="20"/>
          <w:szCs w:val="20"/>
          <w:lang w:val="es-VE"/>
        </w:rPr>
        <w:t>y por el delito</w:t>
      </w:r>
      <w:r w:rsidR="007C452A" w:rsidRPr="00B56CF7">
        <w:rPr>
          <w:rFonts w:asciiTheme="majorHAnsi" w:hAnsiTheme="majorHAnsi"/>
          <w:sz w:val="20"/>
          <w:szCs w:val="20"/>
          <w:lang w:val="es-VE"/>
        </w:rPr>
        <w:t xml:space="preserve"> de tráfico ilícito de estupefacientes en su modalidad de comercio, agravado por la intervención de más de tres persona</w:t>
      </w:r>
      <w:r w:rsidR="00721EF2">
        <w:rPr>
          <w:rFonts w:asciiTheme="majorHAnsi" w:hAnsiTheme="majorHAnsi"/>
          <w:sz w:val="20"/>
          <w:szCs w:val="20"/>
          <w:lang w:val="es-VE"/>
        </w:rPr>
        <w:t>s</w:t>
      </w:r>
      <w:r w:rsidR="00E150F2" w:rsidRPr="00B56CF7">
        <w:rPr>
          <w:rFonts w:asciiTheme="majorHAnsi" w:hAnsiTheme="majorHAnsi"/>
          <w:sz w:val="20"/>
          <w:szCs w:val="20"/>
          <w:lang w:val="es-VE"/>
        </w:rPr>
        <w:t xml:space="preserve"> contenido en el artículo 5, literal</w:t>
      </w:r>
      <w:r w:rsidR="007C452A" w:rsidRPr="00B56CF7">
        <w:rPr>
          <w:rFonts w:asciiTheme="majorHAnsi" w:hAnsiTheme="majorHAnsi"/>
          <w:sz w:val="20"/>
          <w:szCs w:val="20"/>
          <w:lang w:val="es-VE"/>
        </w:rPr>
        <w:t xml:space="preserve"> “c” y </w:t>
      </w:r>
      <w:r w:rsidR="00E150F2" w:rsidRPr="00B56CF7">
        <w:rPr>
          <w:rFonts w:asciiTheme="majorHAnsi" w:hAnsiTheme="majorHAnsi"/>
          <w:sz w:val="20"/>
          <w:szCs w:val="20"/>
          <w:lang w:val="es-VE"/>
        </w:rPr>
        <w:t>artículo 11 literal “c” de la ley 23.737</w:t>
      </w:r>
      <w:r w:rsidR="007C452A" w:rsidRPr="00B56CF7">
        <w:rPr>
          <w:rFonts w:asciiTheme="majorHAnsi" w:hAnsiTheme="majorHAnsi"/>
          <w:sz w:val="20"/>
          <w:szCs w:val="20"/>
          <w:lang w:val="es-VE"/>
        </w:rPr>
        <w:t xml:space="preserve"> por no haberse producido acusación fiscal respecto de ellos</w:t>
      </w:r>
      <w:r w:rsidR="007C452A" w:rsidRPr="00B56CF7">
        <w:rPr>
          <w:rFonts w:asciiTheme="majorHAnsi" w:hAnsiTheme="majorHAnsi"/>
          <w:sz w:val="20"/>
          <w:szCs w:val="20"/>
          <w:vertAlign w:val="superscript"/>
        </w:rPr>
        <w:footnoteReference w:id="17"/>
      </w:r>
      <w:proofErr w:type="gramStart"/>
      <w:r w:rsidR="007C452A" w:rsidRPr="00B56CF7">
        <w:rPr>
          <w:rFonts w:asciiTheme="majorHAnsi" w:hAnsiTheme="majorHAnsi"/>
          <w:sz w:val="20"/>
          <w:szCs w:val="20"/>
          <w:vertAlign w:val="superscript"/>
          <w:lang w:val="es-VE"/>
        </w:rPr>
        <w:t>.</w:t>
      </w:r>
      <w:r w:rsidR="003E2CF6" w:rsidRPr="00B56CF7">
        <w:rPr>
          <w:rFonts w:asciiTheme="majorHAnsi" w:hAnsiTheme="majorHAnsi"/>
          <w:sz w:val="20"/>
          <w:szCs w:val="20"/>
          <w:lang w:val="es-VE"/>
        </w:rPr>
        <w:t>.</w:t>
      </w:r>
      <w:proofErr w:type="gramEnd"/>
    </w:p>
    <w:p w:rsidR="00F70FB8" w:rsidRPr="00B56CF7" w:rsidRDefault="00F70FB8" w:rsidP="00721EF2">
      <w:pPr>
        <w:jc w:val="both"/>
        <w:rPr>
          <w:rFonts w:asciiTheme="majorHAnsi" w:hAnsiTheme="majorHAnsi"/>
          <w:sz w:val="20"/>
          <w:szCs w:val="20"/>
          <w:lang w:val="es-VE"/>
        </w:rPr>
      </w:pPr>
    </w:p>
    <w:p w:rsidR="007C452A" w:rsidRPr="00B56CF7" w:rsidRDefault="007C452A" w:rsidP="005553B9">
      <w:pPr>
        <w:pStyle w:val="Heading3"/>
        <w:numPr>
          <w:ilvl w:val="1"/>
          <w:numId w:val="55"/>
        </w:numPr>
        <w:tabs>
          <w:tab w:val="clear" w:pos="1800"/>
          <w:tab w:val="num" w:pos="1440"/>
        </w:tabs>
        <w:ind w:hanging="1080"/>
        <w:rPr>
          <w:b w:val="0"/>
          <w:sz w:val="20"/>
          <w:szCs w:val="20"/>
          <w:lang w:val="es-VE"/>
        </w:rPr>
      </w:pPr>
      <w:bookmarkStart w:id="47" w:name="_Toc469409085"/>
      <w:r w:rsidRPr="005553B9">
        <w:rPr>
          <w:color w:val="auto"/>
          <w:sz w:val="20"/>
          <w:szCs w:val="20"/>
          <w:lang w:val="es-VE"/>
        </w:rPr>
        <w:t>Solicitud de investigación de las diferencias entre la grabación y su constancia</w:t>
      </w:r>
      <w:bookmarkEnd w:id="47"/>
      <w:r w:rsidRPr="00B56CF7">
        <w:rPr>
          <w:b w:val="0"/>
          <w:sz w:val="20"/>
          <w:szCs w:val="20"/>
          <w:lang w:val="es-VE"/>
        </w:rPr>
        <w:t xml:space="preserve"> </w:t>
      </w:r>
    </w:p>
    <w:p w:rsidR="00184A77" w:rsidRPr="00B56CF7" w:rsidRDefault="00184A77" w:rsidP="00184A7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AR"/>
        </w:rPr>
      </w:pPr>
    </w:p>
    <w:p w:rsidR="00051C33" w:rsidRPr="00B56CF7" w:rsidRDefault="009D2C16" w:rsidP="00051C3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En la</w:t>
      </w:r>
      <w:r w:rsidR="00D279B7" w:rsidRPr="00B56CF7">
        <w:rPr>
          <w:rFonts w:asciiTheme="majorHAnsi" w:eastAsia="Times New Roman" w:hAnsiTheme="majorHAnsi"/>
          <w:sz w:val="20"/>
          <w:szCs w:val="20"/>
          <w:bdr w:val="none" w:sz="0" w:space="0" w:color="auto"/>
          <w:lang w:val="es-AR"/>
        </w:rPr>
        <w:t xml:space="preserve"> referida</w:t>
      </w:r>
      <w:r w:rsidRPr="00B56CF7">
        <w:rPr>
          <w:rFonts w:asciiTheme="majorHAnsi" w:eastAsia="Times New Roman" w:hAnsiTheme="majorHAnsi"/>
          <w:sz w:val="20"/>
          <w:szCs w:val="20"/>
          <w:bdr w:val="none" w:sz="0" w:space="0" w:color="auto"/>
          <w:lang w:val="es-AR"/>
        </w:rPr>
        <w:t xml:space="preserve"> decisión judicial</w:t>
      </w:r>
      <w:r w:rsidR="00721EF2">
        <w:rPr>
          <w:rFonts w:asciiTheme="majorHAnsi" w:eastAsia="Times New Roman" w:hAnsiTheme="majorHAnsi"/>
          <w:sz w:val="20"/>
          <w:szCs w:val="20"/>
          <w:bdr w:val="none" w:sz="0" w:space="0" w:color="auto"/>
          <w:lang w:val="es-AR"/>
        </w:rPr>
        <w:t>,</w:t>
      </w:r>
      <w:r w:rsidRPr="00B56CF7">
        <w:rPr>
          <w:rFonts w:asciiTheme="majorHAnsi" w:eastAsia="Times New Roman" w:hAnsiTheme="majorHAnsi"/>
          <w:sz w:val="20"/>
          <w:szCs w:val="20"/>
          <w:bdr w:val="none" w:sz="0" w:space="0" w:color="auto"/>
          <w:lang w:val="es-AR"/>
        </w:rPr>
        <w:t xml:space="preserve"> el Tribunal también </w:t>
      </w:r>
      <w:r w:rsidR="00AB2E03" w:rsidRPr="00B56CF7">
        <w:rPr>
          <w:rFonts w:asciiTheme="majorHAnsi" w:eastAsia="Times New Roman" w:hAnsiTheme="majorHAnsi"/>
          <w:sz w:val="20"/>
          <w:szCs w:val="20"/>
          <w:bdr w:val="none" w:sz="0" w:space="0" w:color="auto"/>
          <w:lang w:val="es-AR"/>
        </w:rPr>
        <w:t>mencionó</w:t>
      </w:r>
      <w:r w:rsidRPr="00B56CF7">
        <w:rPr>
          <w:rFonts w:asciiTheme="majorHAnsi" w:eastAsia="Times New Roman" w:hAnsiTheme="majorHAnsi"/>
          <w:sz w:val="20"/>
          <w:szCs w:val="20"/>
          <w:bdr w:val="none" w:sz="0" w:space="0" w:color="auto"/>
          <w:lang w:val="es-AR"/>
        </w:rPr>
        <w:t xml:space="preserve"> las </w:t>
      </w:r>
      <w:r w:rsidR="00051C33" w:rsidRPr="00B56CF7">
        <w:rPr>
          <w:rFonts w:asciiTheme="majorHAnsi" w:eastAsia="Times New Roman" w:hAnsiTheme="majorHAnsi"/>
          <w:sz w:val="20"/>
          <w:szCs w:val="20"/>
          <w:bdr w:val="none" w:sz="0" w:space="0" w:color="auto"/>
          <w:lang w:val="es-AR"/>
        </w:rPr>
        <w:t xml:space="preserve">diferencias entre la grabación telefónica del peticionario con Jorge Martínez y la constancia de la misma que obraba en el expediente del proceso. </w:t>
      </w:r>
      <w:r w:rsidR="00301BA8" w:rsidRPr="00B56CF7">
        <w:rPr>
          <w:rFonts w:asciiTheme="majorHAnsi" w:eastAsia="Times New Roman" w:hAnsiTheme="majorHAnsi"/>
          <w:sz w:val="20"/>
          <w:szCs w:val="20"/>
          <w:bdr w:val="none" w:sz="0" w:space="0" w:color="auto"/>
          <w:lang w:val="es-AR"/>
        </w:rPr>
        <w:t>La Comisión</w:t>
      </w:r>
      <w:r w:rsidR="0072009E" w:rsidRPr="00B56CF7">
        <w:rPr>
          <w:rFonts w:asciiTheme="majorHAnsi" w:eastAsia="Times New Roman" w:hAnsiTheme="majorHAnsi"/>
          <w:sz w:val="20"/>
          <w:szCs w:val="20"/>
          <w:bdr w:val="none" w:sz="0" w:space="0" w:color="auto"/>
          <w:lang w:val="es-AR"/>
        </w:rPr>
        <w:t xml:space="preserve"> reitera </w:t>
      </w:r>
      <w:r w:rsidR="00301BA8" w:rsidRPr="00B56CF7">
        <w:rPr>
          <w:rFonts w:asciiTheme="majorHAnsi" w:eastAsia="Times New Roman" w:hAnsiTheme="majorHAnsi"/>
          <w:sz w:val="20"/>
          <w:szCs w:val="20"/>
          <w:bdr w:val="none" w:sz="0" w:space="0" w:color="auto"/>
          <w:lang w:val="es-AR"/>
        </w:rPr>
        <w:t xml:space="preserve">que, tal como se describió anteriormente, la inconsistencia no era entre la grabación telefónica y la constancia de la misma, sino entre estas dos y la solicitud de elevación a juicio, en la que se hizo referencia expresa a un viaje a Panamá. </w:t>
      </w:r>
      <w:r w:rsidR="00687BF9" w:rsidRPr="00B56CF7">
        <w:rPr>
          <w:rFonts w:asciiTheme="majorHAnsi" w:eastAsia="Times New Roman" w:hAnsiTheme="majorHAnsi"/>
          <w:sz w:val="20"/>
          <w:szCs w:val="20"/>
          <w:bdr w:val="none" w:sz="0" w:space="0" w:color="auto"/>
          <w:lang w:val="es-AR"/>
        </w:rPr>
        <w:t xml:space="preserve">Sin perjuicio de ello, a continuación </w:t>
      </w:r>
      <w:r w:rsidR="000E4EF2">
        <w:rPr>
          <w:rFonts w:asciiTheme="majorHAnsi" w:eastAsia="Times New Roman" w:hAnsiTheme="majorHAnsi"/>
          <w:sz w:val="20"/>
          <w:szCs w:val="20"/>
          <w:bdr w:val="none" w:sz="0" w:space="0" w:color="auto"/>
          <w:lang w:val="es-AR"/>
        </w:rPr>
        <w:t>s</w:t>
      </w:r>
      <w:r w:rsidR="00687BF9" w:rsidRPr="00B56CF7">
        <w:rPr>
          <w:rFonts w:asciiTheme="majorHAnsi" w:eastAsia="Times New Roman" w:hAnsiTheme="majorHAnsi"/>
          <w:sz w:val="20"/>
          <w:szCs w:val="20"/>
          <w:bdr w:val="none" w:sz="0" w:space="0" w:color="auto"/>
          <w:lang w:val="es-AR"/>
        </w:rPr>
        <w:t>e describe lo ordenado mediante la decisión de absolución, en sus propios</w:t>
      </w:r>
      <w:r w:rsidR="00332E1E" w:rsidRPr="00B56CF7">
        <w:rPr>
          <w:rFonts w:asciiTheme="majorHAnsi" w:hAnsiTheme="majorHAnsi"/>
          <w:sz w:val="20"/>
          <w:szCs w:val="20"/>
          <w:lang w:val="es-VE"/>
        </w:rPr>
        <w:t xml:space="preserve"> términos</w:t>
      </w:r>
      <w:r w:rsidR="00687BF9" w:rsidRPr="00B56CF7">
        <w:rPr>
          <w:rFonts w:asciiTheme="majorHAnsi" w:eastAsia="Times New Roman" w:hAnsiTheme="majorHAnsi"/>
          <w:sz w:val="20"/>
          <w:szCs w:val="20"/>
          <w:bdr w:val="none" w:sz="0" w:space="0" w:color="auto"/>
          <w:lang w:val="es-AR"/>
        </w:rPr>
        <w:t>.</w:t>
      </w:r>
    </w:p>
    <w:p w:rsidR="00184A77" w:rsidRPr="00B56CF7" w:rsidRDefault="00184A77" w:rsidP="00184A7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sz w:val="20"/>
          <w:szCs w:val="20"/>
          <w:bdr w:val="none" w:sz="0" w:space="0" w:color="auto"/>
          <w:lang w:val="es-AR"/>
        </w:rPr>
      </w:pPr>
    </w:p>
    <w:p w:rsidR="00D1284F" w:rsidRPr="00B56CF7" w:rsidRDefault="00051C33" w:rsidP="00BF559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 xml:space="preserve">Al respecto, el Tribunal indicó que </w:t>
      </w:r>
      <w:r w:rsidR="00D43F6C" w:rsidRPr="00B56CF7">
        <w:rPr>
          <w:rFonts w:asciiTheme="majorHAnsi" w:hAnsiTheme="majorHAnsi"/>
          <w:sz w:val="20"/>
          <w:szCs w:val="20"/>
          <w:lang w:val="es-VE"/>
        </w:rPr>
        <w:t xml:space="preserve">“cabe hacer mención, en primer término, al pedido formulado por el Dr. Marcelo Roberto </w:t>
      </w:r>
      <w:proofErr w:type="spellStart"/>
      <w:r w:rsidR="00D43F6C" w:rsidRPr="00B56CF7">
        <w:rPr>
          <w:rFonts w:asciiTheme="majorHAnsi" w:hAnsiTheme="majorHAnsi"/>
          <w:sz w:val="20"/>
          <w:szCs w:val="20"/>
          <w:lang w:val="es-VE"/>
        </w:rPr>
        <w:t>Buigo</w:t>
      </w:r>
      <w:proofErr w:type="spellEnd"/>
      <w:r w:rsidR="00D43F6C" w:rsidRPr="00B56CF7">
        <w:rPr>
          <w:rFonts w:asciiTheme="majorHAnsi" w:hAnsiTheme="majorHAnsi"/>
          <w:sz w:val="20"/>
          <w:szCs w:val="20"/>
          <w:lang w:val="es-VE"/>
        </w:rPr>
        <w:t xml:space="preserve">, defensor de Gabriel Jenkins el cual al momento de efectuar su alegato, solicitó se extraigan testimonios para que se investigue la eventual comisión de un delito de acción pública, respecto de las diferencias existentes entre el contenido del </w:t>
      </w:r>
      <w:proofErr w:type="spellStart"/>
      <w:r w:rsidR="00D43F6C" w:rsidRPr="00B56CF7">
        <w:rPr>
          <w:rFonts w:asciiTheme="majorHAnsi" w:hAnsiTheme="majorHAnsi"/>
          <w:sz w:val="20"/>
          <w:szCs w:val="20"/>
          <w:lang w:val="es-VE"/>
        </w:rPr>
        <w:t>casse</w:t>
      </w:r>
      <w:r w:rsidR="005134B9" w:rsidRPr="00B56CF7">
        <w:rPr>
          <w:rFonts w:asciiTheme="majorHAnsi" w:hAnsiTheme="majorHAnsi"/>
          <w:sz w:val="20"/>
          <w:szCs w:val="20"/>
          <w:lang w:val="es-VE"/>
        </w:rPr>
        <w:t>tte</w:t>
      </w:r>
      <w:proofErr w:type="spellEnd"/>
      <w:r w:rsidR="005134B9" w:rsidRPr="00B56CF7">
        <w:rPr>
          <w:rFonts w:asciiTheme="majorHAnsi" w:hAnsiTheme="majorHAnsi"/>
          <w:sz w:val="20"/>
          <w:szCs w:val="20"/>
          <w:lang w:val="es-VE"/>
        </w:rPr>
        <w:t xml:space="preserve"> No</w:t>
      </w:r>
      <w:r w:rsidR="00022DDD" w:rsidRPr="00B56CF7">
        <w:rPr>
          <w:rFonts w:asciiTheme="majorHAnsi" w:hAnsiTheme="majorHAnsi"/>
          <w:sz w:val="20"/>
          <w:szCs w:val="20"/>
          <w:lang w:val="es-VE"/>
        </w:rPr>
        <w:t xml:space="preserve">. </w:t>
      </w:r>
      <w:r w:rsidR="005134B9" w:rsidRPr="00B56CF7">
        <w:rPr>
          <w:rFonts w:asciiTheme="majorHAnsi" w:hAnsiTheme="majorHAnsi"/>
          <w:sz w:val="20"/>
          <w:szCs w:val="20"/>
          <w:lang w:val="es-VE"/>
        </w:rPr>
        <w:t>40 del abonado 91-3614</w:t>
      </w:r>
      <w:r w:rsidR="00D43F6C" w:rsidRPr="00B56CF7">
        <w:rPr>
          <w:rFonts w:asciiTheme="majorHAnsi" w:hAnsiTheme="majorHAnsi"/>
          <w:sz w:val="20"/>
          <w:szCs w:val="20"/>
          <w:lang w:val="es-VE"/>
        </w:rPr>
        <w:t xml:space="preserve"> y la constancia </w:t>
      </w:r>
      <w:proofErr w:type="spellStart"/>
      <w:r w:rsidR="00D43F6C" w:rsidRPr="00B56CF7">
        <w:rPr>
          <w:rFonts w:asciiTheme="majorHAnsi" w:hAnsiTheme="majorHAnsi"/>
          <w:sz w:val="20"/>
          <w:szCs w:val="20"/>
          <w:lang w:val="es-VE"/>
        </w:rPr>
        <w:t>prevencional</w:t>
      </w:r>
      <w:proofErr w:type="spellEnd"/>
      <w:r w:rsidR="00D43F6C" w:rsidRPr="00B56CF7">
        <w:rPr>
          <w:rFonts w:asciiTheme="majorHAnsi" w:hAnsiTheme="majorHAnsi"/>
          <w:sz w:val="20"/>
          <w:szCs w:val="20"/>
          <w:lang w:val="es-VE"/>
        </w:rPr>
        <w:t xml:space="preserve"> agregada a fs. 1099, dado que en ésta última se alude a un viaje a la ciudad de Panamá que, en realidad, no consta en aquélla, siendo que tal cir</w:t>
      </w:r>
      <w:r w:rsidR="005134B9" w:rsidRPr="00B56CF7">
        <w:rPr>
          <w:rFonts w:asciiTheme="majorHAnsi" w:hAnsiTheme="majorHAnsi"/>
          <w:sz w:val="20"/>
          <w:szCs w:val="20"/>
          <w:lang w:val="es-VE"/>
        </w:rPr>
        <w:t>cunstancia habría sido utilizada</w:t>
      </w:r>
      <w:r w:rsidR="00D43F6C" w:rsidRPr="00B56CF7">
        <w:rPr>
          <w:rFonts w:asciiTheme="majorHAnsi" w:hAnsiTheme="majorHAnsi"/>
          <w:sz w:val="20"/>
          <w:szCs w:val="20"/>
          <w:lang w:val="es-VE"/>
        </w:rPr>
        <w:t xml:space="preserve"> como elemento cargoso por los Fiscales de Grado para formular el pertinente requerimiento de elevación a juicio respecto de su defendido</w:t>
      </w:r>
      <w:r w:rsidR="00461473" w:rsidRPr="00B56CF7">
        <w:rPr>
          <w:rFonts w:asciiTheme="majorHAnsi" w:hAnsiTheme="majorHAnsi"/>
          <w:sz w:val="20"/>
          <w:szCs w:val="20"/>
          <w:lang w:val="es-VE"/>
        </w:rPr>
        <w:t>”</w:t>
      </w:r>
      <w:r w:rsidR="00D43F6C" w:rsidRPr="00B56CF7">
        <w:rPr>
          <w:rFonts w:asciiTheme="majorHAnsi" w:hAnsiTheme="majorHAnsi"/>
          <w:sz w:val="20"/>
          <w:szCs w:val="20"/>
          <w:lang w:val="es-VE"/>
        </w:rPr>
        <w:t xml:space="preserve">. </w:t>
      </w:r>
      <w:r w:rsidR="00AA09AD" w:rsidRPr="00B56CF7">
        <w:rPr>
          <w:rFonts w:asciiTheme="majorHAnsi" w:hAnsiTheme="majorHAnsi"/>
          <w:sz w:val="20"/>
          <w:szCs w:val="20"/>
          <w:lang w:val="es-VE"/>
        </w:rPr>
        <w:t>El Tribunal concluyó</w:t>
      </w:r>
      <w:r w:rsidR="00F218B3" w:rsidRPr="00B56CF7">
        <w:rPr>
          <w:rFonts w:asciiTheme="majorHAnsi" w:hAnsiTheme="majorHAnsi"/>
          <w:sz w:val="20"/>
          <w:szCs w:val="20"/>
          <w:lang w:val="es-VE"/>
        </w:rPr>
        <w:t xml:space="preserve"> que “la circunstancia señalada por el letrado mencionado es correcta y por ello su petición tendrá favorable acogida por parte de este Tribunal”</w:t>
      </w:r>
      <w:r w:rsidR="00F218B3" w:rsidRPr="00B56CF7">
        <w:rPr>
          <w:rStyle w:val="FootnoteReference"/>
          <w:rFonts w:asciiTheme="majorHAnsi" w:hAnsiTheme="majorHAnsi"/>
          <w:sz w:val="20"/>
          <w:szCs w:val="20"/>
          <w:lang w:val="es-VE"/>
        </w:rPr>
        <w:footnoteReference w:id="18"/>
      </w:r>
      <w:r w:rsidR="00F218B3" w:rsidRPr="00B56CF7">
        <w:rPr>
          <w:rFonts w:asciiTheme="majorHAnsi" w:hAnsiTheme="majorHAnsi"/>
          <w:sz w:val="20"/>
          <w:szCs w:val="20"/>
          <w:lang w:val="es-VE"/>
        </w:rPr>
        <w:t xml:space="preserve">. </w:t>
      </w:r>
    </w:p>
    <w:p w:rsidR="00D1284F" w:rsidRPr="00B56CF7" w:rsidRDefault="00D1284F" w:rsidP="00D1284F">
      <w:pPr>
        <w:pStyle w:val="ListParagraph"/>
        <w:rPr>
          <w:rFonts w:asciiTheme="majorHAnsi" w:hAnsiTheme="majorHAnsi"/>
          <w:sz w:val="20"/>
          <w:szCs w:val="20"/>
          <w:lang w:val="es-VE"/>
        </w:rPr>
      </w:pPr>
    </w:p>
    <w:p w:rsidR="003E7ECF" w:rsidRPr="00B56CF7" w:rsidRDefault="00651248" w:rsidP="00D1284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sidRPr="00B56CF7">
        <w:rPr>
          <w:rFonts w:asciiTheme="majorHAnsi" w:hAnsiTheme="majorHAnsi"/>
          <w:sz w:val="20"/>
          <w:szCs w:val="20"/>
          <w:lang w:val="es-VE"/>
        </w:rPr>
        <w:t xml:space="preserve">Asimismo, decidió en el </w:t>
      </w:r>
      <w:proofErr w:type="spellStart"/>
      <w:r w:rsidRPr="00B56CF7">
        <w:rPr>
          <w:rFonts w:asciiTheme="majorHAnsi" w:hAnsiTheme="majorHAnsi"/>
          <w:sz w:val="20"/>
          <w:szCs w:val="20"/>
          <w:lang w:val="es-VE"/>
        </w:rPr>
        <w:t>númeral</w:t>
      </w:r>
      <w:proofErr w:type="spellEnd"/>
      <w:r w:rsidRPr="00B56CF7">
        <w:rPr>
          <w:rFonts w:asciiTheme="majorHAnsi" w:hAnsiTheme="majorHAnsi"/>
          <w:sz w:val="20"/>
          <w:szCs w:val="20"/>
          <w:lang w:val="es-VE"/>
        </w:rPr>
        <w:t xml:space="preserve"> XXVIII</w:t>
      </w:r>
      <w:r w:rsidR="003E7ECF" w:rsidRPr="00B56CF7">
        <w:rPr>
          <w:rFonts w:asciiTheme="majorHAnsi" w:hAnsiTheme="majorHAnsi"/>
          <w:sz w:val="20"/>
          <w:szCs w:val="20"/>
          <w:lang w:val="es-VE"/>
        </w:rPr>
        <w:t>:</w:t>
      </w:r>
    </w:p>
    <w:p w:rsidR="003E7ECF" w:rsidRPr="00B56CF7" w:rsidRDefault="003E7ECF" w:rsidP="00BF55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es-VE"/>
        </w:rPr>
      </w:pPr>
    </w:p>
    <w:p w:rsidR="00651248" w:rsidRPr="00B56CF7" w:rsidRDefault="00651248" w:rsidP="00E7615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eastAsia="Times New Roman" w:hAnsiTheme="majorHAnsi"/>
          <w:sz w:val="20"/>
          <w:szCs w:val="20"/>
          <w:bdr w:val="none" w:sz="0" w:space="0" w:color="auto"/>
          <w:lang w:val="es-AR"/>
        </w:rPr>
      </w:pPr>
      <w:r w:rsidRPr="00B56CF7">
        <w:rPr>
          <w:rFonts w:asciiTheme="majorHAnsi" w:hAnsiTheme="majorHAnsi"/>
          <w:sz w:val="20"/>
          <w:szCs w:val="20"/>
          <w:lang w:val="es-VE"/>
        </w:rPr>
        <w:t>EXTRAER testimonios de la presente</w:t>
      </w:r>
      <w:r w:rsidR="00470568" w:rsidRPr="00B56CF7">
        <w:rPr>
          <w:rFonts w:asciiTheme="majorHAnsi" w:hAnsiTheme="majorHAnsi"/>
          <w:sz w:val="20"/>
          <w:szCs w:val="20"/>
          <w:lang w:val="es-VE"/>
        </w:rPr>
        <w:t>,</w:t>
      </w:r>
      <w:r w:rsidRPr="00B56CF7">
        <w:rPr>
          <w:rFonts w:asciiTheme="majorHAnsi" w:hAnsiTheme="majorHAnsi"/>
          <w:sz w:val="20"/>
          <w:szCs w:val="20"/>
          <w:lang w:val="es-VE"/>
        </w:rPr>
        <w:t xml:space="preserve"> de la pertinent</w:t>
      </w:r>
      <w:r w:rsidR="008D29D4" w:rsidRPr="00B56CF7">
        <w:rPr>
          <w:rFonts w:asciiTheme="majorHAnsi" w:hAnsiTheme="majorHAnsi"/>
          <w:sz w:val="20"/>
          <w:szCs w:val="20"/>
          <w:lang w:val="es-VE"/>
        </w:rPr>
        <w:t>e Acta de Debate y de las piezas</w:t>
      </w:r>
      <w:r w:rsidRPr="00B56CF7">
        <w:rPr>
          <w:rFonts w:asciiTheme="majorHAnsi" w:hAnsiTheme="majorHAnsi"/>
          <w:sz w:val="20"/>
          <w:szCs w:val="20"/>
          <w:lang w:val="es-VE"/>
        </w:rPr>
        <w:t xml:space="preserve"> de este legajo que correspondan, para que se investigue la eventual comisión de un delito de acción pública, respecto de las diferencias entre el contenido d</w:t>
      </w:r>
      <w:r w:rsidR="00B25DC3" w:rsidRPr="00B56CF7">
        <w:rPr>
          <w:rFonts w:asciiTheme="majorHAnsi" w:hAnsiTheme="majorHAnsi"/>
          <w:sz w:val="20"/>
          <w:szCs w:val="20"/>
          <w:lang w:val="es-VE"/>
        </w:rPr>
        <w:t>el</w:t>
      </w:r>
      <w:r w:rsidRPr="00B56CF7">
        <w:rPr>
          <w:rFonts w:asciiTheme="majorHAnsi" w:hAnsiTheme="majorHAnsi"/>
          <w:sz w:val="20"/>
          <w:szCs w:val="20"/>
          <w:lang w:val="es-VE"/>
        </w:rPr>
        <w:t xml:space="preserve"> </w:t>
      </w:r>
      <w:proofErr w:type="spellStart"/>
      <w:r w:rsidRPr="00B56CF7">
        <w:rPr>
          <w:rFonts w:asciiTheme="majorHAnsi" w:hAnsiTheme="majorHAnsi"/>
          <w:sz w:val="20"/>
          <w:szCs w:val="20"/>
          <w:lang w:val="es-VE"/>
        </w:rPr>
        <w:t>cassette</w:t>
      </w:r>
      <w:proofErr w:type="spellEnd"/>
      <w:r w:rsidRPr="00B56CF7">
        <w:rPr>
          <w:rFonts w:asciiTheme="majorHAnsi" w:hAnsiTheme="majorHAnsi"/>
          <w:sz w:val="20"/>
          <w:szCs w:val="20"/>
          <w:lang w:val="es-VE"/>
        </w:rPr>
        <w:t xml:space="preserve"> No. 40 del abonado 41-3614 y de la constancia </w:t>
      </w:r>
      <w:proofErr w:type="spellStart"/>
      <w:r w:rsidRPr="00B56CF7">
        <w:rPr>
          <w:rFonts w:asciiTheme="majorHAnsi" w:hAnsiTheme="majorHAnsi"/>
          <w:sz w:val="20"/>
          <w:szCs w:val="20"/>
          <w:lang w:val="es-VE"/>
        </w:rPr>
        <w:t>prevencional</w:t>
      </w:r>
      <w:proofErr w:type="spellEnd"/>
      <w:r w:rsidRPr="00B56CF7">
        <w:rPr>
          <w:rFonts w:asciiTheme="majorHAnsi" w:hAnsiTheme="majorHAnsi"/>
          <w:sz w:val="20"/>
          <w:szCs w:val="20"/>
          <w:lang w:val="es-VE"/>
        </w:rPr>
        <w:t xml:space="preserve"> agregada a fs. 1099, </w:t>
      </w:r>
      <w:r w:rsidR="001E3EFF" w:rsidRPr="00B56CF7">
        <w:rPr>
          <w:rFonts w:asciiTheme="majorHAnsi" w:hAnsiTheme="majorHAnsi"/>
          <w:sz w:val="20"/>
          <w:szCs w:val="20"/>
          <w:lang w:val="es-VE"/>
        </w:rPr>
        <w:t>debido</w:t>
      </w:r>
      <w:r w:rsidR="00F70FB8" w:rsidRPr="00B56CF7">
        <w:rPr>
          <w:rFonts w:asciiTheme="majorHAnsi" w:hAnsiTheme="majorHAnsi"/>
          <w:sz w:val="20"/>
          <w:szCs w:val="20"/>
          <w:lang w:val="es-VE"/>
        </w:rPr>
        <w:t xml:space="preserve"> al planteamiento de la defensa de la presunta víctima según la cual </w:t>
      </w:r>
      <w:r w:rsidRPr="00B56CF7">
        <w:rPr>
          <w:rFonts w:asciiTheme="majorHAnsi" w:hAnsiTheme="majorHAnsi"/>
          <w:sz w:val="20"/>
          <w:szCs w:val="20"/>
          <w:lang w:val="es-VE"/>
        </w:rPr>
        <w:t xml:space="preserve">y que fuera solicitado por el Dr. Marcelo Roberto </w:t>
      </w:r>
      <w:proofErr w:type="spellStart"/>
      <w:r w:rsidRPr="00B56CF7">
        <w:rPr>
          <w:rFonts w:asciiTheme="majorHAnsi" w:hAnsiTheme="majorHAnsi"/>
          <w:sz w:val="20"/>
          <w:szCs w:val="20"/>
          <w:lang w:val="es-VE"/>
        </w:rPr>
        <w:t>Buigo</w:t>
      </w:r>
      <w:proofErr w:type="spellEnd"/>
      <w:r w:rsidRPr="00B56CF7">
        <w:rPr>
          <w:rFonts w:asciiTheme="majorHAnsi" w:hAnsiTheme="majorHAnsi"/>
          <w:sz w:val="20"/>
          <w:szCs w:val="20"/>
          <w:lang w:val="es-VE"/>
        </w:rPr>
        <w:t xml:space="preserve">, y siendo que tal </w:t>
      </w:r>
      <w:r w:rsidR="001C1303" w:rsidRPr="00B56CF7">
        <w:rPr>
          <w:rFonts w:asciiTheme="majorHAnsi" w:hAnsiTheme="majorHAnsi"/>
          <w:sz w:val="20"/>
          <w:szCs w:val="20"/>
          <w:lang w:val="es-VE"/>
        </w:rPr>
        <w:t>circunstancia</w:t>
      </w:r>
      <w:r w:rsidRPr="00B56CF7">
        <w:rPr>
          <w:rFonts w:asciiTheme="majorHAnsi" w:hAnsiTheme="majorHAnsi"/>
          <w:sz w:val="20"/>
          <w:szCs w:val="20"/>
          <w:lang w:val="es-VE"/>
        </w:rPr>
        <w:t xml:space="preserve"> habría sido uti</w:t>
      </w:r>
      <w:r w:rsidR="00470568" w:rsidRPr="00B56CF7">
        <w:rPr>
          <w:rFonts w:asciiTheme="majorHAnsi" w:hAnsiTheme="majorHAnsi"/>
          <w:sz w:val="20"/>
          <w:szCs w:val="20"/>
          <w:lang w:val="es-VE"/>
        </w:rPr>
        <w:t>l</w:t>
      </w:r>
      <w:r w:rsidRPr="00B56CF7">
        <w:rPr>
          <w:rFonts w:asciiTheme="majorHAnsi" w:hAnsiTheme="majorHAnsi"/>
          <w:sz w:val="20"/>
          <w:szCs w:val="20"/>
          <w:lang w:val="es-VE"/>
        </w:rPr>
        <w:t>izado como elemento cargoso por los Sres. Fiscales de grado para formular el pertinente requerimiento de Elevación a Juicio respecto de Gabriel Oscar Jenkins, hágase saber tal anomalía al Sr. Procurador General de la Nación mediante oficio de estilo</w:t>
      </w:r>
      <w:r w:rsidRPr="00B56CF7">
        <w:rPr>
          <w:rFonts w:asciiTheme="majorHAnsi" w:hAnsiTheme="majorHAnsi"/>
          <w:sz w:val="20"/>
          <w:szCs w:val="20"/>
          <w:vertAlign w:val="superscript"/>
        </w:rPr>
        <w:footnoteReference w:id="19"/>
      </w:r>
      <w:r w:rsidRPr="00B56CF7">
        <w:rPr>
          <w:rFonts w:asciiTheme="majorHAnsi" w:hAnsiTheme="majorHAnsi"/>
          <w:sz w:val="20"/>
          <w:szCs w:val="20"/>
          <w:lang w:val="es-VE"/>
        </w:rPr>
        <w:t>.</w:t>
      </w:r>
    </w:p>
    <w:p w:rsidR="009249B2" w:rsidRPr="0062236D" w:rsidRDefault="009249B2" w:rsidP="006860C3">
      <w:pPr>
        <w:jc w:val="both"/>
        <w:rPr>
          <w:rFonts w:asciiTheme="majorHAnsi" w:hAnsiTheme="majorHAnsi"/>
          <w:sz w:val="20"/>
          <w:szCs w:val="20"/>
          <w:lang w:val="es-AR"/>
        </w:rPr>
      </w:pPr>
    </w:p>
    <w:p w:rsidR="009249B2" w:rsidRPr="00B56CF7" w:rsidRDefault="009249B2" w:rsidP="009249B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sidRPr="00B56CF7">
        <w:rPr>
          <w:rFonts w:asciiTheme="majorHAnsi" w:hAnsiTheme="majorHAnsi"/>
          <w:sz w:val="20"/>
          <w:szCs w:val="20"/>
          <w:lang w:val="es-VE"/>
        </w:rPr>
        <w:t>En virtud de lo anterior</w:t>
      </w:r>
      <w:r w:rsidR="00721EF2">
        <w:rPr>
          <w:rFonts w:asciiTheme="majorHAnsi" w:hAnsiTheme="majorHAnsi"/>
          <w:sz w:val="20"/>
          <w:szCs w:val="20"/>
          <w:lang w:val="es-VE"/>
        </w:rPr>
        <w:t>,</w:t>
      </w:r>
      <w:r w:rsidRPr="00B56CF7">
        <w:rPr>
          <w:rFonts w:asciiTheme="majorHAnsi" w:hAnsiTheme="majorHAnsi"/>
          <w:sz w:val="20"/>
          <w:szCs w:val="20"/>
          <w:lang w:val="es-VE"/>
        </w:rPr>
        <w:t xml:space="preserve"> se inició tanto una investigación penal como</w:t>
      </w:r>
      <w:r w:rsidR="00462F3B" w:rsidRPr="00B56CF7">
        <w:rPr>
          <w:rFonts w:asciiTheme="majorHAnsi" w:hAnsiTheme="majorHAnsi"/>
          <w:sz w:val="20"/>
          <w:szCs w:val="20"/>
          <w:lang w:val="es-VE"/>
        </w:rPr>
        <w:t xml:space="preserve"> una</w:t>
      </w:r>
      <w:r w:rsidRPr="00B56CF7">
        <w:rPr>
          <w:rFonts w:asciiTheme="majorHAnsi" w:hAnsiTheme="majorHAnsi"/>
          <w:sz w:val="20"/>
          <w:szCs w:val="20"/>
          <w:lang w:val="es-VE"/>
        </w:rPr>
        <w:t xml:space="preserve"> administrativa</w:t>
      </w:r>
      <w:r w:rsidR="00721EF2">
        <w:rPr>
          <w:rFonts w:asciiTheme="majorHAnsi" w:hAnsiTheme="majorHAnsi"/>
          <w:sz w:val="20"/>
          <w:szCs w:val="20"/>
          <w:lang w:val="es-VE"/>
        </w:rPr>
        <w:t>,</w:t>
      </w:r>
      <w:r w:rsidRPr="00B56CF7">
        <w:rPr>
          <w:rFonts w:asciiTheme="majorHAnsi" w:hAnsiTheme="majorHAnsi"/>
          <w:sz w:val="20"/>
          <w:szCs w:val="20"/>
          <w:lang w:val="es-VE"/>
        </w:rPr>
        <w:t xml:space="preserve"> para determinar si se incurrió en algún delito </w:t>
      </w:r>
      <w:r w:rsidR="005C5371">
        <w:rPr>
          <w:rFonts w:asciiTheme="majorHAnsi" w:hAnsiTheme="majorHAnsi"/>
          <w:sz w:val="20"/>
          <w:szCs w:val="20"/>
          <w:lang w:val="es-VE"/>
        </w:rPr>
        <w:t>o falta administrativa</w:t>
      </w:r>
      <w:r w:rsidR="002D0F59">
        <w:rPr>
          <w:rFonts w:asciiTheme="majorHAnsi" w:hAnsiTheme="majorHAnsi"/>
          <w:sz w:val="20"/>
          <w:szCs w:val="20"/>
          <w:lang w:val="es-VE"/>
        </w:rPr>
        <w:t xml:space="preserve"> </w:t>
      </w:r>
      <w:r w:rsidRPr="00B56CF7">
        <w:rPr>
          <w:rFonts w:asciiTheme="majorHAnsi" w:hAnsiTheme="majorHAnsi"/>
          <w:sz w:val="20"/>
          <w:szCs w:val="20"/>
          <w:lang w:val="es-VE"/>
        </w:rPr>
        <w:t>en la incorporación de la prueba telefónica y su constancia</w:t>
      </w:r>
      <w:r w:rsidR="00B13C95" w:rsidRPr="00B56CF7">
        <w:rPr>
          <w:rFonts w:asciiTheme="majorHAnsi" w:hAnsiTheme="majorHAnsi"/>
          <w:sz w:val="20"/>
          <w:szCs w:val="20"/>
          <w:lang w:val="es-VE"/>
        </w:rPr>
        <w:t xml:space="preserve">. Los resultados de dichas investigaciones se describen en </w:t>
      </w:r>
      <w:r w:rsidR="00470568" w:rsidRPr="00B56CF7">
        <w:rPr>
          <w:rFonts w:asciiTheme="majorHAnsi" w:hAnsiTheme="majorHAnsi"/>
          <w:sz w:val="20"/>
          <w:szCs w:val="20"/>
          <w:lang w:val="es-VE"/>
        </w:rPr>
        <w:t>el literal</w:t>
      </w:r>
      <w:r w:rsidR="00B13C95" w:rsidRPr="00B56CF7">
        <w:rPr>
          <w:rFonts w:asciiTheme="majorHAnsi" w:hAnsiTheme="majorHAnsi"/>
          <w:sz w:val="20"/>
          <w:szCs w:val="20"/>
          <w:lang w:val="es-VE"/>
        </w:rPr>
        <w:t xml:space="preserve"> C de</w:t>
      </w:r>
      <w:r w:rsidR="00470568" w:rsidRPr="00B56CF7">
        <w:rPr>
          <w:rFonts w:asciiTheme="majorHAnsi" w:hAnsiTheme="majorHAnsi"/>
          <w:sz w:val="20"/>
          <w:szCs w:val="20"/>
          <w:lang w:val="es-VE"/>
        </w:rPr>
        <w:t xml:space="preserve"> la presente secc</w:t>
      </w:r>
      <w:r w:rsidR="003E7ECF" w:rsidRPr="00B56CF7">
        <w:rPr>
          <w:rFonts w:asciiTheme="majorHAnsi" w:hAnsiTheme="majorHAnsi"/>
          <w:sz w:val="20"/>
          <w:szCs w:val="20"/>
          <w:lang w:val="es-VE"/>
        </w:rPr>
        <w:t>i</w:t>
      </w:r>
      <w:r w:rsidR="00470568" w:rsidRPr="00B56CF7">
        <w:rPr>
          <w:rFonts w:asciiTheme="majorHAnsi" w:hAnsiTheme="majorHAnsi"/>
          <w:sz w:val="20"/>
          <w:szCs w:val="20"/>
          <w:lang w:val="es-VE"/>
        </w:rPr>
        <w:t xml:space="preserve">ón </w:t>
      </w:r>
      <w:r w:rsidR="00752A97" w:rsidRPr="00B56CF7">
        <w:rPr>
          <w:rFonts w:asciiTheme="majorHAnsi" w:hAnsiTheme="majorHAnsi"/>
          <w:sz w:val="20"/>
          <w:szCs w:val="20"/>
          <w:lang w:val="es-VE"/>
        </w:rPr>
        <w:t>de hechos probados.</w:t>
      </w:r>
      <w:r w:rsidR="00B13C95" w:rsidRPr="00B56CF7">
        <w:rPr>
          <w:rFonts w:asciiTheme="majorHAnsi" w:hAnsiTheme="majorHAnsi"/>
          <w:sz w:val="20"/>
          <w:szCs w:val="20"/>
          <w:lang w:val="es-VE"/>
        </w:rPr>
        <w:t xml:space="preserve"> </w:t>
      </w:r>
    </w:p>
    <w:p w:rsidR="009249B2" w:rsidRPr="0062236D" w:rsidRDefault="009249B2" w:rsidP="006860C3">
      <w:pPr>
        <w:jc w:val="both"/>
        <w:rPr>
          <w:rFonts w:asciiTheme="majorHAnsi" w:hAnsiTheme="majorHAnsi"/>
          <w:sz w:val="20"/>
          <w:szCs w:val="20"/>
          <w:lang w:val="es-AR"/>
        </w:rPr>
      </w:pPr>
    </w:p>
    <w:p w:rsidR="006860C3" w:rsidRPr="00B56CF7" w:rsidRDefault="006860C3" w:rsidP="006860C3">
      <w:pPr>
        <w:pStyle w:val="Heading2"/>
        <w:numPr>
          <w:ilvl w:val="0"/>
          <w:numId w:val="60"/>
        </w:numPr>
        <w:rPr>
          <w:lang w:val="es-VE"/>
        </w:rPr>
      </w:pPr>
      <w:bookmarkStart w:id="48" w:name="_Toc467577912"/>
      <w:bookmarkStart w:id="49" w:name="_Toc469409086"/>
      <w:r w:rsidRPr="00B56CF7">
        <w:rPr>
          <w:lang w:val="es-VE"/>
        </w:rPr>
        <w:t xml:space="preserve">Recursos intentados por el peticionario para lograr su </w:t>
      </w:r>
      <w:r w:rsidR="00067A21" w:rsidRPr="00B56CF7">
        <w:rPr>
          <w:lang w:val="es-VE"/>
        </w:rPr>
        <w:t>libertad mientras se encontraba en prisión preventiva</w:t>
      </w:r>
      <w:bookmarkEnd w:id="48"/>
      <w:bookmarkEnd w:id="49"/>
    </w:p>
    <w:p w:rsidR="006860C3" w:rsidRPr="00B56CF7" w:rsidRDefault="006860C3" w:rsidP="006860C3">
      <w:pPr>
        <w:jc w:val="both"/>
        <w:rPr>
          <w:rFonts w:asciiTheme="majorHAnsi" w:hAnsiTheme="majorHAnsi"/>
          <w:b/>
          <w:sz w:val="20"/>
          <w:szCs w:val="20"/>
          <w:lang w:val="es-VE"/>
        </w:rPr>
      </w:pPr>
    </w:p>
    <w:p w:rsidR="00164A61" w:rsidRPr="0062236D" w:rsidRDefault="00B25DC3" w:rsidP="00164A6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sidRPr="00B56CF7">
        <w:rPr>
          <w:rFonts w:asciiTheme="majorHAnsi" w:hAnsiTheme="majorHAnsi"/>
          <w:sz w:val="20"/>
          <w:szCs w:val="20"/>
          <w:lang w:val="es-VE"/>
        </w:rPr>
        <w:t>E</w:t>
      </w:r>
      <w:r w:rsidR="006860C3" w:rsidRPr="00B56CF7">
        <w:rPr>
          <w:rFonts w:asciiTheme="majorHAnsi" w:hAnsiTheme="majorHAnsi"/>
          <w:sz w:val="20"/>
          <w:szCs w:val="20"/>
          <w:lang w:val="es-VE"/>
        </w:rPr>
        <w:t xml:space="preserve">s un hecho no controvertido que el peticionario estuvo </w:t>
      </w:r>
      <w:r w:rsidR="005E3B7F" w:rsidRPr="00B56CF7">
        <w:rPr>
          <w:rFonts w:asciiTheme="majorHAnsi" w:hAnsiTheme="majorHAnsi"/>
          <w:sz w:val="20"/>
          <w:szCs w:val="20"/>
          <w:lang w:val="es-VE"/>
        </w:rPr>
        <w:t xml:space="preserve">privado de libertad en detención preventiva </w:t>
      </w:r>
      <w:r w:rsidR="00AD4156" w:rsidRPr="00B56CF7">
        <w:rPr>
          <w:rFonts w:asciiTheme="majorHAnsi" w:hAnsiTheme="majorHAnsi"/>
          <w:sz w:val="20"/>
          <w:szCs w:val="20"/>
          <w:lang w:val="es-VE"/>
        </w:rPr>
        <w:t>desde el 8 de junio de 1994 h</w:t>
      </w:r>
      <w:r w:rsidR="005C3AF8" w:rsidRPr="00B56CF7">
        <w:rPr>
          <w:rFonts w:asciiTheme="majorHAnsi" w:hAnsiTheme="majorHAnsi"/>
          <w:sz w:val="20"/>
          <w:szCs w:val="20"/>
          <w:lang w:val="es-VE"/>
        </w:rPr>
        <w:t>asta e</w:t>
      </w:r>
      <w:r w:rsidR="004F57FF" w:rsidRPr="00B56CF7">
        <w:rPr>
          <w:rFonts w:asciiTheme="majorHAnsi" w:hAnsiTheme="majorHAnsi"/>
          <w:sz w:val="20"/>
          <w:szCs w:val="20"/>
          <w:lang w:val="es-VE"/>
        </w:rPr>
        <w:t>l 1</w:t>
      </w:r>
      <w:r w:rsidR="005C3AF8" w:rsidRPr="00B56CF7">
        <w:rPr>
          <w:rFonts w:asciiTheme="majorHAnsi" w:hAnsiTheme="majorHAnsi"/>
          <w:sz w:val="20"/>
          <w:szCs w:val="20"/>
          <w:lang w:val="es-VE"/>
        </w:rPr>
        <w:t xml:space="preserve">3 de </w:t>
      </w:r>
      <w:r w:rsidR="004F57FF" w:rsidRPr="00B56CF7">
        <w:rPr>
          <w:rFonts w:asciiTheme="majorHAnsi" w:hAnsiTheme="majorHAnsi"/>
          <w:sz w:val="20"/>
          <w:szCs w:val="20"/>
          <w:lang w:val="es-VE"/>
        </w:rPr>
        <w:t>noviembre</w:t>
      </w:r>
      <w:r w:rsidR="005C3AF8" w:rsidRPr="00B56CF7">
        <w:rPr>
          <w:rFonts w:asciiTheme="majorHAnsi" w:hAnsiTheme="majorHAnsi"/>
          <w:sz w:val="20"/>
          <w:szCs w:val="20"/>
          <w:lang w:val="es-VE"/>
        </w:rPr>
        <w:t xml:space="preserve"> de 1997;</w:t>
      </w:r>
      <w:r w:rsidR="00AD4156" w:rsidRPr="00B56CF7">
        <w:rPr>
          <w:rFonts w:asciiTheme="majorHAnsi" w:hAnsiTheme="majorHAnsi"/>
          <w:sz w:val="20"/>
          <w:szCs w:val="20"/>
          <w:lang w:val="es-VE"/>
        </w:rPr>
        <w:t xml:space="preserve"> es decir por m</w:t>
      </w:r>
      <w:r w:rsidR="004F57FF" w:rsidRPr="00B56CF7">
        <w:rPr>
          <w:rFonts w:asciiTheme="majorHAnsi" w:hAnsiTheme="majorHAnsi"/>
          <w:sz w:val="20"/>
          <w:szCs w:val="20"/>
          <w:lang w:val="es-VE"/>
        </w:rPr>
        <w:t>ás de 3 años y 5</w:t>
      </w:r>
      <w:r w:rsidR="00AD4156" w:rsidRPr="00B56CF7">
        <w:rPr>
          <w:rFonts w:asciiTheme="majorHAnsi" w:hAnsiTheme="majorHAnsi"/>
          <w:sz w:val="20"/>
          <w:szCs w:val="20"/>
          <w:lang w:val="es-VE"/>
        </w:rPr>
        <w:t xml:space="preserve"> meses. </w:t>
      </w:r>
    </w:p>
    <w:p w:rsidR="00164A61" w:rsidRDefault="00164A61" w:rsidP="00164A6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rsidR="00C22A90" w:rsidRPr="00B56CF7" w:rsidRDefault="00C22A90" w:rsidP="00C22A9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eastAsia="Times New Roman" w:hAnsiTheme="majorHAnsi"/>
          <w:sz w:val="20"/>
          <w:szCs w:val="20"/>
          <w:lang w:val="es-ES"/>
        </w:rPr>
        <w:t xml:space="preserve">En el artículo 1 de la ley 24.390 se indicaba que </w:t>
      </w:r>
      <w:r w:rsidRPr="00B56CF7">
        <w:rPr>
          <w:rFonts w:asciiTheme="majorHAnsi" w:hAnsiTheme="majorHAnsi"/>
          <w:sz w:val="20"/>
          <w:szCs w:val="20"/>
          <w:lang w:val="es-VE"/>
        </w:rPr>
        <w:t>“la prisión preventiva no podrá ser superior a dos años. No obstante, cuando la cantidad de los delitos atribuidos al procesado o la evidente complejidad de las causas hayan impedido la finalización del proceso en el plazo indicado, ésta podrá prorrogarse un año más por resolución fundada que deberá comunicarse de inmediato al tribunal de apelación que correspondiese para su debido contralor”</w:t>
      </w:r>
      <w:r w:rsidR="00115414" w:rsidRPr="001C1303">
        <w:rPr>
          <w:rStyle w:val="FootnoteReference"/>
          <w:rFonts w:asciiTheme="majorHAnsi" w:hAnsiTheme="majorHAnsi"/>
          <w:sz w:val="20"/>
          <w:szCs w:val="20"/>
          <w:lang w:val="es-VE"/>
        </w:rPr>
        <w:footnoteReference w:id="20"/>
      </w:r>
      <w:r w:rsidRPr="00B56CF7">
        <w:rPr>
          <w:rFonts w:asciiTheme="majorHAnsi" w:hAnsiTheme="majorHAnsi"/>
          <w:sz w:val="20"/>
          <w:szCs w:val="20"/>
          <w:lang w:val="es-VE"/>
        </w:rPr>
        <w:t>.</w:t>
      </w:r>
    </w:p>
    <w:p w:rsidR="00C22A90" w:rsidRPr="00B56CF7" w:rsidRDefault="00C22A90" w:rsidP="00C22A90">
      <w:pPr>
        <w:pStyle w:val="ListParagraph"/>
        <w:rPr>
          <w:rFonts w:asciiTheme="majorHAnsi" w:hAnsiTheme="majorHAnsi"/>
          <w:sz w:val="20"/>
          <w:szCs w:val="20"/>
          <w:lang w:val="es-VE"/>
        </w:rPr>
      </w:pPr>
    </w:p>
    <w:p w:rsidR="00C22A90" w:rsidRDefault="00C22A90" w:rsidP="00C22A9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No obstante</w:t>
      </w:r>
      <w:r w:rsidR="00932C88">
        <w:rPr>
          <w:rFonts w:asciiTheme="majorHAnsi" w:hAnsiTheme="majorHAnsi"/>
          <w:sz w:val="20"/>
          <w:szCs w:val="20"/>
          <w:lang w:val="es-VE"/>
        </w:rPr>
        <w:t>,</w:t>
      </w:r>
      <w:r w:rsidRPr="00B56CF7">
        <w:rPr>
          <w:rFonts w:asciiTheme="majorHAnsi" w:hAnsiTheme="majorHAnsi"/>
          <w:sz w:val="20"/>
          <w:szCs w:val="20"/>
          <w:lang w:val="es-VE"/>
        </w:rPr>
        <w:t xml:space="preserve"> su artículo 10 expresaba que quedaban “expresamente excluidos de los alcances de la presente ley los imputados por el delito previsto en el artículo 7 de la ley 23.737 y aquellos a quienes resultaren aplicables las agravantes previstas en el artículo 11 de la misma ley</w:t>
      </w:r>
      <w:r w:rsidR="00EE7652">
        <w:rPr>
          <w:rFonts w:asciiTheme="majorHAnsi" w:hAnsiTheme="majorHAnsi"/>
          <w:sz w:val="20"/>
          <w:szCs w:val="20"/>
          <w:lang w:val="es-VE"/>
        </w:rPr>
        <w:t>”</w:t>
      </w:r>
      <w:r w:rsidR="00EE7652" w:rsidRPr="001C1303">
        <w:rPr>
          <w:rStyle w:val="FootnoteReference"/>
          <w:rFonts w:asciiTheme="majorHAnsi" w:hAnsiTheme="majorHAnsi"/>
          <w:sz w:val="20"/>
          <w:szCs w:val="20"/>
          <w:lang w:val="es-VE"/>
        </w:rPr>
        <w:footnoteReference w:id="21"/>
      </w:r>
      <w:r w:rsidRPr="00B56CF7">
        <w:rPr>
          <w:rFonts w:asciiTheme="majorHAnsi" w:hAnsiTheme="majorHAnsi"/>
          <w:sz w:val="20"/>
          <w:szCs w:val="20"/>
          <w:lang w:val="es-VE"/>
        </w:rPr>
        <w:t xml:space="preserve">. </w:t>
      </w:r>
    </w:p>
    <w:p w:rsidR="00CD563B" w:rsidRDefault="00CD563B" w:rsidP="00BB41CF">
      <w:pPr>
        <w:pStyle w:val="ListParagraph"/>
        <w:rPr>
          <w:rFonts w:asciiTheme="majorHAnsi" w:hAnsiTheme="majorHAnsi"/>
          <w:sz w:val="20"/>
          <w:szCs w:val="20"/>
          <w:lang w:val="es-VE"/>
        </w:rPr>
      </w:pPr>
    </w:p>
    <w:p w:rsidR="00CD563B" w:rsidRPr="00B56CF7" w:rsidRDefault="00CD563B" w:rsidP="00CD563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lastRenderedPageBreak/>
        <w:t>A su vez, el artículo 7 indicaba que “será reprimido con reclusión o prisión de tres a doce años y multa de tres mil a cincuenta mil australes el que facilitare, aunque sea a título gratuito, un lugar o elementos, para que se lleve a cabo alguno de los hechos previstos por los artículos anteriores. La misma pena se aplicará al que facilitare un lugar para que concurran personas con el objeto de usar estupefacientes”</w:t>
      </w:r>
      <w:r w:rsidRPr="00B56CF7">
        <w:rPr>
          <w:rStyle w:val="FootnoteReference"/>
          <w:rFonts w:asciiTheme="majorHAnsi" w:hAnsiTheme="majorHAnsi"/>
          <w:sz w:val="20"/>
          <w:szCs w:val="20"/>
          <w:lang w:val="es-VE"/>
        </w:rPr>
        <w:footnoteReference w:id="22"/>
      </w:r>
      <w:r>
        <w:rPr>
          <w:rFonts w:asciiTheme="majorHAnsi" w:hAnsiTheme="majorHAnsi"/>
          <w:sz w:val="20"/>
          <w:szCs w:val="20"/>
          <w:lang w:val="es-VE"/>
        </w:rPr>
        <w:t>.</w:t>
      </w:r>
      <w:r w:rsidRPr="00B56CF7">
        <w:rPr>
          <w:rFonts w:asciiTheme="majorHAnsi" w:hAnsiTheme="majorHAnsi"/>
          <w:sz w:val="20"/>
          <w:szCs w:val="20"/>
          <w:lang w:val="es-VE"/>
        </w:rPr>
        <w:t xml:space="preserve"> </w:t>
      </w:r>
    </w:p>
    <w:p w:rsidR="00CD563B" w:rsidRPr="00B56CF7" w:rsidRDefault="00CD563B" w:rsidP="00CD563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rsidR="00CD563B" w:rsidRPr="00B56CF7" w:rsidRDefault="00CD563B" w:rsidP="00CD563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Los artículos a los que se refiere el artículo 7 que se indicó en el párrafo anterior, contienen tipos penales que sancionan actividades relacionadas con drogas.</w:t>
      </w:r>
    </w:p>
    <w:p w:rsidR="00355242" w:rsidRDefault="00355242" w:rsidP="00164A6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rsidR="00E15153" w:rsidRPr="00B56CF7" w:rsidRDefault="00AD4156" w:rsidP="0062236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Durante el tiempo en que el peticionario estuvo detenido,</w:t>
      </w:r>
      <w:r w:rsidR="00E15153" w:rsidRPr="00B56CF7">
        <w:rPr>
          <w:rFonts w:asciiTheme="majorHAnsi" w:hAnsiTheme="majorHAnsi"/>
          <w:sz w:val="20"/>
          <w:szCs w:val="20"/>
          <w:lang w:val="es-VE"/>
        </w:rPr>
        <w:t xml:space="preserve"> planteó diversos recursos para</w:t>
      </w:r>
      <w:r w:rsidRPr="00B56CF7">
        <w:rPr>
          <w:rFonts w:asciiTheme="majorHAnsi" w:hAnsiTheme="majorHAnsi"/>
          <w:sz w:val="20"/>
          <w:szCs w:val="20"/>
          <w:lang w:val="es-VE"/>
        </w:rPr>
        <w:t xml:space="preserve"> obtener su excarcelac</w:t>
      </w:r>
      <w:r w:rsidR="00B13C95" w:rsidRPr="00B56CF7">
        <w:rPr>
          <w:rFonts w:asciiTheme="majorHAnsi" w:hAnsiTheme="majorHAnsi"/>
          <w:sz w:val="20"/>
          <w:szCs w:val="20"/>
          <w:lang w:val="es-VE"/>
        </w:rPr>
        <w:t xml:space="preserve">ión, sin embargo dicho beneficio le fue denegado </w:t>
      </w:r>
      <w:r w:rsidRPr="00B56CF7">
        <w:rPr>
          <w:rFonts w:asciiTheme="majorHAnsi" w:hAnsiTheme="majorHAnsi"/>
          <w:sz w:val="20"/>
          <w:szCs w:val="20"/>
          <w:lang w:val="es-VE"/>
        </w:rPr>
        <w:t xml:space="preserve">en </w:t>
      </w:r>
      <w:r w:rsidR="00B8292C" w:rsidRPr="00B56CF7">
        <w:rPr>
          <w:rFonts w:asciiTheme="majorHAnsi" w:hAnsiTheme="majorHAnsi"/>
          <w:sz w:val="20"/>
          <w:szCs w:val="20"/>
          <w:lang w:val="es-VE"/>
        </w:rPr>
        <w:t>aplicación d</w:t>
      </w:r>
      <w:r w:rsidR="005C3AF8" w:rsidRPr="00B56CF7">
        <w:rPr>
          <w:rFonts w:asciiTheme="majorHAnsi" w:hAnsiTheme="majorHAnsi"/>
          <w:sz w:val="20"/>
          <w:szCs w:val="20"/>
          <w:lang w:val="es-VE"/>
        </w:rPr>
        <w:t xml:space="preserve">el artículo 10 de la ley 24.390 </w:t>
      </w:r>
      <w:r w:rsidR="001338D3" w:rsidRPr="00B56CF7">
        <w:rPr>
          <w:rFonts w:asciiTheme="majorHAnsi" w:hAnsiTheme="majorHAnsi"/>
          <w:sz w:val="20"/>
          <w:szCs w:val="20"/>
          <w:lang w:val="es-VE"/>
        </w:rPr>
        <w:t xml:space="preserve">que establecía que no </w:t>
      </w:r>
      <w:r w:rsidR="008B2B80" w:rsidRPr="00B56CF7">
        <w:rPr>
          <w:rFonts w:asciiTheme="majorHAnsi" w:hAnsiTheme="majorHAnsi"/>
          <w:sz w:val="20"/>
          <w:szCs w:val="20"/>
          <w:lang w:val="es-VE"/>
        </w:rPr>
        <w:t xml:space="preserve">era procedente respecto de </w:t>
      </w:r>
      <w:r w:rsidR="005C3AF8" w:rsidRPr="00B56CF7">
        <w:rPr>
          <w:rFonts w:asciiTheme="majorHAnsi" w:hAnsiTheme="majorHAnsi"/>
          <w:sz w:val="20"/>
          <w:szCs w:val="20"/>
          <w:lang w:val="es-VE"/>
        </w:rPr>
        <w:t>las personas procesadas por delitos relacionados con</w:t>
      </w:r>
      <w:r w:rsidR="00AC10EC" w:rsidRPr="00B56CF7">
        <w:rPr>
          <w:rFonts w:asciiTheme="majorHAnsi" w:hAnsiTheme="majorHAnsi"/>
          <w:sz w:val="20"/>
          <w:szCs w:val="20"/>
          <w:lang w:val="es-VE"/>
        </w:rPr>
        <w:t xml:space="preserve"> narcotráfico, incluyendo la tenencia de estupefacientes,</w:t>
      </w:r>
      <w:r w:rsidR="00EC2CD7" w:rsidRPr="00B56CF7">
        <w:rPr>
          <w:rFonts w:asciiTheme="majorHAnsi" w:hAnsiTheme="majorHAnsi"/>
          <w:sz w:val="20"/>
          <w:szCs w:val="20"/>
          <w:lang w:val="es-VE"/>
        </w:rPr>
        <w:t xml:space="preserve"> uno</w:t>
      </w:r>
      <w:r w:rsidR="00AC10EC" w:rsidRPr="00B56CF7">
        <w:rPr>
          <w:rFonts w:asciiTheme="majorHAnsi" w:hAnsiTheme="majorHAnsi"/>
          <w:sz w:val="20"/>
          <w:szCs w:val="20"/>
          <w:lang w:val="es-VE"/>
        </w:rPr>
        <w:t xml:space="preserve"> de los delitos por los cuales estaba procesado el señor Jenkins</w:t>
      </w:r>
      <w:r w:rsidR="005C3AF8" w:rsidRPr="00B56CF7">
        <w:rPr>
          <w:rFonts w:asciiTheme="majorHAnsi" w:hAnsiTheme="majorHAnsi"/>
          <w:sz w:val="20"/>
          <w:szCs w:val="20"/>
          <w:lang w:val="es-VE"/>
        </w:rPr>
        <w:t xml:space="preserve">. </w:t>
      </w:r>
      <w:r w:rsidR="00E15153" w:rsidRPr="00B56CF7">
        <w:rPr>
          <w:rFonts w:asciiTheme="majorHAnsi" w:hAnsiTheme="majorHAnsi"/>
          <w:sz w:val="20"/>
          <w:szCs w:val="20"/>
          <w:lang w:val="es-VE"/>
        </w:rPr>
        <w:t xml:space="preserve">A continuación se </w:t>
      </w:r>
      <w:r w:rsidR="00FD7769" w:rsidRPr="00B56CF7">
        <w:rPr>
          <w:rFonts w:asciiTheme="majorHAnsi" w:hAnsiTheme="majorHAnsi"/>
          <w:sz w:val="20"/>
          <w:szCs w:val="20"/>
          <w:lang w:val="es-VE"/>
        </w:rPr>
        <w:t xml:space="preserve">describen </w:t>
      </w:r>
      <w:r w:rsidR="00E15153" w:rsidRPr="00B56CF7">
        <w:rPr>
          <w:rFonts w:asciiTheme="majorHAnsi" w:hAnsiTheme="majorHAnsi"/>
          <w:sz w:val="20"/>
          <w:szCs w:val="20"/>
          <w:lang w:val="es-VE"/>
        </w:rPr>
        <w:t xml:space="preserve">las principales acciones intentadas por el peticionario para lograr su excarcelación. </w:t>
      </w:r>
    </w:p>
    <w:p w:rsidR="00E931CF" w:rsidRPr="00B56CF7" w:rsidRDefault="00E931CF" w:rsidP="00E931CF">
      <w:pPr>
        <w:jc w:val="both"/>
        <w:rPr>
          <w:rFonts w:asciiTheme="majorHAnsi" w:hAnsiTheme="majorHAnsi"/>
          <w:b/>
          <w:sz w:val="20"/>
          <w:szCs w:val="20"/>
          <w:lang w:val="es-VE"/>
        </w:rPr>
      </w:pPr>
    </w:p>
    <w:p w:rsidR="00E931CF" w:rsidRPr="00C12F43" w:rsidRDefault="00E931CF" w:rsidP="00C12F43">
      <w:pPr>
        <w:pStyle w:val="Heading3"/>
        <w:numPr>
          <w:ilvl w:val="0"/>
          <w:numId w:val="73"/>
        </w:numPr>
        <w:ind w:firstLine="0"/>
        <w:rPr>
          <w:color w:val="auto"/>
          <w:sz w:val="20"/>
          <w:szCs w:val="20"/>
          <w:lang w:val="es-VE"/>
        </w:rPr>
      </w:pPr>
      <w:bookmarkStart w:id="50" w:name="_Toc469409087"/>
      <w:r w:rsidRPr="00C12F43">
        <w:rPr>
          <w:color w:val="auto"/>
          <w:sz w:val="20"/>
          <w:szCs w:val="20"/>
          <w:lang w:val="es-VE"/>
        </w:rPr>
        <w:t>Queja ante el Defensor del Pueblo de la Ciudad de Buenos Aires</w:t>
      </w:r>
      <w:bookmarkEnd w:id="50"/>
      <w:r w:rsidRPr="00C12F43">
        <w:rPr>
          <w:color w:val="auto"/>
          <w:sz w:val="20"/>
          <w:szCs w:val="20"/>
          <w:lang w:val="es-VE"/>
        </w:rPr>
        <w:t xml:space="preserve"> </w:t>
      </w:r>
    </w:p>
    <w:p w:rsidR="00E931CF" w:rsidRPr="00B56CF7" w:rsidRDefault="00E931CF" w:rsidP="00E931CF">
      <w:pPr>
        <w:jc w:val="both"/>
        <w:rPr>
          <w:rFonts w:asciiTheme="majorHAnsi" w:hAnsiTheme="majorHAnsi"/>
          <w:b/>
          <w:sz w:val="20"/>
          <w:szCs w:val="20"/>
          <w:lang w:val="es-VE"/>
        </w:rPr>
      </w:pPr>
    </w:p>
    <w:p w:rsidR="00B80B1E" w:rsidRPr="00B56CF7" w:rsidRDefault="00E931CF" w:rsidP="00E931C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Según consta en el expediente</w:t>
      </w:r>
      <w:r w:rsidR="00B80B1E" w:rsidRPr="00B56CF7">
        <w:rPr>
          <w:rFonts w:asciiTheme="majorHAnsi" w:hAnsiTheme="majorHAnsi"/>
          <w:sz w:val="20"/>
          <w:szCs w:val="20"/>
          <w:lang w:val="es-VE"/>
        </w:rPr>
        <w:t>,</w:t>
      </w:r>
      <w:r w:rsidRPr="00B56CF7">
        <w:rPr>
          <w:rFonts w:asciiTheme="majorHAnsi" w:hAnsiTheme="majorHAnsi"/>
          <w:sz w:val="20"/>
          <w:szCs w:val="20"/>
          <w:lang w:val="es-VE"/>
        </w:rPr>
        <w:t xml:space="preserve"> </w:t>
      </w:r>
      <w:r w:rsidR="00B80B1E" w:rsidRPr="00B56CF7">
        <w:rPr>
          <w:rFonts w:asciiTheme="majorHAnsi" w:hAnsiTheme="majorHAnsi"/>
          <w:sz w:val="20"/>
          <w:szCs w:val="20"/>
          <w:lang w:val="es-VE"/>
        </w:rPr>
        <w:t xml:space="preserve">Leticia </w:t>
      </w:r>
      <w:proofErr w:type="spellStart"/>
      <w:r w:rsidR="00B80B1E" w:rsidRPr="00B56CF7">
        <w:rPr>
          <w:rFonts w:asciiTheme="majorHAnsi" w:hAnsiTheme="majorHAnsi"/>
          <w:sz w:val="20"/>
          <w:szCs w:val="20"/>
          <w:lang w:val="es-VE"/>
        </w:rPr>
        <w:t>Pironelli</w:t>
      </w:r>
      <w:proofErr w:type="spellEnd"/>
      <w:r w:rsidR="00B80B1E" w:rsidRPr="00B56CF7">
        <w:rPr>
          <w:rFonts w:asciiTheme="majorHAnsi" w:hAnsiTheme="majorHAnsi"/>
          <w:sz w:val="20"/>
          <w:szCs w:val="20"/>
          <w:lang w:val="es-VE"/>
        </w:rPr>
        <w:t xml:space="preserve">, esposa del peticionario, presentó una queja ante el Defensor del Pueblo </w:t>
      </w:r>
      <w:r w:rsidRPr="00B56CF7">
        <w:rPr>
          <w:rFonts w:asciiTheme="majorHAnsi" w:hAnsiTheme="majorHAnsi"/>
          <w:sz w:val="20"/>
          <w:szCs w:val="20"/>
          <w:lang w:val="es-VE"/>
        </w:rPr>
        <w:t>de la Ciudad de Buenos Aires</w:t>
      </w:r>
      <w:r w:rsidR="00EB7027">
        <w:rPr>
          <w:rFonts w:asciiTheme="majorHAnsi" w:hAnsiTheme="majorHAnsi"/>
          <w:sz w:val="20"/>
          <w:szCs w:val="20"/>
          <w:lang w:val="es-VE"/>
        </w:rPr>
        <w:t>,</w:t>
      </w:r>
      <w:r w:rsidRPr="00B56CF7">
        <w:rPr>
          <w:rFonts w:asciiTheme="majorHAnsi" w:hAnsiTheme="majorHAnsi"/>
          <w:sz w:val="20"/>
          <w:szCs w:val="20"/>
          <w:lang w:val="es-VE"/>
        </w:rPr>
        <w:t xml:space="preserve"> por la “prolongada detención de su esposo, procesado en la causa No. 73 del registro del Tribunal Oral en lo Criminal Federal no. 6 de esta ciudad</w:t>
      </w:r>
      <w:r w:rsidR="00B80B1E" w:rsidRPr="00B56CF7">
        <w:rPr>
          <w:rFonts w:asciiTheme="majorHAnsi" w:hAnsiTheme="majorHAnsi"/>
          <w:sz w:val="20"/>
          <w:szCs w:val="20"/>
          <w:lang w:val="es-VE"/>
        </w:rPr>
        <w:t>”</w:t>
      </w:r>
      <w:r w:rsidR="00B80B1E" w:rsidRPr="00B56CF7">
        <w:rPr>
          <w:rStyle w:val="FootnoteReference"/>
          <w:rFonts w:asciiTheme="majorHAnsi" w:hAnsiTheme="majorHAnsi"/>
          <w:sz w:val="20"/>
          <w:szCs w:val="20"/>
          <w:lang w:val="es-VE"/>
        </w:rPr>
        <w:footnoteReference w:id="23"/>
      </w:r>
      <w:r w:rsidRPr="00B56CF7">
        <w:rPr>
          <w:rFonts w:asciiTheme="majorHAnsi" w:hAnsiTheme="majorHAnsi"/>
          <w:sz w:val="20"/>
          <w:szCs w:val="20"/>
          <w:lang w:val="es-VE"/>
        </w:rPr>
        <w:t xml:space="preserve">. </w:t>
      </w:r>
    </w:p>
    <w:p w:rsidR="00B80B1E" w:rsidRPr="00B56CF7" w:rsidRDefault="00B80B1E" w:rsidP="00B80B1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rsidR="00B80B1E" w:rsidRPr="00B56CF7" w:rsidRDefault="00E931CF" w:rsidP="00C7081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El 23 de junio de 1997 el Defensor del Pueblo de la Ciudad de Buenos Aires</w:t>
      </w:r>
      <w:r w:rsidR="00472C8A" w:rsidRPr="00B56CF7">
        <w:rPr>
          <w:rFonts w:asciiTheme="majorHAnsi" w:hAnsiTheme="majorHAnsi"/>
          <w:sz w:val="20"/>
          <w:szCs w:val="20"/>
          <w:lang w:val="es-VE"/>
        </w:rPr>
        <w:t xml:space="preserve"> emitió su resolución respecto de la queja </w:t>
      </w:r>
      <w:r w:rsidR="00692E60" w:rsidRPr="00B56CF7">
        <w:rPr>
          <w:rFonts w:asciiTheme="majorHAnsi" w:hAnsiTheme="majorHAnsi"/>
          <w:sz w:val="20"/>
          <w:szCs w:val="20"/>
          <w:lang w:val="es-VE"/>
        </w:rPr>
        <w:t xml:space="preserve">en la que decidió entre otras cosas </w:t>
      </w:r>
      <w:r w:rsidRPr="00B56CF7">
        <w:rPr>
          <w:rFonts w:asciiTheme="majorHAnsi" w:hAnsiTheme="majorHAnsi"/>
          <w:sz w:val="20"/>
          <w:szCs w:val="20"/>
          <w:lang w:val="es-VE"/>
        </w:rPr>
        <w:t>“exhortar al Tribunal Oral en lo Criminal Federal no. 6 de la Capital Federal a disponer la soltura, bajo la caución que se estime oportuna, de GABRIEL OSCAR JENKINS y de quienes como él no haya podido juzgar dentro de un plazo razonable, poniendo fin así a su actual privación de libertad en condiciones de hacinamiento inhumano en un establecimiento carcelario edificado inicialmente para alojar a contraventores o a personas sometidas a un proceso legal de duración razonable”</w:t>
      </w:r>
      <w:r w:rsidRPr="00B56CF7">
        <w:rPr>
          <w:rStyle w:val="FootnoteReference"/>
          <w:rFonts w:asciiTheme="majorHAnsi" w:hAnsiTheme="majorHAnsi"/>
          <w:sz w:val="20"/>
          <w:szCs w:val="20"/>
          <w:lang w:val="es-VE"/>
        </w:rPr>
        <w:footnoteReference w:id="24"/>
      </w:r>
      <w:r w:rsidRPr="00B56CF7">
        <w:rPr>
          <w:rFonts w:asciiTheme="majorHAnsi" w:hAnsiTheme="majorHAnsi"/>
          <w:sz w:val="20"/>
          <w:szCs w:val="20"/>
          <w:lang w:val="es-VE"/>
        </w:rPr>
        <w:t xml:space="preserve">. </w:t>
      </w:r>
    </w:p>
    <w:p w:rsidR="00692E60" w:rsidRPr="00B56CF7" w:rsidRDefault="00692E60" w:rsidP="00692E60">
      <w:pPr>
        <w:pStyle w:val="ListParagraph"/>
        <w:rPr>
          <w:rFonts w:asciiTheme="majorHAnsi" w:hAnsiTheme="majorHAnsi"/>
          <w:sz w:val="20"/>
          <w:szCs w:val="20"/>
          <w:lang w:val="es-VE"/>
        </w:rPr>
      </w:pPr>
    </w:p>
    <w:p w:rsidR="00692E60" w:rsidRPr="00B56CF7" w:rsidRDefault="00962B4C" w:rsidP="00C7081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En dicha resolución se indicó</w:t>
      </w:r>
      <w:r w:rsidR="00692E60" w:rsidRPr="00B56CF7">
        <w:rPr>
          <w:rFonts w:asciiTheme="majorHAnsi" w:hAnsiTheme="majorHAnsi"/>
          <w:sz w:val="20"/>
          <w:szCs w:val="20"/>
          <w:lang w:val="es-VE"/>
        </w:rPr>
        <w:t xml:space="preserve"> que se realizó una inspección en la cárce</w:t>
      </w:r>
      <w:r w:rsidR="00111D6D" w:rsidRPr="00B56CF7">
        <w:rPr>
          <w:rFonts w:asciiTheme="majorHAnsi" w:hAnsiTheme="majorHAnsi"/>
          <w:sz w:val="20"/>
          <w:szCs w:val="20"/>
          <w:lang w:val="es-VE"/>
        </w:rPr>
        <w:t>l</w:t>
      </w:r>
      <w:r w:rsidR="00692E60" w:rsidRPr="00B56CF7">
        <w:rPr>
          <w:rFonts w:asciiTheme="majorHAnsi" w:hAnsiTheme="majorHAnsi"/>
          <w:sz w:val="20"/>
          <w:szCs w:val="20"/>
          <w:lang w:val="es-VE"/>
        </w:rPr>
        <w:t xml:space="preserve"> de Devoto, donde se encontraba detenido Gabriel Jenkins y se verific</w:t>
      </w:r>
      <w:r w:rsidR="00630F51" w:rsidRPr="00B56CF7">
        <w:rPr>
          <w:rFonts w:asciiTheme="majorHAnsi" w:hAnsiTheme="majorHAnsi"/>
          <w:sz w:val="20"/>
          <w:szCs w:val="20"/>
          <w:lang w:val="es-VE"/>
        </w:rPr>
        <w:t>aron</w:t>
      </w:r>
      <w:r w:rsidR="00692E60" w:rsidRPr="00B56CF7">
        <w:rPr>
          <w:rFonts w:asciiTheme="majorHAnsi" w:hAnsiTheme="majorHAnsi"/>
          <w:sz w:val="20"/>
          <w:szCs w:val="20"/>
          <w:lang w:val="es-VE"/>
        </w:rPr>
        <w:t xml:space="preserve"> “sus pésimas condiciones de infraestructura y el hacinamiento al que son sometidas las personas en él alojadas”</w:t>
      </w:r>
      <w:r w:rsidR="00111D6D" w:rsidRPr="00B56CF7">
        <w:rPr>
          <w:rStyle w:val="FootnoteReference"/>
          <w:rFonts w:asciiTheme="majorHAnsi" w:hAnsiTheme="majorHAnsi"/>
          <w:sz w:val="20"/>
          <w:szCs w:val="20"/>
          <w:lang w:val="es-VE"/>
        </w:rPr>
        <w:t xml:space="preserve"> </w:t>
      </w:r>
      <w:r w:rsidR="00111D6D" w:rsidRPr="00B56CF7">
        <w:rPr>
          <w:rStyle w:val="FootnoteReference"/>
          <w:rFonts w:asciiTheme="majorHAnsi" w:hAnsiTheme="majorHAnsi"/>
          <w:sz w:val="20"/>
          <w:szCs w:val="20"/>
          <w:lang w:val="es-VE"/>
        </w:rPr>
        <w:footnoteReference w:id="25"/>
      </w:r>
      <w:r w:rsidR="00111D6D" w:rsidRPr="00B56CF7">
        <w:rPr>
          <w:rFonts w:asciiTheme="majorHAnsi" w:hAnsiTheme="majorHAnsi"/>
          <w:sz w:val="20"/>
          <w:szCs w:val="20"/>
          <w:lang w:val="es-VE"/>
        </w:rPr>
        <w:t>.</w:t>
      </w:r>
      <w:r w:rsidRPr="00B56CF7">
        <w:rPr>
          <w:rFonts w:asciiTheme="majorHAnsi" w:hAnsiTheme="majorHAnsi"/>
          <w:sz w:val="20"/>
          <w:szCs w:val="20"/>
          <w:lang w:val="es-VE"/>
        </w:rPr>
        <w:t xml:space="preserve"> </w:t>
      </w:r>
      <w:r w:rsidR="00111D6D" w:rsidRPr="00B56CF7">
        <w:rPr>
          <w:rFonts w:asciiTheme="majorHAnsi" w:hAnsiTheme="majorHAnsi"/>
          <w:sz w:val="20"/>
          <w:szCs w:val="20"/>
          <w:lang w:val="es-VE"/>
        </w:rPr>
        <w:t xml:space="preserve">En la resolución se concluyó que en el caso bajo estudio no se han respetado las normas procesales y </w:t>
      </w:r>
      <w:r w:rsidR="00630F51" w:rsidRPr="00B56CF7">
        <w:rPr>
          <w:rFonts w:asciiTheme="majorHAnsi" w:hAnsiTheme="majorHAnsi"/>
          <w:sz w:val="20"/>
          <w:szCs w:val="20"/>
          <w:lang w:val="es-VE"/>
        </w:rPr>
        <w:t xml:space="preserve">que el señor </w:t>
      </w:r>
      <w:r w:rsidR="00111D6D" w:rsidRPr="00B56CF7">
        <w:rPr>
          <w:rFonts w:asciiTheme="majorHAnsi" w:hAnsiTheme="majorHAnsi"/>
          <w:sz w:val="20"/>
          <w:szCs w:val="20"/>
          <w:lang w:val="es-VE"/>
        </w:rPr>
        <w:t xml:space="preserve"> Jenkins debió haber sido liberado en cumplimiento de la Convención Americana y las normas procesales argentinas</w:t>
      </w:r>
      <w:r w:rsidR="00111D6D" w:rsidRPr="00B56CF7">
        <w:rPr>
          <w:rStyle w:val="FootnoteReference"/>
          <w:rFonts w:asciiTheme="majorHAnsi" w:hAnsiTheme="majorHAnsi"/>
          <w:sz w:val="20"/>
          <w:szCs w:val="20"/>
          <w:lang w:val="es-VE"/>
        </w:rPr>
        <w:footnoteReference w:id="26"/>
      </w:r>
      <w:r w:rsidR="00111D6D" w:rsidRPr="00B56CF7">
        <w:rPr>
          <w:rFonts w:asciiTheme="majorHAnsi" w:hAnsiTheme="majorHAnsi"/>
          <w:sz w:val="20"/>
          <w:szCs w:val="20"/>
          <w:lang w:val="es-VE"/>
        </w:rPr>
        <w:t xml:space="preserve">. </w:t>
      </w:r>
    </w:p>
    <w:p w:rsidR="00692E60" w:rsidRPr="00B56CF7" w:rsidRDefault="00692E60" w:rsidP="00692E60">
      <w:pPr>
        <w:pStyle w:val="ListParagraph"/>
        <w:rPr>
          <w:rFonts w:asciiTheme="majorHAnsi" w:hAnsiTheme="majorHAnsi"/>
          <w:sz w:val="20"/>
          <w:szCs w:val="20"/>
          <w:lang w:val="es-VE"/>
        </w:rPr>
      </w:pPr>
    </w:p>
    <w:p w:rsidR="00280702" w:rsidRPr="00B56CF7" w:rsidRDefault="00692E60" w:rsidP="0028070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Durante el trámite de la queja</w:t>
      </w:r>
      <w:r w:rsidR="006A34DF" w:rsidRPr="00B56CF7">
        <w:rPr>
          <w:rFonts w:asciiTheme="majorHAnsi" w:hAnsiTheme="majorHAnsi"/>
          <w:sz w:val="20"/>
          <w:szCs w:val="20"/>
          <w:lang w:val="es-VE"/>
        </w:rPr>
        <w:t>,</w:t>
      </w:r>
      <w:r w:rsidRPr="00B56CF7">
        <w:rPr>
          <w:rFonts w:asciiTheme="majorHAnsi" w:hAnsiTheme="majorHAnsi"/>
          <w:sz w:val="20"/>
          <w:szCs w:val="20"/>
          <w:lang w:val="es-VE"/>
        </w:rPr>
        <w:t xml:space="preserve"> </w:t>
      </w:r>
      <w:r w:rsidR="00111D6D" w:rsidRPr="00B56CF7">
        <w:rPr>
          <w:rFonts w:asciiTheme="majorHAnsi" w:hAnsiTheme="majorHAnsi"/>
          <w:sz w:val="20"/>
          <w:szCs w:val="20"/>
          <w:lang w:val="es-VE"/>
        </w:rPr>
        <w:t xml:space="preserve">el </w:t>
      </w:r>
      <w:r w:rsidR="00425F29" w:rsidRPr="00B56CF7">
        <w:rPr>
          <w:rFonts w:asciiTheme="majorHAnsi" w:hAnsiTheme="majorHAnsi"/>
          <w:sz w:val="20"/>
          <w:szCs w:val="20"/>
          <w:lang w:val="es-VE"/>
        </w:rPr>
        <w:t xml:space="preserve">Defensor del Pueblo solicitó información al </w:t>
      </w:r>
      <w:r w:rsidR="00111D6D" w:rsidRPr="00B56CF7">
        <w:rPr>
          <w:rFonts w:asciiTheme="majorHAnsi" w:hAnsiTheme="majorHAnsi"/>
          <w:sz w:val="20"/>
          <w:szCs w:val="20"/>
          <w:lang w:val="es-VE"/>
        </w:rPr>
        <w:t>Tribunal a cargo del proceso en contra de la presunta víctima</w:t>
      </w:r>
      <w:r w:rsidR="00425F29" w:rsidRPr="00B56CF7">
        <w:rPr>
          <w:rFonts w:asciiTheme="majorHAnsi" w:hAnsiTheme="majorHAnsi"/>
          <w:sz w:val="20"/>
          <w:szCs w:val="20"/>
          <w:lang w:val="es-VE"/>
        </w:rPr>
        <w:t>. Dicho Tribunal</w:t>
      </w:r>
      <w:r w:rsidR="00111D6D" w:rsidRPr="00B56CF7">
        <w:rPr>
          <w:rFonts w:asciiTheme="majorHAnsi" w:hAnsiTheme="majorHAnsi"/>
          <w:sz w:val="20"/>
          <w:szCs w:val="20"/>
          <w:lang w:val="es-VE"/>
        </w:rPr>
        <w:t xml:space="preserve"> omitió pronunciarse respecto de los méritos de la </w:t>
      </w:r>
      <w:r w:rsidR="00360076" w:rsidRPr="00B56CF7">
        <w:rPr>
          <w:rFonts w:asciiTheme="majorHAnsi" w:hAnsiTheme="majorHAnsi"/>
          <w:sz w:val="20"/>
          <w:szCs w:val="20"/>
          <w:lang w:val="es-VE"/>
        </w:rPr>
        <w:t>solicitud</w:t>
      </w:r>
      <w:r w:rsidR="00425F29" w:rsidRPr="00B56CF7">
        <w:rPr>
          <w:rFonts w:asciiTheme="majorHAnsi" w:hAnsiTheme="majorHAnsi"/>
          <w:sz w:val="20"/>
          <w:szCs w:val="20"/>
          <w:lang w:val="es-VE"/>
        </w:rPr>
        <w:t>, limitándose a señalar la falta de competencia del Defensor del Pueblo para requerir</w:t>
      </w:r>
      <w:r w:rsidR="00E531A1" w:rsidRPr="00B56CF7">
        <w:rPr>
          <w:rFonts w:asciiTheme="majorHAnsi" w:hAnsiTheme="majorHAnsi"/>
          <w:sz w:val="20"/>
          <w:szCs w:val="20"/>
          <w:lang w:val="es-VE"/>
        </w:rPr>
        <w:t xml:space="preserve"> tal</w:t>
      </w:r>
      <w:r w:rsidR="00425F29" w:rsidRPr="00B56CF7">
        <w:rPr>
          <w:rFonts w:asciiTheme="majorHAnsi" w:hAnsiTheme="majorHAnsi"/>
          <w:sz w:val="20"/>
          <w:szCs w:val="20"/>
          <w:lang w:val="es-VE"/>
        </w:rPr>
        <w:t xml:space="preserve"> información</w:t>
      </w:r>
      <w:r w:rsidR="00425F29" w:rsidRPr="00B56CF7">
        <w:rPr>
          <w:rStyle w:val="FootnoteReference"/>
          <w:rFonts w:asciiTheme="majorHAnsi" w:hAnsiTheme="majorHAnsi"/>
          <w:sz w:val="20"/>
          <w:szCs w:val="20"/>
          <w:lang w:val="es-VE"/>
        </w:rPr>
        <w:footnoteReference w:id="27"/>
      </w:r>
      <w:r w:rsidR="00425F29" w:rsidRPr="00B56CF7">
        <w:rPr>
          <w:rFonts w:asciiTheme="majorHAnsi" w:hAnsiTheme="majorHAnsi"/>
          <w:sz w:val="20"/>
          <w:szCs w:val="20"/>
          <w:lang w:val="es-VE"/>
        </w:rPr>
        <w:t>.</w:t>
      </w:r>
    </w:p>
    <w:p w:rsidR="00280702" w:rsidRPr="00B56CF7" w:rsidRDefault="00280702" w:rsidP="0028070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rsidR="006860C3" w:rsidRPr="00C12F43" w:rsidRDefault="006860C3" w:rsidP="00C12F43">
      <w:pPr>
        <w:pStyle w:val="Heading3"/>
        <w:numPr>
          <w:ilvl w:val="0"/>
          <w:numId w:val="73"/>
        </w:numPr>
        <w:ind w:firstLine="0"/>
        <w:rPr>
          <w:color w:val="auto"/>
          <w:sz w:val="20"/>
          <w:szCs w:val="20"/>
          <w:lang w:val="es-VE"/>
        </w:rPr>
      </w:pPr>
      <w:bookmarkStart w:id="51" w:name="_Toc469409088"/>
      <w:r w:rsidRPr="00C12F43">
        <w:rPr>
          <w:color w:val="auto"/>
          <w:sz w:val="20"/>
          <w:szCs w:val="20"/>
          <w:lang w:val="es-VE"/>
        </w:rPr>
        <w:t xml:space="preserve">Acción de </w:t>
      </w:r>
      <w:r w:rsidR="00716E77" w:rsidRPr="00C12F43">
        <w:rPr>
          <w:color w:val="auto"/>
          <w:sz w:val="20"/>
          <w:szCs w:val="20"/>
          <w:lang w:val="es-VE"/>
        </w:rPr>
        <w:t>i</w:t>
      </w:r>
      <w:r w:rsidRPr="00C12F43">
        <w:rPr>
          <w:color w:val="auto"/>
          <w:sz w:val="20"/>
          <w:szCs w:val="20"/>
          <w:lang w:val="es-VE"/>
        </w:rPr>
        <w:t>nconstitucionalidad</w:t>
      </w:r>
      <w:r w:rsidR="00D868E2" w:rsidRPr="00C12F43">
        <w:rPr>
          <w:color w:val="auto"/>
          <w:sz w:val="20"/>
          <w:szCs w:val="20"/>
          <w:lang w:val="es-VE"/>
        </w:rPr>
        <w:t xml:space="preserve"> y solicitud de excarcelación</w:t>
      </w:r>
      <w:bookmarkEnd w:id="51"/>
      <w:r w:rsidR="00D868E2" w:rsidRPr="00C12F43">
        <w:rPr>
          <w:color w:val="auto"/>
          <w:sz w:val="20"/>
          <w:szCs w:val="20"/>
          <w:lang w:val="es-VE"/>
        </w:rPr>
        <w:t xml:space="preserve"> </w:t>
      </w:r>
    </w:p>
    <w:p w:rsidR="006860C3" w:rsidRPr="00B56CF7" w:rsidRDefault="006860C3" w:rsidP="006860C3">
      <w:pPr>
        <w:ind w:left="720"/>
        <w:jc w:val="both"/>
        <w:rPr>
          <w:rFonts w:asciiTheme="majorHAnsi" w:hAnsiTheme="majorHAnsi"/>
          <w:b/>
          <w:sz w:val="20"/>
          <w:szCs w:val="20"/>
          <w:lang w:val="es-VE"/>
        </w:rPr>
      </w:pPr>
    </w:p>
    <w:p w:rsidR="006A17CB" w:rsidRPr="00B56CF7" w:rsidRDefault="00675923" w:rsidP="0024495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lastRenderedPageBreak/>
        <w:t xml:space="preserve">La presunta víctima también intentó </w:t>
      </w:r>
      <w:r w:rsidR="006820CE" w:rsidRPr="00B56CF7">
        <w:rPr>
          <w:rFonts w:asciiTheme="majorHAnsi" w:hAnsiTheme="majorHAnsi"/>
          <w:sz w:val="20"/>
          <w:szCs w:val="20"/>
          <w:lang w:val="es-VE"/>
        </w:rPr>
        <w:t xml:space="preserve">obtener su </w:t>
      </w:r>
      <w:r w:rsidR="00B4264B" w:rsidRPr="00B56CF7">
        <w:rPr>
          <w:rFonts w:asciiTheme="majorHAnsi" w:hAnsiTheme="majorHAnsi"/>
          <w:sz w:val="20"/>
          <w:szCs w:val="20"/>
          <w:lang w:val="es-VE"/>
        </w:rPr>
        <w:t>libertad</w:t>
      </w:r>
      <w:r w:rsidR="006820CE" w:rsidRPr="00B56CF7">
        <w:rPr>
          <w:rFonts w:asciiTheme="majorHAnsi" w:hAnsiTheme="majorHAnsi"/>
          <w:sz w:val="20"/>
          <w:szCs w:val="20"/>
          <w:lang w:val="es-VE"/>
        </w:rPr>
        <w:t xml:space="preserve"> por medio de una acción</w:t>
      </w:r>
      <w:r w:rsidR="002E17BB" w:rsidRPr="00B56CF7">
        <w:rPr>
          <w:rFonts w:asciiTheme="majorHAnsi" w:hAnsiTheme="majorHAnsi"/>
          <w:sz w:val="20"/>
          <w:szCs w:val="20"/>
          <w:lang w:val="es-VE"/>
        </w:rPr>
        <w:t xml:space="preserve"> conjunta de inconstitucionalidad y </w:t>
      </w:r>
      <w:r w:rsidR="006820CE" w:rsidRPr="00B56CF7">
        <w:rPr>
          <w:rFonts w:asciiTheme="majorHAnsi" w:hAnsiTheme="majorHAnsi"/>
          <w:sz w:val="20"/>
          <w:szCs w:val="20"/>
          <w:lang w:val="es-VE"/>
        </w:rPr>
        <w:t xml:space="preserve">solicitud de </w:t>
      </w:r>
      <w:r w:rsidR="00B4264B" w:rsidRPr="00B56CF7">
        <w:rPr>
          <w:rFonts w:asciiTheme="majorHAnsi" w:hAnsiTheme="majorHAnsi"/>
          <w:sz w:val="20"/>
          <w:szCs w:val="20"/>
          <w:lang w:val="es-VE"/>
        </w:rPr>
        <w:t>“</w:t>
      </w:r>
      <w:r w:rsidR="006A17CB" w:rsidRPr="00B56CF7">
        <w:rPr>
          <w:rFonts w:asciiTheme="majorHAnsi" w:hAnsiTheme="majorHAnsi"/>
          <w:sz w:val="20"/>
          <w:szCs w:val="20"/>
          <w:lang w:val="es-VE"/>
        </w:rPr>
        <w:t>excarcelación</w:t>
      </w:r>
      <w:r w:rsidR="00B4264B" w:rsidRPr="00B56CF7">
        <w:rPr>
          <w:rFonts w:asciiTheme="majorHAnsi" w:hAnsiTheme="majorHAnsi"/>
          <w:sz w:val="20"/>
          <w:szCs w:val="20"/>
          <w:lang w:val="es-VE"/>
        </w:rPr>
        <w:t>”</w:t>
      </w:r>
      <w:r w:rsidR="006A17CB" w:rsidRPr="00B56CF7">
        <w:rPr>
          <w:rFonts w:asciiTheme="majorHAnsi" w:hAnsiTheme="majorHAnsi"/>
          <w:sz w:val="20"/>
          <w:szCs w:val="20"/>
          <w:lang w:val="es-VE"/>
        </w:rPr>
        <w:t xml:space="preserve"> ante el Tribunal </w:t>
      </w:r>
      <w:r w:rsidR="00C93D7B" w:rsidRPr="00B56CF7">
        <w:rPr>
          <w:rFonts w:asciiTheme="majorHAnsi" w:hAnsiTheme="majorHAnsi"/>
          <w:sz w:val="20"/>
          <w:szCs w:val="20"/>
          <w:lang w:val="es-VE"/>
        </w:rPr>
        <w:t>Oral Federal No</w:t>
      </w:r>
      <w:r w:rsidR="00F01F5F" w:rsidRPr="00B56CF7">
        <w:rPr>
          <w:rFonts w:asciiTheme="majorHAnsi" w:hAnsiTheme="majorHAnsi"/>
          <w:sz w:val="20"/>
          <w:szCs w:val="20"/>
          <w:lang w:val="es-VE"/>
        </w:rPr>
        <w:t>.</w:t>
      </w:r>
      <w:r w:rsidR="00C93D7B" w:rsidRPr="00B56CF7">
        <w:rPr>
          <w:rFonts w:asciiTheme="majorHAnsi" w:hAnsiTheme="majorHAnsi"/>
          <w:sz w:val="20"/>
          <w:szCs w:val="20"/>
          <w:lang w:val="es-VE"/>
        </w:rPr>
        <w:t xml:space="preserve"> 6.</w:t>
      </w:r>
    </w:p>
    <w:p w:rsidR="0024495A" w:rsidRPr="00B56CF7" w:rsidRDefault="0024495A" w:rsidP="0024495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rsidR="00E931CF" w:rsidRPr="00B56CF7" w:rsidRDefault="008934E9" w:rsidP="00F9392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 xml:space="preserve">En la </w:t>
      </w:r>
      <w:r w:rsidR="00152A76" w:rsidRPr="00B56CF7">
        <w:rPr>
          <w:rFonts w:asciiTheme="majorHAnsi" w:hAnsiTheme="majorHAnsi"/>
          <w:sz w:val="20"/>
          <w:szCs w:val="20"/>
          <w:lang w:val="es-VE"/>
        </w:rPr>
        <w:t>acción de inco</w:t>
      </w:r>
      <w:r w:rsidR="00F9392B" w:rsidRPr="00B56CF7">
        <w:rPr>
          <w:rFonts w:asciiTheme="majorHAnsi" w:hAnsiTheme="majorHAnsi"/>
          <w:sz w:val="20"/>
          <w:szCs w:val="20"/>
          <w:lang w:val="es-VE"/>
        </w:rPr>
        <w:t>nstitucionalidad el peticionario planteó que la</w:t>
      </w:r>
      <w:r w:rsidR="00895472" w:rsidRPr="00B56CF7">
        <w:rPr>
          <w:rFonts w:asciiTheme="majorHAnsi" w:hAnsiTheme="majorHAnsi"/>
          <w:sz w:val="20"/>
          <w:szCs w:val="20"/>
          <w:lang w:val="es-VE"/>
        </w:rPr>
        <w:t xml:space="preserve"> prohibición de excarcelación que contempla el artículo 10 de la ley 24.390 no es razonable </w:t>
      </w:r>
      <w:r w:rsidR="00F9392B" w:rsidRPr="00B56CF7">
        <w:rPr>
          <w:rFonts w:asciiTheme="majorHAnsi" w:hAnsiTheme="majorHAnsi"/>
          <w:sz w:val="20"/>
          <w:szCs w:val="20"/>
          <w:lang w:val="es-VE"/>
        </w:rPr>
        <w:t>porque no protege bienes jurídicos esenciales e indicó que inclusive aquellos delitos cuyo bien jurídico protegido es la vida</w:t>
      </w:r>
      <w:r w:rsidR="00D471E9" w:rsidRPr="00B56CF7">
        <w:rPr>
          <w:rFonts w:asciiTheme="majorHAnsi" w:hAnsiTheme="majorHAnsi"/>
          <w:sz w:val="20"/>
          <w:szCs w:val="20"/>
          <w:lang w:val="es-VE"/>
        </w:rPr>
        <w:t>, como el homicidio calificado, admiten excarcelación</w:t>
      </w:r>
      <w:r w:rsidR="00F9392B" w:rsidRPr="00B56CF7">
        <w:rPr>
          <w:rFonts w:asciiTheme="majorHAnsi" w:hAnsiTheme="majorHAnsi"/>
          <w:sz w:val="20"/>
          <w:szCs w:val="20"/>
          <w:lang w:val="es-VE"/>
        </w:rPr>
        <w:t xml:space="preserve">. Agregó que ello es contrario al </w:t>
      </w:r>
      <w:r w:rsidRPr="00B56CF7">
        <w:rPr>
          <w:rFonts w:asciiTheme="majorHAnsi" w:hAnsiTheme="majorHAnsi"/>
          <w:sz w:val="20"/>
          <w:szCs w:val="20"/>
          <w:lang w:val="es-VE"/>
        </w:rPr>
        <w:t>artículo 16</w:t>
      </w:r>
      <w:r w:rsidR="00287BD8" w:rsidRPr="00B56CF7">
        <w:rPr>
          <w:rFonts w:asciiTheme="majorHAnsi" w:hAnsiTheme="majorHAnsi"/>
          <w:sz w:val="20"/>
          <w:szCs w:val="20"/>
          <w:lang w:val="es-VE"/>
        </w:rPr>
        <w:t xml:space="preserve"> de la Constitución Nacional que prescribe la igualdad ante la ley</w:t>
      </w:r>
      <w:r w:rsidR="00721568" w:rsidRPr="00B56CF7">
        <w:rPr>
          <w:rFonts w:asciiTheme="majorHAnsi" w:hAnsiTheme="majorHAnsi"/>
          <w:sz w:val="20"/>
          <w:szCs w:val="20"/>
          <w:lang w:val="es-VE"/>
        </w:rPr>
        <w:t>,</w:t>
      </w:r>
      <w:r w:rsidR="00287BD8" w:rsidRPr="00B56CF7">
        <w:rPr>
          <w:rFonts w:asciiTheme="majorHAnsi" w:hAnsiTheme="majorHAnsi"/>
          <w:sz w:val="20"/>
          <w:szCs w:val="20"/>
          <w:lang w:val="es-VE"/>
        </w:rPr>
        <w:t xml:space="preserve"> ya que hace </w:t>
      </w:r>
      <w:r w:rsidR="007C0B70" w:rsidRPr="00B56CF7">
        <w:rPr>
          <w:rFonts w:asciiTheme="majorHAnsi" w:hAnsiTheme="majorHAnsi"/>
          <w:sz w:val="20"/>
          <w:szCs w:val="20"/>
          <w:lang w:val="es-VE"/>
        </w:rPr>
        <w:t>una excepción arbitraria y crea “</w:t>
      </w:r>
      <w:r w:rsidR="002E17BB" w:rsidRPr="00B56CF7">
        <w:rPr>
          <w:rFonts w:asciiTheme="majorHAnsi" w:hAnsiTheme="majorHAnsi"/>
          <w:sz w:val="20"/>
          <w:szCs w:val="20"/>
          <w:lang w:val="es-VE"/>
        </w:rPr>
        <w:t xml:space="preserve">desigualdades </w:t>
      </w:r>
      <w:r w:rsidR="006860C3" w:rsidRPr="00B56CF7">
        <w:rPr>
          <w:rFonts w:asciiTheme="majorHAnsi" w:hAnsiTheme="majorHAnsi"/>
          <w:sz w:val="20"/>
          <w:szCs w:val="20"/>
          <w:lang w:val="es-VE"/>
        </w:rPr>
        <w:t>en el tratamiento de situaciones procesales idénticas”</w:t>
      </w:r>
      <w:r w:rsidR="006860C3" w:rsidRPr="00B56CF7">
        <w:rPr>
          <w:rStyle w:val="FootnoteReference"/>
          <w:rFonts w:asciiTheme="majorHAnsi" w:hAnsiTheme="majorHAnsi"/>
          <w:sz w:val="20"/>
          <w:szCs w:val="20"/>
          <w:lang w:val="es-VE"/>
        </w:rPr>
        <w:footnoteReference w:id="28"/>
      </w:r>
      <w:r w:rsidR="006860C3" w:rsidRPr="00B56CF7">
        <w:rPr>
          <w:rFonts w:asciiTheme="majorHAnsi" w:hAnsiTheme="majorHAnsi"/>
          <w:sz w:val="20"/>
          <w:szCs w:val="20"/>
          <w:lang w:val="es-VE"/>
        </w:rPr>
        <w:t xml:space="preserve">. </w:t>
      </w:r>
    </w:p>
    <w:p w:rsidR="00E931CF" w:rsidRPr="00B56CF7" w:rsidRDefault="00E931CF" w:rsidP="00E931C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rsidR="00E24A7E" w:rsidRPr="00B56CF7" w:rsidRDefault="006860C3" w:rsidP="0062236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 xml:space="preserve"> El 2 de octubre de 1996 el Tribunal Oral</w:t>
      </w:r>
      <w:r w:rsidR="00C805CF" w:rsidRPr="00B56CF7">
        <w:rPr>
          <w:rFonts w:asciiTheme="majorHAnsi" w:hAnsiTheme="majorHAnsi"/>
          <w:sz w:val="20"/>
          <w:szCs w:val="20"/>
          <w:lang w:val="es-VE"/>
        </w:rPr>
        <w:t xml:space="preserve"> Federal</w:t>
      </w:r>
      <w:r w:rsidRPr="00B56CF7">
        <w:rPr>
          <w:rFonts w:asciiTheme="majorHAnsi" w:hAnsiTheme="majorHAnsi"/>
          <w:sz w:val="20"/>
          <w:szCs w:val="20"/>
          <w:lang w:val="es-VE"/>
        </w:rPr>
        <w:t xml:space="preserve"> No. 6 resolvió declarar sin lugar el pedido de inconstitucionalidad del artículo 10 de la ley 24.390 y la solicitud de excarcelación de Gabriel Jenkins</w:t>
      </w:r>
      <w:r w:rsidRPr="00B56CF7">
        <w:rPr>
          <w:rFonts w:asciiTheme="majorHAnsi" w:hAnsiTheme="majorHAnsi"/>
          <w:sz w:val="20"/>
          <w:szCs w:val="20"/>
          <w:vertAlign w:val="superscript"/>
        </w:rPr>
        <w:footnoteReference w:id="29"/>
      </w:r>
      <w:r w:rsidR="00FE554C" w:rsidRPr="00B56CF7">
        <w:rPr>
          <w:rFonts w:asciiTheme="majorHAnsi" w:hAnsiTheme="majorHAnsi"/>
          <w:sz w:val="20"/>
          <w:szCs w:val="20"/>
          <w:lang w:val="es-VE"/>
        </w:rPr>
        <w:t xml:space="preserve">. </w:t>
      </w:r>
    </w:p>
    <w:p w:rsidR="00E24A7E" w:rsidRPr="00B56CF7" w:rsidRDefault="00E24A7E" w:rsidP="0062236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Theme="majorHAnsi" w:hAnsiTheme="majorHAnsi"/>
          <w:sz w:val="20"/>
          <w:szCs w:val="20"/>
          <w:lang w:val="es-VE"/>
        </w:rPr>
      </w:pPr>
    </w:p>
    <w:p w:rsidR="00E24A7E" w:rsidRDefault="006860C3" w:rsidP="00E24A7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Al respecto</w:t>
      </w:r>
      <w:r w:rsidR="003848FF" w:rsidRPr="00B56CF7">
        <w:rPr>
          <w:rFonts w:asciiTheme="majorHAnsi" w:hAnsiTheme="majorHAnsi"/>
          <w:sz w:val="20"/>
          <w:szCs w:val="20"/>
          <w:lang w:val="es-VE"/>
        </w:rPr>
        <w:t>,</w:t>
      </w:r>
      <w:r w:rsidRPr="00B56CF7">
        <w:rPr>
          <w:rFonts w:asciiTheme="majorHAnsi" w:hAnsiTheme="majorHAnsi"/>
          <w:sz w:val="20"/>
          <w:szCs w:val="20"/>
          <w:lang w:val="es-VE"/>
        </w:rPr>
        <w:t xml:space="preserve"> consideró que las cuesti</w:t>
      </w:r>
      <w:r w:rsidR="00D73420" w:rsidRPr="00B56CF7">
        <w:rPr>
          <w:rFonts w:asciiTheme="majorHAnsi" w:hAnsiTheme="majorHAnsi"/>
          <w:sz w:val="20"/>
          <w:szCs w:val="20"/>
          <w:lang w:val="es-VE"/>
        </w:rPr>
        <w:t>ones planteadas por la defensa fueron ya planteadas</w:t>
      </w:r>
      <w:r w:rsidR="002E17BB" w:rsidRPr="00B56CF7">
        <w:rPr>
          <w:rFonts w:asciiTheme="majorHAnsi" w:hAnsiTheme="majorHAnsi"/>
          <w:sz w:val="20"/>
          <w:szCs w:val="20"/>
          <w:lang w:val="es-VE"/>
        </w:rPr>
        <w:t xml:space="preserve"> y resueltas por </w:t>
      </w:r>
      <w:r w:rsidR="00D73420" w:rsidRPr="00B56CF7">
        <w:rPr>
          <w:rFonts w:asciiTheme="majorHAnsi" w:hAnsiTheme="majorHAnsi"/>
          <w:sz w:val="20"/>
          <w:szCs w:val="20"/>
          <w:lang w:val="es-VE"/>
        </w:rPr>
        <w:t xml:space="preserve">el Tribunal </w:t>
      </w:r>
      <w:r w:rsidR="002E17BB" w:rsidRPr="00B56CF7">
        <w:rPr>
          <w:rFonts w:asciiTheme="majorHAnsi" w:hAnsiTheme="majorHAnsi"/>
          <w:sz w:val="20"/>
          <w:szCs w:val="20"/>
          <w:lang w:val="es-VE"/>
        </w:rPr>
        <w:t>en el caso</w:t>
      </w:r>
      <w:r w:rsidRPr="00B56CF7">
        <w:rPr>
          <w:rFonts w:asciiTheme="majorHAnsi" w:hAnsiTheme="majorHAnsi"/>
          <w:sz w:val="20"/>
          <w:szCs w:val="20"/>
          <w:lang w:val="es-VE"/>
        </w:rPr>
        <w:t xml:space="preserve"> “</w:t>
      </w:r>
      <w:proofErr w:type="spellStart"/>
      <w:r w:rsidRPr="00B56CF7">
        <w:rPr>
          <w:rFonts w:asciiTheme="majorHAnsi" w:hAnsiTheme="majorHAnsi"/>
          <w:sz w:val="20"/>
          <w:szCs w:val="20"/>
          <w:lang w:val="es-VE"/>
        </w:rPr>
        <w:t>Nuñez</w:t>
      </w:r>
      <w:proofErr w:type="spellEnd"/>
      <w:r w:rsidRPr="00B56CF7">
        <w:rPr>
          <w:rFonts w:asciiTheme="majorHAnsi" w:hAnsiTheme="majorHAnsi"/>
          <w:sz w:val="20"/>
          <w:szCs w:val="20"/>
          <w:lang w:val="es-VE"/>
        </w:rPr>
        <w:t>” por lo que correspond</w:t>
      </w:r>
      <w:r w:rsidR="003848FF" w:rsidRPr="00B56CF7">
        <w:rPr>
          <w:rFonts w:asciiTheme="majorHAnsi" w:hAnsiTheme="majorHAnsi"/>
          <w:sz w:val="20"/>
          <w:szCs w:val="20"/>
          <w:lang w:val="es-VE"/>
        </w:rPr>
        <w:t>ía</w:t>
      </w:r>
      <w:r w:rsidRPr="00B56CF7">
        <w:rPr>
          <w:rFonts w:asciiTheme="majorHAnsi" w:hAnsiTheme="majorHAnsi"/>
          <w:sz w:val="20"/>
          <w:szCs w:val="20"/>
          <w:lang w:val="es-VE"/>
        </w:rPr>
        <w:t xml:space="preserve"> reiterar los fundamentos denegato</w:t>
      </w:r>
      <w:r w:rsidR="00D73420" w:rsidRPr="00B56CF7">
        <w:rPr>
          <w:rFonts w:asciiTheme="majorHAnsi" w:hAnsiTheme="majorHAnsi"/>
          <w:sz w:val="20"/>
          <w:szCs w:val="20"/>
          <w:lang w:val="es-VE"/>
        </w:rPr>
        <w:t xml:space="preserve">rios del beneficio solicitado. </w:t>
      </w:r>
      <w:r w:rsidR="003848FF" w:rsidRPr="00B56CF7">
        <w:rPr>
          <w:rFonts w:asciiTheme="majorHAnsi" w:hAnsiTheme="majorHAnsi"/>
          <w:sz w:val="20"/>
          <w:szCs w:val="20"/>
          <w:lang w:val="es-VE"/>
        </w:rPr>
        <w:t xml:space="preserve">Citando dicho precedente, el mismo Tribunal indicó que </w:t>
      </w:r>
      <w:r w:rsidRPr="00B56CF7">
        <w:rPr>
          <w:rFonts w:asciiTheme="majorHAnsi" w:hAnsiTheme="majorHAnsi"/>
          <w:sz w:val="20"/>
          <w:szCs w:val="20"/>
          <w:lang w:val="es-VE"/>
        </w:rPr>
        <w:t>las conductas detalladas en el artículo 10 de la ley 24.390 relacionadas con el tráfico de estupefacientes han merecido un es</w:t>
      </w:r>
      <w:r w:rsidR="00D73420" w:rsidRPr="00B56CF7">
        <w:rPr>
          <w:rFonts w:asciiTheme="majorHAnsi" w:hAnsiTheme="majorHAnsi"/>
          <w:sz w:val="20"/>
          <w:szCs w:val="20"/>
          <w:lang w:val="es-VE"/>
        </w:rPr>
        <w:t>pecial tratamiento del Estado</w:t>
      </w:r>
      <w:r w:rsidR="002E17BB" w:rsidRPr="00B56CF7">
        <w:rPr>
          <w:rFonts w:asciiTheme="majorHAnsi" w:hAnsiTheme="majorHAnsi"/>
          <w:sz w:val="20"/>
          <w:szCs w:val="20"/>
          <w:lang w:val="es-VE"/>
        </w:rPr>
        <w:t xml:space="preserve"> debido a las obligaciones que contrajo al suscribir </w:t>
      </w:r>
      <w:r w:rsidR="007B1B67" w:rsidRPr="00B56CF7">
        <w:rPr>
          <w:rFonts w:asciiTheme="majorHAnsi" w:hAnsiTheme="majorHAnsi"/>
          <w:sz w:val="20"/>
          <w:szCs w:val="20"/>
          <w:lang w:val="es-VE"/>
        </w:rPr>
        <w:t>tratados internacionales en la materia</w:t>
      </w:r>
      <w:r w:rsidRPr="00B56CF7">
        <w:rPr>
          <w:rStyle w:val="FootnoteReference"/>
          <w:rFonts w:asciiTheme="majorHAnsi" w:hAnsiTheme="majorHAnsi"/>
          <w:sz w:val="20"/>
          <w:szCs w:val="20"/>
          <w:lang w:val="es-VE"/>
        </w:rPr>
        <w:footnoteReference w:id="30"/>
      </w:r>
      <w:r w:rsidRPr="00B56CF7">
        <w:rPr>
          <w:rFonts w:asciiTheme="majorHAnsi" w:hAnsiTheme="majorHAnsi"/>
          <w:sz w:val="20"/>
          <w:szCs w:val="20"/>
          <w:lang w:val="es-VE"/>
        </w:rPr>
        <w:t xml:space="preserve">. </w:t>
      </w:r>
      <w:r w:rsidR="00205CEE">
        <w:rPr>
          <w:rFonts w:asciiTheme="majorHAnsi" w:hAnsiTheme="majorHAnsi"/>
          <w:sz w:val="20"/>
          <w:szCs w:val="20"/>
          <w:lang w:val="es-VE"/>
        </w:rPr>
        <w:t xml:space="preserve">En palabras del Tribunal: </w:t>
      </w:r>
    </w:p>
    <w:p w:rsidR="00205CEE" w:rsidRDefault="00205CEE" w:rsidP="00205CEE">
      <w:pPr>
        <w:pStyle w:val="ListParagraph"/>
        <w:rPr>
          <w:rFonts w:asciiTheme="majorHAnsi" w:hAnsiTheme="majorHAnsi"/>
          <w:sz w:val="20"/>
          <w:szCs w:val="20"/>
          <w:lang w:val="es-VE"/>
        </w:rPr>
      </w:pPr>
    </w:p>
    <w:p w:rsidR="00205CEE" w:rsidRPr="00B56CF7" w:rsidRDefault="00205CEE" w:rsidP="00E7615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sz w:val="20"/>
          <w:szCs w:val="20"/>
          <w:lang w:val="es-VE"/>
        </w:rPr>
      </w:pPr>
      <w:r w:rsidRPr="00B92779">
        <w:rPr>
          <w:rFonts w:ascii="Cambria" w:hAnsi="Cambria"/>
          <w:sz w:val="20"/>
          <w:szCs w:val="20"/>
          <w:lang w:val="es-ES"/>
        </w:rPr>
        <w:t>no le parece irrazonable a los miembros de este Tribunal la exclusión de los alcances de los artículos primero a séptimo de la ley 24.390 fijada en el artículo décimo de dicho cuerpo normativo, atento que las conductas detalladas en dicho precepto han merecido un especial tratamiento de los órganos del estado competentes, en el caso concreto el Congreso Nacional, al conminar con penas harto elevadas los tipos penales indicados “supra”, mostrando a las claras el interés en perseguir a esa clase de organizaciones criminales, -y a sus integrantes-, dedicadas al tráfico de sustancias estupefacientes, como correlato de las obligaciones contraídas por la Nación al suscribir la Convención de Viena sobre la represión al</w:t>
      </w:r>
      <w:r>
        <w:rPr>
          <w:rFonts w:ascii="Cambria" w:hAnsi="Cambria"/>
          <w:sz w:val="20"/>
          <w:szCs w:val="20"/>
          <w:lang w:val="es-ES"/>
        </w:rPr>
        <w:t xml:space="preserve"> tráfico de aquellas sustancias</w:t>
      </w:r>
      <w:r w:rsidRPr="00B92779">
        <w:rPr>
          <w:rFonts w:ascii="Cambria" w:hAnsi="Cambria"/>
          <w:sz w:val="20"/>
          <w:szCs w:val="20"/>
          <w:vertAlign w:val="superscript"/>
        </w:rPr>
        <w:footnoteReference w:id="31"/>
      </w:r>
      <w:r w:rsidRPr="00B92779">
        <w:rPr>
          <w:rFonts w:ascii="Cambria" w:hAnsi="Cambria"/>
          <w:sz w:val="20"/>
          <w:szCs w:val="20"/>
          <w:lang w:val="es-ES"/>
        </w:rPr>
        <w:t>.</w:t>
      </w:r>
    </w:p>
    <w:p w:rsidR="00E24A7E" w:rsidRPr="00B56CF7" w:rsidRDefault="00E24A7E" w:rsidP="0062236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rsidR="006860C3" w:rsidRPr="00B56CF7" w:rsidRDefault="00640C5B" w:rsidP="00E24A7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Agregó que por la gravedad y el interés superior que tales conductas afectan</w:t>
      </w:r>
      <w:r w:rsidR="00E761D6" w:rsidRPr="00B56CF7">
        <w:rPr>
          <w:rFonts w:asciiTheme="majorHAnsi" w:hAnsiTheme="majorHAnsi"/>
          <w:sz w:val="20"/>
          <w:szCs w:val="20"/>
          <w:lang w:val="es-VE"/>
        </w:rPr>
        <w:t xml:space="preserve"> es necesario </w:t>
      </w:r>
      <w:r w:rsidR="004A0B3F" w:rsidRPr="00B56CF7">
        <w:rPr>
          <w:rFonts w:asciiTheme="majorHAnsi" w:hAnsiTheme="majorHAnsi"/>
          <w:sz w:val="20"/>
          <w:szCs w:val="20"/>
          <w:lang w:val="es-VE"/>
        </w:rPr>
        <w:t xml:space="preserve">“vedar a aquellos sometidos a proceso </w:t>
      </w:r>
      <w:r w:rsidR="006860C3" w:rsidRPr="00B56CF7">
        <w:rPr>
          <w:rFonts w:asciiTheme="majorHAnsi" w:hAnsiTheme="majorHAnsi"/>
          <w:sz w:val="20"/>
          <w:szCs w:val="20"/>
          <w:lang w:val="es-VE"/>
        </w:rPr>
        <w:t>por la comisión de cualquiera de estos tipos penales la posibilidad de gozar, durante el trámite de los mismos, del derecho a la soltura provisoria, para garantizar la presencia de éstos durante toda la sustanciación de aquellos”</w:t>
      </w:r>
      <w:r w:rsidR="006860C3" w:rsidRPr="00B56CF7">
        <w:rPr>
          <w:rStyle w:val="FootnoteReference"/>
          <w:rFonts w:asciiTheme="majorHAnsi" w:hAnsiTheme="majorHAnsi"/>
          <w:sz w:val="20"/>
          <w:szCs w:val="20"/>
          <w:lang w:val="es-VE"/>
        </w:rPr>
        <w:footnoteReference w:id="32"/>
      </w:r>
      <w:r w:rsidR="006860C3" w:rsidRPr="00B56CF7">
        <w:rPr>
          <w:rFonts w:asciiTheme="majorHAnsi" w:hAnsiTheme="majorHAnsi"/>
          <w:sz w:val="20"/>
          <w:szCs w:val="20"/>
          <w:lang w:val="es-VE"/>
        </w:rPr>
        <w:t xml:space="preserve">. </w:t>
      </w:r>
      <w:r w:rsidR="004A0B3F" w:rsidRPr="00B56CF7">
        <w:rPr>
          <w:rFonts w:asciiTheme="majorHAnsi" w:hAnsiTheme="majorHAnsi"/>
          <w:sz w:val="20"/>
          <w:szCs w:val="20"/>
          <w:lang w:val="es-VE"/>
        </w:rPr>
        <w:t xml:space="preserve">También indicó que el artículo cuestionado es compatible con </w:t>
      </w:r>
      <w:r w:rsidR="006860C3" w:rsidRPr="00B56CF7">
        <w:rPr>
          <w:rFonts w:asciiTheme="majorHAnsi" w:hAnsiTheme="majorHAnsi"/>
          <w:sz w:val="20"/>
          <w:szCs w:val="20"/>
          <w:lang w:val="es-VE"/>
        </w:rPr>
        <w:t xml:space="preserve">el artículo 7.5 de la Convención Americana puesto que </w:t>
      </w:r>
      <w:r w:rsidR="007521AE" w:rsidRPr="00B56CF7">
        <w:rPr>
          <w:rFonts w:asciiTheme="majorHAnsi" w:hAnsiTheme="majorHAnsi"/>
          <w:sz w:val="20"/>
          <w:szCs w:val="20"/>
          <w:lang w:val="es-VE"/>
        </w:rPr>
        <w:t xml:space="preserve">dicho tratado </w:t>
      </w:r>
      <w:r w:rsidR="006860C3" w:rsidRPr="00B56CF7">
        <w:rPr>
          <w:rFonts w:asciiTheme="majorHAnsi" w:hAnsiTheme="majorHAnsi"/>
          <w:sz w:val="20"/>
          <w:szCs w:val="20"/>
          <w:lang w:val="es-VE"/>
        </w:rPr>
        <w:t xml:space="preserve">exige que toda persona sea juzgada o </w:t>
      </w:r>
      <w:r w:rsidR="006860C3" w:rsidRPr="00B56CF7">
        <w:rPr>
          <w:rFonts w:asciiTheme="majorHAnsi" w:hAnsiTheme="majorHAnsi"/>
          <w:sz w:val="20"/>
          <w:szCs w:val="20"/>
          <w:lang w:val="es-VE"/>
        </w:rPr>
        <w:lastRenderedPageBreak/>
        <w:t>puesta en libertad dentro de un plazo razonable</w:t>
      </w:r>
      <w:r w:rsidR="00403AC1">
        <w:rPr>
          <w:rFonts w:asciiTheme="majorHAnsi" w:hAnsiTheme="majorHAnsi"/>
          <w:sz w:val="20"/>
          <w:szCs w:val="20"/>
          <w:lang w:val="es-VE"/>
        </w:rPr>
        <w:t>,</w:t>
      </w:r>
      <w:r w:rsidR="006860C3" w:rsidRPr="00B56CF7">
        <w:rPr>
          <w:rFonts w:asciiTheme="majorHAnsi" w:hAnsiTheme="majorHAnsi"/>
          <w:sz w:val="20"/>
          <w:szCs w:val="20"/>
          <w:lang w:val="es-VE"/>
        </w:rPr>
        <w:t xml:space="preserve"> pero “no impide que cada estado adecue esos plazos según criterios de política criminal relacionados fundamentalmente con razones de interés público”</w:t>
      </w:r>
      <w:r w:rsidR="006860C3" w:rsidRPr="00B56CF7">
        <w:rPr>
          <w:rStyle w:val="FootnoteReference"/>
          <w:rFonts w:asciiTheme="majorHAnsi" w:hAnsiTheme="majorHAnsi"/>
          <w:sz w:val="20"/>
          <w:szCs w:val="20"/>
          <w:lang w:val="es-VE"/>
        </w:rPr>
        <w:footnoteReference w:id="33"/>
      </w:r>
      <w:r w:rsidR="006860C3" w:rsidRPr="00B56CF7">
        <w:rPr>
          <w:rFonts w:asciiTheme="majorHAnsi" w:hAnsiTheme="majorHAnsi"/>
          <w:sz w:val="20"/>
          <w:szCs w:val="20"/>
          <w:lang w:val="es-VE"/>
        </w:rPr>
        <w:t xml:space="preserve">. </w:t>
      </w:r>
    </w:p>
    <w:p w:rsidR="00205CEE" w:rsidRPr="00B56CF7" w:rsidRDefault="00205CEE" w:rsidP="004A0B3F">
      <w:pPr>
        <w:pStyle w:val="ListParagraph"/>
        <w:rPr>
          <w:rFonts w:asciiTheme="majorHAnsi" w:hAnsiTheme="majorHAnsi"/>
          <w:sz w:val="20"/>
          <w:szCs w:val="20"/>
          <w:lang w:val="es-VE"/>
        </w:rPr>
      </w:pPr>
    </w:p>
    <w:p w:rsidR="00C93D7B" w:rsidRPr="00B56CF7" w:rsidRDefault="006860C3" w:rsidP="0062236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Concluyó indicando que a Gab</w:t>
      </w:r>
      <w:r w:rsidR="0088678D" w:rsidRPr="00B56CF7">
        <w:rPr>
          <w:rFonts w:asciiTheme="majorHAnsi" w:hAnsiTheme="majorHAnsi"/>
          <w:sz w:val="20"/>
          <w:szCs w:val="20"/>
          <w:lang w:val="es-VE"/>
        </w:rPr>
        <w:t>riel Jenkins se le imputa</w:t>
      </w:r>
      <w:r w:rsidR="006953A8" w:rsidRPr="00B56CF7">
        <w:rPr>
          <w:rFonts w:asciiTheme="majorHAnsi" w:hAnsiTheme="majorHAnsi"/>
          <w:sz w:val="20"/>
          <w:szCs w:val="20"/>
          <w:lang w:val="es-VE"/>
        </w:rPr>
        <w:t>ba</w:t>
      </w:r>
      <w:r w:rsidRPr="00B56CF7">
        <w:rPr>
          <w:rFonts w:asciiTheme="majorHAnsi" w:hAnsiTheme="majorHAnsi"/>
          <w:sz w:val="20"/>
          <w:szCs w:val="20"/>
          <w:lang w:val="es-VE"/>
        </w:rPr>
        <w:t xml:space="preserve"> la calidad de coautor de los delitos de tráfico ilícito de estupefacientes, en su modalidad de transporte, agravado por la intervención de más de tres personas (arts. 5to. Inc. c, y 11 inc. c de la ley 23.737) y </w:t>
      </w:r>
      <w:r w:rsidR="00F80E66" w:rsidRPr="00B56CF7">
        <w:rPr>
          <w:rFonts w:asciiTheme="majorHAnsi" w:hAnsiTheme="majorHAnsi"/>
          <w:sz w:val="20"/>
          <w:szCs w:val="20"/>
          <w:lang w:val="es-VE"/>
        </w:rPr>
        <w:t>asociación</w:t>
      </w:r>
      <w:r w:rsidR="004A0B3F" w:rsidRPr="00B56CF7">
        <w:rPr>
          <w:rFonts w:asciiTheme="majorHAnsi" w:hAnsiTheme="majorHAnsi"/>
          <w:sz w:val="20"/>
          <w:szCs w:val="20"/>
          <w:lang w:val="es-VE"/>
        </w:rPr>
        <w:t xml:space="preserve"> ilícita</w:t>
      </w:r>
      <w:r w:rsidRPr="00B56CF7">
        <w:rPr>
          <w:rFonts w:asciiTheme="majorHAnsi" w:hAnsiTheme="majorHAnsi"/>
          <w:sz w:val="20"/>
          <w:szCs w:val="20"/>
          <w:lang w:val="es-VE"/>
        </w:rPr>
        <w:t xml:space="preserve"> (art. 210 primera parte del C.P) en concurso real; y habida cuenta de la penalidad fijada para dichas figuras y que no se configura</w:t>
      </w:r>
      <w:r w:rsidR="00682CEA" w:rsidRPr="00B56CF7">
        <w:rPr>
          <w:rFonts w:asciiTheme="majorHAnsi" w:hAnsiTheme="majorHAnsi"/>
          <w:sz w:val="20"/>
          <w:szCs w:val="20"/>
          <w:lang w:val="es-VE"/>
        </w:rPr>
        <w:t>ba</w:t>
      </w:r>
      <w:r w:rsidRPr="00B56CF7">
        <w:rPr>
          <w:rFonts w:asciiTheme="majorHAnsi" w:hAnsiTheme="majorHAnsi"/>
          <w:sz w:val="20"/>
          <w:szCs w:val="20"/>
          <w:lang w:val="es-VE"/>
        </w:rPr>
        <w:t xml:space="preserve">n los supuestos contemplados en el artículo 317 del Código Procesal Penal de la Nación, no </w:t>
      </w:r>
      <w:r w:rsidR="00F80E66" w:rsidRPr="00B56CF7">
        <w:rPr>
          <w:rFonts w:asciiTheme="majorHAnsi" w:hAnsiTheme="majorHAnsi"/>
          <w:sz w:val="20"/>
          <w:szCs w:val="20"/>
          <w:lang w:val="es-VE"/>
        </w:rPr>
        <w:t>correspond</w:t>
      </w:r>
      <w:r w:rsidR="00682CEA" w:rsidRPr="00B56CF7">
        <w:rPr>
          <w:rFonts w:asciiTheme="majorHAnsi" w:hAnsiTheme="majorHAnsi"/>
          <w:sz w:val="20"/>
          <w:szCs w:val="20"/>
          <w:lang w:val="es-VE"/>
        </w:rPr>
        <w:t>ía</w:t>
      </w:r>
      <w:r w:rsidRPr="00B56CF7">
        <w:rPr>
          <w:rFonts w:asciiTheme="majorHAnsi" w:hAnsiTheme="majorHAnsi"/>
          <w:sz w:val="20"/>
          <w:szCs w:val="20"/>
          <w:lang w:val="es-VE"/>
        </w:rPr>
        <w:t xml:space="preserve"> el beneficio solicitado</w:t>
      </w:r>
      <w:r w:rsidRPr="00B56CF7">
        <w:rPr>
          <w:rStyle w:val="FootnoteReference"/>
          <w:rFonts w:asciiTheme="majorHAnsi" w:hAnsiTheme="majorHAnsi"/>
          <w:sz w:val="20"/>
          <w:szCs w:val="20"/>
          <w:lang w:val="es-VE"/>
        </w:rPr>
        <w:footnoteReference w:id="34"/>
      </w:r>
      <w:r w:rsidRPr="00B56CF7">
        <w:rPr>
          <w:rFonts w:asciiTheme="majorHAnsi" w:hAnsiTheme="majorHAnsi"/>
          <w:sz w:val="20"/>
          <w:szCs w:val="20"/>
          <w:lang w:val="es-VE"/>
        </w:rPr>
        <w:t xml:space="preserve">. </w:t>
      </w:r>
    </w:p>
    <w:p w:rsidR="006860C3" w:rsidRPr="00B56CF7" w:rsidRDefault="006860C3" w:rsidP="006860C3">
      <w:pPr>
        <w:ind w:left="720"/>
        <w:jc w:val="both"/>
        <w:rPr>
          <w:rFonts w:asciiTheme="majorHAnsi" w:hAnsiTheme="majorHAnsi"/>
          <w:b/>
          <w:sz w:val="20"/>
          <w:szCs w:val="20"/>
          <w:lang w:val="es-VE"/>
        </w:rPr>
      </w:pPr>
    </w:p>
    <w:p w:rsidR="00C93D7B" w:rsidRPr="00B56CF7" w:rsidRDefault="00575DBB" w:rsidP="007A30B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E</w:t>
      </w:r>
      <w:r w:rsidR="00D471E9" w:rsidRPr="00B56CF7">
        <w:rPr>
          <w:rFonts w:asciiTheme="majorHAnsi" w:hAnsiTheme="majorHAnsi"/>
          <w:sz w:val="20"/>
          <w:szCs w:val="20"/>
          <w:lang w:val="es-VE"/>
        </w:rPr>
        <w:t>l peticionario</w:t>
      </w:r>
      <w:r w:rsidR="00306F10" w:rsidRPr="00B56CF7">
        <w:rPr>
          <w:rFonts w:asciiTheme="majorHAnsi" w:hAnsiTheme="majorHAnsi"/>
          <w:sz w:val="20"/>
          <w:szCs w:val="20"/>
          <w:lang w:val="es-VE"/>
        </w:rPr>
        <w:t xml:space="preserve"> </w:t>
      </w:r>
      <w:r w:rsidR="00C07B37" w:rsidRPr="00B56CF7">
        <w:rPr>
          <w:rFonts w:asciiTheme="majorHAnsi" w:hAnsiTheme="majorHAnsi"/>
          <w:sz w:val="20"/>
          <w:szCs w:val="20"/>
          <w:lang w:val="es-VE"/>
        </w:rPr>
        <w:t>interpus</w:t>
      </w:r>
      <w:r w:rsidR="00D471E9" w:rsidRPr="00B56CF7">
        <w:rPr>
          <w:rFonts w:asciiTheme="majorHAnsi" w:hAnsiTheme="majorHAnsi"/>
          <w:sz w:val="20"/>
          <w:szCs w:val="20"/>
          <w:lang w:val="es-VE"/>
        </w:rPr>
        <w:t>o</w:t>
      </w:r>
      <w:r w:rsidR="00C07B37" w:rsidRPr="00B56CF7">
        <w:rPr>
          <w:rFonts w:asciiTheme="majorHAnsi" w:hAnsiTheme="majorHAnsi"/>
          <w:sz w:val="20"/>
          <w:szCs w:val="20"/>
          <w:lang w:val="es-VE"/>
        </w:rPr>
        <w:t xml:space="preserve"> un recurso de inconstitucionalidad </w:t>
      </w:r>
      <w:r w:rsidR="00C93D7B" w:rsidRPr="00B56CF7">
        <w:rPr>
          <w:rFonts w:asciiTheme="majorHAnsi" w:hAnsiTheme="majorHAnsi"/>
          <w:sz w:val="20"/>
          <w:szCs w:val="20"/>
          <w:lang w:val="es-VE"/>
        </w:rPr>
        <w:t xml:space="preserve">en contra de la resolución del </w:t>
      </w:r>
      <w:r w:rsidR="006860C3" w:rsidRPr="00B56CF7">
        <w:rPr>
          <w:rFonts w:asciiTheme="majorHAnsi" w:hAnsiTheme="majorHAnsi"/>
          <w:sz w:val="20"/>
          <w:szCs w:val="20"/>
          <w:lang w:val="es-VE"/>
        </w:rPr>
        <w:t>Tribunal Oral Federal No</w:t>
      </w:r>
      <w:r w:rsidR="007703E6" w:rsidRPr="00B56CF7">
        <w:rPr>
          <w:rFonts w:asciiTheme="majorHAnsi" w:hAnsiTheme="majorHAnsi"/>
          <w:sz w:val="20"/>
          <w:szCs w:val="20"/>
          <w:lang w:val="es-VE"/>
        </w:rPr>
        <w:t>.</w:t>
      </w:r>
      <w:r w:rsidR="006860C3" w:rsidRPr="00B56CF7">
        <w:rPr>
          <w:rFonts w:asciiTheme="majorHAnsi" w:hAnsiTheme="majorHAnsi"/>
          <w:sz w:val="20"/>
          <w:szCs w:val="20"/>
          <w:lang w:val="es-VE"/>
        </w:rPr>
        <w:t xml:space="preserve"> 6</w:t>
      </w:r>
      <w:r w:rsidR="007703E6" w:rsidRPr="00B56CF7">
        <w:rPr>
          <w:rFonts w:asciiTheme="majorHAnsi" w:hAnsiTheme="majorHAnsi"/>
          <w:sz w:val="20"/>
          <w:szCs w:val="20"/>
          <w:lang w:val="es-VE"/>
        </w:rPr>
        <w:t xml:space="preserve"> citada en los párrafos precedentes</w:t>
      </w:r>
      <w:r w:rsidR="006860C3" w:rsidRPr="00B56CF7">
        <w:rPr>
          <w:rFonts w:asciiTheme="majorHAnsi" w:hAnsiTheme="majorHAnsi"/>
          <w:sz w:val="20"/>
          <w:szCs w:val="20"/>
          <w:vertAlign w:val="superscript"/>
        </w:rPr>
        <w:footnoteReference w:id="35"/>
      </w:r>
      <w:r w:rsidR="006860C3" w:rsidRPr="00B56CF7">
        <w:rPr>
          <w:rFonts w:asciiTheme="majorHAnsi" w:hAnsiTheme="majorHAnsi"/>
          <w:sz w:val="20"/>
          <w:szCs w:val="20"/>
          <w:lang w:val="es-VE"/>
        </w:rPr>
        <w:t xml:space="preserve">. </w:t>
      </w:r>
      <w:r w:rsidR="00D471E9" w:rsidRPr="00B56CF7">
        <w:rPr>
          <w:rFonts w:asciiTheme="majorHAnsi" w:hAnsiTheme="majorHAnsi"/>
          <w:sz w:val="20"/>
          <w:szCs w:val="20"/>
          <w:lang w:val="es-VE"/>
        </w:rPr>
        <w:t>Al respecto</w:t>
      </w:r>
      <w:r w:rsidR="007A30BB" w:rsidRPr="00B56CF7">
        <w:rPr>
          <w:rFonts w:asciiTheme="majorHAnsi" w:hAnsiTheme="majorHAnsi"/>
          <w:sz w:val="20"/>
          <w:szCs w:val="20"/>
          <w:lang w:val="es-VE"/>
        </w:rPr>
        <w:t>,</w:t>
      </w:r>
      <w:r w:rsidR="00D471E9" w:rsidRPr="00B56CF7">
        <w:rPr>
          <w:rFonts w:asciiTheme="majorHAnsi" w:hAnsiTheme="majorHAnsi"/>
          <w:sz w:val="20"/>
          <w:szCs w:val="20"/>
          <w:lang w:val="es-VE"/>
        </w:rPr>
        <w:t xml:space="preserve"> indicó</w:t>
      </w:r>
      <w:r w:rsidR="006860C3" w:rsidRPr="00B56CF7">
        <w:rPr>
          <w:rFonts w:asciiTheme="majorHAnsi" w:hAnsiTheme="majorHAnsi"/>
          <w:sz w:val="20"/>
          <w:szCs w:val="20"/>
          <w:lang w:val="es-VE"/>
        </w:rPr>
        <w:t xml:space="preserve"> que la decisión es arbitraria porque no tom</w:t>
      </w:r>
      <w:r w:rsidR="007A30BB" w:rsidRPr="00B56CF7">
        <w:rPr>
          <w:rFonts w:asciiTheme="majorHAnsi" w:hAnsiTheme="majorHAnsi"/>
          <w:sz w:val="20"/>
          <w:szCs w:val="20"/>
          <w:lang w:val="es-VE"/>
        </w:rPr>
        <w:t>ó</w:t>
      </w:r>
      <w:r w:rsidR="006860C3" w:rsidRPr="00B56CF7">
        <w:rPr>
          <w:rFonts w:asciiTheme="majorHAnsi" w:hAnsiTheme="majorHAnsi"/>
          <w:sz w:val="20"/>
          <w:szCs w:val="20"/>
          <w:lang w:val="es-VE"/>
        </w:rPr>
        <w:t xml:space="preserve"> en cuenta sus argumentos y se limit</w:t>
      </w:r>
      <w:r w:rsidR="007A30BB" w:rsidRPr="00B56CF7">
        <w:rPr>
          <w:rFonts w:asciiTheme="majorHAnsi" w:hAnsiTheme="majorHAnsi"/>
          <w:sz w:val="20"/>
          <w:szCs w:val="20"/>
          <w:lang w:val="es-VE"/>
        </w:rPr>
        <w:t>ó</w:t>
      </w:r>
      <w:r w:rsidR="006860C3" w:rsidRPr="00B56CF7">
        <w:rPr>
          <w:rFonts w:asciiTheme="majorHAnsi" w:hAnsiTheme="majorHAnsi"/>
          <w:sz w:val="20"/>
          <w:szCs w:val="20"/>
          <w:lang w:val="es-VE"/>
        </w:rPr>
        <w:t xml:space="preserve"> a reproducir un fallo anterior del mismo tribunal.</w:t>
      </w:r>
      <w:r w:rsidR="007A30BB" w:rsidRPr="00B56CF7">
        <w:rPr>
          <w:rFonts w:asciiTheme="majorHAnsi" w:hAnsiTheme="majorHAnsi"/>
          <w:sz w:val="20"/>
          <w:szCs w:val="20"/>
          <w:lang w:val="es-VE"/>
        </w:rPr>
        <w:t xml:space="preserve"> </w:t>
      </w:r>
      <w:r w:rsidR="00D471E9" w:rsidRPr="00B56CF7">
        <w:rPr>
          <w:rFonts w:asciiTheme="majorHAnsi" w:hAnsiTheme="majorHAnsi"/>
          <w:sz w:val="20"/>
          <w:szCs w:val="20"/>
          <w:lang w:val="es-VE"/>
        </w:rPr>
        <w:t>Argumentó</w:t>
      </w:r>
      <w:r w:rsidR="006860C3" w:rsidRPr="00B56CF7">
        <w:rPr>
          <w:rFonts w:asciiTheme="majorHAnsi" w:hAnsiTheme="majorHAnsi"/>
          <w:sz w:val="20"/>
          <w:szCs w:val="20"/>
          <w:lang w:val="es-VE"/>
        </w:rPr>
        <w:t xml:space="preserve"> que la prohibición de excarcelación para aquellas personas que resulten imputadas “por el delito previsto en el artículo 7 de la ley 23.737 y aquellos a quienes resultaren aplicables las agravantes previstas en el artículo 11 de la misma ley” resulta incoherente con el ordenamiento jurídico penal </w:t>
      </w:r>
      <w:r w:rsidR="00306F10" w:rsidRPr="00B56CF7">
        <w:rPr>
          <w:rFonts w:asciiTheme="majorHAnsi" w:hAnsiTheme="majorHAnsi"/>
          <w:sz w:val="20"/>
          <w:szCs w:val="20"/>
          <w:lang w:val="es-VE"/>
        </w:rPr>
        <w:t xml:space="preserve">argentino, </w:t>
      </w:r>
      <w:r w:rsidR="006860C3" w:rsidRPr="00B56CF7">
        <w:rPr>
          <w:rFonts w:asciiTheme="majorHAnsi" w:hAnsiTheme="majorHAnsi"/>
          <w:sz w:val="20"/>
          <w:szCs w:val="20"/>
          <w:lang w:val="es-VE"/>
        </w:rPr>
        <w:t>por cuanto restringe los derechos de quienes realizaron acciones que para la comunidad son menos graves que otras para las cuales no existe semejante restricción</w:t>
      </w:r>
      <w:r w:rsidR="006860C3" w:rsidRPr="00B56CF7">
        <w:rPr>
          <w:rFonts w:asciiTheme="majorHAnsi" w:hAnsiTheme="majorHAnsi"/>
          <w:sz w:val="20"/>
          <w:szCs w:val="20"/>
          <w:vertAlign w:val="superscript"/>
        </w:rPr>
        <w:footnoteReference w:id="36"/>
      </w:r>
      <w:r w:rsidR="006860C3" w:rsidRPr="00B56CF7">
        <w:rPr>
          <w:rFonts w:asciiTheme="majorHAnsi" w:hAnsiTheme="majorHAnsi"/>
          <w:sz w:val="20"/>
          <w:szCs w:val="20"/>
          <w:lang w:val="es-VE"/>
        </w:rPr>
        <w:t>.</w:t>
      </w:r>
    </w:p>
    <w:p w:rsidR="00C93D7B" w:rsidRPr="00B56CF7" w:rsidRDefault="00C93D7B" w:rsidP="00C93D7B">
      <w:pPr>
        <w:pStyle w:val="ListParagraph"/>
        <w:rPr>
          <w:rFonts w:asciiTheme="majorHAnsi" w:hAnsiTheme="majorHAnsi"/>
          <w:sz w:val="20"/>
          <w:szCs w:val="20"/>
          <w:lang w:val="es-VE"/>
        </w:rPr>
      </w:pPr>
    </w:p>
    <w:p w:rsidR="006860C3" w:rsidRPr="00B56CF7" w:rsidRDefault="006860C3" w:rsidP="006860C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El 24 de febrero de 1997 la Sala I de la Cámara Nacional de Casación Penal resolvió rechazar el recurso de inconstitucionalidad y confirmar la resolución que denegó la excarcelación de Gabriel Oscar Jenkins</w:t>
      </w:r>
      <w:r w:rsidRPr="00B56CF7">
        <w:rPr>
          <w:rStyle w:val="FootnoteReference"/>
          <w:rFonts w:asciiTheme="majorHAnsi" w:hAnsiTheme="majorHAnsi"/>
          <w:sz w:val="20"/>
          <w:szCs w:val="20"/>
          <w:lang w:val="es-VE"/>
        </w:rPr>
        <w:footnoteReference w:id="37"/>
      </w:r>
      <w:r w:rsidRPr="00B56CF7">
        <w:rPr>
          <w:rFonts w:asciiTheme="majorHAnsi" w:hAnsiTheme="majorHAnsi"/>
          <w:sz w:val="20"/>
          <w:szCs w:val="20"/>
          <w:lang w:val="es-VE"/>
        </w:rPr>
        <w:t>.</w:t>
      </w:r>
      <w:r w:rsidR="00C93D7B" w:rsidRPr="00B56CF7">
        <w:rPr>
          <w:rFonts w:asciiTheme="majorHAnsi" w:hAnsiTheme="majorHAnsi"/>
          <w:sz w:val="20"/>
          <w:szCs w:val="20"/>
          <w:lang w:val="es-VE"/>
        </w:rPr>
        <w:t xml:space="preserve"> </w:t>
      </w:r>
    </w:p>
    <w:p w:rsidR="005A4311" w:rsidRPr="00B56CF7" w:rsidRDefault="005A4311" w:rsidP="005A4311">
      <w:pPr>
        <w:pStyle w:val="ListParagraph"/>
        <w:ind w:left="1440"/>
        <w:jc w:val="both"/>
        <w:rPr>
          <w:rFonts w:asciiTheme="majorHAnsi" w:hAnsiTheme="majorHAnsi"/>
          <w:b/>
          <w:sz w:val="20"/>
          <w:szCs w:val="20"/>
          <w:lang w:val="es-VE"/>
        </w:rPr>
      </w:pPr>
    </w:p>
    <w:p w:rsidR="00967BDC" w:rsidRPr="00B56CF7" w:rsidRDefault="006860C3" w:rsidP="006860C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La defensa de la presunta víctima interpuso un recurso extraordinario contra la resolución que denegó el recurso de inconstitucionalidad</w:t>
      </w:r>
      <w:r w:rsidR="00967BDC" w:rsidRPr="00B56CF7">
        <w:rPr>
          <w:rFonts w:asciiTheme="majorHAnsi" w:hAnsiTheme="majorHAnsi"/>
          <w:sz w:val="20"/>
          <w:szCs w:val="20"/>
          <w:lang w:val="es-VE"/>
        </w:rPr>
        <w:t>,</w:t>
      </w:r>
      <w:r w:rsidR="00C07B37" w:rsidRPr="00B56CF7">
        <w:rPr>
          <w:rFonts w:asciiTheme="majorHAnsi" w:hAnsiTheme="majorHAnsi"/>
          <w:sz w:val="20"/>
          <w:szCs w:val="20"/>
          <w:lang w:val="es-VE"/>
        </w:rPr>
        <w:t xml:space="preserve"> </w:t>
      </w:r>
      <w:r w:rsidRPr="00B56CF7">
        <w:rPr>
          <w:rFonts w:asciiTheme="majorHAnsi" w:hAnsiTheme="majorHAnsi"/>
          <w:sz w:val="20"/>
          <w:szCs w:val="20"/>
          <w:lang w:val="es-VE"/>
        </w:rPr>
        <w:t>por considerar que la Sala emitió una decisión arbitraria al no pronunciarse sobre los argumentos presentados por la defensa, sobre todo respecto de la inconstitucionalidad del artículo 10 de la ley 24.390</w:t>
      </w:r>
      <w:r w:rsidRPr="00B56CF7">
        <w:rPr>
          <w:rFonts w:asciiTheme="majorHAnsi" w:hAnsiTheme="majorHAnsi"/>
          <w:sz w:val="20"/>
          <w:szCs w:val="20"/>
          <w:vertAlign w:val="superscript"/>
        </w:rPr>
        <w:footnoteReference w:id="38"/>
      </w:r>
      <w:r w:rsidRPr="00B56CF7">
        <w:rPr>
          <w:rFonts w:asciiTheme="majorHAnsi" w:hAnsiTheme="majorHAnsi"/>
          <w:sz w:val="20"/>
          <w:szCs w:val="20"/>
          <w:lang w:val="es-VE"/>
        </w:rPr>
        <w:t>.</w:t>
      </w:r>
    </w:p>
    <w:p w:rsidR="00967BDC" w:rsidRPr="00B56CF7" w:rsidRDefault="00967BDC" w:rsidP="00967BD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rsidR="006860C3" w:rsidRPr="00B56CF7" w:rsidRDefault="006860C3" w:rsidP="006860C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 xml:space="preserve">El 10 de abril de 1997 la Sala I de la Cámara Nacional de Casación Penal </w:t>
      </w:r>
      <w:r w:rsidR="00962B4C" w:rsidRPr="00B56CF7">
        <w:rPr>
          <w:rFonts w:asciiTheme="majorHAnsi" w:hAnsiTheme="majorHAnsi"/>
          <w:sz w:val="20"/>
          <w:szCs w:val="20"/>
          <w:lang w:val="es-VE"/>
        </w:rPr>
        <w:t>declaró</w:t>
      </w:r>
      <w:r w:rsidRPr="00B56CF7">
        <w:rPr>
          <w:rFonts w:asciiTheme="majorHAnsi" w:hAnsiTheme="majorHAnsi"/>
          <w:sz w:val="20"/>
          <w:szCs w:val="20"/>
          <w:lang w:val="es-VE"/>
        </w:rPr>
        <w:t xml:space="preserve"> inadmisible el recurso extraordinario interpuesto</w:t>
      </w:r>
      <w:r w:rsidR="00403AC1">
        <w:rPr>
          <w:rFonts w:asciiTheme="majorHAnsi" w:hAnsiTheme="majorHAnsi"/>
          <w:sz w:val="20"/>
          <w:szCs w:val="20"/>
          <w:lang w:val="es-VE"/>
        </w:rPr>
        <w:t>,</w:t>
      </w:r>
      <w:r w:rsidRPr="00B56CF7">
        <w:rPr>
          <w:rFonts w:asciiTheme="majorHAnsi" w:hAnsiTheme="majorHAnsi"/>
          <w:sz w:val="20"/>
          <w:szCs w:val="20"/>
          <w:lang w:val="es-VE"/>
        </w:rPr>
        <w:t xml:space="preserve"> por </w:t>
      </w:r>
      <w:r w:rsidR="00F735AE" w:rsidRPr="00B56CF7">
        <w:rPr>
          <w:rFonts w:asciiTheme="majorHAnsi" w:hAnsiTheme="majorHAnsi"/>
          <w:sz w:val="20"/>
          <w:szCs w:val="20"/>
          <w:lang w:val="es-VE"/>
        </w:rPr>
        <w:t>estimar</w:t>
      </w:r>
      <w:r w:rsidRPr="00B56CF7">
        <w:rPr>
          <w:rFonts w:asciiTheme="majorHAnsi" w:hAnsiTheme="majorHAnsi"/>
          <w:sz w:val="20"/>
          <w:szCs w:val="20"/>
          <w:lang w:val="es-VE"/>
        </w:rPr>
        <w:t xml:space="preserve"> que las cuestiones planteadas ya fueron resueltas en los precedentes de la Corte Suprema de Justicia</w:t>
      </w:r>
      <w:r w:rsidRPr="00B56CF7">
        <w:rPr>
          <w:rStyle w:val="FootnoteReference"/>
          <w:rFonts w:asciiTheme="majorHAnsi" w:hAnsiTheme="majorHAnsi"/>
          <w:sz w:val="20"/>
          <w:szCs w:val="20"/>
          <w:lang w:val="es-VE"/>
        </w:rPr>
        <w:footnoteReference w:id="39"/>
      </w:r>
      <w:r w:rsidRPr="00B56CF7">
        <w:rPr>
          <w:rFonts w:asciiTheme="majorHAnsi" w:hAnsiTheme="majorHAnsi"/>
          <w:sz w:val="20"/>
          <w:szCs w:val="20"/>
          <w:lang w:val="es-VE"/>
        </w:rPr>
        <w:t xml:space="preserve"> y que los agravios esgrimidos indican una interpretación</w:t>
      </w:r>
      <w:r w:rsidR="00F92604" w:rsidRPr="00B56CF7">
        <w:rPr>
          <w:rFonts w:asciiTheme="majorHAnsi" w:hAnsiTheme="majorHAnsi"/>
          <w:sz w:val="20"/>
          <w:szCs w:val="20"/>
          <w:lang w:val="es-VE"/>
        </w:rPr>
        <w:t xml:space="preserve"> </w:t>
      </w:r>
      <w:r w:rsidR="00F92604" w:rsidRPr="00B56CF7">
        <w:rPr>
          <w:rFonts w:asciiTheme="majorHAnsi" w:hAnsiTheme="majorHAnsi"/>
          <w:sz w:val="20"/>
          <w:szCs w:val="20"/>
          <w:lang w:val="es-VE"/>
        </w:rPr>
        <w:lastRenderedPageBreak/>
        <w:t>personal</w:t>
      </w:r>
      <w:r w:rsidRPr="00B56CF7">
        <w:rPr>
          <w:rFonts w:asciiTheme="majorHAnsi" w:hAnsiTheme="majorHAnsi"/>
          <w:sz w:val="20"/>
          <w:szCs w:val="20"/>
          <w:lang w:val="es-VE"/>
        </w:rPr>
        <w:t xml:space="preserve"> de la defen</w:t>
      </w:r>
      <w:r w:rsidR="00F735AE" w:rsidRPr="00B56CF7">
        <w:rPr>
          <w:rFonts w:asciiTheme="majorHAnsi" w:hAnsiTheme="majorHAnsi"/>
          <w:sz w:val="20"/>
          <w:szCs w:val="20"/>
          <w:lang w:val="es-VE"/>
        </w:rPr>
        <w:t xml:space="preserve">sa </w:t>
      </w:r>
      <w:r w:rsidR="00F92604" w:rsidRPr="00B56CF7">
        <w:rPr>
          <w:rFonts w:asciiTheme="majorHAnsi" w:hAnsiTheme="majorHAnsi"/>
          <w:sz w:val="20"/>
          <w:szCs w:val="20"/>
          <w:lang w:val="es-VE"/>
        </w:rPr>
        <w:t>de</w:t>
      </w:r>
      <w:r w:rsidR="00F735AE" w:rsidRPr="00B56CF7">
        <w:rPr>
          <w:rFonts w:asciiTheme="majorHAnsi" w:hAnsiTheme="majorHAnsi"/>
          <w:sz w:val="20"/>
          <w:szCs w:val="20"/>
          <w:lang w:val="es-VE"/>
        </w:rPr>
        <w:t xml:space="preserve"> las normas internacionales</w:t>
      </w:r>
      <w:r w:rsidR="00403AC1">
        <w:rPr>
          <w:rFonts w:asciiTheme="majorHAnsi" w:hAnsiTheme="majorHAnsi"/>
          <w:sz w:val="20"/>
          <w:szCs w:val="20"/>
          <w:lang w:val="es-VE"/>
        </w:rPr>
        <w:t>,</w:t>
      </w:r>
      <w:r w:rsidRPr="00B56CF7">
        <w:rPr>
          <w:rFonts w:asciiTheme="majorHAnsi" w:hAnsiTheme="majorHAnsi"/>
          <w:sz w:val="20"/>
          <w:szCs w:val="20"/>
          <w:lang w:val="es-VE"/>
        </w:rPr>
        <w:t xml:space="preserve"> </w:t>
      </w:r>
      <w:r w:rsidR="00C07B37" w:rsidRPr="00B56CF7">
        <w:rPr>
          <w:rFonts w:asciiTheme="majorHAnsi" w:hAnsiTheme="majorHAnsi"/>
          <w:sz w:val="20"/>
          <w:szCs w:val="20"/>
          <w:lang w:val="es-VE"/>
        </w:rPr>
        <w:t>así</w:t>
      </w:r>
      <w:r w:rsidRPr="00B56CF7">
        <w:rPr>
          <w:rFonts w:asciiTheme="majorHAnsi" w:hAnsiTheme="majorHAnsi"/>
          <w:sz w:val="20"/>
          <w:szCs w:val="20"/>
          <w:lang w:val="es-VE"/>
        </w:rPr>
        <w:t xml:space="preserve"> como del precedente “Arana” de la Corte Suprema de Justicia, sin que se advierta ninguna arbitrariedad</w:t>
      </w:r>
      <w:r w:rsidRPr="00B56CF7">
        <w:rPr>
          <w:rStyle w:val="FootnoteReference"/>
          <w:rFonts w:asciiTheme="majorHAnsi" w:hAnsiTheme="majorHAnsi"/>
          <w:sz w:val="20"/>
          <w:szCs w:val="20"/>
          <w:lang w:val="es-VE"/>
        </w:rPr>
        <w:footnoteReference w:id="40"/>
      </w:r>
      <w:r w:rsidRPr="00B56CF7">
        <w:rPr>
          <w:rFonts w:asciiTheme="majorHAnsi" w:hAnsiTheme="majorHAnsi"/>
          <w:sz w:val="20"/>
          <w:szCs w:val="20"/>
          <w:lang w:val="es-VE"/>
        </w:rPr>
        <w:t xml:space="preserve">. </w:t>
      </w:r>
    </w:p>
    <w:p w:rsidR="004604B5" w:rsidRPr="0062236D" w:rsidRDefault="004604B5" w:rsidP="0062236D">
      <w:pPr>
        <w:rPr>
          <w:rFonts w:asciiTheme="majorHAnsi" w:hAnsiTheme="majorHAnsi"/>
          <w:sz w:val="20"/>
          <w:szCs w:val="20"/>
          <w:lang w:val="es-VE"/>
        </w:rPr>
      </w:pPr>
    </w:p>
    <w:p w:rsidR="004604B5" w:rsidRPr="00B56CF7" w:rsidRDefault="009565D1" w:rsidP="0022415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Según consta en el expediente, con posterioridad a la denegatoria del recurso extraordinario</w:t>
      </w:r>
      <w:r w:rsidR="00F735AE" w:rsidRPr="00B56CF7">
        <w:rPr>
          <w:rFonts w:asciiTheme="majorHAnsi" w:hAnsiTheme="majorHAnsi"/>
          <w:sz w:val="20"/>
          <w:szCs w:val="20"/>
          <w:lang w:val="es-VE"/>
        </w:rPr>
        <w:t>,</w:t>
      </w:r>
      <w:r w:rsidRPr="00B56CF7">
        <w:rPr>
          <w:rFonts w:asciiTheme="majorHAnsi" w:hAnsiTheme="majorHAnsi"/>
          <w:sz w:val="20"/>
          <w:szCs w:val="20"/>
          <w:lang w:val="es-VE"/>
        </w:rPr>
        <w:t xml:space="preserve"> el peticionario interpuso un</w:t>
      </w:r>
      <w:r w:rsidR="00A24527" w:rsidRPr="00B56CF7">
        <w:rPr>
          <w:rFonts w:asciiTheme="majorHAnsi" w:hAnsiTheme="majorHAnsi"/>
          <w:sz w:val="20"/>
          <w:szCs w:val="20"/>
          <w:lang w:val="es-VE"/>
        </w:rPr>
        <w:t>a serie de recursos adicionales</w:t>
      </w:r>
      <w:r w:rsidR="00D34C63" w:rsidRPr="00B56CF7">
        <w:rPr>
          <w:rFonts w:asciiTheme="majorHAnsi" w:hAnsiTheme="majorHAnsi"/>
          <w:sz w:val="20"/>
          <w:szCs w:val="20"/>
          <w:lang w:val="es-VE"/>
        </w:rPr>
        <w:t xml:space="preserve"> contra </w:t>
      </w:r>
      <w:r w:rsidR="00457DCE" w:rsidRPr="00B56CF7">
        <w:rPr>
          <w:rFonts w:asciiTheme="majorHAnsi" w:hAnsiTheme="majorHAnsi"/>
          <w:sz w:val="20"/>
          <w:szCs w:val="20"/>
          <w:lang w:val="es-VE"/>
        </w:rPr>
        <w:t>dicha</w:t>
      </w:r>
      <w:r w:rsidR="00D34C63" w:rsidRPr="00B56CF7">
        <w:rPr>
          <w:rFonts w:asciiTheme="majorHAnsi" w:hAnsiTheme="majorHAnsi"/>
          <w:sz w:val="20"/>
          <w:szCs w:val="20"/>
          <w:lang w:val="es-VE"/>
        </w:rPr>
        <w:t xml:space="preserve"> deneg</w:t>
      </w:r>
      <w:r w:rsidR="00B24F59" w:rsidRPr="00B56CF7">
        <w:rPr>
          <w:rFonts w:asciiTheme="majorHAnsi" w:hAnsiTheme="majorHAnsi"/>
          <w:sz w:val="20"/>
          <w:szCs w:val="20"/>
          <w:lang w:val="es-VE"/>
        </w:rPr>
        <w:t>at</w:t>
      </w:r>
      <w:r w:rsidR="00D34C63" w:rsidRPr="00B56CF7">
        <w:rPr>
          <w:rFonts w:asciiTheme="majorHAnsi" w:hAnsiTheme="majorHAnsi"/>
          <w:sz w:val="20"/>
          <w:szCs w:val="20"/>
          <w:lang w:val="es-VE"/>
        </w:rPr>
        <w:t>oria</w:t>
      </w:r>
      <w:r w:rsidR="00457DCE" w:rsidRPr="00B56CF7">
        <w:rPr>
          <w:rFonts w:asciiTheme="majorHAnsi" w:hAnsiTheme="majorHAnsi"/>
          <w:sz w:val="20"/>
          <w:szCs w:val="20"/>
          <w:lang w:val="es-VE"/>
        </w:rPr>
        <w:t>.</w:t>
      </w:r>
      <w:r w:rsidRPr="00B56CF7">
        <w:rPr>
          <w:rFonts w:asciiTheme="majorHAnsi" w:hAnsiTheme="majorHAnsi"/>
          <w:sz w:val="20"/>
          <w:szCs w:val="20"/>
          <w:lang w:val="es-VE"/>
        </w:rPr>
        <w:t xml:space="preserve"> </w:t>
      </w:r>
      <w:r w:rsidR="00457DCE" w:rsidRPr="00B56CF7">
        <w:rPr>
          <w:rFonts w:asciiTheme="majorHAnsi" w:hAnsiTheme="majorHAnsi"/>
          <w:sz w:val="20"/>
          <w:szCs w:val="20"/>
          <w:lang w:val="es-VE"/>
        </w:rPr>
        <w:t>E</w:t>
      </w:r>
      <w:r w:rsidRPr="00B56CF7">
        <w:rPr>
          <w:rFonts w:asciiTheme="majorHAnsi" w:hAnsiTheme="majorHAnsi"/>
          <w:sz w:val="20"/>
          <w:szCs w:val="20"/>
          <w:lang w:val="es-VE"/>
        </w:rPr>
        <w:t>n particular</w:t>
      </w:r>
      <w:r w:rsidR="007D0758" w:rsidRPr="00B56CF7">
        <w:rPr>
          <w:rFonts w:asciiTheme="majorHAnsi" w:hAnsiTheme="majorHAnsi"/>
          <w:sz w:val="20"/>
          <w:szCs w:val="20"/>
          <w:lang w:val="es-VE"/>
        </w:rPr>
        <w:t>,</w:t>
      </w:r>
      <w:r w:rsidR="000D180C" w:rsidRPr="00B56CF7">
        <w:rPr>
          <w:rFonts w:asciiTheme="majorHAnsi" w:hAnsiTheme="majorHAnsi"/>
          <w:sz w:val="20"/>
          <w:szCs w:val="20"/>
          <w:lang w:val="es-VE"/>
        </w:rPr>
        <w:t xml:space="preserve"> interpuso</w:t>
      </w:r>
      <w:r w:rsidRPr="00B56CF7">
        <w:rPr>
          <w:rFonts w:asciiTheme="majorHAnsi" w:hAnsiTheme="majorHAnsi"/>
          <w:sz w:val="20"/>
          <w:szCs w:val="20"/>
          <w:lang w:val="es-VE"/>
        </w:rPr>
        <w:t xml:space="preserve"> un recurso de queja, un recurso titulado </w:t>
      </w:r>
      <w:r w:rsidR="00F735AE" w:rsidRPr="00B56CF7">
        <w:rPr>
          <w:rFonts w:asciiTheme="majorHAnsi" w:hAnsiTheme="majorHAnsi"/>
          <w:sz w:val="20"/>
          <w:szCs w:val="20"/>
          <w:lang w:val="es-VE"/>
        </w:rPr>
        <w:t>“</w:t>
      </w:r>
      <w:r w:rsidRPr="00B56CF7">
        <w:rPr>
          <w:rFonts w:asciiTheme="majorHAnsi" w:hAnsiTheme="majorHAnsi"/>
          <w:sz w:val="20"/>
          <w:szCs w:val="20"/>
          <w:lang w:val="es-VE"/>
        </w:rPr>
        <w:t>garantía de libertad</w:t>
      </w:r>
      <w:r w:rsidR="00F735AE" w:rsidRPr="00B56CF7">
        <w:rPr>
          <w:rFonts w:asciiTheme="majorHAnsi" w:hAnsiTheme="majorHAnsi"/>
          <w:sz w:val="20"/>
          <w:szCs w:val="20"/>
          <w:lang w:val="es-VE"/>
        </w:rPr>
        <w:t>”</w:t>
      </w:r>
      <w:r w:rsidRPr="00B56CF7">
        <w:rPr>
          <w:rFonts w:asciiTheme="majorHAnsi" w:hAnsiTheme="majorHAnsi"/>
          <w:sz w:val="20"/>
          <w:szCs w:val="20"/>
          <w:lang w:val="es-VE"/>
        </w:rPr>
        <w:t xml:space="preserve"> y un recurso de reposici</w:t>
      </w:r>
      <w:r w:rsidR="001B38EF" w:rsidRPr="00B56CF7">
        <w:rPr>
          <w:rFonts w:asciiTheme="majorHAnsi" w:hAnsiTheme="majorHAnsi"/>
          <w:sz w:val="20"/>
          <w:szCs w:val="20"/>
          <w:lang w:val="es-VE"/>
        </w:rPr>
        <w:t>ón.</w:t>
      </w:r>
      <w:r w:rsidRPr="00B56CF7">
        <w:rPr>
          <w:rFonts w:asciiTheme="majorHAnsi" w:hAnsiTheme="majorHAnsi"/>
          <w:sz w:val="20"/>
          <w:szCs w:val="20"/>
          <w:lang w:val="es-VE"/>
        </w:rPr>
        <w:t xml:space="preserve"> La Comisión no tiene conocimiento del resultado </w:t>
      </w:r>
      <w:r w:rsidR="00894765" w:rsidRPr="00B56CF7">
        <w:rPr>
          <w:rFonts w:asciiTheme="majorHAnsi" w:hAnsiTheme="majorHAnsi"/>
          <w:sz w:val="20"/>
          <w:szCs w:val="20"/>
          <w:lang w:val="es-VE"/>
        </w:rPr>
        <w:t>de</w:t>
      </w:r>
      <w:r w:rsidRPr="00B56CF7">
        <w:rPr>
          <w:rFonts w:asciiTheme="majorHAnsi" w:hAnsiTheme="majorHAnsi"/>
          <w:sz w:val="20"/>
          <w:szCs w:val="20"/>
          <w:lang w:val="es-VE"/>
        </w:rPr>
        <w:t xml:space="preserve"> dichos recursos</w:t>
      </w:r>
      <w:r w:rsidRPr="00B56CF7">
        <w:rPr>
          <w:rStyle w:val="FootnoteReference"/>
          <w:rFonts w:asciiTheme="majorHAnsi" w:hAnsiTheme="majorHAnsi"/>
          <w:sz w:val="20"/>
          <w:szCs w:val="20"/>
          <w:lang w:val="es-VE"/>
        </w:rPr>
        <w:footnoteReference w:id="41"/>
      </w:r>
      <w:r w:rsidRPr="00B56CF7">
        <w:rPr>
          <w:rFonts w:asciiTheme="majorHAnsi" w:hAnsiTheme="majorHAnsi"/>
          <w:sz w:val="20"/>
          <w:szCs w:val="20"/>
          <w:lang w:val="es-VE"/>
        </w:rPr>
        <w:t xml:space="preserve">. </w:t>
      </w:r>
    </w:p>
    <w:p w:rsidR="00AC0D64" w:rsidRPr="00B56CF7" w:rsidRDefault="00AC0D64" w:rsidP="00AC0D6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rsidR="00AC0D64" w:rsidRPr="00B56CF7" w:rsidRDefault="00AC0D64" w:rsidP="0022415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Según informaron las partes, el peticionario fue liber</w:t>
      </w:r>
      <w:r w:rsidR="007F27F6" w:rsidRPr="00B56CF7">
        <w:rPr>
          <w:rFonts w:asciiTheme="majorHAnsi" w:hAnsiTheme="majorHAnsi"/>
          <w:sz w:val="20"/>
          <w:szCs w:val="20"/>
          <w:lang w:val="es-VE"/>
        </w:rPr>
        <w:t>ado el 13 de noviembre de 1997 a través de resolución del Tribunal en lo Criminal Federal No</w:t>
      </w:r>
      <w:r w:rsidR="004264E0" w:rsidRPr="00B56CF7">
        <w:rPr>
          <w:rFonts w:asciiTheme="majorHAnsi" w:hAnsiTheme="majorHAnsi"/>
          <w:sz w:val="20"/>
          <w:szCs w:val="20"/>
          <w:lang w:val="es-VE"/>
        </w:rPr>
        <w:t>.</w:t>
      </w:r>
      <w:r w:rsidR="007F27F6" w:rsidRPr="00B56CF7">
        <w:rPr>
          <w:rFonts w:asciiTheme="majorHAnsi" w:hAnsiTheme="majorHAnsi"/>
          <w:sz w:val="20"/>
          <w:szCs w:val="20"/>
          <w:lang w:val="es-VE"/>
        </w:rPr>
        <w:t xml:space="preserve"> 6 de Capital Federal, luego de constatar, según indicó el Estado</w:t>
      </w:r>
      <w:r w:rsidR="007D0758" w:rsidRPr="00B56CF7">
        <w:rPr>
          <w:rFonts w:asciiTheme="majorHAnsi" w:hAnsiTheme="majorHAnsi"/>
          <w:sz w:val="20"/>
          <w:szCs w:val="20"/>
          <w:lang w:val="es-VE"/>
        </w:rPr>
        <w:t>,</w:t>
      </w:r>
      <w:r w:rsidR="007F27F6" w:rsidRPr="00B56CF7">
        <w:rPr>
          <w:rFonts w:asciiTheme="majorHAnsi" w:hAnsiTheme="majorHAnsi"/>
          <w:sz w:val="20"/>
          <w:szCs w:val="20"/>
          <w:lang w:val="es-VE"/>
        </w:rPr>
        <w:t xml:space="preserve"> “la falsedad ideológica de ciertas constancias probatorias” que obraban en contra del peticionario. </w:t>
      </w:r>
      <w:r w:rsidR="00736B68" w:rsidRPr="00B56CF7">
        <w:rPr>
          <w:rFonts w:asciiTheme="majorHAnsi" w:hAnsiTheme="majorHAnsi"/>
          <w:sz w:val="20"/>
          <w:szCs w:val="20"/>
          <w:lang w:val="es-VE"/>
        </w:rPr>
        <w:t xml:space="preserve">Como se describió arriba, esta liberación fue seguida de la absolución del señor Jenkins que tuvo lugar semanas después. </w:t>
      </w:r>
    </w:p>
    <w:p w:rsidR="009249B2" w:rsidRPr="00B56CF7" w:rsidRDefault="009249B2" w:rsidP="004F57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rsidR="003F706E" w:rsidRPr="00B56CF7" w:rsidRDefault="003F706E" w:rsidP="009C1821">
      <w:pPr>
        <w:pStyle w:val="Heading2"/>
        <w:numPr>
          <w:ilvl w:val="0"/>
          <w:numId w:val="60"/>
        </w:numPr>
        <w:rPr>
          <w:lang w:val="es-VE"/>
        </w:rPr>
      </w:pPr>
      <w:bookmarkStart w:id="52" w:name="_Toc467577913"/>
      <w:bookmarkStart w:id="53" w:name="_Toc469409089"/>
      <w:r w:rsidRPr="00B56CF7">
        <w:rPr>
          <w:lang w:val="es-VE"/>
        </w:rPr>
        <w:t>Las investigaciones penal y administrativa por la prueba incorporada en la causa penal contra la presunta víctima</w:t>
      </w:r>
      <w:bookmarkEnd w:id="52"/>
      <w:bookmarkEnd w:id="53"/>
      <w:r w:rsidRPr="00B56CF7">
        <w:rPr>
          <w:lang w:val="es-VE"/>
        </w:rPr>
        <w:t xml:space="preserve"> </w:t>
      </w:r>
    </w:p>
    <w:p w:rsidR="00FA0908" w:rsidRPr="00B56CF7" w:rsidRDefault="00FA0908" w:rsidP="009249B2">
      <w:pPr>
        <w:jc w:val="both"/>
        <w:rPr>
          <w:rFonts w:asciiTheme="majorHAnsi" w:hAnsiTheme="majorHAnsi"/>
          <w:b/>
          <w:sz w:val="20"/>
          <w:szCs w:val="20"/>
          <w:lang w:val="es-VE"/>
        </w:rPr>
      </w:pPr>
    </w:p>
    <w:p w:rsidR="009C1821" w:rsidRPr="00B56CF7" w:rsidRDefault="009C1821" w:rsidP="00FA090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sidRPr="00B56CF7">
        <w:rPr>
          <w:rFonts w:asciiTheme="majorHAnsi" w:hAnsiTheme="majorHAnsi"/>
          <w:sz w:val="20"/>
          <w:szCs w:val="20"/>
          <w:lang w:val="es-VE"/>
        </w:rPr>
        <w:t>Tal como se indicó con anterioridad, en la sentencia que absolvió al peticionario por los</w:t>
      </w:r>
      <w:r w:rsidRPr="00B56CF7">
        <w:rPr>
          <w:rFonts w:asciiTheme="majorHAnsi" w:eastAsia="Times New Roman" w:hAnsiTheme="majorHAnsi"/>
          <w:sz w:val="20"/>
          <w:szCs w:val="20"/>
          <w:bdr w:val="none" w:sz="0" w:space="0" w:color="auto"/>
          <w:lang w:val="es-AR"/>
        </w:rPr>
        <w:t xml:space="preserve"> delitos de tráfico ilícito de estupefacientes y asociación ilícita, el </w:t>
      </w:r>
      <w:r w:rsidR="00FA0908" w:rsidRPr="00B56CF7">
        <w:rPr>
          <w:rFonts w:asciiTheme="majorHAnsi" w:eastAsia="Times New Roman" w:hAnsiTheme="majorHAnsi"/>
          <w:sz w:val="20"/>
          <w:szCs w:val="20"/>
          <w:bdr w:val="none" w:sz="0" w:space="0" w:color="auto"/>
          <w:lang w:val="es-AR"/>
        </w:rPr>
        <w:t xml:space="preserve">Tribunal Oral en lo Criminal Federal No. 6 de la Capital Federal ordenó </w:t>
      </w:r>
      <w:r w:rsidR="00FA0908" w:rsidRPr="00B56CF7">
        <w:rPr>
          <w:rFonts w:asciiTheme="majorHAnsi" w:hAnsiTheme="majorHAnsi"/>
          <w:sz w:val="20"/>
          <w:szCs w:val="20"/>
          <w:lang w:val="es-VE"/>
        </w:rPr>
        <w:t xml:space="preserve">investigar la eventual comisión de un delito de acción pública por las diferencias en el contenido del </w:t>
      </w:r>
      <w:proofErr w:type="spellStart"/>
      <w:r w:rsidR="00FA0908" w:rsidRPr="00B56CF7">
        <w:rPr>
          <w:rFonts w:asciiTheme="majorHAnsi" w:hAnsiTheme="majorHAnsi"/>
          <w:sz w:val="20"/>
          <w:szCs w:val="20"/>
          <w:lang w:val="es-VE"/>
        </w:rPr>
        <w:t>cassette</w:t>
      </w:r>
      <w:proofErr w:type="spellEnd"/>
      <w:r w:rsidR="00FA0908" w:rsidRPr="00B56CF7">
        <w:rPr>
          <w:rFonts w:asciiTheme="majorHAnsi" w:hAnsiTheme="majorHAnsi"/>
          <w:sz w:val="20"/>
          <w:szCs w:val="20"/>
          <w:lang w:val="es-VE"/>
        </w:rPr>
        <w:t xml:space="preserve"> </w:t>
      </w:r>
      <w:r w:rsidR="00297316" w:rsidRPr="00B56CF7">
        <w:rPr>
          <w:rFonts w:asciiTheme="majorHAnsi" w:hAnsiTheme="majorHAnsi"/>
          <w:sz w:val="20"/>
          <w:szCs w:val="20"/>
          <w:lang w:val="es-VE"/>
        </w:rPr>
        <w:t>N</w:t>
      </w:r>
      <w:r w:rsidR="00FA0908" w:rsidRPr="00B56CF7">
        <w:rPr>
          <w:rFonts w:asciiTheme="majorHAnsi" w:hAnsiTheme="majorHAnsi"/>
          <w:sz w:val="20"/>
          <w:szCs w:val="20"/>
          <w:lang w:val="es-VE"/>
        </w:rPr>
        <w:t xml:space="preserve">o. 40 y la constancia </w:t>
      </w:r>
      <w:proofErr w:type="spellStart"/>
      <w:r w:rsidR="00FA0908" w:rsidRPr="00B56CF7">
        <w:rPr>
          <w:rFonts w:asciiTheme="majorHAnsi" w:hAnsiTheme="majorHAnsi"/>
          <w:sz w:val="20"/>
          <w:szCs w:val="20"/>
          <w:lang w:val="es-VE"/>
        </w:rPr>
        <w:t>prevencional</w:t>
      </w:r>
      <w:proofErr w:type="spellEnd"/>
      <w:r w:rsidR="00FA0908" w:rsidRPr="00B56CF7">
        <w:rPr>
          <w:rFonts w:asciiTheme="majorHAnsi" w:hAnsiTheme="majorHAnsi"/>
          <w:sz w:val="20"/>
          <w:szCs w:val="20"/>
          <w:lang w:val="es-VE"/>
        </w:rPr>
        <w:t xml:space="preserve"> que obraba en el folio 1099 del proceso</w:t>
      </w:r>
      <w:r w:rsidR="00F109B2" w:rsidRPr="00B56CF7">
        <w:rPr>
          <w:rFonts w:asciiTheme="majorHAnsi" w:hAnsiTheme="majorHAnsi"/>
          <w:sz w:val="20"/>
          <w:szCs w:val="20"/>
          <w:lang w:val="es-VE"/>
        </w:rPr>
        <w:t>, así como por el hecho de que tales</w:t>
      </w:r>
      <w:r w:rsidR="00FA0908" w:rsidRPr="00B56CF7">
        <w:rPr>
          <w:rFonts w:asciiTheme="majorHAnsi" w:hAnsiTheme="majorHAnsi"/>
          <w:sz w:val="20"/>
          <w:szCs w:val="20"/>
          <w:lang w:val="es-VE"/>
        </w:rPr>
        <w:t xml:space="preserve"> elementos fueron considerados como prueba de cargo en contra del peticionario</w:t>
      </w:r>
      <w:r w:rsidR="00C8073A" w:rsidRPr="0062236D">
        <w:rPr>
          <w:rStyle w:val="FootnoteReference"/>
          <w:rFonts w:asciiTheme="majorHAnsi" w:hAnsiTheme="majorHAnsi"/>
          <w:sz w:val="20"/>
          <w:szCs w:val="20"/>
          <w:lang w:val="es-VE"/>
        </w:rPr>
        <w:footnoteReference w:id="42"/>
      </w:r>
      <w:r w:rsidR="00FA0908" w:rsidRPr="00B56CF7">
        <w:rPr>
          <w:rFonts w:asciiTheme="majorHAnsi" w:hAnsiTheme="majorHAnsi"/>
          <w:sz w:val="20"/>
          <w:szCs w:val="20"/>
          <w:lang w:val="es-VE"/>
        </w:rPr>
        <w:t>.</w:t>
      </w:r>
      <w:r w:rsidR="00297316" w:rsidRPr="00B56CF7">
        <w:rPr>
          <w:rFonts w:asciiTheme="majorHAnsi" w:hAnsiTheme="majorHAnsi"/>
          <w:sz w:val="20"/>
          <w:szCs w:val="20"/>
          <w:lang w:val="es-VE"/>
        </w:rPr>
        <w:t xml:space="preserve"> </w:t>
      </w:r>
    </w:p>
    <w:p w:rsidR="00FA0908" w:rsidRPr="00B56CF7" w:rsidRDefault="00FA0908" w:rsidP="00FA090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sz w:val="20"/>
          <w:szCs w:val="20"/>
          <w:bdr w:val="none" w:sz="0" w:space="0" w:color="auto"/>
          <w:lang w:val="es-AR"/>
        </w:rPr>
      </w:pPr>
    </w:p>
    <w:p w:rsidR="00FA0908" w:rsidRPr="00B56CF7" w:rsidRDefault="00FA0908" w:rsidP="00FA090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sidRPr="00B56CF7">
        <w:rPr>
          <w:rFonts w:asciiTheme="majorHAnsi" w:eastAsia="Times New Roman" w:hAnsiTheme="majorHAnsi"/>
          <w:sz w:val="20"/>
          <w:szCs w:val="20"/>
          <w:bdr w:val="none" w:sz="0" w:space="0" w:color="auto"/>
          <w:lang w:val="es-AR"/>
        </w:rPr>
        <w:t xml:space="preserve">En virtud de ello se iniciaron </w:t>
      </w:r>
      <w:r w:rsidR="00CE20B6" w:rsidRPr="00B56CF7">
        <w:rPr>
          <w:rFonts w:asciiTheme="majorHAnsi" w:eastAsia="Times New Roman" w:hAnsiTheme="majorHAnsi"/>
          <w:sz w:val="20"/>
          <w:szCs w:val="20"/>
          <w:bdr w:val="none" w:sz="0" w:space="0" w:color="auto"/>
          <w:lang w:val="es-AR"/>
        </w:rPr>
        <w:t>dos</w:t>
      </w:r>
      <w:r w:rsidRPr="00B56CF7">
        <w:rPr>
          <w:rFonts w:asciiTheme="majorHAnsi" w:eastAsia="Times New Roman" w:hAnsiTheme="majorHAnsi"/>
          <w:sz w:val="20"/>
          <w:szCs w:val="20"/>
          <w:bdr w:val="none" w:sz="0" w:space="0" w:color="auto"/>
          <w:lang w:val="es-AR"/>
        </w:rPr>
        <w:t xml:space="preserve"> investigaciones en sede penal y en sede administrativa</w:t>
      </w:r>
      <w:r w:rsidR="00CE20B6" w:rsidRPr="00B56CF7">
        <w:rPr>
          <w:rFonts w:asciiTheme="majorHAnsi" w:eastAsia="Times New Roman" w:hAnsiTheme="majorHAnsi"/>
          <w:sz w:val="20"/>
          <w:szCs w:val="20"/>
          <w:bdr w:val="none" w:sz="0" w:space="0" w:color="auto"/>
          <w:lang w:val="es-AR"/>
        </w:rPr>
        <w:t xml:space="preserve"> respectivamente</w:t>
      </w:r>
      <w:r w:rsidRPr="00B56CF7">
        <w:rPr>
          <w:rFonts w:asciiTheme="majorHAnsi" w:eastAsia="Times New Roman" w:hAnsiTheme="majorHAnsi"/>
          <w:sz w:val="20"/>
          <w:szCs w:val="20"/>
          <w:bdr w:val="none" w:sz="0" w:space="0" w:color="auto"/>
          <w:lang w:val="es-AR"/>
        </w:rPr>
        <w:t>, las cuales se describen a continuación.</w:t>
      </w:r>
    </w:p>
    <w:p w:rsidR="00894765" w:rsidRPr="00B56CF7" w:rsidRDefault="00894765" w:rsidP="00224155">
      <w:pPr>
        <w:jc w:val="both"/>
        <w:rPr>
          <w:rFonts w:asciiTheme="majorHAnsi" w:hAnsiTheme="majorHAnsi"/>
          <w:b/>
          <w:sz w:val="20"/>
          <w:szCs w:val="20"/>
          <w:lang w:val="es-VE"/>
        </w:rPr>
      </w:pPr>
    </w:p>
    <w:p w:rsidR="00D31F3C" w:rsidRPr="00B760A7" w:rsidRDefault="0087528D" w:rsidP="00B760A7">
      <w:pPr>
        <w:pStyle w:val="Heading3"/>
        <w:numPr>
          <w:ilvl w:val="0"/>
          <w:numId w:val="74"/>
        </w:numPr>
        <w:ind w:firstLine="0"/>
        <w:rPr>
          <w:color w:val="auto"/>
          <w:sz w:val="20"/>
          <w:szCs w:val="20"/>
          <w:lang w:val="es-VE"/>
        </w:rPr>
      </w:pPr>
      <w:bookmarkStart w:id="54" w:name="_Toc469409090"/>
      <w:r w:rsidRPr="00B760A7">
        <w:rPr>
          <w:color w:val="auto"/>
          <w:sz w:val="20"/>
          <w:szCs w:val="20"/>
          <w:lang w:val="es-VE"/>
        </w:rPr>
        <w:t>Investigaciones en sede penal</w:t>
      </w:r>
      <w:bookmarkEnd w:id="54"/>
      <w:r w:rsidRPr="00B760A7">
        <w:rPr>
          <w:color w:val="auto"/>
          <w:sz w:val="20"/>
          <w:szCs w:val="20"/>
          <w:lang w:val="es-VE"/>
        </w:rPr>
        <w:t xml:space="preserve"> </w:t>
      </w:r>
    </w:p>
    <w:p w:rsidR="009B6C83" w:rsidRPr="00B56CF7" w:rsidRDefault="009B6C83" w:rsidP="009B6C83">
      <w:pPr>
        <w:ind w:left="1440"/>
        <w:jc w:val="both"/>
        <w:rPr>
          <w:rFonts w:asciiTheme="majorHAnsi" w:hAnsiTheme="majorHAnsi"/>
          <w:b/>
          <w:sz w:val="20"/>
          <w:szCs w:val="20"/>
          <w:lang w:val="es-VE"/>
        </w:rPr>
      </w:pPr>
    </w:p>
    <w:p w:rsidR="00911CD9" w:rsidRPr="00B56CF7" w:rsidRDefault="00D31F3C" w:rsidP="0022415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El 25 de febrero de 1998 el Tribunal Oral en lo Criminal Federal remitió un oficio a la Cámara Nacional en lo C</w:t>
      </w:r>
      <w:r w:rsidR="00760390" w:rsidRPr="00B56CF7">
        <w:rPr>
          <w:rFonts w:asciiTheme="majorHAnsi" w:hAnsiTheme="majorHAnsi"/>
          <w:sz w:val="20"/>
          <w:szCs w:val="20"/>
          <w:lang w:val="es-VE"/>
        </w:rPr>
        <w:t xml:space="preserve">riminal y Correccional Federal </w:t>
      </w:r>
      <w:r w:rsidRPr="00B56CF7">
        <w:rPr>
          <w:rFonts w:asciiTheme="majorHAnsi" w:hAnsiTheme="majorHAnsi"/>
          <w:sz w:val="20"/>
          <w:szCs w:val="20"/>
          <w:lang w:val="es-VE"/>
        </w:rPr>
        <w:t>con el objeto de que investigue la</w:t>
      </w:r>
      <w:r w:rsidR="00891ADA">
        <w:rPr>
          <w:rFonts w:asciiTheme="majorHAnsi" w:hAnsiTheme="majorHAnsi"/>
          <w:sz w:val="20"/>
          <w:szCs w:val="20"/>
          <w:lang w:val="es-VE"/>
        </w:rPr>
        <w:t xml:space="preserve"> posible</w:t>
      </w:r>
      <w:r w:rsidRPr="00B56CF7">
        <w:rPr>
          <w:rFonts w:asciiTheme="majorHAnsi" w:hAnsiTheme="majorHAnsi"/>
          <w:sz w:val="20"/>
          <w:szCs w:val="20"/>
          <w:lang w:val="es-VE"/>
        </w:rPr>
        <w:t xml:space="preserve"> comisión de un delito en el marco de la causa “Padilla Echeverry”</w:t>
      </w:r>
      <w:r w:rsidRPr="00B56CF7">
        <w:rPr>
          <w:rFonts w:asciiTheme="majorHAnsi" w:hAnsiTheme="majorHAnsi"/>
          <w:sz w:val="20"/>
          <w:szCs w:val="20"/>
          <w:vertAlign w:val="superscript"/>
        </w:rPr>
        <w:footnoteReference w:id="43"/>
      </w:r>
      <w:r w:rsidRPr="00B56CF7">
        <w:rPr>
          <w:rFonts w:asciiTheme="majorHAnsi" w:hAnsiTheme="majorHAnsi"/>
          <w:sz w:val="20"/>
          <w:szCs w:val="20"/>
          <w:lang w:val="es-VE"/>
        </w:rPr>
        <w:t xml:space="preserve">. </w:t>
      </w:r>
    </w:p>
    <w:p w:rsidR="00911CD9" w:rsidRPr="00B56CF7" w:rsidRDefault="00911CD9" w:rsidP="00911CD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rsidR="00911CD9" w:rsidRPr="00B56CF7" w:rsidRDefault="008D29D4" w:rsidP="00911CD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 xml:space="preserve">El 26 de febrero de 1998 el Juzgado Nacional en lo Criminal y Correccional Federal No. 2 </w:t>
      </w:r>
      <w:r w:rsidR="00DF5598" w:rsidRPr="00B56CF7">
        <w:rPr>
          <w:rFonts w:asciiTheme="majorHAnsi" w:hAnsiTheme="majorHAnsi"/>
          <w:sz w:val="20"/>
          <w:szCs w:val="20"/>
          <w:lang w:val="es-VE"/>
        </w:rPr>
        <w:t>inició</w:t>
      </w:r>
      <w:r w:rsidRPr="00B56CF7">
        <w:rPr>
          <w:rFonts w:asciiTheme="majorHAnsi" w:hAnsiTheme="majorHAnsi"/>
          <w:sz w:val="20"/>
          <w:szCs w:val="20"/>
          <w:lang w:val="es-VE"/>
        </w:rPr>
        <w:t xml:space="preserve"> </w:t>
      </w:r>
      <w:r w:rsidR="00D31F3C" w:rsidRPr="00B56CF7">
        <w:rPr>
          <w:rFonts w:asciiTheme="majorHAnsi" w:hAnsiTheme="majorHAnsi"/>
          <w:sz w:val="20"/>
          <w:szCs w:val="20"/>
          <w:lang w:val="es-VE"/>
        </w:rPr>
        <w:t>la investigación</w:t>
      </w:r>
      <w:r w:rsidR="00D94765" w:rsidRPr="00B56CF7">
        <w:rPr>
          <w:rStyle w:val="FootnoteReference"/>
          <w:rFonts w:asciiTheme="majorHAnsi" w:hAnsiTheme="majorHAnsi"/>
          <w:sz w:val="20"/>
          <w:szCs w:val="20"/>
          <w:lang w:val="es-VE"/>
        </w:rPr>
        <w:footnoteReference w:id="44"/>
      </w:r>
      <w:r w:rsidR="00D94765" w:rsidRPr="00B56CF7">
        <w:rPr>
          <w:rFonts w:asciiTheme="majorHAnsi" w:hAnsiTheme="majorHAnsi"/>
          <w:sz w:val="20"/>
          <w:szCs w:val="20"/>
          <w:lang w:val="es-VE"/>
        </w:rPr>
        <w:t xml:space="preserve">. </w:t>
      </w:r>
      <w:r w:rsidR="00D31F3C" w:rsidRPr="00B56CF7">
        <w:rPr>
          <w:rFonts w:asciiTheme="majorHAnsi" w:hAnsiTheme="majorHAnsi"/>
          <w:sz w:val="20"/>
          <w:szCs w:val="20"/>
          <w:lang w:val="es-VE"/>
        </w:rPr>
        <w:t xml:space="preserve">En el marco de dicho proceso el </w:t>
      </w:r>
      <w:r w:rsidR="002A4AC6" w:rsidRPr="00B56CF7">
        <w:rPr>
          <w:rFonts w:asciiTheme="majorHAnsi" w:hAnsiTheme="majorHAnsi"/>
          <w:sz w:val="20"/>
          <w:szCs w:val="20"/>
          <w:lang w:val="es-VE"/>
        </w:rPr>
        <w:t xml:space="preserve">Ministerio Público </w:t>
      </w:r>
      <w:r w:rsidR="00C675D4" w:rsidRPr="00B56CF7">
        <w:rPr>
          <w:rFonts w:asciiTheme="majorHAnsi" w:hAnsiTheme="majorHAnsi"/>
          <w:sz w:val="20"/>
          <w:szCs w:val="20"/>
          <w:lang w:val="es-VE"/>
        </w:rPr>
        <w:t xml:space="preserve">confrontó el </w:t>
      </w:r>
      <w:proofErr w:type="spellStart"/>
      <w:r w:rsidR="00C675D4" w:rsidRPr="00B56CF7">
        <w:rPr>
          <w:rFonts w:asciiTheme="majorHAnsi" w:hAnsiTheme="majorHAnsi"/>
          <w:sz w:val="20"/>
          <w:szCs w:val="20"/>
          <w:lang w:val="es-VE"/>
        </w:rPr>
        <w:t>cassette</w:t>
      </w:r>
      <w:proofErr w:type="spellEnd"/>
      <w:r w:rsidR="00C675D4" w:rsidRPr="00B56CF7">
        <w:rPr>
          <w:rFonts w:asciiTheme="majorHAnsi" w:hAnsiTheme="majorHAnsi"/>
          <w:sz w:val="20"/>
          <w:szCs w:val="20"/>
          <w:lang w:val="es-VE"/>
        </w:rPr>
        <w:t xml:space="preserve"> con la </w:t>
      </w:r>
      <w:r w:rsidR="00CE20B6" w:rsidRPr="00B56CF7">
        <w:rPr>
          <w:rFonts w:asciiTheme="majorHAnsi" w:hAnsiTheme="majorHAnsi"/>
          <w:sz w:val="20"/>
          <w:szCs w:val="20"/>
          <w:lang w:val="es-VE"/>
        </w:rPr>
        <w:t>constancia</w:t>
      </w:r>
      <w:r w:rsidR="00C27349" w:rsidRPr="00B56CF7">
        <w:rPr>
          <w:rFonts w:asciiTheme="majorHAnsi" w:hAnsiTheme="majorHAnsi"/>
          <w:sz w:val="20"/>
          <w:szCs w:val="20"/>
          <w:lang w:val="es-VE"/>
        </w:rPr>
        <w:t xml:space="preserve"> del mismo y solicitó que se desestime el proceso por inexistencia de delito</w:t>
      </w:r>
      <w:r w:rsidR="0084626F" w:rsidRPr="00B56CF7">
        <w:rPr>
          <w:rStyle w:val="FootnoteReference"/>
          <w:rFonts w:asciiTheme="majorHAnsi" w:hAnsiTheme="majorHAnsi"/>
          <w:sz w:val="20"/>
          <w:szCs w:val="20"/>
          <w:lang w:val="es-VE"/>
        </w:rPr>
        <w:footnoteReference w:id="45"/>
      </w:r>
      <w:r w:rsidR="00A86C0A" w:rsidRPr="00B56CF7">
        <w:rPr>
          <w:rFonts w:asciiTheme="majorHAnsi" w:hAnsiTheme="majorHAnsi"/>
          <w:sz w:val="20"/>
          <w:szCs w:val="20"/>
          <w:lang w:val="es-VE"/>
        </w:rPr>
        <w:t>.</w:t>
      </w:r>
    </w:p>
    <w:p w:rsidR="00FC2925" w:rsidRPr="00B56CF7" w:rsidRDefault="00FC2925" w:rsidP="00FC292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rsidR="00C27349" w:rsidRPr="0062236D" w:rsidRDefault="00004302" w:rsidP="0074338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lastRenderedPageBreak/>
        <w:t xml:space="preserve">El 20 de abril de 1998 </w:t>
      </w:r>
      <w:r w:rsidR="0056548E" w:rsidRPr="00B56CF7">
        <w:rPr>
          <w:rFonts w:asciiTheme="majorHAnsi" w:hAnsiTheme="majorHAnsi"/>
          <w:sz w:val="20"/>
          <w:szCs w:val="20"/>
          <w:lang w:val="es-VE"/>
        </w:rPr>
        <w:t xml:space="preserve">el Juzgado Nacional en lo Criminal y Correccional Federal No. 2 </w:t>
      </w:r>
      <w:r w:rsidR="00C44508" w:rsidRPr="00B56CF7">
        <w:rPr>
          <w:rFonts w:asciiTheme="majorHAnsi" w:hAnsiTheme="majorHAnsi"/>
          <w:sz w:val="20"/>
          <w:szCs w:val="20"/>
          <w:lang w:val="es-VE"/>
        </w:rPr>
        <w:t xml:space="preserve">acogió dicha solicitud del Ministerio Público. </w:t>
      </w:r>
      <w:r w:rsidR="0056548E" w:rsidRPr="00B56CF7">
        <w:rPr>
          <w:rFonts w:asciiTheme="majorHAnsi" w:hAnsiTheme="majorHAnsi"/>
          <w:sz w:val="20"/>
          <w:szCs w:val="20"/>
          <w:lang w:val="es-VE"/>
        </w:rPr>
        <w:t>Para tal efecto</w:t>
      </w:r>
      <w:r w:rsidR="00890B04" w:rsidRPr="00B56CF7">
        <w:rPr>
          <w:rFonts w:asciiTheme="majorHAnsi" w:hAnsiTheme="majorHAnsi"/>
          <w:sz w:val="20"/>
          <w:szCs w:val="20"/>
          <w:lang w:val="es-VE"/>
        </w:rPr>
        <w:t>,</w:t>
      </w:r>
      <w:r w:rsidR="0056548E" w:rsidRPr="00B56CF7">
        <w:rPr>
          <w:rFonts w:asciiTheme="majorHAnsi" w:hAnsiTheme="majorHAnsi"/>
          <w:sz w:val="20"/>
          <w:szCs w:val="20"/>
          <w:lang w:val="es-VE"/>
        </w:rPr>
        <w:t xml:space="preserve"> consideró que </w:t>
      </w:r>
      <w:r w:rsidR="00EF758E" w:rsidRPr="00B56CF7">
        <w:rPr>
          <w:rFonts w:asciiTheme="majorHAnsi" w:hAnsiTheme="majorHAnsi"/>
          <w:sz w:val="20"/>
          <w:szCs w:val="20"/>
          <w:lang w:val="es-VE"/>
        </w:rPr>
        <w:t xml:space="preserve">el acta de fs. 1099 es coincidente con el contenido del </w:t>
      </w:r>
      <w:proofErr w:type="spellStart"/>
      <w:r w:rsidR="00EF758E" w:rsidRPr="00B56CF7">
        <w:rPr>
          <w:rFonts w:asciiTheme="majorHAnsi" w:hAnsiTheme="majorHAnsi"/>
          <w:sz w:val="20"/>
          <w:szCs w:val="20"/>
          <w:lang w:val="es-VE"/>
        </w:rPr>
        <w:t>cassette</w:t>
      </w:r>
      <w:proofErr w:type="spellEnd"/>
      <w:r w:rsidR="00EF758E" w:rsidRPr="00B56CF7">
        <w:rPr>
          <w:rFonts w:asciiTheme="majorHAnsi" w:hAnsiTheme="majorHAnsi"/>
          <w:sz w:val="20"/>
          <w:szCs w:val="20"/>
          <w:lang w:val="es-VE"/>
        </w:rPr>
        <w:t xml:space="preserve"> </w:t>
      </w:r>
      <w:r w:rsidR="00C84C1A" w:rsidRPr="00B56CF7">
        <w:rPr>
          <w:rFonts w:asciiTheme="majorHAnsi" w:hAnsiTheme="majorHAnsi"/>
          <w:sz w:val="20"/>
          <w:szCs w:val="20"/>
          <w:lang w:val="es-VE"/>
        </w:rPr>
        <w:t>N</w:t>
      </w:r>
      <w:r w:rsidR="00EF758E" w:rsidRPr="00B56CF7">
        <w:rPr>
          <w:rFonts w:asciiTheme="majorHAnsi" w:hAnsiTheme="majorHAnsi"/>
          <w:sz w:val="20"/>
          <w:szCs w:val="20"/>
          <w:lang w:val="es-VE"/>
        </w:rPr>
        <w:t xml:space="preserve">o. 40 en cuanto a que </w:t>
      </w:r>
      <w:r w:rsidR="007525DE" w:rsidRPr="00B56CF7">
        <w:rPr>
          <w:rFonts w:asciiTheme="majorHAnsi" w:hAnsiTheme="majorHAnsi"/>
          <w:sz w:val="20"/>
          <w:szCs w:val="20"/>
          <w:lang w:val="es-VE"/>
        </w:rPr>
        <w:t xml:space="preserve">se hace referencia a un viaje al exterior, sin mención del destino. </w:t>
      </w:r>
      <w:r w:rsidR="00A25182" w:rsidRPr="00B56CF7">
        <w:rPr>
          <w:rFonts w:asciiTheme="majorHAnsi" w:hAnsiTheme="majorHAnsi"/>
          <w:sz w:val="20"/>
          <w:szCs w:val="20"/>
          <w:lang w:val="es-VE"/>
        </w:rPr>
        <w:t>A su vez, estimó que el acta de fs. 1099 no fue el único ni el más importante indi</w:t>
      </w:r>
      <w:r w:rsidR="00CE20B6" w:rsidRPr="00B56CF7">
        <w:rPr>
          <w:rFonts w:asciiTheme="majorHAnsi" w:hAnsiTheme="majorHAnsi"/>
          <w:sz w:val="20"/>
          <w:szCs w:val="20"/>
          <w:lang w:val="es-VE"/>
        </w:rPr>
        <w:t>cio que tuvieron en cuenta los f</w:t>
      </w:r>
      <w:r w:rsidR="00A25182" w:rsidRPr="00B56CF7">
        <w:rPr>
          <w:rFonts w:asciiTheme="majorHAnsi" w:hAnsiTheme="majorHAnsi"/>
          <w:sz w:val="20"/>
          <w:szCs w:val="20"/>
          <w:lang w:val="es-VE"/>
        </w:rPr>
        <w:t>iscales para solicitar la elevación a juicio</w:t>
      </w:r>
      <w:r w:rsidR="00BA42C6" w:rsidRPr="00B56CF7">
        <w:rPr>
          <w:rFonts w:asciiTheme="majorHAnsi" w:hAnsiTheme="majorHAnsi"/>
          <w:sz w:val="20"/>
          <w:szCs w:val="20"/>
          <w:lang w:val="es-VE"/>
        </w:rPr>
        <w:t xml:space="preserve"> de la presunta víctima</w:t>
      </w:r>
      <w:r w:rsidR="00BA42C6" w:rsidRPr="00B56CF7">
        <w:rPr>
          <w:rStyle w:val="FootnoteReference"/>
          <w:rFonts w:asciiTheme="majorHAnsi" w:hAnsiTheme="majorHAnsi"/>
          <w:sz w:val="20"/>
          <w:szCs w:val="20"/>
          <w:lang w:val="es-VE"/>
        </w:rPr>
        <w:footnoteReference w:id="46"/>
      </w:r>
      <w:r w:rsidR="00BA42C6" w:rsidRPr="00B56CF7">
        <w:rPr>
          <w:rFonts w:asciiTheme="majorHAnsi" w:hAnsiTheme="majorHAnsi"/>
          <w:sz w:val="20"/>
          <w:szCs w:val="20"/>
          <w:lang w:val="es-VE"/>
        </w:rPr>
        <w:t>. Agreg</w:t>
      </w:r>
      <w:r w:rsidR="00962B4C" w:rsidRPr="00B56CF7">
        <w:rPr>
          <w:rFonts w:asciiTheme="majorHAnsi" w:hAnsiTheme="majorHAnsi"/>
          <w:sz w:val="20"/>
          <w:szCs w:val="20"/>
          <w:lang w:val="es-VE"/>
        </w:rPr>
        <w:t>ó</w:t>
      </w:r>
      <w:r w:rsidR="00BA42C6" w:rsidRPr="00B56CF7">
        <w:rPr>
          <w:rFonts w:asciiTheme="majorHAnsi" w:hAnsiTheme="majorHAnsi"/>
          <w:sz w:val="20"/>
          <w:szCs w:val="20"/>
          <w:lang w:val="es-VE"/>
        </w:rPr>
        <w:t xml:space="preserve"> que </w:t>
      </w:r>
      <w:r w:rsidR="00B9049A" w:rsidRPr="00B56CF7">
        <w:rPr>
          <w:rFonts w:asciiTheme="majorHAnsi" w:hAnsiTheme="majorHAnsi"/>
          <w:sz w:val="20"/>
          <w:szCs w:val="20"/>
          <w:lang w:val="es-VE"/>
        </w:rPr>
        <w:t>la referencia de un viaje al exterior que haría la presunta víctima tampoco fue un factor relevante para solicitar la elevación a juicio del peticionario</w:t>
      </w:r>
      <w:r w:rsidR="00A25182" w:rsidRPr="00B56CF7">
        <w:rPr>
          <w:rStyle w:val="FootnoteReference"/>
          <w:rFonts w:asciiTheme="majorHAnsi" w:hAnsiTheme="majorHAnsi"/>
          <w:sz w:val="20"/>
          <w:szCs w:val="20"/>
          <w:lang w:val="es-VE"/>
        </w:rPr>
        <w:footnoteReference w:id="47"/>
      </w:r>
      <w:r w:rsidR="00A25182" w:rsidRPr="00B56CF7">
        <w:rPr>
          <w:rFonts w:asciiTheme="majorHAnsi" w:hAnsiTheme="majorHAnsi"/>
          <w:sz w:val="20"/>
          <w:szCs w:val="20"/>
          <w:lang w:val="es-VE"/>
        </w:rPr>
        <w:t>.</w:t>
      </w:r>
    </w:p>
    <w:p w:rsidR="00D31F3C" w:rsidRPr="00B56CF7" w:rsidRDefault="00D31F3C" w:rsidP="00224155">
      <w:pPr>
        <w:jc w:val="both"/>
        <w:rPr>
          <w:rFonts w:asciiTheme="majorHAnsi" w:hAnsiTheme="majorHAnsi"/>
          <w:b/>
          <w:sz w:val="20"/>
          <w:szCs w:val="20"/>
          <w:lang w:val="es-VE"/>
        </w:rPr>
      </w:pPr>
    </w:p>
    <w:p w:rsidR="003B0CA0" w:rsidRPr="00B760A7" w:rsidRDefault="00BC0A95" w:rsidP="00B760A7">
      <w:pPr>
        <w:pStyle w:val="Heading3"/>
        <w:numPr>
          <w:ilvl w:val="0"/>
          <w:numId w:val="74"/>
        </w:numPr>
        <w:ind w:firstLine="0"/>
        <w:rPr>
          <w:color w:val="auto"/>
          <w:sz w:val="20"/>
          <w:szCs w:val="20"/>
          <w:lang w:val="es-VE"/>
        </w:rPr>
      </w:pPr>
      <w:bookmarkStart w:id="55" w:name="_Toc469409091"/>
      <w:r>
        <w:rPr>
          <w:color w:val="auto"/>
          <w:sz w:val="20"/>
          <w:szCs w:val="20"/>
          <w:lang w:val="es-VE"/>
        </w:rPr>
        <w:t xml:space="preserve">Investigaciones </w:t>
      </w:r>
      <w:r w:rsidR="0087528D" w:rsidRPr="00B760A7">
        <w:rPr>
          <w:color w:val="auto"/>
          <w:sz w:val="20"/>
          <w:szCs w:val="20"/>
          <w:lang w:val="es-VE"/>
        </w:rPr>
        <w:t>en sede administrativa</w:t>
      </w:r>
      <w:bookmarkEnd w:id="55"/>
    </w:p>
    <w:p w:rsidR="00542560" w:rsidRDefault="00542560" w:rsidP="0054256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heme="majorEastAsia" w:hAnsiTheme="majorHAnsi" w:cstheme="majorBidi"/>
          <w:b/>
          <w:bCs/>
          <w:sz w:val="20"/>
          <w:szCs w:val="20"/>
          <w:lang w:val="es-VE"/>
        </w:rPr>
      </w:pPr>
    </w:p>
    <w:p w:rsidR="00B74317" w:rsidRPr="00B56CF7" w:rsidRDefault="00D22575" w:rsidP="0054256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Con respecto a las in</w:t>
      </w:r>
      <w:r w:rsidR="00A05A90" w:rsidRPr="00B56CF7">
        <w:rPr>
          <w:rFonts w:asciiTheme="majorHAnsi" w:hAnsiTheme="majorHAnsi"/>
          <w:sz w:val="20"/>
          <w:szCs w:val="20"/>
          <w:lang w:val="es-VE"/>
        </w:rPr>
        <w:t xml:space="preserve">vestigaciones administrativas, </w:t>
      </w:r>
      <w:r w:rsidRPr="00B56CF7">
        <w:rPr>
          <w:rFonts w:asciiTheme="majorHAnsi" w:hAnsiTheme="majorHAnsi"/>
          <w:sz w:val="20"/>
          <w:szCs w:val="20"/>
          <w:lang w:val="es-VE"/>
        </w:rPr>
        <w:t>también el</w:t>
      </w:r>
      <w:r w:rsidR="00D31F3C" w:rsidRPr="00B56CF7">
        <w:rPr>
          <w:rFonts w:asciiTheme="majorHAnsi" w:hAnsiTheme="majorHAnsi"/>
          <w:sz w:val="20"/>
          <w:szCs w:val="20"/>
          <w:lang w:val="es-VE"/>
        </w:rPr>
        <w:t xml:space="preserve"> 25 de febrero de 1998 el Tribunal Oral en lo Criminal Federal remitió un oficio al Procurador General de la Nación </w:t>
      </w:r>
      <w:r w:rsidR="001B1C23" w:rsidRPr="00B56CF7">
        <w:rPr>
          <w:rFonts w:asciiTheme="majorHAnsi" w:hAnsiTheme="majorHAnsi"/>
          <w:sz w:val="20"/>
          <w:szCs w:val="20"/>
          <w:lang w:val="es-VE"/>
        </w:rPr>
        <w:t xml:space="preserve">poniendo en su conocimiento la “anomalía” en la que incurrieron los Fiscales Mullen y José </w:t>
      </w:r>
      <w:proofErr w:type="spellStart"/>
      <w:r w:rsidR="001B1C23" w:rsidRPr="00B56CF7">
        <w:rPr>
          <w:rFonts w:asciiTheme="majorHAnsi" w:hAnsiTheme="majorHAnsi"/>
          <w:sz w:val="20"/>
          <w:szCs w:val="20"/>
          <w:lang w:val="es-VE"/>
        </w:rPr>
        <w:t>Barbaccia</w:t>
      </w:r>
      <w:proofErr w:type="spellEnd"/>
      <w:r w:rsidR="001B1C23" w:rsidRPr="00B56CF7">
        <w:rPr>
          <w:rFonts w:asciiTheme="majorHAnsi" w:hAnsiTheme="majorHAnsi"/>
          <w:sz w:val="20"/>
          <w:szCs w:val="20"/>
          <w:lang w:val="es-VE"/>
        </w:rPr>
        <w:t xml:space="preserve"> al utilizar como prueba de cargo en contra de uno de los procesados “una información policial que no se condecía con lo ocurrido</w:t>
      </w:r>
      <w:r w:rsidR="000A395F" w:rsidRPr="00B56CF7">
        <w:rPr>
          <w:rFonts w:asciiTheme="majorHAnsi" w:hAnsiTheme="majorHAnsi"/>
          <w:sz w:val="20"/>
          <w:szCs w:val="20"/>
          <w:lang w:val="es-VE"/>
        </w:rPr>
        <w:t>”</w:t>
      </w:r>
      <w:r w:rsidR="001B1C23" w:rsidRPr="00542560">
        <w:rPr>
          <w:rFonts w:asciiTheme="majorHAnsi" w:hAnsiTheme="majorHAnsi"/>
          <w:sz w:val="20"/>
          <w:szCs w:val="20"/>
          <w:vertAlign w:val="superscript"/>
          <w:lang w:val="es-VE"/>
        </w:rPr>
        <w:footnoteReference w:id="48"/>
      </w:r>
      <w:r w:rsidR="001B1C23" w:rsidRPr="00B56CF7">
        <w:rPr>
          <w:rFonts w:asciiTheme="majorHAnsi" w:hAnsiTheme="majorHAnsi"/>
          <w:sz w:val="20"/>
          <w:szCs w:val="20"/>
          <w:lang w:val="es-VE"/>
        </w:rPr>
        <w:t>.</w:t>
      </w:r>
      <w:r w:rsidR="00C164B9" w:rsidRPr="00B56CF7">
        <w:rPr>
          <w:rFonts w:asciiTheme="majorHAnsi" w:hAnsiTheme="majorHAnsi"/>
          <w:sz w:val="20"/>
          <w:szCs w:val="20"/>
          <w:lang w:val="es-VE"/>
        </w:rPr>
        <w:t xml:space="preserve"> </w:t>
      </w:r>
      <w:r w:rsidRPr="00B56CF7">
        <w:rPr>
          <w:rFonts w:asciiTheme="majorHAnsi" w:hAnsiTheme="majorHAnsi"/>
          <w:sz w:val="20"/>
          <w:szCs w:val="20"/>
          <w:lang w:val="es-VE"/>
        </w:rPr>
        <w:t>En virtud de ello, l</w:t>
      </w:r>
      <w:r w:rsidR="00B74317" w:rsidRPr="00B56CF7">
        <w:rPr>
          <w:rFonts w:asciiTheme="majorHAnsi" w:hAnsiTheme="majorHAnsi"/>
          <w:sz w:val="20"/>
          <w:szCs w:val="20"/>
          <w:lang w:val="es-VE"/>
        </w:rPr>
        <w:t>a</w:t>
      </w:r>
      <w:r w:rsidR="00045C17" w:rsidRPr="00B56CF7">
        <w:rPr>
          <w:rFonts w:asciiTheme="majorHAnsi" w:hAnsiTheme="majorHAnsi"/>
          <w:sz w:val="20"/>
          <w:szCs w:val="20"/>
          <w:lang w:val="es-VE"/>
        </w:rPr>
        <w:t xml:space="preserve"> Procuración General de la Nación inició un expediente administrativo</w:t>
      </w:r>
      <w:r w:rsidR="00B74317" w:rsidRPr="00B56CF7">
        <w:rPr>
          <w:rFonts w:asciiTheme="majorHAnsi" w:hAnsiTheme="majorHAnsi"/>
          <w:sz w:val="20"/>
          <w:szCs w:val="20"/>
          <w:lang w:val="es-VE"/>
        </w:rPr>
        <w:t xml:space="preserve"> para deducir posibles responsabilidad</w:t>
      </w:r>
      <w:r w:rsidR="006A34DF" w:rsidRPr="00B56CF7">
        <w:rPr>
          <w:rFonts w:asciiTheme="majorHAnsi" w:hAnsiTheme="majorHAnsi"/>
          <w:sz w:val="20"/>
          <w:szCs w:val="20"/>
          <w:lang w:val="es-VE"/>
        </w:rPr>
        <w:t>es funcionales en que hubieran in</w:t>
      </w:r>
      <w:r w:rsidR="00B74317" w:rsidRPr="00B56CF7">
        <w:rPr>
          <w:rFonts w:asciiTheme="majorHAnsi" w:hAnsiTheme="majorHAnsi"/>
          <w:sz w:val="20"/>
          <w:szCs w:val="20"/>
          <w:lang w:val="es-VE"/>
        </w:rPr>
        <w:t>currido los fiscales que obraron en la causa penal contra el peticionario</w:t>
      </w:r>
      <w:r w:rsidR="00045C17" w:rsidRPr="00B56CF7">
        <w:rPr>
          <w:rFonts w:asciiTheme="majorHAnsi" w:hAnsiTheme="majorHAnsi"/>
          <w:sz w:val="20"/>
          <w:szCs w:val="20"/>
          <w:lang w:val="es-VE"/>
        </w:rPr>
        <w:t xml:space="preserve">. </w:t>
      </w:r>
    </w:p>
    <w:p w:rsidR="00B74317" w:rsidRPr="00B56CF7" w:rsidRDefault="00B74317" w:rsidP="00B74317">
      <w:pPr>
        <w:pStyle w:val="ListParagraph"/>
        <w:rPr>
          <w:rFonts w:asciiTheme="majorHAnsi" w:hAnsiTheme="majorHAnsi"/>
          <w:sz w:val="20"/>
          <w:szCs w:val="20"/>
          <w:lang w:val="es-VE"/>
        </w:rPr>
      </w:pPr>
    </w:p>
    <w:p w:rsidR="00284873" w:rsidRPr="00B56CF7" w:rsidRDefault="00045C17" w:rsidP="00B7431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 xml:space="preserve">El 6 de septiembre de 1999 la Procuración General de la Nación dictó </w:t>
      </w:r>
      <w:r w:rsidR="00CB3AA7" w:rsidRPr="00B56CF7">
        <w:rPr>
          <w:rFonts w:asciiTheme="majorHAnsi" w:hAnsiTheme="majorHAnsi"/>
          <w:sz w:val="20"/>
          <w:szCs w:val="20"/>
          <w:lang w:val="es-VE"/>
        </w:rPr>
        <w:t>la resoluci</w:t>
      </w:r>
      <w:r w:rsidR="00777F44" w:rsidRPr="00B56CF7">
        <w:rPr>
          <w:rFonts w:asciiTheme="majorHAnsi" w:hAnsiTheme="majorHAnsi"/>
          <w:sz w:val="20"/>
          <w:szCs w:val="20"/>
          <w:lang w:val="es-VE"/>
        </w:rPr>
        <w:t>ón 108/99 ordenando el archivo de las actuaciones</w:t>
      </w:r>
      <w:r w:rsidR="001E0915">
        <w:rPr>
          <w:rFonts w:asciiTheme="majorHAnsi" w:hAnsiTheme="majorHAnsi"/>
          <w:sz w:val="20"/>
          <w:szCs w:val="20"/>
          <w:lang w:val="es-VE"/>
        </w:rPr>
        <w:t>, al considerar que</w:t>
      </w:r>
      <w:r w:rsidR="00777F44" w:rsidRPr="00B56CF7">
        <w:rPr>
          <w:rFonts w:asciiTheme="majorHAnsi" w:hAnsiTheme="majorHAnsi"/>
          <w:sz w:val="20"/>
          <w:szCs w:val="20"/>
          <w:lang w:val="es-VE"/>
        </w:rPr>
        <w:t xml:space="preserve"> no corresponde efectuar reproche de índole funcional a los Fiscales </w:t>
      </w:r>
      <w:proofErr w:type="spellStart"/>
      <w:r w:rsidR="00777F44" w:rsidRPr="00B56CF7">
        <w:rPr>
          <w:rFonts w:asciiTheme="majorHAnsi" w:hAnsiTheme="majorHAnsi"/>
          <w:sz w:val="20"/>
          <w:szCs w:val="20"/>
          <w:lang w:val="es-VE"/>
        </w:rPr>
        <w:t>Eamón</w:t>
      </w:r>
      <w:proofErr w:type="spellEnd"/>
      <w:r w:rsidR="00777F44" w:rsidRPr="00B56CF7">
        <w:rPr>
          <w:rFonts w:asciiTheme="majorHAnsi" w:hAnsiTheme="majorHAnsi"/>
          <w:sz w:val="20"/>
          <w:szCs w:val="20"/>
          <w:lang w:val="es-VE"/>
        </w:rPr>
        <w:t xml:space="preserve"> Mullen y José C. </w:t>
      </w:r>
      <w:proofErr w:type="spellStart"/>
      <w:r w:rsidR="00777F44" w:rsidRPr="00B56CF7">
        <w:rPr>
          <w:rFonts w:asciiTheme="majorHAnsi" w:hAnsiTheme="majorHAnsi"/>
          <w:sz w:val="20"/>
          <w:szCs w:val="20"/>
          <w:lang w:val="es-VE"/>
        </w:rPr>
        <w:t>Barbaccia</w:t>
      </w:r>
      <w:proofErr w:type="spellEnd"/>
      <w:r w:rsidR="00777F44" w:rsidRPr="00B56CF7">
        <w:rPr>
          <w:rFonts w:asciiTheme="majorHAnsi" w:hAnsiTheme="majorHAnsi"/>
          <w:sz w:val="20"/>
          <w:szCs w:val="20"/>
          <w:lang w:val="es-VE"/>
        </w:rPr>
        <w:t xml:space="preserve"> por su desempeño en la causa Padilla Etcheverry y otros</w:t>
      </w:r>
      <w:r w:rsidR="009312A3" w:rsidRPr="00B56CF7">
        <w:rPr>
          <w:rStyle w:val="FootnoteReference"/>
          <w:rFonts w:asciiTheme="majorHAnsi" w:hAnsiTheme="majorHAnsi"/>
          <w:sz w:val="20"/>
          <w:szCs w:val="20"/>
          <w:lang w:val="es-VE"/>
        </w:rPr>
        <w:footnoteReference w:id="49"/>
      </w:r>
      <w:r w:rsidR="00777F44" w:rsidRPr="00B56CF7">
        <w:rPr>
          <w:rFonts w:asciiTheme="majorHAnsi" w:hAnsiTheme="majorHAnsi"/>
          <w:sz w:val="20"/>
          <w:szCs w:val="20"/>
          <w:lang w:val="es-VE"/>
        </w:rPr>
        <w:t xml:space="preserve">. </w:t>
      </w:r>
    </w:p>
    <w:p w:rsidR="006E33B3" w:rsidRPr="00B56CF7" w:rsidRDefault="006E33B3" w:rsidP="006E33B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rsidR="006E2908" w:rsidRPr="00B56CF7" w:rsidRDefault="00251E70" w:rsidP="0022415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 xml:space="preserve">Al respecto, agregó que la constancia de fojas 1099, “si bien fue considerada por los fiscales como elemento de cargo, fue utilizado como un medio de prueba no concluyente, dentro de un contexto de indicios que llevaron a los citados Magistrados del Ministerio Público Fiscal a solicitar la elevación a juicio </w:t>
      </w:r>
      <w:r w:rsidR="008E4946" w:rsidRPr="00B56CF7">
        <w:rPr>
          <w:rFonts w:asciiTheme="majorHAnsi" w:hAnsiTheme="majorHAnsi"/>
          <w:sz w:val="20"/>
          <w:szCs w:val="20"/>
          <w:lang w:val="es-VE"/>
        </w:rPr>
        <w:t>del encartado Gabriel Jenkins</w:t>
      </w:r>
      <w:r w:rsidR="00D2631B" w:rsidRPr="00B56CF7">
        <w:rPr>
          <w:rFonts w:asciiTheme="majorHAnsi" w:hAnsiTheme="majorHAnsi"/>
          <w:sz w:val="20"/>
          <w:szCs w:val="20"/>
          <w:lang w:val="es-VE"/>
        </w:rPr>
        <w:t>”</w:t>
      </w:r>
      <w:r w:rsidR="008E4946" w:rsidRPr="00B56CF7">
        <w:rPr>
          <w:rFonts w:asciiTheme="majorHAnsi" w:hAnsiTheme="majorHAnsi"/>
          <w:sz w:val="20"/>
          <w:szCs w:val="20"/>
          <w:lang w:val="es-VE"/>
        </w:rPr>
        <w:t xml:space="preserve">. </w:t>
      </w:r>
      <w:r w:rsidRPr="00B56CF7">
        <w:rPr>
          <w:rFonts w:asciiTheme="majorHAnsi" w:hAnsiTheme="majorHAnsi"/>
          <w:sz w:val="20"/>
          <w:szCs w:val="20"/>
          <w:lang w:val="es-VE"/>
        </w:rPr>
        <w:t xml:space="preserve">Indicó que lo que permitió a los fiscales Mullen y </w:t>
      </w:r>
      <w:proofErr w:type="spellStart"/>
      <w:r w:rsidRPr="00B56CF7">
        <w:rPr>
          <w:rFonts w:asciiTheme="majorHAnsi" w:hAnsiTheme="majorHAnsi"/>
          <w:sz w:val="20"/>
          <w:szCs w:val="20"/>
          <w:lang w:val="es-VE"/>
        </w:rPr>
        <w:t>Barbaccia</w:t>
      </w:r>
      <w:proofErr w:type="spellEnd"/>
      <w:r w:rsidRPr="00B56CF7">
        <w:rPr>
          <w:rFonts w:asciiTheme="majorHAnsi" w:hAnsiTheme="majorHAnsi"/>
          <w:sz w:val="20"/>
          <w:szCs w:val="20"/>
          <w:lang w:val="es-VE"/>
        </w:rPr>
        <w:t xml:space="preserve"> inferir de una posible reunión en Panamá fue relacionar la totalidad de las pruebas aportadas a la causa</w:t>
      </w:r>
      <w:r w:rsidRPr="00B56CF7">
        <w:rPr>
          <w:rStyle w:val="FootnoteReference"/>
          <w:rFonts w:asciiTheme="majorHAnsi" w:hAnsiTheme="majorHAnsi"/>
          <w:sz w:val="20"/>
          <w:szCs w:val="20"/>
          <w:lang w:val="es-VE"/>
        </w:rPr>
        <w:footnoteReference w:id="50"/>
      </w:r>
      <w:r w:rsidRPr="00B56CF7">
        <w:rPr>
          <w:rFonts w:asciiTheme="majorHAnsi" w:hAnsiTheme="majorHAnsi"/>
          <w:sz w:val="20"/>
          <w:szCs w:val="20"/>
          <w:lang w:val="es-VE"/>
        </w:rPr>
        <w:t xml:space="preserve">. </w:t>
      </w:r>
    </w:p>
    <w:p w:rsidR="00275A82" w:rsidRPr="00B56CF7" w:rsidRDefault="00275A82" w:rsidP="00275A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rsidR="00275A82" w:rsidRPr="00B56CF7" w:rsidRDefault="00275A82" w:rsidP="0022415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Con posterioridad Gabriel Jenkins solicitó la revisión de dicha decisión, no obstante el 15 de octubre de 2009 le fue informado por la Procuraduría General de la Nación que</w:t>
      </w:r>
      <w:r w:rsidR="001E0915">
        <w:rPr>
          <w:rFonts w:asciiTheme="majorHAnsi" w:hAnsiTheme="majorHAnsi"/>
          <w:sz w:val="20"/>
          <w:szCs w:val="20"/>
          <w:lang w:val="es-VE"/>
        </w:rPr>
        <w:t>,</w:t>
      </w:r>
      <w:r w:rsidRPr="00B56CF7">
        <w:rPr>
          <w:rFonts w:asciiTheme="majorHAnsi" w:hAnsiTheme="majorHAnsi"/>
          <w:sz w:val="20"/>
          <w:szCs w:val="20"/>
          <w:lang w:val="es-VE"/>
        </w:rPr>
        <w:t xml:space="preserve"> en virtud de las renuncias a sus cargos de Mullen y </w:t>
      </w:r>
      <w:proofErr w:type="spellStart"/>
      <w:r w:rsidRPr="00B56CF7">
        <w:rPr>
          <w:rFonts w:asciiTheme="majorHAnsi" w:hAnsiTheme="majorHAnsi"/>
          <w:sz w:val="20"/>
          <w:szCs w:val="20"/>
          <w:lang w:val="es-VE"/>
        </w:rPr>
        <w:t>Barbaccia</w:t>
      </w:r>
      <w:proofErr w:type="spellEnd"/>
      <w:r w:rsidR="001E0915">
        <w:rPr>
          <w:rFonts w:asciiTheme="majorHAnsi" w:hAnsiTheme="majorHAnsi"/>
          <w:sz w:val="20"/>
          <w:szCs w:val="20"/>
          <w:lang w:val="es-VE"/>
        </w:rPr>
        <w:t>,</w:t>
      </w:r>
      <w:r w:rsidRPr="00B56CF7">
        <w:rPr>
          <w:rFonts w:asciiTheme="majorHAnsi" w:hAnsiTheme="majorHAnsi"/>
          <w:sz w:val="20"/>
          <w:szCs w:val="20"/>
          <w:lang w:val="es-VE"/>
        </w:rPr>
        <w:t xml:space="preserve"> “ha cesado toda potestad disciplinaria de esta Procuración General sobre ellos, por tanto su revisión deviene abstracta”</w:t>
      </w:r>
      <w:r w:rsidR="0034641D" w:rsidRPr="00B56CF7">
        <w:rPr>
          <w:rStyle w:val="FootnoteReference"/>
          <w:rFonts w:asciiTheme="majorHAnsi" w:hAnsiTheme="majorHAnsi"/>
          <w:sz w:val="20"/>
          <w:szCs w:val="20"/>
          <w:lang w:val="es-VE"/>
        </w:rPr>
        <w:footnoteReference w:id="51"/>
      </w:r>
      <w:r w:rsidRPr="00B56CF7">
        <w:rPr>
          <w:rFonts w:asciiTheme="majorHAnsi" w:hAnsiTheme="majorHAnsi"/>
          <w:sz w:val="20"/>
          <w:szCs w:val="20"/>
          <w:lang w:val="es-VE"/>
        </w:rPr>
        <w:t xml:space="preserve">. </w:t>
      </w:r>
    </w:p>
    <w:p w:rsidR="005F7F85" w:rsidRPr="00B56CF7" w:rsidRDefault="005F7F85" w:rsidP="002F5C30">
      <w:pPr>
        <w:jc w:val="both"/>
        <w:rPr>
          <w:rFonts w:asciiTheme="majorHAnsi" w:hAnsiTheme="majorHAnsi"/>
          <w:b/>
          <w:sz w:val="20"/>
          <w:szCs w:val="20"/>
          <w:lang w:val="es-VE"/>
        </w:rPr>
      </w:pPr>
    </w:p>
    <w:p w:rsidR="002F5C30" w:rsidRPr="00B56CF7" w:rsidRDefault="003F706E" w:rsidP="005F7F85">
      <w:pPr>
        <w:pStyle w:val="Heading2"/>
        <w:numPr>
          <w:ilvl w:val="0"/>
          <w:numId w:val="60"/>
        </w:numPr>
        <w:rPr>
          <w:lang w:val="es-VE"/>
        </w:rPr>
      </w:pPr>
      <w:bookmarkStart w:id="56" w:name="_Toc467577914"/>
      <w:bookmarkStart w:id="57" w:name="_Toc469409092"/>
      <w:r w:rsidRPr="00B56CF7">
        <w:rPr>
          <w:lang w:val="es-VE"/>
        </w:rPr>
        <w:t xml:space="preserve">El </w:t>
      </w:r>
      <w:r w:rsidR="006A177B" w:rsidRPr="00B56CF7">
        <w:rPr>
          <w:lang w:val="es-VE"/>
        </w:rPr>
        <w:t>p</w:t>
      </w:r>
      <w:r w:rsidR="002F5C30" w:rsidRPr="00B56CF7">
        <w:rPr>
          <w:lang w:val="es-VE"/>
        </w:rPr>
        <w:t>roceso</w:t>
      </w:r>
      <w:r w:rsidR="0047664A" w:rsidRPr="00B56CF7">
        <w:rPr>
          <w:lang w:val="es-VE"/>
        </w:rPr>
        <w:t xml:space="preserve"> por</w:t>
      </w:r>
      <w:r w:rsidR="005F7F85" w:rsidRPr="00B56CF7">
        <w:rPr>
          <w:lang w:val="es-VE"/>
        </w:rPr>
        <w:t xml:space="preserve"> daños y perjuicios</w:t>
      </w:r>
      <w:r w:rsidR="002F5C30" w:rsidRPr="00B56CF7">
        <w:rPr>
          <w:lang w:val="es-VE"/>
        </w:rPr>
        <w:t xml:space="preserve"> promovido por el peticionario</w:t>
      </w:r>
      <w:bookmarkEnd w:id="56"/>
      <w:bookmarkEnd w:id="57"/>
    </w:p>
    <w:p w:rsidR="000817EB" w:rsidRPr="00B56CF7" w:rsidRDefault="000817EB" w:rsidP="005A61C9">
      <w:pPr>
        <w:jc w:val="both"/>
        <w:rPr>
          <w:rFonts w:asciiTheme="majorHAnsi" w:hAnsiTheme="majorHAnsi"/>
          <w:b/>
          <w:sz w:val="20"/>
          <w:szCs w:val="20"/>
          <w:lang w:val="es-VE"/>
        </w:rPr>
      </w:pPr>
    </w:p>
    <w:p w:rsidR="000817EB" w:rsidRPr="00EE24AD" w:rsidRDefault="000817EB" w:rsidP="00EE24AD">
      <w:pPr>
        <w:pStyle w:val="Heading3"/>
        <w:numPr>
          <w:ilvl w:val="0"/>
          <w:numId w:val="72"/>
        </w:numPr>
        <w:ind w:firstLine="0"/>
        <w:rPr>
          <w:sz w:val="20"/>
          <w:szCs w:val="20"/>
          <w:lang w:val="es-VE"/>
        </w:rPr>
      </w:pPr>
      <w:bookmarkStart w:id="58" w:name="_Toc469409093"/>
      <w:r w:rsidRPr="00EE24AD">
        <w:rPr>
          <w:color w:val="auto"/>
          <w:sz w:val="20"/>
          <w:szCs w:val="20"/>
          <w:lang w:val="es-VE"/>
        </w:rPr>
        <w:lastRenderedPageBreak/>
        <w:t xml:space="preserve">Acción por daños y perjuicios </w:t>
      </w:r>
      <w:r w:rsidR="00F50D1D" w:rsidRPr="00EE24AD">
        <w:rPr>
          <w:color w:val="auto"/>
          <w:sz w:val="20"/>
          <w:szCs w:val="20"/>
          <w:lang w:val="es-VE"/>
        </w:rPr>
        <w:t>y decisión de primera instancia</w:t>
      </w:r>
      <w:bookmarkEnd w:id="58"/>
      <w:r w:rsidR="00F50D1D" w:rsidRPr="00EE24AD">
        <w:rPr>
          <w:color w:val="auto"/>
          <w:sz w:val="20"/>
          <w:szCs w:val="20"/>
          <w:lang w:val="es-VE"/>
        </w:rPr>
        <w:t xml:space="preserve"> </w:t>
      </w:r>
    </w:p>
    <w:p w:rsidR="000F1847" w:rsidRPr="00B56CF7" w:rsidRDefault="000F1847" w:rsidP="000F1847">
      <w:pPr>
        <w:pStyle w:val="ListParagraph"/>
        <w:ind w:left="1800"/>
        <w:jc w:val="both"/>
        <w:rPr>
          <w:rFonts w:asciiTheme="majorHAnsi" w:hAnsiTheme="majorHAnsi"/>
          <w:b/>
          <w:sz w:val="20"/>
          <w:szCs w:val="20"/>
          <w:lang w:val="es-VE"/>
        </w:rPr>
      </w:pPr>
    </w:p>
    <w:p w:rsidR="00EC456F" w:rsidRPr="00B56CF7" w:rsidRDefault="005A61C9" w:rsidP="00B13AD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 xml:space="preserve">Además de las acciones descritas con anterioridad, </w:t>
      </w:r>
      <w:r w:rsidR="007F0E4E" w:rsidRPr="00B56CF7">
        <w:rPr>
          <w:rFonts w:asciiTheme="majorHAnsi" w:hAnsiTheme="majorHAnsi"/>
          <w:sz w:val="20"/>
          <w:szCs w:val="20"/>
          <w:lang w:val="es-VE"/>
        </w:rPr>
        <w:t xml:space="preserve">en diciembre de 1999 </w:t>
      </w:r>
      <w:r w:rsidRPr="00B56CF7">
        <w:rPr>
          <w:rFonts w:asciiTheme="majorHAnsi" w:hAnsiTheme="majorHAnsi"/>
          <w:sz w:val="20"/>
          <w:szCs w:val="20"/>
          <w:lang w:val="es-VE"/>
        </w:rPr>
        <w:t>el peticionario</w:t>
      </w:r>
      <w:r w:rsidR="00E956AD" w:rsidRPr="00B56CF7">
        <w:rPr>
          <w:rFonts w:asciiTheme="majorHAnsi" w:hAnsiTheme="majorHAnsi"/>
          <w:sz w:val="20"/>
          <w:szCs w:val="20"/>
          <w:lang w:val="es-VE"/>
        </w:rPr>
        <w:t xml:space="preserve"> presentó una</w:t>
      </w:r>
      <w:r w:rsidR="00EC456F" w:rsidRPr="00B56CF7">
        <w:rPr>
          <w:rFonts w:asciiTheme="majorHAnsi" w:hAnsiTheme="majorHAnsi"/>
          <w:sz w:val="20"/>
          <w:szCs w:val="20"/>
          <w:lang w:val="es-VE"/>
        </w:rPr>
        <w:t xml:space="preserve"> </w:t>
      </w:r>
      <w:r w:rsidR="00B13ADD" w:rsidRPr="00B56CF7">
        <w:rPr>
          <w:rFonts w:asciiTheme="majorHAnsi" w:hAnsiTheme="majorHAnsi"/>
          <w:sz w:val="20"/>
          <w:szCs w:val="20"/>
          <w:lang w:val="es-VE"/>
        </w:rPr>
        <w:t>demanda</w:t>
      </w:r>
      <w:r w:rsidR="00EC456F" w:rsidRPr="00B56CF7">
        <w:rPr>
          <w:rFonts w:asciiTheme="majorHAnsi" w:hAnsiTheme="majorHAnsi"/>
          <w:sz w:val="20"/>
          <w:szCs w:val="20"/>
          <w:lang w:val="es-VE"/>
        </w:rPr>
        <w:t xml:space="preserve"> por daños y perjuicios </w:t>
      </w:r>
      <w:r w:rsidR="00B13ADD" w:rsidRPr="00B56CF7">
        <w:rPr>
          <w:rFonts w:asciiTheme="majorHAnsi" w:hAnsiTheme="majorHAnsi"/>
          <w:sz w:val="20"/>
          <w:szCs w:val="20"/>
          <w:lang w:val="es-VE"/>
        </w:rPr>
        <w:t xml:space="preserve">contra el Estado y contra </w:t>
      </w:r>
      <w:r w:rsidR="004F57FF" w:rsidRPr="00B56CF7">
        <w:rPr>
          <w:rFonts w:asciiTheme="majorHAnsi" w:hAnsiTheme="majorHAnsi"/>
          <w:sz w:val="20"/>
          <w:szCs w:val="20"/>
          <w:lang w:val="es-VE"/>
        </w:rPr>
        <w:t xml:space="preserve">Juan </w:t>
      </w:r>
      <w:r w:rsidR="00B13ADD" w:rsidRPr="00B56CF7">
        <w:rPr>
          <w:rFonts w:asciiTheme="majorHAnsi" w:hAnsiTheme="majorHAnsi"/>
          <w:sz w:val="20"/>
          <w:szCs w:val="20"/>
          <w:lang w:val="es-VE"/>
        </w:rPr>
        <w:t>José Galeano (Juez que ordenó su detención en 1994)</w:t>
      </w:r>
      <w:r w:rsidR="00DD515F" w:rsidRPr="00B56CF7">
        <w:rPr>
          <w:rFonts w:asciiTheme="majorHAnsi" w:hAnsiTheme="majorHAnsi"/>
          <w:sz w:val="20"/>
          <w:szCs w:val="20"/>
          <w:lang w:val="es-VE"/>
        </w:rPr>
        <w:t xml:space="preserve"> </w:t>
      </w:r>
      <w:r w:rsidR="003E0811" w:rsidRPr="00B56CF7">
        <w:rPr>
          <w:rFonts w:asciiTheme="majorHAnsi" w:hAnsiTheme="majorHAnsi"/>
          <w:sz w:val="20"/>
          <w:szCs w:val="20"/>
          <w:lang w:val="es-VE"/>
        </w:rPr>
        <w:t xml:space="preserve">la cual se tramitó ante la Jueza Federal de Primera Instancia en lo Contencioso Administrativo No. 10. </w:t>
      </w:r>
    </w:p>
    <w:p w:rsidR="00E956AD" w:rsidRPr="00B56CF7" w:rsidRDefault="00E956AD" w:rsidP="00E956A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rsidR="00B13ADD" w:rsidRPr="00B56CF7" w:rsidRDefault="00B13ADD" w:rsidP="00F2075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El 8 de junio de 2000 la demanda de daños y perjuicios fue parcialmente rechazada al acogerse la excepción de falta de legitimación para ser demandado interpuesta por el juez de instrucción, por no haberse solicitado previamente su desafuero según lo disponían los artículos 115 y 5</w:t>
      </w:r>
      <w:r w:rsidR="00962B4C" w:rsidRPr="00B56CF7">
        <w:rPr>
          <w:rFonts w:asciiTheme="majorHAnsi" w:hAnsiTheme="majorHAnsi"/>
          <w:sz w:val="20"/>
          <w:szCs w:val="20"/>
          <w:lang w:val="es-VE"/>
        </w:rPr>
        <w:t xml:space="preserve">3 de la Constitución Nacional. </w:t>
      </w:r>
      <w:r w:rsidR="00DD515F" w:rsidRPr="00B56CF7">
        <w:rPr>
          <w:rFonts w:asciiTheme="majorHAnsi" w:hAnsiTheme="majorHAnsi"/>
          <w:sz w:val="20"/>
          <w:szCs w:val="20"/>
          <w:lang w:val="es-VE"/>
        </w:rPr>
        <w:t>En la misma providencia, la Jueza decidió continuar el trámite de la demanda respecto del Estado Nacional</w:t>
      </w:r>
      <w:r w:rsidR="00835C46" w:rsidRPr="00B56CF7">
        <w:rPr>
          <w:rStyle w:val="FootnoteReference"/>
          <w:rFonts w:asciiTheme="majorHAnsi" w:hAnsiTheme="majorHAnsi"/>
          <w:sz w:val="20"/>
          <w:szCs w:val="20"/>
          <w:lang w:val="es-VE"/>
        </w:rPr>
        <w:footnoteReference w:id="52"/>
      </w:r>
      <w:r w:rsidR="00DD515F" w:rsidRPr="00B56CF7">
        <w:rPr>
          <w:rFonts w:asciiTheme="majorHAnsi" w:hAnsiTheme="majorHAnsi"/>
          <w:sz w:val="20"/>
          <w:szCs w:val="20"/>
          <w:lang w:val="es-VE"/>
        </w:rPr>
        <w:t xml:space="preserve">. </w:t>
      </w:r>
    </w:p>
    <w:p w:rsidR="00B13ADD" w:rsidRPr="00B56CF7" w:rsidRDefault="00B13ADD" w:rsidP="00B13ADD">
      <w:pPr>
        <w:pStyle w:val="ListParagraph"/>
        <w:rPr>
          <w:rFonts w:asciiTheme="majorHAnsi" w:hAnsiTheme="majorHAnsi"/>
          <w:sz w:val="20"/>
          <w:szCs w:val="20"/>
          <w:lang w:val="es-VE"/>
        </w:rPr>
      </w:pPr>
    </w:p>
    <w:p w:rsidR="00603A60" w:rsidRPr="00B56CF7" w:rsidRDefault="007F0E4E" w:rsidP="001B365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El 30 de abril de 2007 d</w:t>
      </w:r>
      <w:r w:rsidR="003E0811" w:rsidRPr="00B56CF7">
        <w:rPr>
          <w:rFonts w:asciiTheme="majorHAnsi" w:hAnsiTheme="majorHAnsi"/>
          <w:sz w:val="20"/>
          <w:szCs w:val="20"/>
          <w:lang w:val="es-VE"/>
        </w:rPr>
        <w:t>icha jueza</w:t>
      </w:r>
      <w:r w:rsidR="00E956AD" w:rsidRPr="00B56CF7">
        <w:rPr>
          <w:rFonts w:asciiTheme="majorHAnsi" w:hAnsiTheme="majorHAnsi"/>
          <w:sz w:val="20"/>
          <w:szCs w:val="20"/>
          <w:lang w:val="es-VE"/>
        </w:rPr>
        <w:t xml:space="preserve"> </w:t>
      </w:r>
      <w:r w:rsidR="00AB190A" w:rsidRPr="00B56CF7">
        <w:rPr>
          <w:rFonts w:asciiTheme="majorHAnsi" w:hAnsiTheme="majorHAnsi"/>
          <w:sz w:val="20"/>
          <w:szCs w:val="20"/>
          <w:lang w:val="es-VE"/>
        </w:rPr>
        <w:t>dictó sentencia rechazando</w:t>
      </w:r>
      <w:r w:rsidR="00E956AD" w:rsidRPr="00B56CF7">
        <w:rPr>
          <w:rFonts w:asciiTheme="majorHAnsi" w:hAnsiTheme="majorHAnsi"/>
          <w:sz w:val="20"/>
          <w:szCs w:val="20"/>
          <w:lang w:val="es-VE"/>
        </w:rPr>
        <w:t xml:space="preserve"> la acci</w:t>
      </w:r>
      <w:r w:rsidR="0084650F" w:rsidRPr="00B56CF7">
        <w:rPr>
          <w:rFonts w:asciiTheme="majorHAnsi" w:hAnsiTheme="majorHAnsi"/>
          <w:sz w:val="20"/>
          <w:szCs w:val="20"/>
          <w:lang w:val="es-VE"/>
        </w:rPr>
        <w:t>ón de daños y perjuicios</w:t>
      </w:r>
      <w:r w:rsidR="00572700" w:rsidRPr="00B56CF7">
        <w:rPr>
          <w:rFonts w:asciiTheme="majorHAnsi" w:hAnsiTheme="majorHAnsi"/>
          <w:sz w:val="20"/>
          <w:szCs w:val="20"/>
          <w:lang w:val="es-VE"/>
        </w:rPr>
        <w:t>,</w:t>
      </w:r>
      <w:r w:rsidR="0084650F" w:rsidRPr="00B56CF7">
        <w:rPr>
          <w:rFonts w:asciiTheme="majorHAnsi" w:hAnsiTheme="majorHAnsi"/>
          <w:sz w:val="20"/>
          <w:szCs w:val="20"/>
          <w:lang w:val="es-VE"/>
        </w:rPr>
        <w:t xml:space="preserve"> </w:t>
      </w:r>
      <w:r w:rsidR="00AB190A" w:rsidRPr="00B56CF7">
        <w:rPr>
          <w:rFonts w:asciiTheme="majorHAnsi" w:hAnsiTheme="majorHAnsi"/>
          <w:sz w:val="20"/>
          <w:szCs w:val="20"/>
          <w:lang w:val="es-VE"/>
        </w:rPr>
        <w:t xml:space="preserve">indicando </w:t>
      </w:r>
      <w:r w:rsidR="0084650F" w:rsidRPr="00B56CF7">
        <w:rPr>
          <w:rFonts w:asciiTheme="majorHAnsi" w:hAnsiTheme="majorHAnsi"/>
          <w:sz w:val="20"/>
          <w:szCs w:val="20"/>
          <w:lang w:val="es-VE"/>
        </w:rPr>
        <w:t xml:space="preserve">que </w:t>
      </w:r>
      <w:r w:rsidR="00EB7CCF" w:rsidRPr="00B56CF7">
        <w:rPr>
          <w:rFonts w:asciiTheme="majorHAnsi" w:hAnsiTheme="majorHAnsi"/>
          <w:sz w:val="20"/>
          <w:szCs w:val="20"/>
          <w:lang w:val="es-VE"/>
        </w:rPr>
        <w:t>para que el Estado sea responsable del perjuicio ocasionado a quien sufre prisión preventiva y luego resulta absuelto</w:t>
      </w:r>
      <w:r w:rsidR="001E0915">
        <w:rPr>
          <w:rFonts w:asciiTheme="majorHAnsi" w:hAnsiTheme="majorHAnsi"/>
          <w:sz w:val="20"/>
          <w:szCs w:val="20"/>
          <w:lang w:val="es-VE"/>
        </w:rPr>
        <w:t>,</w:t>
      </w:r>
      <w:r w:rsidR="00EB7CCF" w:rsidRPr="00B56CF7">
        <w:rPr>
          <w:rFonts w:asciiTheme="majorHAnsi" w:hAnsiTheme="majorHAnsi"/>
          <w:sz w:val="20"/>
          <w:szCs w:val="20"/>
          <w:lang w:val="es-VE"/>
        </w:rPr>
        <w:t xml:space="preserve"> se requiere que la absolución haya sido dictada en virtud de su </w:t>
      </w:r>
      <w:r w:rsidR="00AB190A" w:rsidRPr="00B56CF7">
        <w:rPr>
          <w:rFonts w:asciiTheme="majorHAnsi" w:hAnsiTheme="majorHAnsi"/>
          <w:sz w:val="20"/>
          <w:szCs w:val="20"/>
          <w:lang w:val="es-VE"/>
        </w:rPr>
        <w:t>“</w:t>
      </w:r>
      <w:r w:rsidR="00EB7CCF" w:rsidRPr="00B56CF7">
        <w:rPr>
          <w:rFonts w:asciiTheme="majorHAnsi" w:hAnsiTheme="majorHAnsi"/>
          <w:sz w:val="20"/>
          <w:szCs w:val="20"/>
          <w:lang w:val="es-VE"/>
        </w:rPr>
        <w:t>inocencia manifiesta</w:t>
      </w:r>
      <w:r w:rsidR="00AB190A" w:rsidRPr="00B56CF7">
        <w:rPr>
          <w:rFonts w:asciiTheme="majorHAnsi" w:hAnsiTheme="majorHAnsi"/>
          <w:sz w:val="20"/>
          <w:szCs w:val="20"/>
          <w:lang w:val="es-VE"/>
        </w:rPr>
        <w:t>”</w:t>
      </w:r>
      <w:r w:rsidR="00EB7CCF" w:rsidRPr="00B56CF7">
        <w:rPr>
          <w:rFonts w:asciiTheme="majorHAnsi" w:hAnsiTheme="majorHAnsi"/>
          <w:sz w:val="20"/>
          <w:szCs w:val="20"/>
          <w:lang w:val="es-VE"/>
        </w:rPr>
        <w:t xml:space="preserve"> y que el auto de prisión preventiva se revele como incuestionablemente infundado o arbitrario</w:t>
      </w:r>
      <w:r w:rsidRPr="00B56CF7">
        <w:rPr>
          <w:rFonts w:asciiTheme="majorHAnsi" w:hAnsiTheme="majorHAnsi"/>
          <w:sz w:val="20"/>
          <w:szCs w:val="20"/>
          <w:lang w:val="es-VE"/>
        </w:rPr>
        <w:t>,</w:t>
      </w:r>
      <w:r w:rsidR="00EB7CCF" w:rsidRPr="00B56CF7">
        <w:rPr>
          <w:rFonts w:asciiTheme="majorHAnsi" w:hAnsiTheme="majorHAnsi"/>
          <w:sz w:val="20"/>
          <w:szCs w:val="20"/>
          <w:lang w:val="es-VE"/>
        </w:rPr>
        <w:t xml:space="preserve"> lo cual no surge del expediente del caso bajo su conocimiento</w:t>
      </w:r>
      <w:r w:rsidR="00EB7CCF" w:rsidRPr="00B56CF7">
        <w:rPr>
          <w:rStyle w:val="FootnoteReference"/>
          <w:rFonts w:asciiTheme="majorHAnsi" w:hAnsiTheme="majorHAnsi"/>
          <w:sz w:val="20"/>
          <w:szCs w:val="20"/>
          <w:lang w:val="es-VE"/>
        </w:rPr>
        <w:footnoteReference w:id="53"/>
      </w:r>
      <w:r w:rsidR="00EB7CCF" w:rsidRPr="00B56CF7">
        <w:rPr>
          <w:rFonts w:asciiTheme="majorHAnsi" w:hAnsiTheme="majorHAnsi"/>
          <w:sz w:val="20"/>
          <w:szCs w:val="20"/>
          <w:lang w:val="es-VE"/>
        </w:rPr>
        <w:t>.</w:t>
      </w:r>
      <w:r w:rsidR="00603A60" w:rsidRPr="00B56CF7">
        <w:rPr>
          <w:rFonts w:asciiTheme="majorHAnsi" w:hAnsiTheme="majorHAnsi"/>
          <w:sz w:val="20"/>
          <w:szCs w:val="20"/>
          <w:lang w:val="es-VE"/>
        </w:rPr>
        <w:t xml:space="preserve"> Indicó que</w:t>
      </w:r>
      <w:r w:rsidR="00375BD2" w:rsidRPr="00B56CF7">
        <w:rPr>
          <w:rFonts w:asciiTheme="majorHAnsi" w:hAnsiTheme="majorHAnsi"/>
          <w:sz w:val="20"/>
          <w:szCs w:val="20"/>
          <w:lang w:val="es-VE"/>
        </w:rPr>
        <w:t xml:space="preserve"> el señor</w:t>
      </w:r>
      <w:r w:rsidR="00603A60" w:rsidRPr="00B56CF7">
        <w:rPr>
          <w:rFonts w:asciiTheme="majorHAnsi" w:hAnsiTheme="majorHAnsi"/>
          <w:sz w:val="20"/>
          <w:szCs w:val="20"/>
          <w:lang w:val="es-VE"/>
        </w:rPr>
        <w:t xml:space="preserve"> Jenkins fue absuelto por el Tribunal Oral en lo Criminal Federal No. 6 por no haberse producido acusación fiscal en su contra, sin embargo su absolución fue decidida por mayoría simple y no fue dictada en virtud de su inocencia manifiesta sino por la insuficiencia de elementos probatorios en su contra</w:t>
      </w:r>
      <w:r w:rsidR="00603A60" w:rsidRPr="00B56CF7">
        <w:rPr>
          <w:rStyle w:val="FootnoteReference"/>
          <w:rFonts w:asciiTheme="majorHAnsi" w:hAnsiTheme="majorHAnsi"/>
          <w:sz w:val="20"/>
          <w:szCs w:val="20"/>
          <w:lang w:val="es-VE"/>
        </w:rPr>
        <w:footnoteReference w:id="54"/>
      </w:r>
      <w:r w:rsidR="00603A60" w:rsidRPr="00B56CF7">
        <w:rPr>
          <w:rFonts w:asciiTheme="majorHAnsi" w:hAnsiTheme="majorHAnsi"/>
          <w:sz w:val="20"/>
          <w:szCs w:val="20"/>
          <w:lang w:val="es-VE"/>
        </w:rPr>
        <w:t xml:space="preserve">. </w:t>
      </w:r>
    </w:p>
    <w:p w:rsidR="00603A60" w:rsidRPr="00B56CF7" w:rsidRDefault="00603A60" w:rsidP="006E33B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rsidR="00EB7CCF" w:rsidRPr="00B56CF7" w:rsidRDefault="007E15CA" w:rsidP="00F2075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Agregó</w:t>
      </w:r>
      <w:r w:rsidR="001E0915">
        <w:rPr>
          <w:rFonts w:asciiTheme="majorHAnsi" w:hAnsiTheme="majorHAnsi"/>
          <w:sz w:val="20"/>
          <w:szCs w:val="20"/>
          <w:lang w:val="es-VE"/>
        </w:rPr>
        <w:t xml:space="preserve"> </w:t>
      </w:r>
      <w:r w:rsidRPr="00B56CF7">
        <w:rPr>
          <w:rFonts w:asciiTheme="majorHAnsi" w:hAnsiTheme="majorHAnsi"/>
          <w:sz w:val="20"/>
          <w:szCs w:val="20"/>
          <w:lang w:val="es-VE"/>
        </w:rPr>
        <w:t>en relación con el auto de prisión preventiva</w:t>
      </w:r>
      <w:r w:rsidR="00240952" w:rsidRPr="00B56CF7">
        <w:rPr>
          <w:rFonts w:asciiTheme="majorHAnsi" w:hAnsiTheme="majorHAnsi"/>
          <w:sz w:val="20"/>
          <w:szCs w:val="20"/>
          <w:lang w:val="es-VE"/>
        </w:rPr>
        <w:t>,</w:t>
      </w:r>
      <w:r w:rsidRPr="00B56CF7">
        <w:rPr>
          <w:rFonts w:asciiTheme="majorHAnsi" w:hAnsiTheme="majorHAnsi"/>
          <w:sz w:val="20"/>
          <w:szCs w:val="20"/>
          <w:lang w:val="es-VE"/>
        </w:rPr>
        <w:t xml:space="preserve"> que </w:t>
      </w:r>
      <w:r w:rsidR="00240952" w:rsidRPr="00B56CF7">
        <w:rPr>
          <w:rFonts w:asciiTheme="majorHAnsi" w:hAnsiTheme="majorHAnsi"/>
          <w:sz w:val="20"/>
          <w:szCs w:val="20"/>
          <w:lang w:val="es-VE"/>
        </w:rPr>
        <w:t xml:space="preserve">este no fue incuestionablemente infundado o arbitrario porque para dictarlo no sólo se tuvo en cuenta </w:t>
      </w:r>
      <w:r w:rsidR="005403C4" w:rsidRPr="00B56CF7">
        <w:rPr>
          <w:rFonts w:asciiTheme="majorHAnsi" w:hAnsiTheme="majorHAnsi"/>
          <w:sz w:val="20"/>
          <w:szCs w:val="20"/>
          <w:lang w:val="es-VE"/>
        </w:rPr>
        <w:t>la conversació</w:t>
      </w:r>
      <w:r w:rsidR="001B3659" w:rsidRPr="00B56CF7">
        <w:rPr>
          <w:rFonts w:asciiTheme="majorHAnsi" w:hAnsiTheme="majorHAnsi"/>
          <w:sz w:val="20"/>
          <w:szCs w:val="20"/>
          <w:lang w:val="es-VE"/>
        </w:rPr>
        <w:t xml:space="preserve">n a que se refiere el </w:t>
      </w:r>
      <w:proofErr w:type="spellStart"/>
      <w:r w:rsidR="001B3659" w:rsidRPr="00B56CF7">
        <w:rPr>
          <w:rFonts w:asciiTheme="majorHAnsi" w:hAnsiTheme="majorHAnsi"/>
          <w:sz w:val="20"/>
          <w:szCs w:val="20"/>
          <w:lang w:val="es-VE"/>
        </w:rPr>
        <w:t>cassette</w:t>
      </w:r>
      <w:proofErr w:type="spellEnd"/>
      <w:r w:rsidR="001B3659" w:rsidRPr="00B56CF7">
        <w:rPr>
          <w:rFonts w:asciiTheme="majorHAnsi" w:hAnsiTheme="majorHAnsi"/>
          <w:sz w:val="20"/>
          <w:szCs w:val="20"/>
          <w:lang w:val="es-VE"/>
        </w:rPr>
        <w:t xml:space="preserve"> N</w:t>
      </w:r>
      <w:r w:rsidR="005403C4" w:rsidRPr="00B56CF7">
        <w:rPr>
          <w:rFonts w:asciiTheme="majorHAnsi" w:hAnsiTheme="majorHAnsi"/>
          <w:sz w:val="20"/>
          <w:szCs w:val="20"/>
          <w:lang w:val="es-VE"/>
        </w:rPr>
        <w:t>o</w:t>
      </w:r>
      <w:r w:rsidR="00572700" w:rsidRPr="00B56CF7">
        <w:rPr>
          <w:rFonts w:asciiTheme="majorHAnsi" w:hAnsiTheme="majorHAnsi"/>
          <w:sz w:val="20"/>
          <w:szCs w:val="20"/>
          <w:lang w:val="es-VE"/>
        </w:rPr>
        <w:t>.</w:t>
      </w:r>
      <w:r w:rsidR="001B3659" w:rsidRPr="00B56CF7">
        <w:rPr>
          <w:rFonts w:asciiTheme="majorHAnsi" w:hAnsiTheme="majorHAnsi"/>
          <w:sz w:val="20"/>
          <w:szCs w:val="20"/>
          <w:lang w:val="es-VE"/>
        </w:rPr>
        <w:t xml:space="preserve"> </w:t>
      </w:r>
      <w:r w:rsidR="005403C4" w:rsidRPr="00B56CF7">
        <w:rPr>
          <w:rFonts w:asciiTheme="majorHAnsi" w:hAnsiTheme="majorHAnsi"/>
          <w:sz w:val="20"/>
          <w:szCs w:val="20"/>
          <w:lang w:val="es-VE"/>
        </w:rPr>
        <w:t>40, sino diversos elementos probatorios que convencieron al juez para dictar la medida preventiva</w:t>
      </w:r>
      <w:r w:rsidR="00390E1A" w:rsidRPr="00B56CF7">
        <w:rPr>
          <w:rFonts w:asciiTheme="majorHAnsi" w:hAnsiTheme="majorHAnsi"/>
          <w:sz w:val="20"/>
          <w:szCs w:val="20"/>
          <w:lang w:val="es-VE"/>
        </w:rPr>
        <w:t>. Concluyó indicando que “el hecho de que el actor hubiera permanecido en prisión por el lapso aproximado de tres años y medio no transforma, sin más, en ilegítima dicha detención ni lo habilita, en este caso a solicitar daños y perjuicios”</w:t>
      </w:r>
      <w:r w:rsidR="00390E1A" w:rsidRPr="00B56CF7">
        <w:rPr>
          <w:rStyle w:val="FootnoteReference"/>
          <w:rFonts w:asciiTheme="majorHAnsi" w:hAnsiTheme="majorHAnsi"/>
          <w:sz w:val="20"/>
          <w:szCs w:val="20"/>
          <w:lang w:val="es-VE"/>
        </w:rPr>
        <w:footnoteReference w:id="55"/>
      </w:r>
      <w:r w:rsidR="00390E1A" w:rsidRPr="00B56CF7">
        <w:rPr>
          <w:rFonts w:asciiTheme="majorHAnsi" w:hAnsiTheme="majorHAnsi"/>
          <w:sz w:val="20"/>
          <w:szCs w:val="20"/>
          <w:lang w:val="es-VE"/>
        </w:rPr>
        <w:t xml:space="preserve">. </w:t>
      </w:r>
    </w:p>
    <w:p w:rsidR="00FC0A1C" w:rsidRPr="00B56CF7" w:rsidRDefault="00FC0A1C" w:rsidP="005F7F85">
      <w:pPr>
        <w:jc w:val="both"/>
        <w:rPr>
          <w:rFonts w:asciiTheme="majorHAnsi" w:hAnsiTheme="majorHAnsi"/>
          <w:sz w:val="20"/>
          <w:szCs w:val="20"/>
          <w:lang w:val="es-VE"/>
        </w:rPr>
      </w:pPr>
    </w:p>
    <w:p w:rsidR="00F50D1D" w:rsidRPr="00B56CF7" w:rsidRDefault="00816513" w:rsidP="00EE24AD">
      <w:pPr>
        <w:pStyle w:val="Heading3"/>
        <w:numPr>
          <w:ilvl w:val="0"/>
          <w:numId w:val="72"/>
        </w:numPr>
        <w:ind w:firstLine="0"/>
        <w:rPr>
          <w:b w:val="0"/>
          <w:sz w:val="20"/>
          <w:szCs w:val="20"/>
          <w:lang w:val="es-VE"/>
        </w:rPr>
      </w:pPr>
      <w:bookmarkStart w:id="59" w:name="_Toc469409094"/>
      <w:r w:rsidRPr="00EE24AD">
        <w:rPr>
          <w:color w:val="auto"/>
          <w:sz w:val="20"/>
          <w:szCs w:val="20"/>
          <w:lang w:val="es-VE"/>
        </w:rPr>
        <w:t xml:space="preserve">Recurso de apelación, </w:t>
      </w:r>
      <w:r w:rsidR="00F50D1D" w:rsidRPr="00EE24AD">
        <w:rPr>
          <w:color w:val="auto"/>
          <w:sz w:val="20"/>
          <w:szCs w:val="20"/>
          <w:lang w:val="es-VE"/>
        </w:rPr>
        <w:t xml:space="preserve">decisión de segunda instancia </w:t>
      </w:r>
      <w:r w:rsidRPr="00EE24AD">
        <w:rPr>
          <w:color w:val="auto"/>
          <w:sz w:val="20"/>
          <w:szCs w:val="20"/>
          <w:lang w:val="es-VE"/>
        </w:rPr>
        <w:t>y recurso de queja</w:t>
      </w:r>
      <w:bookmarkEnd w:id="59"/>
    </w:p>
    <w:p w:rsidR="00F50D1D" w:rsidRPr="00B56CF7" w:rsidRDefault="00F50D1D" w:rsidP="005F7F85">
      <w:pPr>
        <w:jc w:val="both"/>
        <w:rPr>
          <w:rFonts w:asciiTheme="majorHAnsi" w:hAnsiTheme="majorHAnsi"/>
          <w:sz w:val="20"/>
          <w:szCs w:val="20"/>
          <w:lang w:val="es-VE"/>
        </w:rPr>
      </w:pPr>
    </w:p>
    <w:p w:rsidR="002F2EE9" w:rsidRPr="00B56CF7" w:rsidRDefault="009E11CC" w:rsidP="00EB4E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La defensa de la presunta víctima interpuso un recurso de apelación contra la sentencia</w:t>
      </w:r>
      <w:r w:rsidR="0024495A" w:rsidRPr="00B56CF7">
        <w:rPr>
          <w:rFonts w:asciiTheme="majorHAnsi" w:hAnsiTheme="majorHAnsi"/>
          <w:sz w:val="20"/>
          <w:szCs w:val="20"/>
          <w:lang w:val="es-VE"/>
        </w:rPr>
        <w:t xml:space="preserve"> mencionada</w:t>
      </w:r>
      <w:r w:rsidRPr="00B56CF7">
        <w:rPr>
          <w:rFonts w:asciiTheme="majorHAnsi" w:hAnsiTheme="majorHAnsi"/>
          <w:sz w:val="20"/>
          <w:szCs w:val="20"/>
          <w:lang w:val="es-VE"/>
        </w:rPr>
        <w:t xml:space="preserve">, argumentando que </w:t>
      </w:r>
      <w:r w:rsidR="00541B5A" w:rsidRPr="00B56CF7">
        <w:rPr>
          <w:rFonts w:asciiTheme="majorHAnsi" w:hAnsiTheme="majorHAnsi"/>
          <w:sz w:val="20"/>
          <w:szCs w:val="20"/>
          <w:lang w:val="es-VE"/>
        </w:rPr>
        <w:t>en la c</w:t>
      </w:r>
      <w:r w:rsidR="006D39FC" w:rsidRPr="00B56CF7">
        <w:rPr>
          <w:rFonts w:asciiTheme="majorHAnsi" w:hAnsiTheme="majorHAnsi"/>
          <w:sz w:val="20"/>
          <w:szCs w:val="20"/>
          <w:lang w:val="es-VE"/>
        </w:rPr>
        <w:t>ausa penal seguida en su contra</w:t>
      </w:r>
      <w:r w:rsidR="00541B5A" w:rsidRPr="00B56CF7">
        <w:rPr>
          <w:rFonts w:asciiTheme="majorHAnsi" w:hAnsiTheme="majorHAnsi"/>
          <w:sz w:val="20"/>
          <w:szCs w:val="20"/>
          <w:lang w:val="es-VE"/>
        </w:rPr>
        <w:t xml:space="preserve"> el juez instructor y los fiscales utilizaron prueba inexistente para decretar su prisión preve</w:t>
      </w:r>
      <w:r w:rsidR="0024495A" w:rsidRPr="00B56CF7">
        <w:rPr>
          <w:rFonts w:asciiTheme="majorHAnsi" w:hAnsiTheme="majorHAnsi"/>
          <w:sz w:val="20"/>
          <w:szCs w:val="20"/>
          <w:lang w:val="es-VE"/>
        </w:rPr>
        <w:t>ntiva y someterlo a juicio oral;</w:t>
      </w:r>
      <w:r w:rsidR="00541B5A" w:rsidRPr="00B56CF7">
        <w:rPr>
          <w:rFonts w:asciiTheme="majorHAnsi" w:hAnsiTheme="majorHAnsi"/>
          <w:sz w:val="20"/>
          <w:szCs w:val="20"/>
          <w:lang w:val="es-VE"/>
        </w:rPr>
        <w:t xml:space="preserve"> que la sentencia del Tribunal Oral en lo Criminal Federal No.</w:t>
      </w:r>
      <w:r w:rsidR="006D39FC" w:rsidRPr="00B56CF7">
        <w:rPr>
          <w:rFonts w:asciiTheme="majorHAnsi" w:hAnsiTheme="majorHAnsi"/>
          <w:sz w:val="20"/>
          <w:szCs w:val="20"/>
          <w:lang w:val="es-VE"/>
        </w:rPr>
        <w:t xml:space="preserve"> </w:t>
      </w:r>
      <w:r w:rsidR="00541B5A" w:rsidRPr="00B56CF7">
        <w:rPr>
          <w:rFonts w:asciiTheme="majorHAnsi" w:hAnsiTheme="majorHAnsi"/>
          <w:sz w:val="20"/>
          <w:szCs w:val="20"/>
          <w:lang w:val="es-VE"/>
        </w:rPr>
        <w:t>6 ordena investigar un prob</w:t>
      </w:r>
      <w:r w:rsidR="006D39FC" w:rsidRPr="00B56CF7">
        <w:rPr>
          <w:rFonts w:asciiTheme="majorHAnsi" w:hAnsiTheme="majorHAnsi"/>
          <w:sz w:val="20"/>
          <w:szCs w:val="20"/>
          <w:lang w:val="es-VE"/>
        </w:rPr>
        <w:t>able delito, lo cual no se hizo;</w:t>
      </w:r>
      <w:r w:rsidR="00541B5A" w:rsidRPr="00B56CF7">
        <w:rPr>
          <w:rFonts w:asciiTheme="majorHAnsi" w:hAnsiTheme="majorHAnsi"/>
          <w:sz w:val="20"/>
          <w:szCs w:val="20"/>
          <w:lang w:val="es-VE"/>
        </w:rPr>
        <w:t xml:space="preserve"> y que su sometimiento a prisión </w:t>
      </w:r>
      <w:r w:rsidR="0058177F" w:rsidRPr="00B56CF7">
        <w:rPr>
          <w:rFonts w:asciiTheme="majorHAnsi" w:hAnsiTheme="majorHAnsi"/>
          <w:sz w:val="20"/>
          <w:szCs w:val="20"/>
          <w:lang w:val="es-VE"/>
        </w:rPr>
        <w:t xml:space="preserve">preventiva por </w:t>
      </w:r>
      <w:r w:rsidR="00543399" w:rsidRPr="00B56CF7">
        <w:rPr>
          <w:rFonts w:asciiTheme="majorHAnsi" w:hAnsiTheme="majorHAnsi"/>
          <w:sz w:val="20"/>
          <w:szCs w:val="20"/>
          <w:lang w:val="es-VE"/>
        </w:rPr>
        <w:t>más</w:t>
      </w:r>
      <w:r w:rsidR="00541B5A" w:rsidRPr="00B56CF7">
        <w:rPr>
          <w:rFonts w:asciiTheme="majorHAnsi" w:hAnsiTheme="majorHAnsi"/>
          <w:sz w:val="20"/>
          <w:szCs w:val="20"/>
          <w:lang w:val="es-VE"/>
        </w:rPr>
        <w:t xml:space="preserve"> de dos años constituye una condena ilegítima </w:t>
      </w:r>
      <w:r w:rsidR="00572700" w:rsidRPr="00B56CF7">
        <w:rPr>
          <w:rFonts w:asciiTheme="majorHAnsi" w:hAnsiTheme="majorHAnsi"/>
          <w:sz w:val="20"/>
          <w:szCs w:val="20"/>
          <w:lang w:val="es-VE"/>
        </w:rPr>
        <w:t>que</w:t>
      </w:r>
      <w:r w:rsidR="002F2EE9" w:rsidRPr="00B56CF7">
        <w:rPr>
          <w:rFonts w:asciiTheme="majorHAnsi" w:hAnsiTheme="majorHAnsi"/>
          <w:sz w:val="20"/>
          <w:szCs w:val="20"/>
          <w:lang w:val="es-VE"/>
        </w:rPr>
        <w:t xml:space="preserve"> debe ser resarcida</w:t>
      </w:r>
      <w:r w:rsidR="002F2EE9" w:rsidRPr="00B56CF7">
        <w:rPr>
          <w:rFonts w:asciiTheme="majorHAnsi" w:hAnsiTheme="majorHAnsi"/>
          <w:sz w:val="20"/>
          <w:szCs w:val="20"/>
          <w:vertAlign w:val="superscript"/>
        </w:rPr>
        <w:footnoteReference w:id="56"/>
      </w:r>
      <w:r w:rsidR="002F2EE9" w:rsidRPr="00B56CF7">
        <w:rPr>
          <w:rFonts w:asciiTheme="majorHAnsi" w:hAnsiTheme="majorHAnsi"/>
          <w:sz w:val="20"/>
          <w:szCs w:val="20"/>
          <w:lang w:val="es-VE"/>
        </w:rPr>
        <w:t xml:space="preserve">. </w:t>
      </w:r>
    </w:p>
    <w:p w:rsidR="000D180C" w:rsidRPr="00B56CF7" w:rsidRDefault="000D180C" w:rsidP="000D180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rsidR="00EB4EF7" w:rsidRPr="00B56CF7" w:rsidRDefault="00004CD3" w:rsidP="005F7F8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lastRenderedPageBreak/>
        <w:t>El 25 de marzo de 2008 la Sala III de la Cámara Nacional de Apelaciones en lo</w:t>
      </w:r>
      <w:r w:rsidR="00DE488D" w:rsidRPr="00B56CF7">
        <w:rPr>
          <w:rFonts w:asciiTheme="majorHAnsi" w:hAnsiTheme="majorHAnsi"/>
          <w:sz w:val="20"/>
          <w:szCs w:val="20"/>
          <w:lang w:val="es-VE"/>
        </w:rPr>
        <w:t xml:space="preserve"> Contencioso Administrativo Federal </w:t>
      </w:r>
      <w:r w:rsidR="00B54749" w:rsidRPr="00B56CF7">
        <w:rPr>
          <w:rFonts w:asciiTheme="majorHAnsi" w:hAnsiTheme="majorHAnsi"/>
          <w:sz w:val="20"/>
          <w:szCs w:val="20"/>
          <w:lang w:val="es-VE"/>
        </w:rPr>
        <w:t>declaró</w:t>
      </w:r>
      <w:r w:rsidR="0058177F" w:rsidRPr="00B56CF7">
        <w:rPr>
          <w:rFonts w:asciiTheme="majorHAnsi" w:hAnsiTheme="majorHAnsi"/>
          <w:sz w:val="20"/>
          <w:szCs w:val="20"/>
          <w:lang w:val="es-VE"/>
        </w:rPr>
        <w:t xml:space="preserve"> </w:t>
      </w:r>
      <w:r w:rsidR="00437BE0" w:rsidRPr="00B56CF7">
        <w:rPr>
          <w:rFonts w:asciiTheme="majorHAnsi" w:hAnsiTheme="majorHAnsi"/>
          <w:sz w:val="20"/>
          <w:szCs w:val="20"/>
          <w:lang w:val="es-VE"/>
        </w:rPr>
        <w:t>“desierto” el</w:t>
      </w:r>
      <w:r w:rsidR="0058177F" w:rsidRPr="00B56CF7">
        <w:rPr>
          <w:rFonts w:asciiTheme="majorHAnsi" w:hAnsiTheme="majorHAnsi"/>
          <w:sz w:val="20"/>
          <w:szCs w:val="20"/>
          <w:lang w:val="es-VE"/>
        </w:rPr>
        <w:t xml:space="preserve"> recurso de apelación por considerar que</w:t>
      </w:r>
      <w:r w:rsidR="00370549" w:rsidRPr="00B56CF7">
        <w:rPr>
          <w:rFonts w:asciiTheme="majorHAnsi" w:hAnsiTheme="majorHAnsi"/>
          <w:sz w:val="20"/>
          <w:szCs w:val="20"/>
          <w:lang w:val="es-VE"/>
        </w:rPr>
        <w:t xml:space="preserve"> en su interposición no se efectuó una controversia sobre </w:t>
      </w:r>
      <w:r w:rsidR="0058177F" w:rsidRPr="00B56CF7">
        <w:rPr>
          <w:rFonts w:asciiTheme="majorHAnsi" w:hAnsiTheme="majorHAnsi"/>
          <w:sz w:val="20"/>
          <w:szCs w:val="20"/>
          <w:lang w:val="es-VE"/>
        </w:rPr>
        <w:t>las razones esgrimidas por la jueza en la decisión de primera instancia</w:t>
      </w:r>
      <w:r w:rsidR="00463D1C" w:rsidRPr="00B56CF7">
        <w:rPr>
          <w:rFonts w:asciiTheme="majorHAnsi" w:hAnsiTheme="majorHAnsi"/>
          <w:sz w:val="20"/>
          <w:szCs w:val="20"/>
          <w:vertAlign w:val="superscript"/>
        </w:rPr>
        <w:footnoteReference w:id="57"/>
      </w:r>
      <w:r w:rsidR="00B54749" w:rsidRPr="00B56CF7">
        <w:rPr>
          <w:rFonts w:asciiTheme="majorHAnsi" w:hAnsiTheme="majorHAnsi"/>
          <w:sz w:val="20"/>
          <w:szCs w:val="20"/>
          <w:lang w:val="es-VE"/>
        </w:rPr>
        <w:t>.</w:t>
      </w:r>
    </w:p>
    <w:p w:rsidR="00EB4EF7" w:rsidRPr="00B56CF7" w:rsidRDefault="00EB4EF7" w:rsidP="00EB4EF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rsidR="00EB4EF7" w:rsidRPr="005553B9" w:rsidRDefault="00543399" w:rsidP="00EB4EF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En sus votos concurrentes los jueces de Cámara consideraron que cuando se dispuso la privación</w:t>
      </w:r>
      <w:r w:rsidR="000E49D8" w:rsidRPr="00B56CF7">
        <w:rPr>
          <w:rFonts w:asciiTheme="majorHAnsi" w:hAnsiTheme="majorHAnsi"/>
          <w:sz w:val="20"/>
          <w:szCs w:val="20"/>
          <w:lang w:val="es-VE"/>
        </w:rPr>
        <w:t xml:space="preserve"> de libertad</w:t>
      </w:r>
      <w:r w:rsidRPr="00B56CF7">
        <w:rPr>
          <w:rFonts w:asciiTheme="majorHAnsi" w:hAnsiTheme="majorHAnsi"/>
          <w:sz w:val="20"/>
          <w:szCs w:val="20"/>
          <w:lang w:val="es-VE"/>
        </w:rPr>
        <w:t xml:space="preserve"> del reclamante, existían suficientes </w:t>
      </w:r>
      <w:r w:rsidR="009C7131" w:rsidRPr="00B56CF7">
        <w:rPr>
          <w:rFonts w:asciiTheme="majorHAnsi" w:hAnsiTheme="majorHAnsi"/>
          <w:sz w:val="20"/>
          <w:szCs w:val="20"/>
          <w:lang w:val="es-VE"/>
        </w:rPr>
        <w:t>elementos de prueba susceptibles de generar una legítima sospecha respecto</w:t>
      </w:r>
      <w:r w:rsidR="00126F99" w:rsidRPr="00B56CF7">
        <w:rPr>
          <w:rFonts w:asciiTheme="majorHAnsi" w:hAnsiTheme="majorHAnsi"/>
          <w:sz w:val="20"/>
          <w:szCs w:val="20"/>
          <w:lang w:val="es-VE"/>
        </w:rPr>
        <w:t xml:space="preserve"> de la responsabilidad penal de</w:t>
      </w:r>
      <w:r w:rsidR="00761A36" w:rsidRPr="00B56CF7">
        <w:rPr>
          <w:rFonts w:asciiTheme="majorHAnsi" w:hAnsiTheme="majorHAnsi"/>
          <w:sz w:val="20"/>
          <w:szCs w:val="20"/>
          <w:lang w:val="es-VE"/>
        </w:rPr>
        <w:t xml:space="preserve">l señor </w:t>
      </w:r>
      <w:r w:rsidR="009C7131" w:rsidRPr="00B56CF7">
        <w:rPr>
          <w:rFonts w:asciiTheme="majorHAnsi" w:hAnsiTheme="majorHAnsi"/>
          <w:sz w:val="20"/>
          <w:szCs w:val="20"/>
          <w:lang w:val="es-VE"/>
        </w:rPr>
        <w:t>Jenkins</w:t>
      </w:r>
      <w:r w:rsidR="004B0689" w:rsidRPr="00B56CF7">
        <w:rPr>
          <w:rFonts w:asciiTheme="majorHAnsi" w:hAnsiTheme="majorHAnsi"/>
          <w:sz w:val="20"/>
          <w:szCs w:val="20"/>
          <w:lang w:val="es-VE"/>
        </w:rPr>
        <w:t xml:space="preserve"> y que “no cabe admitir que por la vía resarcitori</w:t>
      </w:r>
      <w:r w:rsidR="0024495A" w:rsidRPr="00B56CF7">
        <w:rPr>
          <w:rFonts w:asciiTheme="majorHAnsi" w:hAnsiTheme="majorHAnsi"/>
          <w:sz w:val="20"/>
          <w:szCs w:val="20"/>
          <w:lang w:val="es-VE"/>
        </w:rPr>
        <w:t>a se pretenda revisar el acierto</w:t>
      </w:r>
      <w:r w:rsidR="004B0689" w:rsidRPr="00B56CF7">
        <w:rPr>
          <w:rFonts w:asciiTheme="majorHAnsi" w:hAnsiTheme="majorHAnsi"/>
          <w:sz w:val="20"/>
          <w:szCs w:val="20"/>
          <w:lang w:val="es-VE"/>
        </w:rPr>
        <w:t xml:space="preserve"> o error de un pronunciamiento cautelar </w:t>
      </w:r>
      <w:r w:rsidRPr="00B56CF7">
        <w:rPr>
          <w:rFonts w:asciiTheme="majorHAnsi" w:hAnsiTheme="majorHAnsi"/>
          <w:sz w:val="20"/>
          <w:szCs w:val="20"/>
          <w:lang w:val="es-VE"/>
        </w:rPr>
        <w:t>firme”. También agregaron que la absolución de Gabriel Jenkins fue dictada por falta de acusación fiscal e insuficiencia de elementos probatorios y no por constatarse un error judicial</w:t>
      </w:r>
      <w:r w:rsidR="00463D1C" w:rsidRPr="00B56CF7">
        <w:rPr>
          <w:rStyle w:val="FootnoteReference"/>
          <w:rFonts w:asciiTheme="majorHAnsi" w:hAnsiTheme="majorHAnsi"/>
          <w:sz w:val="20"/>
          <w:szCs w:val="20"/>
          <w:lang w:val="es-VE"/>
        </w:rPr>
        <w:footnoteReference w:id="58"/>
      </w:r>
      <w:r w:rsidRPr="00B56CF7">
        <w:rPr>
          <w:rFonts w:asciiTheme="majorHAnsi" w:hAnsiTheme="majorHAnsi"/>
          <w:sz w:val="20"/>
          <w:szCs w:val="20"/>
          <w:lang w:val="es-VE"/>
        </w:rPr>
        <w:t xml:space="preserve">. </w:t>
      </w:r>
    </w:p>
    <w:p w:rsidR="00D34C63" w:rsidRPr="00B56CF7" w:rsidRDefault="00437BE0" w:rsidP="00D34C6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Con posterioridad el peticionario presentó un “recurso de hecho”</w:t>
      </w:r>
      <w:r w:rsidR="00D34C63" w:rsidRPr="00B56CF7">
        <w:rPr>
          <w:rFonts w:asciiTheme="majorHAnsi" w:hAnsiTheme="majorHAnsi"/>
          <w:sz w:val="20"/>
          <w:szCs w:val="20"/>
          <w:lang w:val="es-VE"/>
        </w:rPr>
        <w:t xml:space="preserve"> ante la Corte Suprema de Justicia de la Nación, quejándose</w:t>
      </w:r>
      <w:r w:rsidRPr="00B56CF7">
        <w:rPr>
          <w:rFonts w:asciiTheme="majorHAnsi" w:hAnsiTheme="majorHAnsi"/>
          <w:sz w:val="20"/>
          <w:szCs w:val="20"/>
          <w:lang w:val="es-VE"/>
        </w:rPr>
        <w:t xml:space="preserve"> por la denegatoria del recurso de apelación</w:t>
      </w:r>
      <w:r w:rsidR="00D34C63" w:rsidRPr="00B56CF7">
        <w:rPr>
          <w:rFonts w:asciiTheme="majorHAnsi" w:hAnsiTheme="majorHAnsi"/>
          <w:sz w:val="20"/>
          <w:szCs w:val="20"/>
          <w:lang w:val="es-VE"/>
        </w:rPr>
        <w:t>.</w:t>
      </w:r>
      <w:r w:rsidR="00743384" w:rsidRPr="00B56CF7">
        <w:rPr>
          <w:rFonts w:asciiTheme="majorHAnsi" w:hAnsiTheme="majorHAnsi"/>
          <w:sz w:val="20"/>
          <w:szCs w:val="20"/>
          <w:lang w:val="es-VE"/>
        </w:rPr>
        <w:t xml:space="preserve"> El 17 de marzo de 2009 la Corte Suprema emitió sentencia denegando dicho recurso. Fundamentó su rechazo en tres razones principales: i) la queja se ha excedido de la extensión requerida por las disposiciones reglamentarias; ii) no refuta los argumentos de la resolución contra la que se plantea</w:t>
      </w:r>
      <w:r w:rsidR="009A5824">
        <w:rPr>
          <w:rFonts w:asciiTheme="majorHAnsi" w:hAnsiTheme="majorHAnsi"/>
          <w:sz w:val="20"/>
          <w:szCs w:val="20"/>
          <w:lang w:val="es-VE"/>
        </w:rPr>
        <w:t>,</w:t>
      </w:r>
      <w:r w:rsidR="00743384" w:rsidRPr="00B56CF7">
        <w:rPr>
          <w:rFonts w:asciiTheme="majorHAnsi" w:hAnsiTheme="majorHAnsi"/>
          <w:sz w:val="20"/>
          <w:szCs w:val="20"/>
          <w:lang w:val="es-VE"/>
        </w:rPr>
        <w:t xml:space="preserve"> principalmente la afirmación según la cual no existen diferencias entre el contenido del </w:t>
      </w:r>
      <w:proofErr w:type="spellStart"/>
      <w:r w:rsidR="00743384" w:rsidRPr="00B56CF7">
        <w:rPr>
          <w:rFonts w:asciiTheme="majorHAnsi" w:hAnsiTheme="majorHAnsi"/>
          <w:sz w:val="20"/>
          <w:szCs w:val="20"/>
          <w:lang w:val="es-VE"/>
        </w:rPr>
        <w:t>cassette</w:t>
      </w:r>
      <w:proofErr w:type="spellEnd"/>
      <w:r w:rsidR="00743384" w:rsidRPr="00B56CF7">
        <w:rPr>
          <w:rFonts w:asciiTheme="majorHAnsi" w:hAnsiTheme="majorHAnsi"/>
          <w:sz w:val="20"/>
          <w:szCs w:val="20"/>
          <w:lang w:val="es-VE"/>
        </w:rPr>
        <w:t xml:space="preserve"> </w:t>
      </w:r>
      <w:r w:rsidR="00237805" w:rsidRPr="00B56CF7">
        <w:rPr>
          <w:rFonts w:asciiTheme="majorHAnsi" w:hAnsiTheme="majorHAnsi"/>
          <w:sz w:val="20"/>
          <w:szCs w:val="20"/>
          <w:lang w:val="es-VE"/>
        </w:rPr>
        <w:t>No.</w:t>
      </w:r>
      <w:r w:rsidR="00743384" w:rsidRPr="00B56CF7">
        <w:rPr>
          <w:rFonts w:asciiTheme="majorHAnsi" w:hAnsiTheme="majorHAnsi"/>
          <w:sz w:val="20"/>
          <w:szCs w:val="20"/>
          <w:lang w:val="es-VE"/>
        </w:rPr>
        <w:t xml:space="preserve"> 40 y su transcripción</w:t>
      </w:r>
      <w:r w:rsidR="002F6B9D" w:rsidRPr="00B56CF7">
        <w:rPr>
          <w:rFonts w:asciiTheme="majorHAnsi" w:hAnsiTheme="majorHAnsi"/>
          <w:sz w:val="20"/>
          <w:szCs w:val="20"/>
          <w:lang w:val="es-VE"/>
        </w:rPr>
        <w:t xml:space="preserve">, así como </w:t>
      </w:r>
      <w:r w:rsidR="00743384" w:rsidRPr="00B56CF7">
        <w:rPr>
          <w:rFonts w:asciiTheme="majorHAnsi" w:hAnsiTheme="majorHAnsi"/>
          <w:sz w:val="20"/>
          <w:szCs w:val="20"/>
          <w:lang w:val="es-VE"/>
        </w:rPr>
        <w:t>que este elemento de prueba no fue el único tomado en cuenta para dictar la prisión preventiva</w:t>
      </w:r>
      <w:r w:rsidR="00743384" w:rsidRPr="00B56CF7">
        <w:rPr>
          <w:rStyle w:val="FootnoteReference"/>
          <w:rFonts w:asciiTheme="majorHAnsi" w:hAnsiTheme="majorHAnsi"/>
          <w:sz w:val="20"/>
          <w:szCs w:val="20"/>
          <w:lang w:val="es-VE"/>
        </w:rPr>
        <w:footnoteReference w:id="59"/>
      </w:r>
      <w:r w:rsidR="00743384" w:rsidRPr="00B56CF7">
        <w:rPr>
          <w:rFonts w:asciiTheme="majorHAnsi" w:hAnsiTheme="majorHAnsi"/>
          <w:sz w:val="20"/>
          <w:szCs w:val="20"/>
          <w:lang w:val="es-VE"/>
        </w:rPr>
        <w:t>.</w:t>
      </w:r>
    </w:p>
    <w:p w:rsidR="00126F99" w:rsidRPr="00B56CF7" w:rsidRDefault="00D34C63" w:rsidP="00EB496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r w:rsidRPr="00B56CF7">
        <w:rPr>
          <w:rFonts w:asciiTheme="majorHAnsi" w:hAnsiTheme="majorHAnsi"/>
          <w:sz w:val="20"/>
          <w:szCs w:val="20"/>
          <w:lang w:val="es-VE"/>
        </w:rPr>
        <w:t xml:space="preserve"> </w:t>
      </w:r>
      <w:bookmarkEnd w:id="42"/>
    </w:p>
    <w:p w:rsidR="00E40449" w:rsidRPr="00B56CF7" w:rsidRDefault="00E40449" w:rsidP="0024495A">
      <w:pPr>
        <w:pStyle w:val="Heading1"/>
        <w:numPr>
          <w:ilvl w:val="0"/>
          <w:numId w:val="55"/>
        </w:numPr>
        <w:tabs>
          <w:tab w:val="clear" w:pos="1440"/>
        </w:tabs>
      </w:pPr>
      <w:bookmarkStart w:id="60" w:name="_Toc423514424"/>
      <w:bookmarkStart w:id="61" w:name="_Toc433115991"/>
      <w:bookmarkStart w:id="62" w:name="_Toc444958132"/>
      <w:bookmarkStart w:id="63" w:name="_Toc467577915"/>
      <w:bookmarkStart w:id="64" w:name="_Toc469409095"/>
      <w:r w:rsidRPr="00B56CF7">
        <w:t>ANALISIS DE DERECHO</w:t>
      </w:r>
      <w:bookmarkEnd w:id="60"/>
      <w:bookmarkEnd w:id="61"/>
      <w:bookmarkEnd w:id="62"/>
      <w:bookmarkEnd w:id="63"/>
      <w:bookmarkEnd w:id="64"/>
      <w:r w:rsidRPr="00B56CF7">
        <w:t xml:space="preserve"> </w:t>
      </w:r>
    </w:p>
    <w:p w:rsidR="00B91111" w:rsidRPr="0062236D" w:rsidRDefault="00B91111" w:rsidP="006105BA">
      <w:pPr>
        <w:rPr>
          <w:rFonts w:asciiTheme="majorHAnsi" w:hAnsiTheme="majorHAnsi"/>
          <w:sz w:val="20"/>
          <w:szCs w:val="20"/>
          <w:lang w:val="es-ES_tradnl"/>
        </w:rPr>
      </w:pPr>
    </w:p>
    <w:p w:rsidR="00587EDF" w:rsidRPr="00B56CF7" w:rsidRDefault="00587EDF" w:rsidP="009A72E5">
      <w:pPr>
        <w:pStyle w:val="Heading2"/>
        <w:numPr>
          <w:ilvl w:val="0"/>
          <w:numId w:val="64"/>
        </w:numPr>
        <w:rPr>
          <w:lang w:val="es-ES" w:eastAsia="es-ES"/>
        </w:rPr>
      </w:pPr>
      <w:bookmarkStart w:id="65" w:name="_Toc467577916"/>
      <w:bookmarkStart w:id="66" w:name="_Toc469409096"/>
      <w:r w:rsidRPr="00B56CF7">
        <w:rPr>
          <w:lang w:val="es-ES" w:eastAsia="es-ES"/>
        </w:rPr>
        <w:t>Cuestiones previas</w:t>
      </w:r>
      <w:bookmarkEnd w:id="65"/>
      <w:bookmarkEnd w:id="66"/>
    </w:p>
    <w:p w:rsidR="00587EDF" w:rsidRPr="0062236D" w:rsidRDefault="00587EDF" w:rsidP="006105BA">
      <w:pPr>
        <w:rPr>
          <w:rFonts w:asciiTheme="majorHAnsi" w:hAnsiTheme="majorHAnsi"/>
          <w:sz w:val="20"/>
          <w:szCs w:val="20"/>
          <w:lang w:val="es-ES_tradnl"/>
        </w:rPr>
      </w:pPr>
    </w:p>
    <w:p w:rsidR="0035634C" w:rsidRPr="00B56CF7" w:rsidRDefault="00587EDF" w:rsidP="0035634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Calibri" w:hAnsiTheme="majorHAnsi"/>
          <w:sz w:val="20"/>
          <w:szCs w:val="20"/>
          <w:lang w:val="es-VE"/>
        </w:rPr>
      </w:pPr>
      <w:r w:rsidRPr="00B56CF7">
        <w:rPr>
          <w:rFonts w:asciiTheme="majorHAnsi" w:hAnsiTheme="majorHAnsi"/>
          <w:sz w:val="20"/>
          <w:szCs w:val="20"/>
          <w:lang w:val="es-VE"/>
        </w:rPr>
        <w:t xml:space="preserve">Antes de analizar los </w:t>
      </w:r>
      <w:r w:rsidR="004236B8" w:rsidRPr="00B56CF7">
        <w:rPr>
          <w:rFonts w:asciiTheme="majorHAnsi" w:hAnsiTheme="majorHAnsi"/>
          <w:sz w:val="20"/>
          <w:szCs w:val="20"/>
          <w:lang w:val="es-VE"/>
        </w:rPr>
        <w:t xml:space="preserve">hechos establecidos y los </w:t>
      </w:r>
      <w:r w:rsidRPr="00B56CF7">
        <w:rPr>
          <w:rFonts w:asciiTheme="majorHAnsi" w:hAnsiTheme="majorHAnsi"/>
          <w:sz w:val="20"/>
          <w:szCs w:val="20"/>
          <w:lang w:val="es-VE"/>
        </w:rPr>
        <w:t xml:space="preserve">alegatos de las partes, la Comisión recuerda que en su Informe de Admisibilidad </w:t>
      </w:r>
      <w:r w:rsidR="00B00B50" w:rsidRPr="00B56CF7">
        <w:rPr>
          <w:rFonts w:asciiTheme="majorHAnsi" w:hAnsiTheme="majorHAnsi"/>
          <w:sz w:val="20"/>
          <w:szCs w:val="20"/>
          <w:lang w:val="es-VE"/>
        </w:rPr>
        <w:t>50/04</w:t>
      </w:r>
      <w:r w:rsidR="001C403E" w:rsidRPr="00B56CF7">
        <w:rPr>
          <w:rFonts w:asciiTheme="majorHAnsi" w:hAnsiTheme="majorHAnsi"/>
          <w:sz w:val="20"/>
          <w:szCs w:val="20"/>
          <w:lang w:val="es-VE"/>
        </w:rPr>
        <w:t xml:space="preserve"> indicó que lo alegado en la petición podría caracterizar posibles violaciones a los derechos establecidos en los </w:t>
      </w:r>
      <w:r w:rsidR="0035634C" w:rsidRPr="00B56CF7">
        <w:rPr>
          <w:rFonts w:asciiTheme="majorHAnsi" w:hAnsiTheme="majorHAnsi"/>
          <w:sz w:val="20"/>
          <w:szCs w:val="20"/>
          <w:lang w:val="es-VE"/>
        </w:rPr>
        <w:t xml:space="preserve"> artículos 7, 8, 24 y 25 en relación con los artículos 1</w:t>
      </w:r>
      <w:r w:rsidR="0085254C" w:rsidRPr="00B56CF7">
        <w:rPr>
          <w:rFonts w:asciiTheme="majorHAnsi" w:hAnsiTheme="majorHAnsi"/>
          <w:sz w:val="20"/>
          <w:szCs w:val="20"/>
          <w:lang w:val="es-VE"/>
        </w:rPr>
        <w:t>.1</w:t>
      </w:r>
      <w:r w:rsidR="0035634C" w:rsidRPr="00B56CF7">
        <w:rPr>
          <w:rFonts w:asciiTheme="majorHAnsi" w:hAnsiTheme="majorHAnsi"/>
          <w:sz w:val="20"/>
          <w:szCs w:val="20"/>
          <w:lang w:val="es-VE"/>
        </w:rPr>
        <w:t xml:space="preserve"> y 2 de la Conven</w:t>
      </w:r>
      <w:r w:rsidR="002A7B21" w:rsidRPr="00B56CF7">
        <w:rPr>
          <w:rFonts w:asciiTheme="majorHAnsi" w:hAnsiTheme="majorHAnsi"/>
          <w:sz w:val="20"/>
          <w:szCs w:val="20"/>
          <w:lang w:val="es-VE"/>
        </w:rPr>
        <w:t xml:space="preserve">ción Americana. </w:t>
      </w:r>
      <w:r w:rsidR="000B37BF" w:rsidRPr="00B56CF7">
        <w:rPr>
          <w:rFonts w:asciiTheme="majorHAnsi" w:hAnsiTheme="majorHAnsi"/>
          <w:sz w:val="20"/>
          <w:szCs w:val="20"/>
          <w:lang w:val="es-VE"/>
        </w:rPr>
        <w:t xml:space="preserve">En el mismo informe, la Comisión indicó expresamente que los alegatos del peticionario no tendían a caracterizar posibles violaciones a los derechos establecidos </w:t>
      </w:r>
      <w:r w:rsidR="0085254C" w:rsidRPr="00B56CF7">
        <w:rPr>
          <w:rFonts w:asciiTheme="majorHAnsi" w:hAnsiTheme="majorHAnsi"/>
          <w:sz w:val="20"/>
          <w:szCs w:val="20"/>
          <w:lang w:val="es-VE"/>
        </w:rPr>
        <w:t xml:space="preserve">en los </w:t>
      </w:r>
      <w:r w:rsidR="00323AF6">
        <w:rPr>
          <w:rFonts w:asciiTheme="majorHAnsi" w:eastAsia="Calibri" w:hAnsiTheme="majorHAnsi"/>
          <w:sz w:val="20"/>
          <w:szCs w:val="20"/>
          <w:lang w:val="es-VE"/>
        </w:rPr>
        <w:t xml:space="preserve">en los </w:t>
      </w:r>
      <w:r w:rsidR="0035634C" w:rsidRPr="00B56CF7">
        <w:rPr>
          <w:rFonts w:asciiTheme="majorHAnsi" w:eastAsia="Calibri" w:hAnsiTheme="majorHAnsi"/>
          <w:sz w:val="20"/>
          <w:szCs w:val="20"/>
          <w:lang w:val="es-VE"/>
        </w:rPr>
        <w:t xml:space="preserve">artículos 3, 5, 10, 11, 17 y 19 de la Convención Americana. </w:t>
      </w:r>
      <w:r w:rsidR="002E5348" w:rsidRPr="00B56CF7">
        <w:rPr>
          <w:rFonts w:asciiTheme="majorHAnsi" w:eastAsia="Calibri" w:hAnsiTheme="majorHAnsi"/>
          <w:sz w:val="20"/>
          <w:szCs w:val="20"/>
          <w:lang w:val="es-VE"/>
        </w:rPr>
        <w:t xml:space="preserve">Si bien la Comisión tiene la facultad </w:t>
      </w:r>
      <w:r w:rsidR="000B37BF" w:rsidRPr="00B56CF7">
        <w:rPr>
          <w:rFonts w:asciiTheme="majorHAnsi" w:eastAsia="Calibri" w:hAnsiTheme="majorHAnsi"/>
          <w:sz w:val="20"/>
          <w:szCs w:val="20"/>
          <w:lang w:val="es-VE"/>
        </w:rPr>
        <w:t>de calificar jurídicamente los he</w:t>
      </w:r>
      <w:r w:rsidR="00990BAD" w:rsidRPr="00B56CF7">
        <w:rPr>
          <w:rFonts w:asciiTheme="majorHAnsi" w:eastAsia="Calibri" w:hAnsiTheme="majorHAnsi"/>
          <w:sz w:val="20"/>
          <w:szCs w:val="20"/>
          <w:lang w:val="es-VE"/>
        </w:rPr>
        <w:t xml:space="preserve">chos en la etapa de fondo, potestad que no se encuentra limitada por las disposiciones invocadas bajo un estándar de apreciación </w:t>
      </w:r>
      <w:r w:rsidR="00990BAD" w:rsidRPr="00B56CF7">
        <w:rPr>
          <w:rFonts w:asciiTheme="majorHAnsi" w:eastAsia="Calibri" w:hAnsiTheme="majorHAnsi"/>
          <w:i/>
          <w:sz w:val="20"/>
          <w:szCs w:val="20"/>
          <w:lang w:val="es-VE"/>
        </w:rPr>
        <w:t>prima facie</w:t>
      </w:r>
      <w:r w:rsidR="00990BAD" w:rsidRPr="00B56CF7">
        <w:rPr>
          <w:rFonts w:asciiTheme="majorHAnsi" w:eastAsia="Calibri" w:hAnsiTheme="majorHAnsi"/>
          <w:sz w:val="20"/>
          <w:szCs w:val="20"/>
          <w:lang w:val="es-VE"/>
        </w:rPr>
        <w:t xml:space="preserve"> en la etapa de admisibilidad, en el presente caso el peticionario no invocó </w:t>
      </w:r>
      <w:r w:rsidR="00DC176B" w:rsidRPr="00B56CF7">
        <w:rPr>
          <w:rFonts w:asciiTheme="majorHAnsi" w:eastAsia="Calibri" w:hAnsiTheme="majorHAnsi"/>
          <w:sz w:val="20"/>
          <w:szCs w:val="20"/>
          <w:lang w:val="es-VE"/>
        </w:rPr>
        <w:t>argumentos nuevos a los planteados en dicha etapa, de tal forma que la Comisión cuente con elementos para separarse de lo indicado en su informe de admisibilidad. E</w:t>
      </w:r>
      <w:r w:rsidR="0035634C" w:rsidRPr="00B56CF7">
        <w:rPr>
          <w:rFonts w:asciiTheme="majorHAnsi" w:eastAsia="Calibri" w:hAnsiTheme="majorHAnsi"/>
          <w:sz w:val="20"/>
          <w:szCs w:val="20"/>
          <w:lang w:val="es-VE"/>
        </w:rPr>
        <w:t xml:space="preserve">n tal sentido, el análisis de fondo se efectuará con base en los derechos consagrados en los artículos 7, 8, 24 y 25 de la Convención Americana en relación con las obligaciones establecidas en los artículos 1.1 y 2 del mismo instrumento. </w:t>
      </w:r>
    </w:p>
    <w:p w:rsidR="00587EDF" w:rsidRPr="00B56CF7" w:rsidRDefault="00587EDF" w:rsidP="0035634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VE"/>
        </w:rPr>
      </w:pPr>
    </w:p>
    <w:p w:rsidR="00B91111" w:rsidRPr="00542560" w:rsidRDefault="00B91111" w:rsidP="0054256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t xml:space="preserve">A la luz de los alegatos de las partes y de los hechos establecidos, la Comisión pasará a efectuar sus consideraciones de </w:t>
      </w:r>
      <w:r w:rsidR="00AC4086">
        <w:rPr>
          <w:rFonts w:asciiTheme="majorHAnsi" w:hAnsiTheme="majorHAnsi"/>
          <w:sz w:val="20"/>
          <w:szCs w:val="20"/>
          <w:lang w:val="es-VE"/>
        </w:rPr>
        <w:t>derecho en el siguiente orden: B</w:t>
      </w:r>
      <w:r w:rsidRPr="00B56CF7">
        <w:rPr>
          <w:rFonts w:asciiTheme="majorHAnsi" w:hAnsiTheme="majorHAnsi"/>
          <w:sz w:val="20"/>
          <w:szCs w:val="20"/>
          <w:lang w:val="es-VE"/>
        </w:rPr>
        <w:t>. El derecho a la libertad personal</w:t>
      </w:r>
      <w:r w:rsidR="0095588A">
        <w:rPr>
          <w:rFonts w:asciiTheme="majorHAnsi" w:hAnsiTheme="majorHAnsi"/>
          <w:sz w:val="20"/>
          <w:szCs w:val="20"/>
          <w:lang w:val="es-VE"/>
        </w:rPr>
        <w:t xml:space="preserve">, a la presunción de inocencia y </w:t>
      </w:r>
      <w:r w:rsidR="00BA2004">
        <w:rPr>
          <w:rFonts w:asciiTheme="majorHAnsi" w:hAnsiTheme="majorHAnsi"/>
          <w:sz w:val="20"/>
          <w:szCs w:val="20"/>
          <w:lang w:val="es-VE"/>
        </w:rPr>
        <w:t>a la protección judicial</w:t>
      </w:r>
      <w:r w:rsidR="00CD2B79" w:rsidRPr="00B56CF7">
        <w:rPr>
          <w:rFonts w:asciiTheme="majorHAnsi" w:hAnsiTheme="majorHAnsi"/>
          <w:sz w:val="20"/>
          <w:szCs w:val="20"/>
          <w:lang w:val="es-VE"/>
        </w:rPr>
        <w:t xml:space="preserve"> </w:t>
      </w:r>
      <w:r w:rsidR="006A1E67" w:rsidRPr="00B56CF7">
        <w:rPr>
          <w:rFonts w:asciiTheme="majorHAnsi" w:hAnsiTheme="majorHAnsi"/>
          <w:sz w:val="20"/>
          <w:szCs w:val="20"/>
          <w:lang w:val="es-VE"/>
        </w:rPr>
        <w:t>respecto de la detención preventiva</w:t>
      </w:r>
      <w:r w:rsidR="00CD2B79" w:rsidRPr="00B56CF7">
        <w:rPr>
          <w:rFonts w:asciiTheme="majorHAnsi" w:hAnsiTheme="majorHAnsi"/>
          <w:sz w:val="20"/>
          <w:szCs w:val="20"/>
          <w:lang w:val="es-VE"/>
        </w:rPr>
        <w:t xml:space="preserve"> (Artículos 7.1</w:t>
      </w:r>
      <w:r w:rsidR="00B96300" w:rsidRPr="00B56CF7">
        <w:rPr>
          <w:rFonts w:asciiTheme="majorHAnsi" w:hAnsiTheme="majorHAnsi"/>
          <w:sz w:val="20"/>
          <w:szCs w:val="20"/>
          <w:lang w:val="es-VE"/>
        </w:rPr>
        <w:t>, 7.3</w:t>
      </w:r>
      <w:r w:rsidR="0010118F">
        <w:rPr>
          <w:rFonts w:asciiTheme="majorHAnsi" w:hAnsiTheme="majorHAnsi"/>
          <w:sz w:val="20"/>
          <w:szCs w:val="20"/>
          <w:lang w:val="es-VE"/>
        </w:rPr>
        <w:t>, 7.5</w:t>
      </w:r>
      <w:r w:rsidR="00BA2004">
        <w:rPr>
          <w:rFonts w:asciiTheme="majorHAnsi" w:hAnsiTheme="majorHAnsi"/>
          <w:sz w:val="20"/>
          <w:szCs w:val="20"/>
          <w:lang w:val="es-VE"/>
        </w:rPr>
        <w:t>, 7.5</w:t>
      </w:r>
      <w:r w:rsidR="00254C25">
        <w:rPr>
          <w:rFonts w:asciiTheme="majorHAnsi" w:hAnsiTheme="majorHAnsi"/>
          <w:sz w:val="20"/>
          <w:szCs w:val="20"/>
          <w:lang w:val="es-VE"/>
        </w:rPr>
        <w:t xml:space="preserve">, 7.6, </w:t>
      </w:r>
      <w:r w:rsidR="001361B4">
        <w:rPr>
          <w:rFonts w:asciiTheme="majorHAnsi" w:hAnsiTheme="majorHAnsi"/>
          <w:sz w:val="20"/>
          <w:szCs w:val="20"/>
          <w:lang w:val="es-VE"/>
        </w:rPr>
        <w:t xml:space="preserve">8.2, </w:t>
      </w:r>
      <w:r w:rsidR="00836348">
        <w:rPr>
          <w:rFonts w:asciiTheme="majorHAnsi" w:hAnsiTheme="majorHAnsi"/>
          <w:sz w:val="20"/>
          <w:szCs w:val="20"/>
          <w:lang w:val="es-VE"/>
        </w:rPr>
        <w:t xml:space="preserve">25.1, </w:t>
      </w:r>
      <w:r w:rsidR="00B96300" w:rsidRPr="00B56CF7">
        <w:rPr>
          <w:rFonts w:asciiTheme="majorHAnsi" w:hAnsiTheme="majorHAnsi"/>
          <w:sz w:val="20"/>
          <w:szCs w:val="20"/>
          <w:lang w:val="es-VE"/>
        </w:rPr>
        <w:t>1.1</w:t>
      </w:r>
      <w:r w:rsidR="00836348">
        <w:rPr>
          <w:rFonts w:asciiTheme="majorHAnsi" w:hAnsiTheme="majorHAnsi"/>
          <w:sz w:val="20"/>
          <w:szCs w:val="20"/>
          <w:lang w:val="es-VE"/>
        </w:rPr>
        <w:t xml:space="preserve"> y 2</w:t>
      </w:r>
      <w:r w:rsidR="00B96300" w:rsidRPr="00B56CF7">
        <w:rPr>
          <w:rFonts w:asciiTheme="majorHAnsi" w:hAnsiTheme="majorHAnsi"/>
          <w:sz w:val="20"/>
          <w:szCs w:val="20"/>
          <w:lang w:val="es-VE"/>
        </w:rPr>
        <w:t xml:space="preserve"> de la Convención Americana); </w:t>
      </w:r>
      <w:r w:rsidR="00AC4086">
        <w:rPr>
          <w:rFonts w:asciiTheme="majorHAnsi" w:hAnsiTheme="majorHAnsi"/>
          <w:sz w:val="20"/>
          <w:szCs w:val="20"/>
          <w:lang w:val="es-VE"/>
        </w:rPr>
        <w:t>C</w:t>
      </w:r>
      <w:r w:rsidR="00026226">
        <w:rPr>
          <w:rFonts w:asciiTheme="majorHAnsi" w:hAnsiTheme="majorHAnsi"/>
          <w:sz w:val="20"/>
          <w:szCs w:val="20"/>
          <w:lang w:val="es-VE"/>
        </w:rPr>
        <w:t xml:space="preserve">. </w:t>
      </w:r>
      <w:r w:rsidR="00F93327" w:rsidRPr="00B56CF7">
        <w:rPr>
          <w:rFonts w:asciiTheme="majorHAnsi" w:hAnsiTheme="majorHAnsi"/>
          <w:sz w:val="20"/>
          <w:szCs w:val="20"/>
          <w:lang w:val="es-VE"/>
        </w:rPr>
        <w:t xml:space="preserve">El </w:t>
      </w:r>
      <w:r w:rsidR="00572700" w:rsidRPr="00B56CF7">
        <w:rPr>
          <w:rFonts w:asciiTheme="majorHAnsi" w:hAnsiTheme="majorHAnsi"/>
          <w:sz w:val="20"/>
          <w:szCs w:val="20"/>
          <w:lang w:val="es-VE"/>
        </w:rPr>
        <w:t>derecho de igualdad ante la ley y</w:t>
      </w:r>
      <w:r w:rsidR="00F93327" w:rsidRPr="00B56CF7">
        <w:rPr>
          <w:rFonts w:asciiTheme="majorHAnsi" w:hAnsiTheme="majorHAnsi"/>
          <w:sz w:val="20"/>
          <w:szCs w:val="20"/>
          <w:lang w:val="es-VE"/>
        </w:rPr>
        <w:t xml:space="preserve"> el deber de adoptar disposiciones de derecho interno </w:t>
      </w:r>
      <w:r w:rsidR="00BC2583" w:rsidRPr="00B56CF7">
        <w:rPr>
          <w:rFonts w:asciiTheme="majorHAnsi" w:hAnsiTheme="majorHAnsi"/>
          <w:sz w:val="20"/>
          <w:szCs w:val="20"/>
          <w:lang w:val="es-VE"/>
        </w:rPr>
        <w:t>respecto</w:t>
      </w:r>
      <w:r w:rsidR="009F65C1">
        <w:rPr>
          <w:rFonts w:asciiTheme="majorHAnsi" w:hAnsiTheme="majorHAnsi"/>
          <w:sz w:val="20"/>
          <w:szCs w:val="20"/>
          <w:lang w:val="es-VE"/>
        </w:rPr>
        <w:t xml:space="preserve"> del derecho a la libertad personal en cuanto a</w:t>
      </w:r>
      <w:r w:rsidR="00BC2583" w:rsidRPr="00B56CF7">
        <w:rPr>
          <w:rFonts w:asciiTheme="majorHAnsi" w:hAnsiTheme="majorHAnsi"/>
          <w:sz w:val="20"/>
          <w:szCs w:val="20"/>
          <w:lang w:val="es-VE"/>
        </w:rPr>
        <w:t xml:space="preserve"> la imposibilidad de excarcelación </w:t>
      </w:r>
      <w:r w:rsidR="00572700" w:rsidRPr="00B56CF7">
        <w:rPr>
          <w:rFonts w:asciiTheme="majorHAnsi" w:hAnsiTheme="majorHAnsi"/>
          <w:sz w:val="20"/>
          <w:szCs w:val="20"/>
          <w:lang w:val="es-VE"/>
        </w:rPr>
        <w:t xml:space="preserve">(Artículos </w:t>
      </w:r>
      <w:r w:rsidR="004A183F">
        <w:rPr>
          <w:rFonts w:asciiTheme="majorHAnsi" w:hAnsiTheme="majorHAnsi"/>
          <w:sz w:val="20"/>
          <w:szCs w:val="20"/>
          <w:lang w:val="es-VE"/>
        </w:rPr>
        <w:t xml:space="preserve">7, </w:t>
      </w:r>
      <w:r w:rsidR="00572700" w:rsidRPr="00B56CF7">
        <w:rPr>
          <w:rFonts w:asciiTheme="majorHAnsi" w:hAnsiTheme="majorHAnsi"/>
          <w:sz w:val="20"/>
          <w:szCs w:val="20"/>
          <w:lang w:val="es-VE"/>
        </w:rPr>
        <w:t>24</w:t>
      </w:r>
      <w:r w:rsidR="004A183F">
        <w:rPr>
          <w:rFonts w:asciiTheme="majorHAnsi" w:hAnsiTheme="majorHAnsi"/>
          <w:sz w:val="20"/>
          <w:szCs w:val="20"/>
          <w:lang w:val="es-VE"/>
        </w:rPr>
        <w:t xml:space="preserve"> y</w:t>
      </w:r>
      <w:r w:rsidR="00B22340">
        <w:rPr>
          <w:rFonts w:asciiTheme="majorHAnsi" w:hAnsiTheme="majorHAnsi"/>
          <w:sz w:val="20"/>
          <w:szCs w:val="20"/>
          <w:lang w:val="es-VE"/>
        </w:rPr>
        <w:t xml:space="preserve"> </w:t>
      </w:r>
      <w:r w:rsidR="00FC2002" w:rsidRPr="00B56CF7">
        <w:rPr>
          <w:rFonts w:asciiTheme="majorHAnsi" w:hAnsiTheme="majorHAnsi"/>
          <w:sz w:val="20"/>
          <w:szCs w:val="20"/>
          <w:lang w:val="es-VE"/>
        </w:rPr>
        <w:t>2 de la Convenci</w:t>
      </w:r>
      <w:r w:rsidR="00765727" w:rsidRPr="00B56CF7">
        <w:rPr>
          <w:rFonts w:asciiTheme="majorHAnsi" w:hAnsiTheme="majorHAnsi"/>
          <w:sz w:val="20"/>
          <w:szCs w:val="20"/>
          <w:lang w:val="es-VE"/>
        </w:rPr>
        <w:t xml:space="preserve">ón Americana); </w:t>
      </w:r>
      <w:r w:rsidR="00AC4086">
        <w:rPr>
          <w:rFonts w:asciiTheme="majorHAnsi" w:hAnsiTheme="majorHAnsi"/>
          <w:sz w:val="20"/>
          <w:szCs w:val="20"/>
          <w:lang w:val="es-VE"/>
        </w:rPr>
        <w:t>D</w:t>
      </w:r>
      <w:r w:rsidR="00FC2002" w:rsidRPr="00B56CF7">
        <w:rPr>
          <w:rFonts w:asciiTheme="majorHAnsi" w:hAnsiTheme="majorHAnsi"/>
          <w:sz w:val="20"/>
          <w:szCs w:val="20"/>
          <w:lang w:val="es-VE"/>
        </w:rPr>
        <w:t>.</w:t>
      </w:r>
      <w:r w:rsidR="00F26610" w:rsidRPr="00B56CF7">
        <w:rPr>
          <w:rFonts w:asciiTheme="majorHAnsi" w:hAnsiTheme="majorHAnsi"/>
          <w:sz w:val="20"/>
          <w:szCs w:val="20"/>
          <w:lang w:val="es-VE"/>
        </w:rPr>
        <w:t xml:space="preserve"> El derecho</w:t>
      </w:r>
      <w:r w:rsidR="00942414" w:rsidRPr="00B56CF7">
        <w:rPr>
          <w:rFonts w:asciiTheme="majorHAnsi" w:hAnsiTheme="majorHAnsi"/>
          <w:sz w:val="20"/>
          <w:szCs w:val="20"/>
          <w:lang w:val="es-VE"/>
        </w:rPr>
        <w:t xml:space="preserve"> </w:t>
      </w:r>
      <w:r w:rsidR="006E3303" w:rsidRPr="00B56CF7">
        <w:rPr>
          <w:rFonts w:asciiTheme="majorHAnsi" w:hAnsiTheme="majorHAnsi"/>
          <w:sz w:val="20"/>
          <w:szCs w:val="20"/>
          <w:lang w:val="es-VE"/>
        </w:rPr>
        <w:t xml:space="preserve">a la protección judicial y al </w:t>
      </w:r>
      <w:r w:rsidR="00765727" w:rsidRPr="00B56CF7">
        <w:rPr>
          <w:rFonts w:asciiTheme="majorHAnsi" w:hAnsiTheme="majorHAnsi"/>
          <w:sz w:val="20"/>
          <w:szCs w:val="20"/>
          <w:lang w:val="es-VE"/>
        </w:rPr>
        <w:t>plazo razonable</w:t>
      </w:r>
      <w:r w:rsidR="006E3303" w:rsidRPr="00B56CF7">
        <w:rPr>
          <w:rFonts w:asciiTheme="majorHAnsi" w:hAnsiTheme="majorHAnsi"/>
          <w:sz w:val="20"/>
          <w:szCs w:val="20"/>
          <w:lang w:val="es-VE"/>
        </w:rPr>
        <w:t xml:space="preserve"> respecto del proceso contencioso administrativo</w:t>
      </w:r>
      <w:r w:rsidR="00942414" w:rsidRPr="00B56CF7">
        <w:rPr>
          <w:rFonts w:asciiTheme="majorHAnsi" w:hAnsiTheme="majorHAnsi"/>
          <w:sz w:val="20"/>
          <w:szCs w:val="20"/>
          <w:lang w:val="es-VE"/>
        </w:rPr>
        <w:t xml:space="preserve"> (Artículos 8</w:t>
      </w:r>
      <w:r w:rsidR="006E3303" w:rsidRPr="00B56CF7">
        <w:rPr>
          <w:rFonts w:asciiTheme="majorHAnsi" w:hAnsiTheme="majorHAnsi"/>
          <w:sz w:val="20"/>
          <w:szCs w:val="20"/>
          <w:lang w:val="es-VE"/>
        </w:rPr>
        <w:t>.1</w:t>
      </w:r>
      <w:r w:rsidR="0066497B" w:rsidRPr="00B56CF7">
        <w:rPr>
          <w:rFonts w:asciiTheme="majorHAnsi" w:hAnsiTheme="majorHAnsi"/>
          <w:sz w:val="20"/>
          <w:szCs w:val="20"/>
          <w:lang w:val="es-VE"/>
        </w:rPr>
        <w:t xml:space="preserve">, </w:t>
      </w:r>
      <w:r w:rsidR="00942414" w:rsidRPr="00B56CF7">
        <w:rPr>
          <w:rFonts w:asciiTheme="majorHAnsi" w:hAnsiTheme="majorHAnsi"/>
          <w:sz w:val="20"/>
          <w:szCs w:val="20"/>
          <w:lang w:val="es-VE"/>
        </w:rPr>
        <w:t>25</w:t>
      </w:r>
      <w:r w:rsidR="006E3303" w:rsidRPr="00B56CF7">
        <w:rPr>
          <w:rFonts w:asciiTheme="majorHAnsi" w:hAnsiTheme="majorHAnsi"/>
          <w:sz w:val="20"/>
          <w:szCs w:val="20"/>
          <w:lang w:val="es-VE"/>
        </w:rPr>
        <w:t>.1</w:t>
      </w:r>
      <w:r w:rsidR="0066497B" w:rsidRPr="00B56CF7">
        <w:rPr>
          <w:rFonts w:asciiTheme="majorHAnsi" w:hAnsiTheme="majorHAnsi"/>
          <w:sz w:val="20"/>
          <w:szCs w:val="20"/>
          <w:lang w:val="es-VE"/>
        </w:rPr>
        <w:t xml:space="preserve"> y 1.1</w:t>
      </w:r>
      <w:r w:rsidR="00942414" w:rsidRPr="00B56CF7">
        <w:rPr>
          <w:rFonts w:asciiTheme="majorHAnsi" w:hAnsiTheme="majorHAnsi"/>
          <w:sz w:val="20"/>
          <w:szCs w:val="20"/>
          <w:lang w:val="es-VE"/>
        </w:rPr>
        <w:t xml:space="preserve"> de la Convención Americana)</w:t>
      </w:r>
      <w:r w:rsidR="006E3303" w:rsidRPr="00B56CF7">
        <w:rPr>
          <w:rFonts w:asciiTheme="majorHAnsi" w:hAnsiTheme="majorHAnsi"/>
          <w:sz w:val="20"/>
          <w:szCs w:val="20"/>
          <w:lang w:val="es-VE"/>
        </w:rPr>
        <w:t xml:space="preserve">; y </w:t>
      </w:r>
      <w:r w:rsidR="00AC4086">
        <w:rPr>
          <w:rFonts w:asciiTheme="majorHAnsi" w:hAnsiTheme="majorHAnsi"/>
          <w:sz w:val="20"/>
          <w:szCs w:val="20"/>
          <w:lang w:val="es-VE"/>
        </w:rPr>
        <w:t>E</w:t>
      </w:r>
      <w:r w:rsidR="006E3303" w:rsidRPr="00B56CF7">
        <w:rPr>
          <w:rFonts w:asciiTheme="majorHAnsi" w:hAnsiTheme="majorHAnsi"/>
          <w:sz w:val="20"/>
          <w:szCs w:val="20"/>
          <w:lang w:val="es-VE"/>
        </w:rPr>
        <w:t xml:space="preserve">. Los derechos a las garantías judiciales y protección judicial </w:t>
      </w:r>
      <w:r w:rsidR="00887C63" w:rsidRPr="00B56CF7">
        <w:rPr>
          <w:rFonts w:asciiTheme="majorHAnsi" w:hAnsiTheme="majorHAnsi"/>
          <w:sz w:val="20"/>
          <w:szCs w:val="20"/>
          <w:lang w:val="es-VE"/>
        </w:rPr>
        <w:t>respecto de las investigaciones relativas a la supuesta falsedad ide</w:t>
      </w:r>
      <w:r w:rsidR="000F0C16" w:rsidRPr="00B56CF7">
        <w:rPr>
          <w:rFonts w:asciiTheme="majorHAnsi" w:hAnsiTheme="majorHAnsi"/>
          <w:sz w:val="20"/>
          <w:szCs w:val="20"/>
          <w:lang w:val="es-VE"/>
        </w:rPr>
        <w:t>o</w:t>
      </w:r>
      <w:r w:rsidR="00887C63" w:rsidRPr="00B56CF7">
        <w:rPr>
          <w:rFonts w:asciiTheme="majorHAnsi" w:hAnsiTheme="majorHAnsi"/>
          <w:sz w:val="20"/>
          <w:szCs w:val="20"/>
          <w:lang w:val="es-VE"/>
        </w:rPr>
        <w:t xml:space="preserve">lógica </w:t>
      </w:r>
      <w:r w:rsidR="0066497B" w:rsidRPr="00B56CF7">
        <w:rPr>
          <w:rFonts w:asciiTheme="majorHAnsi" w:hAnsiTheme="majorHAnsi"/>
          <w:sz w:val="20"/>
          <w:szCs w:val="20"/>
          <w:lang w:val="es-VE"/>
        </w:rPr>
        <w:t>(Artí</w:t>
      </w:r>
      <w:r w:rsidR="00D208F8" w:rsidRPr="00B56CF7">
        <w:rPr>
          <w:rFonts w:asciiTheme="majorHAnsi" w:hAnsiTheme="majorHAnsi"/>
          <w:sz w:val="20"/>
          <w:szCs w:val="20"/>
          <w:lang w:val="es-VE"/>
        </w:rPr>
        <w:t xml:space="preserve">culos 8.1, 25.1 y 1.1 </w:t>
      </w:r>
      <w:r w:rsidR="0066497B" w:rsidRPr="00B56CF7">
        <w:rPr>
          <w:rFonts w:asciiTheme="majorHAnsi" w:hAnsiTheme="majorHAnsi"/>
          <w:sz w:val="20"/>
          <w:szCs w:val="20"/>
          <w:lang w:val="es-VE"/>
        </w:rPr>
        <w:t>de la Convenci</w:t>
      </w:r>
      <w:r w:rsidR="00D208F8" w:rsidRPr="00B56CF7">
        <w:rPr>
          <w:rFonts w:asciiTheme="majorHAnsi" w:hAnsiTheme="majorHAnsi"/>
          <w:sz w:val="20"/>
          <w:szCs w:val="20"/>
          <w:lang w:val="es-VE"/>
        </w:rPr>
        <w:t xml:space="preserve">ón Americana. </w:t>
      </w:r>
    </w:p>
    <w:p w:rsidR="00FD2C07" w:rsidRPr="00EE24AD" w:rsidRDefault="00FD2C07" w:rsidP="00EE24AD">
      <w:pPr>
        <w:pStyle w:val="Heading2"/>
        <w:numPr>
          <w:ilvl w:val="0"/>
          <w:numId w:val="64"/>
        </w:numPr>
        <w:rPr>
          <w:lang w:val="es-ES" w:eastAsia="es-ES"/>
        </w:rPr>
      </w:pPr>
      <w:bookmarkStart w:id="67" w:name="_Toc469409097"/>
      <w:bookmarkStart w:id="68" w:name="_Toc423514425"/>
      <w:bookmarkStart w:id="69" w:name="_Toc441166737"/>
      <w:r w:rsidRPr="00EE24AD">
        <w:rPr>
          <w:lang w:val="es-ES" w:eastAsia="es-ES"/>
        </w:rPr>
        <w:lastRenderedPageBreak/>
        <w:t>El derecho a la libertad personal</w:t>
      </w:r>
      <w:r w:rsidR="006875F0" w:rsidRPr="00EE24AD">
        <w:rPr>
          <w:lang w:val="es-ES" w:eastAsia="es-ES"/>
        </w:rPr>
        <w:t xml:space="preserve">, a la presunción de inocencia y a la protección judicial </w:t>
      </w:r>
      <w:r w:rsidRPr="00EE24AD">
        <w:rPr>
          <w:lang w:val="es-ES" w:eastAsia="es-ES"/>
        </w:rPr>
        <w:t xml:space="preserve"> respecto de la motivación de la detención preventiva (Artículos 7.1, 7.3</w:t>
      </w:r>
      <w:r w:rsidR="00343A99" w:rsidRPr="00EE24AD">
        <w:rPr>
          <w:lang w:val="es-ES" w:eastAsia="es-ES"/>
        </w:rPr>
        <w:t>, 7.5, 7.6, 8.2, 25.1</w:t>
      </w:r>
      <w:r w:rsidR="004134F5" w:rsidRPr="00EE24AD">
        <w:rPr>
          <w:lang w:val="es-ES" w:eastAsia="es-ES"/>
        </w:rPr>
        <w:t>,</w:t>
      </w:r>
      <w:r w:rsidRPr="00EE24AD">
        <w:rPr>
          <w:lang w:val="es-ES" w:eastAsia="es-ES"/>
        </w:rPr>
        <w:t xml:space="preserve"> 1.1</w:t>
      </w:r>
      <w:r w:rsidR="004134F5" w:rsidRPr="00EE24AD">
        <w:rPr>
          <w:lang w:val="es-ES" w:eastAsia="es-ES"/>
        </w:rPr>
        <w:t xml:space="preserve"> y 2</w:t>
      </w:r>
      <w:r w:rsidRPr="00EE24AD">
        <w:rPr>
          <w:lang w:val="es-ES" w:eastAsia="es-ES"/>
        </w:rPr>
        <w:t xml:space="preserve"> de la Convención Americana)</w:t>
      </w:r>
      <w:bookmarkEnd w:id="67"/>
    </w:p>
    <w:p w:rsidR="002A7B21" w:rsidRPr="0062236D" w:rsidRDefault="002A7B21" w:rsidP="002A7B21">
      <w:pPr>
        <w:rPr>
          <w:rFonts w:asciiTheme="majorHAnsi" w:hAnsiTheme="majorHAnsi"/>
          <w:sz w:val="20"/>
          <w:szCs w:val="20"/>
          <w:lang w:val="es-ES" w:eastAsia="es-ES"/>
        </w:rPr>
      </w:pPr>
    </w:p>
    <w:p w:rsidR="00A43C82" w:rsidRPr="00B56CF7" w:rsidRDefault="00A43C82" w:rsidP="0062236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eastAsia="es-ES"/>
        </w:rPr>
      </w:pPr>
      <w:r w:rsidRPr="00B56CF7">
        <w:rPr>
          <w:rFonts w:asciiTheme="majorHAnsi" w:hAnsiTheme="majorHAnsi"/>
          <w:sz w:val="20"/>
          <w:szCs w:val="20"/>
          <w:lang w:val="es-ES" w:eastAsia="es-ES"/>
        </w:rPr>
        <w:t>El artículo 7 de la Convención Americana establece, en lo relevante</w:t>
      </w:r>
      <w:r w:rsidR="002902FD">
        <w:rPr>
          <w:rFonts w:asciiTheme="majorHAnsi" w:hAnsiTheme="majorHAnsi"/>
          <w:sz w:val="20"/>
          <w:szCs w:val="20"/>
          <w:lang w:val="es-ES" w:eastAsia="es-ES"/>
        </w:rPr>
        <w:t xml:space="preserve">, </w:t>
      </w:r>
      <w:r w:rsidRPr="00B56CF7">
        <w:rPr>
          <w:rFonts w:asciiTheme="majorHAnsi" w:hAnsiTheme="majorHAnsi"/>
          <w:sz w:val="20"/>
          <w:szCs w:val="20"/>
          <w:lang w:val="es-ES" w:eastAsia="es-ES"/>
        </w:rPr>
        <w:t>que:</w:t>
      </w:r>
    </w:p>
    <w:p w:rsidR="00A43C82" w:rsidRPr="00B56CF7" w:rsidRDefault="00A43C82" w:rsidP="00A43C82">
      <w:pPr>
        <w:ind w:left="720" w:right="630"/>
        <w:rPr>
          <w:rFonts w:asciiTheme="majorHAnsi" w:hAnsiTheme="majorHAnsi"/>
          <w:sz w:val="20"/>
          <w:szCs w:val="20"/>
          <w:lang w:val="es-ES" w:eastAsia="es-ES"/>
        </w:rPr>
      </w:pPr>
    </w:p>
    <w:p w:rsidR="00A43C82" w:rsidRPr="0062236D" w:rsidRDefault="00A43C82" w:rsidP="0062236D">
      <w:pPr>
        <w:tabs>
          <w:tab w:val="left" w:pos="360"/>
          <w:tab w:val="left" w:pos="1080"/>
        </w:tabs>
        <w:suppressAutoHyphens/>
        <w:ind w:left="720" w:right="630"/>
        <w:jc w:val="both"/>
        <w:rPr>
          <w:rFonts w:asciiTheme="majorHAnsi" w:hAnsiTheme="majorHAnsi"/>
          <w:spacing w:val="-3"/>
          <w:sz w:val="20"/>
          <w:szCs w:val="20"/>
          <w:lang w:val="es-ES"/>
        </w:rPr>
      </w:pPr>
      <w:r w:rsidRPr="0062236D">
        <w:rPr>
          <w:rFonts w:asciiTheme="majorHAnsi" w:hAnsiTheme="majorHAnsi"/>
          <w:spacing w:val="-3"/>
          <w:sz w:val="20"/>
          <w:szCs w:val="20"/>
          <w:lang w:val="es-ES"/>
        </w:rPr>
        <w:t xml:space="preserve">1. </w:t>
      </w:r>
      <w:r w:rsidRPr="0062236D">
        <w:rPr>
          <w:rFonts w:asciiTheme="majorHAnsi" w:hAnsiTheme="majorHAnsi"/>
          <w:spacing w:val="-3"/>
          <w:sz w:val="20"/>
          <w:szCs w:val="20"/>
          <w:lang w:val="es-ES"/>
        </w:rPr>
        <w:tab/>
        <w:t xml:space="preserve">Toda persona tiene derecho a la libertad y a </w:t>
      </w:r>
      <w:proofErr w:type="gramStart"/>
      <w:r w:rsidRPr="0062236D">
        <w:rPr>
          <w:rFonts w:asciiTheme="majorHAnsi" w:hAnsiTheme="majorHAnsi"/>
          <w:spacing w:val="-3"/>
          <w:sz w:val="20"/>
          <w:szCs w:val="20"/>
          <w:lang w:val="es-ES"/>
        </w:rPr>
        <w:t>la seguridad personales</w:t>
      </w:r>
      <w:proofErr w:type="gramEnd"/>
      <w:r w:rsidRPr="0062236D">
        <w:rPr>
          <w:rFonts w:asciiTheme="majorHAnsi" w:hAnsiTheme="majorHAnsi"/>
          <w:spacing w:val="-3"/>
          <w:sz w:val="20"/>
          <w:szCs w:val="20"/>
          <w:lang w:val="es-ES"/>
        </w:rPr>
        <w:t>.</w:t>
      </w:r>
    </w:p>
    <w:p w:rsidR="00A43C82" w:rsidRPr="0062236D" w:rsidRDefault="00A43C82" w:rsidP="00A43C82">
      <w:pPr>
        <w:tabs>
          <w:tab w:val="left" w:pos="360"/>
        </w:tabs>
        <w:suppressAutoHyphens/>
        <w:ind w:left="720" w:right="630"/>
        <w:jc w:val="both"/>
        <w:rPr>
          <w:rFonts w:asciiTheme="majorHAnsi" w:hAnsiTheme="majorHAnsi"/>
          <w:spacing w:val="-3"/>
          <w:sz w:val="20"/>
          <w:szCs w:val="20"/>
          <w:lang w:val="es-ES"/>
        </w:rPr>
      </w:pPr>
    </w:p>
    <w:p w:rsidR="00A43C82" w:rsidRPr="0062236D" w:rsidRDefault="00A43C82" w:rsidP="00A43C82">
      <w:pPr>
        <w:tabs>
          <w:tab w:val="left" w:pos="360"/>
        </w:tabs>
        <w:suppressAutoHyphens/>
        <w:ind w:left="720" w:right="630"/>
        <w:jc w:val="both"/>
        <w:rPr>
          <w:rFonts w:asciiTheme="majorHAnsi" w:hAnsiTheme="majorHAnsi"/>
          <w:spacing w:val="-3"/>
          <w:sz w:val="20"/>
          <w:szCs w:val="20"/>
          <w:lang w:val="es-ES"/>
        </w:rPr>
      </w:pPr>
      <w:r w:rsidRPr="0062236D">
        <w:rPr>
          <w:rFonts w:asciiTheme="majorHAnsi" w:hAnsiTheme="majorHAnsi"/>
          <w:spacing w:val="-3"/>
          <w:sz w:val="20"/>
          <w:szCs w:val="20"/>
          <w:lang w:val="es-ES"/>
        </w:rPr>
        <w:t>(…)</w:t>
      </w:r>
    </w:p>
    <w:p w:rsidR="00A43C82" w:rsidRPr="0062236D" w:rsidRDefault="00A43C82" w:rsidP="00A43C82">
      <w:pPr>
        <w:tabs>
          <w:tab w:val="left" w:pos="360"/>
        </w:tabs>
        <w:suppressAutoHyphens/>
        <w:ind w:left="720" w:right="630"/>
        <w:jc w:val="both"/>
        <w:rPr>
          <w:rFonts w:asciiTheme="majorHAnsi" w:hAnsiTheme="majorHAnsi"/>
          <w:spacing w:val="-3"/>
          <w:sz w:val="20"/>
          <w:szCs w:val="20"/>
          <w:lang w:val="es-ES"/>
        </w:rPr>
      </w:pPr>
    </w:p>
    <w:p w:rsidR="00A43C82" w:rsidRPr="0062236D" w:rsidRDefault="00A43C82" w:rsidP="0062236D">
      <w:pPr>
        <w:tabs>
          <w:tab w:val="left" w:pos="360"/>
          <w:tab w:val="left" w:pos="1080"/>
        </w:tabs>
        <w:suppressAutoHyphens/>
        <w:ind w:left="720" w:right="630"/>
        <w:jc w:val="both"/>
        <w:rPr>
          <w:rFonts w:asciiTheme="majorHAnsi" w:hAnsiTheme="majorHAnsi"/>
          <w:spacing w:val="-3"/>
          <w:sz w:val="20"/>
          <w:szCs w:val="20"/>
          <w:lang w:val="es-ES"/>
        </w:rPr>
      </w:pPr>
      <w:r w:rsidRPr="0062236D">
        <w:rPr>
          <w:rFonts w:asciiTheme="majorHAnsi" w:hAnsiTheme="majorHAnsi"/>
          <w:spacing w:val="-3"/>
          <w:sz w:val="20"/>
          <w:szCs w:val="20"/>
          <w:lang w:val="es-ES"/>
        </w:rPr>
        <w:t>3.</w:t>
      </w:r>
      <w:r w:rsidRPr="0062236D">
        <w:rPr>
          <w:rFonts w:asciiTheme="majorHAnsi" w:hAnsiTheme="majorHAnsi"/>
          <w:spacing w:val="-3"/>
          <w:sz w:val="20"/>
          <w:szCs w:val="20"/>
          <w:lang w:val="es-ES"/>
        </w:rPr>
        <w:tab/>
        <w:t>Nadie puede ser sometido a detención o encarcelamiento arbitrarios.</w:t>
      </w:r>
    </w:p>
    <w:p w:rsidR="00A43C82" w:rsidRPr="0062236D" w:rsidRDefault="00A43C82" w:rsidP="00A43C82">
      <w:pPr>
        <w:tabs>
          <w:tab w:val="left" w:pos="360"/>
        </w:tabs>
        <w:suppressAutoHyphens/>
        <w:ind w:left="720" w:right="630"/>
        <w:jc w:val="both"/>
        <w:rPr>
          <w:rFonts w:asciiTheme="majorHAnsi" w:hAnsiTheme="majorHAnsi"/>
          <w:spacing w:val="-3"/>
          <w:sz w:val="20"/>
          <w:szCs w:val="20"/>
          <w:lang w:val="es-ES"/>
        </w:rPr>
      </w:pPr>
    </w:p>
    <w:p w:rsidR="007E0D58" w:rsidRDefault="00A43C82" w:rsidP="00AC4086">
      <w:pPr>
        <w:tabs>
          <w:tab w:val="left" w:pos="360"/>
        </w:tabs>
        <w:suppressAutoHyphens/>
        <w:ind w:left="720" w:right="630" w:hanging="360"/>
        <w:jc w:val="both"/>
        <w:rPr>
          <w:rFonts w:asciiTheme="majorHAnsi" w:hAnsiTheme="majorHAnsi"/>
          <w:spacing w:val="-3"/>
          <w:sz w:val="20"/>
          <w:szCs w:val="20"/>
          <w:lang w:val="es-ES"/>
        </w:rPr>
      </w:pPr>
      <w:r w:rsidRPr="0062236D">
        <w:rPr>
          <w:rFonts w:asciiTheme="majorHAnsi" w:hAnsiTheme="majorHAnsi"/>
          <w:spacing w:val="-3"/>
          <w:sz w:val="20"/>
          <w:szCs w:val="20"/>
          <w:lang w:val="es-ES"/>
        </w:rPr>
        <w:tab/>
        <w:t>(…)</w:t>
      </w:r>
    </w:p>
    <w:p w:rsidR="007E0D58" w:rsidRDefault="007E0D58" w:rsidP="00A43C82">
      <w:pPr>
        <w:tabs>
          <w:tab w:val="left" w:pos="360"/>
        </w:tabs>
        <w:suppressAutoHyphens/>
        <w:ind w:left="720" w:right="630" w:hanging="360"/>
        <w:jc w:val="both"/>
        <w:rPr>
          <w:rFonts w:ascii="Cambria" w:hAnsi="Cambria"/>
          <w:spacing w:val="-3"/>
          <w:sz w:val="20"/>
          <w:lang w:val="es-ES"/>
        </w:rPr>
      </w:pPr>
      <w:r w:rsidRPr="006F706B">
        <w:rPr>
          <w:rFonts w:ascii="Cambria" w:hAnsi="Cambria"/>
          <w:spacing w:val="-3"/>
          <w:sz w:val="20"/>
          <w:lang w:val="es-ES"/>
        </w:rPr>
        <w:tab/>
      </w:r>
      <w:r w:rsidR="006F706B" w:rsidRPr="006F706B">
        <w:rPr>
          <w:rFonts w:ascii="Cambria" w:hAnsi="Cambria"/>
          <w:spacing w:val="-3"/>
          <w:sz w:val="20"/>
          <w:lang w:val="es-ES"/>
        </w:rPr>
        <w:t>5.</w:t>
      </w:r>
      <w:r w:rsidR="006F706B">
        <w:rPr>
          <w:rFonts w:ascii="Cambria" w:hAnsi="Cambria"/>
          <w:b/>
          <w:spacing w:val="-3"/>
          <w:sz w:val="20"/>
          <w:lang w:val="es-ES"/>
        </w:rPr>
        <w:t xml:space="preserve"> </w:t>
      </w:r>
      <w:r w:rsidR="00406BB0">
        <w:rPr>
          <w:rFonts w:ascii="Cambria" w:hAnsi="Cambria"/>
          <w:b/>
          <w:spacing w:val="-3"/>
          <w:sz w:val="20"/>
          <w:lang w:val="es-ES"/>
        </w:rPr>
        <w:t xml:space="preserve"> </w:t>
      </w:r>
      <w:r w:rsidRPr="007E0D58">
        <w:rPr>
          <w:rFonts w:ascii="Cambria" w:hAnsi="Cambria"/>
          <w:spacing w:val="-3"/>
          <w:sz w:val="20"/>
          <w:lang w:val="es-ES"/>
        </w:rPr>
        <w:t>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rsidR="007613AB" w:rsidRPr="00916BAA" w:rsidRDefault="007613AB" w:rsidP="00A43C82">
      <w:pPr>
        <w:tabs>
          <w:tab w:val="left" w:pos="360"/>
        </w:tabs>
        <w:suppressAutoHyphens/>
        <w:ind w:left="720" w:right="630" w:hanging="360"/>
        <w:jc w:val="both"/>
        <w:rPr>
          <w:rFonts w:ascii="Cambria" w:hAnsi="Cambria"/>
          <w:spacing w:val="-3"/>
          <w:sz w:val="20"/>
          <w:lang w:val="es-ES"/>
        </w:rPr>
      </w:pPr>
    </w:p>
    <w:p w:rsidR="007613AB" w:rsidRPr="00916BAA" w:rsidRDefault="007613AB" w:rsidP="00A43C82">
      <w:pPr>
        <w:tabs>
          <w:tab w:val="left" w:pos="360"/>
        </w:tabs>
        <w:suppressAutoHyphens/>
        <w:ind w:left="720" w:right="630" w:hanging="360"/>
        <w:jc w:val="both"/>
        <w:rPr>
          <w:rFonts w:ascii="Cambria" w:hAnsi="Cambria"/>
          <w:spacing w:val="-3"/>
          <w:sz w:val="20"/>
          <w:lang w:val="es-ES"/>
        </w:rPr>
      </w:pPr>
      <w:r w:rsidRPr="00916BAA">
        <w:rPr>
          <w:rFonts w:ascii="Cambria" w:hAnsi="Cambria"/>
          <w:spacing w:val="-3"/>
          <w:sz w:val="20"/>
          <w:lang w:val="es-ES"/>
        </w:rPr>
        <w:tab/>
        <w:t>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w:t>
      </w:r>
    </w:p>
    <w:p w:rsidR="00D239AA" w:rsidRDefault="00D239AA" w:rsidP="00A43C82">
      <w:pPr>
        <w:tabs>
          <w:tab w:val="left" w:pos="360"/>
        </w:tabs>
        <w:suppressAutoHyphens/>
        <w:ind w:left="720" w:right="630" w:hanging="360"/>
        <w:jc w:val="both"/>
        <w:rPr>
          <w:rFonts w:asciiTheme="majorHAnsi" w:hAnsiTheme="majorHAnsi"/>
          <w:spacing w:val="-3"/>
          <w:sz w:val="20"/>
          <w:szCs w:val="20"/>
          <w:lang w:val="es-ES"/>
        </w:rPr>
      </w:pPr>
    </w:p>
    <w:p w:rsidR="00A75B77" w:rsidRDefault="00A75B77" w:rsidP="00A43C82">
      <w:pPr>
        <w:tabs>
          <w:tab w:val="left" w:pos="360"/>
        </w:tabs>
        <w:suppressAutoHyphens/>
        <w:ind w:left="720" w:right="630" w:hanging="360"/>
        <w:jc w:val="both"/>
        <w:rPr>
          <w:rFonts w:asciiTheme="majorHAnsi" w:hAnsiTheme="majorHAnsi"/>
          <w:spacing w:val="-3"/>
          <w:sz w:val="20"/>
          <w:szCs w:val="20"/>
          <w:lang w:val="es-ES"/>
        </w:rPr>
      </w:pPr>
      <w:r>
        <w:rPr>
          <w:rFonts w:asciiTheme="majorHAnsi" w:hAnsiTheme="majorHAnsi"/>
          <w:spacing w:val="-3"/>
          <w:sz w:val="20"/>
          <w:szCs w:val="20"/>
          <w:lang w:val="es-ES"/>
        </w:rPr>
        <w:tab/>
        <w:t>(…)</w:t>
      </w:r>
    </w:p>
    <w:p w:rsidR="00A75B77" w:rsidRDefault="00A75B77" w:rsidP="00A43C82">
      <w:pPr>
        <w:tabs>
          <w:tab w:val="left" w:pos="360"/>
        </w:tabs>
        <w:suppressAutoHyphens/>
        <w:ind w:left="720" w:right="630" w:hanging="360"/>
        <w:jc w:val="both"/>
        <w:rPr>
          <w:rFonts w:asciiTheme="majorHAnsi" w:hAnsiTheme="majorHAnsi"/>
          <w:spacing w:val="-3"/>
          <w:sz w:val="20"/>
          <w:szCs w:val="20"/>
          <w:lang w:val="es-ES"/>
        </w:rPr>
      </w:pPr>
    </w:p>
    <w:p w:rsidR="008B391B" w:rsidRDefault="008B391B" w:rsidP="000D6CF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pacing w:val="-3"/>
          <w:sz w:val="20"/>
          <w:szCs w:val="20"/>
          <w:lang w:val="es-ES"/>
        </w:rPr>
      </w:pPr>
      <w:r>
        <w:rPr>
          <w:rFonts w:asciiTheme="majorHAnsi" w:hAnsiTheme="majorHAnsi"/>
          <w:spacing w:val="-3"/>
          <w:sz w:val="20"/>
          <w:szCs w:val="20"/>
          <w:lang w:val="es-ES"/>
        </w:rPr>
        <w:t>El artículo 8.2 de la Convención America</w:t>
      </w:r>
      <w:r w:rsidR="00C8091B">
        <w:rPr>
          <w:rFonts w:asciiTheme="majorHAnsi" w:hAnsiTheme="majorHAnsi"/>
          <w:spacing w:val="-3"/>
          <w:sz w:val="20"/>
          <w:szCs w:val="20"/>
          <w:lang w:val="es-ES"/>
        </w:rPr>
        <w:t>n</w:t>
      </w:r>
      <w:r>
        <w:rPr>
          <w:rFonts w:asciiTheme="majorHAnsi" w:hAnsiTheme="majorHAnsi"/>
          <w:spacing w:val="-3"/>
          <w:sz w:val="20"/>
          <w:szCs w:val="20"/>
          <w:lang w:val="es-ES"/>
        </w:rPr>
        <w:t>a indica</w:t>
      </w:r>
      <w:r w:rsidR="00EE20C5">
        <w:rPr>
          <w:rFonts w:asciiTheme="majorHAnsi" w:hAnsiTheme="majorHAnsi"/>
          <w:spacing w:val="-3"/>
          <w:sz w:val="20"/>
          <w:szCs w:val="20"/>
          <w:lang w:val="es-ES"/>
        </w:rPr>
        <w:t>, en lo pertinente,</w:t>
      </w:r>
      <w:r w:rsidR="00C8091B">
        <w:rPr>
          <w:rFonts w:asciiTheme="majorHAnsi" w:hAnsiTheme="majorHAnsi"/>
          <w:spacing w:val="-3"/>
          <w:sz w:val="20"/>
          <w:szCs w:val="20"/>
          <w:lang w:val="es-ES"/>
        </w:rPr>
        <w:t xml:space="preserve"> </w:t>
      </w:r>
      <w:r>
        <w:rPr>
          <w:rFonts w:asciiTheme="majorHAnsi" w:hAnsiTheme="majorHAnsi"/>
          <w:spacing w:val="-3"/>
          <w:sz w:val="20"/>
          <w:szCs w:val="20"/>
          <w:lang w:val="es-ES"/>
        </w:rPr>
        <w:t xml:space="preserve">que: </w:t>
      </w:r>
    </w:p>
    <w:p w:rsidR="00C8091B" w:rsidRDefault="00C8091B" w:rsidP="00A43C82">
      <w:pPr>
        <w:tabs>
          <w:tab w:val="left" w:pos="360"/>
        </w:tabs>
        <w:suppressAutoHyphens/>
        <w:ind w:left="720" w:right="630" w:hanging="360"/>
        <w:jc w:val="both"/>
        <w:rPr>
          <w:rFonts w:asciiTheme="majorHAnsi" w:hAnsiTheme="majorHAnsi"/>
          <w:spacing w:val="-3"/>
          <w:sz w:val="20"/>
          <w:szCs w:val="20"/>
          <w:lang w:val="es-ES"/>
        </w:rPr>
      </w:pPr>
    </w:p>
    <w:p w:rsidR="00165218" w:rsidRPr="00165218" w:rsidRDefault="00165218" w:rsidP="00A43C82">
      <w:pPr>
        <w:tabs>
          <w:tab w:val="left" w:pos="360"/>
        </w:tabs>
        <w:suppressAutoHyphens/>
        <w:ind w:left="720" w:right="630" w:hanging="360"/>
        <w:jc w:val="both"/>
        <w:rPr>
          <w:rFonts w:asciiTheme="majorHAnsi" w:hAnsiTheme="majorHAnsi"/>
          <w:spacing w:val="-3"/>
          <w:sz w:val="20"/>
          <w:szCs w:val="20"/>
          <w:lang w:val="es-ES"/>
        </w:rPr>
      </w:pPr>
      <w:r w:rsidRPr="00165218">
        <w:rPr>
          <w:rFonts w:ascii="Cambria" w:hAnsi="Cambria"/>
          <w:spacing w:val="-3"/>
          <w:sz w:val="20"/>
          <w:lang w:val="es-ES"/>
        </w:rPr>
        <w:tab/>
        <w:t xml:space="preserve">Toda persona inculpada de delito tiene derecho a que se presuma su inocencia mientras no se establezca legalmente su culpabilidad.  </w:t>
      </w:r>
      <w:r w:rsidRPr="00165218">
        <w:rPr>
          <w:rFonts w:ascii="Cambria" w:hAnsi="Cambria"/>
          <w:spacing w:val="-3"/>
          <w:sz w:val="20"/>
          <w:lang w:val="es-ES"/>
        </w:rPr>
        <w:tab/>
      </w:r>
      <w:r w:rsidRPr="00165218">
        <w:rPr>
          <w:rFonts w:ascii="Cambria" w:hAnsi="Cambria"/>
          <w:spacing w:val="-3"/>
          <w:sz w:val="20"/>
          <w:lang w:val="es-ES"/>
        </w:rPr>
        <w:tab/>
      </w:r>
      <w:r w:rsidRPr="00165218">
        <w:rPr>
          <w:rFonts w:ascii="Cambria" w:hAnsi="Cambria"/>
          <w:spacing w:val="-3"/>
          <w:sz w:val="20"/>
          <w:lang w:val="es-ES"/>
        </w:rPr>
        <w:tab/>
      </w:r>
      <w:r w:rsidRPr="00165218">
        <w:rPr>
          <w:rFonts w:ascii="Cambria" w:hAnsi="Cambria"/>
          <w:spacing w:val="-3"/>
          <w:sz w:val="20"/>
          <w:lang w:val="es-ES"/>
        </w:rPr>
        <w:tab/>
      </w:r>
      <w:r w:rsidRPr="00165218">
        <w:rPr>
          <w:rFonts w:ascii="Cambria" w:hAnsi="Cambria"/>
          <w:spacing w:val="-3"/>
          <w:sz w:val="20"/>
          <w:lang w:val="es-ES"/>
        </w:rPr>
        <w:tab/>
      </w:r>
    </w:p>
    <w:p w:rsidR="008B391B" w:rsidRDefault="008B391B" w:rsidP="00A43C82">
      <w:pPr>
        <w:tabs>
          <w:tab w:val="left" w:pos="360"/>
        </w:tabs>
        <w:suppressAutoHyphens/>
        <w:ind w:left="720" w:right="630" w:hanging="360"/>
        <w:jc w:val="both"/>
        <w:rPr>
          <w:rFonts w:asciiTheme="majorHAnsi" w:hAnsiTheme="majorHAnsi"/>
          <w:spacing w:val="-3"/>
          <w:sz w:val="20"/>
          <w:szCs w:val="20"/>
          <w:lang w:val="es-ES"/>
        </w:rPr>
      </w:pPr>
    </w:p>
    <w:p w:rsidR="003F52F4" w:rsidRDefault="003F52F4" w:rsidP="003F52F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pacing w:val="-3"/>
          <w:sz w:val="20"/>
          <w:szCs w:val="20"/>
          <w:lang w:val="es-ES"/>
        </w:rPr>
      </w:pPr>
      <w:r>
        <w:rPr>
          <w:rFonts w:asciiTheme="majorHAnsi" w:hAnsiTheme="majorHAnsi"/>
          <w:spacing w:val="-3"/>
          <w:sz w:val="20"/>
          <w:szCs w:val="20"/>
          <w:lang w:val="es-ES"/>
        </w:rPr>
        <w:t>El artículo 25.1</w:t>
      </w:r>
      <w:r w:rsidR="008B391B">
        <w:rPr>
          <w:rFonts w:asciiTheme="majorHAnsi" w:hAnsiTheme="majorHAnsi"/>
          <w:spacing w:val="-3"/>
          <w:sz w:val="20"/>
          <w:szCs w:val="20"/>
          <w:lang w:val="es-ES"/>
        </w:rPr>
        <w:t xml:space="preserve"> de la Convención Americana </w:t>
      </w:r>
      <w:r>
        <w:rPr>
          <w:rFonts w:asciiTheme="majorHAnsi" w:hAnsiTheme="majorHAnsi"/>
          <w:spacing w:val="-3"/>
          <w:sz w:val="20"/>
          <w:szCs w:val="20"/>
          <w:lang w:val="es-ES"/>
        </w:rPr>
        <w:t>señala  que:</w:t>
      </w:r>
    </w:p>
    <w:p w:rsidR="003F52F4" w:rsidRDefault="003F52F4" w:rsidP="00A43C82">
      <w:pPr>
        <w:tabs>
          <w:tab w:val="left" w:pos="360"/>
        </w:tabs>
        <w:suppressAutoHyphens/>
        <w:ind w:left="720" w:right="630" w:hanging="360"/>
        <w:jc w:val="both"/>
        <w:rPr>
          <w:rFonts w:asciiTheme="majorHAnsi" w:hAnsiTheme="majorHAnsi"/>
          <w:spacing w:val="-3"/>
          <w:sz w:val="20"/>
          <w:szCs w:val="20"/>
          <w:lang w:val="es-ES"/>
        </w:rPr>
      </w:pPr>
    </w:p>
    <w:p w:rsidR="003F52F4" w:rsidRPr="003F52F4" w:rsidRDefault="003F52F4" w:rsidP="00A43C82">
      <w:pPr>
        <w:tabs>
          <w:tab w:val="left" w:pos="360"/>
        </w:tabs>
        <w:suppressAutoHyphens/>
        <w:ind w:left="720" w:right="630" w:hanging="360"/>
        <w:jc w:val="both"/>
        <w:rPr>
          <w:rFonts w:asciiTheme="majorHAnsi" w:hAnsiTheme="majorHAnsi"/>
          <w:spacing w:val="-3"/>
          <w:sz w:val="20"/>
          <w:szCs w:val="20"/>
          <w:lang w:val="es-ES"/>
        </w:rPr>
      </w:pPr>
      <w:r>
        <w:rPr>
          <w:rFonts w:ascii="Cambria" w:hAnsi="Cambria"/>
          <w:b/>
          <w:spacing w:val="-3"/>
          <w:sz w:val="20"/>
          <w:lang w:val="es-ES"/>
        </w:rPr>
        <w:tab/>
      </w:r>
      <w:r w:rsidRPr="003F52F4">
        <w:rPr>
          <w:rFonts w:ascii="Cambria" w:hAnsi="Cambria"/>
          <w:spacing w:val="-3"/>
          <w:sz w:val="20"/>
          <w:lang w:val="es-ES"/>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rsidR="003F52F4" w:rsidRPr="007E0D58" w:rsidRDefault="003F52F4" w:rsidP="00A43C82">
      <w:pPr>
        <w:tabs>
          <w:tab w:val="left" w:pos="360"/>
        </w:tabs>
        <w:suppressAutoHyphens/>
        <w:ind w:left="720" w:right="630" w:hanging="360"/>
        <w:jc w:val="both"/>
        <w:rPr>
          <w:rFonts w:asciiTheme="majorHAnsi" w:hAnsiTheme="majorHAnsi"/>
          <w:spacing w:val="-3"/>
          <w:sz w:val="20"/>
          <w:szCs w:val="20"/>
          <w:lang w:val="es-ES"/>
        </w:rPr>
      </w:pPr>
    </w:p>
    <w:p w:rsidR="00E13F34" w:rsidRPr="0062236D" w:rsidRDefault="00E13F34" w:rsidP="0062236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eastAsia="es-ES"/>
        </w:rPr>
      </w:pPr>
      <w:r w:rsidRPr="00B56CF7">
        <w:rPr>
          <w:rFonts w:asciiTheme="majorHAnsi" w:hAnsiTheme="majorHAnsi"/>
          <w:sz w:val="20"/>
          <w:szCs w:val="20"/>
          <w:lang w:val="es-VE"/>
        </w:rPr>
        <w:t xml:space="preserve">El artículo 1.1 de la Convención Americana establece que: </w:t>
      </w:r>
    </w:p>
    <w:p w:rsidR="00E13F34" w:rsidRPr="00B56CF7" w:rsidRDefault="00E13F34" w:rsidP="0062236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rPr>
      </w:pPr>
    </w:p>
    <w:p w:rsidR="00E13F34" w:rsidRDefault="00E66059" w:rsidP="0062236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630"/>
        <w:jc w:val="both"/>
        <w:rPr>
          <w:rFonts w:asciiTheme="majorHAnsi" w:hAnsiTheme="majorHAnsi"/>
          <w:sz w:val="20"/>
          <w:szCs w:val="20"/>
          <w:lang w:val="es-VE"/>
        </w:rPr>
      </w:pPr>
      <w:r w:rsidRPr="00B56CF7">
        <w:rPr>
          <w:rFonts w:asciiTheme="majorHAnsi" w:hAnsiTheme="majorHAnsi"/>
          <w:sz w:val="20"/>
          <w:szCs w:val="20"/>
          <w:lang w:val="es-VE"/>
        </w:rPr>
        <w:t>L</w:t>
      </w:r>
      <w:r w:rsidR="00E13F34" w:rsidRPr="00B56CF7">
        <w:rPr>
          <w:rFonts w:asciiTheme="majorHAnsi" w:hAnsiTheme="majorHAnsi"/>
          <w:sz w:val="20"/>
          <w:szCs w:val="20"/>
          <w:lang w:val="es-VE"/>
        </w:rPr>
        <w:t xml:space="preserve">os Estados Partes en esta Convención se comprometen a </w:t>
      </w:r>
      <w:r w:rsidR="00E13F34" w:rsidRPr="0062236D">
        <w:rPr>
          <w:rFonts w:asciiTheme="majorHAnsi" w:hAnsiTheme="majorHAnsi"/>
          <w:sz w:val="20"/>
          <w:szCs w:val="20"/>
          <w:lang w:val="es-ES" w:eastAsia="es-ES"/>
        </w:rPr>
        <w:t>respetar</w:t>
      </w:r>
      <w:r w:rsidR="00E13F34" w:rsidRPr="00B56CF7">
        <w:rPr>
          <w:rFonts w:asciiTheme="majorHAnsi" w:hAnsiTheme="majorHAnsi"/>
          <w:sz w:val="20"/>
          <w:szCs w:val="20"/>
          <w:lang w:val="es-VE"/>
        </w:rPr>
        <w:t xml:space="preserve"> los derechos y libertades reconocidos en ella y a garantizar su libre y pleno ejercicio a toda persona que esté sujeta a su jurisdicción, sin discriminación por motivos de raza, color, sexo, idioma, religión, opiniones políticas o de cualquier otra índole, origen nacional o social, posición económica, nacimiento o cualquier otra condición social”.</w:t>
      </w:r>
    </w:p>
    <w:p w:rsidR="00436F14" w:rsidRDefault="00436F14" w:rsidP="0062236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630"/>
        <w:jc w:val="both"/>
        <w:rPr>
          <w:rFonts w:asciiTheme="majorHAnsi" w:hAnsiTheme="majorHAnsi"/>
          <w:sz w:val="20"/>
          <w:szCs w:val="20"/>
          <w:lang w:val="es-VE"/>
        </w:rPr>
      </w:pPr>
    </w:p>
    <w:p w:rsidR="00E13F34" w:rsidRDefault="00436F14" w:rsidP="00436F1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eastAsia="es-ES"/>
        </w:rPr>
      </w:pPr>
      <w:r>
        <w:rPr>
          <w:rFonts w:asciiTheme="majorHAnsi" w:hAnsiTheme="majorHAnsi"/>
          <w:sz w:val="20"/>
          <w:szCs w:val="20"/>
          <w:lang w:val="es-ES" w:eastAsia="es-ES"/>
        </w:rPr>
        <w:t xml:space="preserve">El artículo 2 de la Convención Americana indica que: </w:t>
      </w:r>
    </w:p>
    <w:p w:rsidR="00436F14" w:rsidRDefault="00436F14" w:rsidP="00436F1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eastAsia="es-ES"/>
        </w:rPr>
      </w:pPr>
    </w:p>
    <w:p w:rsidR="00436F14" w:rsidRPr="00542560" w:rsidRDefault="00436F14" w:rsidP="0054256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630"/>
        <w:jc w:val="both"/>
        <w:rPr>
          <w:rFonts w:asciiTheme="majorHAnsi" w:hAnsiTheme="majorHAnsi"/>
          <w:sz w:val="20"/>
          <w:szCs w:val="20"/>
          <w:lang w:val="es-ES" w:eastAsia="es-ES"/>
        </w:rPr>
      </w:pPr>
      <w:r w:rsidRPr="00436F14">
        <w:rPr>
          <w:rFonts w:ascii="Cambria" w:hAnsi="Cambria" w:cs="Tahoma"/>
          <w:sz w:val="20"/>
          <w:szCs w:val="20"/>
          <w:lang w:val="es-US"/>
        </w:rPr>
        <w:t>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p w:rsidR="001C37F5" w:rsidRPr="00EE24AD" w:rsidRDefault="00242396" w:rsidP="00EE24AD">
      <w:pPr>
        <w:pStyle w:val="Heading3"/>
        <w:numPr>
          <w:ilvl w:val="1"/>
          <w:numId w:val="55"/>
        </w:numPr>
        <w:tabs>
          <w:tab w:val="clear" w:pos="1800"/>
          <w:tab w:val="num" w:pos="720"/>
        </w:tabs>
        <w:ind w:left="720" w:firstLine="0"/>
        <w:rPr>
          <w:sz w:val="20"/>
          <w:szCs w:val="20"/>
          <w:lang w:val="es-VE"/>
        </w:rPr>
      </w:pPr>
      <w:bookmarkStart w:id="70" w:name="_Toc469409098"/>
      <w:r w:rsidRPr="00EE24AD">
        <w:rPr>
          <w:color w:val="auto"/>
          <w:sz w:val="20"/>
          <w:szCs w:val="20"/>
          <w:lang w:val="es-VE"/>
        </w:rPr>
        <w:lastRenderedPageBreak/>
        <w:t>Consideraciones generales sobre la detención preventiva</w:t>
      </w:r>
      <w:bookmarkEnd w:id="70"/>
      <w:r w:rsidRPr="00EE24AD">
        <w:rPr>
          <w:sz w:val="20"/>
          <w:szCs w:val="20"/>
          <w:lang w:val="es-VE"/>
        </w:rPr>
        <w:tab/>
      </w:r>
    </w:p>
    <w:p w:rsidR="00E7071E" w:rsidRPr="00A63957" w:rsidRDefault="00EE24AD" w:rsidP="00EE24AD">
      <w:pPr>
        <w:pStyle w:val="ListParagraph"/>
        <w:tabs>
          <w:tab w:val="left" w:pos="3087"/>
        </w:tabs>
        <w:rPr>
          <w:rFonts w:asciiTheme="majorHAnsi" w:hAnsiTheme="majorHAnsi"/>
          <w:sz w:val="20"/>
          <w:szCs w:val="20"/>
          <w:lang w:val="es-VE"/>
        </w:rPr>
      </w:pPr>
      <w:r>
        <w:rPr>
          <w:rFonts w:asciiTheme="majorHAnsi" w:hAnsiTheme="majorHAnsi"/>
          <w:sz w:val="20"/>
          <w:szCs w:val="20"/>
          <w:lang w:val="es-VE"/>
        </w:rPr>
        <w:tab/>
      </w:r>
    </w:p>
    <w:p w:rsidR="00914517" w:rsidRPr="00A63957" w:rsidRDefault="00E32FB8" w:rsidP="0062236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CO"/>
        </w:rPr>
      </w:pPr>
      <w:r w:rsidRPr="00A63957">
        <w:rPr>
          <w:rFonts w:asciiTheme="majorHAnsi" w:hAnsiTheme="majorHAnsi" w:cs="Arial"/>
          <w:sz w:val="20"/>
          <w:szCs w:val="20"/>
          <w:lang w:val="es-MX"/>
        </w:rPr>
        <w:t>L</w:t>
      </w:r>
      <w:r w:rsidR="00914517" w:rsidRPr="00A63957">
        <w:rPr>
          <w:rFonts w:asciiTheme="majorHAnsi" w:hAnsiTheme="majorHAnsi" w:cs="Arial"/>
          <w:sz w:val="20"/>
          <w:szCs w:val="20"/>
          <w:lang w:val="es-MX"/>
        </w:rPr>
        <w:t xml:space="preserve">a </w:t>
      </w:r>
      <w:r w:rsidR="00283976" w:rsidRPr="00A63957">
        <w:rPr>
          <w:rFonts w:asciiTheme="majorHAnsi" w:hAnsiTheme="majorHAnsi" w:cs="Arial"/>
          <w:sz w:val="20"/>
          <w:szCs w:val="20"/>
          <w:lang w:val="es-MX"/>
        </w:rPr>
        <w:t xml:space="preserve">Comisión y la </w:t>
      </w:r>
      <w:r w:rsidR="00914517" w:rsidRPr="00A63957">
        <w:rPr>
          <w:rFonts w:asciiTheme="majorHAnsi" w:hAnsiTheme="majorHAnsi" w:cs="Arial"/>
          <w:sz w:val="20"/>
          <w:szCs w:val="20"/>
          <w:lang w:val="es-MX"/>
        </w:rPr>
        <w:t>Corte ha</w:t>
      </w:r>
      <w:r w:rsidR="00283976" w:rsidRPr="00A63957">
        <w:rPr>
          <w:rFonts w:asciiTheme="majorHAnsi" w:hAnsiTheme="majorHAnsi" w:cs="Arial"/>
          <w:sz w:val="20"/>
          <w:szCs w:val="20"/>
          <w:lang w:val="es-MX"/>
        </w:rPr>
        <w:t>n</w:t>
      </w:r>
      <w:r w:rsidR="00914517" w:rsidRPr="00A63957">
        <w:rPr>
          <w:rFonts w:asciiTheme="majorHAnsi" w:hAnsiTheme="majorHAnsi" w:cs="Arial"/>
          <w:sz w:val="20"/>
          <w:szCs w:val="20"/>
          <w:lang w:val="es-MX"/>
        </w:rPr>
        <w:t xml:space="preserve"> señalado que </w:t>
      </w:r>
      <w:r w:rsidR="0091708E" w:rsidRPr="00A63957">
        <w:rPr>
          <w:rFonts w:asciiTheme="majorHAnsi" w:hAnsiTheme="majorHAnsi" w:cs="Arial"/>
          <w:sz w:val="20"/>
          <w:szCs w:val="20"/>
          <w:lang w:val="es-MX"/>
        </w:rPr>
        <w:t xml:space="preserve">la detención preventiva </w:t>
      </w:r>
      <w:r w:rsidR="00914517" w:rsidRPr="00A63957">
        <w:rPr>
          <w:rFonts w:asciiTheme="majorHAnsi" w:hAnsiTheme="majorHAnsi" w:cs="Arial"/>
          <w:sz w:val="20"/>
          <w:szCs w:val="20"/>
          <w:lang w:val="es-MX"/>
        </w:rPr>
        <w:t xml:space="preserve">se encuentra limitada </w:t>
      </w:r>
      <w:r w:rsidR="00914517" w:rsidRPr="00A63957">
        <w:rPr>
          <w:rFonts w:asciiTheme="majorHAnsi" w:hAnsiTheme="majorHAnsi"/>
          <w:sz w:val="20"/>
          <w:szCs w:val="20"/>
          <w:lang w:val="es-CO"/>
        </w:rPr>
        <w:t>por los principios de legalidad, presunción de inocencia, necesidad y proporcionalidad</w:t>
      </w:r>
      <w:r w:rsidR="00914517" w:rsidRPr="00A63957">
        <w:rPr>
          <w:rStyle w:val="FootnoteReference"/>
          <w:rFonts w:asciiTheme="majorHAnsi" w:hAnsiTheme="majorHAnsi"/>
          <w:sz w:val="20"/>
          <w:szCs w:val="20"/>
        </w:rPr>
        <w:footnoteReference w:id="60"/>
      </w:r>
      <w:r w:rsidR="00914517" w:rsidRPr="00A63957">
        <w:rPr>
          <w:rFonts w:asciiTheme="majorHAnsi" w:hAnsiTheme="majorHAnsi"/>
          <w:sz w:val="20"/>
          <w:szCs w:val="20"/>
          <w:lang w:val="es-CO"/>
        </w:rPr>
        <w:t>. Asimismo, ha indicado que se trata de una medida cautelar y no punitiva</w:t>
      </w:r>
      <w:r w:rsidR="00914517" w:rsidRPr="00A63957">
        <w:rPr>
          <w:rStyle w:val="FootnoteReference"/>
          <w:rFonts w:asciiTheme="majorHAnsi" w:hAnsiTheme="majorHAnsi"/>
          <w:sz w:val="20"/>
          <w:szCs w:val="20"/>
        </w:rPr>
        <w:footnoteReference w:id="61"/>
      </w:r>
      <w:r w:rsidR="00914517" w:rsidRPr="00A63957">
        <w:rPr>
          <w:rFonts w:asciiTheme="majorHAnsi" w:hAnsiTheme="majorHAnsi"/>
          <w:sz w:val="20"/>
          <w:szCs w:val="20"/>
          <w:lang w:val="es-CO"/>
        </w:rPr>
        <w:t xml:space="preserve"> y que es la más severa que se puede imponer al imputado por lo que debe aplicarse excepcionalmente. En consideración de </w:t>
      </w:r>
      <w:r w:rsidR="00283976" w:rsidRPr="00A63957">
        <w:rPr>
          <w:rFonts w:asciiTheme="majorHAnsi" w:hAnsiTheme="majorHAnsi"/>
          <w:sz w:val="20"/>
          <w:szCs w:val="20"/>
          <w:lang w:val="es-CO"/>
        </w:rPr>
        <w:t xml:space="preserve">ambos órganos del sistema interamericano, </w:t>
      </w:r>
      <w:r w:rsidR="00914517" w:rsidRPr="00A63957">
        <w:rPr>
          <w:rFonts w:asciiTheme="majorHAnsi" w:hAnsiTheme="majorHAnsi"/>
          <w:sz w:val="20"/>
          <w:szCs w:val="20"/>
          <w:lang w:val="es-CO"/>
        </w:rPr>
        <w:t>la regla debe ser la libertad del procesado mientras se resuelve acerca de su responsabilidad penal</w:t>
      </w:r>
      <w:r w:rsidR="00914517" w:rsidRPr="00A63957">
        <w:rPr>
          <w:rStyle w:val="FootnoteReference"/>
          <w:rFonts w:asciiTheme="majorHAnsi" w:hAnsiTheme="majorHAnsi"/>
          <w:sz w:val="20"/>
          <w:szCs w:val="20"/>
        </w:rPr>
        <w:footnoteReference w:id="62"/>
      </w:r>
      <w:r w:rsidR="00914517" w:rsidRPr="00A63957">
        <w:rPr>
          <w:rFonts w:asciiTheme="majorHAnsi" w:hAnsiTheme="majorHAnsi"/>
          <w:sz w:val="20"/>
          <w:szCs w:val="20"/>
          <w:lang w:val="es-CO"/>
        </w:rPr>
        <w:t xml:space="preserve">. </w:t>
      </w:r>
    </w:p>
    <w:p w:rsidR="00914517" w:rsidRPr="00A63957" w:rsidRDefault="00914517" w:rsidP="00914517">
      <w:pPr>
        <w:ind w:firstLine="720"/>
        <w:jc w:val="both"/>
        <w:rPr>
          <w:rFonts w:asciiTheme="majorHAnsi" w:hAnsiTheme="majorHAnsi"/>
          <w:sz w:val="20"/>
          <w:szCs w:val="20"/>
          <w:lang w:val="es-CO"/>
        </w:rPr>
      </w:pPr>
    </w:p>
    <w:p w:rsidR="00914517" w:rsidRPr="00A63957" w:rsidRDefault="00914517" w:rsidP="0062236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CO"/>
        </w:rPr>
      </w:pPr>
      <w:r w:rsidRPr="00A63957">
        <w:rPr>
          <w:rFonts w:asciiTheme="majorHAnsi" w:hAnsiTheme="majorHAnsi"/>
          <w:sz w:val="20"/>
          <w:szCs w:val="20"/>
          <w:lang w:val="es-CO"/>
        </w:rPr>
        <w:t>La Corte</w:t>
      </w:r>
      <w:r w:rsidR="00E7153A">
        <w:rPr>
          <w:rFonts w:asciiTheme="majorHAnsi" w:hAnsiTheme="majorHAnsi"/>
          <w:sz w:val="20"/>
          <w:szCs w:val="20"/>
          <w:lang w:val="es-CO"/>
        </w:rPr>
        <w:t xml:space="preserve"> y la Comisión</w:t>
      </w:r>
      <w:r w:rsidRPr="00A63957">
        <w:rPr>
          <w:rFonts w:asciiTheme="majorHAnsi" w:hAnsiTheme="majorHAnsi"/>
          <w:sz w:val="20"/>
          <w:szCs w:val="20"/>
          <w:lang w:val="es-CO"/>
        </w:rPr>
        <w:t xml:space="preserve"> ha</w:t>
      </w:r>
      <w:r w:rsidR="00F1409E">
        <w:rPr>
          <w:rFonts w:asciiTheme="majorHAnsi" w:hAnsiTheme="majorHAnsi"/>
          <w:sz w:val="20"/>
          <w:szCs w:val="20"/>
          <w:lang w:val="es-CO"/>
        </w:rPr>
        <w:t>n</w:t>
      </w:r>
      <w:r w:rsidRPr="00A63957">
        <w:rPr>
          <w:rFonts w:asciiTheme="majorHAnsi" w:hAnsiTheme="majorHAnsi"/>
          <w:sz w:val="20"/>
          <w:szCs w:val="20"/>
          <w:lang w:val="es-CO"/>
        </w:rPr>
        <w:t xml:space="preserve"> resaltado que las características personales del supuesto autor y la gravedad del delito que se le imputa no son, por sí mismos, justificación suficiente de la prisión preventiva</w:t>
      </w:r>
      <w:r w:rsidRPr="00A63957">
        <w:rPr>
          <w:rStyle w:val="FootnoteReference"/>
          <w:rFonts w:asciiTheme="majorHAnsi" w:hAnsiTheme="majorHAnsi"/>
          <w:sz w:val="20"/>
          <w:szCs w:val="20"/>
        </w:rPr>
        <w:footnoteReference w:id="63"/>
      </w:r>
      <w:r w:rsidRPr="00A63957">
        <w:rPr>
          <w:rFonts w:asciiTheme="majorHAnsi" w:hAnsiTheme="majorHAnsi"/>
          <w:sz w:val="20"/>
          <w:szCs w:val="20"/>
          <w:lang w:val="es-CO"/>
        </w:rPr>
        <w:t>.</w:t>
      </w:r>
      <w:r w:rsidRPr="00A63957">
        <w:rPr>
          <w:rFonts w:asciiTheme="majorHAnsi" w:hAnsiTheme="majorHAnsi" w:cs="Univers"/>
          <w:color w:val="000000"/>
          <w:sz w:val="20"/>
          <w:szCs w:val="20"/>
          <w:lang w:val="es-CO"/>
        </w:rPr>
        <w:t xml:space="preserve"> </w:t>
      </w:r>
      <w:r w:rsidRPr="00A63957">
        <w:rPr>
          <w:rFonts w:asciiTheme="majorHAnsi" w:hAnsiTheme="majorHAnsi"/>
          <w:sz w:val="20"/>
          <w:szCs w:val="20"/>
          <w:lang w:val="es-CO"/>
        </w:rPr>
        <w:t xml:space="preserve">Respecto de las razones que pueden justificar la detención preventiva, los órganos del sistema han interpretado el artículo 7.3 de la Convención Americana en el sentido de que los indicios de responsabilidad son condición necesaria pero no suficiente para imponer tal medida. </w:t>
      </w:r>
      <w:r w:rsidR="00B56CF7" w:rsidRPr="00A63957">
        <w:rPr>
          <w:rFonts w:asciiTheme="majorHAnsi" w:hAnsiTheme="majorHAnsi"/>
          <w:sz w:val="20"/>
          <w:szCs w:val="20"/>
          <w:lang w:val="es-CO"/>
        </w:rPr>
        <w:t>En palabras de la Corte</w:t>
      </w:r>
      <w:r w:rsidR="000F1F53" w:rsidRPr="00A63957">
        <w:rPr>
          <w:rFonts w:asciiTheme="majorHAnsi" w:hAnsiTheme="majorHAnsi"/>
          <w:sz w:val="20"/>
          <w:szCs w:val="20"/>
          <w:lang w:val="es-CO"/>
        </w:rPr>
        <w:t>:</w:t>
      </w:r>
      <w:r w:rsidRPr="00A63957">
        <w:rPr>
          <w:rFonts w:asciiTheme="majorHAnsi" w:hAnsiTheme="majorHAnsi"/>
          <w:sz w:val="20"/>
          <w:szCs w:val="20"/>
          <w:lang w:val="es-CO"/>
        </w:rPr>
        <w:t xml:space="preserve"> </w:t>
      </w:r>
      <w:bookmarkStart w:id="71" w:name="_Ref242782550"/>
    </w:p>
    <w:p w:rsidR="00914517" w:rsidRPr="00A63957" w:rsidRDefault="00914517" w:rsidP="00914517">
      <w:pPr>
        <w:ind w:left="720" w:right="720"/>
        <w:jc w:val="both"/>
        <w:rPr>
          <w:rFonts w:asciiTheme="majorHAnsi" w:hAnsiTheme="majorHAnsi"/>
          <w:sz w:val="20"/>
          <w:szCs w:val="20"/>
          <w:lang w:val="es-CO"/>
        </w:rPr>
      </w:pPr>
    </w:p>
    <w:p w:rsidR="00914517" w:rsidRPr="00A63957" w:rsidRDefault="00FA7A5C" w:rsidP="00914517">
      <w:pPr>
        <w:ind w:left="720" w:right="720"/>
        <w:jc w:val="both"/>
        <w:rPr>
          <w:rFonts w:asciiTheme="majorHAnsi" w:hAnsiTheme="majorHAnsi"/>
          <w:sz w:val="20"/>
          <w:szCs w:val="20"/>
          <w:lang w:val="es-CO"/>
        </w:rPr>
      </w:pPr>
      <w:r>
        <w:rPr>
          <w:rFonts w:asciiTheme="majorHAnsi" w:hAnsiTheme="majorHAnsi"/>
          <w:sz w:val="20"/>
          <w:szCs w:val="20"/>
          <w:lang w:val="es-CO"/>
        </w:rPr>
        <w:t xml:space="preserve">(…) </w:t>
      </w:r>
      <w:r w:rsidR="00914517" w:rsidRPr="00A63957">
        <w:rPr>
          <w:rFonts w:asciiTheme="majorHAnsi" w:hAnsiTheme="majorHAnsi"/>
          <w:sz w:val="20"/>
          <w:szCs w:val="20"/>
          <w:lang w:val="es-CO"/>
        </w:rPr>
        <w:t>deben existir indicios suficientes que permitan suponer razonablemente que la persona sometida a proceso ha participado en el ilícito que se investiga</w:t>
      </w:r>
      <w:bookmarkStart w:id="72" w:name="_Ref247965465"/>
      <w:r w:rsidR="00914517" w:rsidRPr="00A63957">
        <w:rPr>
          <w:rStyle w:val="FootnoteReference"/>
          <w:rFonts w:asciiTheme="majorHAnsi" w:hAnsiTheme="majorHAnsi"/>
          <w:sz w:val="20"/>
          <w:szCs w:val="20"/>
        </w:rPr>
        <w:footnoteReference w:id="64"/>
      </w:r>
      <w:bookmarkEnd w:id="72"/>
      <w:r w:rsidR="00914517" w:rsidRPr="00A63957">
        <w:rPr>
          <w:rFonts w:asciiTheme="majorHAnsi" w:hAnsiTheme="majorHAnsi"/>
          <w:sz w:val="20"/>
          <w:szCs w:val="20"/>
          <w:lang w:val="es-CO"/>
        </w:rPr>
        <w:t>. Sin embargo, “aún verificado este extremo, la privación de libertad del imputado no puede residir en fines preventivo-generales o preventivo-especiales atribuibles a la pena, sino que sólo se puede fundamentar […] en un fin legítimo, a saber: asegurar que el acusado no impedirá el desarrollo del procedimiento ni e</w:t>
      </w:r>
      <w:r w:rsidR="00853DA5">
        <w:rPr>
          <w:rFonts w:asciiTheme="majorHAnsi" w:hAnsiTheme="majorHAnsi"/>
          <w:sz w:val="20"/>
          <w:szCs w:val="20"/>
          <w:lang w:val="es-CO"/>
        </w:rPr>
        <w:t>ludirá la acción de la justicia</w:t>
      </w:r>
      <w:r w:rsidR="00914517" w:rsidRPr="00A63957">
        <w:rPr>
          <w:rStyle w:val="FootnoteReference"/>
          <w:rFonts w:asciiTheme="majorHAnsi" w:hAnsiTheme="majorHAnsi"/>
          <w:sz w:val="20"/>
          <w:szCs w:val="20"/>
        </w:rPr>
        <w:footnoteReference w:id="65"/>
      </w:r>
      <w:r w:rsidR="00914517" w:rsidRPr="00A63957">
        <w:rPr>
          <w:rFonts w:asciiTheme="majorHAnsi" w:hAnsiTheme="majorHAnsi"/>
          <w:sz w:val="20"/>
          <w:szCs w:val="20"/>
          <w:lang w:val="es-CO"/>
        </w:rPr>
        <w:t>.</w:t>
      </w:r>
      <w:bookmarkEnd w:id="71"/>
    </w:p>
    <w:p w:rsidR="00914517" w:rsidRPr="00A63957" w:rsidRDefault="00914517" w:rsidP="0059005F">
      <w:pPr>
        <w:pStyle w:val="ListParagraph"/>
        <w:rPr>
          <w:rFonts w:asciiTheme="majorHAnsi" w:hAnsiTheme="majorHAnsi"/>
          <w:sz w:val="20"/>
          <w:szCs w:val="20"/>
          <w:lang w:val="es-VE"/>
        </w:rPr>
      </w:pPr>
    </w:p>
    <w:p w:rsidR="00680926" w:rsidRPr="00E177FA" w:rsidRDefault="00680926" w:rsidP="0059005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E177FA">
        <w:rPr>
          <w:rFonts w:asciiTheme="majorHAnsi" w:hAnsiTheme="majorHAnsi" w:cs="Calibri"/>
          <w:sz w:val="20"/>
          <w:szCs w:val="20"/>
          <w:lang w:val="es-CO" w:eastAsia="es-ES"/>
        </w:rPr>
        <w:t xml:space="preserve">En esta línea, toda decisión por medio de la cual se restrinja el derecho a la libertad personal por medio de la aplicación de la prisión preventiva deberá contener una motivación suficiente </w:t>
      </w:r>
      <w:r w:rsidR="00AB2C0B" w:rsidRPr="00E177FA">
        <w:rPr>
          <w:rFonts w:asciiTheme="majorHAnsi" w:hAnsiTheme="majorHAnsi" w:cs="Calibri"/>
          <w:sz w:val="20"/>
          <w:szCs w:val="20"/>
          <w:lang w:val="es-CO" w:eastAsia="es-ES"/>
        </w:rPr>
        <w:t xml:space="preserve">e individualizada </w:t>
      </w:r>
      <w:r w:rsidRPr="00E177FA">
        <w:rPr>
          <w:rFonts w:asciiTheme="majorHAnsi" w:hAnsiTheme="majorHAnsi" w:cs="Calibri"/>
          <w:sz w:val="20"/>
          <w:szCs w:val="20"/>
          <w:lang w:val="es-CO" w:eastAsia="es-ES"/>
        </w:rPr>
        <w:t>que permita evaluar si tal detención</w:t>
      </w:r>
      <w:r w:rsidR="00BE07EE" w:rsidRPr="00E177FA">
        <w:rPr>
          <w:rFonts w:asciiTheme="majorHAnsi" w:hAnsiTheme="majorHAnsi" w:cs="Calibri"/>
          <w:sz w:val="20"/>
          <w:szCs w:val="20"/>
          <w:lang w:val="es-CO" w:eastAsia="es-ES"/>
        </w:rPr>
        <w:t xml:space="preserve"> </w:t>
      </w:r>
      <w:r w:rsidRPr="00E177FA">
        <w:rPr>
          <w:rFonts w:asciiTheme="majorHAnsi" w:hAnsiTheme="majorHAnsi" w:cs="Calibri"/>
          <w:sz w:val="20"/>
          <w:szCs w:val="20"/>
          <w:lang w:val="es-CO" w:eastAsia="es-ES"/>
        </w:rPr>
        <w:t>se ajusta a las condiciones necesarias para su aplicación (indicios razonables que vinculen al acusado, fines legítimos, aplicación excepcional, y criterios de necesidad, razonabilidad y proporcionalidad)</w:t>
      </w:r>
      <w:r w:rsidRPr="00A63957">
        <w:rPr>
          <w:rStyle w:val="FootnoteReference"/>
          <w:rFonts w:asciiTheme="majorHAnsi" w:hAnsiTheme="majorHAnsi" w:cs="Calibri"/>
          <w:sz w:val="20"/>
          <w:szCs w:val="20"/>
          <w:lang w:val="es-CO" w:eastAsia="es-ES"/>
        </w:rPr>
        <w:footnoteReference w:id="66"/>
      </w:r>
      <w:r w:rsidRPr="00E177FA">
        <w:rPr>
          <w:rFonts w:asciiTheme="majorHAnsi" w:hAnsiTheme="majorHAnsi" w:cs="Calibri"/>
          <w:sz w:val="20"/>
          <w:szCs w:val="20"/>
          <w:lang w:val="es-CO" w:eastAsia="es-ES"/>
        </w:rPr>
        <w:t>.</w:t>
      </w:r>
      <w:r w:rsidR="00A264FE" w:rsidRPr="00E177FA">
        <w:rPr>
          <w:rFonts w:asciiTheme="majorHAnsi" w:hAnsiTheme="majorHAnsi" w:cs="Calibri"/>
          <w:sz w:val="20"/>
          <w:szCs w:val="20"/>
          <w:lang w:val="es-CO" w:eastAsia="es-ES"/>
        </w:rPr>
        <w:t xml:space="preserve"> </w:t>
      </w:r>
    </w:p>
    <w:p w:rsidR="00E177FA" w:rsidRPr="00E177FA" w:rsidRDefault="00E177FA" w:rsidP="00E177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lang w:val="es-VE"/>
        </w:rPr>
      </w:pPr>
    </w:p>
    <w:p w:rsidR="004F1B7B" w:rsidRPr="00A63957" w:rsidRDefault="00803767" w:rsidP="004F1B7B">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autoSpaceDE w:val="0"/>
        <w:autoSpaceDN w:val="0"/>
        <w:adjustRightInd w:val="0"/>
        <w:ind w:left="0" w:firstLine="720"/>
        <w:jc w:val="both"/>
        <w:rPr>
          <w:rFonts w:asciiTheme="majorHAnsi" w:hAnsiTheme="majorHAnsi"/>
          <w:b/>
          <w:color w:val="000000"/>
          <w:sz w:val="20"/>
          <w:szCs w:val="20"/>
          <w:lang w:val="es-CO" w:eastAsia="es-ES"/>
        </w:rPr>
      </w:pPr>
      <w:r>
        <w:rPr>
          <w:rFonts w:asciiTheme="majorHAnsi" w:hAnsiTheme="majorHAnsi"/>
          <w:sz w:val="20"/>
          <w:szCs w:val="20"/>
          <w:lang w:val="es-VE"/>
        </w:rPr>
        <w:t xml:space="preserve">Por otra parte, </w:t>
      </w:r>
      <w:r w:rsidR="004868C6" w:rsidRPr="00A63957">
        <w:rPr>
          <w:rFonts w:asciiTheme="majorHAnsi" w:hAnsiTheme="majorHAnsi"/>
          <w:sz w:val="20"/>
          <w:szCs w:val="20"/>
          <w:lang w:val="es-VE"/>
        </w:rPr>
        <w:t>el artículo 7.5 de la Convención Americana impone límites temporales a la duración de la prisión preventiva y</w:t>
      </w:r>
      <w:r w:rsidR="000F1F53" w:rsidRPr="00A63957">
        <w:rPr>
          <w:rFonts w:asciiTheme="majorHAnsi" w:hAnsiTheme="majorHAnsi"/>
          <w:sz w:val="20"/>
          <w:szCs w:val="20"/>
          <w:lang w:val="es-VE"/>
        </w:rPr>
        <w:t>,</w:t>
      </w:r>
      <w:r w:rsidR="004868C6" w:rsidRPr="00A63957">
        <w:rPr>
          <w:rFonts w:asciiTheme="majorHAnsi" w:hAnsiTheme="majorHAnsi"/>
          <w:sz w:val="20"/>
          <w:szCs w:val="20"/>
          <w:lang w:val="es-VE"/>
        </w:rPr>
        <w:t xml:space="preserve"> en consecuencia, a las facultades del Estado para proteger los fines del proceso mediante este tipo de medida cautelar. Como ha indicado la Corte Interamericana “cuando el plazo de </w:t>
      </w:r>
      <w:r w:rsidR="004868C6" w:rsidRPr="00A63957">
        <w:rPr>
          <w:rFonts w:asciiTheme="majorHAnsi" w:hAnsiTheme="majorHAnsi"/>
          <w:sz w:val="20"/>
          <w:szCs w:val="20"/>
          <w:lang w:val="es-VE"/>
        </w:rPr>
        <w:lastRenderedPageBreak/>
        <w:t>la prisión preventiva sobrepasa lo razonable, el Estado podrá limitar la libertad del imputado con otras medidas menos lesivas que aseguren su comparecencia al juicio, distint</w:t>
      </w:r>
      <w:r w:rsidR="00E429E1" w:rsidRPr="00A63957">
        <w:rPr>
          <w:rFonts w:asciiTheme="majorHAnsi" w:hAnsiTheme="majorHAnsi"/>
          <w:sz w:val="20"/>
          <w:szCs w:val="20"/>
          <w:lang w:val="es-VE"/>
        </w:rPr>
        <w:t>as de la privación de libertad”</w:t>
      </w:r>
      <w:r w:rsidR="00E429E1" w:rsidRPr="00A63957">
        <w:rPr>
          <w:rStyle w:val="FootnoteReference"/>
          <w:rFonts w:asciiTheme="majorHAnsi" w:hAnsiTheme="majorHAnsi"/>
          <w:sz w:val="20"/>
          <w:szCs w:val="20"/>
          <w:lang w:val="es-VE"/>
        </w:rPr>
        <w:footnoteReference w:id="67"/>
      </w:r>
      <w:r w:rsidR="004868C6" w:rsidRPr="00A63957">
        <w:rPr>
          <w:rFonts w:asciiTheme="majorHAnsi" w:hAnsiTheme="majorHAnsi"/>
          <w:sz w:val="20"/>
          <w:szCs w:val="20"/>
          <w:lang w:val="es-VE"/>
        </w:rPr>
        <w:t xml:space="preserve">. </w:t>
      </w:r>
      <w:r w:rsidR="004F1B7B" w:rsidRPr="00A63957">
        <w:rPr>
          <w:rFonts w:asciiTheme="majorHAnsi" w:hAnsiTheme="majorHAnsi"/>
          <w:sz w:val="20"/>
          <w:szCs w:val="20"/>
          <w:lang w:val="es-CO"/>
        </w:rPr>
        <w:t xml:space="preserve">La Corte ha indicado que aun cuando medien razones para mantener a una persona en prisión preventiva, </w:t>
      </w:r>
      <w:r w:rsidR="004F1B7B" w:rsidRPr="00A63957">
        <w:rPr>
          <w:rFonts w:asciiTheme="majorHAnsi" w:hAnsiTheme="majorHAnsi" w:cs="Calibri"/>
          <w:sz w:val="20"/>
          <w:szCs w:val="20"/>
          <w:lang w:val="es-CO" w:eastAsia="es-ES"/>
        </w:rPr>
        <w:t>el</w:t>
      </w:r>
      <w:r w:rsidR="004F1B7B" w:rsidRPr="00A63957">
        <w:rPr>
          <w:rFonts w:asciiTheme="majorHAnsi" w:hAnsiTheme="majorHAnsi"/>
          <w:sz w:val="20"/>
          <w:szCs w:val="20"/>
          <w:lang w:val="es-CO"/>
        </w:rPr>
        <w:t xml:space="preserve"> período de la detención no debe exceder el límite de lo razonable</w:t>
      </w:r>
      <w:r w:rsidR="004F1B7B" w:rsidRPr="00A63957">
        <w:rPr>
          <w:rStyle w:val="FootnoteReference"/>
          <w:rFonts w:asciiTheme="majorHAnsi" w:hAnsiTheme="majorHAnsi"/>
          <w:sz w:val="20"/>
          <w:szCs w:val="20"/>
        </w:rPr>
        <w:footnoteReference w:id="68"/>
      </w:r>
      <w:r w:rsidR="004F1B7B" w:rsidRPr="00A63957">
        <w:rPr>
          <w:rFonts w:asciiTheme="majorHAnsi" w:hAnsiTheme="majorHAnsi"/>
          <w:sz w:val="20"/>
          <w:szCs w:val="20"/>
          <w:lang w:val="es-CO"/>
        </w:rPr>
        <w:t>.</w:t>
      </w:r>
    </w:p>
    <w:p w:rsidR="004868C6" w:rsidRPr="00A76A82" w:rsidRDefault="004868C6" w:rsidP="004868C6">
      <w:pPr>
        <w:pStyle w:val="ListParagraph"/>
        <w:rPr>
          <w:rFonts w:asciiTheme="majorHAnsi" w:hAnsiTheme="majorHAnsi"/>
          <w:sz w:val="20"/>
          <w:szCs w:val="20"/>
          <w:lang w:val="es-CO"/>
        </w:rPr>
      </w:pPr>
    </w:p>
    <w:p w:rsidR="00DC6E50" w:rsidRDefault="00DC6E50" w:rsidP="0020667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Pr>
          <w:rFonts w:asciiTheme="majorHAnsi" w:hAnsiTheme="majorHAnsi"/>
          <w:sz w:val="20"/>
          <w:szCs w:val="20"/>
          <w:lang w:val="es-ES"/>
        </w:rPr>
        <w:t xml:space="preserve">En cuanto a la necesidad de una revisión periódica de los fundamentos de la detención preventiva y de su tiempo de duración, la Corte ha indicado que: </w:t>
      </w:r>
    </w:p>
    <w:p w:rsidR="00DC6E50" w:rsidRDefault="00DC6E50" w:rsidP="00DC6E50">
      <w:pPr>
        <w:pStyle w:val="ListParagraph"/>
        <w:rPr>
          <w:rFonts w:asciiTheme="majorHAnsi" w:hAnsiTheme="majorHAnsi"/>
          <w:sz w:val="20"/>
          <w:szCs w:val="20"/>
          <w:lang w:val="es-ES"/>
        </w:rPr>
      </w:pPr>
    </w:p>
    <w:p w:rsidR="00206678" w:rsidRPr="00A63957" w:rsidRDefault="00892BA9" w:rsidP="00F91B8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630"/>
        <w:jc w:val="both"/>
        <w:rPr>
          <w:rFonts w:asciiTheme="majorHAnsi" w:hAnsiTheme="majorHAnsi"/>
          <w:sz w:val="20"/>
          <w:szCs w:val="20"/>
          <w:lang w:val="es-ES"/>
        </w:rPr>
      </w:pPr>
      <w:r>
        <w:rPr>
          <w:rFonts w:asciiTheme="majorHAnsi" w:hAnsiTheme="majorHAnsi"/>
          <w:sz w:val="20"/>
          <w:szCs w:val="20"/>
          <w:lang w:val="es-ES"/>
        </w:rPr>
        <w:t xml:space="preserve">(…) </w:t>
      </w:r>
      <w:r w:rsidR="004868C6" w:rsidRPr="00A63957">
        <w:rPr>
          <w:rFonts w:asciiTheme="majorHAnsi" w:hAnsiTheme="majorHAnsi"/>
          <w:sz w:val="20"/>
          <w:szCs w:val="20"/>
          <w:lang w:val="es-ES"/>
        </w:rPr>
        <w:t>una detención o prisión preventiva debe estar sometida a revisión periódica, de tal forma que no se prolongue cuando no subsistan las razones que motivaron su adopción. En este orden de ideas, el juez no tiene que esperar hasta el momento de dictar sentencia absolutoria para que una persona detenida recupere su libertad, sino que debe valorar periódicamente si las causas, necesidad y proporcionalidad de la medida se mantienen, y si el plazo de la detención ha sobrepasado los límites que imponen la ley la razón. En cualquier momento en que aparezca que la prisión preventiva no satisface estas condiciones, deberá decretarse la libertad, sin perjuicio de que el proceso respectivo continúe</w:t>
      </w:r>
      <w:r w:rsidR="004868C6" w:rsidRPr="00A63957">
        <w:rPr>
          <w:rStyle w:val="FootnoteReference"/>
          <w:rFonts w:asciiTheme="majorHAnsi" w:hAnsiTheme="majorHAnsi"/>
          <w:sz w:val="20"/>
          <w:szCs w:val="20"/>
          <w:lang w:val="es-ES"/>
        </w:rPr>
        <w:footnoteReference w:id="69"/>
      </w:r>
      <w:r w:rsidR="004868C6" w:rsidRPr="00A63957">
        <w:rPr>
          <w:rFonts w:asciiTheme="majorHAnsi" w:hAnsiTheme="majorHAnsi"/>
          <w:sz w:val="20"/>
          <w:szCs w:val="20"/>
          <w:lang w:val="es-ES"/>
        </w:rPr>
        <w:t xml:space="preserve">. </w:t>
      </w:r>
    </w:p>
    <w:p w:rsidR="00C44880" w:rsidRPr="00A63957" w:rsidRDefault="00C44880" w:rsidP="00206678">
      <w:pPr>
        <w:pStyle w:val="ListParagraph"/>
        <w:rPr>
          <w:rFonts w:asciiTheme="majorHAnsi" w:hAnsiTheme="majorHAnsi"/>
          <w:sz w:val="20"/>
          <w:szCs w:val="20"/>
          <w:lang w:val="es-ES"/>
        </w:rPr>
      </w:pPr>
    </w:p>
    <w:p w:rsidR="00A440C1" w:rsidRPr="00AC4086" w:rsidRDefault="00C94AE5" w:rsidP="0082355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Pr>
          <w:rFonts w:asciiTheme="majorHAnsi" w:hAnsiTheme="majorHAnsi"/>
          <w:sz w:val="20"/>
          <w:szCs w:val="20"/>
          <w:lang w:val="es-ES"/>
        </w:rPr>
        <w:t xml:space="preserve">Además de sus efectos en el ejercicio del </w:t>
      </w:r>
      <w:r w:rsidR="00823555">
        <w:rPr>
          <w:rFonts w:asciiTheme="majorHAnsi" w:hAnsiTheme="majorHAnsi"/>
          <w:sz w:val="20"/>
          <w:szCs w:val="20"/>
          <w:lang w:val="es-ES"/>
        </w:rPr>
        <w:t xml:space="preserve">derecho a la libertad personal, tanto la Comisión como la Corte han indicado que </w:t>
      </w:r>
      <w:r>
        <w:rPr>
          <w:rFonts w:asciiTheme="majorHAnsi" w:hAnsiTheme="majorHAnsi"/>
          <w:sz w:val="20"/>
          <w:szCs w:val="20"/>
          <w:lang w:val="es-ES"/>
        </w:rPr>
        <w:t>el</w:t>
      </w:r>
      <w:r w:rsidR="00C722BA" w:rsidRPr="00A63957">
        <w:rPr>
          <w:rFonts w:asciiTheme="majorHAnsi" w:hAnsiTheme="majorHAnsi"/>
          <w:sz w:val="20"/>
          <w:szCs w:val="20"/>
          <w:lang w:val="es-ES"/>
        </w:rPr>
        <w:t xml:space="preserve"> uso indebido de la </w:t>
      </w:r>
      <w:r w:rsidR="000F1F53" w:rsidRPr="00A63957">
        <w:rPr>
          <w:rFonts w:asciiTheme="majorHAnsi" w:hAnsiTheme="majorHAnsi"/>
          <w:sz w:val="20"/>
          <w:szCs w:val="20"/>
          <w:lang w:val="es-ES"/>
        </w:rPr>
        <w:t>detención preventiva</w:t>
      </w:r>
      <w:r>
        <w:rPr>
          <w:rFonts w:asciiTheme="majorHAnsi" w:hAnsiTheme="majorHAnsi"/>
          <w:sz w:val="20"/>
          <w:szCs w:val="20"/>
          <w:lang w:val="es-ES"/>
        </w:rPr>
        <w:t xml:space="preserve"> </w:t>
      </w:r>
      <w:r w:rsidR="00206678" w:rsidRPr="00A63957">
        <w:rPr>
          <w:rFonts w:asciiTheme="majorHAnsi" w:hAnsiTheme="majorHAnsi"/>
          <w:sz w:val="20"/>
          <w:szCs w:val="20"/>
          <w:lang w:val="es-ES"/>
        </w:rPr>
        <w:t>puede tene</w:t>
      </w:r>
      <w:r w:rsidR="000F1F53" w:rsidRPr="00A63957">
        <w:rPr>
          <w:rFonts w:asciiTheme="majorHAnsi" w:hAnsiTheme="majorHAnsi"/>
          <w:sz w:val="20"/>
          <w:szCs w:val="20"/>
          <w:lang w:val="es-ES"/>
        </w:rPr>
        <w:t>r</w:t>
      </w:r>
      <w:r w:rsidR="00206678" w:rsidRPr="00A63957">
        <w:rPr>
          <w:rFonts w:asciiTheme="majorHAnsi" w:hAnsiTheme="majorHAnsi"/>
          <w:sz w:val="20"/>
          <w:szCs w:val="20"/>
          <w:lang w:val="es-ES"/>
        </w:rPr>
        <w:t xml:space="preserve"> un impacto en </w:t>
      </w:r>
      <w:r w:rsidR="005408E8">
        <w:rPr>
          <w:rFonts w:asciiTheme="majorHAnsi" w:hAnsiTheme="majorHAnsi"/>
          <w:sz w:val="20"/>
          <w:szCs w:val="20"/>
          <w:lang w:val="es-ES"/>
        </w:rPr>
        <w:t xml:space="preserve">el principio de </w:t>
      </w:r>
      <w:r w:rsidR="00206678" w:rsidRPr="00A63957">
        <w:rPr>
          <w:rFonts w:asciiTheme="majorHAnsi" w:hAnsiTheme="majorHAnsi"/>
          <w:sz w:val="20"/>
          <w:szCs w:val="20"/>
          <w:lang w:val="es-ES"/>
        </w:rPr>
        <w:t xml:space="preserve">presunción de inocencia contenida en el artículo 8.2 de la Convención Americana. </w:t>
      </w:r>
      <w:r w:rsidR="00823555">
        <w:rPr>
          <w:rFonts w:asciiTheme="majorHAnsi" w:hAnsiTheme="majorHAnsi"/>
          <w:sz w:val="20"/>
          <w:szCs w:val="20"/>
          <w:lang w:val="es-ES"/>
        </w:rPr>
        <w:t xml:space="preserve">Al respecto se ha destacado </w:t>
      </w:r>
      <w:r w:rsidR="00956DE9" w:rsidRPr="00823555">
        <w:rPr>
          <w:rFonts w:asciiTheme="majorHAnsi" w:hAnsiTheme="majorHAnsi" w:cs="Calibri"/>
          <w:sz w:val="20"/>
          <w:szCs w:val="20"/>
          <w:lang w:val="es-CO" w:eastAsia="es-ES"/>
        </w:rPr>
        <w:t>la importancia del</w:t>
      </w:r>
      <w:r w:rsidR="00D81280" w:rsidRPr="00823555">
        <w:rPr>
          <w:rFonts w:asciiTheme="majorHAnsi" w:hAnsiTheme="majorHAnsi"/>
          <w:sz w:val="20"/>
          <w:szCs w:val="20"/>
          <w:lang w:val="es-ES"/>
        </w:rPr>
        <w:t xml:space="preserve"> </w:t>
      </w:r>
      <w:r w:rsidR="00956DE9" w:rsidRPr="00823555">
        <w:rPr>
          <w:rFonts w:asciiTheme="majorHAnsi" w:hAnsiTheme="majorHAnsi" w:cs="Calibri"/>
          <w:sz w:val="20"/>
          <w:szCs w:val="20"/>
          <w:lang w:val="es-CO" w:eastAsia="es-ES"/>
        </w:rPr>
        <w:t>criterio de razonabilidad, pues mantener privada de libertad a una persona más allá del</w:t>
      </w:r>
      <w:r w:rsidR="00D81280" w:rsidRPr="00823555">
        <w:rPr>
          <w:rFonts w:asciiTheme="majorHAnsi" w:hAnsiTheme="majorHAnsi" w:cs="Calibri"/>
          <w:sz w:val="20"/>
          <w:szCs w:val="20"/>
          <w:lang w:val="es-CO" w:eastAsia="es-ES"/>
        </w:rPr>
        <w:t xml:space="preserve"> </w:t>
      </w:r>
      <w:r w:rsidR="00956DE9" w:rsidRPr="00823555">
        <w:rPr>
          <w:rFonts w:asciiTheme="majorHAnsi" w:hAnsiTheme="majorHAnsi" w:cs="Calibri"/>
          <w:sz w:val="20"/>
          <w:szCs w:val="20"/>
          <w:lang w:val="es-CO" w:eastAsia="es-ES"/>
        </w:rPr>
        <w:t>tiempo razonable para el cumplimiento de los fines que justifican su detención equivaldría,</w:t>
      </w:r>
      <w:r w:rsidR="00D81280" w:rsidRPr="00823555">
        <w:rPr>
          <w:rFonts w:asciiTheme="majorHAnsi" w:hAnsiTheme="majorHAnsi" w:cs="Calibri"/>
          <w:sz w:val="20"/>
          <w:szCs w:val="20"/>
          <w:lang w:val="es-CO" w:eastAsia="es-ES"/>
        </w:rPr>
        <w:t xml:space="preserve"> </w:t>
      </w:r>
      <w:r w:rsidR="00956DE9" w:rsidRPr="00823555">
        <w:rPr>
          <w:rFonts w:asciiTheme="majorHAnsi" w:hAnsiTheme="majorHAnsi" w:cs="Calibri"/>
          <w:sz w:val="20"/>
          <w:szCs w:val="20"/>
          <w:lang w:val="es-CO" w:eastAsia="es-ES"/>
        </w:rPr>
        <w:t>en los hechos, a una pena anticipada</w:t>
      </w:r>
      <w:r w:rsidR="00370742" w:rsidRPr="00A63957">
        <w:rPr>
          <w:rStyle w:val="FootnoteReference"/>
          <w:rFonts w:asciiTheme="majorHAnsi" w:hAnsiTheme="majorHAnsi" w:cs="Calibri"/>
          <w:sz w:val="20"/>
          <w:szCs w:val="20"/>
          <w:lang w:val="es-CO" w:eastAsia="es-ES"/>
        </w:rPr>
        <w:footnoteReference w:id="70"/>
      </w:r>
      <w:r w:rsidR="00956DE9" w:rsidRPr="00823555">
        <w:rPr>
          <w:rFonts w:asciiTheme="majorHAnsi" w:hAnsiTheme="majorHAnsi" w:cs="Calibri"/>
          <w:sz w:val="20"/>
          <w:szCs w:val="20"/>
          <w:lang w:val="es-CO" w:eastAsia="es-ES"/>
        </w:rPr>
        <w:t xml:space="preserve">. </w:t>
      </w:r>
    </w:p>
    <w:p w:rsidR="00AC4086" w:rsidRPr="00A440C1" w:rsidRDefault="00AC4086" w:rsidP="00AC408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5B3533" w:rsidRPr="00A440C1" w:rsidRDefault="00746030" w:rsidP="0082355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Pr>
          <w:rFonts w:asciiTheme="majorHAnsi" w:hAnsiTheme="majorHAnsi" w:cs="Calibri"/>
          <w:sz w:val="20"/>
          <w:szCs w:val="20"/>
          <w:lang w:val="es-CO" w:eastAsia="es-ES"/>
        </w:rPr>
        <w:t>En palabras de la CIDH, la demora irrazonable de la detención preventiva:</w:t>
      </w:r>
    </w:p>
    <w:p w:rsidR="00A440C1" w:rsidRPr="00746030" w:rsidRDefault="00A440C1" w:rsidP="00A440C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746030" w:rsidRPr="004C33DA" w:rsidRDefault="00746030" w:rsidP="00A440C1">
      <w:pPr>
        <w:pBdr>
          <w:top w:val="none" w:sz="0" w:space="0" w:color="auto"/>
          <w:left w:val="none" w:sz="0" w:space="0" w:color="auto"/>
          <w:bottom w:val="none" w:sz="0" w:space="0" w:color="auto"/>
          <w:right w:val="none" w:sz="0" w:space="0" w:color="auto"/>
          <w:between w:val="none" w:sz="0" w:space="0" w:color="auto"/>
          <w:bar w:val="none" w:sz="0" w:color="auto"/>
        </w:pBdr>
        <w:ind w:left="720" w:right="630"/>
        <w:jc w:val="both"/>
        <w:rPr>
          <w:rFonts w:asciiTheme="majorHAnsi" w:hAnsiTheme="majorHAnsi"/>
          <w:spacing w:val="-3"/>
          <w:sz w:val="20"/>
          <w:szCs w:val="20"/>
          <w:lang w:val="es-ES_tradnl"/>
        </w:rPr>
      </w:pPr>
      <w:r w:rsidRPr="00A440C1">
        <w:rPr>
          <w:rFonts w:asciiTheme="majorHAnsi" w:hAnsiTheme="majorHAnsi"/>
          <w:spacing w:val="-3"/>
          <w:sz w:val="20"/>
          <w:szCs w:val="20"/>
          <w:lang w:val="es-ES_tradnl"/>
        </w:rPr>
        <w:t xml:space="preserve">Además, aumenta el riesgo de que se invierta el sentido de la presunción de inocencia cuando la </w:t>
      </w:r>
      <w:r w:rsidRPr="004C33DA">
        <w:rPr>
          <w:rFonts w:asciiTheme="majorHAnsi" w:hAnsiTheme="majorHAnsi"/>
          <w:spacing w:val="-3"/>
          <w:sz w:val="20"/>
          <w:szCs w:val="20"/>
          <w:lang w:val="es-ES_tradnl"/>
        </w:rPr>
        <w:t>detención previa al juicio es de duración no razonable.  La presunción de inocencia se torna cada vez más vacía y finalmente se convierte en una burla cuando la detención previa al juicio es excesivamente prolongada dado que, a pesar de la presunción, se está privando de la libertad a una persona todavía inocente, castigo severo que legítimamente se impone a los que han sido condenados</w:t>
      </w:r>
      <w:r w:rsidR="00980707" w:rsidRPr="004C33DA">
        <w:rPr>
          <w:rStyle w:val="FootnoteReference"/>
          <w:rFonts w:asciiTheme="majorHAnsi" w:hAnsiTheme="majorHAnsi"/>
          <w:spacing w:val="-3"/>
          <w:sz w:val="20"/>
          <w:szCs w:val="20"/>
          <w:lang w:val="es-ES_tradnl"/>
        </w:rPr>
        <w:footnoteReference w:id="71"/>
      </w:r>
      <w:r w:rsidRPr="004C33DA">
        <w:rPr>
          <w:rFonts w:asciiTheme="majorHAnsi" w:hAnsiTheme="majorHAnsi"/>
          <w:spacing w:val="-3"/>
          <w:sz w:val="20"/>
          <w:szCs w:val="20"/>
          <w:lang w:val="es-ES_tradnl"/>
        </w:rPr>
        <w:t>.</w:t>
      </w:r>
    </w:p>
    <w:p w:rsidR="00A17640" w:rsidRPr="004C33DA" w:rsidRDefault="00A17640" w:rsidP="00A440C1">
      <w:pPr>
        <w:pBdr>
          <w:top w:val="none" w:sz="0" w:space="0" w:color="auto"/>
          <w:left w:val="none" w:sz="0" w:space="0" w:color="auto"/>
          <w:bottom w:val="none" w:sz="0" w:space="0" w:color="auto"/>
          <w:right w:val="none" w:sz="0" w:space="0" w:color="auto"/>
          <w:between w:val="none" w:sz="0" w:space="0" w:color="auto"/>
          <w:bar w:val="none" w:sz="0" w:color="auto"/>
        </w:pBdr>
        <w:ind w:left="720" w:right="630"/>
        <w:jc w:val="both"/>
        <w:rPr>
          <w:rFonts w:asciiTheme="majorHAnsi" w:hAnsiTheme="majorHAnsi"/>
          <w:spacing w:val="-3"/>
          <w:sz w:val="20"/>
          <w:szCs w:val="20"/>
          <w:lang w:val="es-ES_tradnl"/>
        </w:rPr>
      </w:pPr>
    </w:p>
    <w:p w:rsidR="00A17640" w:rsidRPr="004C33DA" w:rsidRDefault="00A17640" w:rsidP="00A440C1">
      <w:pPr>
        <w:pBdr>
          <w:top w:val="none" w:sz="0" w:space="0" w:color="auto"/>
          <w:left w:val="none" w:sz="0" w:space="0" w:color="auto"/>
          <w:bottom w:val="none" w:sz="0" w:space="0" w:color="auto"/>
          <w:right w:val="none" w:sz="0" w:space="0" w:color="auto"/>
          <w:between w:val="none" w:sz="0" w:space="0" w:color="auto"/>
          <w:bar w:val="none" w:sz="0" w:color="auto"/>
        </w:pBdr>
        <w:ind w:left="720" w:right="630"/>
        <w:jc w:val="both"/>
        <w:rPr>
          <w:rFonts w:asciiTheme="majorHAnsi" w:hAnsiTheme="majorHAnsi"/>
          <w:spacing w:val="-3"/>
          <w:sz w:val="20"/>
          <w:szCs w:val="20"/>
          <w:lang w:val="es-ES_tradnl"/>
        </w:rPr>
      </w:pPr>
      <w:r w:rsidRPr="004C33DA">
        <w:rPr>
          <w:rFonts w:asciiTheme="majorHAnsi" w:hAnsiTheme="majorHAnsi"/>
          <w:spacing w:val="-3"/>
          <w:sz w:val="20"/>
          <w:szCs w:val="20"/>
          <w:lang w:val="es-ES_tradnl"/>
        </w:rPr>
        <w:t>(…)</w:t>
      </w:r>
    </w:p>
    <w:p w:rsidR="00A17640" w:rsidRPr="004C33DA" w:rsidRDefault="00A17640" w:rsidP="00A440C1">
      <w:pPr>
        <w:pBdr>
          <w:top w:val="none" w:sz="0" w:space="0" w:color="auto"/>
          <w:left w:val="none" w:sz="0" w:space="0" w:color="auto"/>
          <w:bottom w:val="none" w:sz="0" w:space="0" w:color="auto"/>
          <w:right w:val="none" w:sz="0" w:space="0" w:color="auto"/>
          <w:between w:val="none" w:sz="0" w:space="0" w:color="auto"/>
          <w:bar w:val="none" w:sz="0" w:color="auto"/>
        </w:pBdr>
        <w:ind w:left="720" w:right="630"/>
        <w:jc w:val="both"/>
        <w:rPr>
          <w:rFonts w:asciiTheme="majorHAnsi" w:hAnsiTheme="majorHAnsi"/>
          <w:spacing w:val="-3"/>
          <w:sz w:val="20"/>
          <w:szCs w:val="20"/>
          <w:lang w:val="es-ES_tradnl"/>
        </w:rPr>
      </w:pPr>
    </w:p>
    <w:p w:rsidR="00A17640" w:rsidRPr="004C33DA" w:rsidRDefault="00A17640" w:rsidP="00A440C1">
      <w:pPr>
        <w:pBdr>
          <w:top w:val="none" w:sz="0" w:space="0" w:color="auto"/>
          <w:left w:val="none" w:sz="0" w:space="0" w:color="auto"/>
          <w:bottom w:val="none" w:sz="0" w:space="0" w:color="auto"/>
          <w:right w:val="none" w:sz="0" w:space="0" w:color="auto"/>
          <w:between w:val="none" w:sz="0" w:space="0" w:color="auto"/>
          <w:bar w:val="none" w:sz="0" w:color="auto"/>
        </w:pBdr>
        <w:ind w:left="720" w:right="630"/>
        <w:jc w:val="both"/>
        <w:rPr>
          <w:rFonts w:asciiTheme="majorHAnsi" w:hAnsiTheme="majorHAnsi"/>
          <w:sz w:val="20"/>
          <w:szCs w:val="20"/>
          <w:lang w:val="es-ES"/>
        </w:rPr>
      </w:pPr>
      <w:r w:rsidRPr="004C33DA">
        <w:rPr>
          <w:rFonts w:asciiTheme="majorHAnsi" w:hAnsiTheme="majorHAnsi"/>
          <w:spacing w:val="-3"/>
          <w:sz w:val="20"/>
          <w:szCs w:val="20"/>
          <w:lang w:val="es-ES_tradnl"/>
        </w:rPr>
        <w:lastRenderedPageBreak/>
        <w:t>Si el Estado no determina el juicio de reproche</w:t>
      </w:r>
      <w:r w:rsidR="00AC4086">
        <w:rPr>
          <w:rFonts w:asciiTheme="majorHAnsi" w:hAnsiTheme="majorHAnsi"/>
          <w:spacing w:val="-3"/>
          <w:sz w:val="20"/>
          <w:szCs w:val="20"/>
          <w:lang w:val="es-ES_tradnl"/>
        </w:rPr>
        <w:t xml:space="preserve"> dentro de un plazo razonable y</w:t>
      </w:r>
      <w:r w:rsidRPr="004C33DA">
        <w:rPr>
          <w:rFonts w:asciiTheme="majorHAnsi" w:hAnsiTheme="majorHAnsi"/>
          <w:spacing w:val="-3"/>
          <w:sz w:val="20"/>
          <w:szCs w:val="20"/>
          <w:lang w:val="es-ES_tradnl"/>
        </w:rPr>
        <w:t xml:space="preserve"> justifica la prolongación de la privación de libertad del acusado sobre la base de la sospecha que existe en su contra, está, fundamentalmente, sustituyendo la pena con la prisión preventiva</w:t>
      </w:r>
      <w:r w:rsidR="00ED1B01" w:rsidRPr="004C33DA">
        <w:rPr>
          <w:rStyle w:val="FootnoteReference"/>
          <w:rFonts w:asciiTheme="majorHAnsi" w:hAnsiTheme="majorHAnsi"/>
          <w:spacing w:val="-3"/>
          <w:sz w:val="20"/>
          <w:szCs w:val="20"/>
          <w:lang w:val="es-ES_tradnl"/>
        </w:rPr>
        <w:footnoteReference w:id="72"/>
      </w:r>
      <w:r w:rsidRPr="004C33DA">
        <w:rPr>
          <w:rFonts w:asciiTheme="majorHAnsi" w:hAnsiTheme="majorHAnsi"/>
          <w:spacing w:val="-3"/>
          <w:sz w:val="20"/>
          <w:szCs w:val="20"/>
          <w:lang w:val="es-ES_tradnl"/>
        </w:rPr>
        <w:t>.</w:t>
      </w:r>
    </w:p>
    <w:p w:rsidR="005B3533" w:rsidRPr="00A63957" w:rsidRDefault="005B3533" w:rsidP="005B3533">
      <w:pPr>
        <w:pStyle w:val="ListParagraph"/>
        <w:jc w:val="both"/>
        <w:rPr>
          <w:rFonts w:asciiTheme="majorHAnsi" w:hAnsiTheme="majorHAnsi" w:cs="Calibri"/>
          <w:sz w:val="20"/>
          <w:szCs w:val="20"/>
          <w:lang w:val="es-CO"/>
        </w:rPr>
      </w:pPr>
    </w:p>
    <w:p w:rsidR="00956DE9" w:rsidRPr="00A63957" w:rsidRDefault="00956DE9" w:rsidP="005B353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autoSpaceDE w:val="0"/>
        <w:autoSpaceDN w:val="0"/>
        <w:adjustRightInd w:val="0"/>
        <w:ind w:left="0" w:firstLine="720"/>
        <w:jc w:val="both"/>
        <w:rPr>
          <w:rFonts w:asciiTheme="majorHAnsi" w:hAnsiTheme="majorHAnsi" w:cs="Calibri"/>
          <w:sz w:val="20"/>
          <w:szCs w:val="20"/>
          <w:lang w:val="es-CO"/>
        </w:rPr>
      </w:pPr>
      <w:r w:rsidRPr="00A63957">
        <w:rPr>
          <w:rFonts w:asciiTheme="majorHAnsi" w:hAnsiTheme="majorHAnsi" w:cs="Calibri"/>
          <w:sz w:val="20"/>
          <w:szCs w:val="20"/>
          <w:lang w:val="es-CO" w:eastAsia="es-ES"/>
        </w:rPr>
        <w:t>El respeto al derecho a la presunción de inocencia exige igualmente que</w:t>
      </w:r>
      <w:r w:rsidR="005B3533" w:rsidRPr="00A63957">
        <w:rPr>
          <w:rFonts w:asciiTheme="majorHAnsi" w:hAnsiTheme="majorHAnsi" w:cs="Calibri"/>
          <w:sz w:val="20"/>
          <w:szCs w:val="20"/>
          <w:lang w:val="es-CO" w:eastAsia="es-ES"/>
        </w:rPr>
        <w:t xml:space="preserve"> </w:t>
      </w:r>
      <w:r w:rsidRPr="00A63957">
        <w:rPr>
          <w:rFonts w:asciiTheme="majorHAnsi" w:hAnsiTheme="majorHAnsi" w:cs="Calibri"/>
          <w:sz w:val="20"/>
          <w:szCs w:val="20"/>
          <w:lang w:val="es-CO" w:eastAsia="es-ES"/>
        </w:rPr>
        <w:t>el Estado fundamente y acredite, de manera clara y motivada, según cada caso concreto, la</w:t>
      </w:r>
      <w:r w:rsidR="005B3533" w:rsidRPr="00A63957">
        <w:rPr>
          <w:rFonts w:asciiTheme="majorHAnsi" w:hAnsiTheme="majorHAnsi" w:cs="Calibri"/>
          <w:sz w:val="20"/>
          <w:szCs w:val="20"/>
          <w:lang w:val="es-CO" w:eastAsia="es-ES"/>
        </w:rPr>
        <w:t xml:space="preserve"> </w:t>
      </w:r>
      <w:r w:rsidRPr="00A63957">
        <w:rPr>
          <w:rFonts w:asciiTheme="majorHAnsi" w:hAnsiTheme="majorHAnsi" w:cs="Calibri"/>
          <w:sz w:val="20"/>
          <w:szCs w:val="20"/>
          <w:lang w:val="es-CO" w:eastAsia="es-ES"/>
        </w:rPr>
        <w:t>existencia de los requisitos válidos de procedencia de la prisión preventiva</w:t>
      </w:r>
      <w:r w:rsidR="005B3533" w:rsidRPr="00A63957">
        <w:rPr>
          <w:rStyle w:val="FootnoteReference"/>
          <w:rFonts w:asciiTheme="majorHAnsi" w:hAnsiTheme="majorHAnsi" w:cs="Calibri"/>
          <w:sz w:val="20"/>
          <w:szCs w:val="20"/>
          <w:lang w:val="es-CO" w:eastAsia="es-ES"/>
        </w:rPr>
        <w:footnoteReference w:id="73"/>
      </w:r>
      <w:r w:rsidRPr="00A63957">
        <w:rPr>
          <w:rFonts w:asciiTheme="majorHAnsi" w:hAnsiTheme="majorHAnsi" w:cs="Calibri"/>
          <w:sz w:val="20"/>
          <w:szCs w:val="20"/>
          <w:lang w:val="es-CO" w:eastAsia="es-ES"/>
        </w:rPr>
        <w:t>. Por ende,</w:t>
      </w:r>
      <w:r w:rsidR="005B3533" w:rsidRPr="00A63957">
        <w:rPr>
          <w:rFonts w:asciiTheme="majorHAnsi" w:hAnsiTheme="majorHAnsi" w:cs="Calibri"/>
          <w:sz w:val="20"/>
          <w:szCs w:val="20"/>
          <w:lang w:val="es-CO" w:eastAsia="es-ES"/>
        </w:rPr>
        <w:t xml:space="preserve"> </w:t>
      </w:r>
      <w:r w:rsidRPr="00A63957">
        <w:rPr>
          <w:rFonts w:asciiTheme="majorHAnsi" w:hAnsiTheme="majorHAnsi" w:cs="Calibri"/>
          <w:sz w:val="20"/>
          <w:szCs w:val="20"/>
          <w:lang w:val="es-CO" w:eastAsia="es-ES"/>
        </w:rPr>
        <w:t>también se viola el principio de presunción de inocencia cuando la prisión preventiva se</w:t>
      </w:r>
      <w:r w:rsidR="005B3533" w:rsidRPr="00A63957">
        <w:rPr>
          <w:rFonts w:asciiTheme="majorHAnsi" w:hAnsiTheme="majorHAnsi" w:cs="Calibri"/>
          <w:sz w:val="20"/>
          <w:szCs w:val="20"/>
          <w:lang w:val="es-CO" w:eastAsia="es-ES"/>
        </w:rPr>
        <w:t xml:space="preserve"> </w:t>
      </w:r>
      <w:r w:rsidRPr="00A63957">
        <w:rPr>
          <w:rFonts w:asciiTheme="majorHAnsi" w:hAnsiTheme="majorHAnsi" w:cs="Calibri"/>
          <w:sz w:val="20"/>
          <w:szCs w:val="20"/>
          <w:lang w:val="es-CO" w:eastAsia="es-ES"/>
        </w:rPr>
        <w:t>impone arbitrariamente; o bien, cuando su aplicación está determinada esencialmente, por</w:t>
      </w:r>
      <w:r w:rsidR="005B3533" w:rsidRPr="00A63957">
        <w:rPr>
          <w:rFonts w:asciiTheme="majorHAnsi" w:hAnsiTheme="majorHAnsi" w:cs="Calibri"/>
          <w:sz w:val="20"/>
          <w:szCs w:val="20"/>
          <w:lang w:val="es-CO" w:eastAsia="es-ES"/>
        </w:rPr>
        <w:t xml:space="preserve"> </w:t>
      </w:r>
      <w:r w:rsidRPr="00A63957">
        <w:rPr>
          <w:rFonts w:asciiTheme="majorHAnsi" w:hAnsiTheme="majorHAnsi" w:cs="Calibri"/>
          <w:sz w:val="20"/>
          <w:szCs w:val="20"/>
          <w:lang w:val="es-CO" w:eastAsia="es-ES"/>
        </w:rPr>
        <w:t>ejemplo, por el tipo de delito, la expectativa de la pena o la mera existencia de indicios</w:t>
      </w:r>
      <w:r w:rsidR="005B3533" w:rsidRPr="00A63957">
        <w:rPr>
          <w:rFonts w:asciiTheme="majorHAnsi" w:hAnsiTheme="majorHAnsi" w:cs="Calibri"/>
          <w:sz w:val="20"/>
          <w:szCs w:val="20"/>
          <w:lang w:val="es-CO" w:eastAsia="es-ES"/>
        </w:rPr>
        <w:t xml:space="preserve"> </w:t>
      </w:r>
      <w:r w:rsidRPr="00A63957">
        <w:rPr>
          <w:rFonts w:asciiTheme="majorHAnsi" w:hAnsiTheme="majorHAnsi" w:cs="Calibri"/>
          <w:sz w:val="20"/>
          <w:szCs w:val="20"/>
          <w:lang w:val="es-CO" w:eastAsia="es-ES"/>
        </w:rPr>
        <w:t>razonables que vinculen al acusado</w:t>
      </w:r>
      <w:r w:rsidR="00806E7A" w:rsidRPr="00A63957">
        <w:rPr>
          <w:rStyle w:val="FootnoteReference"/>
          <w:rFonts w:asciiTheme="majorHAnsi" w:hAnsiTheme="majorHAnsi" w:cs="Calibri"/>
          <w:sz w:val="20"/>
          <w:szCs w:val="20"/>
          <w:lang w:val="es-CO" w:eastAsia="es-ES"/>
        </w:rPr>
        <w:footnoteReference w:id="74"/>
      </w:r>
      <w:r w:rsidRPr="00A63957">
        <w:rPr>
          <w:rFonts w:asciiTheme="majorHAnsi" w:hAnsiTheme="majorHAnsi" w:cs="Calibri"/>
          <w:sz w:val="20"/>
          <w:szCs w:val="20"/>
          <w:lang w:val="es-CO" w:eastAsia="es-ES"/>
        </w:rPr>
        <w:t>.</w:t>
      </w:r>
    </w:p>
    <w:p w:rsidR="00FF289C" w:rsidRPr="00A63957" w:rsidRDefault="00FF289C" w:rsidP="00FF289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800"/>
        <w:jc w:val="both"/>
        <w:rPr>
          <w:rFonts w:asciiTheme="majorHAnsi" w:hAnsiTheme="majorHAnsi"/>
          <w:b/>
          <w:sz w:val="20"/>
          <w:szCs w:val="20"/>
          <w:lang w:val="es-VE"/>
        </w:rPr>
      </w:pPr>
    </w:p>
    <w:p w:rsidR="00C0443E" w:rsidRPr="00A63957" w:rsidRDefault="00C0443E" w:rsidP="007B628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b/>
          <w:sz w:val="20"/>
          <w:szCs w:val="20"/>
          <w:lang w:val="es-VE"/>
        </w:rPr>
      </w:pPr>
      <w:r w:rsidRPr="00A63957">
        <w:rPr>
          <w:rFonts w:asciiTheme="majorHAnsi" w:hAnsiTheme="majorHAnsi"/>
          <w:sz w:val="20"/>
          <w:szCs w:val="20"/>
          <w:lang w:val="es-VE"/>
        </w:rPr>
        <w:t>La Comisión subraya que el artículo 7.6 de la Convención protege el derecho de toda persona privada de la libertad a recurrir la legalidad de su detención ante un juez o tribunal competente, a fin de que éste decida, sin demora, sobre la legalidad de la privación de libertad, y, en su caso, decrete su libertad</w:t>
      </w:r>
      <w:r w:rsidRPr="00A63957">
        <w:rPr>
          <w:rStyle w:val="FootnoteReference"/>
          <w:rFonts w:asciiTheme="majorHAnsi" w:hAnsiTheme="majorHAnsi"/>
          <w:sz w:val="20"/>
          <w:szCs w:val="20"/>
          <w:lang w:val="es-VE"/>
        </w:rPr>
        <w:footnoteReference w:id="75"/>
      </w:r>
      <w:r w:rsidRPr="00A63957">
        <w:rPr>
          <w:rFonts w:asciiTheme="majorHAnsi" w:hAnsiTheme="majorHAnsi"/>
          <w:sz w:val="20"/>
          <w:szCs w:val="20"/>
          <w:lang w:val="es-VE"/>
        </w:rPr>
        <w:t xml:space="preserve">. Asimismo conforme al artículo 25. 1 de la Convención no basta con que los recursos existan formalmente, sino </w:t>
      </w:r>
      <w:r w:rsidR="0090341B">
        <w:rPr>
          <w:rFonts w:asciiTheme="majorHAnsi" w:hAnsiTheme="majorHAnsi"/>
          <w:sz w:val="20"/>
          <w:szCs w:val="20"/>
          <w:lang w:val="es-VE"/>
        </w:rPr>
        <w:t xml:space="preserve">que </w:t>
      </w:r>
      <w:r w:rsidRPr="00A63957">
        <w:rPr>
          <w:rFonts w:asciiTheme="majorHAnsi" w:hAnsiTheme="majorHAnsi"/>
          <w:sz w:val="20"/>
          <w:szCs w:val="20"/>
          <w:lang w:val="es-VE"/>
        </w:rPr>
        <w:t>es preciso que sean efectivos, es decir que deben brindar a la persona la posibilidad real de interponer un recurso sencillo y rápido que permita alcanzar la protección judicial requerida. La Corte Interamericana ha indicado que la existencia de estas garantías constituye uno de los pilares básicos, no solo de la Convención Americana, sino del propio Estado de Derecho en una sociedad democrática en el sentido de la Convención</w:t>
      </w:r>
      <w:r w:rsidRPr="00A63957">
        <w:rPr>
          <w:rStyle w:val="FootnoteReference"/>
          <w:rFonts w:asciiTheme="majorHAnsi" w:hAnsiTheme="majorHAnsi"/>
          <w:sz w:val="20"/>
          <w:szCs w:val="20"/>
          <w:lang w:val="es-VE"/>
        </w:rPr>
        <w:footnoteReference w:id="76"/>
      </w:r>
      <w:r w:rsidRPr="00A63957">
        <w:rPr>
          <w:rFonts w:asciiTheme="majorHAnsi" w:hAnsiTheme="majorHAnsi"/>
          <w:sz w:val="20"/>
          <w:szCs w:val="20"/>
          <w:lang w:val="es-VE"/>
        </w:rPr>
        <w:t>.</w:t>
      </w:r>
    </w:p>
    <w:p w:rsidR="00C0443E" w:rsidRPr="00A63957" w:rsidRDefault="00C0443E" w:rsidP="00C0443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b/>
          <w:sz w:val="20"/>
          <w:szCs w:val="20"/>
          <w:lang w:val="es-VE"/>
        </w:rPr>
      </w:pPr>
    </w:p>
    <w:p w:rsidR="00C0443E" w:rsidRPr="00BB0FAF" w:rsidRDefault="00223DA9" w:rsidP="00167C9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b/>
          <w:sz w:val="20"/>
          <w:szCs w:val="20"/>
          <w:lang w:val="es-VE"/>
        </w:rPr>
      </w:pPr>
      <w:r>
        <w:rPr>
          <w:rFonts w:asciiTheme="majorHAnsi" w:hAnsiTheme="majorHAnsi"/>
          <w:sz w:val="20"/>
          <w:szCs w:val="20"/>
          <w:lang w:val="es-VE"/>
        </w:rPr>
        <w:t xml:space="preserve">La Comisión y la Corte han indicado que </w:t>
      </w:r>
      <w:r w:rsidR="00C0443E" w:rsidRPr="00A63957">
        <w:rPr>
          <w:rFonts w:asciiTheme="majorHAnsi" w:hAnsiTheme="majorHAnsi"/>
          <w:sz w:val="20"/>
          <w:szCs w:val="20"/>
          <w:lang w:val="es-VE"/>
        </w:rPr>
        <w:t>en el caso de un recurso que controvierte la privación de libertad, el análisis por la autoridad competente no puede reducirse a una mera formalidad, sino debe examinar las razones invocadas por el demandante y manifestarse expresamente sobre ellas, de acuerdo a los parámetros establecidos por la Convención Americana</w:t>
      </w:r>
      <w:r w:rsidR="00C0443E" w:rsidRPr="00A63957">
        <w:rPr>
          <w:rStyle w:val="FootnoteReference"/>
          <w:rFonts w:asciiTheme="majorHAnsi" w:hAnsiTheme="majorHAnsi"/>
          <w:sz w:val="20"/>
          <w:szCs w:val="20"/>
          <w:lang w:val="es-VE"/>
        </w:rPr>
        <w:footnoteReference w:id="77"/>
      </w:r>
      <w:r w:rsidR="00C0443E" w:rsidRPr="00A63957">
        <w:rPr>
          <w:rFonts w:asciiTheme="majorHAnsi" w:hAnsiTheme="majorHAnsi"/>
          <w:sz w:val="20"/>
          <w:szCs w:val="20"/>
          <w:lang w:val="es-VE"/>
        </w:rPr>
        <w:t>.</w:t>
      </w:r>
      <w:r w:rsidR="002926CB" w:rsidRPr="00A63957">
        <w:rPr>
          <w:rFonts w:asciiTheme="majorHAnsi" w:hAnsiTheme="majorHAnsi"/>
          <w:b/>
          <w:sz w:val="20"/>
          <w:szCs w:val="20"/>
          <w:lang w:val="es-VE"/>
        </w:rPr>
        <w:t xml:space="preserve"> </w:t>
      </w:r>
      <w:r w:rsidR="00D27B82" w:rsidRPr="00167C91">
        <w:rPr>
          <w:rFonts w:asciiTheme="majorHAnsi" w:hAnsiTheme="majorHAnsi"/>
          <w:sz w:val="20"/>
          <w:szCs w:val="20"/>
          <w:lang w:val="es-VE"/>
        </w:rPr>
        <w:t>Como ha indicado la Comisión, e</w:t>
      </w:r>
      <w:r w:rsidR="00C0443E" w:rsidRPr="00167C91">
        <w:rPr>
          <w:rFonts w:asciiTheme="majorHAnsi" w:hAnsiTheme="majorHAnsi"/>
          <w:sz w:val="20"/>
          <w:szCs w:val="20"/>
          <w:lang w:val="es-VE"/>
        </w:rPr>
        <w:t>l control jurisdiccional de la detención impuesta a través de la prisión preventiva no se refiere exclusivamente a las circunstancias de la detención, sino también a la continuidad de la misma, toda vez que corresponde al juzgador “garantizar los derechos del detenido, autorizar la adopción de medidas cautelares o de coerción, cuando sea estrictamente necesario, y procurar, en general, que se trate al inculpado de manera consecuente con la presunción de inocencia”</w:t>
      </w:r>
      <w:r w:rsidR="00C0443E" w:rsidRPr="00A63957">
        <w:rPr>
          <w:rStyle w:val="FootnoteReference"/>
          <w:rFonts w:asciiTheme="majorHAnsi" w:hAnsiTheme="majorHAnsi"/>
          <w:sz w:val="20"/>
          <w:szCs w:val="20"/>
          <w:lang w:val="es-VE"/>
        </w:rPr>
        <w:footnoteReference w:id="78"/>
      </w:r>
      <w:r w:rsidR="00C0443E" w:rsidRPr="00167C91">
        <w:rPr>
          <w:rFonts w:asciiTheme="majorHAnsi" w:hAnsiTheme="majorHAnsi"/>
          <w:sz w:val="20"/>
          <w:szCs w:val="20"/>
          <w:lang w:val="es-VE"/>
        </w:rPr>
        <w:t xml:space="preserve">. </w:t>
      </w:r>
    </w:p>
    <w:p w:rsidR="00BB0FAF" w:rsidRDefault="00BB0FAF" w:rsidP="00BB0FAF">
      <w:pPr>
        <w:pStyle w:val="ListParagraph"/>
        <w:rPr>
          <w:rFonts w:asciiTheme="majorHAnsi" w:hAnsiTheme="majorHAnsi"/>
          <w:b/>
          <w:sz w:val="20"/>
          <w:szCs w:val="20"/>
          <w:lang w:val="es-VE"/>
        </w:rPr>
      </w:pPr>
    </w:p>
    <w:p w:rsidR="00C0443E" w:rsidRPr="00542560" w:rsidRDefault="00BB0FAF" w:rsidP="0054256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b/>
          <w:sz w:val="20"/>
          <w:szCs w:val="20"/>
          <w:lang w:val="es-VE"/>
        </w:rPr>
      </w:pPr>
      <w:r>
        <w:rPr>
          <w:rFonts w:asciiTheme="majorHAnsi" w:eastAsia="Times New Roman" w:hAnsiTheme="majorHAnsi"/>
          <w:sz w:val="20"/>
          <w:szCs w:val="20"/>
          <w:lang w:val="es-ES"/>
        </w:rPr>
        <w:t>L</w:t>
      </w:r>
      <w:r w:rsidRPr="00B56CF7">
        <w:rPr>
          <w:rFonts w:asciiTheme="majorHAnsi" w:eastAsia="Times New Roman" w:hAnsiTheme="majorHAnsi"/>
          <w:sz w:val="20"/>
          <w:szCs w:val="20"/>
          <w:lang w:val="es-ES"/>
        </w:rPr>
        <w:t xml:space="preserve">a Comisión recuerda que en virtud del artículo 2 de la Convención Americana los Estados deben adoptar las medidas legislativas o de otro carácter que sean necesarias para hacer efectivos los derechos y libertades reconocidos en la Convención. Ello implica que los Estados Partes en la Convención no pueden dictar medidas que violen los derechos en ella consagrados; en virtud del carácter perentorio del principio básico de la igualdad y no discriminación “los Estados tienen la obligación de no introducir en su </w:t>
      </w:r>
      <w:r w:rsidRPr="00B56CF7">
        <w:rPr>
          <w:rFonts w:asciiTheme="majorHAnsi" w:eastAsia="Times New Roman" w:hAnsiTheme="majorHAnsi"/>
          <w:sz w:val="20"/>
          <w:szCs w:val="20"/>
          <w:lang w:val="es-ES"/>
        </w:rPr>
        <w:lastRenderedPageBreak/>
        <w:t>ordenamiento jurídico regulaciones discriminatorias, de eliminar de dicho ordenamiento las regulaciones de carácter discriminatorio y de combatir las prácticas discriminatorias</w:t>
      </w:r>
      <w:r w:rsidRPr="00B56CF7">
        <w:rPr>
          <w:rStyle w:val="FootnoteReference"/>
          <w:rFonts w:asciiTheme="majorHAnsi" w:eastAsia="Times New Roman" w:hAnsiTheme="majorHAnsi"/>
          <w:sz w:val="20"/>
          <w:szCs w:val="20"/>
          <w:lang w:val="es-ES"/>
        </w:rPr>
        <w:footnoteReference w:id="79"/>
      </w:r>
      <w:r w:rsidRPr="00B56CF7">
        <w:rPr>
          <w:rFonts w:asciiTheme="majorHAnsi" w:eastAsia="Times New Roman" w:hAnsiTheme="majorHAnsi"/>
          <w:sz w:val="20"/>
          <w:szCs w:val="20"/>
          <w:lang w:val="es-ES"/>
        </w:rPr>
        <w:t>.</w:t>
      </w:r>
    </w:p>
    <w:p w:rsidR="00FF289C" w:rsidRPr="00EE24AD" w:rsidRDefault="00FF289C" w:rsidP="00EE24AD">
      <w:pPr>
        <w:pStyle w:val="Heading3"/>
        <w:numPr>
          <w:ilvl w:val="1"/>
          <w:numId w:val="55"/>
        </w:numPr>
        <w:tabs>
          <w:tab w:val="clear" w:pos="1800"/>
          <w:tab w:val="num" w:pos="720"/>
        </w:tabs>
        <w:ind w:left="720" w:firstLine="0"/>
        <w:rPr>
          <w:color w:val="auto"/>
          <w:sz w:val="20"/>
          <w:szCs w:val="20"/>
          <w:lang w:val="es-VE"/>
        </w:rPr>
      </w:pPr>
      <w:bookmarkStart w:id="73" w:name="_Toc469409099"/>
      <w:r w:rsidRPr="00EE24AD">
        <w:rPr>
          <w:color w:val="auto"/>
          <w:sz w:val="20"/>
          <w:szCs w:val="20"/>
          <w:lang w:val="es-VE"/>
        </w:rPr>
        <w:t>Análisis del caso</w:t>
      </w:r>
      <w:bookmarkEnd w:id="73"/>
      <w:r w:rsidRPr="00EE24AD">
        <w:rPr>
          <w:color w:val="auto"/>
          <w:sz w:val="20"/>
          <w:szCs w:val="20"/>
          <w:lang w:val="es-VE"/>
        </w:rPr>
        <w:tab/>
      </w:r>
    </w:p>
    <w:p w:rsidR="00FF289C" w:rsidRDefault="00FF289C" w:rsidP="00956DE9">
      <w:pPr>
        <w:pStyle w:val="ListParagraph"/>
        <w:rPr>
          <w:rFonts w:asciiTheme="majorHAnsi" w:hAnsiTheme="majorHAnsi"/>
          <w:sz w:val="20"/>
          <w:szCs w:val="20"/>
          <w:lang w:val="es-CO"/>
        </w:rPr>
      </w:pPr>
    </w:p>
    <w:p w:rsidR="002E24FF" w:rsidRPr="0062236D" w:rsidRDefault="005A702E" w:rsidP="002E24F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Pr>
          <w:rFonts w:asciiTheme="majorHAnsi" w:hAnsiTheme="majorHAnsi"/>
          <w:sz w:val="20"/>
          <w:szCs w:val="20"/>
          <w:lang w:val="es-CO"/>
        </w:rPr>
        <w:t>La Comisión se referirá en primer lugar a la motivación de la detención preventiva impuesta al señor Jenkins. Al respecto, l</w:t>
      </w:r>
      <w:r w:rsidR="002E24FF" w:rsidRPr="00B56CF7">
        <w:rPr>
          <w:rFonts w:asciiTheme="majorHAnsi" w:hAnsiTheme="majorHAnsi"/>
          <w:sz w:val="20"/>
          <w:szCs w:val="20"/>
          <w:lang w:val="es-VE"/>
        </w:rPr>
        <w:t xml:space="preserve">a Comisión no cuenta con la decisión mediante la cual se dispuso la detención preventiva inicialmente, a fin de constatar la motivación </w:t>
      </w:r>
      <w:r w:rsidR="00FE0043">
        <w:rPr>
          <w:rFonts w:asciiTheme="majorHAnsi" w:hAnsiTheme="majorHAnsi"/>
          <w:sz w:val="20"/>
          <w:szCs w:val="20"/>
          <w:lang w:val="es-VE"/>
        </w:rPr>
        <w:t xml:space="preserve">original </w:t>
      </w:r>
      <w:r w:rsidR="002E24FF" w:rsidRPr="00B56CF7">
        <w:rPr>
          <w:rFonts w:asciiTheme="majorHAnsi" w:hAnsiTheme="majorHAnsi"/>
          <w:sz w:val="20"/>
          <w:szCs w:val="20"/>
          <w:lang w:val="es-VE"/>
        </w:rPr>
        <w:t xml:space="preserve">de la misma y, en especial, si persiguió fines procesales y cuáles fueron dichos fines. </w:t>
      </w:r>
    </w:p>
    <w:p w:rsidR="002E24FF" w:rsidRPr="0062236D" w:rsidRDefault="002E24FF" w:rsidP="002E24F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Times New Roman" w:hAnsiTheme="majorHAnsi"/>
          <w:sz w:val="20"/>
          <w:szCs w:val="20"/>
          <w:bdr w:val="none" w:sz="0" w:space="0" w:color="auto"/>
          <w:lang w:val="es-AR"/>
        </w:rPr>
      </w:pPr>
    </w:p>
    <w:p w:rsidR="001B2FBE" w:rsidRPr="001B2FBE" w:rsidRDefault="002E24FF" w:rsidP="001B2FB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sidRPr="00B56CF7">
        <w:rPr>
          <w:rFonts w:asciiTheme="majorHAnsi" w:hAnsiTheme="majorHAnsi"/>
          <w:sz w:val="20"/>
          <w:szCs w:val="20"/>
          <w:lang w:val="es-VE"/>
        </w:rPr>
        <w:t xml:space="preserve">Sin embargo, </w:t>
      </w:r>
      <w:r w:rsidRPr="002E24FF">
        <w:rPr>
          <w:rFonts w:asciiTheme="majorHAnsi" w:hAnsiTheme="majorHAnsi"/>
          <w:sz w:val="20"/>
          <w:szCs w:val="20"/>
          <w:lang w:val="es-VE"/>
        </w:rPr>
        <w:t>la Comisión destaca la decisión de 30 de abril de 2007 referida</w:t>
      </w:r>
      <w:r w:rsidR="00ED022D">
        <w:rPr>
          <w:rFonts w:asciiTheme="majorHAnsi" w:hAnsiTheme="majorHAnsi"/>
          <w:sz w:val="20"/>
          <w:szCs w:val="20"/>
          <w:lang w:val="es-VE"/>
        </w:rPr>
        <w:t xml:space="preserve"> en la sección de hechos probados</w:t>
      </w:r>
      <w:r w:rsidR="001E2374">
        <w:rPr>
          <w:rFonts w:asciiTheme="majorHAnsi" w:hAnsiTheme="majorHAnsi"/>
          <w:sz w:val="20"/>
          <w:szCs w:val="20"/>
          <w:lang w:val="es-VE"/>
        </w:rPr>
        <w:t>,</w:t>
      </w:r>
      <w:r w:rsidR="00ED022D">
        <w:rPr>
          <w:rFonts w:asciiTheme="majorHAnsi" w:hAnsiTheme="majorHAnsi"/>
          <w:sz w:val="20"/>
          <w:szCs w:val="20"/>
          <w:lang w:val="es-VE"/>
        </w:rPr>
        <w:t xml:space="preserve"> </w:t>
      </w:r>
      <w:r w:rsidRPr="002E24FF">
        <w:rPr>
          <w:rFonts w:asciiTheme="majorHAnsi" w:hAnsiTheme="majorHAnsi"/>
          <w:sz w:val="20"/>
          <w:szCs w:val="20"/>
          <w:lang w:val="es-VE"/>
        </w:rPr>
        <w:t xml:space="preserve">mediante la cual se rechazó la acción de daños y perjuicios interpuesta por el señor Jenkins. En dicha decisión, la Jueza Federal de Primera Instancia en lo Contencioso Administrativo No. 10 indicó que la detención preventiva no fue arbitraria ni infundada “porque para dictarlo no sólo se tuvo en cuenta la conversación a que se refiere el </w:t>
      </w:r>
      <w:proofErr w:type="spellStart"/>
      <w:r w:rsidRPr="002E24FF">
        <w:rPr>
          <w:rFonts w:asciiTheme="majorHAnsi" w:hAnsiTheme="majorHAnsi"/>
          <w:sz w:val="20"/>
          <w:szCs w:val="20"/>
          <w:lang w:val="es-VE"/>
        </w:rPr>
        <w:t>cassete</w:t>
      </w:r>
      <w:proofErr w:type="spellEnd"/>
      <w:r w:rsidRPr="002E24FF">
        <w:rPr>
          <w:rFonts w:asciiTheme="majorHAnsi" w:hAnsiTheme="majorHAnsi"/>
          <w:sz w:val="20"/>
          <w:szCs w:val="20"/>
          <w:lang w:val="es-VE"/>
        </w:rPr>
        <w:t xml:space="preserve"> No. 40 sino diversos elementos probatorios que convencieron al juez para dictar la medida preventiva”</w:t>
      </w:r>
      <w:r w:rsidRPr="002E24FF">
        <w:rPr>
          <w:rStyle w:val="FootnoteReference"/>
          <w:rFonts w:asciiTheme="majorHAnsi" w:hAnsiTheme="majorHAnsi"/>
          <w:sz w:val="20"/>
          <w:szCs w:val="20"/>
          <w:lang w:val="es-VE"/>
        </w:rPr>
        <w:footnoteReference w:id="80"/>
      </w:r>
      <w:r w:rsidRPr="002E24FF">
        <w:rPr>
          <w:rFonts w:asciiTheme="majorHAnsi" w:hAnsiTheme="majorHAnsi"/>
          <w:sz w:val="20"/>
          <w:szCs w:val="20"/>
          <w:lang w:val="es-VE"/>
        </w:rPr>
        <w:t>. En segundo lugar, la Comisión considera que el propio texto del artículo 10 de la Ley 24.390 que negaba la posibilidad de excarcelación a personas procesadas por delitos como la tenencia de estupefacientes, permite considerar que para estos casos la detención preventiva operaba de manera automática.</w:t>
      </w:r>
      <w:r w:rsidR="00CC2EBF">
        <w:rPr>
          <w:rFonts w:asciiTheme="majorHAnsi" w:hAnsiTheme="majorHAnsi"/>
          <w:sz w:val="20"/>
          <w:szCs w:val="20"/>
          <w:lang w:val="es-VE"/>
        </w:rPr>
        <w:t xml:space="preserve"> Como se analiza más adelante, esta automaticidad se vio reflejada en las decisiones neg</w:t>
      </w:r>
      <w:r w:rsidR="00363417">
        <w:rPr>
          <w:rFonts w:asciiTheme="majorHAnsi" w:hAnsiTheme="majorHAnsi"/>
          <w:sz w:val="20"/>
          <w:szCs w:val="20"/>
          <w:lang w:val="es-VE"/>
        </w:rPr>
        <w:t>a</w:t>
      </w:r>
      <w:r w:rsidR="00CC2EBF">
        <w:rPr>
          <w:rFonts w:asciiTheme="majorHAnsi" w:hAnsiTheme="majorHAnsi"/>
          <w:sz w:val="20"/>
          <w:szCs w:val="20"/>
          <w:lang w:val="es-VE"/>
        </w:rPr>
        <w:t>tivas de revisión de la detención que se basaron precisamente en dicha norma.</w:t>
      </w:r>
      <w:r w:rsidRPr="002E24FF">
        <w:rPr>
          <w:rFonts w:asciiTheme="majorHAnsi" w:hAnsiTheme="majorHAnsi"/>
          <w:sz w:val="20"/>
          <w:szCs w:val="20"/>
          <w:lang w:val="es-VE"/>
        </w:rPr>
        <w:t xml:space="preserve"> </w:t>
      </w:r>
      <w:r w:rsidRPr="001B2FBE">
        <w:rPr>
          <w:rFonts w:asciiTheme="majorHAnsi" w:hAnsiTheme="majorHAnsi"/>
          <w:sz w:val="20"/>
          <w:szCs w:val="20"/>
          <w:lang w:val="es-VE"/>
        </w:rPr>
        <w:t>A estos dos puntos se suma que el Estado no indicó ante la CIDH que la detención preventiva persiguiera fines procesales ni aportó documentación al respecto.</w:t>
      </w:r>
    </w:p>
    <w:p w:rsidR="001B2FBE" w:rsidRDefault="001B2FBE" w:rsidP="001B2FBE">
      <w:pPr>
        <w:pStyle w:val="ListParagraph"/>
        <w:rPr>
          <w:rFonts w:asciiTheme="majorHAnsi" w:hAnsiTheme="majorHAnsi"/>
          <w:sz w:val="20"/>
          <w:szCs w:val="20"/>
          <w:lang w:val="es-VE"/>
        </w:rPr>
      </w:pPr>
    </w:p>
    <w:p w:rsidR="002E24FF" w:rsidRPr="001B2FBE" w:rsidRDefault="002E24FF" w:rsidP="001B2FB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sidRPr="001B2FBE">
        <w:rPr>
          <w:rFonts w:asciiTheme="majorHAnsi" w:hAnsiTheme="majorHAnsi"/>
          <w:sz w:val="20"/>
          <w:szCs w:val="20"/>
          <w:lang w:val="es-VE"/>
        </w:rPr>
        <w:t>Con base en estos tres elementos, tomados en su conjunto, la Comisión considera razonable inferir que no existió una motivación individualizada sobre los fines procesales perseguidos mediante la detención preventiva y que, por el contrario, la misma tuvo como base la existencia</w:t>
      </w:r>
      <w:r w:rsidR="008C60FD">
        <w:rPr>
          <w:rFonts w:asciiTheme="majorHAnsi" w:hAnsiTheme="majorHAnsi"/>
          <w:sz w:val="20"/>
          <w:szCs w:val="20"/>
          <w:lang w:val="es-VE"/>
        </w:rPr>
        <w:t xml:space="preserve"> de indicios de responsabilidad, constituyéndose en una </w:t>
      </w:r>
      <w:r w:rsidR="00A2128F">
        <w:rPr>
          <w:rFonts w:asciiTheme="majorHAnsi" w:hAnsiTheme="majorHAnsi"/>
          <w:sz w:val="20"/>
          <w:szCs w:val="20"/>
          <w:lang w:val="es-VE"/>
        </w:rPr>
        <w:t xml:space="preserve">anticipación de la pena y no una medida cautelar. </w:t>
      </w:r>
    </w:p>
    <w:p w:rsidR="001B2FBE" w:rsidRDefault="001B2FBE" w:rsidP="001B2FBE">
      <w:pPr>
        <w:pStyle w:val="ListParagraph"/>
        <w:rPr>
          <w:rFonts w:asciiTheme="majorHAnsi" w:eastAsia="Times New Roman" w:hAnsiTheme="majorHAnsi"/>
          <w:sz w:val="20"/>
          <w:szCs w:val="20"/>
          <w:bdr w:val="none" w:sz="0" w:space="0" w:color="auto"/>
          <w:lang w:val="es-AR"/>
        </w:rPr>
      </w:pPr>
    </w:p>
    <w:p w:rsidR="00912BD6" w:rsidRDefault="001B2FBE" w:rsidP="001B2FB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Pr>
          <w:rFonts w:asciiTheme="majorHAnsi" w:eastAsia="Times New Roman" w:hAnsiTheme="majorHAnsi"/>
          <w:sz w:val="20"/>
          <w:szCs w:val="20"/>
          <w:bdr w:val="none" w:sz="0" w:space="0" w:color="auto"/>
          <w:lang w:val="es-AR"/>
        </w:rPr>
        <w:t xml:space="preserve">En consecuencia, conforme a los estándares descritos, la Comisión concluye que desde su inicio la detención preventiva del señor Jenkins fue arbitraria y </w:t>
      </w:r>
      <w:r w:rsidR="00014193">
        <w:rPr>
          <w:rFonts w:asciiTheme="majorHAnsi" w:eastAsia="Times New Roman" w:hAnsiTheme="majorHAnsi"/>
          <w:sz w:val="20"/>
          <w:szCs w:val="20"/>
          <w:bdr w:val="none" w:sz="0" w:space="0" w:color="auto"/>
          <w:lang w:val="es-AR"/>
        </w:rPr>
        <w:t xml:space="preserve">desconoció el </w:t>
      </w:r>
      <w:r>
        <w:rPr>
          <w:rFonts w:asciiTheme="majorHAnsi" w:eastAsia="Times New Roman" w:hAnsiTheme="majorHAnsi"/>
          <w:sz w:val="20"/>
          <w:szCs w:val="20"/>
          <w:bdr w:val="none" w:sz="0" w:space="0" w:color="auto"/>
          <w:lang w:val="es-AR"/>
        </w:rPr>
        <w:t>principio de presunci</w:t>
      </w:r>
      <w:r w:rsidR="00014193">
        <w:rPr>
          <w:rFonts w:asciiTheme="majorHAnsi" w:eastAsia="Times New Roman" w:hAnsiTheme="majorHAnsi"/>
          <w:sz w:val="20"/>
          <w:szCs w:val="20"/>
          <w:bdr w:val="none" w:sz="0" w:space="0" w:color="auto"/>
          <w:lang w:val="es-AR"/>
        </w:rPr>
        <w:t>ón de inocencia, en violación de los art</w:t>
      </w:r>
      <w:r w:rsidR="00267244">
        <w:rPr>
          <w:rFonts w:asciiTheme="majorHAnsi" w:eastAsia="Times New Roman" w:hAnsiTheme="majorHAnsi"/>
          <w:sz w:val="20"/>
          <w:szCs w:val="20"/>
          <w:bdr w:val="none" w:sz="0" w:space="0" w:color="auto"/>
          <w:lang w:val="es-AR"/>
        </w:rPr>
        <w:t>ículos 7.3 y 8.2 de la Convenci</w:t>
      </w:r>
      <w:r w:rsidR="001E2910">
        <w:rPr>
          <w:rFonts w:asciiTheme="majorHAnsi" w:eastAsia="Times New Roman" w:hAnsiTheme="majorHAnsi"/>
          <w:sz w:val="20"/>
          <w:szCs w:val="20"/>
          <w:bdr w:val="none" w:sz="0" w:space="0" w:color="auto"/>
          <w:lang w:val="es-AR"/>
        </w:rPr>
        <w:t xml:space="preserve">ón. </w:t>
      </w:r>
    </w:p>
    <w:p w:rsidR="00912BD6" w:rsidRDefault="00912BD6" w:rsidP="00912BD6">
      <w:pPr>
        <w:pStyle w:val="ListParagraph"/>
        <w:rPr>
          <w:rFonts w:asciiTheme="majorHAnsi" w:eastAsia="Times New Roman" w:hAnsiTheme="majorHAnsi"/>
          <w:sz w:val="20"/>
          <w:szCs w:val="20"/>
          <w:bdr w:val="none" w:sz="0" w:space="0" w:color="auto"/>
          <w:lang w:val="es-AR"/>
        </w:rPr>
      </w:pPr>
    </w:p>
    <w:p w:rsidR="001B2FBE" w:rsidRDefault="00912BD6" w:rsidP="001B2FB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Pr>
          <w:rFonts w:asciiTheme="majorHAnsi" w:eastAsia="Times New Roman" w:hAnsiTheme="majorHAnsi"/>
          <w:sz w:val="20"/>
          <w:szCs w:val="20"/>
          <w:bdr w:val="none" w:sz="0" w:space="0" w:color="auto"/>
          <w:lang w:val="es-AR"/>
        </w:rPr>
        <w:t>La Comisión pasa a referirse</w:t>
      </w:r>
      <w:r w:rsidR="00765533">
        <w:rPr>
          <w:rFonts w:asciiTheme="majorHAnsi" w:eastAsia="Times New Roman" w:hAnsiTheme="majorHAnsi"/>
          <w:sz w:val="20"/>
          <w:szCs w:val="20"/>
          <w:bdr w:val="none" w:sz="0" w:space="0" w:color="auto"/>
          <w:lang w:val="es-AR"/>
        </w:rPr>
        <w:t>,</w:t>
      </w:r>
      <w:r>
        <w:rPr>
          <w:rFonts w:asciiTheme="majorHAnsi" w:eastAsia="Times New Roman" w:hAnsiTheme="majorHAnsi"/>
          <w:sz w:val="20"/>
          <w:szCs w:val="20"/>
          <w:bdr w:val="none" w:sz="0" w:space="0" w:color="auto"/>
          <w:lang w:val="es-AR"/>
        </w:rPr>
        <w:t xml:space="preserve"> en segundo lugar</w:t>
      </w:r>
      <w:r w:rsidR="00765533">
        <w:rPr>
          <w:rFonts w:asciiTheme="majorHAnsi" w:eastAsia="Times New Roman" w:hAnsiTheme="majorHAnsi"/>
          <w:sz w:val="20"/>
          <w:szCs w:val="20"/>
          <w:bdr w:val="none" w:sz="0" w:space="0" w:color="auto"/>
          <w:lang w:val="es-AR"/>
        </w:rPr>
        <w:t>,</w:t>
      </w:r>
      <w:r>
        <w:rPr>
          <w:rFonts w:asciiTheme="majorHAnsi" w:eastAsia="Times New Roman" w:hAnsiTheme="majorHAnsi"/>
          <w:sz w:val="20"/>
          <w:szCs w:val="20"/>
          <w:bdr w:val="none" w:sz="0" w:space="0" w:color="auto"/>
          <w:lang w:val="es-AR"/>
        </w:rPr>
        <w:t xml:space="preserve"> a la duración de la detención preventiva en el presente caso. </w:t>
      </w:r>
      <w:r w:rsidR="004A0972">
        <w:rPr>
          <w:rFonts w:asciiTheme="majorHAnsi" w:eastAsia="Times New Roman" w:hAnsiTheme="majorHAnsi"/>
          <w:sz w:val="20"/>
          <w:szCs w:val="20"/>
          <w:bdr w:val="none" w:sz="0" w:space="0" w:color="auto"/>
          <w:lang w:val="es-AR"/>
        </w:rPr>
        <w:t>Según lo establecido en los hechos probados, el señor Jenkins estuvo privado de su libertad en detención preventiva</w:t>
      </w:r>
      <w:r w:rsidR="00394C06">
        <w:rPr>
          <w:rFonts w:asciiTheme="majorHAnsi" w:eastAsia="Times New Roman" w:hAnsiTheme="majorHAnsi"/>
          <w:sz w:val="20"/>
          <w:szCs w:val="20"/>
          <w:bdr w:val="none" w:sz="0" w:space="0" w:color="auto"/>
          <w:lang w:val="es-AR"/>
        </w:rPr>
        <w:t xml:space="preserve"> por tres años y cinco meses,</w:t>
      </w:r>
      <w:r w:rsidR="004A0972">
        <w:rPr>
          <w:rFonts w:asciiTheme="majorHAnsi" w:eastAsia="Times New Roman" w:hAnsiTheme="majorHAnsi"/>
          <w:sz w:val="20"/>
          <w:szCs w:val="20"/>
          <w:bdr w:val="none" w:sz="0" w:space="0" w:color="auto"/>
          <w:lang w:val="es-AR"/>
        </w:rPr>
        <w:t xml:space="preserve"> entre el 8 de junio de 199</w:t>
      </w:r>
      <w:r w:rsidR="00A42C9D">
        <w:rPr>
          <w:rFonts w:asciiTheme="majorHAnsi" w:eastAsia="Times New Roman" w:hAnsiTheme="majorHAnsi"/>
          <w:sz w:val="20"/>
          <w:szCs w:val="20"/>
          <w:bdr w:val="none" w:sz="0" w:space="0" w:color="auto"/>
          <w:lang w:val="es-AR"/>
        </w:rPr>
        <w:t xml:space="preserve">4 y el 13 de noviembre de 1997, siendo absuelto pocas semanas después de su liberación. </w:t>
      </w:r>
    </w:p>
    <w:p w:rsidR="00030BCE" w:rsidRDefault="00030BCE" w:rsidP="00030BCE">
      <w:pPr>
        <w:pStyle w:val="ListParagraph"/>
        <w:rPr>
          <w:rFonts w:asciiTheme="majorHAnsi" w:eastAsia="Times New Roman" w:hAnsiTheme="majorHAnsi"/>
          <w:sz w:val="20"/>
          <w:szCs w:val="20"/>
          <w:bdr w:val="none" w:sz="0" w:space="0" w:color="auto"/>
          <w:lang w:val="es-AR"/>
        </w:rPr>
      </w:pPr>
    </w:p>
    <w:p w:rsidR="00661472" w:rsidRDefault="00030BCE" w:rsidP="006614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sidRPr="00802E00">
        <w:rPr>
          <w:rFonts w:asciiTheme="majorHAnsi" w:eastAsia="Times New Roman" w:hAnsiTheme="majorHAnsi"/>
          <w:sz w:val="20"/>
          <w:szCs w:val="20"/>
          <w:bdr w:val="none" w:sz="0" w:space="0" w:color="auto"/>
          <w:lang w:val="es-AR"/>
        </w:rPr>
        <w:t xml:space="preserve">Al respecto, la Comisión observa que durante dicho lapso no se efectuó de oficio una revisión periódica sobre la necesidad de mantener la detención preventiva. Tal como se indicará más adelante, </w:t>
      </w:r>
      <w:r w:rsidR="00C9312E" w:rsidRPr="00802E00">
        <w:rPr>
          <w:rFonts w:asciiTheme="majorHAnsi" w:eastAsia="Times New Roman" w:hAnsiTheme="majorHAnsi"/>
          <w:sz w:val="20"/>
          <w:szCs w:val="20"/>
          <w:bdr w:val="none" w:sz="0" w:space="0" w:color="auto"/>
          <w:lang w:val="es-AR"/>
        </w:rPr>
        <w:t>e</w:t>
      </w:r>
      <w:r w:rsidRPr="00802E00">
        <w:rPr>
          <w:rFonts w:asciiTheme="majorHAnsi" w:eastAsia="Times New Roman" w:hAnsiTheme="majorHAnsi"/>
          <w:sz w:val="20"/>
          <w:szCs w:val="20"/>
          <w:bdr w:val="none" w:sz="0" w:space="0" w:color="auto"/>
          <w:lang w:val="es-AR"/>
        </w:rPr>
        <w:t xml:space="preserve">sta revisión tampoco fue efectuada en el marco de </w:t>
      </w:r>
      <w:r w:rsidR="00C9312E" w:rsidRPr="00802E00">
        <w:rPr>
          <w:rFonts w:asciiTheme="majorHAnsi" w:eastAsia="Times New Roman" w:hAnsiTheme="majorHAnsi"/>
          <w:sz w:val="20"/>
          <w:szCs w:val="20"/>
          <w:bdr w:val="none" w:sz="0" w:space="0" w:color="auto"/>
          <w:lang w:val="es-AR"/>
        </w:rPr>
        <w:t xml:space="preserve">los recursos interpuestos por el señor Jenkins para cuestionar su privación de libertad. Ante la Comisión Interamericana el Estado de Argentina </w:t>
      </w:r>
      <w:r w:rsidR="00B242EF" w:rsidRPr="00802E00">
        <w:rPr>
          <w:rFonts w:asciiTheme="majorHAnsi" w:eastAsia="Times New Roman" w:hAnsiTheme="majorHAnsi"/>
          <w:sz w:val="20"/>
          <w:szCs w:val="20"/>
          <w:bdr w:val="none" w:sz="0" w:space="0" w:color="auto"/>
          <w:lang w:val="es-AR"/>
        </w:rPr>
        <w:t xml:space="preserve">se refirió a las </w:t>
      </w:r>
      <w:r w:rsidR="00802E00" w:rsidRPr="00802E00">
        <w:rPr>
          <w:rFonts w:asciiTheme="majorHAnsi" w:eastAsia="Times New Roman" w:hAnsiTheme="majorHAnsi"/>
          <w:sz w:val="20"/>
          <w:szCs w:val="20"/>
          <w:bdr w:val="none" w:sz="0" w:space="0" w:color="auto"/>
          <w:lang w:val="es-AR"/>
        </w:rPr>
        <w:t>decisiones</w:t>
      </w:r>
      <w:r w:rsidR="00B242EF" w:rsidRPr="00802E00">
        <w:rPr>
          <w:rFonts w:asciiTheme="majorHAnsi" w:eastAsia="Times New Roman" w:hAnsiTheme="majorHAnsi"/>
          <w:sz w:val="20"/>
          <w:szCs w:val="20"/>
          <w:bdr w:val="none" w:sz="0" w:space="0" w:color="auto"/>
          <w:lang w:val="es-AR"/>
        </w:rPr>
        <w:t xml:space="preserve"> judiciales a nivel interno sin ofrecer otra explicación o elementos adicionales. </w:t>
      </w:r>
    </w:p>
    <w:p w:rsidR="00EB762E" w:rsidRPr="00802E00" w:rsidRDefault="00EB762E" w:rsidP="00EB762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AR"/>
        </w:rPr>
      </w:pPr>
    </w:p>
    <w:p w:rsidR="00A06A2E" w:rsidRDefault="00661472" w:rsidP="001B2FB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Pr>
          <w:rFonts w:asciiTheme="majorHAnsi" w:eastAsia="Times New Roman" w:hAnsiTheme="majorHAnsi"/>
          <w:sz w:val="20"/>
          <w:szCs w:val="20"/>
          <w:bdr w:val="none" w:sz="0" w:space="0" w:color="auto"/>
          <w:lang w:val="es-AR"/>
        </w:rPr>
        <w:t>Por el contrario, el marco legal aplicable pone en evidencia que la duración de la detención preventiva del señor Jenk</w:t>
      </w:r>
      <w:r w:rsidR="00E22ED3">
        <w:rPr>
          <w:rFonts w:asciiTheme="majorHAnsi" w:eastAsia="Times New Roman" w:hAnsiTheme="majorHAnsi"/>
          <w:sz w:val="20"/>
          <w:szCs w:val="20"/>
          <w:bdr w:val="none" w:sz="0" w:space="0" w:color="auto"/>
          <w:lang w:val="es-AR"/>
        </w:rPr>
        <w:t>ins se basó en su aplicación automática y en la prohibición de excarcelación cuando se trataba de ciertos delitos, específicamente el de tr</w:t>
      </w:r>
      <w:r w:rsidR="00262CBD">
        <w:rPr>
          <w:rFonts w:asciiTheme="majorHAnsi" w:eastAsia="Times New Roman" w:hAnsiTheme="majorHAnsi"/>
          <w:sz w:val="20"/>
          <w:szCs w:val="20"/>
          <w:bdr w:val="none" w:sz="0" w:space="0" w:color="auto"/>
          <w:lang w:val="es-AR"/>
        </w:rPr>
        <w:t xml:space="preserve">áfico de estupefacientes. </w:t>
      </w:r>
      <w:r w:rsidR="00BF611D">
        <w:rPr>
          <w:rFonts w:asciiTheme="majorHAnsi" w:eastAsia="Times New Roman" w:hAnsiTheme="majorHAnsi"/>
          <w:sz w:val="20"/>
          <w:szCs w:val="20"/>
          <w:bdr w:val="none" w:sz="0" w:space="0" w:color="auto"/>
          <w:lang w:val="es-AR"/>
        </w:rPr>
        <w:t xml:space="preserve">En efecto, la Ley 24.390 establecía </w:t>
      </w:r>
      <w:r w:rsidR="00A95547">
        <w:rPr>
          <w:rFonts w:asciiTheme="majorHAnsi" w:eastAsia="Times New Roman" w:hAnsiTheme="majorHAnsi"/>
          <w:sz w:val="20"/>
          <w:szCs w:val="20"/>
          <w:bdr w:val="none" w:sz="0" w:space="0" w:color="auto"/>
          <w:lang w:val="es-AR"/>
        </w:rPr>
        <w:t xml:space="preserve">que “la prisión preventiva no podrá ser superior a dos años” y permitía prorrogarla por un año </w:t>
      </w:r>
      <w:r w:rsidR="00A95547">
        <w:rPr>
          <w:rFonts w:asciiTheme="majorHAnsi" w:eastAsia="Times New Roman" w:hAnsiTheme="majorHAnsi"/>
          <w:sz w:val="20"/>
          <w:szCs w:val="20"/>
          <w:bdr w:val="none" w:sz="0" w:space="0" w:color="auto"/>
          <w:lang w:val="es-AR"/>
        </w:rPr>
        <w:lastRenderedPageBreak/>
        <w:t>ad</w:t>
      </w:r>
      <w:r w:rsidR="001E2374">
        <w:rPr>
          <w:rFonts w:asciiTheme="majorHAnsi" w:eastAsia="Times New Roman" w:hAnsiTheme="majorHAnsi"/>
          <w:sz w:val="20"/>
          <w:szCs w:val="20"/>
          <w:bdr w:val="none" w:sz="0" w:space="0" w:color="auto"/>
          <w:lang w:val="es-AR"/>
        </w:rPr>
        <w:t>icional</w:t>
      </w:r>
      <w:r w:rsidR="00A95547">
        <w:rPr>
          <w:rFonts w:asciiTheme="majorHAnsi" w:eastAsia="Times New Roman" w:hAnsiTheme="majorHAnsi"/>
          <w:sz w:val="20"/>
          <w:szCs w:val="20"/>
          <w:bdr w:val="none" w:sz="0" w:space="0" w:color="auto"/>
          <w:lang w:val="es-AR"/>
        </w:rPr>
        <w:t xml:space="preserve"> en ciertos casos. </w:t>
      </w:r>
      <w:r w:rsidR="002E3015">
        <w:rPr>
          <w:rFonts w:asciiTheme="majorHAnsi" w:eastAsia="Times New Roman" w:hAnsiTheme="majorHAnsi"/>
          <w:sz w:val="20"/>
          <w:szCs w:val="20"/>
          <w:bdr w:val="none" w:sz="0" w:space="0" w:color="auto"/>
          <w:lang w:val="es-AR"/>
        </w:rPr>
        <w:t xml:space="preserve">Sin embargo, el artículo 10 de la misma Ley excluía de la aplicación del plazo máximo de detención preventiva el referido delito. </w:t>
      </w:r>
    </w:p>
    <w:p w:rsidR="00A06A2E" w:rsidRDefault="00A06A2E" w:rsidP="00A06A2E">
      <w:pPr>
        <w:pStyle w:val="ListParagraph"/>
        <w:rPr>
          <w:rFonts w:asciiTheme="majorHAnsi" w:eastAsia="Times New Roman" w:hAnsiTheme="majorHAnsi"/>
          <w:sz w:val="20"/>
          <w:szCs w:val="20"/>
          <w:bdr w:val="none" w:sz="0" w:space="0" w:color="auto"/>
          <w:lang w:val="es-AR"/>
        </w:rPr>
      </w:pPr>
    </w:p>
    <w:p w:rsidR="00661472" w:rsidRDefault="00262CBD" w:rsidP="001B2FB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bdr w:val="none" w:sz="0" w:space="0" w:color="auto"/>
          <w:lang w:val="es-AR"/>
        </w:rPr>
      </w:pPr>
      <w:r>
        <w:rPr>
          <w:rFonts w:asciiTheme="majorHAnsi" w:eastAsia="Times New Roman" w:hAnsiTheme="majorHAnsi"/>
          <w:sz w:val="20"/>
          <w:szCs w:val="20"/>
          <w:bdr w:val="none" w:sz="0" w:space="0" w:color="auto"/>
          <w:lang w:val="es-AR"/>
        </w:rPr>
        <w:t xml:space="preserve">En la siguiente sección del informe de fondo la CIDH se pronunciará sobre dicho marco normativo a la luz del principio de igualdad y no discriminación y el deber de adoptar disposiciones de derecho interno. </w:t>
      </w:r>
      <w:r w:rsidRPr="00A06A2E">
        <w:rPr>
          <w:rFonts w:asciiTheme="majorHAnsi" w:eastAsia="Times New Roman" w:hAnsiTheme="majorHAnsi"/>
          <w:sz w:val="20"/>
          <w:szCs w:val="20"/>
          <w:bdr w:val="none" w:sz="0" w:space="0" w:color="auto"/>
          <w:lang w:val="es-AR"/>
        </w:rPr>
        <w:t xml:space="preserve">En lo relevante para este punto, la Comisión concluye que la duración </w:t>
      </w:r>
      <w:r w:rsidR="00A06A2E">
        <w:rPr>
          <w:rFonts w:asciiTheme="majorHAnsi" w:eastAsia="Times New Roman" w:hAnsiTheme="majorHAnsi"/>
          <w:sz w:val="20"/>
          <w:szCs w:val="20"/>
          <w:bdr w:val="none" w:sz="0" w:space="0" w:color="auto"/>
          <w:lang w:val="es-AR"/>
        </w:rPr>
        <w:t xml:space="preserve">de tres años y cinco meses de la detención preventiva del señor Jenkins, </w:t>
      </w:r>
      <w:r w:rsidR="00916605">
        <w:rPr>
          <w:rFonts w:asciiTheme="majorHAnsi" w:eastAsia="Times New Roman" w:hAnsiTheme="majorHAnsi"/>
          <w:sz w:val="20"/>
          <w:szCs w:val="20"/>
          <w:bdr w:val="none" w:sz="0" w:space="0" w:color="auto"/>
          <w:lang w:val="es-AR"/>
        </w:rPr>
        <w:t>fue excesiva</w:t>
      </w:r>
      <w:r w:rsidR="008854BC">
        <w:rPr>
          <w:rFonts w:asciiTheme="majorHAnsi" w:eastAsia="Times New Roman" w:hAnsiTheme="majorHAnsi"/>
          <w:sz w:val="20"/>
          <w:szCs w:val="20"/>
          <w:bdr w:val="none" w:sz="0" w:space="0" w:color="auto"/>
          <w:lang w:val="es-AR"/>
        </w:rPr>
        <w:t xml:space="preserve"> en sus términos y de manera independiente a la existencia de dicho marco normativo, lo que </w:t>
      </w:r>
      <w:r w:rsidR="00916605">
        <w:rPr>
          <w:rFonts w:asciiTheme="majorHAnsi" w:eastAsia="Times New Roman" w:hAnsiTheme="majorHAnsi"/>
          <w:sz w:val="20"/>
          <w:szCs w:val="20"/>
          <w:bdr w:val="none" w:sz="0" w:space="0" w:color="auto"/>
          <w:lang w:val="es-AR"/>
        </w:rPr>
        <w:t>viol</w:t>
      </w:r>
      <w:r w:rsidR="008854BC">
        <w:rPr>
          <w:rFonts w:asciiTheme="majorHAnsi" w:eastAsia="Times New Roman" w:hAnsiTheme="majorHAnsi"/>
          <w:sz w:val="20"/>
          <w:szCs w:val="20"/>
          <w:bdr w:val="none" w:sz="0" w:space="0" w:color="auto"/>
          <w:lang w:val="es-AR"/>
        </w:rPr>
        <w:t>ó</w:t>
      </w:r>
      <w:r w:rsidR="00916605">
        <w:rPr>
          <w:rFonts w:asciiTheme="majorHAnsi" w:eastAsia="Times New Roman" w:hAnsiTheme="majorHAnsi"/>
          <w:sz w:val="20"/>
          <w:szCs w:val="20"/>
          <w:bdr w:val="none" w:sz="0" w:space="0" w:color="auto"/>
          <w:lang w:val="es-AR"/>
        </w:rPr>
        <w:t xml:space="preserve"> </w:t>
      </w:r>
      <w:r w:rsidR="001E2374">
        <w:rPr>
          <w:rFonts w:asciiTheme="majorHAnsi" w:eastAsia="Times New Roman" w:hAnsiTheme="majorHAnsi"/>
          <w:sz w:val="20"/>
          <w:szCs w:val="20"/>
          <w:bdr w:val="none" w:sz="0" w:space="0" w:color="auto"/>
          <w:lang w:val="es-AR"/>
        </w:rPr>
        <w:t>e</w:t>
      </w:r>
      <w:r w:rsidR="001E2374" w:rsidRPr="001E2374">
        <w:rPr>
          <w:rFonts w:asciiTheme="majorHAnsi" w:eastAsia="Times New Roman" w:hAnsiTheme="majorHAnsi"/>
          <w:sz w:val="20"/>
          <w:szCs w:val="20"/>
          <w:bdr w:val="none" w:sz="0" w:space="0" w:color="auto"/>
          <w:lang w:val="es-AR"/>
        </w:rPr>
        <w:t xml:space="preserve">l principio </w:t>
      </w:r>
      <w:r w:rsidR="00916605" w:rsidRPr="001E2374">
        <w:rPr>
          <w:rFonts w:asciiTheme="majorHAnsi" w:eastAsia="Times New Roman" w:hAnsiTheme="majorHAnsi"/>
          <w:sz w:val="20"/>
          <w:szCs w:val="20"/>
          <w:bdr w:val="none" w:sz="0" w:space="0" w:color="auto"/>
          <w:lang w:val="es-AR"/>
        </w:rPr>
        <w:t>de la razonabilidad</w:t>
      </w:r>
      <w:r w:rsidR="00916605">
        <w:rPr>
          <w:rFonts w:asciiTheme="majorHAnsi" w:eastAsia="Times New Roman" w:hAnsiTheme="majorHAnsi"/>
          <w:sz w:val="20"/>
          <w:szCs w:val="20"/>
          <w:bdr w:val="none" w:sz="0" w:space="0" w:color="auto"/>
          <w:lang w:val="es-AR"/>
        </w:rPr>
        <w:t xml:space="preserve"> establecida en el artículo 7.5 de la Convención. Asimismo, dicha detención constituyó una anticipación de la pena que podría aplicársele en caso de ser condenado, en violación del principio de presunción de inocencia contemplado en el artículo 8.2 de la Convención. </w:t>
      </w:r>
      <w:r w:rsidR="00550F89">
        <w:rPr>
          <w:rFonts w:asciiTheme="majorHAnsi" w:eastAsia="Times New Roman" w:hAnsiTheme="majorHAnsi"/>
          <w:sz w:val="20"/>
          <w:szCs w:val="20"/>
          <w:bdr w:val="none" w:sz="0" w:space="0" w:color="auto"/>
          <w:lang w:val="es-AR"/>
        </w:rPr>
        <w:t xml:space="preserve">Igualmente, esta demora también estuvo relacionada con el proceso penal en sí mismo y ante </w:t>
      </w:r>
      <w:r w:rsidR="001E2374">
        <w:rPr>
          <w:rFonts w:asciiTheme="majorHAnsi" w:eastAsia="Times New Roman" w:hAnsiTheme="majorHAnsi"/>
          <w:sz w:val="20"/>
          <w:szCs w:val="20"/>
          <w:bdr w:val="none" w:sz="0" w:space="0" w:color="auto"/>
          <w:lang w:val="es-AR"/>
        </w:rPr>
        <w:t xml:space="preserve">la </w:t>
      </w:r>
      <w:r w:rsidR="00550F89">
        <w:rPr>
          <w:rFonts w:asciiTheme="majorHAnsi" w:eastAsia="Times New Roman" w:hAnsiTheme="majorHAnsi"/>
          <w:sz w:val="20"/>
          <w:szCs w:val="20"/>
          <w:bdr w:val="none" w:sz="0" w:space="0" w:color="auto"/>
          <w:lang w:val="es-AR"/>
        </w:rPr>
        <w:t xml:space="preserve">falta de justificación por parte del Estado de la demora a la luz de los criterios tomados en cuenta reiteradamente en la jurisprudencia interamericana, la Comisión también considera que se violó la garantía de plazo razonable contenida en el artículo 8.1 de la Convención. </w:t>
      </w:r>
    </w:p>
    <w:p w:rsidR="00104EC4" w:rsidRDefault="00104EC4" w:rsidP="00104EC4">
      <w:pPr>
        <w:pStyle w:val="ListParagraph"/>
        <w:rPr>
          <w:rFonts w:asciiTheme="majorHAnsi" w:eastAsia="Times New Roman" w:hAnsiTheme="majorHAnsi"/>
          <w:sz w:val="20"/>
          <w:szCs w:val="20"/>
          <w:bdr w:val="none" w:sz="0" w:space="0" w:color="auto"/>
          <w:lang w:val="es-AR"/>
        </w:rPr>
      </w:pPr>
    </w:p>
    <w:p w:rsidR="00673049" w:rsidRDefault="00765533" w:rsidP="0067304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VE"/>
        </w:rPr>
      </w:pPr>
      <w:r>
        <w:rPr>
          <w:rFonts w:asciiTheme="majorHAnsi" w:eastAsia="Times New Roman" w:hAnsiTheme="majorHAnsi"/>
          <w:sz w:val="20"/>
          <w:szCs w:val="20"/>
          <w:bdr w:val="none" w:sz="0" w:space="0" w:color="auto"/>
          <w:lang w:val="es-AR"/>
        </w:rPr>
        <w:t xml:space="preserve">En tercer lugar la Comisión analizará la efectividad de los recursos interpuestos por el señor Jenkins para cuestionar su privación de libertad. </w:t>
      </w:r>
      <w:r w:rsidR="002A2454">
        <w:rPr>
          <w:rFonts w:asciiTheme="majorHAnsi" w:eastAsia="Times New Roman" w:hAnsiTheme="majorHAnsi"/>
          <w:sz w:val="20"/>
          <w:szCs w:val="20"/>
          <w:bdr w:val="none" w:sz="0" w:space="0" w:color="auto"/>
          <w:lang w:val="es-AR"/>
        </w:rPr>
        <w:t xml:space="preserve">Al respecto, </w:t>
      </w:r>
      <w:r w:rsidR="004E3AB5">
        <w:rPr>
          <w:rFonts w:asciiTheme="majorHAnsi" w:eastAsia="Times New Roman" w:hAnsiTheme="majorHAnsi"/>
          <w:sz w:val="20"/>
          <w:szCs w:val="20"/>
          <w:bdr w:val="none" w:sz="0" w:space="0" w:color="auto"/>
          <w:lang w:val="es-AR"/>
        </w:rPr>
        <w:t>tal como se indic</w:t>
      </w:r>
      <w:r w:rsidR="0017331D">
        <w:rPr>
          <w:rFonts w:asciiTheme="majorHAnsi" w:eastAsia="Times New Roman" w:hAnsiTheme="majorHAnsi"/>
          <w:sz w:val="20"/>
          <w:szCs w:val="20"/>
          <w:bdr w:val="none" w:sz="0" w:space="0" w:color="auto"/>
          <w:lang w:val="es-AR"/>
        </w:rPr>
        <w:t xml:space="preserve">ó en los hechos probados, </w:t>
      </w:r>
      <w:r w:rsidR="002A2454">
        <w:rPr>
          <w:rFonts w:asciiTheme="majorHAnsi" w:eastAsia="Times New Roman" w:hAnsiTheme="majorHAnsi"/>
          <w:sz w:val="20"/>
          <w:szCs w:val="20"/>
          <w:bdr w:val="none" w:sz="0" w:space="0" w:color="auto"/>
          <w:lang w:val="es-AR"/>
        </w:rPr>
        <w:t xml:space="preserve">el señor Jenkins </w:t>
      </w:r>
      <w:r w:rsidR="00DD147B" w:rsidRPr="002A2454">
        <w:rPr>
          <w:rFonts w:ascii="Cambria" w:hAnsi="Cambria"/>
          <w:sz w:val="20"/>
          <w:szCs w:val="20"/>
          <w:lang w:val="es-VE"/>
        </w:rPr>
        <w:t>interpuso una acción conjunta de inconstitucionalidad del artículo 10 de la ley 24.390 así c</w:t>
      </w:r>
      <w:r w:rsidR="00162A49">
        <w:rPr>
          <w:rFonts w:ascii="Cambria" w:hAnsi="Cambria"/>
          <w:sz w:val="20"/>
          <w:szCs w:val="20"/>
          <w:lang w:val="es-VE"/>
        </w:rPr>
        <w:t>omo solicitud de excarcelación. E</w:t>
      </w:r>
      <w:r w:rsidR="00DD147B" w:rsidRPr="002A2454">
        <w:rPr>
          <w:rFonts w:ascii="Cambria" w:hAnsi="Cambria"/>
          <w:sz w:val="20"/>
          <w:szCs w:val="20"/>
          <w:lang w:val="es-VE"/>
        </w:rPr>
        <w:t>l Tribunal Oral Federal No. 6 declaró sin lugar la acción argumentando que por la gravedad y el interés superior que las conductas relacionadas con el tráfico de estupe</w:t>
      </w:r>
      <w:r w:rsidR="00162A49">
        <w:rPr>
          <w:rFonts w:ascii="Cambria" w:hAnsi="Cambria"/>
          <w:sz w:val="20"/>
          <w:szCs w:val="20"/>
          <w:lang w:val="es-VE"/>
        </w:rPr>
        <w:t>facientes afectan era</w:t>
      </w:r>
      <w:r w:rsidR="00DD147B" w:rsidRPr="002A2454">
        <w:rPr>
          <w:rFonts w:ascii="Cambria" w:hAnsi="Cambria"/>
          <w:sz w:val="20"/>
          <w:szCs w:val="20"/>
          <w:lang w:val="es-VE"/>
        </w:rPr>
        <w:t xml:space="preserve"> necesario “vedar</w:t>
      </w:r>
      <w:r w:rsidR="00162A49">
        <w:rPr>
          <w:rFonts w:ascii="Cambria" w:hAnsi="Cambria"/>
          <w:sz w:val="20"/>
          <w:szCs w:val="20"/>
          <w:lang w:val="es-VE"/>
        </w:rPr>
        <w:t>” a las personas procesadas por dicho delito “d</w:t>
      </w:r>
      <w:r w:rsidR="00DD147B" w:rsidRPr="002A2454">
        <w:rPr>
          <w:rFonts w:ascii="Cambria" w:hAnsi="Cambria"/>
          <w:sz w:val="20"/>
          <w:szCs w:val="20"/>
          <w:lang w:val="es-VE"/>
        </w:rPr>
        <w:t xml:space="preserve">el derecho a la soltura provisoria”. </w:t>
      </w:r>
      <w:r w:rsidR="00DD147B" w:rsidRPr="004E3AB5">
        <w:rPr>
          <w:rFonts w:ascii="Cambria" w:hAnsi="Cambria"/>
          <w:sz w:val="20"/>
          <w:szCs w:val="20"/>
          <w:lang w:val="es-VE"/>
        </w:rPr>
        <w:t xml:space="preserve">Con posterioridad el peticionario interpuso un recurso de inconstitucionalidad en contra de la </w:t>
      </w:r>
      <w:r w:rsidR="00595615">
        <w:rPr>
          <w:rFonts w:ascii="Cambria" w:hAnsi="Cambria"/>
          <w:sz w:val="20"/>
          <w:szCs w:val="20"/>
          <w:lang w:val="es-VE"/>
        </w:rPr>
        <w:t xml:space="preserve">anterior decisión, la cual fue rechazada </w:t>
      </w:r>
      <w:r w:rsidR="00DD147B" w:rsidRPr="004E3AB5">
        <w:rPr>
          <w:rFonts w:ascii="Cambria" w:hAnsi="Cambria"/>
          <w:sz w:val="20"/>
          <w:szCs w:val="20"/>
          <w:lang w:val="es-VE"/>
        </w:rPr>
        <w:t xml:space="preserve">por la Sala I de la Cámara Nacional de Casación Penal, </w:t>
      </w:r>
      <w:r w:rsidR="00595615">
        <w:rPr>
          <w:rFonts w:ascii="Cambria" w:hAnsi="Cambria"/>
          <w:sz w:val="20"/>
          <w:szCs w:val="20"/>
          <w:lang w:val="es-VE"/>
        </w:rPr>
        <w:t xml:space="preserve">citando </w:t>
      </w:r>
      <w:r w:rsidR="0021633D">
        <w:rPr>
          <w:rFonts w:ascii="Cambria" w:hAnsi="Cambria"/>
          <w:sz w:val="20"/>
          <w:szCs w:val="20"/>
          <w:lang w:val="es-VE"/>
        </w:rPr>
        <w:t>el</w:t>
      </w:r>
      <w:r w:rsidR="00595615">
        <w:rPr>
          <w:rFonts w:ascii="Cambria" w:hAnsi="Cambria"/>
          <w:sz w:val="20"/>
          <w:szCs w:val="20"/>
          <w:lang w:val="es-VE"/>
        </w:rPr>
        <w:t xml:space="preserve"> precedente</w:t>
      </w:r>
      <w:r w:rsidR="0021633D">
        <w:rPr>
          <w:rFonts w:ascii="Cambria" w:hAnsi="Cambria"/>
          <w:sz w:val="20"/>
          <w:szCs w:val="20"/>
          <w:lang w:val="es-VE"/>
        </w:rPr>
        <w:t xml:space="preserve"> del caso “</w:t>
      </w:r>
      <w:proofErr w:type="spellStart"/>
      <w:r w:rsidR="0021633D">
        <w:rPr>
          <w:rFonts w:ascii="Cambria" w:hAnsi="Cambria"/>
          <w:sz w:val="20"/>
          <w:szCs w:val="20"/>
          <w:lang w:val="es-VE"/>
        </w:rPr>
        <w:t>Nuñez</w:t>
      </w:r>
      <w:proofErr w:type="spellEnd"/>
      <w:r w:rsidR="0021633D">
        <w:rPr>
          <w:rFonts w:ascii="Cambria" w:hAnsi="Cambria"/>
          <w:sz w:val="20"/>
          <w:szCs w:val="20"/>
          <w:lang w:val="es-VE"/>
        </w:rPr>
        <w:t>” en el cual ya se había efectuado un análisis determinando la constitucionalidad de la norma</w:t>
      </w:r>
      <w:r w:rsidR="00595615">
        <w:rPr>
          <w:rFonts w:ascii="Cambria" w:hAnsi="Cambria"/>
          <w:sz w:val="20"/>
          <w:szCs w:val="20"/>
          <w:lang w:val="es-VE"/>
        </w:rPr>
        <w:t xml:space="preserve">. </w:t>
      </w:r>
      <w:r w:rsidR="003D6B8B">
        <w:rPr>
          <w:rFonts w:ascii="Cambria" w:hAnsi="Cambria"/>
          <w:sz w:val="20"/>
          <w:szCs w:val="20"/>
          <w:lang w:val="es-VE"/>
        </w:rPr>
        <w:t xml:space="preserve">El recurso extraordinario interpuesto contra esta última decisión fue declarado </w:t>
      </w:r>
      <w:r w:rsidR="00DD147B" w:rsidRPr="003D6B8B">
        <w:rPr>
          <w:rFonts w:ascii="Cambria" w:hAnsi="Cambria"/>
          <w:sz w:val="20"/>
          <w:szCs w:val="20"/>
          <w:lang w:val="es-VE"/>
        </w:rPr>
        <w:t>inadmisible</w:t>
      </w:r>
      <w:r w:rsidR="003D6B8B">
        <w:rPr>
          <w:rFonts w:ascii="Cambria" w:hAnsi="Cambria"/>
          <w:sz w:val="20"/>
          <w:szCs w:val="20"/>
          <w:lang w:val="es-VE"/>
        </w:rPr>
        <w:t xml:space="preserve"> bajo el argumento de que</w:t>
      </w:r>
      <w:r w:rsidR="003470BE">
        <w:rPr>
          <w:rFonts w:ascii="Cambria" w:hAnsi="Cambria"/>
          <w:sz w:val="20"/>
          <w:szCs w:val="20"/>
          <w:lang w:val="es-VE"/>
        </w:rPr>
        <w:t xml:space="preserve"> el tema ya había sido resuelto mediante precedentes de la Corte Suprema sin que se </w:t>
      </w:r>
      <w:r w:rsidR="003D6B8B">
        <w:rPr>
          <w:rFonts w:ascii="Cambria" w:hAnsi="Cambria"/>
          <w:sz w:val="20"/>
          <w:szCs w:val="20"/>
          <w:lang w:val="es-VE"/>
        </w:rPr>
        <w:t>configur</w:t>
      </w:r>
      <w:r w:rsidR="003470BE">
        <w:rPr>
          <w:rFonts w:ascii="Cambria" w:hAnsi="Cambria"/>
          <w:sz w:val="20"/>
          <w:szCs w:val="20"/>
          <w:lang w:val="es-VE"/>
        </w:rPr>
        <w:t>ara</w:t>
      </w:r>
      <w:r w:rsidR="003D6B8B">
        <w:rPr>
          <w:rFonts w:ascii="Cambria" w:hAnsi="Cambria"/>
          <w:sz w:val="20"/>
          <w:szCs w:val="20"/>
          <w:lang w:val="es-VE"/>
        </w:rPr>
        <w:t xml:space="preserve"> una</w:t>
      </w:r>
      <w:r w:rsidR="003470BE">
        <w:rPr>
          <w:rFonts w:ascii="Cambria" w:hAnsi="Cambria"/>
          <w:sz w:val="20"/>
          <w:szCs w:val="20"/>
          <w:lang w:val="es-VE"/>
        </w:rPr>
        <w:t xml:space="preserve"> situación de arbitrariedad. </w:t>
      </w:r>
    </w:p>
    <w:p w:rsidR="00673049" w:rsidRDefault="00673049" w:rsidP="00673049">
      <w:pPr>
        <w:pStyle w:val="ListParagraph"/>
        <w:rPr>
          <w:sz w:val="20"/>
          <w:szCs w:val="20"/>
          <w:lang w:val="es-VE"/>
        </w:rPr>
      </w:pPr>
    </w:p>
    <w:p w:rsidR="00BF68CF" w:rsidRDefault="00673049" w:rsidP="0067304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VE"/>
        </w:rPr>
      </w:pPr>
      <w:r w:rsidRPr="00A72CCE">
        <w:rPr>
          <w:rFonts w:ascii="Cambria" w:hAnsi="Cambria"/>
          <w:sz w:val="20"/>
          <w:szCs w:val="20"/>
          <w:lang w:val="es-VE"/>
        </w:rPr>
        <w:t>La Comisión advierte que</w:t>
      </w:r>
      <w:r w:rsidR="008F2A92" w:rsidRPr="00A72CCE">
        <w:rPr>
          <w:rFonts w:ascii="Cambria" w:hAnsi="Cambria"/>
          <w:sz w:val="20"/>
          <w:szCs w:val="20"/>
          <w:lang w:val="es-VE"/>
        </w:rPr>
        <w:t xml:space="preserve"> al evaluar la solicitud de excarcelación del señor Jenkins</w:t>
      </w:r>
      <w:r w:rsidR="001E2374">
        <w:rPr>
          <w:rFonts w:ascii="Cambria" w:hAnsi="Cambria"/>
          <w:sz w:val="20"/>
          <w:szCs w:val="20"/>
          <w:lang w:val="es-VE"/>
        </w:rPr>
        <w:t>,</w:t>
      </w:r>
      <w:r w:rsidR="008F2A92" w:rsidRPr="00A72CCE">
        <w:rPr>
          <w:rFonts w:ascii="Cambria" w:hAnsi="Cambria"/>
          <w:sz w:val="20"/>
          <w:szCs w:val="20"/>
          <w:lang w:val="es-VE"/>
        </w:rPr>
        <w:t xml:space="preserve"> l</w:t>
      </w:r>
      <w:r w:rsidRPr="00A72CCE">
        <w:rPr>
          <w:rFonts w:ascii="Cambria" w:hAnsi="Cambria"/>
          <w:sz w:val="20"/>
          <w:szCs w:val="20"/>
          <w:lang w:val="es-VE"/>
        </w:rPr>
        <w:t>as autoridades judiciales que</w:t>
      </w:r>
      <w:r w:rsidR="008F2A92" w:rsidRPr="00A72CCE">
        <w:rPr>
          <w:rFonts w:ascii="Cambria" w:hAnsi="Cambria"/>
          <w:sz w:val="20"/>
          <w:szCs w:val="20"/>
          <w:lang w:val="es-VE"/>
        </w:rPr>
        <w:t xml:space="preserve"> negaron los recursos citados en el párrafo precedente,</w:t>
      </w:r>
      <w:r w:rsidRPr="00A72CCE">
        <w:rPr>
          <w:rFonts w:ascii="Cambria" w:hAnsi="Cambria"/>
          <w:sz w:val="20"/>
          <w:szCs w:val="20"/>
          <w:lang w:val="es-VE"/>
        </w:rPr>
        <w:t xml:space="preserve"> </w:t>
      </w:r>
      <w:r w:rsidR="008F2A92" w:rsidRPr="00A72CCE">
        <w:rPr>
          <w:rFonts w:ascii="Cambria" w:hAnsi="Cambria"/>
          <w:sz w:val="20"/>
          <w:szCs w:val="20"/>
          <w:lang w:val="es-VE"/>
        </w:rPr>
        <w:t xml:space="preserve">lo hicieron </w:t>
      </w:r>
      <w:r w:rsidRPr="00A72CCE">
        <w:rPr>
          <w:rFonts w:ascii="Cambria" w:hAnsi="Cambria"/>
          <w:sz w:val="20"/>
          <w:szCs w:val="20"/>
          <w:lang w:val="es-VE"/>
        </w:rPr>
        <w:t>basándose exclusivamente en la naturaleza del delito o la gravedad de la pena atribuida a los delitos por los que fue procesada la presunta víctima, sin analizar ni justificar si se cumplían los fines procesales que están llamados a verificar de conformidad con</w:t>
      </w:r>
      <w:r w:rsidR="007A37BF" w:rsidRPr="00A72CCE">
        <w:rPr>
          <w:rFonts w:ascii="Cambria" w:hAnsi="Cambria"/>
          <w:sz w:val="20"/>
          <w:szCs w:val="20"/>
          <w:lang w:val="es-VE"/>
        </w:rPr>
        <w:t xml:space="preserve"> sus obligaciones bajo </w:t>
      </w:r>
      <w:r w:rsidRPr="00A72CCE">
        <w:rPr>
          <w:rFonts w:ascii="Cambria" w:hAnsi="Cambria"/>
          <w:sz w:val="20"/>
          <w:szCs w:val="20"/>
          <w:lang w:val="es-VE"/>
        </w:rPr>
        <w:t>la Convención Americana</w:t>
      </w:r>
      <w:r w:rsidR="007A37BF" w:rsidRPr="00A72CCE">
        <w:rPr>
          <w:rFonts w:ascii="Cambria" w:hAnsi="Cambria"/>
          <w:sz w:val="20"/>
          <w:szCs w:val="20"/>
          <w:lang w:val="es-VE"/>
        </w:rPr>
        <w:t>. En ese sentido, las autoridades judiciales se limitaron a validar la prohibición de excarcelación establecida en la ley</w:t>
      </w:r>
      <w:r w:rsidR="00A72CCE" w:rsidRPr="00A72CCE">
        <w:rPr>
          <w:rFonts w:ascii="Cambria" w:hAnsi="Cambria"/>
          <w:sz w:val="20"/>
          <w:szCs w:val="20"/>
          <w:lang w:val="es-VE"/>
        </w:rPr>
        <w:t xml:space="preserve"> para el delito de tráfico de estupefaciente,</w:t>
      </w:r>
      <w:r w:rsidR="007A37BF" w:rsidRPr="00A72CCE">
        <w:rPr>
          <w:rFonts w:ascii="Cambria" w:hAnsi="Cambria"/>
          <w:sz w:val="20"/>
          <w:szCs w:val="20"/>
          <w:lang w:val="es-VE"/>
        </w:rPr>
        <w:t xml:space="preserve"> sin efectuar un análisis </w:t>
      </w:r>
      <w:r w:rsidR="00A72CCE">
        <w:rPr>
          <w:rFonts w:ascii="Cambria" w:hAnsi="Cambria"/>
          <w:sz w:val="20"/>
          <w:szCs w:val="20"/>
          <w:lang w:val="es-VE"/>
        </w:rPr>
        <w:t xml:space="preserve">de convencionalidad de la misma. </w:t>
      </w:r>
    </w:p>
    <w:p w:rsidR="00BF68CF" w:rsidRDefault="00BF68CF" w:rsidP="00BF68CF">
      <w:pPr>
        <w:pStyle w:val="ListParagraph"/>
        <w:rPr>
          <w:sz w:val="20"/>
          <w:szCs w:val="20"/>
          <w:lang w:val="es-VE"/>
        </w:rPr>
      </w:pPr>
    </w:p>
    <w:p w:rsidR="00673049" w:rsidRPr="00621D0A" w:rsidRDefault="00A72CCE" w:rsidP="0067304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
        </w:rPr>
      </w:pPr>
      <w:r w:rsidRPr="00621D0A">
        <w:rPr>
          <w:rFonts w:ascii="Cambria" w:hAnsi="Cambria"/>
          <w:sz w:val="20"/>
          <w:szCs w:val="20"/>
          <w:lang w:val="es-VE"/>
        </w:rPr>
        <w:t>En suma, los recursos judiciales interpuestos no posibilitaron una revisión sin demora y efectiva tanto de la motivación como de la duración de la detención preventiva</w:t>
      </w:r>
      <w:r w:rsidR="005F3FA3" w:rsidRPr="00621D0A">
        <w:rPr>
          <w:rFonts w:ascii="Cambria" w:hAnsi="Cambria"/>
          <w:sz w:val="20"/>
          <w:szCs w:val="20"/>
          <w:lang w:val="es-VE"/>
        </w:rPr>
        <w:t xml:space="preserve"> a la luz de los est</w:t>
      </w:r>
      <w:r w:rsidR="00BF68CF" w:rsidRPr="00621D0A">
        <w:rPr>
          <w:rFonts w:ascii="Cambria" w:hAnsi="Cambria"/>
          <w:sz w:val="20"/>
          <w:szCs w:val="20"/>
          <w:lang w:val="es-VE"/>
        </w:rPr>
        <w:t xml:space="preserve">ándares descritos, lo que resultó en una violación de los artículos 7.6 y 25.1 de la Convención Americana. </w:t>
      </w:r>
    </w:p>
    <w:p w:rsidR="00621D0A" w:rsidRDefault="00621D0A" w:rsidP="00621D0A">
      <w:pPr>
        <w:pStyle w:val="ListParagraph"/>
        <w:rPr>
          <w:sz w:val="20"/>
          <w:szCs w:val="20"/>
          <w:lang w:val="es-ES"/>
        </w:rPr>
      </w:pPr>
    </w:p>
    <w:p w:rsidR="00621D0A" w:rsidRPr="00621D0A" w:rsidRDefault="00621D0A" w:rsidP="0067304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es-ES"/>
        </w:rPr>
      </w:pPr>
      <w:r>
        <w:rPr>
          <w:rFonts w:ascii="Cambria" w:hAnsi="Cambria"/>
          <w:sz w:val="20"/>
          <w:szCs w:val="20"/>
          <w:lang w:val="es-ES"/>
        </w:rPr>
        <w:t xml:space="preserve">En virtud de todas las consideraciones vertidas en la presente sección la Comisión Interamericana concluye que el Estado de Argentina es responsable por la violación de los derechos establecidos en los artículos 7.1, 7.3, 7.5, 7.6, </w:t>
      </w:r>
      <w:r w:rsidR="002D4F17">
        <w:rPr>
          <w:rFonts w:ascii="Cambria" w:hAnsi="Cambria"/>
          <w:sz w:val="20"/>
          <w:szCs w:val="20"/>
          <w:lang w:val="es-ES"/>
        </w:rPr>
        <w:t xml:space="preserve">8.1, </w:t>
      </w:r>
      <w:r>
        <w:rPr>
          <w:rFonts w:ascii="Cambria" w:hAnsi="Cambria"/>
          <w:sz w:val="20"/>
          <w:szCs w:val="20"/>
          <w:lang w:val="es-ES"/>
        </w:rPr>
        <w:t xml:space="preserve">8.2 y 25 de la Convención Americana en relación con las obligaciones establecidas en el artículo 1.1 del mismo instrumento, en perjuicio del señor Gabriel </w:t>
      </w:r>
      <w:r w:rsidR="00796C37">
        <w:rPr>
          <w:rFonts w:ascii="Cambria" w:hAnsi="Cambria"/>
          <w:sz w:val="20"/>
          <w:szCs w:val="20"/>
          <w:lang w:val="es-ES"/>
        </w:rPr>
        <w:t xml:space="preserve">Oscar Jenkins. </w:t>
      </w:r>
      <w:r w:rsidR="00C96456">
        <w:rPr>
          <w:rFonts w:ascii="Cambria" w:hAnsi="Cambria"/>
          <w:sz w:val="20"/>
          <w:szCs w:val="20"/>
          <w:lang w:val="es-ES"/>
        </w:rPr>
        <w:t xml:space="preserve">Asimismo, tomando en cuenta que estas violaciones tuvieron lugar como consecuencia de la aplicación del artículo 10 de la Ley </w:t>
      </w:r>
      <w:r w:rsidR="009A6195">
        <w:rPr>
          <w:rFonts w:ascii="Cambria" w:hAnsi="Cambria"/>
          <w:sz w:val="20"/>
          <w:szCs w:val="20"/>
          <w:lang w:val="es-ES"/>
        </w:rPr>
        <w:t xml:space="preserve">24.390, la Comisión considera que el Estado también es responsable por la violación del artículo 2 de la Convención. </w:t>
      </w:r>
    </w:p>
    <w:p w:rsidR="00F9023E" w:rsidRPr="0056708D" w:rsidRDefault="00F9023E" w:rsidP="0056708D">
      <w:pPr>
        <w:tabs>
          <w:tab w:val="left" w:pos="3763"/>
        </w:tabs>
        <w:rPr>
          <w:rFonts w:asciiTheme="majorHAnsi" w:hAnsiTheme="majorHAnsi"/>
          <w:sz w:val="20"/>
          <w:szCs w:val="20"/>
          <w:lang w:val="es-AR"/>
        </w:rPr>
      </w:pPr>
    </w:p>
    <w:p w:rsidR="00E03501" w:rsidRPr="00B56CF7" w:rsidRDefault="00226703" w:rsidP="00EE24AD">
      <w:pPr>
        <w:pStyle w:val="Heading2"/>
        <w:numPr>
          <w:ilvl w:val="0"/>
          <w:numId w:val="64"/>
        </w:numPr>
        <w:rPr>
          <w:lang w:val="es-ES" w:eastAsia="es-ES"/>
        </w:rPr>
      </w:pPr>
      <w:bookmarkStart w:id="74" w:name="_Toc467577917"/>
      <w:bookmarkStart w:id="75" w:name="_Toc469409100"/>
      <w:r>
        <w:rPr>
          <w:lang w:val="es-ES" w:eastAsia="es-ES"/>
        </w:rPr>
        <w:t>El derecho a la libertad personal y e</w:t>
      </w:r>
      <w:r w:rsidR="00B318E3" w:rsidRPr="00B56CF7">
        <w:rPr>
          <w:lang w:val="es-ES" w:eastAsia="es-ES"/>
        </w:rPr>
        <w:t xml:space="preserve">l derecho </w:t>
      </w:r>
      <w:r w:rsidR="002A56D7" w:rsidRPr="00B56CF7">
        <w:rPr>
          <w:lang w:val="es-ES" w:eastAsia="es-ES"/>
        </w:rPr>
        <w:t>de igualdad ante la ley en relación con el deber de adoptar disposiciones de de</w:t>
      </w:r>
      <w:r w:rsidR="008B77CB" w:rsidRPr="00B56CF7">
        <w:rPr>
          <w:lang w:val="es-ES" w:eastAsia="es-ES"/>
        </w:rPr>
        <w:t xml:space="preserve">recho interno (Artículos </w:t>
      </w:r>
      <w:r w:rsidR="00DE0DF1">
        <w:rPr>
          <w:lang w:val="es-ES" w:eastAsia="es-ES"/>
        </w:rPr>
        <w:t xml:space="preserve">7, </w:t>
      </w:r>
      <w:r w:rsidR="008B77CB" w:rsidRPr="00B56CF7">
        <w:rPr>
          <w:lang w:val="es-ES" w:eastAsia="es-ES"/>
        </w:rPr>
        <w:t>24</w:t>
      </w:r>
      <w:r w:rsidR="00AB057F">
        <w:rPr>
          <w:lang w:val="es-ES" w:eastAsia="es-ES"/>
        </w:rPr>
        <w:t>, 1.1</w:t>
      </w:r>
      <w:r w:rsidR="008B77CB" w:rsidRPr="00B56CF7">
        <w:rPr>
          <w:lang w:val="es-ES" w:eastAsia="es-ES"/>
        </w:rPr>
        <w:t xml:space="preserve"> </w:t>
      </w:r>
      <w:r w:rsidR="002A56D7" w:rsidRPr="00B56CF7">
        <w:rPr>
          <w:lang w:val="es-ES" w:eastAsia="es-ES"/>
        </w:rPr>
        <w:t>y 2 de la Convención Americana)</w:t>
      </w:r>
      <w:bookmarkEnd w:id="74"/>
      <w:bookmarkEnd w:id="75"/>
      <w:r w:rsidR="002A56D7" w:rsidRPr="00B56CF7">
        <w:rPr>
          <w:lang w:val="es-ES" w:eastAsia="es-ES"/>
        </w:rPr>
        <w:t xml:space="preserve"> </w:t>
      </w:r>
    </w:p>
    <w:p w:rsidR="00D873CB" w:rsidRPr="009B2ECC" w:rsidRDefault="00D873CB" w:rsidP="00381110">
      <w:pPr>
        <w:rPr>
          <w:rFonts w:asciiTheme="majorHAnsi" w:hAnsiTheme="majorHAnsi"/>
          <w:sz w:val="20"/>
          <w:szCs w:val="20"/>
          <w:lang w:val="es-ES"/>
        </w:rPr>
      </w:pPr>
    </w:p>
    <w:p w:rsidR="003816B3" w:rsidRPr="00542560" w:rsidRDefault="00297587" w:rsidP="0054256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Pr>
          <w:rFonts w:asciiTheme="majorHAnsi" w:hAnsiTheme="majorHAnsi"/>
          <w:sz w:val="20"/>
          <w:szCs w:val="20"/>
          <w:lang w:val="es-VE"/>
        </w:rPr>
        <w:t>Las secciones relevantes de</w:t>
      </w:r>
      <w:r w:rsidR="00F759DA">
        <w:rPr>
          <w:rFonts w:asciiTheme="majorHAnsi" w:hAnsiTheme="majorHAnsi"/>
          <w:sz w:val="20"/>
          <w:szCs w:val="20"/>
          <w:lang w:val="es-VE"/>
        </w:rPr>
        <w:t xml:space="preserve"> los </w:t>
      </w:r>
      <w:r>
        <w:rPr>
          <w:rFonts w:asciiTheme="majorHAnsi" w:hAnsiTheme="majorHAnsi"/>
          <w:sz w:val="20"/>
          <w:szCs w:val="20"/>
          <w:lang w:val="es-VE"/>
        </w:rPr>
        <w:t>artículo</w:t>
      </w:r>
      <w:r w:rsidR="00F759DA">
        <w:rPr>
          <w:rFonts w:asciiTheme="majorHAnsi" w:hAnsiTheme="majorHAnsi"/>
          <w:sz w:val="20"/>
          <w:szCs w:val="20"/>
          <w:lang w:val="es-VE"/>
        </w:rPr>
        <w:t>s</w:t>
      </w:r>
      <w:r>
        <w:rPr>
          <w:rFonts w:asciiTheme="majorHAnsi" w:hAnsiTheme="majorHAnsi"/>
          <w:sz w:val="20"/>
          <w:szCs w:val="20"/>
          <w:lang w:val="es-VE"/>
        </w:rPr>
        <w:t xml:space="preserve"> 7</w:t>
      </w:r>
      <w:r w:rsidR="00F759DA">
        <w:rPr>
          <w:rFonts w:asciiTheme="majorHAnsi" w:hAnsiTheme="majorHAnsi"/>
          <w:sz w:val="20"/>
          <w:szCs w:val="20"/>
          <w:lang w:val="es-VE"/>
        </w:rPr>
        <w:t xml:space="preserve"> y 2</w:t>
      </w:r>
      <w:r>
        <w:rPr>
          <w:rFonts w:asciiTheme="majorHAnsi" w:hAnsiTheme="majorHAnsi"/>
          <w:sz w:val="20"/>
          <w:szCs w:val="20"/>
          <w:lang w:val="es-VE"/>
        </w:rPr>
        <w:t xml:space="preserve"> de la Convención Americana ya fueron transcritas </w:t>
      </w:r>
      <w:r w:rsidR="0047491C" w:rsidRPr="0047491C">
        <w:rPr>
          <w:rFonts w:asciiTheme="majorHAnsi" w:hAnsiTheme="majorHAnsi"/>
          <w:sz w:val="20"/>
          <w:szCs w:val="20"/>
          <w:lang w:val="es-VE"/>
        </w:rPr>
        <w:t>anteriormente</w:t>
      </w:r>
      <w:r w:rsidRPr="0047491C">
        <w:rPr>
          <w:rFonts w:asciiTheme="majorHAnsi" w:hAnsiTheme="majorHAnsi"/>
          <w:sz w:val="20"/>
          <w:szCs w:val="20"/>
          <w:lang w:val="es-VE"/>
        </w:rPr>
        <w:t>.</w:t>
      </w:r>
      <w:r>
        <w:rPr>
          <w:rFonts w:asciiTheme="majorHAnsi" w:hAnsiTheme="majorHAnsi"/>
          <w:sz w:val="20"/>
          <w:szCs w:val="20"/>
          <w:lang w:val="es-VE"/>
        </w:rPr>
        <w:t xml:space="preserve"> </w:t>
      </w:r>
    </w:p>
    <w:p w:rsidR="00A23FFF" w:rsidRDefault="00A23FFF" w:rsidP="00A23FF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VE"/>
        </w:rPr>
        <w:lastRenderedPageBreak/>
        <w:t>El artículo 24 de la Convención establece</w:t>
      </w:r>
      <w:r w:rsidR="003816B3">
        <w:rPr>
          <w:rFonts w:asciiTheme="majorHAnsi" w:hAnsiTheme="majorHAnsi"/>
          <w:sz w:val="20"/>
          <w:szCs w:val="20"/>
          <w:lang w:val="es-VE"/>
        </w:rPr>
        <w:t xml:space="preserve"> que</w:t>
      </w:r>
      <w:r w:rsidRPr="00B56CF7">
        <w:rPr>
          <w:rFonts w:asciiTheme="majorHAnsi" w:hAnsiTheme="majorHAnsi"/>
          <w:sz w:val="20"/>
          <w:szCs w:val="20"/>
          <w:lang w:val="es-VE"/>
        </w:rPr>
        <w:t xml:space="preserve"> “todas las personas son iguales ante la ley. En consecuencia, tienen derecho, sin discriminación, a igual protección de la ley”. </w:t>
      </w:r>
    </w:p>
    <w:p w:rsidR="009B2ECC" w:rsidRDefault="009B2ECC" w:rsidP="009B2ECC">
      <w:pPr>
        <w:pStyle w:val="ListParagraph"/>
        <w:rPr>
          <w:rFonts w:asciiTheme="majorHAnsi" w:hAnsiTheme="majorHAnsi"/>
          <w:sz w:val="20"/>
          <w:szCs w:val="20"/>
          <w:lang w:val="es-VE"/>
        </w:rPr>
      </w:pPr>
    </w:p>
    <w:p w:rsidR="009B2ECC" w:rsidRPr="00B56CF7" w:rsidRDefault="009B2ECC" w:rsidP="00A23FF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Pr>
          <w:rFonts w:asciiTheme="majorHAnsi" w:hAnsiTheme="majorHAnsi"/>
          <w:sz w:val="20"/>
          <w:szCs w:val="20"/>
          <w:lang w:val="es-VE"/>
        </w:rPr>
        <w:t>En la sección anterior la Comisión ya se pronunció sobre las violaciones al artículo 7 de la Convención Americana como consecuencia de la restricción indebida del derecho a la libertad personal en aplicación del artículo 10 de la Ley 24.390.</w:t>
      </w:r>
      <w:r w:rsidR="00F561E3">
        <w:rPr>
          <w:rFonts w:asciiTheme="majorHAnsi" w:hAnsiTheme="majorHAnsi"/>
          <w:sz w:val="20"/>
          <w:szCs w:val="20"/>
          <w:lang w:val="es-VE"/>
        </w:rPr>
        <w:t xml:space="preserve"> En esta sección la Comisión analizará si, además de dichas violaciones, el señor Jenkins fue víctima de una diferencia de trato incompatible con la Convención Americana</w:t>
      </w:r>
      <w:r w:rsidR="00C3799D">
        <w:rPr>
          <w:rFonts w:asciiTheme="majorHAnsi" w:hAnsiTheme="majorHAnsi"/>
          <w:sz w:val="20"/>
          <w:szCs w:val="20"/>
          <w:lang w:val="es-VE"/>
        </w:rPr>
        <w:t xml:space="preserve">. </w:t>
      </w:r>
      <w:r w:rsidR="00F561E3">
        <w:rPr>
          <w:rFonts w:asciiTheme="majorHAnsi" w:hAnsiTheme="majorHAnsi"/>
          <w:sz w:val="20"/>
          <w:szCs w:val="20"/>
          <w:lang w:val="es-VE"/>
        </w:rPr>
        <w:t xml:space="preserve"> </w:t>
      </w:r>
    </w:p>
    <w:p w:rsidR="00A23FFF" w:rsidRPr="00B56CF7" w:rsidRDefault="00A23FFF" w:rsidP="00A23FFF">
      <w:pPr>
        <w:pStyle w:val="ListParagraph"/>
        <w:rPr>
          <w:rFonts w:asciiTheme="majorHAnsi" w:hAnsiTheme="majorHAnsi"/>
          <w:sz w:val="20"/>
          <w:szCs w:val="20"/>
          <w:lang w:val="es-VE"/>
        </w:rPr>
      </w:pPr>
    </w:p>
    <w:p w:rsidR="0048200A" w:rsidRDefault="00B90E72" w:rsidP="00FB713A">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color w:val="000000"/>
          <w:sz w:val="20"/>
          <w:szCs w:val="20"/>
          <w:lang w:val="es-VE"/>
        </w:rPr>
      </w:pPr>
      <w:r w:rsidRPr="00B56CF7">
        <w:rPr>
          <w:rFonts w:asciiTheme="majorHAnsi" w:eastAsia="Times New Roman" w:hAnsiTheme="majorHAnsi"/>
          <w:sz w:val="20"/>
          <w:szCs w:val="20"/>
          <w:lang w:val="es-ES"/>
        </w:rPr>
        <w:t>La Comisión recuerda que según la jurisprudencia del sistema interamericano,</w:t>
      </w:r>
      <w:r w:rsidRPr="00B56CF7">
        <w:rPr>
          <w:rFonts w:asciiTheme="majorHAnsi" w:hAnsiTheme="majorHAnsi"/>
          <w:color w:val="000000"/>
          <w:sz w:val="20"/>
          <w:szCs w:val="20"/>
          <w:lang w:val="es-VE"/>
        </w:rPr>
        <w:t xml:space="preserve"> “no toda distinción de trato puede considerarse ofensiva, por sí misma”, sino solo aquella distinción que “carece de justificación objetiva y razonable”</w:t>
      </w:r>
      <w:r w:rsidRPr="00B56CF7">
        <w:rPr>
          <w:rFonts w:asciiTheme="majorHAnsi" w:hAnsiTheme="majorHAnsi"/>
          <w:color w:val="000000"/>
          <w:sz w:val="20"/>
          <w:szCs w:val="20"/>
          <w:vertAlign w:val="superscript"/>
          <w:lang w:val="es-VE"/>
        </w:rPr>
        <w:footnoteReference w:id="81"/>
      </w:r>
      <w:r w:rsidRPr="00B56CF7">
        <w:rPr>
          <w:rFonts w:asciiTheme="majorHAnsi" w:hAnsiTheme="majorHAnsi"/>
          <w:color w:val="000000"/>
          <w:sz w:val="20"/>
          <w:szCs w:val="20"/>
          <w:lang w:val="es-VE"/>
        </w:rPr>
        <w:t xml:space="preserve">. </w:t>
      </w:r>
      <w:r w:rsidR="0048200A">
        <w:rPr>
          <w:rFonts w:asciiTheme="majorHAnsi" w:hAnsiTheme="majorHAnsi"/>
          <w:color w:val="000000"/>
          <w:sz w:val="20"/>
          <w:szCs w:val="20"/>
          <w:lang w:val="es-VE"/>
        </w:rPr>
        <w:t xml:space="preserve">A fin de </w:t>
      </w:r>
      <w:r w:rsidR="0048200A" w:rsidRPr="00B56CF7">
        <w:rPr>
          <w:rFonts w:asciiTheme="majorHAnsi" w:hAnsiTheme="majorHAnsi"/>
          <w:color w:val="000000"/>
          <w:sz w:val="20"/>
          <w:szCs w:val="20"/>
          <w:lang w:val="es-VE"/>
        </w:rPr>
        <w:t xml:space="preserve">determinar </w:t>
      </w:r>
      <w:r w:rsidR="0048200A" w:rsidRPr="00B56CF7">
        <w:rPr>
          <w:rFonts w:asciiTheme="majorHAnsi" w:hAnsiTheme="majorHAnsi"/>
          <w:sz w:val="20"/>
          <w:szCs w:val="20"/>
          <w:lang w:val="es-ES_tradnl"/>
        </w:rPr>
        <w:t>si una distinción es “objetiva y razonable”</w:t>
      </w:r>
      <w:r w:rsidR="00FC045D">
        <w:rPr>
          <w:rFonts w:asciiTheme="majorHAnsi" w:hAnsiTheme="majorHAnsi"/>
          <w:sz w:val="20"/>
          <w:szCs w:val="20"/>
          <w:lang w:val="es-ES_tradnl"/>
        </w:rPr>
        <w:t>, así como si la restricción en el ejercicio de un derecho resulta convencionalmente aceptable,</w:t>
      </w:r>
      <w:r w:rsidR="0048200A" w:rsidRPr="00B56CF7">
        <w:rPr>
          <w:rFonts w:asciiTheme="majorHAnsi" w:hAnsiTheme="majorHAnsi"/>
          <w:sz w:val="20"/>
          <w:szCs w:val="20"/>
          <w:lang w:val="es-ES_tradnl"/>
        </w:rPr>
        <w:t xml:space="preserve"> tanto la Comisión </w:t>
      </w:r>
      <w:r w:rsidR="008254E1">
        <w:rPr>
          <w:rFonts w:asciiTheme="majorHAnsi" w:hAnsiTheme="majorHAnsi"/>
          <w:sz w:val="20"/>
          <w:szCs w:val="20"/>
          <w:lang w:val="es-ES_tradnl"/>
        </w:rPr>
        <w:t>como</w:t>
      </w:r>
      <w:r w:rsidR="0048200A" w:rsidRPr="00B56CF7">
        <w:rPr>
          <w:rFonts w:asciiTheme="majorHAnsi" w:hAnsiTheme="majorHAnsi"/>
          <w:sz w:val="20"/>
          <w:szCs w:val="20"/>
          <w:lang w:val="es-ES_tradnl"/>
        </w:rPr>
        <w:t xml:space="preserve"> la Corte</w:t>
      </w:r>
      <w:r w:rsidR="00320269">
        <w:rPr>
          <w:rFonts w:asciiTheme="majorHAnsi" w:hAnsiTheme="majorHAnsi"/>
          <w:sz w:val="20"/>
          <w:szCs w:val="20"/>
          <w:lang w:val="es-ES_tradnl"/>
        </w:rPr>
        <w:t xml:space="preserve"> </w:t>
      </w:r>
      <w:r w:rsidR="0048200A" w:rsidRPr="00B56CF7">
        <w:rPr>
          <w:rFonts w:asciiTheme="majorHAnsi" w:hAnsiTheme="majorHAnsi"/>
          <w:sz w:val="20"/>
          <w:szCs w:val="20"/>
          <w:lang w:val="es-ES_tradnl"/>
        </w:rPr>
        <w:t xml:space="preserve">han acudido </w:t>
      </w:r>
      <w:r w:rsidR="00E5716B">
        <w:rPr>
          <w:rFonts w:asciiTheme="majorHAnsi" w:hAnsiTheme="majorHAnsi"/>
          <w:sz w:val="20"/>
          <w:szCs w:val="20"/>
          <w:lang w:val="es-ES_tradnl"/>
        </w:rPr>
        <w:t xml:space="preserve">a un </w:t>
      </w:r>
      <w:r w:rsidR="0048200A" w:rsidRPr="00B56CF7">
        <w:rPr>
          <w:rFonts w:asciiTheme="majorHAnsi" w:hAnsiTheme="majorHAnsi"/>
          <w:sz w:val="20"/>
          <w:szCs w:val="20"/>
          <w:lang w:val="es-ES_tradnl"/>
        </w:rPr>
        <w:t>juicio escalonado de proporcionalidad que incluye los siguientes elementos: (i) la existencia de un fin legítimo; (ii) la idoneidad, es decir la determinación de si existe una relación lógica de causalidad de medio a fin entre la distinción y el fin que se persigue; (iii) la necesidad, esto es, la determinación de si existen alternativas menos restrictivas e igualmente idóneas; y (iv) la proporcionalidad en sentido estricto, es decir, el balance de los interés en juego y el grado de sacrificio de uno respecto del otro</w:t>
      </w:r>
      <w:r w:rsidR="0048200A" w:rsidRPr="00B56CF7">
        <w:rPr>
          <w:rStyle w:val="FootnoteReference"/>
          <w:rFonts w:asciiTheme="majorHAnsi" w:hAnsiTheme="majorHAnsi"/>
          <w:sz w:val="20"/>
          <w:szCs w:val="20"/>
          <w:lang w:val="es-ES_tradnl"/>
        </w:rPr>
        <w:footnoteReference w:id="82"/>
      </w:r>
      <w:r w:rsidR="0048200A" w:rsidRPr="00B56CF7">
        <w:rPr>
          <w:rFonts w:asciiTheme="majorHAnsi" w:hAnsiTheme="majorHAnsi"/>
          <w:sz w:val="20"/>
          <w:szCs w:val="20"/>
          <w:lang w:val="es-ES_tradnl"/>
        </w:rPr>
        <w:t>.</w:t>
      </w:r>
    </w:p>
    <w:p w:rsidR="0048200A" w:rsidRDefault="0048200A" w:rsidP="0048200A">
      <w:pPr>
        <w:pStyle w:val="ListParagraph"/>
        <w:rPr>
          <w:rFonts w:asciiTheme="majorHAnsi" w:hAnsiTheme="majorHAnsi"/>
          <w:sz w:val="20"/>
          <w:szCs w:val="20"/>
          <w:lang w:val="es-VE"/>
        </w:rPr>
      </w:pPr>
    </w:p>
    <w:p w:rsidR="00A50603" w:rsidRDefault="00A50603" w:rsidP="00A5060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lang w:val="es-ES"/>
        </w:rPr>
      </w:pPr>
      <w:r w:rsidRPr="00B56CF7">
        <w:rPr>
          <w:rFonts w:asciiTheme="majorHAnsi" w:eastAsia="Times New Roman" w:hAnsiTheme="majorHAnsi"/>
          <w:sz w:val="20"/>
          <w:szCs w:val="20"/>
          <w:lang w:val="es-ES"/>
        </w:rPr>
        <w:t>Tal como se indicó con anterioridad, en el presente caso</w:t>
      </w:r>
      <w:r>
        <w:rPr>
          <w:rFonts w:asciiTheme="majorHAnsi" w:eastAsia="Times New Roman" w:hAnsiTheme="majorHAnsi"/>
          <w:sz w:val="20"/>
          <w:szCs w:val="20"/>
          <w:lang w:val="es-ES"/>
        </w:rPr>
        <w:t xml:space="preserve"> el señor Jenkins estuvo privado de libertad bajo la figura de detención preventiva en aplicación de</w:t>
      </w:r>
      <w:r w:rsidRPr="00B56CF7">
        <w:rPr>
          <w:rFonts w:asciiTheme="majorHAnsi" w:eastAsia="Times New Roman" w:hAnsiTheme="majorHAnsi"/>
          <w:sz w:val="20"/>
          <w:szCs w:val="20"/>
          <w:lang w:val="es-ES"/>
        </w:rPr>
        <w:t xml:space="preserve">l artículo 10 de la ley 24.390 (ley que regulaba los plazos de la prisión preventiva) el cual excluía de la posibilidad de excarcelación mientras durara el proceso, a personas procesadas por delitos relacionados con </w:t>
      </w:r>
      <w:r>
        <w:rPr>
          <w:rFonts w:asciiTheme="majorHAnsi" w:eastAsia="Times New Roman" w:hAnsiTheme="majorHAnsi"/>
          <w:sz w:val="20"/>
          <w:szCs w:val="20"/>
          <w:lang w:val="es-ES"/>
        </w:rPr>
        <w:t xml:space="preserve">el </w:t>
      </w:r>
      <w:r w:rsidRPr="00B56CF7">
        <w:rPr>
          <w:rFonts w:asciiTheme="majorHAnsi" w:eastAsia="Times New Roman" w:hAnsiTheme="majorHAnsi"/>
          <w:sz w:val="20"/>
          <w:szCs w:val="20"/>
          <w:lang w:val="es-ES"/>
        </w:rPr>
        <w:t xml:space="preserve">tráfico de estupefacientes. </w:t>
      </w:r>
    </w:p>
    <w:p w:rsidR="00A50603" w:rsidRPr="00B56CF7" w:rsidRDefault="00A50603" w:rsidP="00A50603">
      <w:pPr>
        <w:rPr>
          <w:rFonts w:asciiTheme="majorHAnsi" w:hAnsiTheme="majorHAnsi"/>
          <w:sz w:val="20"/>
          <w:szCs w:val="20"/>
          <w:lang w:val="es-ES"/>
        </w:rPr>
      </w:pPr>
    </w:p>
    <w:p w:rsidR="00A50603" w:rsidRPr="00B56CF7" w:rsidRDefault="00A50603" w:rsidP="00A5060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lang w:val="es-ES"/>
        </w:rPr>
      </w:pPr>
      <w:r>
        <w:rPr>
          <w:rFonts w:asciiTheme="majorHAnsi" w:eastAsia="Times New Roman" w:hAnsiTheme="majorHAnsi"/>
          <w:sz w:val="20"/>
          <w:szCs w:val="20"/>
          <w:lang w:val="es-ES"/>
        </w:rPr>
        <w:t>En ese sentido, la L</w:t>
      </w:r>
      <w:r w:rsidRPr="00B56CF7">
        <w:rPr>
          <w:rFonts w:asciiTheme="majorHAnsi" w:eastAsia="Times New Roman" w:hAnsiTheme="majorHAnsi"/>
          <w:sz w:val="20"/>
          <w:szCs w:val="20"/>
          <w:lang w:val="es-ES"/>
        </w:rPr>
        <w:t>ey 24.390 efectúa una</w:t>
      </w:r>
      <w:r>
        <w:rPr>
          <w:rFonts w:asciiTheme="majorHAnsi" w:eastAsia="Times New Roman" w:hAnsiTheme="majorHAnsi"/>
          <w:sz w:val="20"/>
          <w:szCs w:val="20"/>
          <w:lang w:val="es-ES"/>
        </w:rPr>
        <w:t xml:space="preserve"> diferencia de trato </w:t>
      </w:r>
      <w:r w:rsidRPr="00B56CF7">
        <w:rPr>
          <w:rFonts w:asciiTheme="majorHAnsi" w:eastAsia="Times New Roman" w:hAnsiTheme="majorHAnsi"/>
          <w:sz w:val="20"/>
          <w:szCs w:val="20"/>
          <w:lang w:val="es-ES"/>
        </w:rPr>
        <w:t>en su aplicación</w:t>
      </w:r>
      <w:r>
        <w:rPr>
          <w:rFonts w:asciiTheme="majorHAnsi" w:eastAsia="Times New Roman" w:hAnsiTheme="majorHAnsi"/>
          <w:sz w:val="20"/>
          <w:szCs w:val="20"/>
          <w:lang w:val="es-ES"/>
        </w:rPr>
        <w:t xml:space="preserve"> – particularmente en la posibilidad de excarcelación durante el proceso –</w:t>
      </w:r>
      <w:r w:rsidRPr="00B56CF7">
        <w:rPr>
          <w:rFonts w:asciiTheme="majorHAnsi" w:eastAsia="Times New Roman" w:hAnsiTheme="majorHAnsi"/>
          <w:sz w:val="20"/>
          <w:szCs w:val="20"/>
          <w:lang w:val="es-ES"/>
        </w:rPr>
        <w:t xml:space="preserve"> entre</w:t>
      </w:r>
      <w:r>
        <w:rPr>
          <w:rFonts w:asciiTheme="majorHAnsi" w:eastAsia="Times New Roman" w:hAnsiTheme="majorHAnsi"/>
          <w:sz w:val="20"/>
          <w:szCs w:val="20"/>
          <w:lang w:val="es-ES"/>
        </w:rPr>
        <w:t xml:space="preserve"> </w:t>
      </w:r>
      <w:r w:rsidRPr="00B56CF7">
        <w:rPr>
          <w:rFonts w:asciiTheme="majorHAnsi" w:eastAsia="Times New Roman" w:hAnsiTheme="majorHAnsi"/>
          <w:sz w:val="20"/>
          <w:szCs w:val="20"/>
          <w:lang w:val="es-ES"/>
        </w:rPr>
        <w:t>aquellas personas que se encuentran procesadas por delitos relacionad</w:t>
      </w:r>
      <w:r>
        <w:rPr>
          <w:rFonts w:asciiTheme="majorHAnsi" w:eastAsia="Times New Roman" w:hAnsiTheme="majorHAnsi"/>
          <w:sz w:val="20"/>
          <w:szCs w:val="20"/>
          <w:lang w:val="es-ES"/>
        </w:rPr>
        <w:t>o</w:t>
      </w:r>
      <w:r w:rsidRPr="00B56CF7">
        <w:rPr>
          <w:rFonts w:asciiTheme="majorHAnsi" w:eastAsia="Times New Roman" w:hAnsiTheme="majorHAnsi"/>
          <w:sz w:val="20"/>
          <w:szCs w:val="20"/>
          <w:lang w:val="es-ES"/>
        </w:rPr>
        <w:t xml:space="preserve">s con </w:t>
      </w:r>
      <w:r>
        <w:rPr>
          <w:rFonts w:asciiTheme="majorHAnsi" w:eastAsia="Times New Roman" w:hAnsiTheme="majorHAnsi"/>
          <w:sz w:val="20"/>
          <w:szCs w:val="20"/>
          <w:lang w:val="es-ES"/>
        </w:rPr>
        <w:t xml:space="preserve">el </w:t>
      </w:r>
      <w:r w:rsidRPr="00B56CF7">
        <w:rPr>
          <w:rFonts w:asciiTheme="majorHAnsi" w:eastAsia="Times New Roman" w:hAnsiTheme="majorHAnsi"/>
          <w:sz w:val="20"/>
          <w:szCs w:val="20"/>
          <w:lang w:val="es-ES"/>
        </w:rPr>
        <w:t>tráfico de estupefacientes y aquellas</w:t>
      </w:r>
      <w:r>
        <w:rPr>
          <w:rFonts w:asciiTheme="majorHAnsi" w:eastAsia="Times New Roman" w:hAnsiTheme="majorHAnsi"/>
          <w:sz w:val="20"/>
          <w:szCs w:val="20"/>
          <w:lang w:val="es-ES"/>
        </w:rPr>
        <w:t xml:space="preserve"> procesadas por otros delitos. Asimismo, dicha diferencia de trato implicó la restricción al derecho a la libertad personal del señor Jenkins ya analizada en la sección anterior. </w:t>
      </w:r>
    </w:p>
    <w:p w:rsidR="00A50603" w:rsidRDefault="00A50603" w:rsidP="0048200A">
      <w:pPr>
        <w:pStyle w:val="ListParagraph"/>
        <w:rPr>
          <w:rFonts w:asciiTheme="majorHAnsi" w:hAnsiTheme="majorHAnsi"/>
          <w:sz w:val="20"/>
          <w:szCs w:val="20"/>
          <w:lang w:val="es-VE"/>
        </w:rPr>
      </w:pPr>
    </w:p>
    <w:p w:rsidR="007B4D53" w:rsidRPr="00B56CF7" w:rsidRDefault="007B4D53" w:rsidP="007B4D53">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eastAsia="Times New Roman" w:hAnsiTheme="majorHAnsi"/>
          <w:sz w:val="20"/>
          <w:szCs w:val="20"/>
          <w:lang w:val="es-ES"/>
        </w:rPr>
      </w:pPr>
      <w:r>
        <w:rPr>
          <w:rFonts w:asciiTheme="majorHAnsi" w:eastAsia="Times New Roman" w:hAnsiTheme="majorHAnsi"/>
          <w:sz w:val="20"/>
          <w:szCs w:val="20"/>
          <w:lang w:val="es-ES"/>
        </w:rPr>
        <w:t>E</w:t>
      </w:r>
      <w:r w:rsidRPr="00B56CF7">
        <w:rPr>
          <w:rFonts w:asciiTheme="majorHAnsi" w:eastAsia="Times New Roman" w:hAnsiTheme="majorHAnsi"/>
          <w:sz w:val="20"/>
          <w:szCs w:val="20"/>
          <w:lang w:val="es-ES"/>
        </w:rPr>
        <w:t xml:space="preserve">l Estado no negó la </w:t>
      </w:r>
      <w:r>
        <w:rPr>
          <w:rFonts w:asciiTheme="majorHAnsi" w:eastAsia="Times New Roman" w:hAnsiTheme="majorHAnsi"/>
          <w:sz w:val="20"/>
          <w:szCs w:val="20"/>
          <w:lang w:val="es-ES"/>
        </w:rPr>
        <w:t xml:space="preserve">diferencia de </w:t>
      </w:r>
      <w:r w:rsidRPr="00B56CF7">
        <w:rPr>
          <w:rFonts w:asciiTheme="majorHAnsi" w:eastAsia="Times New Roman" w:hAnsiTheme="majorHAnsi"/>
          <w:sz w:val="20"/>
          <w:szCs w:val="20"/>
          <w:lang w:val="es-ES"/>
        </w:rPr>
        <w:t>trato, sino que</w:t>
      </w:r>
      <w:r>
        <w:rPr>
          <w:rFonts w:asciiTheme="majorHAnsi" w:eastAsia="Times New Roman" w:hAnsiTheme="majorHAnsi"/>
          <w:sz w:val="20"/>
          <w:szCs w:val="20"/>
          <w:lang w:val="es-ES"/>
        </w:rPr>
        <w:t xml:space="preserve"> pretendió justificarla argumentando que la ley “</w:t>
      </w:r>
      <w:r w:rsidRPr="00B56CF7">
        <w:rPr>
          <w:rFonts w:asciiTheme="majorHAnsi" w:eastAsia="Times New Roman" w:hAnsiTheme="majorHAnsi"/>
          <w:sz w:val="20"/>
          <w:szCs w:val="20"/>
          <w:lang w:val="es-ES"/>
        </w:rPr>
        <w:t xml:space="preserve">niega el beneficio de excarcelación a las personas acusadas de narcotráfico, en consonancia con los compromisos internacionales asumidos por la República Argentina respecto del flagelo del tráfico de drogas y la delincuencia organizada, los cuales requieren ser armonizados con las disposiciones del derecho interno”. </w:t>
      </w:r>
    </w:p>
    <w:p w:rsidR="007B4D53" w:rsidRPr="00363FBD" w:rsidRDefault="007B4D53" w:rsidP="00FC1F8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olor w:val="000000"/>
          <w:sz w:val="20"/>
          <w:szCs w:val="20"/>
          <w:lang w:val="es-ES"/>
        </w:rPr>
      </w:pPr>
    </w:p>
    <w:p w:rsidR="0061044D" w:rsidRPr="00B56CF7" w:rsidRDefault="00B1360F" w:rsidP="003905D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color w:val="000000"/>
          <w:sz w:val="20"/>
          <w:szCs w:val="20"/>
          <w:lang w:val="es-VE"/>
        </w:rPr>
      </w:pPr>
      <w:r>
        <w:rPr>
          <w:rFonts w:asciiTheme="majorHAnsi" w:hAnsiTheme="majorHAnsi"/>
          <w:color w:val="000000"/>
          <w:sz w:val="20"/>
          <w:szCs w:val="20"/>
          <w:lang w:val="es-VE"/>
        </w:rPr>
        <w:t xml:space="preserve">Por su parte, </w:t>
      </w:r>
      <w:r w:rsidR="008D32E6">
        <w:rPr>
          <w:rFonts w:asciiTheme="majorHAnsi" w:hAnsiTheme="majorHAnsi"/>
          <w:color w:val="000000"/>
          <w:sz w:val="20"/>
          <w:szCs w:val="20"/>
          <w:lang w:val="es-VE"/>
        </w:rPr>
        <w:t>de la decisión d</w:t>
      </w:r>
      <w:r w:rsidR="0061044D" w:rsidRPr="00B56CF7">
        <w:rPr>
          <w:rFonts w:asciiTheme="majorHAnsi" w:hAnsiTheme="majorHAnsi"/>
          <w:color w:val="000000"/>
          <w:sz w:val="20"/>
          <w:szCs w:val="20"/>
          <w:lang w:val="es-VE"/>
        </w:rPr>
        <w:t xml:space="preserve">el Tribunal Oral No. 6 </w:t>
      </w:r>
      <w:r w:rsidR="00846D9A">
        <w:rPr>
          <w:rFonts w:asciiTheme="majorHAnsi" w:hAnsiTheme="majorHAnsi"/>
          <w:color w:val="000000"/>
          <w:sz w:val="20"/>
          <w:szCs w:val="20"/>
          <w:lang w:val="es-VE"/>
        </w:rPr>
        <w:t xml:space="preserve">que declaró </w:t>
      </w:r>
      <w:r w:rsidR="0061044D" w:rsidRPr="0062236D">
        <w:rPr>
          <w:rFonts w:asciiTheme="majorHAnsi" w:hAnsiTheme="majorHAnsi"/>
          <w:sz w:val="20"/>
          <w:szCs w:val="20"/>
          <w:lang w:val="es-VE"/>
        </w:rPr>
        <w:t>sin lugar el pedido de inconstitucionalidad del artículo 10 de la ley 24.390 y la solicitud de excarcelación de Gabriel Oscar Jenkins</w:t>
      </w:r>
      <w:r w:rsidR="008D32E6">
        <w:rPr>
          <w:rFonts w:asciiTheme="majorHAnsi" w:hAnsiTheme="majorHAnsi"/>
          <w:sz w:val="20"/>
          <w:szCs w:val="20"/>
          <w:lang w:val="es-VE"/>
        </w:rPr>
        <w:t xml:space="preserve">, se desprenden los siguientes argumentos que podrían entenderse en el sentido de justificar la diferencia de trato. </w:t>
      </w:r>
      <w:r w:rsidR="00846D9A">
        <w:rPr>
          <w:rFonts w:asciiTheme="majorHAnsi" w:hAnsiTheme="majorHAnsi"/>
          <w:sz w:val="20"/>
          <w:szCs w:val="20"/>
          <w:lang w:val="es-VE"/>
        </w:rPr>
        <w:t xml:space="preserve"> </w:t>
      </w:r>
      <w:r w:rsidR="006E7804">
        <w:rPr>
          <w:rFonts w:asciiTheme="majorHAnsi" w:hAnsiTheme="majorHAnsi"/>
          <w:sz w:val="20"/>
          <w:szCs w:val="20"/>
          <w:lang w:val="es-VE"/>
        </w:rPr>
        <w:t>Al respecto,</w:t>
      </w:r>
      <w:r w:rsidR="008673C5">
        <w:rPr>
          <w:rFonts w:asciiTheme="majorHAnsi" w:hAnsiTheme="majorHAnsi"/>
          <w:sz w:val="20"/>
          <w:szCs w:val="20"/>
          <w:lang w:val="es-VE"/>
        </w:rPr>
        <w:t xml:space="preserve"> se basó en que </w:t>
      </w:r>
      <w:r w:rsidR="00846D9A">
        <w:rPr>
          <w:rFonts w:asciiTheme="majorHAnsi" w:hAnsiTheme="majorHAnsi"/>
          <w:sz w:val="20"/>
          <w:szCs w:val="20"/>
          <w:lang w:val="es-VE"/>
        </w:rPr>
        <w:t xml:space="preserve">los delitos relacionados </w:t>
      </w:r>
      <w:r w:rsidR="00413CE4" w:rsidRPr="00B56CF7">
        <w:rPr>
          <w:rFonts w:asciiTheme="majorHAnsi" w:hAnsiTheme="majorHAnsi"/>
          <w:sz w:val="20"/>
          <w:szCs w:val="20"/>
          <w:lang w:val="es-VE"/>
        </w:rPr>
        <w:t>con el tráfico de estupefacientes han merecido un especial tratamiento del Estado debido a las obligaciones que contrajo al suscribir la Convención de Viena sobre la represión al tráfico de dichas sustancias</w:t>
      </w:r>
      <w:r w:rsidR="00EA7A5D">
        <w:rPr>
          <w:rFonts w:asciiTheme="majorHAnsi" w:hAnsiTheme="majorHAnsi"/>
          <w:sz w:val="20"/>
          <w:szCs w:val="20"/>
          <w:lang w:val="es-VE"/>
        </w:rPr>
        <w:t>. Asimismo, destacó</w:t>
      </w:r>
      <w:r w:rsidR="00B07EBE">
        <w:rPr>
          <w:rFonts w:asciiTheme="majorHAnsi" w:hAnsiTheme="majorHAnsi"/>
          <w:sz w:val="20"/>
          <w:szCs w:val="20"/>
          <w:lang w:val="es-VE"/>
        </w:rPr>
        <w:t xml:space="preserve"> que por </w:t>
      </w:r>
      <w:r w:rsidR="00413CE4" w:rsidRPr="00B56CF7">
        <w:rPr>
          <w:rFonts w:asciiTheme="majorHAnsi" w:hAnsiTheme="majorHAnsi"/>
          <w:sz w:val="20"/>
          <w:szCs w:val="20"/>
          <w:lang w:val="es-VE"/>
        </w:rPr>
        <w:t>la gravedad y el interés superior que tales conductas afectan</w:t>
      </w:r>
      <w:r w:rsidR="00EA7A5D">
        <w:rPr>
          <w:rFonts w:asciiTheme="majorHAnsi" w:hAnsiTheme="majorHAnsi"/>
          <w:sz w:val="20"/>
          <w:szCs w:val="20"/>
          <w:lang w:val="es-VE"/>
        </w:rPr>
        <w:t>,</w:t>
      </w:r>
      <w:r w:rsidR="00B07EBE">
        <w:rPr>
          <w:rFonts w:asciiTheme="majorHAnsi" w:hAnsiTheme="majorHAnsi"/>
          <w:sz w:val="20"/>
          <w:szCs w:val="20"/>
          <w:lang w:val="es-VE"/>
        </w:rPr>
        <w:t xml:space="preserve"> la prohibición resulta necesaria </w:t>
      </w:r>
      <w:r w:rsidR="00413CE4" w:rsidRPr="00B56CF7">
        <w:rPr>
          <w:rFonts w:asciiTheme="majorHAnsi" w:hAnsiTheme="majorHAnsi"/>
          <w:sz w:val="20"/>
          <w:szCs w:val="20"/>
          <w:lang w:val="es-VE"/>
        </w:rPr>
        <w:t xml:space="preserve">para garantizar </w:t>
      </w:r>
      <w:r w:rsidR="00172155">
        <w:rPr>
          <w:rFonts w:asciiTheme="majorHAnsi" w:hAnsiTheme="majorHAnsi"/>
          <w:sz w:val="20"/>
          <w:szCs w:val="20"/>
          <w:lang w:val="es-VE"/>
        </w:rPr>
        <w:t xml:space="preserve">la presencia de los imputados </w:t>
      </w:r>
      <w:r w:rsidR="00413CE4" w:rsidRPr="00B56CF7">
        <w:rPr>
          <w:rFonts w:asciiTheme="majorHAnsi" w:hAnsiTheme="majorHAnsi"/>
          <w:sz w:val="20"/>
          <w:szCs w:val="20"/>
          <w:lang w:val="es-VE"/>
        </w:rPr>
        <w:t xml:space="preserve">durante la sustanciación </w:t>
      </w:r>
      <w:r w:rsidR="00617A5D" w:rsidRPr="00B56CF7">
        <w:rPr>
          <w:rFonts w:asciiTheme="majorHAnsi" w:hAnsiTheme="majorHAnsi"/>
          <w:sz w:val="20"/>
          <w:szCs w:val="20"/>
          <w:lang w:val="es-VE"/>
        </w:rPr>
        <w:t>del proceso</w:t>
      </w:r>
      <w:r w:rsidR="00A64A27">
        <w:rPr>
          <w:rFonts w:asciiTheme="majorHAnsi" w:hAnsiTheme="majorHAnsi"/>
          <w:sz w:val="20"/>
          <w:szCs w:val="20"/>
          <w:lang w:val="es-VE"/>
        </w:rPr>
        <w:t xml:space="preserve">. </w:t>
      </w:r>
      <w:r w:rsidR="004647F4">
        <w:rPr>
          <w:rFonts w:asciiTheme="majorHAnsi" w:hAnsiTheme="majorHAnsi"/>
          <w:sz w:val="20"/>
          <w:szCs w:val="20"/>
          <w:lang w:val="es-VE"/>
        </w:rPr>
        <w:t xml:space="preserve">Las decisiones judiciales posteriores se limitaron a reiterar los precedentes en la materia. </w:t>
      </w:r>
    </w:p>
    <w:p w:rsidR="00DE2A16" w:rsidRPr="00B56CF7" w:rsidRDefault="00DE2A16" w:rsidP="00DE2A16">
      <w:pPr>
        <w:pStyle w:val="ListParagraph"/>
        <w:rPr>
          <w:rFonts w:asciiTheme="majorHAnsi" w:hAnsiTheme="majorHAnsi"/>
          <w:sz w:val="20"/>
          <w:szCs w:val="20"/>
          <w:lang w:val="es-VE"/>
        </w:rPr>
      </w:pPr>
    </w:p>
    <w:p w:rsidR="00147D6E" w:rsidRPr="00B56CF7" w:rsidRDefault="00B91212" w:rsidP="00DC4DB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color w:val="000000"/>
          <w:sz w:val="20"/>
          <w:szCs w:val="20"/>
          <w:lang w:val="es-VE"/>
        </w:rPr>
      </w:pPr>
      <w:r>
        <w:rPr>
          <w:rFonts w:asciiTheme="majorHAnsi" w:hAnsiTheme="majorHAnsi"/>
          <w:color w:val="000000"/>
          <w:sz w:val="20"/>
          <w:szCs w:val="20"/>
          <w:lang w:val="es-VE"/>
        </w:rPr>
        <w:t xml:space="preserve">De lo anterior resulta que </w:t>
      </w:r>
      <w:r w:rsidR="00DC4DB4" w:rsidRPr="00B56CF7">
        <w:rPr>
          <w:rFonts w:asciiTheme="majorHAnsi" w:hAnsiTheme="majorHAnsi"/>
          <w:color w:val="000000"/>
          <w:sz w:val="20"/>
          <w:szCs w:val="20"/>
          <w:lang w:val="es-VE"/>
        </w:rPr>
        <w:t>los órganos internos al justificar la</w:t>
      </w:r>
      <w:r w:rsidR="004909C8">
        <w:rPr>
          <w:rFonts w:asciiTheme="majorHAnsi" w:hAnsiTheme="majorHAnsi"/>
          <w:color w:val="000000"/>
          <w:sz w:val="20"/>
          <w:szCs w:val="20"/>
          <w:lang w:val="es-VE"/>
        </w:rPr>
        <w:t xml:space="preserve"> diferencia de trato y la consecuente </w:t>
      </w:r>
      <w:r w:rsidR="00DC4DB4" w:rsidRPr="00B56CF7">
        <w:rPr>
          <w:rFonts w:asciiTheme="majorHAnsi" w:hAnsiTheme="majorHAnsi"/>
          <w:color w:val="000000"/>
          <w:sz w:val="20"/>
          <w:szCs w:val="20"/>
          <w:lang w:val="es-VE"/>
        </w:rPr>
        <w:t xml:space="preserve">restricción </w:t>
      </w:r>
      <w:r w:rsidR="00EA7A5D">
        <w:rPr>
          <w:rFonts w:asciiTheme="majorHAnsi" w:hAnsiTheme="majorHAnsi"/>
          <w:color w:val="000000"/>
          <w:sz w:val="20"/>
          <w:szCs w:val="20"/>
          <w:lang w:val="es-VE"/>
        </w:rPr>
        <w:t xml:space="preserve">a </w:t>
      </w:r>
      <w:r w:rsidR="00DC4DB4" w:rsidRPr="00B56CF7">
        <w:rPr>
          <w:rFonts w:asciiTheme="majorHAnsi" w:hAnsiTheme="majorHAnsi"/>
          <w:color w:val="000000"/>
          <w:sz w:val="20"/>
          <w:szCs w:val="20"/>
          <w:lang w:val="es-VE"/>
        </w:rPr>
        <w:t>la libertad personal con</w:t>
      </w:r>
      <w:r w:rsidR="00363FBD">
        <w:rPr>
          <w:rFonts w:asciiTheme="majorHAnsi" w:hAnsiTheme="majorHAnsi"/>
          <w:color w:val="000000"/>
          <w:sz w:val="20"/>
          <w:szCs w:val="20"/>
          <w:lang w:val="es-VE"/>
        </w:rPr>
        <w:t>tenida en el artículo 10 de la L</w:t>
      </w:r>
      <w:r w:rsidR="00DC4DB4" w:rsidRPr="00B56CF7">
        <w:rPr>
          <w:rFonts w:asciiTheme="majorHAnsi" w:hAnsiTheme="majorHAnsi"/>
          <w:color w:val="000000"/>
          <w:sz w:val="20"/>
          <w:szCs w:val="20"/>
          <w:lang w:val="es-VE"/>
        </w:rPr>
        <w:t>ey 24.39</w:t>
      </w:r>
      <w:r w:rsidR="00147D6E" w:rsidRPr="00B56CF7">
        <w:rPr>
          <w:rFonts w:asciiTheme="majorHAnsi" w:hAnsiTheme="majorHAnsi"/>
          <w:color w:val="000000"/>
          <w:sz w:val="20"/>
          <w:szCs w:val="20"/>
          <w:lang w:val="es-VE"/>
        </w:rPr>
        <w:t>0</w:t>
      </w:r>
      <w:r w:rsidR="008C135B">
        <w:rPr>
          <w:rFonts w:asciiTheme="majorHAnsi" w:hAnsiTheme="majorHAnsi"/>
          <w:color w:val="000000"/>
          <w:sz w:val="20"/>
          <w:szCs w:val="20"/>
          <w:lang w:val="es-VE"/>
        </w:rPr>
        <w:t>,</w:t>
      </w:r>
      <w:r w:rsidR="00147D6E" w:rsidRPr="00B56CF7">
        <w:rPr>
          <w:rFonts w:asciiTheme="majorHAnsi" w:hAnsiTheme="majorHAnsi"/>
          <w:color w:val="000000"/>
          <w:sz w:val="20"/>
          <w:szCs w:val="20"/>
          <w:lang w:val="es-VE"/>
        </w:rPr>
        <w:t xml:space="preserve"> se refirieron únicamente al fin legítimo de la medida y a enunciar </w:t>
      </w:r>
      <w:r w:rsidR="00B73967">
        <w:rPr>
          <w:rFonts w:asciiTheme="majorHAnsi" w:hAnsiTheme="majorHAnsi"/>
          <w:color w:val="000000"/>
          <w:sz w:val="20"/>
          <w:szCs w:val="20"/>
          <w:lang w:val="es-VE"/>
        </w:rPr>
        <w:t xml:space="preserve">en términos abstractos </w:t>
      </w:r>
      <w:r w:rsidR="00147D6E" w:rsidRPr="00B56CF7">
        <w:rPr>
          <w:rFonts w:asciiTheme="majorHAnsi" w:hAnsiTheme="majorHAnsi"/>
          <w:color w:val="000000"/>
          <w:sz w:val="20"/>
          <w:szCs w:val="20"/>
          <w:lang w:val="es-VE"/>
        </w:rPr>
        <w:t xml:space="preserve">la necesidad de la medida. </w:t>
      </w:r>
    </w:p>
    <w:p w:rsidR="00DC4DB4" w:rsidRPr="00B56CF7" w:rsidRDefault="00DC4DB4" w:rsidP="00147D6E">
      <w:pPr>
        <w:rPr>
          <w:rFonts w:asciiTheme="majorHAnsi" w:hAnsiTheme="majorHAnsi"/>
          <w:sz w:val="20"/>
          <w:szCs w:val="20"/>
          <w:lang w:val="es-VE"/>
        </w:rPr>
      </w:pPr>
    </w:p>
    <w:p w:rsidR="001A7869" w:rsidRPr="0025209F" w:rsidRDefault="00500E27" w:rsidP="00DC4DB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color w:val="000000"/>
          <w:sz w:val="20"/>
          <w:szCs w:val="20"/>
          <w:lang w:val="es-VE"/>
        </w:rPr>
      </w:pPr>
      <w:r w:rsidRPr="00564C6E">
        <w:rPr>
          <w:rFonts w:asciiTheme="majorHAnsi" w:hAnsiTheme="majorHAnsi"/>
          <w:color w:val="000000"/>
          <w:sz w:val="20"/>
          <w:szCs w:val="20"/>
          <w:lang w:val="es-VE"/>
        </w:rPr>
        <w:lastRenderedPageBreak/>
        <w:t>En cuanto a</w:t>
      </w:r>
      <w:r w:rsidR="001A7869" w:rsidRPr="00564C6E">
        <w:rPr>
          <w:rFonts w:asciiTheme="majorHAnsi" w:hAnsiTheme="majorHAnsi"/>
          <w:color w:val="000000"/>
          <w:sz w:val="20"/>
          <w:szCs w:val="20"/>
          <w:lang w:val="es-VE"/>
        </w:rPr>
        <w:t>l primer y segundo requisitos</w:t>
      </w:r>
      <w:r w:rsidR="00C11A75">
        <w:rPr>
          <w:rFonts w:asciiTheme="majorHAnsi" w:hAnsiTheme="majorHAnsi"/>
          <w:color w:val="000000"/>
          <w:sz w:val="20"/>
          <w:szCs w:val="20"/>
          <w:lang w:val="es-VE"/>
        </w:rPr>
        <w:t xml:space="preserve"> – fin legítimo e idoneidad –</w:t>
      </w:r>
      <w:r w:rsidR="001A7869" w:rsidRPr="00564C6E">
        <w:rPr>
          <w:rFonts w:asciiTheme="majorHAnsi" w:hAnsiTheme="majorHAnsi"/>
          <w:color w:val="000000"/>
          <w:sz w:val="20"/>
          <w:szCs w:val="20"/>
          <w:lang w:val="es-VE"/>
        </w:rPr>
        <w:t xml:space="preserve"> </w:t>
      </w:r>
      <w:r w:rsidR="00476C0C" w:rsidRPr="00564C6E">
        <w:rPr>
          <w:rFonts w:asciiTheme="majorHAnsi" w:hAnsiTheme="majorHAnsi"/>
          <w:color w:val="000000"/>
          <w:sz w:val="20"/>
          <w:szCs w:val="20"/>
          <w:lang w:val="es-VE"/>
        </w:rPr>
        <w:t xml:space="preserve">la Comisión considera que la obligación de persecución de los delitos relacionados con el narcotráfico derivada de los tratados internacionales suscritos por </w:t>
      </w:r>
      <w:r w:rsidR="001A7869" w:rsidRPr="00564C6E">
        <w:rPr>
          <w:rFonts w:asciiTheme="majorHAnsi" w:hAnsiTheme="majorHAnsi"/>
          <w:color w:val="000000"/>
          <w:sz w:val="20"/>
          <w:szCs w:val="20"/>
          <w:lang w:val="es-VE"/>
        </w:rPr>
        <w:t xml:space="preserve">el Estado, así como el objetivo de asegurar la comparecencia de los imputados al proceso, constituyen </w:t>
      </w:r>
      <w:r w:rsidR="00DC4DB4" w:rsidRPr="00564C6E">
        <w:rPr>
          <w:rFonts w:asciiTheme="majorHAnsi" w:hAnsiTheme="majorHAnsi"/>
          <w:color w:val="000000"/>
          <w:sz w:val="20"/>
          <w:szCs w:val="20"/>
          <w:lang w:val="es-VE"/>
        </w:rPr>
        <w:t>fin</w:t>
      </w:r>
      <w:r w:rsidR="001A7869" w:rsidRPr="00564C6E">
        <w:rPr>
          <w:rFonts w:asciiTheme="majorHAnsi" w:hAnsiTheme="majorHAnsi"/>
          <w:color w:val="000000"/>
          <w:sz w:val="20"/>
          <w:szCs w:val="20"/>
          <w:lang w:val="es-VE"/>
        </w:rPr>
        <w:t xml:space="preserve">es legítimos. </w:t>
      </w:r>
      <w:r w:rsidR="006E4A94" w:rsidRPr="00564C6E">
        <w:rPr>
          <w:rFonts w:asciiTheme="majorHAnsi" w:hAnsiTheme="majorHAnsi"/>
          <w:color w:val="000000"/>
          <w:sz w:val="20"/>
          <w:szCs w:val="20"/>
          <w:lang w:val="es-VE"/>
        </w:rPr>
        <w:t>Asimismo, la Comisión encuentra que al menos respecto de uno de los fines invocados, puede entenderse que en abstracto</w:t>
      </w:r>
      <w:r w:rsidR="004F18E4">
        <w:rPr>
          <w:rFonts w:asciiTheme="majorHAnsi" w:hAnsiTheme="majorHAnsi"/>
          <w:color w:val="000000"/>
          <w:sz w:val="20"/>
          <w:szCs w:val="20"/>
          <w:lang w:val="es-VE"/>
        </w:rPr>
        <w:t xml:space="preserve"> puede existir en ciertos casos </w:t>
      </w:r>
      <w:r w:rsidR="006E4A94" w:rsidRPr="00564C6E">
        <w:rPr>
          <w:rFonts w:asciiTheme="majorHAnsi" w:hAnsiTheme="majorHAnsi"/>
          <w:color w:val="000000"/>
          <w:sz w:val="20"/>
          <w:szCs w:val="20"/>
          <w:lang w:val="es-VE"/>
        </w:rPr>
        <w:t xml:space="preserve">una relación medio a fin </w:t>
      </w:r>
      <w:r w:rsidR="006E4A94" w:rsidRPr="0025209F">
        <w:rPr>
          <w:rFonts w:asciiTheme="majorHAnsi" w:hAnsiTheme="majorHAnsi"/>
          <w:color w:val="000000"/>
          <w:sz w:val="20"/>
          <w:szCs w:val="20"/>
          <w:lang w:val="es-VE"/>
        </w:rPr>
        <w:t xml:space="preserve">entre la aplicación de la detención preventiva y la garantía de comparecencia durante el proceso. </w:t>
      </w:r>
    </w:p>
    <w:p w:rsidR="00177614" w:rsidRPr="0025209F" w:rsidRDefault="00177614" w:rsidP="00177614">
      <w:pPr>
        <w:pStyle w:val="ListParagraph"/>
        <w:rPr>
          <w:rFonts w:asciiTheme="majorHAnsi" w:hAnsiTheme="majorHAnsi"/>
          <w:sz w:val="20"/>
          <w:szCs w:val="20"/>
          <w:lang w:val="es-VE"/>
        </w:rPr>
      </w:pPr>
    </w:p>
    <w:p w:rsidR="007862B0" w:rsidRPr="0025209F" w:rsidRDefault="00177614" w:rsidP="00DF19E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25209F">
        <w:rPr>
          <w:rFonts w:asciiTheme="majorHAnsi" w:hAnsiTheme="majorHAnsi"/>
          <w:color w:val="000000"/>
          <w:sz w:val="20"/>
          <w:szCs w:val="20"/>
          <w:lang w:val="es-VE"/>
        </w:rPr>
        <w:t xml:space="preserve">Sin embargo, respecto del tercer requisito, </w:t>
      </w:r>
      <w:r w:rsidR="00D54019" w:rsidRPr="0025209F">
        <w:rPr>
          <w:rFonts w:asciiTheme="majorHAnsi" w:hAnsiTheme="majorHAnsi"/>
          <w:color w:val="000000"/>
          <w:sz w:val="20"/>
          <w:szCs w:val="20"/>
          <w:lang w:val="es-VE"/>
        </w:rPr>
        <w:t>la Comisión destaca que ni el Estado de Argentina ante la Comisión ni las autoridades judiciales que conocieron los recursos, justificaron la necesidad de la medida en el sentido de no existir medios menos lesivos</w:t>
      </w:r>
      <w:r w:rsidR="002A2202" w:rsidRPr="0025209F">
        <w:rPr>
          <w:rFonts w:asciiTheme="majorHAnsi" w:hAnsiTheme="majorHAnsi"/>
          <w:color w:val="000000"/>
          <w:sz w:val="20"/>
          <w:szCs w:val="20"/>
          <w:lang w:val="es-VE"/>
        </w:rPr>
        <w:t xml:space="preserve"> e igualmente idóneos</w:t>
      </w:r>
      <w:r w:rsidR="00D54019" w:rsidRPr="0025209F">
        <w:rPr>
          <w:rFonts w:asciiTheme="majorHAnsi" w:hAnsiTheme="majorHAnsi"/>
          <w:color w:val="000000"/>
          <w:sz w:val="20"/>
          <w:szCs w:val="20"/>
          <w:lang w:val="es-VE"/>
        </w:rPr>
        <w:t xml:space="preserve"> a la detención preventiva automática e ilimitada para lograr los fines citados. </w:t>
      </w:r>
      <w:r w:rsidR="00DF19E4" w:rsidRPr="0025209F">
        <w:rPr>
          <w:rFonts w:asciiTheme="majorHAnsi" w:hAnsiTheme="majorHAnsi"/>
          <w:sz w:val="20"/>
          <w:szCs w:val="20"/>
          <w:lang w:val="es-VE"/>
        </w:rPr>
        <w:t>Para lograr la finalidad invocada por el Estado sobre este tipo de delitos bastaría con dis</w:t>
      </w:r>
      <w:r w:rsidR="00044D64" w:rsidRPr="0025209F">
        <w:rPr>
          <w:rFonts w:asciiTheme="majorHAnsi" w:hAnsiTheme="majorHAnsi"/>
          <w:sz w:val="20"/>
          <w:szCs w:val="20"/>
          <w:lang w:val="es-VE"/>
        </w:rPr>
        <w:t>poner la detención preventiva exclusivamente en</w:t>
      </w:r>
      <w:r w:rsidR="00846D91" w:rsidRPr="0025209F">
        <w:rPr>
          <w:rFonts w:asciiTheme="majorHAnsi" w:hAnsiTheme="majorHAnsi"/>
          <w:sz w:val="20"/>
          <w:szCs w:val="20"/>
          <w:lang w:val="es-VE"/>
        </w:rPr>
        <w:t xml:space="preserve"> aquellos casos </w:t>
      </w:r>
      <w:r w:rsidR="00DF19E4" w:rsidRPr="0025209F">
        <w:rPr>
          <w:rFonts w:asciiTheme="majorHAnsi" w:hAnsiTheme="majorHAnsi"/>
          <w:sz w:val="20"/>
          <w:szCs w:val="20"/>
          <w:lang w:val="es-VE"/>
        </w:rPr>
        <w:t>en los cuales existan indicios</w:t>
      </w:r>
      <w:r w:rsidR="00E346B5" w:rsidRPr="0025209F">
        <w:rPr>
          <w:rFonts w:asciiTheme="majorHAnsi" w:hAnsiTheme="majorHAnsi"/>
          <w:sz w:val="20"/>
          <w:szCs w:val="20"/>
          <w:lang w:val="es-VE"/>
        </w:rPr>
        <w:t xml:space="preserve"> evaluados en el caso concreto</w:t>
      </w:r>
      <w:r w:rsidR="00DF19E4" w:rsidRPr="0025209F">
        <w:rPr>
          <w:rFonts w:asciiTheme="majorHAnsi" w:hAnsiTheme="majorHAnsi"/>
          <w:sz w:val="20"/>
          <w:szCs w:val="20"/>
          <w:lang w:val="es-VE"/>
        </w:rPr>
        <w:t xml:space="preserve"> de que la persona impedirá el desarrollo del procedimiento o eludirá la acción de la justicia.</w:t>
      </w:r>
      <w:r w:rsidR="00044D64" w:rsidRPr="0025209F">
        <w:rPr>
          <w:rFonts w:asciiTheme="majorHAnsi" w:hAnsiTheme="majorHAnsi"/>
          <w:sz w:val="20"/>
          <w:szCs w:val="20"/>
          <w:lang w:val="es-VE"/>
        </w:rPr>
        <w:t xml:space="preserve"> En ese sentido, la Comisión entiende que existía una medida menos lesiva e igualmente id</w:t>
      </w:r>
      <w:r w:rsidR="00311384" w:rsidRPr="0025209F">
        <w:rPr>
          <w:rFonts w:asciiTheme="majorHAnsi" w:hAnsiTheme="majorHAnsi"/>
          <w:sz w:val="20"/>
          <w:szCs w:val="20"/>
          <w:lang w:val="es-VE"/>
        </w:rPr>
        <w:t>ó</w:t>
      </w:r>
      <w:r w:rsidR="00044D64" w:rsidRPr="0025209F">
        <w:rPr>
          <w:rFonts w:asciiTheme="majorHAnsi" w:hAnsiTheme="majorHAnsi"/>
          <w:sz w:val="20"/>
          <w:szCs w:val="20"/>
          <w:lang w:val="es-VE"/>
        </w:rPr>
        <w:t>n</w:t>
      </w:r>
      <w:r w:rsidR="00311384" w:rsidRPr="0025209F">
        <w:rPr>
          <w:rFonts w:asciiTheme="majorHAnsi" w:hAnsiTheme="majorHAnsi"/>
          <w:sz w:val="20"/>
          <w:szCs w:val="20"/>
          <w:lang w:val="es-VE"/>
        </w:rPr>
        <w:t>ea consistente en</w:t>
      </w:r>
      <w:r w:rsidR="00EE0CF4" w:rsidRPr="0025209F">
        <w:rPr>
          <w:rFonts w:asciiTheme="majorHAnsi" w:hAnsiTheme="majorHAnsi"/>
          <w:sz w:val="20"/>
          <w:szCs w:val="20"/>
          <w:lang w:val="es-VE"/>
        </w:rPr>
        <w:t xml:space="preserve"> con</w:t>
      </w:r>
      <w:r w:rsidR="00F628F3" w:rsidRPr="0025209F">
        <w:rPr>
          <w:rFonts w:asciiTheme="majorHAnsi" w:hAnsiTheme="majorHAnsi"/>
          <w:sz w:val="20"/>
          <w:szCs w:val="20"/>
          <w:lang w:val="es-VE"/>
        </w:rPr>
        <w:t>tar</w:t>
      </w:r>
      <w:r w:rsidR="00EE0CF4" w:rsidRPr="0025209F">
        <w:rPr>
          <w:rFonts w:asciiTheme="majorHAnsi" w:hAnsiTheme="majorHAnsi"/>
          <w:sz w:val="20"/>
          <w:szCs w:val="20"/>
          <w:lang w:val="es-VE"/>
        </w:rPr>
        <w:t xml:space="preserve"> </w:t>
      </w:r>
      <w:r w:rsidR="00F628F3" w:rsidRPr="0025209F">
        <w:rPr>
          <w:rFonts w:asciiTheme="majorHAnsi" w:hAnsiTheme="majorHAnsi"/>
          <w:sz w:val="20"/>
          <w:szCs w:val="20"/>
          <w:lang w:val="es-VE"/>
        </w:rPr>
        <w:t xml:space="preserve">con </w:t>
      </w:r>
      <w:r w:rsidR="00EE0CF4" w:rsidRPr="0025209F">
        <w:rPr>
          <w:rFonts w:asciiTheme="majorHAnsi" w:hAnsiTheme="majorHAnsi"/>
          <w:sz w:val="20"/>
          <w:szCs w:val="20"/>
          <w:lang w:val="es-VE"/>
        </w:rPr>
        <w:t xml:space="preserve">un marco normativo que </w:t>
      </w:r>
      <w:r w:rsidR="00E015A1">
        <w:rPr>
          <w:rFonts w:asciiTheme="majorHAnsi" w:hAnsiTheme="majorHAnsi"/>
          <w:sz w:val="20"/>
          <w:szCs w:val="20"/>
          <w:lang w:val="es-VE"/>
        </w:rPr>
        <w:t xml:space="preserve">no </w:t>
      </w:r>
      <w:r w:rsidR="00B173C5" w:rsidRPr="0025209F">
        <w:rPr>
          <w:rFonts w:asciiTheme="majorHAnsi" w:hAnsiTheme="majorHAnsi"/>
          <w:sz w:val="20"/>
          <w:szCs w:val="20"/>
          <w:lang w:val="es-VE"/>
        </w:rPr>
        <w:t xml:space="preserve">excluyera </w:t>
      </w:r>
      <w:r w:rsidR="00EE0CF4" w:rsidRPr="0025209F">
        <w:rPr>
          <w:rFonts w:asciiTheme="majorHAnsi" w:hAnsiTheme="majorHAnsi"/>
          <w:i/>
          <w:sz w:val="20"/>
          <w:szCs w:val="20"/>
          <w:lang w:val="es-VE"/>
        </w:rPr>
        <w:t>a priori</w:t>
      </w:r>
      <w:r w:rsidR="00EE0CF4" w:rsidRPr="0025209F">
        <w:rPr>
          <w:rFonts w:asciiTheme="majorHAnsi" w:hAnsiTheme="majorHAnsi"/>
          <w:sz w:val="20"/>
          <w:szCs w:val="20"/>
          <w:lang w:val="es-VE"/>
        </w:rPr>
        <w:t xml:space="preserve"> con base en la naturaleza de tales delitos</w:t>
      </w:r>
      <w:r w:rsidR="00B173C5" w:rsidRPr="0025209F">
        <w:rPr>
          <w:rFonts w:asciiTheme="majorHAnsi" w:hAnsiTheme="majorHAnsi"/>
          <w:sz w:val="20"/>
          <w:szCs w:val="20"/>
          <w:lang w:val="es-VE"/>
        </w:rPr>
        <w:t xml:space="preserve"> otro tipo de medidas</w:t>
      </w:r>
      <w:r w:rsidR="00EE0CF4" w:rsidRPr="0025209F">
        <w:rPr>
          <w:rFonts w:asciiTheme="majorHAnsi" w:hAnsiTheme="majorHAnsi"/>
          <w:sz w:val="20"/>
          <w:szCs w:val="20"/>
          <w:lang w:val="es-VE"/>
        </w:rPr>
        <w:t xml:space="preserve"> sino que permit</w:t>
      </w:r>
      <w:r w:rsidR="00F628F3" w:rsidRPr="0025209F">
        <w:rPr>
          <w:rFonts w:asciiTheme="majorHAnsi" w:hAnsiTheme="majorHAnsi"/>
          <w:sz w:val="20"/>
          <w:szCs w:val="20"/>
          <w:lang w:val="es-VE"/>
        </w:rPr>
        <w:t>iera</w:t>
      </w:r>
      <w:r w:rsidR="00EE0CF4" w:rsidRPr="0025209F">
        <w:rPr>
          <w:rFonts w:asciiTheme="majorHAnsi" w:hAnsiTheme="majorHAnsi"/>
          <w:sz w:val="20"/>
          <w:szCs w:val="20"/>
          <w:lang w:val="es-VE"/>
        </w:rPr>
        <w:t xml:space="preserve"> a las autoridades judiciales valorar, en cada caso concreto, la pertinencia de aplicar la detención preventiva a la luz de los fines que el Estado busca proteger.</w:t>
      </w:r>
      <w:r w:rsidR="00DF19E4" w:rsidRPr="0025209F">
        <w:rPr>
          <w:rFonts w:asciiTheme="majorHAnsi" w:hAnsiTheme="majorHAnsi"/>
          <w:sz w:val="20"/>
          <w:szCs w:val="20"/>
          <w:lang w:val="es-VE"/>
        </w:rPr>
        <w:t xml:space="preserve"> </w:t>
      </w:r>
    </w:p>
    <w:p w:rsidR="007862B0" w:rsidRPr="0025209F" w:rsidRDefault="007862B0" w:rsidP="007862B0">
      <w:pPr>
        <w:pStyle w:val="ListParagraph"/>
        <w:rPr>
          <w:rFonts w:asciiTheme="majorHAnsi" w:hAnsiTheme="majorHAnsi"/>
          <w:sz w:val="20"/>
          <w:szCs w:val="20"/>
          <w:lang w:val="es-VE"/>
        </w:rPr>
      </w:pPr>
    </w:p>
    <w:p w:rsidR="00116000" w:rsidRPr="0025209F" w:rsidRDefault="00DF19E4" w:rsidP="00DF19E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25209F">
        <w:rPr>
          <w:rFonts w:asciiTheme="majorHAnsi" w:hAnsiTheme="majorHAnsi"/>
          <w:color w:val="000000"/>
          <w:sz w:val="20"/>
          <w:szCs w:val="20"/>
          <w:lang w:val="es-VE"/>
        </w:rPr>
        <w:t>La</w:t>
      </w:r>
      <w:r w:rsidR="0045765A" w:rsidRPr="0025209F">
        <w:rPr>
          <w:rFonts w:asciiTheme="majorHAnsi" w:hAnsiTheme="majorHAnsi"/>
          <w:color w:val="000000"/>
          <w:sz w:val="20"/>
          <w:szCs w:val="20"/>
          <w:lang w:val="es-VE"/>
        </w:rPr>
        <w:t xml:space="preserve"> falta de justificación</w:t>
      </w:r>
      <w:r w:rsidRPr="0025209F">
        <w:rPr>
          <w:rFonts w:asciiTheme="majorHAnsi" w:hAnsiTheme="majorHAnsi"/>
          <w:color w:val="000000"/>
          <w:sz w:val="20"/>
          <w:szCs w:val="20"/>
          <w:lang w:val="es-VE"/>
        </w:rPr>
        <w:t xml:space="preserve"> del Estado sobre la necesidad de la medida</w:t>
      </w:r>
      <w:r w:rsidR="0045765A" w:rsidRPr="0025209F">
        <w:rPr>
          <w:rFonts w:asciiTheme="majorHAnsi" w:hAnsiTheme="majorHAnsi"/>
          <w:color w:val="000000"/>
          <w:sz w:val="20"/>
          <w:szCs w:val="20"/>
          <w:lang w:val="es-VE"/>
        </w:rPr>
        <w:t xml:space="preserve"> operó tanto respecto de la</w:t>
      </w:r>
      <w:r w:rsidR="009D56F7" w:rsidRPr="0025209F">
        <w:rPr>
          <w:rFonts w:asciiTheme="majorHAnsi" w:hAnsiTheme="majorHAnsi"/>
          <w:color w:val="000000"/>
          <w:sz w:val="20"/>
          <w:szCs w:val="20"/>
          <w:lang w:val="es-VE"/>
        </w:rPr>
        <w:t xml:space="preserve"> regulación contemplada en el artículo 10 de la Ley 24.390</w:t>
      </w:r>
      <w:r w:rsidR="00E27212" w:rsidRPr="0025209F">
        <w:rPr>
          <w:rFonts w:asciiTheme="majorHAnsi" w:hAnsiTheme="majorHAnsi"/>
          <w:color w:val="000000"/>
          <w:sz w:val="20"/>
          <w:szCs w:val="20"/>
          <w:lang w:val="es-VE"/>
        </w:rPr>
        <w:t xml:space="preserve"> como respecto de su aplicación en el caso concreto del señor Jenkins por parte de las autoridades judiciales que se pronunciaron sobre su libertad personal.</w:t>
      </w:r>
      <w:r w:rsidR="006C16AA" w:rsidRPr="0025209F">
        <w:rPr>
          <w:rFonts w:asciiTheme="majorHAnsi" w:hAnsiTheme="majorHAnsi"/>
          <w:color w:val="000000"/>
          <w:sz w:val="20"/>
          <w:szCs w:val="20"/>
          <w:lang w:val="es-VE"/>
        </w:rPr>
        <w:t xml:space="preserve"> Las decisiones presentadas respecto a este punto se basaron en los términos del artículo 10 de la Ley 24.390 y la prohibición de excarcelación. La Comisión no cuenta con decisión alguna </w:t>
      </w:r>
      <w:r w:rsidR="00E015A1">
        <w:rPr>
          <w:rFonts w:asciiTheme="majorHAnsi" w:hAnsiTheme="majorHAnsi"/>
          <w:color w:val="000000"/>
          <w:sz w:val="20"/>
          <w:szCs w:val="20"/>
          <w:lang w:val="es-VE"/>
        </w:rPr>
        <w:t>que evaluara</w:t>
      </w:r>
      <w:r w:rsidR="0053004F" w:rsidRPr="0025209F">
        <w:rPr>
          <w:rFonts w:asciiTheme="majorHAnsi" w:hAnsiTheme="majorHAnsi"/>
          <w:color w:val="000000"/>
          <w:sz w:val="20"/>
          <w:szCs w:val="20"/>
          <w:lang w:val="es-VE"/>
        </w:rPr>
        <w:t xml:space="preserve"> indicios de riesgo de fuga u obstaculización del proceso en el caso del señor Jenkins.</w:t>
      </w:r>
      <w:r w:rsidR="00E27212" w:rsidRPr="0025209F">
        <w:rPr>
          <w:rFonts w:asciiTheme="majorHAnsi" w:hAnsiTheme="majorHAnsi"/>
          <w:color w:val="000000"/>
          <w:sz w:val="20"/>
          <w:szCs w:val="20"/>
          <w:lang w:val="es-VE"/>
        </w:rPr>
        <w:t xml:space="preserve"> </w:t>
      </w:r>
      <w:r w:rsidR="00B26E55" w:rsidRPr="0025209F">
        <w:rPr>
          <w:rFonts w:asciiTheme="majorHAnsi" w:hAnsiTheme="majorHAnsi"/>
          <w:color w:val="000000"/>
          <w:sz w:val="20"/>
          <w:szCs w:val="20"/>
          <w:lang w:val="es-VE"/>
        </w:rPr>
        <w:t>Por el contrario, si bien la imputación de un delito constituye la base de una investigación y proceso penal, la vigencia de la norma permitió que la imputación en sí misma y en ausencia de fines procesales, fuera la base de la detención preventiva.</w:t>
      </w:r>
    </w:p>
    <w:p w:rsidR="00DF19E4" w:rsidRDefault="00DF19E4" w:rsidP="00945A06">
      <w:pPr>
        <w:pStyle w:val="ListParagraph"/>
        <w:rPr>
          <w:rFonts w:asciiTheme="majorHAnsi" w:hAnsiTheme="majorHAnsi"/>
          <w:sz w:val="20"/>
          <w:szCs w:val="20"/>
          <w:lang w:val="es-VE"/>
        </w:rPr>
      </w:pPr>
    </w:p>
    <w:p w:rsidR="00945A06" w:rsidRDefault="00945A06" w:rsidP="0011600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color w:val="000000"/>
          <w:sz w:val="20"/>
          <w:szCs w:val="20"/>
          <w:lang w:val="es-VE"/>
        </w:rPr>
      </w:pPr>
      <w:r>
        <w:rPr>
          <w:rFonts w:asciiTheme="majorHAnsi" w:hAnsiTheme="majorHAnsi"/>
          <w:color w:val="000000"/>
          <w:sz w:val="20"/>
          <w:szCs w:val="20"/>
          <w:lang w:val="es-VE"/>
        </w:rPr>
        <w:t>Tomando en cuenta que el requisito de necesidad no se encuentra satisfecho, la Comisión considera que no es necesario continuar con el análisis del requisito de proporcionalidad en sentido estricto.</w:t>
      </w:r>
    </w:p>
    <w:p w:rsidR="00945A06" w:rsidRDefault="00945A06" w:rsidP="00945A06">
      <w:pPr>
        <w:pStyle w:val="ListParagraph"/>
        <w:rPr>
          <w:rFonts w:asciiTheme="majorHAnsi" w:hAnsiTheme="majorHAnsi"/>
          <w:sz w:val="20"/>
          <w:szCs w:val="20"/>
          <w:lang w:val="es-VE"/>
        </w:rPr>
      </w:pPr>
    </w:p>
    <w:p w:rsidR="008B0826" w:rsidRDefault="00945A06" w:rsidP="008B0826">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color w:val="000000"/>
          <w:sz w:val="20"/>
          <w:szCs w:val="20"/>
          <w:lang w:val="es-VE"/>
        </w:rPr>
      </w:pPr>
      <w:r>
        <w:rPr>
          <w:rFonts w:asciiTheme="majorHAnsi" w:hAnsiTheme="majorHAnsi"/>
          <w:color w:val="000000"/>
          <w:sz w:val="20"/>
          <w:szCs w:val="20"/>
          <w:lang w:val="es-VE"/>
        </w:rPr>
        <w:t>En</w:t>
      </w:r>
      <w:r w:rsidR="00B03F3C">
        <w:rPr>
          <w:rFonts w:asciiTheme="majorHAnsi" w:hAnsiTheme="majorHAnsi"/>
          <w:color w:val="000000"/>
          <w:sz w:val="20"/>
          <w:szCs w:val="20"/>
          <w:lang w:val="es-VE"/>
        </w:rPr>
        <w:t xml:space="preserve"> virtud de las anteriores consideraciones,</w:t>
      </w:r>
      <w:r>
        <w:rPr>
          <w:rFonts w:asciiTheme="majorHAnsi" w:hAnsiTheme="majorHAnsi"/>
          <w:color w:val="000000"/>
          <w:sz w:val="20"/>
          <w:szCs w:val="20"/>
          <w:lang w:val="es-VE"/>
        </w:rPr>
        <w:t xml:space="preserve"> la Comisión concluye que la diferencia de trato contemplada </w:t>
      </w:r>
      <w:r w:rsidR="007E7891">
        <w:rPr>
          <w:rFonts w:asciiTheme="majorHAnsi" w:hAnsiTheme="majorHAnsi"/>
          <w:color w:val="000000"/>
          <w:sz w:val="20"/>
          <w:szCs w:val="20"/>
          <w:lang w:val="es-VE"/>
        </w:rPr>
        <w:t>en el art</w:t>
      </w:r>
      <w:r w:rsidR="00B03F3C">
        <w:rPr>
          <w:rFonts w:asciiTheme="majorHAnsi" w:hAnsiTheme="majorHAnsi"/>
          <w:color w:val="000000"/>
          <w:sz w:val="20"/>
          <w:szCs w:val="20"/>
          <w:lang w:val="es-VE"/>
        </w:rPr>
        <w:t>ículo 10 de la Ley 24.390, así como</w:t>
      </w:r>
      <w:r w:rsidR="007862B0">
        <w:rPr>
          <w:rFonts w:asciiTheme="majorHAnsi" w:hAnsiTheme="majorHAnsi"/>
          <w:color w:val="000000"/>
          <w:sz w:val="20"/>
          <w:szCs w:val="20"/>
          <w:lang w:val="es-VE"/>
        </w:rPr>
        <w:t xml:space="preserve"> su aplicación en el caso concreto y la </w:t>
      </w:r>
      <w:r w:rsidR="00B03F3C">
        <w:rPr>
          <w:rFonts w:asciiTheme="majorHAnsi" w:hAnsiTheme="majorHAnsi"/>
          <w:color w:val="000000"/>
          <w:sz w:val="20"/>
          <w:szCs w:val="20"/>
          <w:lang w:val="es-VE"/>
        </w:rPr>
        <w:t xml:space="preserve">consecuente restricción en el ejercicio del derecho la libertad personal, resultaron arbitrarias y, por lo tanto, violatorias del principio de igualdad y no discriminación y del derecho a la libertad personal establecidos en los artículos 7 y 24 de la Convención Americana en relación con las obligaciones contenidas en </w:t>
      </w:r>
      <w:r w:rsidR="008F2FAD">
        <w:rPr>
          <w:rFonts w:asciiTheme="majorHAnsi" w:hAnsiTheme="majorHAnsi"/>
          <w:color w:val="000000"/>
          <w:sz w:val="20"/>
          <w:szCs w:val="20"/>
          <w:lang w:val="es-VE"/>
        </w:rPr>
        <w:t>los artículos 1.1 y 2</w:t>
      </w:r>
      <w:r w:rsidR="00B03F3C">
        <w:rPr>
          <w:rFonts w:asciiTheme="majorHAnsi" w:hAnsiTheme="majorHAnsi"/>
          <w:color w:val="000000"/>
          <w:sz w:val="20"/>
          <w:szCs w:val="20"/>
          <w:lang w:val="es-VE"/>
        </w:rPr>
        <w:t xml:space="preserve"> del mismo instrumento. </w:t>
      </w:r>
    </w:p>
    <w:p w:rsidR="00542560" w:rsidRPr="00542560" w:rsidRDefault="00542560" w:rsidP="0054256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olor w:val="000000"/>
          <w:sz w:val="20"/>
          <w:szCs w:val="20"/>
          <w:lang w:val="es-VE"/>
        </w:rPr>
      </w:pPr>
    </w:p>
    <w:p w:rsidR="00B355E4" w:rsidRDefault="0050364E" w:rsidP="00EE24AD">
      <w:pPr>
        <w:pStyle w:val="Heading2"/>
        <w:numPr>
          <w:ilvl w:val="0"/>
          <w:numId w:val="64"/>
        </w:numPr>
        <w:rPr>
          <w:lang w:val="es-ES" w:eastAsia="es-ES"/>
        </w:rPr>
      </w:pPr>
      <w:bookmarkStart w:id="76" w:name="_Toc467577918"/>
      <w:bookmarkStart w:id="77" w:name="_Toc469409101"/>
      <w:r>
        <w:rPr>
          <w:lang w:val="es-ES" w:eastAsia="es-ES"/>
        </w:rPr>
        <w:t>El derecho a la protección judicial y al plazo razonable respecto del proce</w:t>
      </w:r>
      <w:r w:rsidR="001C3143">
        <w:rPr>
          <w:lang w:val="es-ES" w:eastAsia="es-ES"/>
        </w:rPr>
        <w:t>s</w:t>
      </w:r>
      <w:r>
        <w:rPr>
          <w:lang w:val="es-ES" w:eastAsia="es-ES"/>
        </w:rPr>
        <w:t xml:space="preserve">o contencioso administrativo </w:t>
      </w:r>
      <w:r w:rsidR="00B23860" w:rsidRPr="00B56CF7">
        <w:rPr>
          <w:lang w:val="es-ES" w:eastAsia="es-ES"/>
        </w:rPr>
        <w:t>(Artículos 8</w:t>
      </w:r>
      <w:r>
        <w:rPr>
          <w:lang w:val="es-ES" w:eastAsia="es-ES"/>
        </w:rPr>
        <w:t xml:space="preserve">.1, </w:t>
      </w:r>
      <w:r w:rsidR="00B23860" w:rsidRPr="00B56CF7">
        <w:rPr>
          <w:lang w:val="es-ES" w:eastAsia="es-ES"/>
        </w:rPr>
        <w:t>25</w:t>
      </w:r>
      <w:r>
        <w:rPr>
          <w:lang w:val="es-ES" w:eastAsia="es-ES"/>
        </w:rPr>
        <w:t>.1 y 1.1 de la Convención</w:t>
      </w:r>
      <w:r w:rsidR="00B23860" w:rsidRPr="00B56CF7">
        <w:rPr>
          <w:lang w:val="es-ES" w:eastAsia="es-ES"/>
        </w:rPr>
        <w:t xml:space="preserve"> de la Convención Americana</w:t>
      </w:r>
      <w:r w:rsidR="002D43E1" w:rsidRPr="00B56CF7">
        <w:rPr>
          <w:lang w:val="es-ES" w:eastAsia="es-ES"/>
        </w:rPr>
        <w:t>)</w:t>
      </w:r>
      <w:bookmarkEnd w:id="76"/>
      <w:bookmarkEnd w:id="77"/>
    </w:p>
    <w:p w:rsidR="00AA5846" w:rsidRDefault="00AA5846" w:rsidP="00BD6DA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rPr>
      </w:pPr>
    </w:p>
    <w:p w:rsidR="00050167" w:rsidRDefault="00050167" w:rsidP="0092554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rPr>
      </w:pPr>
      <w:r>
        <w:rPr>
          <w:rFonts w:asciiTheme="majorHAnsi" w:hAnsiTheme="majorHAnsi"/>
          <w:sz w:val="20"/>
          <w:szCs w:val="20"/>
          <w:lang w:val="es-ES"/>
        </w:rPr>
        <w:t xml:space="preserve">El </w:t>
      </w:r>
      <w:r w:rsidRPr="00925544">
        <w:rPr>
          <w:rFonts w:asciiTheme="majorHAnsi" w:hAnsiTheme="majorHAnsi"/>
          <w:sz w:val="20"/>
          <w:szCs w:val="20"/>
          <w:lang w:val="es-ES_tradnl"/>
        </w:rPr>
        <w:t>artículo</w:t>
      </w:r>
      <w:r>
        <w:rPr>
          <w:rFonts w:asciiTheme="majorHAnsi" w:hAnsiTheme="majorHAnsi"/>
          <w:sz w:val="20"/>
          <w:szCs w:val="20"/>
          <w:lang w:val="es-ES"/>
        </w:rPr>
        <w:t xml:space="preserve"> 8.1 </w:t>
      </w:r>
      <w:r w:rsidR="003F3CA4">
        <w:rPr>
          <w:rFonts w:asciiTheme="majorHAnsi" w:hAnsiTheme="majorHAnsi"/>
          <w:sz w:val="20"/>
          <w:szCs w:val="20"/>
          <w:lang w:val="es-ES"/>
        </w:rPr>
        <w:t>de la Convención Americana establece que:</w:t>
      </w:r>
    </w:p>
    <w:p w:rsidR="003F3CA4" w:rsidRDefault="003F3CA4" w:rsidP="0005016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jc w:val="both"/>
        <w:rPr>
          <w:rFonts w:ascii="Tahoma" w:hAnsi="Tahoma" w:cs="Tahoma"/>
          <w:color w:val="000000"/>
          <w:sz w:val="18"/>
          <w:szCs w:val="18"/>
          <w:lang w:val="es-CO"/>
        </w:rPr>
      </w:pPr>
    </w:p>
    <w:p w:rsidR="003F3CA4" w:rsidRDefault="003F3CA4" w:rsidP="008B082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Theme="majorHAnsi" w:hAnsiTheme="majorHAnsi" w:cs="Tahoma"/>
          <w:color w:val="000000"/>
          <w:sz w:val="20"/>
          <w:szCs w:val="20"/>
          <w:lang w:val="es-CO"/>
        </w:rPr>
      </w:pPr>
      <w:r w:rsidRPr="003F3CA4">
        <w:rPr>
          <w:rFonts w:asciiTheme="majorHAnsi" w:hAnsiTheme="majorHAnsi" w:cs="Tahoma"/>
          <w:color w:val="000000"/>
          <w:sz w:val="20"/>
          <w:szCs w:val="20"/>
          <w:lang w:val="es-CO"/>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C76328" w:rsidRDefault="00C76328" w:rsidP="003F3CA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ight="630"/>
        <w:jc w:val="both"/>
        <w:rPr>
          <w:rFonts w:asciiTheme="majorHAnsi" w:hAnsiTheme="majorHAnsi" w:cs="Tahoma"/>
          <w:color w:val="000000"/>
          <w:sz w:val="20"/>
          <w:szCs w:val="20"/>
          <w:lang w:val="es-CO"/>
        </w:rPr>
      </w:pPr>
    </w:p>
    <w:p w:rsidR="00C76328" w:rsidRPr="003F3CA4" w:rsidRDefault="00C76328" w:rsidP="00925544">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CO"/>
        </w:rPr>
      </w:pPr>
      <w:r>
        <w:rPr>
          <w:rFonts w:asciiTheme="majorHAnsi" w:hAnsiTheme="majorHAnsi" w:cs="Tahoma"/>
          <w:color w:val="000000"/>
          <w:sz w:val="20"/>
          <w:szCs w:val="20"/>
          <w:lang w:val="es-CO"/>
        </w:rPr>
        <w:t xml:space="preserve">Los artículos 25.1 y 1.1 de la Convención Americana ya fueron transcritos en secciones previas del presente informe. </w:t>
      </w:r>
    </w:p>
    <w:p w:rsidR="00050167" w:rsidRDefault="00050167" w:rsidP="00BD6DA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rPr>
      </w:pPr>
    </w:p>
    <w:p w:rsidR="00395233" w:rsidRPr="00395233" w:rsidRDefault="0017620D" w:rsidP="00BF0E7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Pr>
          <w:rFonts w:asciiTheme="majorHAnsi" w:hAnsiTheme="majorHAnsi"/>
          <w:sz w:val="20"/>
          <w:szCs w:val="20"/>
          <w:lang w:val="es-ES_tradnl"/>
        </w:rPr>
        <w:t>U</w:t>
      </w:r>
      <w:r w:rsidR="00BF0E77" w:rsidRPr="0062236D">
        <w:rPr>
          <w:rFonts w:asciiTheme="majorHAnsi" w:hAnsiTheme="majorHAnsi"/>
          <w:sz w:val="20"/>
          <w:szCs w:val="20"/>
          <w:lang w:val="es-ES_tradnl"/>
        </w:rPr>
        <w:t>no de los elementos del debido proceso</w:t>
      </w:r>
      <w:r w:rsidR="00C34B0A">
        <w:rPr>
          <w:rFonts w:asciiTheme="majorHAnsi" w:hAnsiTheme="majorHAnsi"/>
          <w:sz w:val="20"/>
          <w:szCs w:val="20"/>
          <w:lang w:val="es-ES_tradnl"/>
        </w:rPr>
        <w:t xml:space="preserve"> es</w:t>
      </w:r>
      <w:r w:rsidR="00BF0E77" w:rsidRPr="0062236D">
        <w:rPr>
          <w:rFonts w:asciiTheme="majorHAnsi" w:hAnsiTheme="majorHAnsi"/>
          <w:sz w:val="20"/>
          <w:szCs w:val="20"/>
          <w:lang w:val="es-ES_tradnl"/>
        </w:rPr>
        <w:t xml:space="preserve"> que los tribunales decidan los casos sometidos a su conocimiento en un plazo razonable. </w:t>
      </w:r>
      <w:r w:rsidR="00A329E4">
        <w:rPr>
          <w:rFonts w:asciiTheme="majorHAnsi" w:hAnsiTheme="majorHAnsi"/>
          <w:sz w:val="20"/>
          <w:szCs w:val="20"/>
          <w:lang w:val="es-ES_tradnl"/>
        </w:rPr>
        <w:t xml:space="preserve">El cumplimiento de esta garantía implica no sólo que los recursos </w:t>
      </w:r>
      <w:r w:rsidR="00A329E4">
        <w:rPr>
          <w:rFonts w:asciiTheme="majorHAnsi" w:hAnsiTheme="majorHAnsi"/>
          <w:sz w:val="20"/>
          <w:szCs w:val="20"/>
          <w:lang w:val="es-ES_tradnl"/>
        </w:rPr>
        <w:lastRenderedPageBreak/>
        <w:t xml:space="preserve">fueron resueltos en observancia del debido proceso sino también que fueron efectivos </w:t>
      </w:r>
      <w:r w:rsidR="00845699">
        <w:rPr>
          <w:rFonts w:asciiTheme="majorHAnsi" w:hAnsiTheme="majorHAnsi"/>
          <w:sz w:val="20"/>
          <w:szCs w:val="20"/>
          <w:lang w:val="es-ES_tradnl"/>
        </w:rPr>
        <w:t xml:space="preserve">y ofrecieron una debida protección judicial frente a posibles violaciones a los derechos </w:t>
      </w:r>
      <w:r w:rsidR="00395233">
        <w:rPr>
          <w:rFonts w:asciiTheme="majorHAnsi" w:hAnsiTheme="majorHAnsi"/>
          <w:sz w:val="20"/>
          <w:szCs w:val="20"/>
          <w:lang w:val="es-ES_tradnl"/>
        </w:rPr>
        <w:t>h</w:t>
      </w:r>
      <w:r w:rsidR="00845699">
        <w:rPr>
          <w:rFonts w:asciiTheme="majorHAnsi" w:hAnsiTheme="majorHAnsi"/>
          <w:sz w:val="20"/>
          <w:szCs w:val="20"/>
          <w:lang w:val="es-ES_tradnl"/>
        </w:rPr>
        <w:t xml:space="preserve">umanos. </w:t>
      </w:r>
    </w:p>
    <w:p w:rsidR="00395233" w:rsidRDefault="00395233" w:rsidP="00395233">
      <w:pPr>
        <w:pStyle w:val="ListParagraph"/>
        <w:rPr>
          <w:rFonts w:asciiTheme="majorHAnsi" w:hAnsiTheme="majorHAnsi"/>
          <w:sz w:val="20"/>
          <w:szCs w:val="20"/>
          <w:lang w:val="es-ES_tradnl"/>
        </w:rPr>
      </w:pPr>
    </w:p>
    <w:p w:rsidR="00BF0E77" w:rsidRPr="0062236D" w:rsidRDefault="00BE06FB" w:rsidP="00BF0E7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Pr>
          <w:rFonts w:asciiTheme="majorHAnsi" w:hAnsiTheme="majorHAnsi"/>
          <w:sz w:val="20"/>
          <w:szCs w:val="20"/>
          <w:lang w:val="es-ES_tradnl"/>
        </w:rPr>
        <w:t>L</w:t>
      </w:r>
      <w:r w:rsidR="00BF0E77" w:rsidRPr="0062236D">
        <w:rPr>
          <w:rFonts w:asciiTheme="majorHAnsi" w:hAnsiTheme="majorHAnsi"/>
          <w:sz w:val="20"/>
          <w:szCs w:val="20"/>
          <w:lang w:val="es-ES_tradnl"/>
        </w:rPr>
        <w:t>a Comisión</w:t>
      </w:r>
      <w:r>
        <w:rPr>
          <w:rFonts w:asciiTheme="majorHAnsi" w:hAnsiTheme="majorHAnsi"/>
          <w:sz w:val="20"/>
          <w:szCs w:val="20"/>
          <w:lang w:val="es-ES_tradnl"/>
        </w:rPr>
        <w:t xml:space="preserve"> recuerda que</w:t>
      </w:r>
      <w:r w:rsidR="00BF0E77" w:rsidRPr="0062236D">
        <w:rPr>
          <w:rFonts w:asciiTheme="majorHAnsi" w:hAnsiTheme="majorHAnsi"/>
          <w:sz w:val="20"/>
          <w:szCs w:val="20"/>
          <w:lang w:val="es-ES_tradnl"/>
        </w:rPr>
        <w:t xml:space="preserve"> </w:t>
      </w:r>
      <w:r w:rsidR="005D334C">
        <w:rPr>
          <w:rFonts w:asciiTheme="majorHAnsi" w:hAnsiTheme="majorHAnsi"/>
          <w:sz w:val="20"/>
          <w:szCs w:val="20"/>
          <w:lang w:val="es-ES_tradnl"/>
        </w:rPr>
        <w:t>los elementos</w:t>
      </w:r>
      <w:r w:rsidR="00E015A1">
        <w:rPr>
          <w:rFonts w:asciiTheme="majorHAnsi" w:hAnsiTheme="majorHAnsi"/>
          <w:sz w:val="20"/>
          <w:szCs w:val="20"/>
          <w:lang w:val="es-ES_tradnl"/>
        </w:rPr>
        <w:t xml:space="preserve"> que han sido tomados en cuenta</w:t>
      </w:r>
      <w:r w:rsidR="005D334C">
        <w:rPr>
          <w:rFonts w:asciiTheme="majorHAnsi" w:hAnsiTheme="majorHAnsi"/>
          <w:sz w:val="20"/>
          <w:szCs w:val="20"/>
          <w:lang w:val="es-ES_tradnl"/>
        </w:rPr>
        <w:t xml:space="preserve"> por </w:t>
      </w:r>
      <w:r w:rsidR="00E015A1">
        <w:rPr>
          <w:rFonts w:asciiTheme="majorHAnsi" w:hAnsiTheme="majorHAnsi"/>
          <w:sz w:val="20"/>
          <w:szCs w:val="20"/>
          <w:lang w:val="es-ES_tradnl"/>
        </w:rPr>
        <w:t xml:space="preserve">los </w:t>
      </w:r>
      <w:r w:rsidR="00BF0E77" w:rsidRPr="0062236D">
        <w:rPr>
          <w:rFonts w:asciiTheme="majorHAnsi" w:hAnsiTheme="majorHAnsi"/>
          <w:sz w:val="20"/>
          <w:szCs w:val="20"/>
          <w:lang w:val="es-ES_tradnl"/>
        </w:rPr>
        <w:t xml:space="preserve">órganos del sistema interamericano </w:t>
      </w:r>
      <w:r w:rsidR="005D334C">
        <w:rPr>
          <w:rFonts w:asciiTheme="majorHAnsi" w:hAnsiTheme="majorHAnsi"/>
          <w:sz w:val="20"/>
          <w:szCs w:val="20"/>
          <w:lang w:val="es-ES_tradnl"/>
        </w:rPr>
        <w:t>para analizar el plazo razonable según las circunstancias de cada caso son:</w:t>
      </w:r>
      <w:r w:rsidR="00BF0E77" w:rsidRPr="0062236D">
        <w:rPr>
          <w:rFonts w:asciiTheme="majorHAnsi" w:hAnsiTheme="majorHAnsi"/>
          <w:sz w:val="20"/>
          <w:szCs w:val="20"/>
          <w:lang w:val="es-ES"/>
        </w:rPr>
        <w:t xml:space="preserve"> i) la complejidad del asunto; ii) la acti</w:t>
      </w:r>
      <w:r w:rsidR="00E015A1">
        <w:rPr>
          <w:rFonts w:asciiTheme="majorHAnsi" w:hAnsiTheme="majorHAnsi"/>
          <w:sz w:val="20"/>
          <w:szCs w:val="20"/>
          <w:lang w:val="es-ES"/>
        </w:rPr>
        <w:t>vidad procesal del interesado;</w:t>
      </w:r>
      <w:r w:rsidR="00BF0E77" w:rsidRPr="0062236D">
        <w:rPr>
          <w:rFonts w:asciiTheme="majorHAnsi" w:hAnsiTheme="majorHAnsi"/>
          <w:sz w:val="20"/>
          <w:szCs w:val="20"/>
          <w:lang w:val="es-ES"/>
        </w:rPr>
        <w:t xml:space="preserve"> iii) la conducta de las autoridades judiciales;</w:t>
      </w:r>
      <w:r w:rsidR="00BF0E77" w:rsidRPr="0062236D">
        <w:rPr>
          <w:rFonts w:asciiTheme="majorHAnsi" w:hAnsiTheme="majorHAnsi"/>
          <w:sz w:val="20"/>
          <w:szCs w:val="20"/>
          <w:lang w:val="es-ES_tradnl"/>
        </w:rPr>
        <w:t xml:space="preserve"> y iv) </w:t>
      </w:r>
      <w:r w:rsidR="00855B3B">
        <w:rPr>
          <w:rFonts w:asciiTheme="majorHAnsi" w:hAnsiTheme="majorHAnsi"/>
          <w:sz w:val="20"/>
          <w:szCs w:val="20"/>
          <w:lang w:val="es-ES_tradnl"/>
        </w:rPr>
        <w:t xml:space="preserve">la </w:t>
      </w:r>
      <w:r w:rsidR="00BF0E77" w:rsidRPr="0062236D">
        <w:rPr>
          <w:rFonts w:asciiTheme="majorHAnsi" w:hAnsiTheme="majorHAnsi"/>
          <w:sz w:val="20"/>
          <w:szCs w:val="20"/>
          <w:lang w:val="es-ES_tradnl"/>
        </w:rPr>
        <w:t>afectación generada en la situación jurídica de la persona involucrada en el proceso</w:t>
      </w:r>
      <w:r w:rsidR="00BF0E77" w:rsidRPr="0062236D">
        <w:rPr>
          <w:rStyle w:val="FootnoteReference"/>
          <w:rFonts w:asciiTheme="majorHAnsi" w:hAnsiTheme="majorHAnsi"/>
          <w:sz w:val="20"/>
          <w:szCs w:val="20"/>
          <w:lang w:val="es-ES_tradnl"/>
        </w:rPr>
        <w:t xml:space="preserve"> </w:t>
      </w:r>
      <w:r w:rsidR="00BF0E77" w:rsidRPr="0062236D">
        <w:rPr>
          <w:rStyle w:val="FootnoteReference"/>
          <w:rFonts w:asciiTheme="majorHAnsi" w:hAnsiTheme="majorHAnsi"/>
          <w:sz w:val="20"/>
          <w:szCs w:val="20"/>
          <w:lang w:val="es-ES_tradnl"/>
        </w:rPr>
        <w:footnoteReference w:id="83"/>
      </w:r>
      <w:r w:rsidR="00BF0E77" w:rsidRPr="0062236D">
        <w:rPr>
          <w:rFonts w:asciiTheme="majorHAnsi" w:hAnsiTheme="majorHAnsi"/>
          <w:sz w:val="20"/>
          <w:szCs w:val="20"/>
          <w:lang w:val="es-ES"/>
        </w:rPr>
        <w:t xml:space="preserve">. </w:t>
      </w:r>
      <w:r w:rsidR="00BF0E77" w:rsidRPr="0062236D">
        <w:rPr>
          <w:rFonts w:asciiTheme="majorHAnsi" w:hAnsiTheme="majorHAnsi"/>
          <w:sz w:val="20"/>
          <w:szCs w:val="20"/>
          <w:lang w:val="es-ES_tradnl"/>
        </w:rPr>
        <w:t>La Corte Interamericana ha establecido que una demora prolongada puede llegar a constituir por sí misma una violación de las garantías judiciales</w:t>
      </w:r>
      <w:r w:rsidR="00BF0E77" w:rsidRPr="0062236D">
        <w:rPr>
          <w:rFonts w:asciiTheme="majorHAnsi" w:hAnsiTheme="majorHAnsi"/>
          <w:sz w:val="20"/>
          <w:szCs w:val="20"/>
          <w:vertAlign w:val="superscript"/>
          <w:lang w:val="es-ES_tradnl"/>
        </w:rPr>
        <w:footnoteReference w:id="84"/>
      </w:r>
      <w:r w:rsidR="00BF0E77" w:rsidRPr="0062236D">
        <w:rPr>
          <w:rFonts w:asciiTheme="majorHAnsi" w:hAnsiTheme="majorHAnsi"/>
          <w:sz w:val="20"/>
          <w:szCs w:val="20"/>
          <w:lang w:val="es-ES_tradnl"/>
        </w:rPr>
        <w:t>, por lo cual, corresponde al Estado exponer y probar la razón por la cual se ha requerido más tiempo del razonable para dictar sentencia definitiva en un caso particular</w:t>
      </w:r>
      <w:r w:rsidR="00BF0E77" w:rsidRPr="0062236D">
        <w:rPr>
          <w:rFonts w:asciiTheme="majorHAnsi" w:hAnsiTheme="majorHAnsi"/>
          <w:sz w:val="20"/>
          <w:szCs w:val="20"/>
          <w:vertAlign w:val="superscript"/>
          <w:lang w:val="es-ES_tradnl"/>
        </w:rPr>
        <w:footnoteReference w:id="85"/>
      </w:r>
      <w:r w:rsidR="00BF0E77" w:rsidRPr="0062236D">
        <w:rPr>
          <w:rFonts w:asciiTheme="majorHAnsi" w:hAnsiTheme="majorHAnsi"/>
          <w:sz w:val="20"/>
          <w:szCs w:val="20"/>
          <w:lang w:val="es-ES_tradnl"/>
        </w:rPr>
        <w:t>.</w:t>
      </w:r>
    </w:p>
    <w:p w:rsidR="00BF0E77" w:rsidRPr="00AA5846" w:rsidRDefault="00BF0E77" w:rsidP="00BD6DA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rPr>
      </w:pPr>
    </w:p>
    <w:p w:rsidR="00EC1348" w:rsidRPr="00760EF5" w:rsidRDefault="00FD55C0" w:rsidP="00760EF5">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eastAsia="es-ES"/>
        </w:rPr>
      </w:pPr>
      <w:r>
        <w:rPr>
          <w:rFonts w:asciiTheme="majorHAnsi" w:hAnsiTheme="majorHAnsi"/>
          <w:sz w:val="20"/>
          <w:szCs w:val="20"/>
          <w:lang w:val="es-VE"/>
        </w:rPr>
        <w:t xml:space="preserve">Según lo indicado en los hechos probados, </w:t>
      </w:r>
      <w:r w:rsidR="002D43E1" w:rsidRPr="0062236D">
        <w:rPr>
          <w:rFonts w:asciiTheme="majorHAnsi" w:hAnsiTheme="majorHAnsi"/>
          <w:sz w:val="20"/>
          <w:szCs w:val="20"/>
          <w:lang w:val="es-VE"/>
        </w:rPr>
        <w:t>en diciembre de 1999 el peticionario presentó una demanda por daños y perjuicios en contra del Estado y en contra del Juez Galeano</w:t>
      </w:r>
      <w:r w:rsidR="00661C57">
        <w:rPr>
          <w:rFonts w:asciiTheme="majorHAnsi" w:hAnsiTheme="majorHAnsi"/>
          <w:sz w:val="20"/>
          <w:szCs w:val="20"/>
          <w:lang w:val="es-VE"/>
        </w:rPr>
        <w:t xml:space="preserve">, quien </w:t>
      </w:r>
      <w:r w:rsidR="002D43E1" w:rsidRPr="0062236D">
        <w:rPr>
          <w:rFonts w:asciiTheme="majorHAnsi" w:hAnsiTheme="majorHAnsi"/>
          <w:sz w:val="20"/>
          <w:szCs w:val="20"/>
          <w:lang w:val="es-VE"/>
        </w:rPr>
        <w:t>ordenó su detención en 1994</w:t>
      </w:r>
      <w:r w:rsidR="00DE2FE5">
        <w:rPr>
          <w:rFonts w:asciiTheme="majorHAnsi" w:hAnsiTheme="majorHAnsi"/>
          <w:sz w:val="20"/>
          <w:szCs w:val="20"/>
          <w:lang w:val="es-VE"/>
        </w:rPr>
        <w:t>, a fin de obtener una reparación por las afectaciones derivadas del tiempo en que estuvo sometido a proceso y en detención preventi</w:t>
      </w:r>
      <w:r w:rsidR="005F62A4">
        <w:rPr>
          <w:rFonts w:asciiTheme="majorHAnsi" w:hAnsiTheme="majorHAnsi"/>
          <w:sz w:val="20"/>
          <w:szCs w:val="20"/>
          <w:lang w:val="es-VE"/>
        </w:rPr>
        <w:t>v</w:t>
      </w:r>
      <w:r w:rsidR="00DE2FE5">
        <w:rPr>
          <w:rFonts w:asciiTheme="majorHAnsi" w:hAnsiTheme="majorHAnsi"/>
          <w:sz w:val="20"/>
          <w:szCs w:val="20"/>
          <w:lang w:val="es-VE"/>
        </w:rPr>
        <w:t>a.</w:t>
      </w:r>
      <w:r w:rsidR="00661C57">
        <w:rPr>
          <w:rFonts w:asciiTheme="majorHAnsi" w:hAnsiTheme="majorHAnsi"/>
          <w:sz w:val="20"/>
          <w:szCs w:val="20"/>
          <w:lang w:val="es-VE"/>
        </w:rPr>
        <w:t xml:space="preserve"> Esta demanda fue tramitada por </w:t>
      </w:r>
      <w:r w:rsidR="002D43E1" w:rsidRPr="0062236D">
        <w:rPr>
          <w:rFonts w:asciiTheme="majorHAnsi" w:hAnsiTheme="majorHAnsi"/>
          <w:sz w:val="20"/>
          <w:szCs w:val="20"/>
          <w:lang w:val="es-VE"/>
        </w:rPr>
        <w:t>la Jueza Federal de Primera Instancia en lo Con</w:t>
      </w:r>
      <w:r w:rsidR="00661C57">
        <w:rPr>
          <w:rFonts w:asciiTheme="majorHAnsi" w:hAnsiTheme="majorHAnsi"/>
          <w:sz w:val="20"/>
          <w:szCs w:val="20"/>
          <w:lang w:val="es-VE"/>
        </w:rPr>
        <w:t>tencioso Administrativo No. 10 y parcialmente rechazada el 8 de junio de 2000</w:t>
      </w:r>
      <w:r w:rsidR="00E015A1">
        <w:rPr>
          <w:rFonts w:asciiTheme="majorHAnsi" w:hAnsiTheme="majorHAnsi"/>
          <w:sz w:val="20"/>
          <w:szCs w:val="20"/>
          <w:lang w:val="es-VE"/>
        </w:rPr>
        <w:t>,</w:t>
      </w:r>
      <w:r w:rsidR="00661C57">
        <w:rPr>
          <w:rFonts w:asciiTheme="majorHAnsi" w:hAnsiTheme="majorHAnsi"/>
          <w:sz w:val="20"/>
          <w:szCs w:val="20"/>
          <w:lang w:val="es-VE"/>
        </w:rPr>
        <w:t xml:space="preserve"> </w:t>
      </w:r>
      <w:r w:rsidR="002D43E1" w:rsidRPr="00661C57">
        <w:rPr>
          <w:rFonts w:asciiTheme="majorHAnsi" w:hAnsiTheme="majorHAnsi"/>
          <w:sz w:val="20"/>
          <w:szCs w:val="20"/>
          <w:lang w:val="es-ES" w:eastAsia="es-ES"/>
        </w:rPr>
        <w:t>al acogerse una excepción de falta de legitimación para ser demandado</w:t>
      </w:r>
      <w:r w:rsidR="00661C57">
        <w:rPr>
          <w:rFonts w:asciiTheme="majorHAnsi" w:hAnsiTheme="majorHAnsi"/>
          <w:sz w:val="20"/>
          <w:szCs w:val="20"/>
          <w:lang w:val="es-ES" w:eastAsia="es-ES"/>
        </w:rPr>
        <w:t xml:space="preserve"> interpuesta por el referido Juez Galeano</w:t>
      </w:r>
      <w:r w:rsidR="00E015A1">
        <w:rPr>
          <w:rFonts w:asciiTheme="majorHAnsi" w:hAnsiTheme="majorHAnsi"/>
          <w:sz w:val="20"/>
          <w:szCs w:val="20"/>
          <w:lang w:val="es-ES" w:eastAsia="es-ES"/>
        </w:rPr>
        <w:t>,</w:t>
      </w:r>
      <w:r w:rsidR="00661C57">
        <w:rPr>
          <w:rFonts w:asciiTheme="majorHAnsi" w:hAnsiTheme="majorHAnsi"/>
          <w:sz w:val="20"/>
          <w:szCs w:val="20"/>
          <w:lang w:val="es-ES" w:eastAsia="es-ES"/>
        </w:rPr>
        <w:t xml:space="preserve"> bajo el argumento de no haberse solicitado previamente su desafuero. En atención a lo anterior, la demanda continuó únicamente respecto del </w:t>
      </w:r>
      <w:r w:rsidR="002D43E1" w:rsidRPr="00661C57">
        <w:rPr>
          <w:rFonts w:asciiTheme="majorHAnsi" w:hAnsiTheme="majorHAnsi"/>
          <w:sz w:val="20"/>
          <w:szCs w:val="20"/>
          <w:lang w:val="es-ES" w:eastAsia="es-ES"/>
        </w:rPr>
        <w:t>Estado Nacional</w:t>
      </w:r>
      <w:r w:rsidR="00760EF5">
        <w:rPr>
          <w:rFonts w:asciiTheme="majorHAnsi" w:hAnsiTheme="majorHAnsi"/>
          <w:sz w:val="20"/>
          <w:szCs w:val="20"/>
          <w:lang w:val="es-ES" w:eastAsia="es-ES"/>
        </w:rPr>
        <w:t>, en el marco de la cual e</w:t>
      </w:r>
      <w:r w:rsidR="00274946" w:rsidRPr="00760EF5">
        <w:rPr>
          <w:rFonts w:asciiTheme="majorHAnsi" w:hAnsiTheme="majorHAnsi"/>
          <w:sz w:val="20"/>
          <w:szCs w:val="20"/>
          <w:lang w:val="es-ES" w:eastAsia="es-ES"/>
        </w:rPr>
        <w:t>l 30 de abril de 2007</w:t>
      </w:r>
      <w:r w:rsidR="00760EF5">
        <w:rPr>
          <w:rFonts w:asciiTheme="majorHAnsi" w:hAnsiTheme="majorHAnsi"/>
          <w:sz w:val="20"/>
          <w:szCs w:val="20"/>
          <w:lang w:val="es-ES" w:eastAsia="es-ES"/>
        </w:rPr>
        <w:t xml:space="preserve"> se emitió una decisión de rechazo</w:t>
      </w:r>
      <w:r w:rsidR="00E015A1">
        <w:rPr>
          <w:rFonts w:asciiTheme="majorHAnsi" w:hAnsiTheme="majorHAnsi"/>
          <w:sz w:val="20"/>
          <w:szCs w:val="20"/>
          <w:lang w:val="es-ES" w:eastAsia="es-ES"/>
        </w:rPr>
        <w:t>,</w:t>
      </w:r>
      <w:r w:rsidR="00760EF5">
        <w:rPr>
          <w:rFonts w:asciiTheme="majorHAnsi" w:hAnsiTheme="majorHAnsi"/>
          <w:sz w:val="20"/>
          <w:szCs w:val="20"/>
          <w:lang w:val="es-ES" w:eastAsia="es-ES"/>
        </w:rPr>
        <w:t xml:space="preserve"> pues </w:t>
      </w:r>
      <w:r w:rsidR="002C3926" w:rsidRPr="00760EF5">
        <w:rPr>
          <w:rFonts w:asciiTheme="majorHAnsi" w:hAnsiTheme="majorHAnsi"/>
          <w:sz w:val="20"/>
          <w:szCs w:val="20"/>
          <w:lang w:val="es-ES" w:eastAsia="es-ES"/>
        </w:rPr>
        <w:t xml:space="preserve">la absolución no fue dictada en virtud de su “inocencia manifiesta” </w:t>
      </w:r>
      <w:r w:rsidR="00760EF5">
        <w:rPr>
          <w:rFonts w:asciiTheme="majorHAnsi" w:hAnsiTheme="majorHAnsi"/>
          <w:sz w:val="20"/>
          <w:szCs w:val="20"/>
          <w:lang w:val="es-ES" w:eastAsia="es-ES"/>
        </w:rPr>
        <w:t xml:space="preserve">y </w:t>
      </w:r>
      <w:r w:rsidR="002C3926" w:rsidRPr="00760EF5">
        <w:rPr>
          <w:rFonts w:asciiTheme="majorHAnsi" w:hAnsiTheme="majorHAnsi"/>
          <w:sz w:val="20"/>
          <w:szCs w:val="20"/>
          <w:lang w:val="es-ES" w:eastAsia="es-ES"/>
        </w:rPr>
        <w:t xml:space="preserve">el auto de </w:t>
      </w:r>
      <w:r w:rsidR="00760EF5">
        <w:rPr>
          <w:rFonts w:asciiTheme="majorHAnsi" w:hAnsiTheme="majorHAnsi"/>
          <w:sz w:val="20"/>
          <w:szCs w:val="20"/>
          <w:lang w:val="es-ES" w:eastAsia="es-ES"/>
        </w:rPr>
        <w:t xml:space="preserve">detención </w:t>
      </w:r>
      <w:r w:rsidR="002C3926" w:rsidRPr="00760EF5">
        <w:rPr>
          <w:rFonts w:asciiTheme="majorHAnsi" w:hAnsiTheme="majorHAnsi"/>
          <w:sz w:val="20"/>
          <w:szCs w:val="20"/>
          <w:lang w:val="es-ES" w:eastAsia="es-ES"/>
        </w:rPr>
        <w:t>preventiva</w:t>
      </w:r>
      <w:r w:rsidR="00760EF5">
        <w:rPr>
          <w:rFonts w:asciiTheme="majorHAnsi" w:hAnsiTheme="majorHAnsi"/>
          <w:sz w:val="20"/>
          <w:szCs w:val="20"/>
          <w:lang w:val="es-ES" w:eastAsia="es-ES"/>
        </w:rPr>
        <w:t xml:space="preserve"> no fue </w:t>
      </w:r>
      <w:r w:rsidR="002C3926" w:rsidRPr="00760EF5">
        <w:rPr>
          <w:rFonts w:asciiTheme="majorHAnsi" w:hAnsiTheme="majorHAnsi"/>
          <w:sz w:val="20"/>
          <w:szCs w:val="20"/>
          <w:lang w:val="es-ES" w:eastAsia="es-ES"/>
        </w:rPr>
        <w:t>incuestionablemente infundado o arbitrario</w:t>
      </w:r>
      <w:r w:rsidR="002C3926" w:rsidRPr="00760EF5">
        <w:rPr>
          <w:rFonts w:asciiTheme="majorHAnsi" w:hAnsiTheme="majorHAnsi"/>
          <w:sz w:val="20"/>
          <w:szCs w:val="20"/>
          <w:lang w:val="es-VE"/>
        </w:rPr>
        <w:t>.</w:t>
      </w:r>
      <w:r w:rsidR="00194B70">
        <w:rPr>
          <w:rFonts w:asciiTheme="majorHAnsi" w:hAnsiTheme="majorHAnsi"/>
          <w:sz w:val="20"/>
          <w:szCs w:val="20"/>
          <w:lang w:val="es-VE"/>
        </w:rPr>
        <w:t xml:space="preserve"> </w:t>
      </w:r>
      <w:r w:rsidR="0029419C" w:rsidRPr="00B56CF7">
        <w:rPr>
          <w:rFonts w:asciiTheme="majorHAnsi" w:hAnsiTheme="majorHAnsi"/>
          <w:sz w:val="20"/>
          <w:szCs w:val="20"/>
          <w:lang w:val="es-ES" w:eastAsia="es-ES"/>
        </w:rPr>
        <w:t xml:space="preserve">La Comisión no tiene información respecto </w:t>
      </w:r>
      <w:r w:rsidR="0029419C">
        <w:rPr>
          <w:rFonts w:asciiTheme="majorHAnsi" w:hAnsiTheme="majorHAnsi"/>
          <w:sz w:val="20"/>
          <w:szCs w:val="20"/>
          <w:lang w:val="es-ES" w:eastAsia="es-ES"/>
        </w:rPr>
        <w:t>de</w:t>
      </w:r>
      <w:r w:rsidR="0029419C" w:rsidRPr="00B56CF7">
        <w:rPr>
          <w:rFonts w:asciiTheme="majorHAnsi" w:hAnsiTheme="majorHAnsi"/>
          <w:sz w:val="20"/>
          <w:szCs w:val="20"/>
          <w:lang w:val="es-ES" w:eastAsia="es-ES"/>
        </w:rPr>
        <w:t xml:space="preserve"> las diligencias realizadas en el marco del proceso por daños y perjuicios entre junio de 2000 y abril de 2007. </w:t>
      </w:r>
      <w:r w:rsidR="00194B70">
        <w:rPr>
          <w:rFonts w:asciiTheme="majorHAnsi" w:hAnsiTheme="majorHAnsi"/>
          <w:sz w:val="20"/>
          <w:szCs w:val="20"/>
          <w:lang w:val="es-VE"/>
        </w:rPr>
        <w:t xml:space="preserve">Esta decisión fue apelada </w:t>
      </w:r>
      <w:r w:rsidR="002C3926" w:rsidRPr="00760EF5">
        <w:rPr>
          <w:rFonts w:asciiTheme="majorHAnsi" w:hAnsiTheme="majorHAnsi"/>
          <w:sz w:val="20"/>
          <w:szCs w:val="20"/>
          <w:lang w:val="es-VE"/>
        </w:rPr>
        <w:t xml:space="preserve">y el </w:t>
      </w:r>
      <w:r w:rsidR="00753C72" w:rsidRPr="00760EF5">
        <w:rPr>
          <w:rFonts w:asciiTheme="majorHAnsi" w:hAnsiTheme="majorHAnsi"/>
          <w:sz w:val="20"/>
          <w:szCs w:val="20"/>
          <w:lang w:val="es-VE"/>
        </w:rPr>
        <w:t xml:space="preserve">25 de marzo de 2009 la Sala III de la Cámara Nacional de Apelaciones en lo Contencioso Administrativo Federal declaró desierto el recurso </w:t>
      </w:r>
      <w:r w:rsidR="00194B70">
        <w:rPr>
          <w:rFonts w:asciiTheme="majorHAnsi" w:hAnsiTheme="majorHAnsi"/>
          <w:sz w:val="20"/>
          <w:szCs w:val="20"/>
          <w:lang w:val="es-VE"/>
        </w:rPr>
        <w:t xml:space="preserve">debido a que </w:t>
      </w:r>
      <w:r w:rsidR="00753C72" w:rsidRPr="00760EF5">
        <w:rPr>
          <w:rFonts w:asciiTheme="majorHAnsi" w:hAnsiTheme="majorHAnsi"/>
          <w:sz w:val="20"/>
          <w:szCs w:val="20"/>
          <w:lang w:val="es-VE"/>
        </w:rPr>
        <w:t xml:space="preserve">el apelante no controvirtió las razones esgrimidas por la jueza en la decisión de primera instancia. </w:t>
      </w:r>
    </w:p>
    <w:p w:rsidR="00EC1348" w:rsidRPr="00B56CF7" w:rsidRDefault="00EC1348" w:rsidP="00EC1348">
      <w:pPr>
        <w:pStyle w:val="ListParagraph"/>
        <w:rPr>
          <w:rFonts w:asciiTheme="majorHAnsi" w:hAnsiTheme="majorHAnsi"/>
          <w:sz w:val="20"/>
          <w:szCs w:val="20"/>
          <w:lang w:val="es-ES"/>
        </w:rPr>
      </w:pPr>
    </w:p>
    <w:p w:rsidR="00EC1348" w:rsidRPr="0062236D" w:rsidRDefault="0029419C" w:rsidP="00EC134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Pr>
          <w:rFonts w:asciiTheme="majorHAnsi" w:hAnsiTheme="majorHAnsi"/>
          <w:sz w:val="20"/>
          <w:szCs w:val="20"/>
          <w:lang w:val="es-ES" w:eastAsia="es-ES"/>
        </w:rPr>
        <w:t xml:space="preserve">En virtud de lo anterior, la totalidad del proceso de daños y perjuicios tuvo una duración de nueve años y tres meses. </w:t>
      </w:r>
    </w:p>
    <w:p w:rsidR="00EC1348" w:rsidRPr="0062236D" w:rsidRDefault="00EC1348" w:rsidP="00EC1348">
      <w:pPr>
        <w:rPr>
          <w:rFonts w:asciiTheme="majorHAnsi" w:hAnsiTheme="majorHAnsi"/>
          <w:sz w:val="20"/>
          <w:szCs w:val="20"/>
          <w:lang w:val="es-ES"/>
        </w:rPr>
      </w:pPr>
    </w:p>
    <w:p w:rsidR="00EC1348" w:rsidRPr="0062236D" w:rsidRDefault="004879A8" w:rsidP="00EC134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62236D">
        <w:rPr>
          <w:rFonts w:asciiTheme="majorHAnsi" w:hAnsiTheme="majorHAnsi"/>
          <w:sz w:val="20"/>
          <w:szCs w:val="20"/>
          <w:lang w:val="es-ES"/>
        </w:rPr>
        <w:t>En cuanto al primer elemento,</w:t>
      </w:r>
      <w:r w:rsidR="00FD0D0F">
        <w:rPr>
          <w:rFonts w:asciiTheme="majorHAnsi" w:hAnsiTheme="majorHAnsi"/>
          <w:sz w:val="20"/>
          <w:szCs w:val="20"/>
          <w:lang w:val="es-ES"/>
        </w:rPr>
        <w:t xml:space="preserve"> esto es, la complejidad del asunto, </w:t>
      </w:r>
      <w:r w:rsidRPr="0062236D">
        <w:rPr>
          <w:rFonts w:asciiTheme="majorHAnsi" w:hAnsiTheme="majorHAnsi"/>
          <w:sz w:val="20"/>
          <w:szCs w:val="20"/>
          <w:lang w:val="es-ES"/>
        </w:rPr>
        <w:t>la Comisi</w:t>
      </w:r>
      <w:r w:rsidR="006570B1" w:rsidRPr="0062236D">
        <w:rPr>
          <w:rFonts w:asciiTheme="majorHAnsi" w:hAnsiTheme="majorHAnsi"/>
          <w:sz w:val="20"/>
          <w:szCs w:val="20"/>
          <w:lang w:val="es-ES"/>
        </w:rPr>
        <w:t xml:space="preserve">ón observa que </w:t>
      </w:r>
      <w:r w:rsidR="00147111" w:rsidRPr="0062236D">
        <w:rPr>
          <w:rFonts w:asciiTheme="majorHAnsi" w:hAnsiTheme="majorHAnsi"/>
          <w:sz w:val="20"/>
          <w:szCs w:val="20"/>
          <w:lang w:val="es-ES"/>
        </w:rPr>
        <w:t>la</w:t>
      </w:r>
      <w:r w:rsidR="00E90F9A">
        <w:rPr>
          <w:rFonts w:asciiTheme="majorHAnsi" w:hAnsiTheme="majorHAnsi"/>
          <w:sz w:val="20"/>
          <w:szCs w:val="20"/>
          <w:lang w:val="es-ES"/>
        </w:rPr>
        <w:t xml:space="preserve"> demanda de </w:t>
      </w:r>
      <w:r w:rsidR="006570B1" w:rsidRPr="0062236D">
        <w:rPr>
          <w:rFonts w:asciiTheme="majorHAnsi" w:hAnsiTheme="majorHAnsi"/>
          <w:sz w:val="20"/>
          <w:szCs w:val="20"/>
          <w:lang w:val="es-ES"/>
        </w:rPr>
        <w:t xml:space="preserve">daños y perjuicios interpuesta por el peticionario </w:t>
      </w:r>
      <w:r w:rsidR="00147111" w:rsidRPr="0062236D">
        <w:rPr>
          <w:rFonts w:asciiTheme="majorHAnsi" w:hAnsiTheme="majorHAnsi"/>
          <w:sz w:val="20"/>
          <w:szCs w:val="20"/>
          <w:lang w:val="es-ES"/>
        </w:rPr>
        <w:t xml:space="preserve">tenía por objeto obtener una indemnización pecuniaria por </w:t>
      </w:r>
      <w:r w:rsidR="00410AE9">
        <w:rPr>
          <w:rFonts w:asciiTheme="majorHAnsi" w:hAnsiTheme="majorHAnsi"/>
          <w:sz w:val="20"/>
          <w:szCs w:val="20"/>
          <w:lang w:val="es-ES"/>
        </w:rPr>
        <w:t>la</w:t>
      </w:r>
      <w:r w:rsidR="00147111" w:rsidRPr="0062236D">
        <w:rPr>
          <w:rFonts w:asciiTheme="majorHAnsi" w:hAnsiTheme="majorHAnsi"/>
          <w:sz w:val="20"/>
          <w:szCs w:val="20"/>
          <w:lang w:val="es-ES"/>
        </w:rPr>
        <w:t xml:space="preserve"> detención preventiva</w:t>
      </w:r>
      <w:r w:rsidR="00410AE9">
        <w:rPr>
          <w:rFonts w:asciiTheme="majorHAnsi" w:hAnsiTheme="majorHAnsi"/>
          <w:sz w:val="20"/>
          <w:szCs w:val="20"/>
          <w:lang w:val="es-ES"/>
        </w:rPr>
        <w:t xml:space="preserve"> y su extensión a la luz de su </w:t>
      </w:r>
      <w:r w:rsidR="00147111" w:rsidRPr="0062236D">
        <w:rPr>
          <w:rFonts w:asciiTheme="majorHAnsi" w:hAnsiTheme="majorHAnsi"/>
          <w:sz w:val="20"/>
          <w:szCs w:val="20"/>
          <w:lang w:val="es-ES"/>
        </w:rPr>
        <w:t>absolución en el proceso al cual fue sometido</w:t>
      </w:r>
      <w:r w:rsidR="00424BAB" w:rsidRPr="0062236D">
        <w:rPr>
          <w:rFonts w:asciiTheme="majorHAnsi" w:hAnsiTheme="majorHAnsi"/>
          <w:sz w:val="20"/>
          <w:szCs w:val="20"/>
          <w:lang w:val="es-ES"/>
        </w:rPr>
        <w:t xml:space="preserve">. </w:t>
      </w:r>
      <w:r w:rsidR="00D86424">
        <w:rPr>
          <w:rFonts w:asciiTheme="majorHAnsi" w:hAnsiTheme="majorHAnsi"/>
          <w:sz w:val="20"/>
          <w:szCs w:val="20"/>
          <w:lang w:val="es-ES"/>
        </w:rPr>
        <w:t xml:space="preserve">En ese sentido, </w:t>
      </w:r>
      <w:r w:rsidR="00424BAB" w:rsidRPr="0062236D">
        <w:rPr>
          <w:rFonts w:asciiTheme="majorHAnsi" w:hAnsiTheme="majorHAnsi"/>
          <w:sz w:val="20"/>
          <w:szCs w:val="20"/>
          <w:lang w:val="es-ES"/>
        </w:rPr>
        <w:t xml:space="preserve">las determinaciones del tribunal </w:t>
      </w:r>
      <w:r w:rsidR="00D86424">
        <w:rPr>
          <w:rFonts w:asciiTheme="majorHAnsi" w:hAnsiTheme="majorHAnsi"/>
          <w:sz w:val="20"/>
          <w:szCs w:val="20"/>
          <w:lang w:val="es-ES"/>
        </w:rPr>
        <w:t xml:space="preserve">respecto de la posible responsabilidad del Estado por tales hechos no implicaba práctica extensa de pruebas ni la necesidad de dilucidar debates fácticos importantes. De hecho, como resulta de la propia decisión que rechazó en primera instancia la demanda, la misma se basó en la motivación de la absolución de la víctima, motivación que tuvo a la vista desde el inicio del procedimiento. </w:t>
      </w:r>
      <w:r w:rsidR="00C81CD6">
        <w:rPr>
          <w:rFonts w:asciiTheme="majorHAnsi" w:hAnsiTheme="majorHAnsi"/>
          <w:sz w:val="20"/>
          <w:szCs w:val="20"/>
          <w:lang w:val="es-ES"/>
        </w:rPr>
        <w:t xml:space="preserve">En consecuencia, la Comisión considera que el proceso no </w:t>
      </w:r>
      <w:r w:rsidR="00424BAB" w:rsidRPr="0062236D">
        <w:rPr>
          <w:rFonts w:asciiTheme="majorHAnsi" w:hAnsiTheme="majorHAnsi"/>
          <w:sz w:val="20"/>
          <w:szCs w:val="20"/>
          <w:lang w:val="es-ES"/>
        </w:rPr>
        <w:t xml:space="preserve">revestía una particular complejidad. </w:t>
      </w:r>
      <w:r w:rsidR="00C81CD6">
        <w:rPr>
          <w:rFonts w:asciiTheme="majorHAnsi" w:hAnsiTheme="majorHAnsi"/>
          <w:sz w:val="20"/>
          <w:szCs w:val="20"/>
          <w:lang w:val="es-ES"/>
        </w:rPr>
        <w:t xml:space="preserve">En todo caso, la Comisión destaca que </w:t>
      </w:r>
      <w:r w:rsidR="00424BAB" w:rsidRPr="0062236D">
        <w:rPr>
          <w:rFonts w:asciiTheme="majorHAnsi" w:hAnsiTheme="majorHAnsi"/>
          <w:sz w:val="20"/>
          <w:szCs w:val="20"/>
          <w:lang w:val="es-ES"/>
        </w:rPr>
        <w:t>el Estado no argumentó específicamente las razones por las cuales la complejidad habría incidi</w:t>
      </w:r>
      <w:r w:rsidR="00E43C7E" w:rsidRPr="0062236D">
        <w:rPr>
          <w:rFonts w:asciiTheme="majorHAnsi" w:hAnsiTheme="majorHAnsi"/>
          <w:sz w:val="20"/>
          <w:szCs w:val="20"/>
          <w:lang w:val="es-ES"/>
        </w:rPr>
        <w:t>do en la duración del proceso.</w:t>
      </w:r>
    </w:p>
    <w:p w:rsidR="00EC1348" w:rsidRPr="00B56CF7" w:rsidRDefault="00EC1348" w:rsidP="00EC1348">
      <w:pPr>
        <w:pStyle w:val="ListParagraph"/>
        <w:rPr>
          <w:rFonts w:asciiTheme="majorHAnsi" w:hAnsiTheme="majorHAnsi"/>
          <w:sz w:val="20"/>
          <w:szCs w:val="20"/>
          <w:lang w:val="es-ES"/>
        </w:rPr>
      </w:pPr>
    </w:p>
    <w:p w:rsidR="00EC1348" w:rsidRPr="0062236D" w:rsidRDefault="00A06120" w:rsidP="00EC134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B56CF7">
        <w:rPr>
          <w:rFonts w:asciiTheme="majorHAnsi" w:hAnsiTheme="majorHAnsi"/>
          <w:sz w:val="20"/>
          <w:szCs w:val="20"/>
          <w:lang w:val="es-ES" w:eastAsia="es-ES"/>
        </w:rPr>
        <w:t>En cuanto a la actuación de las autoridades estatales, la Comisión reitera que no cuenta con información de actuación alguna realizada entre junio de 2000 y abril de 2007 en el marco del proceso por daños y perjuicios. La Comisión recuerda que</w:t>
      </w:r>
      <w:r w:rsidR="00FF64F1">
        <w:rPr>
          <w:rFonts w:asciiTheme="majorHAnsi" w:hAnsiTheme="majorHAnsi"/>
          <w:sz w:val="20"/>
          <w:szCs w:val="20"/>
          <w:lang w:val="es-ES" w:eastAsia="es-ES"/>
        </w:rPr>
        <w:t xml:space="preserve"> conforme a los estándares descritos,</w:t>
      </w:r>
      <w:r w:rsidRPr="00B56CF7">
        <w:rPr>
          <w:rFonts w:asciiTheme="majorHAnsi" w:hAnsiTheme="majorHAnsi"/>
          <w:sz w:val="20"/>
          <w:szCs w:val="20"/>
          <w:lang w:val="es-ES" w:eastAsia="es-ES"/>
        </w:rPr>
        <w:t xml:space="preserve"> corresponde al Estado </w:t>
      </w:r>
      <w:r w:rsidR="00F42BD0" w:rsidRPr="00B56CF7">
        <w:rPr>
          <w:rFonts w:asciiTheme="majorHAnsi" w:hAnsiTheme="majorHAnsi"/>
          <w:sz w:val="20"/>
          <w:szCs w:val="20"/>
          <w:lang w:val="es-ES" w:eastAsia="es-ES"/>
        </w:rPr>
        <w:t xml:space="preserve">exponer y probar la razón por la cual se ha requerido más tiempo del razonable para dictar sentencia </w:t>
      </w:r>
      <w:r w:rsidR="00F42BD0" w:rsidRPr="00B56CF7">
        <w:rPr>
          <w:rFonts w:asciiTheme="majorHAnsi" w:hAnsiTheme="majorHAnsi"/>
          <w:sz w:val="20"/>
          <w:szCs w:val="20"/>
          <w:lang w:val="es-ES" w:eastAsia="es-ES"/>
        </w:rPr>
        <w:lastRenderedPageBreak/>
        <w:t xml:space="preserve">definitiva en un caso particular. </w:t>
      </w:r>
      <w:r w:rsidR="000C22E5">
        <w:rPr>
          <w:rFonts w:asciiTheme="majorHAnsi" w:hAnsiTheme="majorHAnsi"/>
          <w:sz w:val="20"/>
          <w:szCs w:val="20"/>
          <w:lang w:val="es-ES" w:eastAsia="es-ES"/>
        </w:rPr>
        <w:t xml:space="preserve">Tampoco existe información que indique que el señor Jenkins obstaculizó </w:t>
      </w:r>
      <w:r w:rsidR="00032E59">
        <w:rPr>
          <w:rFonts w:asciiTheme="majorHAnsi" w:hAnsiTheme="majorHAnsi"/>
          <w:sz w:val="20"/>
          <w:szCs w:val="20"/>
          <w:lang w:val="es-ES" w:eastAsia="es-ES"/>
        </w:rPr>
        <w:t xml:space="preserve">dicho proceso. </w:t>
      </w:r>
    </w:p>
    <w:p w:rsidR="00EC1348" w:rsidRPr="0062236D" w:rsidRDefault="00EC1348" w:rsidP="00EC1348">
      <w:pPr>
        <w:pStyle w:val="ListParagraph"/>
        <w:rPr>
          <w:rFonts w:asciiTheme="majorHAnsi" w:hAnsiTheme="majorHAnsi"/>
          <w:sz w:val="20"/>
          <w:szCs w:val="20"/>
          <w:lang w:val="es-ES"/>
        </w:rPr>
      </w:pPr>
    </w:p>
    <w:p w:rsidR="007C51D7" w:rsidRPr="0062236D" w:rsidRDefault="007C51D7" w:rsidP="00EC1348">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VE"/>
        </w:rPr>
      </w:pPr>
      <w:r w:rsidRPr="0062236D">
        <w:rPr>
          <w:rFonts w:asciiTheme="majorHAnsi" w:hAnsiTheme="majorHAnsi"/>
          <w:sz w:val="20"/>
          <w:szCs w:val="20"/>
          <w:lang w:val="es-ES"/>
        </w:rPr>
        <w:t>En virtud de l</w:t>
      </w:r>
      <w:r w:rsidR="00641B06">
        <w:rPr>
          <w:rFonts w:asciiTheme="majorHAnsi" w:hAnsiTheme="majorHAnsi"/>
          <w:sz w:val="20"/>
          <w:szCs w:val="20"/>
          <w:lang w:val="es-ES"/>
        </w:rPr>
        <w:t>a</w:t>
      </w:r>
      <w:r w:rsidRPr="0062236D">
        <w:rPr>
          <w:rFonts w:asciiTheme="majorHAnsi" w:hAnsiTheme="majorHAnsi"/>
          <w:sz w:val="20"/>
          <w:szCs w:val="20"/>
          <w:lang w:val="es-ES"/>
        </w:rPr>
        <w:t xml:space="preserve">s anteriores consideraciones, la Comisión concluye que el Estado </w:t>
      </w:r>
      <w:r w:rsidR="005803E9">
        <w:rPr>
          <w:rFonts w:asciiTheme="majorHAnsi" w:hAnsiTheme="majorHAnsi"/>
          <w:sz w:val="20"/>
          <w:szCs w:val="20"/>
          <w:lang w:val="es-ES"/>
        </w:rPr>
        <w:t xml:space="preserve">incumplió </w:t>
      </w:r>
      <w:r w:rsidRPr="0062236D">
        <w:rPr>
          <w:rFonts w:asciiTheme="majorHAnsi" w:hAnsiTheme="majorHAnsi"/>
          <w:sz w:val="20"/>
          <w:szCs w:val="20"/>
          <w:lang w:val="es-ES"/>
        </w:rPr>
        <w:t xml:space="preserve">la garantía de plazo razonable </w:t>
      </w:r>
      <w:r w:rsidR="007842BC" w:rsidRPr="0062236D">
        <w:rPr>
          <w:rFonts w:asciiTheme="majorHAnsi" w:hAnsiTheme="majorHAnsi"/>
          <w:sz w:val="20"/>
          <w:szCs w:val="20"/>
          <w:lang w:val="es-ES"/>
        </w:rPr>
        <w:t>en el marco del proceso por daños y perjuicios</w:t>
      </w:r>
      <w:r w:rsidR="00641B06">
        <w:rPr>
          <w:rFonts w:asciiTheme="majorHAnsi" w:hAnsiTheme="majorHAnsi"/>
          <w:sz w:val="20"/>
          <w:szCs w:val="20"/>
          <w:lang w:val="es-ES"/>
        </w:rPr>
        <w:t>,</w:t>
      </w:r>
      <w:r w:rsidR="007842BC" w:rsidRPr="0062236D">
        <w:rPr>
          <w:rFonts w:asciiTheme="majorHAnsi" w:hAnsiTheme="majorHAnsi"/>
          <w:sz w:val="20"/>
          <w:szCs w:val="20"/>
          <w:lang w:val="es-ES"/>
        </w:rPr>
        <w:t xml:space="preserve"> </w:t>
      </w:r>
      <w:r w:rsidRPr="0062236D">
        <w:rPr>
          <w:rFonts w:asciiTheme="majorHAnsi" w:hAnsiTheme="majorHAnsi"/>
          <w:sz w:val="20"/>
          <w:szCs w:val="20"/>
          <w:lang w:val="es-ES"/>
        </w:rPr>
        <w:t xml:space="preserve">en violación de los derechos establecidos en los </w:t>
      </w:r>
      <w:r w:rsidRPr="0062236D">
        <w:rPr>
          <w:rFonts w:asciiTheme="majorHAnsi" w:hAnsiTheme="majorHAnsi"/>
          <w:sz w:val="20"/>
          <w:szCs w:val="20"/>
          <w:lang w:val="es-ES_tradnl"/>
        </w:rPr>
        <w:t xml:space="preserve">artículos 8.1 y 25.1 de </w:t>
      </w:r>
      <w:r w:rsidRPr="0062236D">
        <w:rPr>
          <w:rFonts w:asciiTheme="majorHAnsi" w:eastAsia="Times New Roman" w:hAnsiTheme="majorHAnsi"/>
          <w:sz w:val="20"/>
          <w:szCs w:val="20"/>
          <w:lang w:val="es-ES" w:eastAsia="es-ES"/>
        </w:rPr>
        <w:t>la</w:t>
      </w:r>
      <w:r w:rsidRPr="0062236D">
        <w:rPr>
          <w:rFonts w:asciiTheme="majorHAnsi" w:hAnsiTheme="majorHAnsi"/>
          <w:sz w:val="20"/>
          <w:szCs w:val="20"/>
          <w:lang w:val="es-ES_tradnl"/>
        </w:rPr>
        <w:t xml:space="preserve"> Convención Americana en relación con el artículo 1.1 del mismo instrumento, en perjuicio de</w:t>
      </w:r>
      <w:r w:rsidR="007842BC" w:rsidRPr="0062236D">
        <w:rPr>
          <w:rFonts w:asciiTheme="majorHAnsi" w:hAnsiTheme="majorHAnsi"/>
          <w:sz w:val="20"/>
          <w:szCs w:val="20"/>
          <w:lang w:val="es-ES_tradnl"/>
        </w:rPr>
        <w:t xml:space="preserve"> Gabriel Oscar Jenkins. </w:t>
      </w:r>
    </w:p>
    <w:p w:rsidR="002C3926" w:rsidRDefault="002C3926" w:rsidP="00B23860">
      <w:pPr>
        <w:rPr>
          <w:rFonts w:asciiTheme="majorHAnsi" w:hAnsiTheme="majorHAnsi"/>
          <w:sz w:val="20"/>
          <w:szCs w:val="20"/>
          <w:lang w:val="es-ES" w:eastAsia="es-ES"/>
        </w:rPr>
      </w:pPr>
    </w:p>
    <w:p w:rsidR="00B355E4" w:rsidRPr="00B355E4" w:rsidRDefault="00B355E4" w:rsidP="00EE24AD">
      <w:pPr>
        <w:pStyle w:val="Heading2"/>
        <w:numPr>
          <w:ilvl w:val="0"/>
          <w:numId w:val="64"/>
        </w:numPr>
        <w:rPr>
          <w:lang w:val="es-ES" w:eastAsia="es-ES"/>
        </w:rPr>
      </w:pPr>
      <w:bookmarkStart w:id="78" w:name="_Toc467577919"/>
      <w:bookmarkStart w:id="79" w:name="_Toc469409102"/>
      <w:r w:rsidRPr="00EE24AD">
        <w:rPr>
          <w:lang w:val="es-ES" w:eastAsia="es-ES"/>
        </w:rPr>
        <w:t>Los derechos a las garantías judiciales y protección judicial respecto de las investigaciones relativas a la supuesta falsedad ideológica (Artículos 8.1, 25.1 y 1.1 de la Convención Americana.</w:t>
      </w:r>
      <w:bookmarkEnd w:id="78"/>
      <w:bookmarkEnd w:id="79"/>
    </w:p>
    <w:p w:rsidR="00B355E4" w:rsidRDefault="00B355E4" w:rsidP="00B23860">
      <w:pPr>
        <w:rPr>
          <w:rFonts w:asciiTheme="majorHAnsi" w:hAnsiTheme="majorHAnsi"/>
          <w:sz w:val="20"/>
          <w:szCs w:val="20"/>
          <w:lang w:val="es-ES" w:eastAsia="es-ES"/>
        </w:rPr>
      </w:pPr>
    </w:p>
    <w:p w:rsidR="00275137" w:rsidRDefault="00275137" w:rsidP="000F1B5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eastAsia="es-ES"/>
        </w:rPr>
      </w:pPr>
      <w:r>
        <w:rPr>
          <w:rFonts w:asciiTheme="majorHAnsi" w:hAnsiTheme="majorHAnsi"/>
          <w:sz w:val="20"/>
          <w:szCs w:val="20"/>
          <w:lang w:val="es-ES" w:eastAsia="es-ES"/>
        </w:rPr>
        <w:t xml:space="preserve">Los artículos 8.1, 25.1 y 1.1 de la Convención fueron transcritos en secciones anteriores del presente informe de fondo. </w:t>
      </w:r>
    </w:p>
    <w:p w:rsidR="00C34E88" w:rsidRDefault="00C34E88" w:rsidP="00C34E8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eastAsia="es-ES"/>
        </w:rPr>
      </w:pPr>
    </w:p>
    <w:p w:rsidR="00962B8C" w:rsidRDefault="00C34E88" w:rsidP="000F1B5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eastAsia="es-ES"/>
        </w:rPr>
      </w:pPr>
      <w:r>
        <w:rPr>
          <w:rFonts w:asciiTheme="majorHAnsi" w:hAnsiTheme="majorHAnsi"/>
          <w:sz w:val="20"/>
          <w:szCs w:val="20"/>
          <w:lang w:val="es-ES" w:eastAsia="es-ES"/>
        </w:rPr>
        <w:t>La Comisión observa que el peticionario alegó violaciones a sus derechos como consecuencia de la supuesta falta de investigación diligente y efectiva de lo que consideró como delito de falsedad</w:t>
      </w:r>
      <w:r w:rsidR="00962B8C">
        <w:rPr>
          <w:rFonts w:asciiTheme="majorHAnsi" w:hAnsiTheme="majorHAnsi"/>
          <w:sz w:val="20"/>
          <w:szCs w:val="20"/>
          <w:lang w:val="es-ES" w:eastAsia="es-ES"/>
        </w:rPr>
        <w:t xml:space="preserve"> ideológica.</w:t>
      </w:r>
    </w:p>
    <w:p w:rsidR="00962B8C" w:rsidRDefault="00962B8C" w:rsidP="00962B8C">
      <w:pPr>
        <w:pStyle w:val="ListParagraph"/>
        <w:rPr>
          <w:rFonts w:asciiTheme="majorHAnsi" w:hAnsiTheme="majorHAnsi"/>
          <w:sz w:val="20"/>
          <w:szCs w:val="20"/>
          <w:lang w:val="es-ES"/>
        </w:rPr>
      </w:pPr>
    </w:p>
    <w:p w:rsidR="00C34E88" w:rsidRPr="00FD5273" w:rsidRDefault="00925257" w:rsidP="000F1B5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eastAsia="es-ES"/>
        </w:rPr>
      </w:pPr>
      <w:r>
        <w:rPr>
          <w:rFonts w:asciiTheme="majorHAnsi" w:hAnsiTheme="majorHAnsi"/>
          <w:sz w:val="20"/>
          <w:szCs w:val="20"/>
          <w:lang w:val="es-ES" w:eastAsia="es-ES"/>
        </w:rPr>
        <w:t>L</w:t>
      </w:r>
      <w:r w:rsidR="00962B8C">
        <w:rPr>
          <w:rFonts w:asciiTheme="majorHAnsi" w:hAnsiTheme="majorHAnsi"/>
          <w:sz w:val="20"/>
          <w:szCs w:val="20"/>
          <w:lang w:val="es-ES" w:eastAsia="es-ES"/>
        </w:rPr>
        <w:t>a Comisión constat</w:t>
      </w:r>
      <w:r w:rsidR="00411861">
        <w:rPr>
          <w:rFonts w:asciiTheme="majorHAnsi" w:hAnsiTheme="majorHAnsi"/>
          <w:sz w:val="20"/>
          <w:szCs w:val="20"/>
          <w:lang w:val="es-ES" w:eastAsia="es-ES"/>
        </w:rPr>
        <w:t>ó en los hechos probados que en la decisión de 13 de noviembre de 1997</w:t>
      </w:r>
      <w:r w:rsidR="00B76D25">
        <w:rPr>
          <w:rFonts w:asciiTheme="majorHAnsi" w:hAnsiTheme="majorHAnsi"/>
          <w:sz w:val="20"/>
          <w:szCs w:val="20"/>
          <w:lang w:val="es-ES" w:eastAsia="es-ES"/>
        </w:rPr>
        <w:t xml:space="preserve"> emitida por el </w:t>
      </w:r>
      <w:r w:rsidR="00B76D25" w:rsidRPr="00160BE9">
        <w:rPr>
          <w:rFonts w:ascii="Cambria" w:hAnsi="Cambria"/>
          <w:sz w:val="20"/>
          <w:szCs w:val="20"/>
          <w:lang w:val="es-VE"/>
        </w:rPr>
        <w:t>Tribunal en lo Criminal Federal No. 6 de Capital Federal</w:t>
      </w:r>
      <w:r w:rsidR="00B76D25">
        <w:rPr>
          <w:rFonts w:ascii="Cambria" w:hAnsi="Cambria"/>
          <w:sz w:val="20"/>
          <w:szCs w:val="20"/>
          <w:lang w:val="es-VE"/>
        </w:rPr>
        <w:t xml:space="preserve"> y</w:t>
      </w:r>
      <w:r w:rsidR="00411861">
        <w:rPr>
          <w:rFonts w:asciiTheme="majorHAnsi" w:hAnsiTheme="majorHAnsi"/>
          <w:sz w:val="20"/>
          <w:szCs w:val="20"/>
          <w:lang w:val="es-ES" w:eastAsia="es-ES"/>
        </w:rPr>
        <w:t xml:space="preserve"> mediante la cual </w:t>
      </w:r>
      <w:r w:rsidR="00B76D25">
        <w:rPr>
          <w:rFonts w:asciiTheme="majorHAnsi" w:hAnsiTheme="majorHAnsi"/>
          <w:sz w:val="20"/>
          <w:szCs w:val="20"/>
          <w:lang w:val="es-ES" w:eastAsia="es-ES"/>
        </w:rPr>
        <w:t>se</w:t>
      </w:r>
      <w:r w:rsidR="00411861">
        <w:rPr>
          <w:rFonts w:asciiTheme="majorHAnsi" w:hAnsiTheme="majorHAnsi"/>
          <w:sz w:val="20"/>
          <w:szCs w:val="20"/>
          <w:lang w:val="es-ES" w:eastAsia="es-ES"/>
        </w:rPr>
        <w:t xml:space="preserve"> dispuso la libertad del señor</w:t>
      </w:r>
      <w:r w:rsidR="00962B8C">
        <w:rPr>
          <w:rFonts w:asciiTheme="majorHAnsi" w:hAnsiTheme="majorHAnsi"/>
          <w:sz w:val="20"/>
          <w:szCs w:val="20"/>
          <w:lang w:val="es-ES" w:eastAsia="es-ES"/>
        </w:rPr>
        <w:t xml:space="preserve"> </w:t>
      </w:r>
      <w:r w:rsidR="00B76D25">
        <w:rPr>
          <w:rFonts w:asciiTheme="majorHAnsi" w:hAnsiTheme="majorHAnsi"/>
          <w:sz w:val="20"/>
          <w:szCs w:val="20"/>
          <w:lang w:val="es-ES" w:eastAsia="es-ES"/>
        </w:rPr>
        <w:t>Jenkins, efectivamente se hizo referencia a que habría existido “</w:t>
      </w:r>
      <w:r w:rsidR="00B76D25" w:rsidRPr="00160BE9">
        <w:rPr>
          <w:rFonts w:ascii="Cambria" w:hAnsi="Cambria"/>
          <w:sz w:val="20"/>
          <w:szCs w:val="20"/>
          <w:lang w:val="es-VE"/>
        </w:rPr>
        <w:t>falsedad ideológica de ciertas constancias probatorias</w:t>
      </w:r>
      <w:r w:rsidR="00E36EA9">
        <w:rPr>
          <w:rFonts w:ascii="Cambria" w:hAnsi="Cambria"/>
          <w:sz w:val="20"/>
          <w:szCs w:val="20"/>
          <w:lang w:val="es-VE"/>
        </w:rPr>
        <w:t xml:space="preserve">” que se tuvieron en cuenta en contra del peticionario. </w:t>
      </w:r>
      <w:r w:rsidR="00FD5273">
        <w:rPr>
          <w:rFonts w:ascii="Cambria" w:hAnsi="Cambria"/>
          <w:sz w:val="20"/>
          <w:szCs w:val="20"/>
          <w:lang w:val="es-VE"/>
        </w:rPr>
        <w:t xml:space="preserve">En consecuencia, </w:t>
      </w:r>
      <w:r w:rsidR="00AE6D30">
        <w:rPr>
          <w:rFonts w:ascii="Cambria" w:hAnsi="Cambria"/>
          <w:sz w:val="20"/>
          <w:szCs w:val="20"/>
          <w:lang w:val="es-VE"/>
        </w:rPr>
        <w:t>se iniciaron dos inves</w:t>
      </w:r>
      <w:r>
        <w:rPr>
          <w:rFonts w:ascii="Cambria" w:hAnsi="Cambria"/>
          <w:sz w:val="20"/>
          <w:szCs w:val="20"/>
          <w:lang w:val="es-VE"/>
        </w:rPr>
        <w:t xml:space="preserve">tigaciones, una penal y otra administrativa. </w:t>
      </w:r>
      <w:r w:rsidR="00F14818">
        <w:rPr>
          <w:rFonts w:ascii="Cambria" w:hAnsi="Cambria"/>
          <w:sz w:val="20"/>
          <w:szCs w:val="20"/>
          <w:lang w:val="es-VE"/>
        </w:rPr>
        <w:t>En ambas se determinó</w:t>
      </w:r>
      <w:r w:rsidR="003779AD">
        <w:rPr>
          <w:rFonts w:ascii="Cambria" w:hAnsi="Cambria"/>
          <w:sz w:val="20"/>
          <w:szCs w:val="20"/>
          <w:lang w:val="es-VE"/>
        </w:rPr>
        <w:t xml:space="preserve"> respectivamente</w:t>
      </w:r>
      <w:r w:rsidR="00F14818">
        <w:rPr>
          <w:rFonts w:ascii="Cambria" w:hAnsi="Cambria"/>
          <w:sz w:val="20"/>
          <w:szCs w:val="20"/>
          <w:lang w:val="es-VE"/>
        </w:rPr>
        <w:t xml:space="preserve"> la ausencia de responsabilidad. </w:t>
      </w:r>
    </w:p>
    <w:p w:rsidR="00FD5273" w:rsidRDefault="00FD5273" w:rsidP="00FD5273">
      <w:pPr>
        <w:pStyle w:val="ListParagraph"/>
        <w:rPr>
          <w:rFonts w:asciiTheme="majorHAnsi" w:hAnsiTheme="majorHAnsi"/>
          <w:sz w:val="20"/>
          <w:szCs w:val="20"/>
          <w:lang w:val="es-ES"/>
        </w:rPr>
      </w:pPr>
    </w:p>
    <w:p w:rsidR="00ED5C74" w:rsidRDefault="003E5EC1" w:rsidP="00542560">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Theme="majorHAnsi" w:hAnsiTheme="majorHAnsi"/>
          <w:sz w:val="20"/>
          <w:szCs w:val="20"/>
          <w:lang w:val="es-ES" w:eastAsia="es-ES"/>
        </w:rPr>
      </w:pPr>
      <w:r w:rsidRPr="00ED5C74">
        <w:rPr>
          <w:rFonts w:asciiTheme="majorHAnsi" w:hAnsiTheme="majorHAnsi"/>
          <w:sz w:val="20"/>
          <w:szCs w:val="20"/>
          <w:lang w:val="es-ES" w:eastAsia="es-ES"/>
        </w:rPr>
        <w:t>La Comisión considera que la referencia en la decisión de 13 de noviembre de 1997 a una falsedad ideológica</w:t>
      </w:r>
      <w:r w:rsidR="0093224F" w:rsidRPr="00ED5C74">
        <w:rPr>
          <w:rFonts w:asciiTheme="majorHAnsi" w:hAnsiTheme="majorHAnsi"/>
          <w:sz w:val="20"/>
          <w:szCs w:val="20"/>
          <w:lang w:val="es-ES" w:eastAsia="es-ES"/>
        </w:rPr>
        <w:t xml:space="preserve"> debió implicar una investigación al respecto como efectivamente sucedi</w:t>
      </w:r>
      <w:r w:rsidR="00022FE5" w:rsidRPr="00ED5C74">
        <w:rPr>
          <w:rFonts w:asciiTheme="majorHAnsi" w:hAnsiTheme="majorHAnsi"/>
          <w:sz w:val="20"/>
          <w:szCs w:val="20"/>
          <w:lang w:val="es-ES" w:eastAsia="es-ES"/>
        </w:rPr>
        <w:t>ó tanto en la vía administrativa como penal.</w:t>
      </w:r>
      <w:r w:rsidR="00F52ED7" w:rsidRPr="00ED5C74">
        <w:rPr>
          <w:rFonts w:asciiTheme="majorHAnsi" w:hAnsiTheme="majorHAnsi"/>
          <w:sz w:val="20"/>
          <w:szCs w:val="20"/>
          <w:lang w:val="es-ES" w:eastAsia="es-ES"/>
        </w:rPr>
        <w:t xml:space="preserve"> En las circunstancias del presente caso la Comisión entiende que n</w:t>
      </w:r>
      <w:r w:rsidR="006F337E" w:rsidRPr="00ED5C74">
        <w:rPr>
          <w:rFonts w:asciiTheme="majorHAnsi" w:hAnsiTheme="majorHAnsi"/>
          <w:sz w:val="20"/>
          <w:szCs w:val="20"/>
          <w:lang w:val="es-ES" w:eastAsia="es-ES"/>
        </w:rPr>
        <w:t xml:space="preserve">o le corresponde </w:t>
      </w:r>
      <w:r w:rsidR="00F52ED7" w:rsidRPr="00ED5C74">
        <w:rPr>
          <w:rFonts w:asciiTheme="majorHAnsi" w:hAnsiTheme="majorHAnsi"/>
          <w:sz w:val="20"/>
          <w:szCs w:val="20"/>
          <w:lang w:val="es-ES" w:eastAsia="es-ES"/>
        </w:rPr>
        <w:t>determinar si efectivamente ocurrió tal falsedad.</w:t>
      </w:r>
      <w:r w:rsidR="00686CC1" w:rsidRPr="00ED5C74">
        <w:rPr>
          <w:rFonts w:asciiTheme="majorHAnsi" w:hAnsiTheme="majorHAnsi"/>
          <w:sz w:val="20"/>
          <w:szCs w:val="20"/>
          <w:lang w:val="es-ES" w:eastAsia="es-ES"/>
        </w:rPr>
        <w:t xml:space="preserve"> Más allá de la inco</w:t>
      </w:r>
      <w:r w:rsidR="001422EA" w:rsidRPr="00ED5C74">
        <w:rPr>
          <w:rFonts w:asciiTheme="majorHAnsi" w:hAnsiTheme="majorHAnsi"/>
          <w:sz w:val="20"/>
          <w:szCs w:val="20"/>
          <w:lang w:val="es-ES" w:eastAsia="es-ES"/>
        </w:rPr>
        <w:t>n</w:t>
      </w:r>
      <w:r w:rsidR="00686CC1" w:rsidRPr="00ED5C74">
        <w:rPr>
          <w:rFonts w:asciiTheme="majorHAnsi" w:hAnsiTheme="majorHAnsi"/>
          <w:sz w:val="20"/>
          <w:szCs w:val="20"/>
          <w:lang w:val="es-ES" w:eastAsia="es-ES"/>
        </w:rPr>
        <w:t>formidad del peticionario</w:t>
      </w:r>
      <w:r w:rsidR="001422EA" w:rsidRPr="00ED5C74">
        <w:rPr>
          <w:rFonts w:asciiTheme="majorHAnsi" w:hAnsiTheme="majorHAnsi"/>
          <w:sz w:val="20"/>
          <w:szCs w:val="20"/>
          <w:lang w:val="es-ES" w:eastAsia="es-ES"/>
        </w:rPr>
        <w:t xml:space="preserve"> con su resultado, d</w:t>
      </w:r>
      <w:r w:rsidR="00686CC1" w:rsidRPr="00ED5C74">
        <w:rPr>
          <w:rFonts w:asciiTheme="majorHAnsi" w:hAnsiTheme="majorHAnsi"/>
          <w:sz w:val="20"/>
          <w:szCs w:val="20"/>
          <w:lang w:val="es-ES" w:eastAsia="es-ES"/>
        </w:rPr>
        <w:t>e la inform</w:t>
      </w:r>
      <w:r w:rsidR="00A44666">
        <w:rPr>
          <w:rFonts w:asciiTheme="majorHAnsi" w:hAnsiTheme="majorHAnsi"/>
          <w:sz w:val="20"/>
          <w:szCs w:val="20"/>
          <w:lang w:val="es-ES" w:eastAsia="es-ES"/>
        </w:rPr>
        <w:t xml:space="preserve">ación disponible la Comisión considera que no cuenta con suficientes elementos para establecer </w:t>
      </w:r>
      <w:r w:rsidR="00686CC1" w:rsidRPr="00ED5C74">
        <w:rPr>
          <w:rFonts w:asciiTheme="majorHAnsi" w:hAnsiTheme="majorHAnsi"/>
          <w:sz w:val="20"/>
          <w:szCs w:val="20"/>
          <w:lang w:val="es-ES" w:eastAsia="es-ES"/>
        </w:rPr>
        <w:t xml:space="preserve">posibles vulneraciones a la Convención Americana </w:t>
      </w:r>
      <w:r w:rsidR="001422EA" w:rsidRPr="00ED5C74">
        <w:rPr>
          <w:rFonts w:asciiTheme="majorHAnsi" w:hAnsiTheme="majorHAnsi"/>
          <w:sz w:val="20"/>
          <w:szCs w:val="20"/>
          <w:lang w:val="es-ES" w:eastAsia="es-ES"/>
        </w:rPr>
        <w:t>en el marco de las referidas investigaciones</w:t>
      </w:r>
      <w:r w:rsidR="00EE071F">
        <w:rPr>
          <w:rFonts w:asciiTheme="majorHAnsi" w:hAnsiTheme="majorHAnsi"/>
          <w:sz w:val="20"/>
          <w:szCs w:val="20"/>
          <w:lang w:val="es-ES" w:eastAsia="es-ES"/>
        </w:rPr>
        <w:t>.</w:t>
      </w:r>
      <w:r w:rsidR="0093224F" w:rsidRPr="00ED5C74">
        <w:rPr>
          <w:rFonts w:asciiTheme="majorHAnsi" w:hAnsiTheme="majorHAnsi"/>
          <w:sz w:val="20"/>
          <w:szCs w:val="20"/>
          <w:lang w:val="es-ES" w:eastAsia="es-ES"/>
        </w:rPr>
        <w:t xml:space="preserve"> </w:t>
      </w:r>
      <w:bookmarkStart w:id="80" w:name="_Toc395298789"/>
      <w:bookmarkStart w:id="81" w:name="_Toc400970621"/>
      <w:bookmarkEnd w:id="68"/>
      <w:bookmarkEnd w:id="69"/>
    </w:p>
    <w:p w:rsidR="00542560" w:rsidRPr="00542560" w:rsidRDefault="00542560" w:rsidP="0054256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lang w:val="es-ES" w:eastAsia="es-ES"/>
        </w:rPr>
      </w:pPr>
    </w:p>
    <w:p w:rsidR="008D4A3F" w:rsidRPr="00B56CF7" w:rsidRDefault="008D4A3F" w:rsidP="008D4A3F">
      <w:pPr>
        <w:pStyle w:val="Heading1"/>
        <w:numPr>
          <w:ilvl w:val="0"/>
          <w:numId w:val="55"/>
        </w:numPr>
        <w:tabs>
          <w:tab w:val="clear" w:pos="1440"/>
        </w:tabs>
        <w:rPr>
          <w:rFonts w:cs="Arial"/>
          <w:b w:val="0"/>
          <w:bCs/>
          <w:lang w:val="es-AR"/>
        </w:rPr>
      </w:pPr>
      <w:bookmarkStart w:id="82" w:name="_Toc467577920"/>
      <w:bookmarkStart w:id="83" w:name="_Toc469409103"/>
      <w:r w:rsidRPr="00B56CF7">
        <w:t>CONCLUSIONES</w:t>
      </w:r>
      <w:bookmarkEnd w:id="82"/>
      <w:bookmarkEnd w:id="83"/>
    </w:p>
    <w:p w:rsidR="008D4A3F" w:rsidRPr="0062236D" w:rsidRDefault="008D4A3F" w:rsidP="008D4A3F">
      <w:pPr>
        <w:ind w:left="720"/>
        <w:jc w:val="both"/>
        <w:rPr>
          <w:rFonts w:asciiTheme="majorHAnsi" w:eastAsia="Times New Roman" w:hAnsiTheme="majorHAnsi"/>
          <w:sz w:val="20"/>
          <w:szCs w:val="20"/>
          <w:lang w:val="es-AR"/>
        </w:rPr>
      </w:pPr>
    </w:p>
    <w:p w:rsidR="00C34E88" w:rsidRDefault="008D4A3F" w:rsidP="005E6F6C">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Verdana"/>
          <w:sz w:val="20"/>
          <w:szCs w:val="20"/>
          <w:lang w:val="es-VE"/>
        </w:rPr>
      </w:pPr>
      <w:r w:rsidRPr="0062236D">
        <w:rPr>
          <w:rFonts w:asciiTheme="majorHAnsi" w:hAnsiTheme="majorHAnsi" w:cs="Verdana"/>
          <w:sz w:val="20"/>
          <w:szCs w:val="20"/>
          <w:lang w:val="es-VE"/>
        </w:rPr>
        <w:t>La Comisión concluye que el Estado de Argentina</w:t>
      </w:r>
      <w:r w:rsidR="00C34E88">
        <w:rPr>
          <w:rFonts w:asciiTheme="majorHAnsi" w:hAnsiTheme="majorHAnsi" w:cs="Verdana"/>
          <w:sz w:val="20"/>
          <w:szCs w:val="20"/>
          <w:lang w:val="es-VE"/>
        </w:rPr>
        <w:t>:</w:t>
      </w:r>
    </w:p>
    <w:p w:rsidR="00C34E88" w:rsidRDefault="00C34E88" w:rsidP="00C34E8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Verdana"/>
          <w:sz w:val="20"/>
          <w:szCs w:val="20"/>
          <w:lang w:val="es-VE"/>
        </w:rPr>
      </w:pPr>
    </w:p>
    <w:p w:rsidR="00C34E88" w:rsidRDefault="00C34E88" w:rsidP="008B0826">
      <w:pPr>
        <w:pStyle w:val="ListParagraph"/>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0"/>
        </w:tabs>
        <w:ind w:left="0" w:firstLine="720"/>
        <w:jc w:val="both"/>
        <w:rPr>
          <w:rFonts w:asciiTheme="majorHAnsi" w:hAnsiTheme="majorHAnsi" w:cs="Verdana"/>
          <w:sz w:val="20"/>
          <w:szCs w:val="20"/>
          <w:lang w:val="es-VE"/>
        </w:rPr>
      </w:pPr>
      <w:r>
        <w:rPr>
          <w:rFonts w:asciiTheme="majorHAnsi" w:hAnsiTheme="majorHAnsi" w:cs="Verdana"/>
          <w:sz w:val="20"/>
          <w:szCs w:val="20"/>
          <w:lang w:val="es-VE"/>
        </w:rPr>
        <w:t xml:space="preserve">Es responsable por la </w:t>
      </w:r>
      <w:r w:rsidR="008D4A3F" w:rsidRPr="00C34E88">
        <w:rPr>
          <w:rFonts w:asciiTheme="majorHAnsi" w:hAnsiTheme="majorHAnsi" w:cs="Verdana"/>
          <w:sz w:val="20"/>
          <w:szCs w:val="20"/>
          <w:lang w:val="es-VE"/>
        </w:rPr>
        <w:t>violación de los derechos a la libertad personal</w:t>
      </w:r>
      <w:r>
        <w:rPr>
          <w:rFonts w:asciiTheme="majorHAnsi" w:hAnsiTheme="majorHAnsi" w:cs="Verdana"/>
          <w:sz w:val="20"/>
          <w:szCs w:val="20"/>
          <w:lang w:val="es-VE"/>
        </w:rPr>
        <w:t xml:space="preserve"> y a las garantías judiciales, </w:t>
      </w:r>
      <w:r w:rsidR="008D4A3F" w:rsidRPr="00C34E88">
        <w:rPr>
          <w:rFonts w:asciiTheme="majorHAnsi" w:hAnsiTheme="majorHAnsi" w:cs="Verdana"/>
          <w:sz w:val="20"/>
          <w:szCs w:val="20"/>
          <w:lang w:val="es-VE"/>
        </w:rPr>
        <w:t>a la igualdad ante la ley y a la protección judicial consagrados en los artículos 7</w:t>
      </w:r>
      <w:r w:rsidR="005E6F6C" w:rsidRPr="00C34E88">
        <w:rPr>
          <w:rFonts w:asciiTheme="majorHAnsi" w:hAnsiTheme="majorHAnsi" w:cs="Verdana"/>
          <w:sz w:val="20"/>
          <w:szCs w:val="20"/>
          <w:lang w:val="es-VE"/>
        </w:rPr>
        <w:t>.1, 7.3, 7.5, 7.6, 8.1, 8.2, 24 y 25.1 de la Convención Americana, en relación con los artículos 1.1 y 2 del mismo instrumento, en per</w:t>
      </w:r>
      <w:r w:rsidR="00A07908" w:rsidRPr="00C34E88">
        <w:rPr>
          <w:rFonts w:asciiTheme="majorHAnsi" w:hAnsiTheme="majorHAnsi" w:cs="Verdana"/>
          <w:sz w:val="20"/>
          <w:szCs w:val="20"/>
          <w:lang w:val="es-VE"/>
        </w:rPr>
        <w:t>juicio de Gabriel Oscar Jenkins</w:t>
      </w:r>
      <w:r>
        <w:rPr>
          <w:rFonts w:asciiTheme="majorHAnsi" w:hAnsiTheme="majorHAnsi" w:cs="Verdana"/>
          <w:sz w:val="20"/>
          <w:szCs w:val="20"/>
          <w:lang w:val="es-VE"/>
        </w:rPr>
        <w:t xml:space="preserve">, respecto de la detención preventiva a la que estuvo sujeto, el marco normativo aplicado, los recursos interpuestos para lograr su liberación y la demanda de daños y perjuicios, en los términos descritos </w:t>
      </w:r>
      <w:r w:rsidR="001F4195">
        <w:rPr>
          <w:rFonts w:asciiTheme="majorHAnsi" w:hAnsiTheme="majorHAnsi" w:cs="Verdana"/>
          <w:sz w:val="20"/>
          <w:szCs w:val="20"/>
          <w:lang w:val="es-VE"/>
        </w:rPr>
        <w:t>a lo largo del presente informe; y</w:t>
      </w:r>
    </w:p>
    <w:p w:rsidR="00C34E88" w:rsidRDefault="00C34E88" w:rsidP="008B082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hAnsiTheme="majorHAnsi" w:cs="Verdana"/>
          <w:sz w:val="20"/>
          <w:szCs w:val="20"/>
          <w:lang w:val="es-VE"/>
        </w:rPr>
      </w:pPr>
    </w:p>
    <w:p w:rsidR="005E6F6C" w:rsidRPr="00C34E88" w:rsidRDefault="00C34E88" w:rsidP="008B0826">
      <w:pPr>
        <w:pStyle w:val="ListParagraph"/>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0"/>
        </w:tabs>
        <w:ind w:left="0" w:firstLine="720"/>
        <w:jc w:val="both"/>
        <w:rPr>
          <w:rFonts w:asciiTheme="majorHAnsi" w:hAnsiTheme="majorHAnsi" w:cs="Verdana"/>
          <w:sz w:val="20"/>
          <w:szCs w:val="20"/>
          <w:lang w:val="es-VE"/>
        </w:rPr>
      </w:pPr>
      <w:r>
        <w:rPr>
          <w:rFonts w:asciiTheme="majorHAnsi" w:hAnsiTheme="majorHAnsi" w:cs="Verdana"/>
          <w:sz w:val="20"/>
          <w:szCs w:val="20"/>
          <w:lang w:val="es-VE"/>
        </w:rPr>
        <w:t>No es responsable por la alegada violación de los derec</w:t>
      </w:r>
      <w:r w:rsidR="00AA75C1">
        <w:rPr>
          <w:rFonts w:asciiTheme="majorHAnsi" w:hAnsiTheme="majorHAnsi" w:cs="Verdana"/>
          <w:sz w:val="20"/>
          <w:szCs w:val="20"/>
          <w:lang w:val="es-VE"/>
        </w:rPr>
        <w:t>hos a las garantías judiciales y</w:t>
      </w:r>
      <w:r>
        <w:rPr>
          <w:rFonts w:asciiTheme="majorHAnsi" w:hAnsiTheme="majorHAnsi" w:cs="Verdana"/>
          <w:sz w:val="20"/>
          <w:szCs w:val="20"/>
          <w:lang w:val="es-VE"/>
        </w:rPr>
        <w:t xml:space="preserve"> protección judicial establecidos en los artículo</w:t>
      </w:r>
      <w:r w:rsidR="00757D54">
        <w:rPr>
          <w:rFonts w:asciiTheme="majorHAnsi" w:hAnsiTheme="majorHAnsi" w:cs="Verdana"/>
          <w:sz w:val="20"/>
          <w:szCs w:val="20"/>
          <w:lang w:val="es-VE"/>
        </w:rPr>
        <w:t>s</w:t>
      </w:r>
      <w:r>
        <w:rPr>
          <w:rFonts w:asciiTheme="majorHAnsi" w:hAnsiTheme="majorHAnsi" w:cs="Verdana"/>
          <w:sz w:val="20"/>
          <w:szCs w:val="20"/>
          <w:lang w:val="es-VE"/>
        </w:rPr>
        <w:t xml:space="preserve"> 8.1 y 25.1 de la Convención Americana en el marco de las investigaciones sobre la supuesta falsedad </w:t>
      </w:r>
      <w:r w:rsidR="007B79DE">
        <w:rPr>
          <w:rFonts w:asciiTheme="majorHAnsi" w:hAnsiTheme="majorHAnsi" w:cs="Verdana"/>
          <w:sz w:val="20"/>
          <w:szCs w:val="20"/>
          <w:lang w:val="es-VE"/>
        </w:rPr>
        <w:t>ideológica.</w:t>
      </w:r>
      <w:r>
        <w:rPr>
          <w:rFonts w:asciiTheme="majorHAnsi" w:hAnsiTheme="majorHAnsi" w:cs="Verdana"/>
          <w:sz w:val="20"/>
          <w:szCs w:val="20"/>
          <w:lang w:val="es-VE"/>
        </w:rPr>
        <w:t xml:space="preserve"> </w:t>
      </w:r>
    </w:p>
    <w:p w:rsidR="00B91111" w:rsidRPr="00B56CF7" w:rsidRDefault="00B91111" w:rsidP="00C60071">
      <w:pPr>
        <w:jc w:val="both"/>
        <w:rPr>
          <w:rFonts w:asciiTheme="majorHAnsi" w:hAnsiTheme="majorHAnsi"/>
          <w:b/>
          <w:sz w:val="20"/>
          <w:szCs w:val="20"/>
          <w:lang w:val="es-VE"/>
        </w:rPr>
      </w:pPr>
    </w:p>
    <w:p w:rsidR="00C60071" w:rsidRPr="00B56CF7" w:rsidRDefault="00C60071" w:rsidP="00C60071">
      <w:pPr>
        <w:pStyle w:val="Heading1"/>
        <w:numPr>
          <w:ilvl w:val="0"/>
          <w:numId w:val="55"/>
        </w:numPr>
        <w:tabs>
          <w:tab w:val="clear" w:pos="1440"/>
        </w:tabs>
      </w:pPr>
      <w:bookmarkStart w:id="84" w:name="_Toc395298796"/>
      <w:bookmarkStart w:id="85" w:name="_Toc418254642"/>
      <w:bookmarkStart w:id="86" w:name="_Toc423514430"/>
      <w:bookmarkStart w:id="87" w:name="_Toc441166741"/>
      <w:bookmarkStart w:id="88" w:name="_Toc467577921"/>
      <w:bookmarkStart w:id="89" w:name="_Toc469409104"/>
      <w:bookmarkEnd w:id="80"/>
      <w:bookmarkEnd w:id="81"/>
      <w:r w:rsidRPr="00B56CF7">
        <w:t>RECOMENDACIONES</w:t>
      </w:r>
      <w:bookmarkEnd w:id="84"/>
      <w:bookmarkEnd w:id="85"/>
      <w:bookmarkEnd w:id="86"/>
      <w:bookmarkEnd w:id="87"/>
      <w:bookmarkEnd w:id="88"/>
      <w:bookmarkEnd w:id="89"/>
    </w:p>
    <w:p w:rsidR="00C60071" w:rsidRPr="0062236D" w:rsidRDefault="00C60071" w:rsidP="00C60071">
      <w:pPr>
        <w:ind w:left="720"/>
        <w:jc w:val="both"/>
        <w:rPr>
          <w:rFonts w:asciiTheme="majorHAnsi" w:eastAsia="Times New Roman" w:hAnsiTheme="majorHAnsi"/>
          <w:sz w:val="20"/>
          <w:szCs w:val="20"/>
          <w:lang w:val="es-AR"/>
        </w:rPr>
      </w:pPr>
    </w:p>
    <w:p w:rsidR="00C60071" w:rsidRPr="0062236D" w:rsidRDefault="00C60071" w:rsidP="00C60071">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Verdana"/>
          <w:sz w:val="20"/>
          <w:szCs w:val="20"/>
          <w:lang w:val="es-VE"/>
        </w:rPr>
      </w:pPr>
      <w:r w:rsidRPr="0062236D">
        <w:rPr>
          <w:rFonts w:asciiTheme="majorHAnsi" w:eastAsia="Times New Roman" w:hAnsiTheme="majorHAnsi"/>
          <w:sz w:val="20"/>
          <w:szCs w:val="20"/>
          <w:lang w:val="es-AR"/>
        </w:rPr>
        <w:t xml:space="preserve">En </w:t>
      </w:r>
      <w:r w:rsidRPr="0062236D">
        <w:rPr>
          <w:rFonts w:asciiTheme="majorHAnsi" w:hAnsiTheme="majorHAnsi" w:cs="Verdana"/>
          <w:sz w:val="20"/>
          <w:szCs w:val="20"/>
          <w:lang w:val="es-VE"/>
        </w:rPr>
        <w:t>virtud</w:t>
      </w:r>
      <w:r w:rsidRPr="0062236D">
        <w:rPr>
          <w:rFonts w:asciiTheme="majorHAnsi" w:eastAsia="Times New Roman" w:hAnsiTheme="majorHAnsi"/>
          <w:sz w:val="20"/>
          <w:szCs w:val="20"/>
          <w:lang w:val="es-AR"/>
        </w:rPr>
        <w:t xml:space="preserve"> de las anteriores conclusiones,</w:t>
      </w:r>
    </w:p>
    <w:p w:rsidR="00C60071" w:rsidRPr="0062236D" w:rsidRDefault="00C60071" w:rsidP="00C60071">
      <w:pPr>
        <w:jc w:val="center"/>
        <w:rPr>
          <w:rFonts w:asciiTheme="majorHAnsi" w:hAnsiTheme="majorHAnsi"/>
          <w:sz w:val="20"/>
          <w:szCs w:val="20"/>
          <w:lang w:val="es-ES"/>
        </w:rPr>
      </w:pPr>
    </w:p>
    <w:p w:rsidR="00C60071" w:rsidRPr="0062236D" w:rsidRDefault="00C60071" w:rsidP="00C60071">
      <w:pPr>
        <w:jc w:val="both"/>
        <w:rPr>
          <w:rFonts w:asciiTheme="majorHAnsi" w:hAnsiTheme="majorHAnsi"/>
          <w:b/>
          <w:sz w:val="20"/>
          <w:szCs w:val="20"/>
          <w:lang w:val="es-ES"/>
        </w:rPr>
      </w:pPr>
      <w:r w:rsidRPr="0062236D">
        <w:rPr>
          <w:rFonts w:asciiTheme="majorHAnsi" w:hAnsiTheme="majorHAnsi"/>
          <w:b/>
          <w:sz w:val="20"/>
          <w:szCs w:val="20"/>
          <w:lang w:val="es-ES"/>
        </w:rPr>
        <w:tab/>
        <w:t>LA COMISIÓN INTERAMERICANA DE DERECHOS HUMANOS RECOMIENDA AL ESTADO DE ARGENTINA,</w:t>
      </w:r>
    </w:p>
    <w:p w:rsidR="00C60071" w:rsidRPr="0062236D" w:rsidRDefault="00C60071" w:rsidP="00C60071">
      <w:pPr>
        <w:jc w:val="both"/>
        <w:rPr>
          <w:rFonts w:asciiTheme="majorHAnsi" w:hAnsiTheme="majorHAnsi"/>
          <w:b/>
          <w:sz w:val="20"/>
          <w:szCs w:val="20"/>
          <w:lang w:val="es-ES"/>
        </w:rPr>
      </w:pPr>
    </w:p>
    <w:p w:rsidR="00C60071" w:rsidRDefault="00C60071" w:rsidP="009A72E5">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62236D">
        <w:rPr>
          <w:rFonts w:asciiTheme="majorHAnsi" w:hAnsiTheme="majorHAnsi"/>
          <w:sz w:val="20"/>
          <w:szCs w:val="20"/>
          <w:lang w:val="es-ES"/>
        </w:rPr>
        <w:lastRenderedPageBreak/>
        <w:t xml:space="preserve">Reparar </w:t>
      </w:r>
      <w:r w:rsidR="008C5562" w:rsidRPr="0062236D">
        <w:rPr>
          <w:rFonts w:asciiTheme="majorHAnsi" w:hAnsiTheme="majorHAnsi"/>
          <w:sz w:val="20"/>
          <w:szCs w:val="20"/>
          <w:lang w:val="es-ES"/>
        </w:rPr>
        <w:t>integralmente a la víctima del present</w:t>
      </w:r>
      <w:r w:rsidR="00C1411C">
        <w:rPr>
          <w:rFonts w:asciiTheme="majorHAnsi" w:hAnsiTheme="majorHAnsi"/>
          <w:sz w:val="20"/>
          <w:szCs w:val="20"/>
          <w:lang w:val="es-ES"/>
        </w:rPr>
        <w:t>e</w:t>
      </w:r>
      <w:r w:rsidR="008C5562" w:rsidRPr="0062236D">
        <w:rPr>
          <w:rFonts w:asciiTheme="majorHAnsi" w:hAnsiTheme="majorHAnsi"/>
          <w:sz w:val="20"/>
          <w:szCs w:val="20"/>
          <w:lang w:val="es-ES"/>
        </w:rPr>
        <w:t xml:space="preserve"> caso </w:t>
      </w:r>
      <w:r w:rsidR="00005FF7">
        <w:rPr>
          <w:rFonts w:asciiTheme="majorHAnsi" w:hAnsiTheme="majorHAnsi"/>
          <w:sz w:val="20"/>
          <w:szCs w:val="20"/>
          <w:lang w:val="es-ES"/>
        </w:rPr>
        <w:t xml:space="preserve">mediante medidas de compensación pecuniaria y de satisfacción que incluyan el daño material e inmaterial ocasionado a la víctima como consecuencia de las violaciones declaradas en el presente informe. </w:t>
      </w:r>
    </w:p>
    <w:p w:rsidR="00005FF7" w:rsidRDefault="00005FF7" w:rsidP="00005FF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DA4E47" w:rsidRPr="00B54DB6" w:rsidRDefault="00DA4E47" w:rsidP="00DA4E47">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 w:eastAsia="es-ES"/>
        </w:rPr>
      </w:pPr>
      <w:r w:rsidRPr="00B54DB6">
        <w:rPr>
          <w:rFonts w:ascii="Cambria" w:hAnsi="Cambria" w:cs="Times-Roman"/>
          <w:sz w:val="20"/>
          <w:szCs w:val="20"/>
          <w:lang w:val="es-ES" w:bidi="en-US"/>
        </w:rPr>
        <w:t xml:space="preserve">Brindar de forma gratuita, inmediata y por el tiempo que sea necesario, el tratamiento </w:t>
      </w:r>
      <w:r>
        <w:rPr>
          <w:rFonts w:ascii="Cambria" w:hAnsi="Cambria" w:cs="Times-Roman"/>
          <w:sz w:val="20"/>
          <w:szCs w:val="20"/>
          <w:lang w:val="es-ES" w:bidi="en-US"/>
        </w:rPr>
        <w:t xml:space="preserve">de salud física o mental </w:t>
      </w:r>
      <w:r w:rsidRPr="00B54DB6">
        <w:rPr>
          <w:rFonts w:ascii="Cambria" w:hAnsi="Cambria" w:cs="Times-Roman"/>
          <w:sz w:val="20"/>
          <w:szCs w:val="20"/>
          <w:lang w:val="es-ES" w:bidi="en-US"/>
        </w:rPr>
        <w:t>a la víctima del presente caso</w:t>
      </w:r>
      <w:r>
        <w:rPr>
          <w:rFonts w:ascii="Cambria" w:hAnsi="Cambria" w:cs="Times-Roman"/>
          <w:sz w:val="20"/>
          <w:szCs w:val="20"/>
          <w:lang w:val="es-ES" w:bidi="en-US"/>
        </w:rPr>
        <w:t xml:space="preserve"> siempre que </w:t>
      </w:r>
      <w:r w:rsidRPr="00B54DB6">
        <w:rPr>
          <w:rFonts w:ascii="Cambria" w:hAnsi="Cambria" w:cs="Times-Roman"/>
          <w:sz w:val="20"/>
          <w:szCs w:val="20"/>
          <w:lang w:val="es-ES" w:bidi="en-US"/>
        </w:rPr>
        <w:t xml:space="preserve">así lo solicite y de manera concertada con </w:t>
      </w:r>
      <w:r>
        <w:rPr>
          <w:rFonts w:ascii="Cambria" w:hAnsi="Cambria" w:cs="Times-Roman"/>
          <w:sz w:val="20"/>
          <w:szCs w:val="20"/>
          <w:lang w:val="es-ES" w:bidi="en-US"/>
        </w:rPr>
        <w:t>él</w:t>
      </w:r>
      <w:r w:rsidRPr="00B54DB6">
        <w:rPr>
          <w:rFonts w:ascii="Cambria" w:hAnsi="Cambria" w:cs="Times-Roman"/>
          <w:sz w:val="20"/>
          <w:szCs w:val="20"/>
          <w:lang w:val="es-ES" w:bidi="en-US"/>
        </w:rPr>
        <w:t xml:space="preserve">. </w:t>
      </w:r>
    </w:p>
    <w:p w:rsidR="00404E55" w:rsidRDefault="00404E55" w:rsidP="00D737C1">
      <w:pPr>
        <w:rPr>
          <w:rFonts w:asciiTheme="majorHAnsi" w:hAnsiTheme="majorHAnsi"/>
          <w:sz w:val="20"/>
          <w:szCs w:val="20"/>
          <w:lang w:val="es-ES"/>
        </w:rPr>
      </w:pPr>
    </w:p>
    <w:p w:rsidR="00C1411C" w:rsidRPr="00542560" w:rsidRDefault="00961BB2" w:rsidP="00D737C1">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Pr>
          <w:rFonts w:asciiTheme="majorHAnsi" w:hAnsiTheme="majorHAnsi"/>
          <w:sz w:val="20"/>
          <w:szCs w:val="20"/>
          <w:lang w:val="es-ES"/>
        </w:rPr>
        <w:t xml:space="preserve">Disponer las medidas necesarias para adecuar su legislación interna conforme a los estándares descritos en el presente informe en materia de detención preventiva. </w:t>
      </w:r>
      <w:r w:rsidR="00632D40">
        <w:rPr>
          <w:rFonts w:asciiTheme="majorHAnsi" w:hAnsiTheme="majorHAnsi"/>
          <w:sz w:val="20"/>
          <w:szCs w:val="20"/>
          <w:lang w:val="es-ES"/>
        </w:rPr>
        <w:t>En particular, el Estado debe</w:t>
      </w:r>
      <w:r w:rsidR="00910286">
        <w:rPr>
          <w:rFonts w:asciiTheme="majorHAnsi" w:hAnsiTheme="majorHAnsi"/>
          <w:sz w:val="20"/>
          <w:szCs w:val="20"/>
          <w:lang w:val="es-ES"/>
        </w:rPr>
        <w:t xml:space="preserve"> asegurar que: i)</w:t>
      </w:r>
      <w:r w:rsidR="00632D40">
        <w:rPr>
          <w:rFonts w:asciiTheme="majorHAnsi" w:hAnsiTheme="majorHAnsi"/>
          <w:sz w:val="20"/>
          <w:szCs w:val="20"/>
          <w:lang w:val="es-ES"/>
        </w:rPr>
        <w:t xml:space="preserve"> </w:t>
      </w:r>
      <w:r w:rsidR="00632D40" w:rsidRPr="0062236D">
        <w:rPr>
          <w:rFonts w:asciiTheme="majorHAnsi" w:hAnsiTheme="majorHAnsi"/>
          <w:sz w:val="20"/>
          <w:szCs w:val="20"/>
          <w:lang w:val="es-ES"/>
        </w:rPr>
        <w:t>la</w:t>
      </w:r>
      <w:r w:rsidR="00632D40">
        <w:rPr>
          <w:rFonts w:asciiTheme="majorHAnsi" w:hAnsiTheme="majorHAnsi"/>
          <w:sz w:val="20"/>
          <w:szCs w:val="20"/>
          <w:lang w:val="es-ES"/>
        </w:rPr>
        <w:t xml:space="preserve"> detención </w:t>
      </w:r>
      <w:r w:rsidR="00632D40" w:rsidRPr="0062236D">
        <w:rPr>
          <w:rFonts w:asciiTheme="majorHAnsi" w:hAnsiTheme="majorHAnsi"/>
          <w:sz w:val="20"/>
          <w:szCs w:val="20"/>
          <w:lang w:val="es-ES"/>
        </w:rPr>
        <w:t>preventiva se aplique de manera excepcional</w:t>
      </w:r>
      <w:r w:rsidR="00910286">
        <w:rPr>
          <w:rFonts w:asciiTheme="majorHAnsi" w:hAnsiTheme="majorHAnsi"/>
          <w:sz w:val="20"/>
          <w:szCs w:val="20"/>
          <w:lang w:val="es-ES"/>
        </w:rPr>
        <w:t xml:space="preserve">; ii) la detención preventiva </w:t>
      </w:r>
      <w:r w:rsidR="00632D40">
        <w:rPr>
          <w:rFonts w:asciiTheme="majorHAnsi" w:hAnsiTheme="majorHAnsi"/>
          <w:sz w:val="20"/>
          <w:szCs w:val="20"/>
          <w:lang w:val="es-ES"/>
        </w:rPr>
        <w:t>se encuentre</w:t>
      </w:r>
      <w:r w:rsidR="00632D40" w:rsidRPr="0062236D">
        <w:rPr>
          <w:rFonts w:asciiTheme="majorHAnsi" w:hAnsiTheme="majorHAnsi"/>
          <w:sz w:val="20"/>
          <w:szCs w:val="20"/>
          <w:lang w:val="es-ES"/>
        </w:rPr>
        <w:t xml:space="preserve"> limitada por los principios de legalidad, presunción de inocencia, necesidad y proporcionalidad</w:t>
      </w:r>
      <w:r w:rsidR="00910286">
        <w:rPr>
          <w:rFonts w:asciiTheme="majorHAnsi" w:hAnsiTheme="majorHAnsi"/>
          <w:sz w:val="20"/>
          <w:szCs w:val="20"/>
          <w:lang w:val="es-ES"/>
        </w:rPr>
        <w:t xml:space="preserve">; y iii) no exista diferencia de trato con relación a los dos puntos anteriores con base en la naturaleza del delito. </w:t>
      </w:r>
      <w:r w:rsidR="00632D40" w:rsidRPr="0062236D">
        <w:rPr>
          <w:rFonts w:asciiTheme="majorHAnsi" w:hAnsiTheme="majorHAnsi"/>
          <w:sz w:val="20"/>
          <w:szCs w:val="20"/>
          <w:lang w:val="es-ES"/>
        </w:rPr>
        <w:t xml:space="preserve"> </w:t>
      </w:r>
      <w:r>
        <w:rPr>
          <w:rFonts w:asciiTheme="majorHAnsi" w:hAnsiTheme="majorHAnsi"/>
          <w:sz w:val="20"/>
          <w:szCs w:val="20"/>
          <w:lang w:val="es-ES"/>
        </w:rPr>
        <w:t xml:space="preserve">En ese sentido, el Estado debe dejar sin efecto la prohibición de excarcelación contemplada en el actual </w:t>
      </w:r>
      <w:r w:rsidR="00C1411C" w:rsidRPr="0062236D">
        <w:rPr>
          <w:rFonts w:asciiTheme="majorHAnsi" w:hAnsiTheme="majorHAnsi"/>
          <w:sz w:val="20"/>
          <w:szCs w:val="20"/>
          <w:lang w:val="es-ES"/>
        </w:rPr>
        <w:t xml:space="preserve">artículo 11 de la </w:t>
      </w:r>
      <w:r w:rsidR="00632D40">
        <w:rPr>
          <w:rFonts w:asciiTheme="majorHAnsi" w:hAnsiTheme="majorHAnsi"/>
          <w:sz w:val="20"/>
          <w:szCs w:val="20"/>
          <w:lang w:val="es-ES"/>
        </w:rPr>
        <w:t>L</w:t>
      </w:r>
      <w:r w:rsidR="00C1411C" w:rsidRPr="0062236D">
        <w:rPr>
          <w:rFonts w:asciiTheme="majorHAnsi" w:hAnsiTheme="majorHAnsi"/>
          <w:sz w:val="20"/>
          <w:szCs w:val="20"/>
          <w:lang w:val="es-ES"/>
        </w:rPr>
        <w:t>ey 24.390</w:t>
      </w:r>
      <w:r w:rsidR="00632D40">
        <w:rPr>
          <w:rFonts w:asciiTheme="majorHAnsi" w:hAnsiTheme="majorHAnsi"/>
          <w:sz w:val="20"/>
          <w:szCs w:val="20"/>
          <w:lang w:val="es-ES"/>
        </w:rPr>
        <w:t>.</w:t>
      </w:r>
      <w:r w:rsidR="00C1411C" w:rsidRPr="0062236D">
        <w:rPr>
          <w:rFonts w:asciiTheme="majorHAnsi" w:hAnsiTheme="majorHAnsi"/>
          <w:sz w:val="20"/>
          <w:szCs w:val="20"/>
          <w:lang w:val="es-ES"/>
        </w:rPr>
        <w:t xml:space="preserve"> </w:t>
      </w:r>
      <w:bookmarkStart w:id="90" w:name="_GoBack"/>
      <w:bookmarkEnd w:id="90"/>
    </w:p>
    <w:sectPr w:rsidR="00C1411C" w:rsidRPr="00542560" w:rsidSect="00E76156">
      <w:pgSz w:w="12240" w:h="15840"/>
      <w:pgMar w:top="1440" w:right="135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8DB" w:rsidRDefault="00ED58DB">
      <w:r>
        <w:separator/>
      </w:r>
    </w:p>
  </w:endnote>
  <w:endnote w:type="continuationSeparator" w:id="0">
    <w:p w:rsidR="00ED58DB" w:rsidRDefault="00ED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al">
    <w:altName w:val="Calibri"/>
    <w:panose1 w:val="00000000000000000000"/>
    <w:charset w:val="4D"/>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 w:name="Calibri-Italic">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1635294112"/>
      <w:docPartObj>
        <w:docPartGallery w:val="Page Numbers (Bottom of Page)"/>
        <w:docPartUnique/>
      </w:docPartObj>
    </w:sdtPr>
    <w:sdtEndPr>
      <w:rPr>
        <w:noProof/>
        <w:sz w:val="16"/>
        <w:szCs w:val="22"/>
      </w:rPr>
    </w:sdtEndPr>
    <w:sdtContent>
      <w:p w:rsidR="00A26307" w:rsidRPr="00934A2C" w:rsidRDefault="00A2630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42560">
          <w:rPr>
            <w:noProof/>
            <w:sz w:val="16"/>
            <w:szCs w:val="22"/>
          </w:rPr>
          <w:t>28</w:t>
        </w:r>
        <w:r w:rsidRPr="00934A2C">
          <w:rPr>
            <w:noProof/>
            <w:sz w:val="16"/>
            <w:szCs w:val="22"/>
          </w:rPr>
          <w:fldChar w:fldCharType="end"/>
        </w:r>
      </w:p>
    </w:sdtContent>
  </w:sdt>
  <w:p w:rsidR="00A26307" w:rsidRDefault="00A263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07" w:rsidRPr="00934A2C" w:rsidRDefault="00A26307">
    <w:pPr>
      <w:pStyle w:val="Footer"/>
      <w:jc w:val="center"/>
      <w:rPr>
        <w:sz w:val="16"/>
        <w:szCs w:val="22"/>
      </w:rPr>
    </w:pPr>
  </w:p>
  <w:p w:rsidR="00A26307" w:rsidRDefault="00A26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8DB" w:rsidRDefault="00ED58DB">
      <w:r>
        <w:separator/>
      </w:r>
    </w:p>
  </w:footnote>
  <w:footnote w:type="continuationSeparator" w:id="0">
    <w:p w:rsidR="00ED58DB" w:rsidRDefault="00ED58DB">
      <w:r>
        <w:continuationSeparator/>
      </w:r>
    </w:p>
  </w:footnote>
  <w:footnote w:type="continuationNotice" w:id="1">
    <w:p w:rsidR="00ED58DB" w:rsidRDefault="00ED58DB"/>
  </w:footnote>
  <w:footnote w:id="2">
    <w:p w:rsidR="00A26307" w:rsidRPr="007A5722" w:rsidRDefault="00A26307" w:rsidP="007A5722">
      <w:pPr>
        <w:pStyle w:val="FootnoteText"/>
        <w:spacing w:after="120"/>
        <w:ind w:firstLine="720"/>
        <w:jc w:val="both"/>
        <w:rPr>
          <w:rFonts w:asciiTheme="majorHAnsi" w:hAnsiTheme="majorHAnsi"/>
          <w:sz w:val="16"/>
          <w:szCs w:val="16"/>
          <w:lang w:val="es-CO"/>
        </w:rPr>
      </w:pPr>
      <w:r w:rsidRPr="007A5722">
        <w:rPr>
          <w:rStyle w:val="FootnoteReference"/>
          <w:rFonts w:asciiTheme="majorHAnsi" w:hAnsiTheme="majorHAnsi"/>
          <w:sz w:val="16"/>
          <w:szCs w:val="16"/>
        </w:rPr>
        <w:footnoteRef/>
      </w:r>
      <w:r w:rsidRPr="007A5722">
        <w:rPr>
          <w:rFonts w:asciiTheme="majorHAnsi" w:hAnsiTheme="majorHAnsi"/>
          <w:sz w:val="16"/>
          <w:szCs w:val="16"/>
          <w:lang w:val="es-ES"/>
        </w:rPr>
        <w:t xml:space="preserve"> CIDH, Informe No. 50/04, Petición 12.056, Admisibilidad, Gabriel Oscar Jenkins, Argentina, 13 de octubre de 2004, </w:t>
      </w:r>
      <w:proofErr w:type="spellStart"/>
      <w:r w:rsidRPr="007A5722">
        <w:rPr>
          <w:rFonts w:asciiTheme="majorHAnsi" w:hAnsiTheme="majorHAnsi"/>
          <w:sz w:val="16"/>
          <w:szCs w:val="16"/>
          <w:lang w:val="es-ES"/>
        </w:rPr>
        <w:t>párrs</w:t>
      </w:r>
      <w:proofErr w:type="spellEnd"/>
      <w:r w:rsidRPr="007A5722">
        <w:rPr>
          <w:rFonts w:asciiTheme="majorHAnsi" w:hAnsiTheme="majorHAnsi"/>
          <w:sz w:val="16"/>
          <w:szCs w:val="16"/>
          <w:lang w:val="es-ES"/>
        </w:rPr>
        <w:t xml:space="preserve">. </w:t>
      </w:r>
      <w:r w:rsidRPr="007A5722">
        <w:rPr>
          <w:rFonts w:asciiTheme="majorHAnsi" w:hAnsiTheme="majorHAnsi"/>
          <w:sz w:val="16"/>
          <w:szCs w:val="16"/>
          <w:lang w:val="es-CO"/>
        </w:rPr>
        <w:t>5 -14.</w:t>
      </w:r>
    </w:p>
  </w:footnote>
  <w:footnote w:id="3">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7A5722">
        <w:rPr>
          <w:rFonts w:asciiTheme="majorHAnsi" w:hAnsiTheme="majorHAnsi"/>
          <w:sz w:val="16"/>
          <w:szCs w:val="16"/>
          <w:lang w:val="es-VE"/>
        </w:rPr>
        <w:t>. Constancia de la instrucción vinculando las escuchas practicadas al abonado 414-7004. Anexo I del Escrito de observaciones presentado por el Estado el 16 de septiembre de 1999.</w:t>
      </w:r>
    </w:p>
  </w:footnote>
  <w:footnote w:id="4">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7A5722">
        <w:rPr>
          <w:rFonts w:asciiTheme="majorHAnsi" w:hAnsiTheme="majorHAnsi"/>
          <w:sz w:val="16"/>
          <w:szCs w:val="16"/>
          <w:lang w:val="es-VE"/>
        </w:rPr>
        <w:t xml:space="preserve">. Constancia de la instrucción vinculando las escuchas practicadas al abonado 414-7004. Anexo I del Escrito de observaciones presentado por el Estado el 16 de septiembre de 1999. </w:t>
      </w:r>
    </w:p>
  </w:footnote>
  <w:footnote w:id="5">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1</w:t>
      </w:r>
      <w:r w:rsidRPr="007A5722">
        <w:rPr>
          <w:rFonts w:asciiTheme="majorHAnsi" w:hAnsiTheme="majorHAnsi"/>
          <w:sz w:val="16"/>
          <w:szCs w:val="16"/>
          <w:lang w:val="es-VE"/>
        </w:rPr>
        <w:t xml:space="preserve">. Constancia de la instrucción vinculando las escuchas practicadas al abonado 414-7004, </w:t>
      </w:r>
      <w:proofErr w:type="spellStart"/>
      <w:r w:rsidRPr="007A5722">
        <w:rPr>
          <w:rFonts w:asciiTheme="majorHAnsi" w:hAnsiTheme="majorHAnsi"/>
          <w:sz w:val="16"/>
          <w:szCs w:val="16"/>
          <w:lang w:val="es-VE"/>
        </w:rPr>
        <w:t>cassette</w:t>
      </w:r>
      <w:proofErr w:type="spellEnd"/>
      <w:r w:rsidRPr="007A5722">
        <w:rPr>
          <w:rFonts w:asciiTheme="majorHAnsi" w:hAnsiTheme="majorHAnsi"/>
          <w:sz w:val="16"/>
          <w:szCs w:val="16"/>
          <w:lang w:val="es-VE"/>
        </w:rPr>
        <w:t xml:space="preserve"> no.41. Anexo I del Escrito de observaciones presentado por el Estado el 16 de septiembre de 1999. </w:t>
      </w:r>
    </w:p>
  </w:footnote>
  <w:footnote w:id="6">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2</w:t>
      </w:r>
      <w:r w:rsidRPr="007A5722">
        <w:rPr>
          <w:rFonts w:asciiTheme="majorHAnsi" w:hAnsiTheme="majorHAnsi"/>
          <w:sz w:val="16"/>
          <w:szCs w:val="16"/>
          <w:lang w:val="es-VE"/>
        </w:rPr>
        <w:t>. Anexo I del Escrito de observaciones presentado por el Estado el 16 de septiembre de 1999.</w:t>
      </w:r>
    </w:p>
  </w:footnote>
  <w:footnote w:id="7">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3</w:t>
      </w:r>
      <w:r w:rsidRPr="007A5722">
        <w:rPr>
          <w:rFonts w:asciiTheme="majorHAnsi" w:hAnsiTheme="majorHAnsi"/>
          <w:sz w:val="16"/>
          <w:szCs w:val="16"/>
          <w:lang w:val="es-VE"/>
        </w:rPr>
        <w:t>. Transcripción correspondiente a la intervención telefónica del abonado 91-3614 (Mar del Plata) correspondiente a los días 1 y 2 de abril de 1994. Anexo I del Escrito de observaciones presentado por el Estado el 16 de septiembre de 1999.</w:t>
      </w:r>
    </w:p>
  </w:footnote>
  <w:footnote w:id="8">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3</w:t>
      </w:r>
      <w:r w:rsidRPr="007A5722">
        <w:rPr>
          <w:rFonts w:asciiTheme="majorHAnsi" w:hAnsiTheme="majorHAnsi"/>
          <w:sz w:val="16"/>
          <w:szCs w:val="16"/>
          <w:lang w:val="es-VE"/>
        </w:rPr>
        <w:t xml:space="preserve">. Transcripción correspondiente a la intervención telefónica del abonado 91-3614 (Mar del Plata) correspondiente a los días 7 y 8 de mayo de 1994, </w:t>
      </w:r>
      <w:proofErr w:type="spellStart"/>
      <w:r w:rsidRPr="007A5722">
        <w:rPr>
          <w:rFonts w:asciiTheme="majorHAnsi" w:hAnsiTheme="majorHAnsi"/>
          <w:sz w:val="16"/>
          <w:szCs w:val="16"/>
          <w:lang w:val="es-VE"/>
        </w:rPr>
        <w:t>cassette</w:t>
      </w:r>
      <w:proofErr w:type="spellEnd"/>
      <w:r w:rsidRPr="007A5722">
        <w:rPr>
          <w:rFonts w:asciiTheme="majorHAnsi" w:hAnsiTheme="majorHAnsi"/>
          <w:sz w:val="16"/>
          <w:szCs w:val="16"/>
          <w:lang w:val="es-VE"/>
        </w:rPr>
        <w:t xml:space="preserve"> número 53. Anexo I del Escrito de observaciones presentado por el Estado el 16 de septiembre de 1999.</w:t>
      </w:r>
    </w:p>
  </w:footnote>
  <w:footnote w:id="9">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4</w:t>
      </w:r>
      <w:r w:rsidRPr="007A5722">
        <w:rPr>
          <w:rFonts w:asciiTheme="majorHAnsi" w:hAnsiTheme="majorHAnsi"/>
          <w:sz w:val="16"/>
          <w:szCs w:val="16"/>
          <w:lang w:val="es-VE"/>
        </w:rPr>
        <w:t>. Solicitud de elevación a juicio del Fiscal Federal Adjunto de 21 de abril de 1995.Anexo del Escrito de observaciones presentado por el Estado el 16 de septiembre de 1999.</w:t>
      </w:r>
    </w:p>
  </w:footnote>
  <w:footnote w:id="10">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4</w:t>
      </w:r>
      <w:r w:rsidRPr="007A5722">
        <w:rPr>
          <w:rFonts w:asciiTheme="majorHAnsi" w:hAnsiTheme="majorHAnsi"/>
          <w:sz w:val="16"/>
          <w:szCs w:val="16"/>
          <w:lang w:val="es-VE"/>
        </w:rPr>
        <w:t>. Solicitud de elevación a juicio del Fiscal Federal Adjunto de 21 de abril de 1995.Anexo del Escrito de observaciones presentado por el Estado el 16 de septiembre de 1999.</w:t>
      </w:r>
    </w:p>
  </w:footnote>
  <w:footnote w:id="11">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5</w:t>
      </w:r>
      <w:r w:rsidRPr="007A5722">
        <w:rPr>
          <w:rFonts w:asciiTheme="majorHAnsi" w:hAnsiTheme="majorHAnsi"/>
          <w:sz w:val="16"/>
          <w:szCs w:val="16"/>
          <w:lang w:val="es-VE"/>
        </w:rPr>
        <w:t>. Sentencia del Tribunal Oral en lo Criminal Federal No. 6 de la Capital Federal de 23 de diciembre de 1997, folios 154 y 159. En el marco de dicho proceso también solicitó la absolución de otros imputados: Fabián Heredia, Marisa Cañete, Julio Omar Godoy, Claudio Martínez y Silvia Susana Claro. Ver folio 243.</w:t>
      </w:r>
    </w:p>
  </w:footnote>
  <w:footnote w:id="12">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5</w:t>
      </w:r>
      <w:r w:rsidRPr="007A5722">
        <w:rPr>
          <w:rFonts w:asciiTheme="majorHAnsi" w:hAnsiTheme="majorHAnsi"/>
          <w:sz w:val="16"/>
          <w:szCs w:val="16"/>
          <w:lang w:val="es-VE"/>
        </w:rPr>
        <w:t>. Sentencia del Tribunal Oral en lo Criminal Federal No. 6 de la Capital Federal de 23 de diciembre de 1997, folio 317.</w:t>
      </w:r>
    </w:p>
  </w:footnote>
  <w:footnote w:id="13">
    <w:p w:rsidR="00A26307" w:rsidRPr="007A5722" w:rsidRDefault="00A26307" w:rsidP="007A5722">
      <w:pPr>
        <w:pStyle w:val="FootnoteText"/>
        <w:spacing w:after="120"/>
        <w:ind w:firstLine="720"/>
        <w:jc w:val="both"/>
        <w:rPr>
          <w:rFonts w:asciiTheme="majorHAnsi" w:hAnsiTheme="majorHAnsi"/>
          <w:sz w:val="16"/>
          <w:szCs w:val="16"/>
          <w:lang w:val="es-GT"/>
        </w:rPr>
      </w:pPr>
      <w:r w:rsidRPr="007A5722">
        <w:rPr>
          <w:rStyle w:val="FootnoteReference"/>
          <w:rFonts w:asciiTheme="majorHAnsi" w:hAnsiTheme="majorHAnsi"/>
          <w:sz w:val="16"/>
          <w:szCs w:val="16"/>
        </w:rPr>
        <w:footnoteRef/>
      </w:r>
      <w:r w:rsidRPr="007A5722">
        <w:rPr>
          <w:rFonts w:asciiTheme="majorHAnsi" w:hAnsiTheme="majorHAnsi"/>
          <w:sz w:val="16"/>
          <w:szCs w:val="16"/>
          <w:lang w:val="es-ES"/>
        </w:rPr>
        <w:t xml:space="preserve"> </w:t>
      </w:r>
      <w:r w:rsidRPr="007A5722">
        <w:rPr>
          <w:rFonts w:asciiTheme="majorHAnsi" w:hAnsiTheme="majorHAnsi"/>
          <w:sz w:val="16"/>
          <w:szCs w:val="16"/>
          <w:lang w:val="es-GT"/>
        </w:rPr>
        <w:t>Escrito de observaciones del Estado de 11 de junio de 2013.</w:t>
      </w:r>
    </w:p>
  </w:footnote>
  <w:footnote w:id="14">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Pr="007A5722">
        <w:rPr>
          <w:rFonts w:asciiTheme="majorHAnsi" w:hAnsiTheme="majorHAnsi"/>
          <w:sz w:val="16"/>
          <w:szCs w:val="16"/>
          <w:lang w:val="es-VE"/>
        </w:rPr>
        <w:t xml:space="preserve"> Escrito de observaciones del Estado de 16 de septiembre de 1999.</w:t>
      </w:r>
    </w:p>
  </w:footnote>
  <w:footnote w:id="15">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w:t>
      </w:r>
      <w:r w:rsidRPr="007A5722">
        <w:rPr>
          <w:rFonts w:asciiTheme="majorHAnsi" w:hAnsiTheme="majorHAnsi"/>
          <w:sz w:val="16"/>
          <w:szCs w:val="16"/>
          <w:lang w:val="es-VE"/>
        </w:rPr>
        <w:t>Escrito de observaciones presentado por el Estado el 16 de septiembre de 1999.</w:t>
      </w:r>
    </w:p>
  </w:footnote>
  <w:footnote w:id="16">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5</w:t>
      </w:r>
      <w:r w:rsidRPr="007A5722">
        <w:rPr>
          <w:rFonts w:asciiTheme="majorHAnsi" w:hAnsiTheme="majorHAnsi"/>
          <w:sz w:val="16"/>
          <w:szCs w:val="16"/>
          <w:lang w:val="es-VE"/>
        </w:rPr>
        <w:t xml:space="preserve">. Sentencia del Tribunal Oral en lo Criminal Federal No. 6 de la Capital Federal de 23 de diciembre de 1997, folios 154 y 159. En el marco de dicho proceso también solicitó la absolución de otros imputados: Fabián Heredia, Marisa Cañete, Julio Omar Godoy, Claudio Martínez y Silvia Susana Claro. Ver folio 243. </w:t>
      </w:r>
    </w:p>
  </w:footnote>
  <w:footnote w:id="17">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5</w:t>
      </w:r>
      <w:r w:rsidRPr="007A5722">
        <w:rPr>
          <w:rFonts w:asciiTheme="majorHAnsi" w:hAnsiTheme="majorHAnsi"/>
          <w:sz w:val="16"/>
          <w:szCs w:val="16"/>
          <w:lang w:val="es-VE"/>
        </w:rPr>
        <w:t>. Sentencia del Tribunal Oral en lo Criminal Federal No. 6 de la Capital Federal de 23 de diciembre de 1997, folio 406.</w:t>
      </w:r>
    </w:p>
  </w:footnote>
  <w:footnote w:id="18">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5</w:t>
      </w:r>
      <w:r w:rsidRPr="007A5722">
        <w:rPr>
          <w:rFonts w:asciiTheme="majorHAnsi" w:hAnsiTheme="majorHAnsi"/>
          <w:sz w:val="16"/>
          <w:szCs w:val="16"/>
          <w:lang w:val="es-VE"/>
        </w:rPr>
        <w:t>. Sentencia del Tribunal Oral en lo Criminal Federal No. 6 de la Capital Federal de 23 de diciembre de 1997, folio 317.</w:t>
      </w:r>
    </w:p>
  </w:footnote>
  <w:footnote w:id="19">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5</w:t>
      </w:r>
      <w:r w:rsidRPr="007A5722">
        <w:rPr>
          <w:rFonts w:asciiTheme="majorHAnsi" w:hAnsiTheme="majorHAnsi"/>
          <w:sz w:val="16"/>
          <w:szCs w:val="16"/>
          <w:lang w:val="es-VE"/>
        </w:rPr>
        <w:t>. Sentencia del Tribunal Oral en lo Criminal Federal No. 6 de la Capital Federal de 23 de diciembre de 1997, folio 418.</w:t>
      </w:r>
      <w:r w:rsidRPr="007A5722">
        <w:rPr>
          <w:rFonts w:asciiTheme="majorHAnsi" w:hAnsiTheme="majorHAnsi"/>
          <w:sz w:val="16"/>
          <w:szCs w:val="16"/>
          <w:lang w:val="es-CO"/>
        </w:rPr>
        <w:t xml:space="preserve"> </w:t>
      </w:r>
    </w:p>
  </w:footnote>
  <w:footnote w:id="20">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Pr="007A5722">
        <w:rPr>
          <w:rFonts w:asciiTheme="majorHAnsi" w:hAnsiTheme="majorHAnsi"/>
          <w:sz w:val="16"/>
          <w:szCs w:val="16"/>
          <w:lang w:val="es-CO"/>
        </w:rPr>
        <w:t xml:space="preserve"> </w:t>
      </w:r>
      <w:r w:rsidRPr="007A5722">
        <w:rPr>
          <w:rFonts w:asciiTheme="majorHAnsi" w:hAnsiTheme="majorHAnsi"/>
          <w:sz w:val="16"/>
          <w:szCs w:val="16"/>
          <w:lang w:val="es-VE"/>
        </w:rPr>
        <w:t xml:space="preserve">Ley No. 24.390 Plazos de prisión preventiva, promulgada el 21 de noviembre de 1994, disponible en: </w:t>
      </w:r>
      <w:r w:rsidR="00ED58DB">
        <w:fldChar w:fldCharType="begin"/>
      </w:r>
      <w:r w:rsidR="00ED58DB" w:rsidRPr="00542560">
        <w:rPr>
          <w:lang w:val="es-VE"/>
        </w:rPr>
        <w:instrText xml:space="preserve"> HYPERLINK "http://servicios.infoleg.gob.ar/infolegInternet/anexos/0-4999/776/norma.htm" </w:instrText>
      </w:r>
      <w:r w:rsidR="00ED58DB">
        <w:fldChar w:fldCharType="separate"/>
      </w:r>
      <w:r w:rsidRPr="007A5722">
        <w:rPr>
          <w:rStyle w:val="Hyperlink"/>
          <w:rFonts w:asciiTheme="majorHAnsi" w:hAnsiTheme="majorHAnsi"/>
          <w:sz w:val="16"/>
          <w:szCs w:val="16"/>
          <w:lang w:val="es-VE"/>
        </w:rPr>
        <w:t>http://servicios.infoleg.gob.ar/infolegInternet/anexos/0-4999/776/norma.htm</w:t>
      </w:r>
      <w:r w:rsidR="00ED58DB">
        <w:rPr>
          <w:rStyle w:val="Hyperlink"/>
          <w:rFonts w:asciiTheme="majorHAnsi" w:hAnsiTheme="majorHAnsi"/>
          <w:sz w:val="16"/>
          <w:szCs w:val="16"/>
          <w:lang w:val="es-VE"/>
        </w:rPr>
        <w:fldChar w:fldCharType="end"/>
      </w:r>
      <w:r w:rsidRPr="007A5722">
        <w:rPr>
          <w:rFonts w:asciiTheme="majorHAnsi" w:hAnsiTheme="majorHAnsi"/>
          <w:sz w:val="16"/>
          <w:szCs w:val="16"/>
          <w:lang w:val="es-VE"/>
        </w:rPr>
        <w:t>.</w:t>
      </w:r>
    </w:p>
  </w:footnote>
  <w:footnote w:id="21">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Pr="007A5722">
        <w:rPr>
          <w:rFonts w:asciiTheme="majorHAnsi" w:hAnsiTheme="majorHAnsi"/>
          <w:sz w:val="16"/>
          <w:szCs w:val="16"/>
          <w:lang w:val="es-CO"/>
        </w:rPr>
        <w:t xml:space="preserve"> </w:t>
      </w:r>
      <w:r w:rsidRPr="007A5722">
        <w:rPr>
          <w:rFonts w:asciiTheme="majorHAnsi" w:hAnsiTheme="majorHAnsi"/>
          <w:sz w:val="16"/>
          <w:szCs w:val="16"/>
          <w:lang w:val="es-VE"/>
        </w:rPr>
        <w:t xml:space="preserve">Ley No. 24.390 Plazos de prisión preventiva, promulgada el 21 de noviembre de 1994, disponible en: </w:t>
      </w:r>
      <w:r w:rsidR="00ED58DB">
        <w:fldChar w:fldCharType="begin"/>
      </w:r>
      <w:r w:rsidR="00ED58DB" w:rsidRPr="00542560">
        <w:rPr>
          <w:lang w:val="es-VE"/>
        </w:rPr>
        <w:instrText xml:space="preserve"> HYPERLINK "http://servicios.infoleg.gob.ar/infolegInternet/anexos/0-4999/776/norma.htm" </w:instrText>
      </w:r>
      <w:r w:rsidR="00ED58DB">
        <w:fldChar w:fldCharType="separate"/>
      </w:r>
      <w:r w:rsidRPr="007A5722">
        <w:rPr>
          <w:rStyle w:val="Hyperlink"/>
          <w:rFonts w:asciiTheme="majorHAnsi" w:hAnsiTheme="majorHAnsi"/>
          <w:sz w:val="16"/>
          <w:szCs w:val="16"/>
          <w:lang w:val="es-VE"/>
        </w:rPr>
        <w:t>http://servicios.infoleg.gob.ar/infolegInternet/anexos/0-4999/776/norma.htm</w:t>
      </w:r>
      <w:r w:rsidR="00ED58DB">
        <w:rPr>
          <w:rStyle w:val="Hyperlink"/>
          <w:rFonts w:asciiTheme="majorHAnsi" w:hAnsiTheme="majorHAnsi"/>
          <w:sz w:val="16"/>
          <w:szCs w:val="16"/>
          <w:lang w:val="es-VE"/>
        </w:rPr>
        <w:fldChar w:fldCharType="end"/>
      </w:r>
      <w:r w:rsidRPr="007A5722">
        <w:rPr>
          <w:rFonts w:asciiTheme="majorHAnsi" w:hAnsiTheme="majorHAnsi"/>
          <w:sz w:val="16"/>
          <w:szCs w:val="16"/>
          <w:lang w:val="es-VE"/>
        </w:rPr>
        <w:t>.</w:t>
      </w:r>
    </w:p>
  </w:footnote>
  <w:footnote w:id="22">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Pr="007A5722">
        <w:rPr>
          <w:rFonts w:asciiTheme="majorHAnsi" w:hAnsiTheme="majorHAnsi"/>
          <w:sz w:val="16"/>
          <w:szCs w:val="16"/>
          <w:lang w:val="es-VE"/>
        </w:rPr>
        <w:t xml:space="preserve"> Ley No. 23.737 promulgada el 10 de octubre de 1989, disponible en: </w:t>
      </w:r>
      <w:r w:rsidR="00ED58DB">
        <w:fldChar w:fldCharType="begin"/>
      </w:r>
      <w:r w:rsidR="00ED58DB" w:rsidRPr="00542560">
        <w:rPr>
          <w:lang w:val="es-VE"/>
        </w:rPr>
        <w:instrText xml:space="preserve"> HYPERLINK "http://servicios.infoleg.gob.ar/infolegInternet/anexos/0-4999/138/texact.htm" </w:instrText>
      </w:r>
      <w:r w:rsidR="00ED58DB">
        <w:fldChar w:fldCharType="separate"/>
      </w:r>
      <w:r w:rsidRPr="007A5722">
        <w:rPr>
          <w:rStyle w:val="Hyperlink"/>
          <w:rFonts w:asciiTheme="majorHAnsi" w:hAnsiTheme="majorHAnsi"/>
          <w:sz w:val="16"/>
          <w:szCs w:val="16"/>
          <w:lang w:val="es-VE"/>
        </w:rPr>
        <w:t>http://servicios.infoleg.gob.ar/infolegInternet/anexos/0-4999/138/texact.htm</w:t>
      </w:r>
      <w:r w:rsidR="00ED58DB">
        <w:rPr>
          <w:rStyle w:val="Hyperlink"/>
          <w:rFonts w:asciiTheme="majorHAnsi" w:hAnsiTheme="majorHAnsi"/>
          <w:sz w:val="16"/>
          <w:szCs w:val="16"/>
          <w:lang w:val="es-VE"/>
        </w:rPr>
        <w:fldChar w:fldCharType="end"/>
      </w:r>
      <w:r w:rsidRPr="007A5722">
        <w:rPr>
          <w:rFonts w:asciiTheme="majorHAnsi" w:hAnsiTheme="majorHAnsi"/>
          <w:sz w:val="16"/>
          <w:szCs w:val="16"/>
          <w:lang w:val="es-VE"/>
        </w:rPr>
        <w:t xml:space="preserve">. </w:t>
      </w:r>
    </w:p>
  </w:footnote>
  <w:footnote w:id="23">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6</w:t>
      </w:r>
      <w:r w:rsidRPr="007A5722">
        <w:rPr>
          <w:rFonts w:asciiTheme="majorHAnsi" w:hAnsiTheme="majorHAnsi"/>
          <w:sz w:val="16"/>
          <w:szCs w:val="16"/>
          <w:lang w:val="es-VE"/>
        </w:rPr>
        <w:t xml:space="preserve">. Resolución No. 935/97 del Defensor del Pueblo de la Ciudad de Buenos Aires de 23 de junio de 1997. </w:t>
      </w:r>
    </w:p>
  </w:footnote>
  <w:footnote w:id="24">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6</w:t>
      </w:r>
      <w:r w:rsidRPr="007A5722">
        <w:rPr>
          <w:rFonts w:asciiTheme="majorHAnsi" w:hAnsiTheme="majorHAnsi"/>
          <w:sz w:val="16"/>
          <w:szCs w:val="16"/>
          <w:lang w:val="es-VE"/>
        </w:rPr>
        <w:t xml:space="preserve">. Resolución No. 935/97 del Defensor del Pueblo de la Ciudad de Buenos Aires de 23 de junio de 1997. </w:t>
      </w:r>
    </w:p>
  </w:footnote>
  <w:footnote w:id="25">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6</w:t>
      </w:r>
      <w:r w:rsidRPr="007A5722">
        <w:rPr>
          <w:rFonts w:asciiTheme="majorHAnsi" w:hAnsiTheme="majorHAnsi"/>
          <w:sz w:val="16"/>
          <w:szCs w:val="16"/>
          <w:lang w:val="es-VE"/>
        </w:rPr>
        <w:t xml:space="preserve">. Resolución No. 935/97 del Defensor del Pueblo de la Ciudad de Buenos Aires de 23 de junio de 1997. </w:t>
      </w:r>
    </w:p>
  </w:footnote>
  <w:footnote w:id="26">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6</w:t>
      </w:r>
      <w:r w:rsidRPr="007A5722">
        <w:rPr>
          <w:rFonts w:asciiTheme="majorHAnsi" w:hAnsiTheme="majorHAnsi"/>
          <w:sz w:val="16"/>
          <w:szCs w:val="16"/>
          <w:lang w:val="es-VE"/>
        </w:rPr>
        <w:t xml:space="preserve">. Resolución No. 935/97 del Defensor del Pueblo de la Ciudad de Buenos Aires de 23 de junio de 1997. </w:t>
      </w:r>
    </w:p>
  </w:footnote>
  <w:footnote w:id="27">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6</w:t>
      </w:r>
      <w:r w:rsidRPr="007A5722">
        <w:rPr>
          <w:rFonts w:asciiTheme="majorHAnsi" w:hAnsiTheme="majorHAnsi"/>
          <w:sz w:val="16"/>
          <w:szCs w:val="16"/>
          <w:lang w:val="es-VE"/>
        </w:rPr>
        <w:t xml:space="preserve">. Resolución No. 935/97 del Defensor del Pueblo de la Ciudad de Buenos Aires de 23 de junio de 1997. </w:t>
      </w:r>
    </w:p>
  </w:footnote>
  <w:footnote w:id="28">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7</w:t>
      </w:r>
      <w:r w:rsidRPr="007A5722">
        <w:rPr>
          <w:rFonts w:asciiTheme="majorHAnsi" w:hAnsiTheme="majorHAnsi"/>
          <w:sz w:val="16"/>
          <w:szCs w:val="16"/>
          <w:lang w:val="es-VE"/>
        </w:rPr>
        <w:t xml:space="preserve">. Recurso de inconstitucionalidad interpuesto por Miguel Ángel </w:t>
      </w:r>
      <w:proofErr w:type="spellStart"/>
      <w:r w:rsidRPr="007A5722">
        <w:rPr>
          <w:rFonts w:asciiTheme="majorHAnsi" w:hAnsiTheme="majorHAnsi"/>
          <w:sz w:val="16"/>
          <w:szCs w:val="16"/>
          <w:lang w:val="es-VE"/>
        </w:rPr>
        <w:t>Buigo</w:t>
      </w:r>
      <w:proofErr w:type="spellEnd"/>
      <w:r w:rsidRPr="007A5722">
        <w:rPr>
          <w:rFonts w:asciiTheme="majorHAnsi" w:hAnsiTheme="majorHAnsi"/>
          <w:sz w:val="16"/>
          <w:szCs w:val="16"/>
          <w:lang w:val="es-VE"/>
        </w:rPr>
        <w:t xml:space="preserve"> y Marcelo Roberto </w:t>
      </w:r>
      <w:proofErr w:type="spellStart"/>
      <w:r w:rsidRPr="007A5722">
        <w:rPr>
          <w:rFonts w:asciiTheme="majorHAnsi" w:hAnsiTheme="majorHAnsi"/>
          <w:sz w:val="16"/>
          <w:szCs w:val="16"/>
          <w:lang w:val="es-VE"/>
        </w:rPr>
        <w:t>Buigo</w:t>
      </w:r>
      <w:proofErr w:type="spellEnd"/>
      <w:r w:rsidRPr="007A5722">
        <w:rPr>
          <w:rFonts w:asciiTheme="majorHAnsi" w:hAnsiTheme="majorHAnsi"/>
          <w:sz w:val="16"/>
          <w:szCs w:val="16"/>
          <w:lang w:val="es-VE"/>
        </w:rPr>
        <w:t xml:space="preserve"> interpuesto ante el Tribunal Oral Federal No. 6. Anexo 8 de la comunicación presentada por el peticionario el 9 de septiembre de 1997. </w:t>
      </w:r>
    </w:p>
  </w:footnote>
  <w:footnote w:id="29">
    <w:p w:rsidR="00A26307" w:rsidRPr="007A5722" w:rsidRDefault="00A26307" w:rsidP="00403AC1">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8</w:t>
      </w:r>
      <w:r w:rsidRPr="007A5722">
        <w:rPr>
          <w:rFonts w:asciiTheme="majorHAnsi" w:hAnsiTheme="majorHAnsi"/>
          <w:sz w:val="16"/>
          <w:szCs w:val="16"/>
          <w:lang w:val="es-VE"/>
        </w:rPr>
        <w:t>. Decisión d</w:t>
      </w:r>
      <w:r>
        <w:rPr>
          <w:rFonts w:asciiTheme="majorHAnsi" w:hAnsiTheme="majorHAnsi"/>
          <w:sz w:val="16"/>
          <w:szCs w:val="16"/>
          <w:lang w:val="es-VE"/>
        </w:rPr>
        <w:t xml:space="preserve">el Tribunal Oral Federal No. 6 </w:t>
      </w:r>
      <w:r w:rsidRPr="007A5722">
        <w:rPr>
          <w:rFonts w:asciiTheme="majorHAnsi" w:hAnsiTheme="majorHAnsi"/>
          <w:sz w:val="16"/>
          <w:szCs w:val="16"/>
          <w:lang w:val="es-VE"/>
        </w:rPr>
        <w:t xml:space="preserve">de 2 de octubre de 1996 que declara sin lugar el recurso de inconstitucionalidad interpuesto por los defensores de Gabriel Oscar Jenkins. Anexo 9 de la comunicación presentada por el peticionario el 9 de septiembre de 1997. </w:t>
      </w:r>
    </w:p>
  </w:footnote>
  <w:footnote w:id="30">
    <w:p w:rsidR="00A26307" w:rsidRPr="007A5722" w:rsidRDefault="00A26307" w:rsidP="00403AC1">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8</w:t>
      </w:r>
      <w:r w:rsidRPr="007A5722">
        <w:rPr>
          <w:rFonts w:asciiTheme="majorHAnsi" w:hAnsiTheme="majorHAnsi"/>
          <w:sz w:val="16"/>
          <w:szCs w:val="16"/>
          <w:lang w:val="es-VE"/>
        </w:rPr>
        <w:t>. Decisión d</w:t>
      </w:r>
      <w:r>
        <w:rPr>
          <w:rFonts w:asciiTheme="majorHAnsi" w:hAnsiTheme="majorHAnsi"/>
          <w:sz w:val="16"/>
          <w:szCs w:val="16"/>
          <w:lang w:val="es-VE"/>
        </w:rPr>
        <w:t xml:space="preserve">el Tribunal Oral Federal No. 6 </w:t>
      </w:r>
      <w:r w:rsidRPr="007A5722">
        <w:rPr>
          <w:rFonts w:asciiTheme="majorHAnsi" w:hAnsiTheme="majorHAnsi"/>
          <w:sz w:val="16"/>
          <w:szCs w:val="16"/>
          <w:lang w:val="es-VE"/>
        </w:rPr>
        <w:t xml:space="preserve">de 2 de octubre de 1996 que declara sin lugar el recurso de inconstitucionalidad interpuesto por los defensores de Gabriel Oscar Jenkins. Anexo 9 de la comunicación presentada por el peticionario el 9 de septiembre de 1997. </w:t>
      </w:r>
    </w:p>
  </w:footnote>
  <w:footnote w:id="31">
    <w:p w:rsidR="00A26307" w:rsidRPr="007A5722" w:rsidRDefault="00A26307" w:rsidP="00403AC1">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8</w:t>
      </w:r>
      <w:r w:rsidRPr="007A5722">
        <w:rPr>
          <w:rFonts w:asciiTheme="majorHAnsi" w:hAnsiTheme="majorHAnsi"/>
          <w:sz w:val="16"/>
          <w:szCs w:val="16"/>
          <w:lang w:val="es-VE"/>
        </w:rPr>
        <w:t xml:space="preserve">. Decisión </w:t>
      </w:r>
      <w:r>
        <w:rPr>
          <w:rFonts w:asciiTheme="majorHAnsi" w:hAnsiTheme="majorHAnsi"/>
          <w:sz w:val="16"/>
          <w:szCs w:val="16"/>
          <w:lang w:val="es-VE"/>
        </w:rPr>
        <w:t>del Tribunal Oral Federal No. 6</w:t>
      </w:r>
      <w:r w:rsidRPr="007A5722">
        <w:rPr>
          <w:rFonts w:asciiTheme="majorHAnsi" w:hAnsiTheme="majorHAnsi"/>
          <w:sz w:val="16"/>
          <w:szCs w:val="16"/>
          <w:lang w:val="es-VE"/>
        </w:rPr>
        <w:t xml:space="preserve"> de 2 de octubre de 1996 que declara sin lugar el recurso de inconstitucionalidad interpuesto por los defensores de Gabriel Oscar Jenkins. Anexo 9 de la comunicación presentada por el peticionario el 9 de septiembre de 1997. </w:t>
      </w:r>
    </w:p>
  </w:footnote>
  <w:footnote w:id="32">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8</w:t>
      </w:r>
      <w:r w:rsidRPr="007A5722">
        <w:rPr>
          <w:rFonts w:asciiTheme="majorHAnsi" w:hAnsiTheme="majorHAnsi"/>
          <w:sz w:val="16"/>
          <w:szCs w:val="16"/>
          <w:lang w:val="es-VE"/>
        </w:rPr>
        <w:t>. Decisión d</w:t>
      </w:r>
      <w:r>
        <w:rPr>
          <w:rFonts w:asciiTheme="majorHAnsi" w:hAnsiTheme="majorHAnsi"/>
          <w:sz w:val="16"/>
          <w:szCs w:val="16"/>
          <w:lang w:val="es-VE"/>
        </w:rPr>
        <w:t xml:space="preserve">el Tribunal Oral Federal No. 6 </w:t>
      </w:r>
      <w:r w:rsidRPr="007A5722">
        <w:rPr>
          <w:rFonts w:asciiTheme="majorHAnsi" w:hAnsiTheme="majorHAnsi"/>
          <w:sz w:val="16"/>
          <w:szCs w:val="16"/>
          <w:lang w:val="es-VE"/>
        </w:rPr>
        <w:t xml:space="preserve">de 2 de octubre de 1996 que declara sin lugar el recurso de inconstitucionalidad interpuesto por los defensores de Gabriel Oscar Jenkins. Anexo 9 de la comunicación presentada por el peticionario el 9 de septiembre de 1997. </w:t>
      </w:r>
    </w:p>
  </w:footnote>
  <w:footnote w:id="33">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8</w:t>
      </w:r>
      <w:r w:rsidRPr="007A5722">
        <w:rPr>
          <w:rFonts w:asciiTheme="majorHAnsi" w:hAnsiTheme="majorHAnsi"/>
          <w:sz w:val="16"/>
          <w:szCs w:val="16"/>
          <w:lang w:val="es-VE"/>
        </w:rPr>
        <w:t>. Decisión d</w:t>
      </w:r>
      <w:r>
        <w:rPr>
          <w:rFonts w:asciiTheme="majorHAnsi" w:hAnsiTheme="majorHAnsi"/>
          <w:sz w:val="16"/>
          <w:szCs w:val="16"/>
          <w:lang w:val="es-VE"/>
        </w:rPr>
        <w:t xml:space="preserve">el Tribunal Oral Federal No. 6 </w:t>
      </w:r>
      <w:r w:rsidRPr="007A5722">
        <w:rPr>
          <w:rFonts w:asciiTheme="majorHAnsi" w:hAnsiTheme="majorHAnsi"/>
          <w:sz w:val="16"/>
          <w:szCs w:val="16"/>
          <w:lang w:val="es-VE"/>
        </w:rPr>
        <w:t xml:space="preserve">de 2 de octubre de 1996 que declara sin lugar el recurso de inconstitucionalidad interpuesto por los defensores de Gabriel Oscar Jenkins. Anexo 9 de la comunicación presentada por el peticionario el 9 de septiembre de 1997. </w:t>
      </w:r>
    </w:p>
  </w:footnote>
  <w:footnote w:id="34">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Pr>
          <w:rFonts w:asciiTheme="majorHAnsi" w:hAnsiTheme="majorHAnsi"/>
          <w:sz w:val="16"/>
          <w:szCs w:val="16"/>
          <w:lang w:val="es-VE"/>
        </w:rPr>
        <w:t xml:space="preserve"> Anexo 8</w:t>
      </w:r>
      <w:r w:rsidRPr="007A5722">
        <w:rPr>
          <w:rFonts w:asciiTheme="majorHAnsi" w:hAnsiTheme="majorHAnsi"/>
          <w:sz w:val="16"/>
          <w:szCs w:val="16"/>
          <w:lang w:val="es-VE"/>
        </w:rPr>
        <w:t xml:space="preserve">. Decisión </w:t>
      </w:r>
      <w:r>
        <w:rPr>
          <w:rFonts w:asciiTheme="majorHAnsi" w:hAnsiTheme="majorHAnsi"/>
          <w:sz w:val="16"/>
          <w:szCs w:val="16"/>
          <w:lang w:val="es-VE"/>
        </w:rPr>
        <w:t>del Tribunal Oral Federal No. 6</w:t>
      </w:r>
      <w:r w:rsidRPr="007A5722">
        <w:rPr>
          <w:rFonts w:asciiTheme="majorHAnsi" w:hAnsiTheme="majorHAnsi"/>
          <w:sz w:val="16"/>
          <w:szCs w:val="16"/>
          <w:lang w:val="es-VE"/>
        </w:rPr>
        <w:t xml:space="preserve"> de 2 de octubre de 1996 que declara sin lugar el recurso de inconstitucionalidad interpuesto por los defensores de Gabriel Oscar Jenkins. Anexo 9 de la comunicación presentada por el peticionario el 9 de septiembre de 1997. </w:t>
      </w:r>
    </w:p>
  </w:footnote>
  <w:footnote w:id="35">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00FC1635">
        <w:rPr>
          <w:rFonts w:asciiTheme="majorHAnsi" w:hAnsiTheme="majorHAnsi"/>
          <w:sz w:val="16"/>
          <w:szCs w:val="16"/>
          <w:lang w:val="es-VE"/>
        </w:rPr>
        <w:t xml:space="preserve"> Anexo 9</w:t>
      </w:r>
      <w:r w:rsidRPr="007A5722">
        <w:rPr>
          <w:rFonts w:asciiTheme="majorHAnsi" w:hAnsiTheme="majorHAnsi"/>
          <w:sz w:val="16"/>
          <w:szCs w:val="16"/>
          <w:lang w:val="es-VE"/>
        </w:rPr>
        <w:t xml:space="preserve">. Recurso de inconstitucionalidad interpuesto por Miguel Ángel </w:t>
      </w:r>
      <w:proofErr w:type="spellStart"/>
      <w:r w:rsidRPr="007A5722">
        <w:rPr>
          <w:rFonts w:asciiTheme="majorHAnsi" w:hAnsiTheme="majorHAnsi"/>
          <w:sz w:val="16"/>
          <w:szCs w:val="16"/>
          <w:lang w:val="es-VE"/>
        </w:rPr>
        <w:t>Buigo</w:t>
      </w:r>
      <w:proofErr w:type="spellEnd"/>
      <w:r w:rsidRPr="007A5722">
        <w:rPr>
          <w:rFonts w:asciiTheme="majorHAnsi" w:hAnsiTheme="majorHAnsi"/>
          <w:sz w:val="16"/>
          <w:szCs w:val="16"/>
          <w:lang w:val="es-VE"/>
        </w:rPr>
        <w:t xml:space="preserve"> Y Marcelo Roberto </w:t>
      </w:r>
      <w:proofErr w:type="spellStart"/>
      <w:r w:rsidRPr="007A5722">
        <w:rPr>
          <w:rFonts w:asciiTheme="majorHAnsi" w:hAnsiTheme="majorHAnsi"/>
          <w:sz w:val="16"/>
          <w:szCs w:val="16"/>
          <w:lang w:val="es-VE"/>
        </w:rPr>
        <w:t>Buigo</w:t>
      </w:r>
      <w:proofErr w:type="spellEnd"/>
      <w:r w:rsidRPr="007A5722">
        <w:rPr>
          <w:rFonts w:asciiTheme="majorHAnsi" w:hAnsiTheme="majorHAnsi"/>
          <w:sz w:val="16"/>
          <w:szCs w:val="16"/>
          <w:lang w:val="es-VE"/>
        </w:rPr>
        <w:t xml:space="preserve"> en contra de la decisión del Tribunal Oral Federal No. 6 que deniega la excarcelación de Gabriel Jenkins. Anexo 10 de la comunicación presentada por el peticionario el 9 de septiembre de 1997. </w:t>
      </w:r>
    </w:p>
  </w:footnote>
  <w:footnote w:id="36">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00FC1635">
        <w:rPr>
          <w:rFonts w:asciiTheme="majorHAnsi" w:hAnsiTheme="majorHAnsi"/>
          <w:sz w:val="16"/>
          <w:szCs w:val="16"/>
          <w:lang w:val="es-VE"/>
        </w:rPr>
        <w:t xml:space="preserve"> Anexo 9</w:t>
      </w:r>
      <w:r w:rsidRPr="007A5722">
        <w:rPr>
          <w:rFonts w:asciiTheme="majorHAnsi" w:hAnsiTheme="majorHAnsi"/>
          <w:sz w:val="16"/>
          <w:szCs w:val="16"/>
          <w:lang w:val="es-VE"/>
        </w:rPr>
        <w:t xml:space="preserve">. Recurso de inconstitucionalidad interpuesto por Miguel Ángel </w:t>
      </w:r>
      <w:proofErr w:type="spellStart"/>
      <w:r w:rsidRPr="007A5722">
        <w:rPr>
          <w:rFonts w:asciiTheme="majorHAnsi" w:hAnsiTheme="majorHAnsi"/>
          <w:sz w:val="16"/>
          <w:szCs w:val="16"/>
          <w:lang w:val="es-VE"/>
        </w:rPr>
        <w:t>Buigo</w:t>
      </w:r>
      <w:proofErr w:type="spellEnd"/>
      <w:r w:rsidRPr="007A5722">
        <w:rPr>
          <w:rFonts w:asciiTheme="majorHAnsi" w:hAnsiTheme="majorHAnsi"/>
          <w:sz w:val="16"/>
          <w:szCs w:val="16"/>
          <w:lang w:val="es-VE"/>
        </w:rPr>
        <w:t xml:space="preserve"> Y Marcelo Roberto </w:t>
      </w:r>
      <w:proofErr w:type="spellStart"/>
      <w:r w:rsidRPr="007A5722">
        <w:rPr>
          <w:rFonts w:asciiTheme="majorHAnsi" w:hAnsiTheme="majorHAnsi"/>
          <w:sz w:val="16"/>
          <w:szCs w:val="16"/>
          <w:lang w:val="es-VE"/>
        </w:rPr>
        <w:t>Buigo</w:t>
      </w:r>
      <w:proofErr w:type="spellEnd"/>
      <w:r w:rsidRPr="007A5722">
        <w:rPr>
          <w:rFonts w:asciiTheme="majorHAnsi" w:hAnsiTheme="majorHAnsi"/>
          <w:sz w:val="16"/>
          <w:szCs w:val="16"/>
          <w:lang w:val="es-VE"/>
        </w:rPr>
        <w:t xml:space="preserve"> en contra de la decisión del Tribunal Oral Federal No. 6 que deniega la excarcelación de Gabriel Jenkins. Anexo 10 de la comunicación presentada por el peticionario el 9 de septiembre de 1997. </w:t>
      </w:r>
    </w:p>
  </w:footnote>
  <w:footnote w:id="37">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00FC1635">
        <w:rPr>
          <w:rFonts w:asciiTheme="majorHAnsi" w:hAnsiTheme="majorHAnsi"/>
          <w:sz w:val="16"/>
          <w:szCs w:val="16"/>
          <w:lang w:val="es-VE"/>
        </w:rPr>
        <w:t xml:space="preserve"> Anexo 10</w:t>
      </w:r>
      <w:r w:rsidRPr="007A5722">
        <w:rPr>
          <w:rFonts w:asciiTheme="majorHAnsi" w:hAnsiTheme="majorHAnsi"/>
          <w:sz w:val="16"/>
          <w:szCs w:val="16"/>
          <w:lang w:val="es-VE"/>
        </w:rPr>
        <w:t xml:space="preserve">. Resolución de la Sala I de la Cámara Nacional de Casación Penal de 24 de febrero de 1997 que deniega el recurso de inconstitucionalidad interpuesto por Gabriel Oscar Jenkins. Anexo 6 de la comunicación presentada por el peticionario el 9 de septiembre de 1997. </w:t>
      </w:r>
    </w:p>
  </w:footnote>
  <w:footnote w:id="38">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00F263E2">
        <w:rPr>
          <w:rFonts w:asciiTheme="majorHAnsi" w:hAnsiTheme="majorHAnsi"/>
          <w:sz w:val="16"/>
          <w:szCs w:val="16"/>
          <w:lang w:val="es-VE"/>
        </w:rPr>
        <w:t xml:space="preserve"> Anexo </w:t>
      </w:r>
      <w:r w:rsidR="00FC1635">
        <w:rPr>
          <w:rFonts w:asciiTheme="majorHAnsi" w:hAnsiTheme="majorHAnsi"/>
          <w:sz w:val="16"/>
          <w:szCs w:val="16"/>
          <w:lang w:val="es-VE"/>
        </w:rPr>
        <w:t>11</w:t>
      </w:r>
      <w:r>
        <w:rPr>
          <w:rFonts w:asciiTheme="majorHAnsi" w:hAnsiTheme="majorHAnsi"/>
          <w:sz w:val="16"/>
          <w:szCs w:val="16"/>
          <w:lang w:val="es-VE"/>
        </w:rPr>
        <w:t>.</w:t>
      </w:r>
      <w:r w:rsidRPr="007A5722">
        <w:rPr>
          <w:rFonts w:asciiTheme="majorHAnsi" w:hAnsiTheme="majorHAnsi"/>
          <w:sz w:val="16"/>
          <w:szCs w:val="16"/>
          <w:lang w:val="es-VE"/>
        </w:rPr>
        <w:t xml:space="preserve"> Recurso extraordinario interpuesto por la defensa de Gabriel Oscar Jenkins contra la decisión de la Sala I de la Cámara Nacional de Casación Penal de 24 de febrero de 1997.  Anexo 11 de la comunicación presentada por el peticionario el 9 de septiembre de 1997. </w:t>
      </w:r>
    </w:p>
  </w:footnote>
  <w:footnote w:id="39">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00F263E2">
        <w:rPr>
          <w:rFonts w:asciiTheme="majorHAnsi" w:hAnsiTheme="majorHAnsi"/>
          <w:sz w:val="16"/>
          <w:szCs w:val="16"/>
          <w:lang w:val="es-VE"/>
        </w:rPr>
        <w:t xml:space="preserve"> Anexo </w:t>
      </w:r>
      <w:r w:rsidR="00FC1635">
        <w:rPr>
          <w:rFonts w:asciiTheme="majorHAnsi" w:hAnsiTheme="majorHAnsi"/>
          <w:sz w:val="16"/>
          <w:szCs w:val="16"/>
          <w:lang w:val="es-VE"/>
        </w:rPr>
        <w:t>12</w:t>
      </w:r>
      <w:r w:rsidRPr="007A5722">
        <w:rPr>
          <w:rFonts w:asciiTheme="majorHAnsi" w:hAnsiTheme="majorHAnsi"/>
          <w:sz w:val="16"/>
          <w:szCs w:val="16"/>
          <w:lang w:val="es-VE"/>
        </w:rPr>
        <w:t xml:space="preserve">. Resolución de la Sala I de la Cámara Nacional de Casación Penal de 10 de abril de 1997 que deniega el recurso extraordinario interpuesto por Gabriel Oscar Jenkins. Anexo 7 de la comunicación presentada por el peticionario el 9 de septiembre de 1997. </w:t>
      </w:r>
    </w:p>
  </w:footnote>
  <w:footnote w:id="40">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00F263E2">
        <w:rPr>
          <w:rFonts w:asciiTheme="majorHAnsi" w:hAnsiTheme="majorHAnsi"/>
          <w:sz w:val="16"/>
          <w:szCs w:val="16"/>
          <w:lang w:val="es-VE"/>
        </w:rPr>
        <w:t xml:space="preserve"> Anexo </w:t>
      </w:r>
      <w:r w:rsidR="00FC1635">
        <w:rPr>
          <w:rFonts w:asciiTheme="majorHAnsi" w:hAnsiTheme="majorHAnsi"/>
          <w:sz w:val="16"/>
          <w:szCs w:val="16"/>
          <w:lang w:val="es-VE"/>
        </w:rPr>
        <w:t>12</w:t>
      </w:r>
      <w:r w:rsidRPr="007A5722">
        <w:rPr>
          <w:rFonts w:asciiTheme="majorHAnsi" w:hAnsiTheme="majorHAnsi"/>
          <w:sz w:val="16"/>
          <w:szCs w:val="16"/>
          <w:lang w:val="es-VE"/>
        </w:rPr>
        <w:t xml:space="preserve">. Resolución de la Sala I de la Cámara Nacional de Casación Penal de 10 de abril de 1997 que deniega el recurso extraordinario interpuesto por Gabriel Oscar Jenkins. Anexo 7 de la comunicación presentada por el peticionario el 9 de septiembre de 1997. </w:t>
      </w:r>
    </w:p>
  </w:footnote>
  <w:footnote w:id="41">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001539FF">
        <w:rPr>
          <w:rFonts w:asciiTheme="majorHAnsi" w:hAnsiTheme="majorHAnsi"/>
          <w:sz w:val="16"/>
          <w:szCs w:val="16"/>
          <w:lang w:val="es-VE"/>
        </w:rPr>
        <w:t xml:space="preserve"> </w:t>
      </w:r>
      <w:r w:rsidR="00F263E2">
        <w:rPr>
          <w:rFonts w:asciiTheme="majorHAnsi" w:hAnsiTheme="majorHAnsi"/>
          <w:sz w:val="16"/>
          <w:szCs w:val="16"/>
          <w:lang w:val="es-VE"/>
        </w:rPr>
        <w:t>Anexo 1</w:t>
      </w:r>
      <w:r w:rsidR="00FC1635">
        <w:rPr>
          <w:rFonts w:asciiTheme="majorHAnsi" w:hAnsiTheme="majorHAnsi"/>
          <w:sz w:val="16"/>
          <w:szCs w:val="16"/>
          <w:lang w:val="es-VE"/>
        </w:rPr>
        <w:t>3</w:t>
      </w:r>
      <w:r w:rsidRPr="007A5722">
        <w:rPr>
          <w:rFonts w:asciiTheme="majorHAnsi" w:hAnsiTheme="majorHAnsi"/>
          <w:sz w:val="16"/>
          <w:szCs w:val="16"/>
          <w:lang w:val="es-VE"/>
        </w:rPr>
        <w:t>. Recurso de Queja por re</w:t>
      </w:r>
      <w:r>
        <w:rPr>
          <w:rFonts w:asciiTheme="majorHAnsi" w:hAnsiTheme="majorHAnsi"/>
          <w:sz w:val="16"/>
          <w:szCs w:val="16"/>
          <w:lang w:val="es-VE"/>
        </w:rPr>
        <w:t xml:space="preserve">curso extraordinario denegado. </w:t>
      </w:r>
      <w:r w:rsidRPr="007A5722">
        <w:rPr>
          <w:rFonts w:asciiTheme="majorHAnsi" w:hAnsiTheme="majorHAnsi"/>
          <w:sz w:val="16"/>
          <w:szCs w:val="16"/>
          <w:lang w:val="es-VE"/>
        </w:rPr>
        <w:t>Anexo a la comunicación presentada por el peticionario el 9</w:t>
      </w:r>
      <w:r w:rsidR="00F23AFC">
        <w:rPr>
          <w:rFonts w:asciiTheme="majorHAnsi" w:hAnsiTheme="majorHAnsi"/>
          <w:sz w:val="16"/>
          <w:szCs w:val="16"/>
          <w:lang w:val="es-VE"/>
        </w:rPr>
        <w:t xml:space="preserve"> de septiembre de 1997; Anexo 22</w:t>
      </w:r>
      <w:r w:rsidRPr="007A5722">
        <w:rPr>
          <w:rFonts w:asciiTheme="majorHAnsi" w:hAnsiTheme="majorHAnsi"/>
          <w:sz w:val="16"/>
          <w:szCs w:val="16"/>
          <w:lang w:val="es-VE"/>
        </w:rPr>
        <w:t>. Escrito solicitando garantía de libertad y separación de juicio presentado el 29 de abril de 1997. Anexo 3 de la comunicación presentada por el peticionario el 9</w:t>
      </w:r>
      <w:r w:rsidR="00F23AFC">
        <w:rPr>
          <w:rFonts w:asciiTheme="majorHAnsi" w:hAnsiTheme="majorHAnsi"/>
          <w:sz w:val="16"/>
          <w:szCs w:val="16"/>
          <w:lang w:val="es-VE"/>
        </w:rPr>
        <w:t xml:space="preserve"> de septiembre de 1997; Anexo 23</w:t>
      </w:r>
      <w:r w:rsidRPr="007A5722">
        <w:rPr>
          <w:rFonts w:asciiTheme="majorHAnsi" w:hAnsiTheme="majorHAnsi"/>
          <w:sz w:val="16"/>
          <w:szCs w:val="16"/>
          <w:lang w:val="es-VE"/>
        </w:rPr>
        <w:t>. Recurso de reposición interpuesto por Gabriel Oscar Jenkins ante la Corte Suprema de Justicia. Anexo 2 de la comunicación presentada por el peticionario el 8 de diciembre de 1997.</w:t>
      </w:r>
    </w:p>
  </w:footnote>
  <w:footnote w:id="42">
    <w:p w:rsidR="00A26307" w:rsidRPr="007A5722" w:rsidRDefault="00A26307" w:rsidP="007A5722">
      <w:pPr>
        <w:pStyle w:val="FootnoteText"/>
        <w:spacing w:after="120"/>
        <w:ind w:firstLine="720"/>
        <w:jc w:val="both"/>
        <w:rPr>
          <w:rFonts w:asciiTheme="majorHAnsi" w:hAnsiTheme="majorHAnsi"/>
          <w:sz w:val="16"/>
          <w:szCs w:val="16"/>
          <w:lang w:val="es-ES"/>
        </w:rPr>
      </w:pPr>
      <w:r w:rsidRPr="007A5722">
        <w:rPr>
          <w:rStyle w:val="FootnoteReference"/>
          <w:rFonts w:asciiTheme="majorHAnsi" w:hAnsiTheme="majorHAnsi"/>
          <w:sz w:val="16"/>
          <w:szCs w:val="16"/>
        </w:rPr>
        <w:footnoteRef/>
      </w:r>
      <w:r w:rsidRPr="007A5722">
        <w:rPr>
          <w:rFonts w:asciiTheme="majorHAnsi" w:hAnsiTheme="majorHAnsi"/>
          <w:sz w:val="16"/>
          <w:szCs w:val="16"/>
          <w:lang w:val="es-CO"/>
        </w:rPr>
        <w:t xml:space="preserve"> </w:t>
      </w:r>
      <w:r w:rsidRPr="007A5722">
        <w:rPr>
          <w:rFonts w:asciiTheme="majorHAnsi" w:hAnsiTheme="majorHAnsi"/>
          <w:sz w:val="16"/>
          <w:szCs w:val="16"/>
          <w:lang w:val="es-VE"/>
        </w:rPr>
        <w:t xml:space="preserve">Se reitera nuevamente que la diferencia no fue entre el contenido del </w:t>
      </w:r>
      <w:proofErr w:type="spellStart"/>
      <w:r w:rsidRPr="007A5722">
        <w:rPr>
          <w:rFonts w:asciiTheme="majorHAnsi" w:hAnsiTheme="majorHAnsi"/>
          <w:sz w:val="16"/>
          <w:szCs w:val="16"/>
          <w:lang w:val="es-VE"/>
        </w:rPr>
        <w:t>cassette</w:t>
      </w:r>
      <w:proofErr w:type="spellEnd"/>
      <w:r w:rsidRPr="007A5722">
        <w:rPr>
          <w:rFonts w:asciiTheme="majorHAnsi" w:hAnsiTheme="majorHAnsi"/>
          <w:sz w:val="16"/>
          <w:szCs w:val="16"/>
          <w:lang w:val="es-VE"/>
        </w:rPr>
        <w:t xml:space="preserve"> y la constancia </w:t>
      </w:r>
      <w:proofErr w:type="spellStart"/>
      <w:r w:rsidRPr="007A5722">
        <w:rPr>
          <w:rFonts w:asciiTheme="majorHAnsi" w:hAnsiTheme="majorHAnsi"/>
          <w:sz w:val="16"/>
          <w:szCs w:val="16"/>
          <w:lang w:val="es-VE"/>
        </w:rPr>
        <w:t>prevencional</w:t>
      </w:r>
      <w:proofErr w:type="spellEnd"/>
      <w:r w:rsidRPr="007A5722">
        <w:rPr>
          <w:rFonts w:asciiTheme="majorHAnsi" w:hAnsiTheme="majorHAnsi"/>
          <w:sz w:val="16"/>
          <w:szCs w:val="16"/>
          <w:lang w:val="es-VE"/>
        </w:rPr>
        <w:t>, sino entre ambas piezas y el auto de elevación a juicio.</w:t>
      </w:r>
    </w:p>
  </w:footnote>
  <w:footnote w:id="43">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00F263E2">
        <w:rPr>
          <w:rFonts w:asciiTheme="majorHAnsi" w:hAnsiTheme="majorHAnsi"/>
          <w:sz w:val="16"/>
          <w:szCs w:val="16"/>
          <w:lang w:val="es-VE"/>
        </w:rPr>
        <w:t xml:space="preserve"> Anexo 1</w:t>
      </w:r>
      <w:r w:rsidR="00FC1635">
        <w:rPr>
          <w:rFonts w:asciiTheme="majorHAnsi" w:hAnsiTheme="majorHAnsi"/>
          <w:sz w:val="16"/>
          <w:szCs w:val="16"/>
          <w:lang w:val="es-VE"/>
        </w:rPr>
        <w:t>4</w:t>
      </w:r>
      <w:r w:rsidRPr="007A5722">
        <w:rPr>
          <w:rFonts w:asciiTheme="majorHAnsi" w:hAnsiTheme="majorHAnsi"/>
          <w:sz w:val="16"/>
          <w:szCs w:val="16"/>
          <w:lang w:val="es-VE"/>
        </w:rPr>
        <w:t xml:space="preserve">. Oficio del Tribunal Oral en lo Criminal Federal al Presidente de la Cámara Nacional en lo Criminal y Correccional de 25 de febrero de 1998.  Anexo 2 al escrito de los peticionarios de 9 de julio de 1999. </w:t>
      </w:r>
    </w:p>
  </w:footnote>
  <w:footnote w:id="44">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00F263E2">
        <w:rPr>
          <w:rFonts w:asciiTheme="majorHAnsi" w:hAnsiTheme="majorHAnsi"/>
          <w:sz w:val="16"/>
          <w:szCs w:val="16"/>
          <w:lang w:val="es-VE"/>
        </w:rPr>
        <w:t xml:space="preserve"> Anexo 1</w:t>
      </w:r>
      <w:r w:rsidR="00FC1635">
        <w:rPr>
          <w:rFonts w:asciiTheme="majorHAnsi" w:hAnsiTheme="majorHAnsi"/>
          <w:sz w:val="16"/>
          <w:szCs w:val="16"/>
          <w:lang w:val="es-VE"/>
        </w:rPr>
        <w:t>5</w:t>
      </w:r>
      <w:r w:rsidRPr="007A5722">
        <w:rPr>
          <w:rFonts w:asciiTheme="majorHAnsi" w:hAnsiTheme="majorHAnsi"/>
          <w:sz w:val="16"/>
          <w:szCs w:val="16"/>
          <w:lang w:val="es-VE"/>
        </w:rPr>
        <w:t>. Inicio de investigación sobre delito de acción pública del Juzgado Nacional en lo Criminal y Correccional Federal No. 2 de 26 de febrero de 1998. Anexo 1 del escrito de observaciones del Estado de 16 de septiembre de 1999.</w:t>
      </w:r>
    </w:p>
  </w:footnote>
  <w:footnote w:id="45">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00F263E2">
        <w:rPr>
          <w:rFonts w:asciiTheme="majorHAnsi" w:hAnsiTheme="majorHAnsi"/>
          <w:sz w:val="16"/>
          <w:szCs w:val="16"/>
          <w:lang w:val="es-VE"/>
        </w:rPr>
        <w:t xml:space="preserve"> Anexo 1</w:t>
      </w:r>
      <w:r w:rsidR="00FC1635">
        <w:rPr>
          <w:rFonts w:asciiTheme="majorHAnsi" w:hAnsiTheme="majorHAnsi"/>
          <w:sz w:val="16"/>
          <w:szCs w:val="16"/>
          <w:lang w:val="es-VE"/>
        </w:rPr>
        <w:t>6</w:t>
      </w:r>
      <w:r w:rsidRPr="007A5722">
        <w:rPr>
          <w:rFonts w:asciiTheme="majorHAnsi" w:hAnsiTheme="majorHAnsi"/>
          <w:sz w:val="16"/>
          <w:szCs w:val="16"/>
          <w:lang w:val="es-VE"/>
        </w:rPr>
        <w:t>. Escrito del Ministerio Público de la Nación solicitando que se desestime la denuncia planteada por el Tribunal Oral Federal No. 6.  Anexo 2 del escrito de observaciones del Estado de 16 de septiembre de 1999.</w:t>
      </w:r>
    </w:p>
  </w:footnote>
  <w:footnote w:id="46">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00F263E2">
        <w:rPr>
          <w:rFonts w:asciiTheme="majorHAnsi" w:hAnsiTheme="majorHAnsi"/>
          <w:sz w:val="16"/>
          <w:szCs w:val="16"/>
          <w:lang w:val="es-VE"/>
        </w:rPr>
        <w:t xml:space="preserve"> Anexo 1</w:t>
      </w:r>
      <w:r w:rsidR="00FC1635">
        <w:rPr>
          <w:rFonts w:asciiTheme="majorHAnsi" w:hAnsiTheme="majorHAnsi"/>
          <w:sz w:val="16"/>
          <w:szCs w:val="16"/>
          <w:lang w:val="es-VE"/>
        </w:rPr>
        <w:t>7</w:t>
      </w:r>
      <w:r w:rsidRPr="007A5722">
        <w:rPr>
          <w:rFonts w:asciiTheme="majorHAnsi" w:hAnsiTheme="majorHAnsi"/>
          <w:sz w:val="16"/>
          <w:szCs w:val="16"/>
          <w:lang w:val="es-VE"/>
        </w:rPr>
        <w:t>. Decisión del Juzgado Nacional en lo Criminal y Correccional Federal No. 2 desestimando la causa de 20 de abril de 1998. Escrito del Ministerio Público de la Nación solicitando que se desestime la denuncia planteada por el Tribunal Oral Federal No. 6.  Anexo 2 del escrito de observaciones del Estado de 16 de septiembre de 1999.</w:t>
      </w:r>
    </w:p>
  </w:footnote>
  <w:footnote w:id="47">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00F263E2">
        <w:rPr>
          <w:rFonts w:asciiTheme="majorHAnsi" w:hAnsiTheme="majorHAnsi"/>
          <w:sz w:val="16"/>
          <w:szCs w:val="16"/>
          <w:lang w:val="es-VE"/>
        </w:rPr>
        <w:t xml:space="preserve"> Anexo 1</w:t>
      </w:r>
      <w:r w:rsidR="00FC1635">
        <w:rPr>
          <w:rFonts w:asciiTheme="majorHAnsi" w:hAnsiTheme="majorHAnsi"/>
          <w:sz w:val="16"/>
          <w:szCs w:val="16"/>
          <w:lang w:val="es-VE"/>
        </w:rPr>
        <w:t>7</w:t>
      </w:r>
      <w:r w:rsidRPr="007A5722">
        <w:rPr>
          <w:rFonts w:asciiTheme="majorHAnsi" w:hAnsiTheme="majorHAnsi"/>
          <w:sz w:val="16"/>
          <w:szCs w:val="16"/>
          <w:lang w:val="es-VE"/>
        </w:rPr>
        <w:t>. Decisión del Juzgado Nacional en lo Criminal y Correccional Federal No. 2 desestimando la causa de 20 de abril de 1998. Escrito del Ministerio Público de la Nación solicitando que se desestime la denuncia planteada por el Tribunal Oral Federal No. 6.  Anexo 2 del escrito de observaciones del Estado de 16 de septiembre de 1999.</w:t>
      </w:r>
    </w:p>
  </w:footnote>
  <w:footnote w:id="48">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00F263E2">
        <w:rPr>
          <w:rFonts w:asciiTheme="majorHAnsi" w:hAnsiTheme="majorHAnsi"/>
          <w:sz w:val="16"/>
          <w:szCs w:val="16"/>
          <w:lang w:val="es-VE"/>
        </w:rPr>
        <w:t xml:space="preserve"> Anexo 1</w:t>
      </w:r>
      <w:r w:rsidR="00FC1635">
        <w:rPr>
          <w:rFonts w:asciiTheme="majorHAnsi" w:hAnsiTheme="majorHAnsi"/>
          <w:sz w:val="16"/>
          <w:szCs w:val="16"/>
          <w:lang w:val="es-VE"/>
        </w:rPr>
        <w:t>4</w:t>
      </w:r>
      <w:r w:rsidRPr="007A5722">
        <w:rPr>
          <w:rFonts w:asciiTheme="majorHAnsi" w:hAnsiTheme="majorHAnsi"/>
          <w:sz w:val="16"/>
          <w:szCs w:val="16"/>
          <w:lang w:val="es-VE"/>
        </w:rPr>
        <w:t>. Oficio del Tribunal Oral en lo Criminal Federal al Procurador General de la Na</w:t>
      </w:r>
      <w:r>
        <w:rPr>
          <w:rFonts w:asciiTheme="majorHAnsi" w:hAnsiTheme="majorHAnsi"/>
          <w:sz w:val="16"/>
          <w:szCs w:val="16"/>
          <w:lang w:val="es-VE"/>
        </w:rPr>
        <w:t xml:space="preserve">ción de 25 de febrero de 1998. </w:t>
      </w:r>
      <w:r w:rsidRPr="007A5722">
        <w:rPr>
          <w:rFonts w:asciiTheme="majorHAnsi" w:hAnsiTheme="majorHAnsi"/>
          <w:sz w:val="16"/>
          <w:szCs w:val="16"/>
          <w:lang w:val="es-VE"/>
        </w:rPr>
        <w:t xml:space="preserve">Anexo 1 al escrito de los peticionarios de 9 de julio de 1999. </w:t>
      </w:r>
    </w:p>
  </w:footnote>
  <w:footnote w:id="49">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00F263E2">
        <w:rPr>
          <w:rFonts w:asciiTheme="majorHAnsi" w:hAnsiTheme="majorHAnsi"/>
          <w:sz w:val="16"/>
          <w:szCs w:val="16"/>
          <w:lang w:val="es-VE"/>
        </w:rPr>
        <w:t xml:space="preserve"> Anexo 1</w:t>
      </w:r>
      <w:r w:rsidR="00FC1635">
        <w:rPr>
          <w:rFonts w:asciiTheme="majorHAnsi" w:hAnsiTheme="majorHAnsi"/>
          <w:sz w:val="16"/>
          <w:szCs w:val="16"/>
          <w:lang w:val="es-VE"/>
        </w:rPr>
        <w:t>8</w:t>
      </w:r>
      <w:r w:rsidRPr="007A5722">
        <w:rPr>
          <w:rFonts w:asciiTheme="majorHAnsi" w:hAnsiTheme="majorHAnsi"/>
          <w:sz w:val="16"/>
          <w:szCs w:val="16"/>
          <w:lang w:val="es-VE"/>
        </w:rPr>
        <w:t xml:space="preserve">. Decisión de la Procuración General de la Nación de 6 de setiembre de 1999 disponiendo el archivo de la investigación en contra de los Fiscales Mullen y </w:t>
      </w:r>
      <w:proofErr w:type="spellStart"/>
      <w:r w:rsidRPr="007A5722">
        <w:rPr>
          <w:rFonts w:asciiTheme="majorHAnsi" w:hAnsiTheme="majorHAnsi"/>
          <w:sz w:val="16"/>
          <w:szCs w:val="16"/>
          <w:lang w:val="es-VE"/>
        </w:rPr>
        <w:t>Barbaccia</w:t>
      </w:r>
      <w:proofErr w:type="spellEnd"/>
      <w:r w:rsidRPr="007A5722">
        <w:rPr>
          <w:rFonts w:asciiTheme="majorHAnsi" w:hAnsiTheme="majorHAnsi"/>
          <w:sz w:val="16"/>
          <w:szCs w:val="16"/>
          <w:lang w:val="es-VE"/>
        </w:rPr>
        <w:t>. Anexo 4 del escrito de observaciones del Estado de 16 de septiembre de 1999.</w:t>
      </w:r>
    </w:p>
  </w:footnote>
  <w:footnote w:id="50">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00F263E2">
        <w:rPr>
          <w:rFonts w:asciiTheme="majorHAnsi" w:hAnsiTheme="majorHAnsi"/>
          <w:sz w:val="16"/>
          <w:szCs w:val="16"/>
          <w:lang w:val="es-VE"/>
        </w:rPr>
        <w:t xml:space="preserve"> Anexo 1</w:t>
      </w:r>
      <w:r w:rsidR="00FC1635">
        <w:rPr>
          <w:rFonts w:asciiTheme="majorHAnsi" w:hAnsiTheme="majorHAnsi"/>
          <w:sz w:val="16"/>
          <w:szCs w:val="16"/>
          <w:lang w:val="es-VE"/>
        </w:rPr>
        <w:t>8</w:t>
      </w:r>
      <w:r w:rsidRPr="007A5722">
        <w:rPr>
          <w:rFonts w:asciiTheme="majorHAnsi" w:hAnsiTheme="majorHAnsi"/>
          <w:sz w:val="16"/>
          <w:szCs w:val="16"/>
          <w:lang w:val="es-VE"/>
        </w:rPr>
        <w:t xml:space="preserve">. Decisión de la Procuración General de la Nación de 6 de setiembre de 1999 disponiendo el archivo de la investigación en contra de los Fiscales Mullen y </w:t>
      </w:r>
      <w:proofErr w:type="spellStart"/>
      <w:r w:rsidRPr="007A5722">
        <w:rPr>
          <w:rFonts w:asciiTheme="majorHAnsi" w:hAnsiTheme="majorHAnsi"/>
          <w:sz w:val="16"/>
          <w:szCs w:val="16"/>
          <w:lang w:val="es-VE"/>
        </w:rPr>
        <w:t>Barbaccia</w:t>
      </w:r>
      <w:proofErr w:type="spellEnd"/>
      <w:r w:rsidRPr="007A5722">
        <w:rPr>
          <w:rFonts w:asciiTheme="majorHAnsi" w:hAnsiTheme="majorHAnsi"/>
          <w:sz w:val="16"/>
          <w:szCs w:val="16"/>
          <w:lang w:val="es-VE"/>
        </w:rPr>
        <w:t>. Anexo 4 del escrito de observaciones del Estado de 16 de septiembre de 1999.</w:t>
      </w:r>
    </w:p>
  </w:footnote>
  <w:footnote w:id="51">
    <w:p w:rsidR="00A26307" w:rsidRPr="007A5722" w:rsidRDefault="00A26307" w:rsidP="007A5722">
      <w:pPr>
        <w:pStyle w:val="FootnoteText"/>
        <w:spacing w:after="120"/>
        <w:ind w:firstLine="720"/>
        <w:jc w:val="both"/>
        <w:rPr>
          <w:rFonts w:asciiTheme="majorHAnsi" w:hAnsiTheme="majorHAnsi"/>
          <w:sz w:val="16"/>
          <w:szCs w:val="16"/>
          <w:lang w:val="es-GT"/>
        </w:rPr>
      </w:pPr>
      <w:r w:rsidRPr="007A5722">
        <w:rPr>
          <w:rStyle w:val="FootnoteReference"/>
          <w:rFonts w:asciiTheme="majorHAnsi" w:hAnsiTheme="majorHAnsi"/>
          <w:sz w:val="16"/>
          <w:szCs w:val="16"/>
        </w:rPr>
        <w:footnoteRef/>
      </w:r>
      <w:r w:rsidRPr="007A5722">
        <w:rPr>
          <w:rFonts w:asciiTheme="majorHAnsi" w:hAnsiTheme="majorHAnsi"/>
          <w:sz w:val="16"/>
          <w:szCs w:val="16"/>
          <w:lang w:val="es-GT"/>
        </w:rPr>
        <w:t xml:space="preserve"> Resolución de la Procuración General de la Nación en el expediente M 6286/09, 15 de octubre de 2009. </w:t>
      </w:r>
    </w:p>
  </w:footnote>
  <w:footnote w:id="52">
    <w:p w:rsidR="00A26307" w:rsidRPr="007A5722" w:rsidRDefault="00A26307" w:rsidP="007A5722">
      <w:pPr>
        <w:pStyle w:val="FootnoteText"/>
        <w:spacing w:after="120"/>
        <w:ind w:firstLine="720"/>
        <w:jc w:val="both"/>
        <w:rPr>
          <w:rFonts w:asciiTheme="majorHAnsi" w:hAnsiTheme="majorHAnsi"/>
          <w:sz w:val="16"/>
          <w:szCs w:val="16"/>
          <w:lang w:val="es-GT"/>
        </w:rPr>
      </w:pPr>
      <w:r w:rsidRPr="007A5722">
        <w:rPr>
          <w:rStyle w:val="FootnoteReference"/>
          <w:rFonts w:asciiTheme="majorHAnsi" w:hAnsiTheme="majorHAnsi"/>
          <w:sz w:val="16"/>
          <w:szCs w:val="16"/>
        </w:rPr>
        <w:footnoteRef/>
      </w:r>
      <w:r w:rsidRPr="007A5722">
        <w:rPr>
          <w:rFonts w:asciiTheme="majorHAnsi" w:hAnsiTheme="majorHAnsi"/>
          <w:sz w:val="16"/>
          <w:szCs w:val="16"/>
          <w:lang w:val="es-ES"/>
        </w:rPr>
        <w:t xml:space="preserve"> </w:t>
      </w:r>
      <w:r>
        <w:rPr>
          <w:rFonts w:asciiTheme="majorHAnsi" w:hAnsiTheme="majorHAnsi"/>
          <w:sz w:val="16"/>
          <w:szCs w:val="16"/>
          <w:lang w:val="es-GT"/>
        </w:rPr>
        <w:t xml:space="preserve">Anexo </w:t>
      </w:r>
      <w:r w:rsidR="00F263E2">
        <w:rPr>
          <w:rFonts w:asciiTheme="majorHAnsi" w:hAnsiTheme="majorHAnsi"/>
          <w:sz w:val="16"/>
          <w:szCs w:val="16"/>
          <w:lang w:val="es-GT"/>
        </w:rPr>
        <w:t>1</w:t>
      </w:r>
      <w:r w:rsidR="00FC1635">
        <w:rPr>
          <w:rFonts w:asciiTheme="majorHAnsi" w:hAnsiTheme="majorHAnsi"/>
          <w:sz w:val="16"/>
          <w:szCs w:val="16"/>
          <w:lang w:val="es-GT"/>
        </w:rPr>
        <w:t>9</w:t>
      </w:r>
      <w:r w:rsidRPr="007A5722">
        <w:rPr>
          <w:rFonts w:asciiTheme="majorHAnsi" w:hAnsiTheme="majorHAnsi"/>
          <w:sz w:val="16"/>
          <w:szCs w:val="16"/>
          <w:lang w:val="es-GT"/>
        </w:rPr>
        <w:t>. Decisión de 8 de junio de 2000 del Juzgado Contencioso Administrativo Federal No. 10.</w:t>
      </w:r>
    </w:p>
  </w:footnote>
  <w:footnote w:id="53">
    <w:p w:rsidR="00A26307" w:rsidRPr="007A5722" w:rsidRDefault="00A26307" w:rsidP="007632CB">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00FC1635">
        <w:rPr>
          <w:rFonts w:asciiTheme="majorHAnsi" w:hAnsiTheme="majorHAnsi"/>
          <w:sz w:val="16"/>
          <w:szCs w:val="16"/>
          <w:lang w:val="es-VE"/>
        </w:rPr>
        <w:t xml:space="preserve"> Anexo 20</w:t>
      </w:r>
      <w:r w:rsidRPr="007A5722">
        <w:rPr>
          <w:rFonts w:asciiTheme="majorHAnsi" w:hAnsiTheme="majorHAnsi"/>
          <w:sz w:val="16"/>
          <w:szCs w:val="16"/>
          <w:lang w:val="es-VE"/>
        </w:rPr>
        <w:t>. Decisión de la Sala II de la Cámara Nacional de Apelaciones en lo Contencioso Administrativo Federal. Anexo a la comunicación presentado por el Estado el 16 de octubre de 2009.</w:t>
      </w:r>
    </w:p>
  </w:footnote>
  <w:footnote w:id="54">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00FC1635">
        <w:rPr>
          <w:rFonts w:asciiTheme="majorHAnsi" w:hAnsiTheme="majorHAnsi"/>
          <w:sz w:val="16"/>
          <w:szCs w:val="16"/>
          <w:lang w:val="es-VE"/>
        </w:rPr>
        <w:t xml:space="preserve"> Anexo 20</w:t>
      </w:r>
      <w:r w:rsidRPr="007A5722">
        <w:rPr>
          <w:rFonts w:asciiTheme="majorHAnsi" w:hAnsiTheme="majorHAnsi"/>
          <w:sz w:val="16"/>
          <w:szCs w:val="16"/>
          <w:lang w:val="es-VE"/>
        </w:rPr>
        <w:t>. Decisión de la Sala II de la Cámara Nacional de Apelaciones en lo Contencioso Administrativo Federal. Anexo a la comunicación presentado por el Estado el 16 de octubre de 2009.</w:t>
      </w:r>
    </w:p>
  </w:footnote>
  <w:footnote w:id="55">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00FC1635">
        <w:rPr>
          <w:rFonts w:asciiTheme="majorHAnsi" w:hAnsiTheme="majorHAnsi"/>
          <w:sz w:val="16"/>
          <w:szCs w:val="16"/>
          <w:lang w:val="es-VE"/>
        </w:rPr>
        <w:t xml:space="preserve"> Anexo 20</w:t>
      </w:r>
      <w:r w:rsidRPr="007A5722">
        <w:rPr>
          <w:rFonts w:asciiTheme="majorHAnsi" w:hAnsiTheme="majorHAnsi"/>
          <w:sz w:val="16"/>
          <w:szCs w:val="16"/>
          <w:lang w:val="es-VE"/>
        </w:rPr>
        <w:t>. Decisión de la Sala II de la Cámara Nacional de Apelaciones en lo Contencioso Administrativo Federal. Anexo a la comunicación presentado por el Estado el 16 de octubre de 2009.</w:t>
      </w:r>
    </w:p>
  </w:footnote>
  <w:footnote w:id="56">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00FC1635">
        <w:rPr>
          <w:rFonts w:asciiTheme="majorHAnsi" w:hAnsiTheme="majorHAnsi"/>
          <w:sz w:val="16"/>
          <w:szCs w:val="16"/>
          <w:lang w:val="es-VE"/>
        </w:rPr>
        <w:t xml:space="preserve"> Anexo 20</w:t>
      </w:r>
      <w:r w:rsidRPr="007A5722">
        <w:rPr>
          <w:rFonts w:asciiTheme="majorHAnsi" w:hAnsiTheme="majorHAnsi"/>
          <w:sz w:val="16"/>
          <w:szCs w:val="16"/>
          <w:lang w:val="es-VE"/>
        </w:rPr>
        <w:t>. Decisión de la Sala II de la Cámara Nacional de Apelaciones en lo Contencioso Administrativo Federal. Anexo a la comunicación presentado por el Estado el 16 de octubre de 2009.</w:t>
      </w:r>
    </w:p>
  </w:footnote>
  <w:footnote w:id="57">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00FC1635">
        <w:rPr>
          <w:rFonts w:asciiTheme="majorHAnsi" w:hAnsiTheme="majorHAnsi"/>
          <w:sz w:val="16"/>
          <w:szCs w:val="16"/>
          <w:lang w:val="es-VE"/>
        </w:rPr>
        <w:t xml:space="preserve"> Anexo 2</w:t>
      </w:r>
      <w:r w:rsidR="00F23AFC">
        <w:rPr>
          <w:rFonts w:asciiTheme="majorHAnsi" w:hAnsiTheme="majorHAnsi"/>
          <w:sz w:val="16"/>
          <w:szCs w:val="16"/>
          <w:lang w:val="es-VE"/>
        </w:rPr>
        <w:t>0</w:t>
      </w:r>
      <w:r w:rsidRPr="007A5722">
        <w:rPr>
          <w:rFonts w:asciiTheme="majorHAnsi" w:hAnsiTheme="majorHAnsi"/>
          <w:sz w:val="16"/>
          <w:szCs w:val="16"/>
          <w:lang w:val="es-VE"/>
        </w:rPr>
        <w:t>. Decisión de la Sala II de la Cámara Nacional de Apelaciones en lo Contencioso Administrativo Federal. Anexo a la comunicación presentado por el Estado el 16 de octubre de 2009.</w:t>
      </w:r>
    </w:p>
  </w:footnote>
  <w:footnote w:id="58">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00FC1635">
        <w:rPr>
          <w:rFonts w:asciiTheme="majorHAnsi" w:hAnsiTheme="majorHAnsi"/>
          <w:sz w:val="16"/>
          <w:szCs w:val="16"/>
          <w:lang w:val="es-VE"/>
        </w:rPr>
        <w:t xml:space="preserve"> Anexo </w:t>
      </w:r>
      <w:r w:rsidR="00F23AFC">
        <w:rPr>
          <w:rFonts w:asciiTheme="majorHAnsi" w:hAnsiTheme="majorHAnsi"/>
          <w:sz w:val="16"/>
          <w:szCs w:val="16"/>
          <w:lang w:val="es-VE"/>
        </w:rPr>
        <w:t>20</w:t>
      </w:r>
      <w:r w:rsidRPr="007A5722">
        <w:rPr>
          <w:rFonts w:asciiTheme="majorHAnsi" w:hAnsiTheme="majorHAnsi"/>
          <w:sz w:val="16"/>
          <w:szCs w:val="16"/>
          <w:lang w:val="es-VE"/>
        </w:rPr>
        <w:t>. Decisión de la Sala II de la Cámara Nacional de Apelaciones en lo Contencioso Administrativo Federal. Anexo a la comunicación presentado por el Estado el 16 de octubre de 2009.</w:t>
      </w:r>
    </w:p>
  </w:footnote>
  <w:footnote w:id="59">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00F263E2">
        <w:rPr>
          <w:rFonts w:asciiTheme="majorHAnsi" w:hAnsiTheme="majorHAnsi"/>
          <w:sz w:val="16"/>
          <w:szCs w:val="16"/>
          <w:lang w:val="es-VE"/>
        </w:rPr>
        <w:t xml:space="preserve"> Anexo </w:t>
      </w:r>
      <w:r w:rsidR="00FC1635">
        <w:rPr>
          <w:rFonts w:asciiTheme="majorHAnsi" w:hAnsiTheme="majorHAnsi"/>
          <w:sz w:val="16"/>
          <w:szCs w:val="16"/>
          <w:lang w:val="es-VE"/>
        </w:rPr>
        <w:t>2</w:t>
      </w:r>
      <w:r w:rsidR="00F23AFC">
        <w:rPr>
          <w:rFonts w:asciiTheme="majorHAnsi" w:hAnsiTheme="majorHAnsi"/>
          <w:sz w:val="16"/>
          <w:szCs w:val="16"/>
          <w:lang w:val="es-VE"/>
        </w:rPr>
        <w:t>1</w:t>
      </w:r>
      <w:r w:rsidRPr="007A5722">
        <w:rPr>
          <w:rFonts w:asciiTheme="majorHAnsi" w:hAnsiTheme="majorHAnsi"/>
          <w:sz w:val="16"/>
          <w:szCs w:val="16"/>
          <w:lang w:val="es-VE"/>
        </w:rPr>
        <w:t>. Decisión de Corte Suprema de Justicia de la Nación de 17 de marzo de 2009, denegando el recurso de hecho sobre daños y perjuicios interpuesto por Gabriel Oscar Jenkins. Anexo a la comunicación presentada por el peticionario el 7 de abril de 2010.</w:t>
      </w:r>
    </w:p>
  </w:footnote>
  <w:footnote w:id="60">
    <w:p w:rsidR="00A26307" w:rsidRPr="007A5722" w:rsidRDefault="00A26307" w:rsidP="007A5722">
      <w:pPr>
        <w:spacing w:after="120"/>
        <w:ind w:firstLine="720"/>
        <w:jc w:val="both"/>
        <w:rPr>
          <w:rFonts w:asciiTheme="majorHAnsi" w:hAnsiTheme="majorHAnsi" w:cs="Times"/>
          <w:sz w:val="16"/>
          <w:szCs w:val="16"/>
          <w:lang w:val="es-CO"/>
        </w:rPr>
      </w:pPr>
      <w:r w:rsidRPr="007A5722">
        <w:rPr>
          <w:rStyle w:val="FootnoteReference"/>
          <w:rFonts w:asciiTheme="majorHAnsi" w:hAnsiTheme="majorHAnsi"/>
          <w:sz w:val="16"/>
          <w:szCs w:val="16"/>
        </w:rPr>
        <w:footnoteRef/>
      </w:r>
      <w:r w:rsidRPr="007A5722">
        <w:rPr>
          <w:rFonts w:asciiTheme="majorHAnsi" w:hAnsiTheme="majorHAnsi"/>
          <w:sz w:val="16"/>
          <w:szCs w:val="16"/>
          <w:lang w:val="es-CO"/>
        </w:rPr>
        <w:t xml:space="preserve"> CIDH. Informe sobre el uso de la prisión preventiva en las Américas. OEA/</w:t>
      </w:r>
      <w:proofErr w:type="spellStart"/>
      <w:r w:rsidRPr="007A5722">
        <w:rPr>
          <w:rFonts w:asciiTheme="majorHAnsi" w:hAnsiTheme="majorHAnsi"/>
          <w:sz w:val="16"/>
          <w:szCs w:val="16"/>
          <w:lang w:val="es-CO"/>
        </w:rPr>
        <w:t>Ser.L</w:t>
      </w:r>
      <w:proofErr w:type="spellEnd"/>
      <w:r w:rsidRPr="007A5722">
        <w:rPr>
          <w:rFonts w:asciiTheme="majorHAnsi" w:hAnsiTheme="majorHAnsi"/>
          <w:sz w:val="16"/>
          <w:szCs w:val="16"/>
          <w:lang w:val="es-CO"/>
        </w:rPr>
        <w:t xml:space="preserve">/V/II. 30 de diciembre de 2013. Párr. 20; </w:t>
      </w:r>
      <w:r w:rsidRPr="007A5722">
        <w:rPr>
          <w:rFonts w:asciiTheme="majorHAnsi" w:hAnsiTheme="majorHAnsi" w:cs="Times"/>
          <w:sz w:val="16"/>
          <w:szCs w:val="16"/>
          <w:lang w:val="it-IT"/>
        </w:rPr>
        <w:t xml:space="preserve">Corte I.D.H., </w:t>
      </w:r>
      <w:r w:rsidRPr="007A5722">
        <w:rPr>
          <w:rFonts w:asciiTheme="majorHAnsi" w:hAnsiTheme="majorHAnsi" w:cs="Times"/>
          <w:iCs/>
          <w:sz w:val="16"/>
          <w:szCs w:val="16"/>
          <w:lang w:val="it-IT"/>
        </w:rPr>
        <w:t>Caso</w:t>
      </w:r>
      <w:r w:rsidRPr="007A5722">
        <w:rPr>
          <w:rFonts w:asciiTheme="majorHAnsi" w:hAnsiTheme="majorHAnsi" w:cs="Times"/>
          <w:sz w:val="16"/>
          <w:szCs w:val="16"/>
          <w:lang w:val="it-IT"/>
        </w:rPr>
        <w:t xml:space="preserve"> </w:t>
      </w:r>
      <w:r w:rsidRPr="007A5722">
        <w:rPr>
          <w:rFonts w:asciiTheme="majorHAnsi" w:hAnsiTheme="majorHAnsi" w:cs="Times"/>
          <w:iCs/>
          <w:sz w:val="16"/>
          <w:szCs w:val="16"/>
          <w:lang w:val="it-IT"/>
        </w:rPr>
        <w:t>López Álvarez</w:t>
      </w:r>
      <w:r>
        <w:rPr>
          <w:rFonts w:asciiTheme="majorHAnsi" w:hAnsiTheme="majorHAnsi" w:cs="Times"/>
          <w:sz w:val="16"/>
          <w:szCs w:val="16"/>
          <w:lang w:val="it-IT"/>
        </w:rPr>
        <w:t>.</w:t>
      </w:r>
      <w:r w:rsidRPr="007A5722">
        <w:rPr>
          <w:rFonts w:asciiTheme="majorHAnsi" w:hAnsiTheme="majorHAnsi" w:cs="Times"/>
          <w:sz w:val="16"/>
          <w:szCs w:val="16"/>
          <w:lang w:val="it-IT"/>
        </w:rPr>
        <w:t xml:space="preserve"> </w:t>
      </w:r>
      <w:r w:rsidRPr="007A5722">
        <w:rPr>
          <w:rFonts w:asciiTheme="majorHAnsi" w:hAnsiTheme="majorHAnsi" w:cs="Times"/>
          <w:sz w:val="16"/>
          <w:szCs w:val="16"/>
          <w:lang w:val="es-CO"/>
        </w:rPr>
        <w:t xml:space="preserve">Sentencia de 1º de febrero de 2006. Serie C No. 141, </w:t>
      </w:r>
      <w:r w:rsidRPr="007A5722">
        <w:rPr>
          <w:rFonts w:asciiTheme="majorHAnsi" w:hAnsiTheme="majorHAnsi"/>
          <w:sz w:val="16"/>
          <w:szCs w:val="16"/>
          <w:lang w:val="es-CO"/>
        </w:rPr>
        <w:t xml:space="preserve">párr. 67; </w:t>
      </w:r>
      <w:r w:rsidRPr="007A5722">
        <w:rPr>
          <w:rFonts w:asciiTheme="majorHAnsi" w:hAnsiTheme="majorHAnsi" w:cs="Times"/>
          <w:iCs/>
          <w:sz w:val="16"/>
          <w:szCs w:val="16"/>
          <w:lang w:val="es-CO"/>
        </w:rPr>
        <w:t xml:space="preserve">Caso García </w:t>
      </w:r>
      <w:proofErr w:type="spellStart"/>
      <w:r w:rsidRPr="007A5722">
        <w:rPr>
          <w:rFonts w:asciiTheme="majorHAnsi" w:hAnsiTheme="majorHAnsi" w:cs="Times"/>
          <w:iCs/>
          <w:sz w:val="16"/>
          <w:szCs w:val="16"/>
          <w:lang w:val="es-CO"/>
        </w:rPr>
        <w:t>Asto</w:t>
      </w:r>
      <w:proofErr w:type="spellEnd"/>
      <w:r w:rsidRPr="007A5722">
        <w:rPr>
          <w:rFonts w:asciiTheme="majorHAnsi" w:hAnsiTheme="majorHAnsi" w:cs="Times"/>
          <w:iCs/>
          <w:sz w:val="16"/>
          <w:szCs w:val="16"/>
          <w:lang w:val="es-CO"/>
        </w:rPr>
        <w:t xml:space="preserve"> y Ramírez Rojas</w:t>
      </w:r>
      <w:r>
        <w:rPr>
          <w:rFonts w:asciiTheme="majorHAnsi" w:hAnsiTheme="majorHAnsi" w:cs="Times"/>
          <w:sz w:val="16"/>
          <w:szCs w:val="16"/>
          <w:lang w:val="es-CO"/>
        </w:rPr>
        <w:t xml:space="preserve">. </w:t>
      </w:r>
      <w:r w:rsidRPr="007A5722">
        <w:rPr>
          <w:rFonts w:asciiTheme="majorHAnsi" w:hAnsiTheme="majorHAnsi" w:cs="Times"/>
          <w:sz w:val="16"/>
          <w:szCs w:val="16"/>
          <w:lang w:val="es-CO"/>
        </w:rPr>
        <w:t xml:space="preserve">Sentencia de 25 de noviembre de 2005. Serie C No. 137, </w:t>
      </w:r>
      <w:r w:rsidRPr="007A5722">
        <w:rPr>
          <w:rFonts w:asciiTheme="majorHAnsi" w:hAnsiTheme="majorHAnsi"/>
          <w:sz w:val="16"/>
          <w:szCs w:val="16"/>
          <w:lang w:val="es-CO"/>
        </w:rPr>
        <w:t xml:space="preserve">párr. 106; </w:t>
      </w:r>
      <w:r w:rsidRPr="007A5722">
        <w:rPr>
          <w:rFonts w:asciiTheme="majorHAnsi" w:hAnsiTheme="majorHAnsi" w:cs="Times"/>
          <w:iCs/>
          <w:sz w:val="16"/>
          <w:szCs w:val="16"/>
          <w:lang w:val="es-CO"/>
        </w:rPr>
        <w:t xml:space="preserve">Caso </w:t>
      </w:r>
      <w:proofErr w:type="spellStart"/>
      <w:r w:rsidRPr="007A5722">
        <w:rPr>
          <w:rFonts w:asciiTheme="majorHAnsi" w:hAnsiTheme="majorHAnsi" w:cs="Times"/>
          <w:iCs/>
          <w:sz w:val="16"/>
          <w:szCs w:val="16"/>
          <w:lang w:val="es-CO"/>
        </w:rPr>
        <w:t>Palamara</w:t>
      </w:r>
      <w:proofErr w:type="spellEnd"/>
      <w:r w:rsidRPr="007A5722">
        <w:rPr>
          <w:rFonts w:asciiTheme="majorHAnsi" w:hAnsiTheme="majorHAnsi" w:cs="Times"/>
          <w:iCs/>
          <w:sz w:val="16"/>
          <w:szCs w:val="16"/>
          <w:lang w:val="es-CO"/>
        </w:rPr>
        <w:t xml:space="preserve"> Iribarne</w:t>
      </w:r>
      <w:r w:rsidRPr="007A5722">
        <w:rPr>
          <w:rFonts w:asciiTheme="majorHAnsi" w:hAnsiTheme="majorHAnsi" w:cs="Times"/>
          <w:sz w:val="16"/>
          <w:szCs w:val="16"/>
          <w:lang w:val="es-CO"/>
        </w:rPr>
        <w:t xml:space="preserve">. Sentencia de 22 de noviembre de 2005. Serie C No. 135, </w:t>
      </w:r>
      <w:r w:rsidRPr="007A5722">
        <w:rPr>
          <w:rFonts w:asciiTheme="majorHAnsi" w:hAnsiTheme="majorHAnsi"/>
          <w:sz w:val="16"/>
          <w:szCs w:val="16"/>
          <w:lang w:val="es-CO"/>
        </w:rPr>
        <w:t>párr</w:t>
      </w:r>
      <w:r w:rsidRPr="007A5722">
        <w:rPr>
          <w:rFonts w:asciiTheme="majorHAnsi" w:hAnsiTheme="majorHAnsi"/>
          <w:color w:val="000000"/>
          <w:sz w:val="16"/>
          <w:szCs w:val="16"/>
          <w:lang w:val="es-CO"/>
        </w:rPr>
        <w:t xml:space="preserve">. 197; y </w:t>
      </w:r>
      <w:r w:rsidRPr="007A5722">
        <w:rPr>
          <w:rFonts w:asciiTheme="majorHAnsi" w:hAnsiTheme="majorHAnsi" w:cs="Times"/>
          <w:iCs/>
          <w:sz w:val="16"/>
          <w:szCs w:val="16"/>
          <w:lang w:val="es-CO"/>
        </w:rPr>
        <w:t>Caso Acosta Calderón</w:t>
      </w:r>
      <w:r w:rsidRPr="007A5722">
        <w:rPr>
          <w:rFonts w:asciiTheme="majorHAnsi" w:hAnsiTheme="majorHAnsi" w:cs="Times"/>
          <w:sz w:val="16"/>
          <w:szCs w:val="16"/>
          <w:lang w:val="es-CO"/>
        </w:rPr>
        <w:t>.  Sentencia de 24 de junio de 2005.  Serie C No. 129, p</w:t>
      </w:r>
      <w:r w:rsidRPr="007A5722">
        <w:rPr>
          <w:rFonts w:asciiTheme="majorHAnsi" w:hAnsiTheme="majorHAnsi"/>
          <w:sz w:val="16"/>
          <w:szCs w:val="16"/>
          <w:lang w:val="es-CO"/>
        </w:rPr>
        <w:t>árr</w:t>
      </w:r>
      <w:r w:rsidRPr="007A5722">
        <w:rPr>
          <w:rFonts w:asciiTheme="majorHAnsi" w:hAnsiTheme="majorHAnsi"/>
          <w:color w:val="000000"/>
          <w:sz w:val="16"/>
          <w:szCs w:val="16"/>
          <w:lang w:val="es-CO"/>
        </w:rPr>
        <w:t>. 74.</w:t>
      </w:r>
    </w:p>
  </w:footnote>
  <w:footnote w:id="61">
    <w:p w:rsidR="00A26307" w:rsidRPr="007A5722" w:rsidRDefault="00A26307" w:rsidP="007A5722">
      <w:pPr>
        <w:spacing w:after="120"/>
        <w:ind w:firstLine="720"/>
        <w:jc w:val="both"/>
        <w:rPr>
          <w:rFonts w:asciiTheme="majorHAnsi" w:hAnsiTheme="majorHAnsi"/>
          <w:sz w:val="16"/>
          <w:szCs w:val="16"/>
          <w:lang w:val="es-CO"/>
        </w:rPr>
      </w:pPr>
      <w:r w:rsidRPr="007A5722">
        <w:rPr>
          <w:rStyle w:val="FootnoteReference"/>
          <w:rFonts w:asciiTheme="majorHAnsi" w:hAnsiTheme="majorHAnsi"/>
          <w:sz w:val="16"/>
          <w:szCs w:val="16"/>
        </w:rPr>
        <w:footnoteRef/>
      </w:r>
      <w:r w:rsidRPr="007A5722">
        <w:rPr>
          <w:rFonts w:asciiTheme="majorHAnsi" w:hAnsiTheme="majorHAnsi"/>
          <w:sz w:val="16"/>
          <w:szCs w:val="16"/>
          <w:lang w:val="es-CO"/>
        </w:rPr>
        <w:t xml:space="preserve"> Corte I.D.H., Caso Suárez Rosero Vs. Ecuador. Sentencia de 12 de noviembre de 1997. Serie C No. 35, párr. 77.</w:t>
      </w:r>
    </w:p>
  </w:footnote>
  <w:footnote w:id="62">
    <w:p w:rsidR="00A26307" w:rsidRPr="007A5722" w:rsidRDefault="00A26307" w:rsidP="007A5722">
      <w:pPr>
        <w:spacing w:after="120"/>
        <w:ind w:firstLine="720"/>
        <w:jc w:val="both"/>
        <w:rPr>
          <w:rFonts w:asciiTheme="majorHAnsi" w:hAnsiTheme="majorHAnsi"/>
          <w:sz w:val="16"/>
          <w:szCs w:val="16"/>
          <w:lang w:val="es-CO"/>
        </w:rPr>
      </w:pPr>
      <w:r w:rsidRPr="007A5722">
        <w:rPr>
          <w:rStyle w:val="FootnoteReference"/>
          <w:rFonts w:asciiTheme="majorHAnsi" w:hAnsiTheme="majorHAnsi"/>
          <w:sz w:val="16"/>
          <w:szCs w:val="16"/>
        </w:rPr>
        <w:footnoteRef/>
      </w:r>
      <w:r w:rsidRPr="007A5722">
        <w:rPr>
          <w:rFonts w:asciiTheme="majorHAnsi" w:hAnsiTheme="majorHAnsi"/>
          <w:sz w:val="16"/>
          <w:szCs w:val="16"/>
          <w:lang w:val="es-CO"/>
        </w:rPr>
        <w:t xml:space="preserve"> CIDH. Informe sobre el uso de la prisión preventiva en las Américas. OEA/</w:t>
      </w:r>
      <w:proofErr w:type="spellStart"/>
      <w:r w:rsidRPr="007A5722">
        <w:rPr>
          <w:rFonts w:asciiTheme="majorHAnsi" w:hAnsiTheme="majorHAnsi"/>
          <w:sz w:val="16"/>
          <w:szCs w:val="16"/>
          <w:lang w:val="es-CO"/>
        </w:rPr>
        <w:t>Ser.L</w:t>
      </w:r>
      <w:proofErr w:type="spellEnd"/>
      <w:r w:rsidRPr="007A5722">
        <w:rPr>
          <w:rFonts w:asciiTheme="majorHAnsi" w:hAnsiTheme="majorHAnsi"/>
          <w:sz w:val="16"/>
          <w:szCs w:val="16"/>
          <w:lang w:val="es-CO"/>
        </w:rPr>
        <w:t xml:space="preserve">/V/II. 30 de diciembre de 2013. Párr. 21; </w:t>
      </w:r>
      <w:r w:rsidRPr="007A5722">
        <w:rPr>
          <w:rFonts w:asciiTheme="majorHAnsi" w:hAnsiTheme="majorHAnsi" w:cs="Times"/>
          <w:sz w:val="16"/>
          <w:szCs w:val="16"/>
          <w:lang w:val="it-IT"/>
        </w:rPr>
        <w:t xml:space="preserve">Corte I.D.H., </w:t>
      </w:r>
      <w:r w:rsidRPr="007A5722">
        <w:rPr>
          <w:rFonts w:asciiTheme="majorHAnsi" w:hAnsiTheme="majorHAnsi" w:cs="Times"/>
          <w:iCs/>
          <w:sz w:val="16"/>
          <w:szCs w:val="16"/>
          <w:lang w:val="it-IT"/>
        </w:rPr>
        <w:t>Caso</w:t>
      </w:r>
      <w:r w:rsidRPr="007A5722">
        <w:rPr>
          <w:rFonts w:asciiTheme="majorHAnsi" w:hAnsiTheme="majorHAnsi" w:cs="Times"/>
          <w:sz w:val="16"/>
          <w:szCs w:val="16"/>
          <w:lang w:val="it-IT"/>
        </w:rPr>
        <w:t xml:space="preserve"> </w:t>
      </w:r>
      <w:r w:rsidRPr="007A5722">
        <w:rPr>
          <w:rFonts w:asciiTheme="majorHAnsi" w:hAnsiTheme="majorHAnsi" w:cs="Times"/>
          <w:iCs/>
          <w:sz w:val="16"/>
          <w:szCs w:val="16"/>
          <w:lang w:val="it-IT"/>
        </w:rPr>
        <w:t>López Álvarez</w:t>
      </w:r>
      <w:r>
        <w:rPr>
          <w:rFonts w:asciiTheme="majorHAnsi" w:hAnsiTheme="majorHAnsi" w:cs="Times"/>
          <w:sz w:val="16"/>
          <w:szCs w:val="16"/>
          <w:lang w:val="it-IT"/>
        </w:rPr>
        <w:t>.</w:t>
      </w:r>
      <w:r w:rsidRPr="007A5722">
        <w:rPr>
          <w:rFonts w:asciiTheme="majorHAnsi" w:hAnsiTheme="majorHAnsi" w:cs="Times"/>
          <w:sz w:val="16"/>
          <w:szCs w:val="16"/>
          <w:lang w:val="it-IT"/>
        </w:rPr>
        <w:t xml:space="preserve"> </w:t>
      </w:r>
      <w:r w:rsidRPr="007A5722">
        <w:rPr>
          <w:rFonts w:asciiTheme="majorHAnsi" w:hAnsiTheme="majorHAnsi" w:cs="Times"/>
          <w:sz w:val="16"/>
          <w:szCs w:val="16"/>
          <w:lang w:val="es-CO"/>
        </w:rPr>
        <w:t xml:space="preserve">Sentencia de 1º de febrero de 2006. </w:t>
      </w:r>
      <w:r w:rsidRPr="00542560">
        <w:rPr>
          <w:rFonts w:asciiTheme="majorHAnsi" w:hAnsiTheme="majorHAnsi" w:cs="Times"/>
          <w:sz w:val="16"/>
          <w:szCs w:val="16"/>
          <w:lang w:val="pt-BR"/>
        </w:rPr>
        <w:t xml:space="preserve">Serie C No. 141, </w:t>
      </w:r>
      <w:r w:rsidRPr="00542560">
        <w:rPr>
          <w:rFonts w:asciiTheme="majorHAnsi" w:hAnsiTheme="majorHAnsi"/>
          <w:sz w:val="16"/>
          <w:szCs w:val="16"/>
          <w:lang w:val="pt-BR"/>
        </w:rPr>
        <w:t xml:space="preserve">párr. 67; Corte I.D.H., Caso Palamara Iribarne Vs. </w:t>
      </w:r>
      <w:r w:rsidRPr="007A5722">
        <w:rPr>
          <w:rFonts w:asciiTheme="majorHAnsi" w:hAnsiTheme="majorHAnsi"/>
          <w:sz w:val="16"/>
          <w:szCs w:val="16"/>
          <w:lang w:val="es-CO"/>
        </w:rPr>
        <w:t>Chile. Sentencia de 22 de noviembre de 2005. Serie C No. 135. Párr. 196; y Corte I.D.H., Caso Acosta Calderón Vs. Ecuador. Sentencia de 24 de junio de 2005. Serie C No. 129. Párr. 74.</w:t>
      </w:r>
    </w:p>
  </w:footnote>
  <w:footnote w:id="63">
    <w:p w:rsidR="00A26307" w:rsidRPr="007A5722" w:rsidRDefault="00A26307" w:rsidP="007A5722">
      <w:pPr>
        <w:spacing w:after="120"/>
        <w:ind w:firstLine="720"/>
        <w:jc w:val="both"/>
        <w:rPr>
          <w:rFonts w:asciiTheme="majorHAnsi" w:hAnsiTheme="majorHAnsi"/>
          <w:sz w:val="16"/>
          <w:szCs w:val="16"/>
          <w:lang w:val="es-CO"/>
        </w:rPr>
      </w:pPr>
      <w:r w:rsidRPr="007A5722">
        <w:rPr>
          <w:rStyle w:val="FootnoteReference"/>
          <w:rFonts w:asciiTheme="majorHAnsi" w:hAnsiTheme="majorHAnsi"/>
          <w:sz w:val="16"/>
          <w:szCs w:val="16"/>
        </w:rPr>
        <w:footnoteRef/>
      </w:r>
      <w:r w:rsidRPr="007A5722">
        <w:rPr>
          <w:rFonts w:asciiTheme="majorHAnsi" w:hAnsiTheme="majorHAnsi"/>
          <w:sz w:val="16"/>
          <w:szCs w:val="16"/>
          <w:lang w:val="es-CO"/>
        </w:rPr>
        <w:t xml:space="preserve"> CIDH. Informe sobre el uso de la prisión preventiva en las Américas. OEA/</w:t>
      </w:r>
      <w:proofErr w:type="spellStart"/>
      <w:r w:rsidRPr="007A5722">
        <w:rPr>
          <w:rFonts w:asciiTheme="majorHAnsi" w:hAnsiTheme="majorHAnsi"/>
          <w:sz w:val="16"/>
          <w:szCs w:val="16"/>
          <w:lang w:val="es-CO"/>
        </w:rPr>
        <w:t>Ser.L</w:t>
      </w:r>
      <w:proofErr w:type="spellEnd"/>
      <w:r w:rsidRPr="007A5722">
        <w:rPr>
          <w:rFonts w:asciiTheme="majorHAnsi" w:hAnsiTheme="majorHAnsi"/>
          <w:sz w:val="16"/>
          <w:szCs w:val="16"/>
          <w:lang w:val="es-CO"/>
        </w:rPr>
        <w:t xml:space="preserve">/V/II. 30 de diciembre de 2013. Párr. 21; </w:t>
      </w:r>
      <w:r w:rsidRPr="007A5722">
        <w:rPr>
          <w:rFonts w:asciiTheme="majorHAnsi" w:hAnsiTheme="majorHAnsi" w:cs="Times"/>
          <w:sz w:val="16"/>
          <w:szCs w:val="16"/>
          <w:lang w:val="es-CO"/>
        </w:rPr>
        <w:t xml:space="preserve">Corte I.D.H., </w:t>
      </w:r>
      <w:r w:rsidRPr="007A5722">
        <w:rPr>
          <w:rFonts w:asciiTheme="majorHAnsi" w:hAnsiTheme="majorHAnsi" w:cs="Times"/>
          <w:iCs/>
          <w:sz w:val="16"/>
          <w:szCs w:val="16"/>
          <w:lang w:val="es-CO"/>
        </w:rPr>
        <w:t>Caso</w:t>
      </w:r>
      <w:r w:rsidRPr="007A5722">
        <w:rPr>
          <w:rFonts w:asciiTheme="majorHAnsi" w:hAnsiTheme="majorHAnsi" w:cs="Times"/>
          <w:sz w:val="16"/>
          <w:szCs w:val="16"/>
          <w:lang w:val="es-CO"/>
        </w:rPr>
        <w:t xml:space="preserve"> </w:t>
      </w:r>
      <w:r w:rsidRPr="007A5722">
        <w:rPr>
          <w:rFonts w:asciiTheme="majorHAnsi" w:hAnsiTheme="majorHAnsi" w:cs="Times"/>
          <w:iCs/>
          <w:sz w:val="16"/>
          <w:szCs w:val="16"/>
          <w:lang w:val="es-CO"/>
        </w:rPr>
        <w:t>López Álvarez</w:t>
      </w:r>
      <w:r>
        <w:rPr>
          <w:rFonts w:asciiTheme="majorHAnsi" w:hAnsiTheme="majorHAnsi" w:cs="Times"/>
          <w:sz w:val="16"/>
          <w:szCs w:val="16"/>
          <w:lang w:val="es-CO"/>
        </w:rPr>
        <w:t>.</w:t>
      </w:r>
      <w:r w:rsidRPr="007A5722">
        <w:rPr>
          <w:rFonts w:asciiTheme="majorHAnsi" w:hAnsiTheme="majorHAnsi" w:cs="Times"/>
          <w:sz w:val="16"/>
          <w:szCs w:val="16"/>
          <w:lang w:val="es-CO"/>
        </w:rPr>
        <w:t xml:space="preserve"> Sentencia de 1º de febrero de 2006. Serie C No. 141, </w:t>
      </w:r>
      <w:r w:rsidRPr="007A5722">
        <w:rPr>
          <w:rFonts w:asciiTheme="majorHAnsi" w:hAnsiTheme="majorHAnsi"/>
          <w:sz w:val="16"/>
          <w:szCs w:val="16"/>
          <w:lang w:val="es-CO"/>
        </w:rPr>
        <w:t xml:space="preserve">párr. 69; </w:t>
      </w:r>
      <w:r w:rsidRPr="007A5722">
        <w:rPr>
          <w:rFonts w:asciiTheme="majorHAnsi" w:hAnsiTheme="majorHAnsi" w:cs="Times"/>
          <w:iCs/>
          <w:sz w:val="16"/>
          <w:szCs w:val="16"/>
          <w:lang w:val="es-CO"/>
        </w:rPr>
        <w:t xml:space="preserve">Caso García </w:t>
      </w:r>
      <w:proofErr w:type="spellStart"/>
      <w:r w:rsidRPr="007A5722">
        <w:rPr>
          <w:rFonts w:asciiTheme="majorHAnsi" w:hAnsiTheme="majorHAnsi" w:cs="Times"/>
          <w:iCs/>
          <w:sz w:val="16"/>
          <w:szCs w:val="16"/>
          <w:lang w:val="es-CO"/>
        </w:rPr>
        <w:t>Asto</w:t>
      </w:r>
      <w:proofErr w:type="spellEnd"/>
      <w:r w:rsidRPr="007A5722">
        <w:rPr>
          <w:rFonts w:asciiTheme="majorHAnsi" w:hAnsiTheme="majorHAnsi" w:cs="Times"/>
          <w:iCs/>
          <w:sz w:val="16"/>
          <w:szCs w:val="16"/>
          <w:lang w:val="es-CO"/>
        </w:rPr>
        <w:t xml:space="preserve"> y Ramírez Rojas</w:t>
      </w:r>
      <w:r>
        <w:rPr>
          <w:rFonts w:asciiTheme="majorHAnsi" w:hAnsiTheme="majorHAnsi" w:cs="Times"/>
          <w:sz w:val="16"/>
          <w:szCs w:val="16"/>
          <w:lang w:val="es-CO"/>
        </w:rPr>
        <w:t>.</w:t>
      </w:r>
      <w:r w:rsidRPr="007A5722">
        <w:rPr>
          <w:rFonts w:asciiTheme="majorHAnsi" w:hAnsiTheme="majorHAnsi" w:cs="Times"/>
          <w:sz w:val="16"/>
          <w:szCs w:val="16"/>
          <w:lang w:val="es-CO"/>
        </w:rPr>
        <w:t xml:space="preserve"> Sentenc</w:t>
      </w:r>
      <w:r>
        <w:rPr>
          <w:rFonts w:asciiTheme="majorHAnsi" w:hAnsiTheme="majorHAnsi" w:cs="Times"/>
          <w:sz w:val="16"/>
          <w:szCs w:val="16"/>
          <w:lang w:val="es-CO"/>
        </w:rPr>
        <w:t xml:space="preserve">ia de 25 de noviembre de 2005. </w:t>
      </w:r>
      <w:r w:rsidRPr="007A5722">
        <w:rPr>
          <w:rFonts w:asciiTheme="majorHAnsi" w:hAnsiTheme="majorHAnsi" w:cs="Times"/>
          <w:sz w:val="16"/>
          <w:szCs w:val="16"/>
          <w:lang w:val="es-CO"/>
        </w:rPr>
        <w:t xml:space="preserve">Serie C No. 137, </w:t>
      </w:r>
      <w:r w:rsidRPr="007A5722">
        <w:rPr>
          <w:rFonts w:asciiTheme="majorHAnsi" w:hAnsiTheme="majorHAnsi"/>
          <w:sz w:val="16"/>
          <w:szCs w:val="16"/>
          <w:lang w:val="es-CO"/>
        </w:rPr>
        <w:t xml:space="preserve">párr. 106; </w:t>
      </w:r>
      <w:r w:rsidRPr="007A5722">
        <w:rPr>
          <w:rFonts w:asciiTheme="majorHAnsi" w:hAnsiTheme="majorHAnsi" w:cs="Times"/>
          <w:iCs/>
          <w:sz w:val="16"/>
          <w:szCs w:val="16"/>
          <w:lang w:val="es-CO"/>
        </w:rPr>
        <w:t>Caso Acosta Calderón</w:t>
      </w:r>
      <w:r w:rsidR="000C6384">
        <w:rPr>
          <w:rFonts w:asciiTheme="majorHAnsi" w:hAnsiTheme="majorHAnsi" w:cs="Times"/>
          <w:sz w:val="16"/>
          <w:szCs w:val="16"/>
          <w:lang w:val="es-CO"/>
        </w:rPr>
        <w:t xml:space="preserve">. </w:t>
      </w:r>
      <w:r w:rsidRPr="007A5722">
        <w:rPr>
          <w:rFonts w:asciiTheme="majorHAnsi" w:hAnsiTheme="majorHAnsi" w:cs="Times"/>
          <w:sz w:val="16"/>
          <w:szCs w:val="16"/>
          <w:lang w:val="es-CO"/>
        </w:rPr>
        <w:t>Sentencia de 24 de junio de 2005. Serie C No. 129, p</w:t>
      </w:r>
      <w:r w:rsidRPr="007A5722">
        <w:rPr>
          <w:rFonts w:asciiTheme="majorHAnsi" w:hAnsiTheme="majorHAnsi"/>
          <w:sz w:val="16"/>
          <w:szCs w:val="16"/>
          <w:lang w:val="es-CO"/>
        </w:rPr>
        <w:t>árr</w:t>
      </w:r>
      <w:r w:rsidRPr="007A5722">
        <w:rPr>
          <w:rFonts w:asciiTheme="majorHAnsi" w:hAnsiTheme="majorHAnsi"/>
          <w:color w:val="000000"/>
          <w:sz w:val="16"/>
          <w:szCs w:val="16"/>
          <w:lang w:val="es-CO"/>
        </w:rPr>
        <w:t xml:space="preserve">. 75; </w:t>
      </w:r>
      <w:r w:rsidRPr="007A5722">
        <w:rPr>
          <w:rFonts w:asciiTheme="majorHAnsi" w:hAnsiTheme="majorHAnsi" w:cs="Times"/>
          <w:sz w:val="16"/>
          <w:szCs w:val="16"/>
          <w:lang w:val="es-CO"/>
        </w:rPr>
        <w:t xml:space="preserve">y </w:t>
      </w:r>
      <w:r w:rsidRPr="007A5722">
        <w:rPr>
          <w:rFonts w:asciiTheme="majorHAnsi" w:hAnsiTheme="majorHAnsi" w:cs="Times"/>
          <w:iCs/>
          <w:sz w:val="16"/>
          <w:szCs w:val="16"/>
          <w:lang w:val="es-CO"/>
        </w:rPr>
        <w:t>Caso Tibi</w:t>
      </w:r>
      <w:r w:rsidRPr="007A5722">
        <w:rPr>
          <w:rFonts w:asciiTheme="majorHAnsi" w:hAnsiTheme="majorHAnsi" w:cs="Times"/>
          <w:sz w:val="16"/>
          <w:szCs w:val="16"/>
          <w:lang w:val="es-CO"/>
        </w:rPr>
        <w:t xml:space="preserve">. Sentencia de 7 de septiembre de 2004.  Serie C No. 114, </w:t>
      </w:r>
      <w:r w:rsidRPr="007A5722">
        <w:rPr>
          <w:rFonts w:asciiTheme="majorHAnsi" w:hAnsiTheme="majorHAnsi"/>
          <w:sz w:val="16"/>
          <w:szCs w:val="16"/>
          <w:lang w:val="es-CO"/>
        </w:rPr>
        <w:t>párr.</w:t>
      </w:r>
      <w:r w:rsidRPr="007A5722">
        <w:rPr>
          <w:rFonts w:asciiTheme="majorHAnsi" w:hAnsiTheme="majorHAnsi"/>
          <w:color w:val="000000"/>
          <w:sz w:val="16"/>
          <w:szCs w:val="16"/>
          <w:lang w:val="es-CO"/>
        </w:rPr>
        <w:t xml:space="preserve"> 180.</w:t>
      </w:r>
    </w:p>
  </w:footnote>
  <w:footnote w:id="64">
    <w:p w:rsidR="00A26307" w:rsidRPr="007A5722" w:rsidRDefault="00A26307" w:rsidP="007A5722">
      <w:pPr>
        <w:pStyle w:val="FootnoteText"/>
        <w:spacing w:after="120"/>
        <w:ind w:firstLine="720"/>
        <w:jc w:val="both"/>
        <w:rPr>
          <w:rFonts w:asciiTheme="majorHAnsi" w:hAnsiTheme="majorHAnsi"/>
          <w:sz w:val="16"/>
          <w:szCs w:val="16"/>
          <w:lang w:val="pt-BR"/>
        </w:rPr>
      </w:pPr>
      <w:r w:rsidRPr="007A5722">
        <w:rPr>
          <w:rStyle w:val="FootnoteReference"/>
          <w:rFonts w:asciiTheme="majorHAnsi" w:hAnsiTheme="majorHAnsi"/>
          <w:sz w:val="16"/>
          <w:szCs w:val="16"/>
        </w:rPr>
        <w:footnoteRef/>
      </w:r>
      <w:r w:rsidRPr="007A5722">
        <w:rPr>
          <w:rFonts w:asciiTheme="majorHAnsi" w:hAnsiTheme="majorHAnsi"/>
          <w:sz w:val="16"/>
          <w:szCs w:val="16"/>
          <w:lang w:val="es-ES_tradnl"/>
        </w:rPr>
        <w:t xml:space="preserve"> Corte I.D.H., </w:t>
      </w:r>
      <w:r w:rsidRPr="007A5722">
        <w:rPr>
          <w:rFonts w:asciiTheme="majorHAnsi" w:hAnsiTheme="majorHAnsi"/>
          <w:bCs/>
          <w:sz w:val="16"/>
          <w:szCs w:val="16"/>
          <w:lang w:val="es-ES_tradnl"/>
        </w:rPr>
        <w:t xml:space="preserve">Caso Barreto Leiva Vs. </w:t>
      </w:r>
      <w:r w:rsidRPr="007A5722">
        <w:rPr>
          <w:rFonts w:asciiTheme="majorHAnsi" w:hAnsiTheme="majorHAnsi"/>
          <w:bCs/>
          <w:sz w:val="16"/>
          <w:szCs w:val="16"/>
          <w:lang w:val="es-CO"/>
        </w:rPr>
        <w:t xml:space="preserve">Venezuela. </w:t>
      </w:r>
      <w:r w:rsidRPr="007A5722">
        <w:rPr>
          <w:rFonts w:asciiTheme="majorHAnsi" w:hAnsiTheme="majorHAnsi"/>
          <w:sz w:val="16"/>
          <w:szCs w:val="16"/>
          <w:lang w:val="es-CO"/>
        </w:rPr>
        <w:t xml:space="preserve">Fondo, Reparaciones y Costas. Sentencia de 17 de noviembre de 2009. Serie C No. 206. Párr. 111. Citando. </w:t>
      </w:r>
      <w:r w:rsidRPr="007A5722">
        <w:rPr>
          <w:rFonts w:asciiTheme="majorHAnsi" w:hAnsiTheme="majorHAnsi"/>
          <w:bCs/>
          <w:sz w:val="16"/>
          <w:szCs w:val="16"/>
          <w:lang w:val="es-CO"/>
        </w:rPr>
        <w:t xml:space="preserve">Caso Chaparro Álvarez y Lapo Íñiguez Vs. Ecuador. </w:t>
      </w:r>
      <w:r w:rsidRPr="007A5722">
        <w:rPr>
          <w:rFonts w:asciiTheme="majorHAnsi" w:hAnsiTheme="majorHAnsi"/>
          <w:sz w:val="16"/>
          <w:szCs w:val="16"/>
          <w:lang w:val="es-CO"/>
        </w:rPr>
        <w:t xml:space="preserve">Excepciones Preliminares, Fondo, Reparaciones y Costas. Sentencia de 21 de noviembre de 2007. Serie C No. 170, párr. 101 y Caso </w:t>
      </w:r>
      <w:proofErr w:type="spellStart"/>
      <w:r w:rsidRPr="007A5722">
        <w:rPr>
          <w:rFonts w:asciiTheme="majorHAnsi" w:hAnsiTheme="majorHAnsi"/>
          <w:sz w:val="16"/>
          <w:szCs w:val="16"/>
          <w:lang w:val="es-CO"/>
        </w:rPr>
        <w:t>Servellón</w:t>
      </w:r>
      <w:proofErr w:type="spellEnd"/>
      <w:r w:rsidRPr="007A5722">
        <w:rPr>
          <w:rFonts w:asciiTheme="majorHAnsi" w:hAnsiTheme="majorHAnsi"/>
          <w:sz w:val="16"/>
          <w:szCs w:val="16"/>
          <w:lang w:val="es-CO"/>
        </w:rPr>
        <w:t xml:space="preserve"> García y otros Vs. Honduras. Fondo, Reparaciones y Costas. Sentencia de 21 de septiembre de 2006. </w:t>
      </w:r>
      <w:r w:rsidRPr="007A5722">
        <w:rPr>
          <w:rFonts w:asciiTheme="majorHAnsi" w:hAnsiTheme="majorHAnsi"/>
          <w:sz w:val="16"/>
          <w:szCs w:val="16"/>
          <w:lang w:val="pt-BR"/>
        </w:rPr>
        <w:t>Serie C No. 152, párr. 90.</w:t>
      </w:r>
    </w:p>
  </w:footnote>
  <w:footnote w:id="65">
    <w:p w:rsidR="00A26307" w:rsidRPr="007A5722" w:rsidRDefault="00A26307" w:rsidP="007A5722">
      <w:pPr>
        <w:pStyle w:val="FootnoteText"/>
        <w:spacing w:after="120"/>
        <w:ind w:firstLine="720"/>
        <w:jc w:val="both"/>
        <w:rPr>
          <w:rFonts w:asciiTheme="majorHAnsi" w:hAnsiTheme="majorHAnsi"/>
          <w:sz w:val="16"/>
          <w:szCs w:val="16"/>
          <w:lang w:val="es-CO"/>
        </w:rPr>
      </w:pPr>
      <w:r w:rsidRPr="007A5722">
        <w:rPr>
          <w:rStyle w:val="FootnoteReference"/>
          <w:rFonts w:asciiTheme="majorHAnsi" w:hAnsiTheme="majorHAnsi"/>
          <w:sz w:val="16"/>
          <w:szCs w:val="16"/>
        </w:rPr>
        <w:footnoteRef/>
      </w:r>
      <w:r w:rsidRPr="007A5722">
        <w:rPr>
          <w:rFonts w:asciiTheme="majorHAnsi" w:hAnsiTheme="majorHAnsi"/>
          <w:sz w:val="16"/>
          <w:szCs w:val="16"/>
          <w:lang w:val="pt-BR"/>
        </w:rPr>
        <w:t xml:space="preserve"> Corte I.D.H., </w:t>
      </w:r>
      <w:r w:rsidRPr="007A5722">
        <w:rPr>
          <w:rFonts w:asciiTheme="majorHAnsi" w:hAnsiTheme="majorHAnsi"/>
          <w:bCs/>
          <w:sz w:val="16"/>
          <w:szCs w:val="16"/>
          <w:lang w:val="pt-BR"/>
        </w:rPr>
        <w:t xml:space="preserve">Caso Barreto Leiva Vs. </w:t>
      </w:r>
      <w:r w:rsidRPr="007A5722">
        <w:rPr>
          <w:rFonts w:asciiTheme="majorHAnsi" w:hAnsiTheme="majorHAnsi"/>
          <w:bCs/>
          <w:sz w:val="16"/>
          <w:szCs w:val="16"/>
          <w:lang w:val="es-CO"/>
        </w:rPr>
        <w:t xml:space="preserve">Venezuela. </w:t>
      </w:r>
      <w:r w:rsidRPr="007A5722">
        <w:rPr>
          <w:rFonts w:asciiTheme="majorHAnsi" w:hAnsiTheme="majorHAnsi"/>
          <w:sz w:val="16"/>
          <w:szCs w:val="16"/>
          <w:lang w:val="es-CO"/>
        </w:rPr>
        <w:t xml:space="preserve">Fondo, Reparaciones y Costas. Sentencia de 17 de noviembre de 2009. Serie C No. 206. Párr. 111. Citando: </w:t>
      </w:r>
      <w:r w:rsidRPr="007A5722">
        <w:rPr>
          <w:rFonts w:asciiTheme="majorHAnsi" w:hAnsiTheme="majorHAnsi"/>
          <w:bCs/>
          <w:sz w:val="16"/>
          <w:szCs w:val="16"/>
          <w:lang w:val="es-CO"/>
        </w:rPr>
        <w:t xml:space="preserve">Caso Chaparro Álvarez y Lapo Íñiguez Vs. Ecuador. </w:t>
      </w:r>
      <w:r w:rsidRPr="007A5722">
        <w:rPr>
          <w:rFonts w:asciiTheme="majorHAnsi" w:hAnsiTheme="majorHAnsi"/>
          <w:sz w:val="16"/>
          <w:szCs w:val="16"/>
          <w:lang w:val="es-CO"/>
        </w:rPr>
        <w:t xml:space="preserve">Excepciones Preliminares, Fondo, Reparaciones y Costas. Sentencia de 21 de noviembre de 2007. Serie C No. 170, párr. 103; y Caso </w:t>
      </w:r>
      <w:proofErr w:type="spellStart"/>
      <w:r w:rsidRPr="007A5722">
        <w:rPr>
          <w:rFonts w:asciiTheme="majorHAnsi" w:hAnsiTheme="majorHAnsi"/>
          <w:sz w:val="16"/>
          <w:szCs w:val="16"/>
          <w:lang w:val="es-CO"/>
        </w:rPr>
        <w:t>Servellón</w:t>
      </w:r>
      <w:proofErr w:type="spellEnd"/>
      <w:r w:rsidRPr="007A5722">
        <w:rPr>
          <w:rFonts w:asciiTheme="majorHAnsi" w:hAnsiTheme="majorHAnsi"/>
          <w:sz w:val="16"/>
          <w:szCs w:val="16"/>
          <w:lang w:val="es-CO"/>
        </w:rPr>
        <w:t xml:space="preserve"> García y otros Vs. Honduras. Fondo, Reparaciones y Costas. Sentencia de 21 de septiembre de 2006. Serie C No. 152, párr. 90.</w:t>
      </w:r>
    </w:p>
  </w:footnote>
  <w:footnote w:id="66">
    <w:p w:rsidR="00A26307" w:rsidRPr="007A5722" w:rsidRDefault="00A26307" w:rsidP="007A5722">
      <w:pPr>
        <w:pStyle w:val="FootnoteText"/>
        <w:spacing w:after="120"/>
        <w:ind w:firstLine="720"/>
        <w:jc w:val="both"/>
        <w:rPr>
          <w:rFonts w:asciiTheme="majorHAnsi" w:hAnsiTheme="majorHAnsi"/>
          <w:sz w:val="16"/>
          <w:szCs w:val="16"/>
          <w:lang w:val="es-CO"/>
        </w:rPr>
      </w:pPr>
      <w:r w:rsidRPr="007A5722">
        <w:rPr>
          <w:rStyle w:val="FootnoteReference"/>
          <w:rFonts w:asciiTheme="majorHAnsi" w:hAnsiTheme="majorHAnsi"/>
          <w:sz w:val="16"/>
          <w:szCs w:val="16"/>
        </w:rPr>
        <w:footnoteRef/>
      </w:r>
      <w:r w:rsidRPr="007A5722">
        <w:rPr>
          <w:rStyle w:val="FootnoteReference"/>
          <w:rFonts w:asciiTheme="majorHAnsi" w:hAnsiTheme="majorHAnsi"/>
          <w:sz w:val="16"/>
          <w:szCs w:val="16"/>
          <w:lang w:val="es-CO"/>
        </w:rPr>
        <w:t xml:space="preserve"> </w:t>
      </w:r>
      <w:r w:rsidRPr="007A5722">
        <w:rPr>
          <w:rFonts w:asciiTheme="majorHAnsi" w:hAnsiTheme="majorHAnsi"/>
          <w:sz w:val="16"/>
          <w:szCs w:val="16"/>
          <w:lang w:val="es-CO"/>
        </w:rPr>
        <w:t>Corte IDH. Caso Chaparro Álvarez y Lapo Íñiguez. Vs. Ecuador. Excepciones Preliminares, Fondo, Reparaciones y Costas. Sentencia de 21 de noviembre de 2007. Serie C No. 170, párr. 93.</w:t>
      </w:r>
    </w:p>
  </w:footnote>
  <w:footnote w:id="67">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Pr="007A5722">
        <w:rPr>
          <w:rFonts w:asciiTheme="majorHAnsi" w:hAnsiTheme="majorHAnsi"/>
          <w:sz w:val="16"/>
          <w:szCs w:val="16"/>
          <w:lang w:val="es-CO"/>
        </w:rPr>
        <w:t xml:space="preserve"> Corte IDH. Caso Barreto Leiva vs Venezuela. </w:t>
      </w:r>
      <w:r w:rsidRPr="007A5722">
        <w:rPr>
          <w:rFonts w:asciiTheme="majorHAnsi" w:hAnsiTheme="majorHAnsi"/>
          <w:sz w:val="16"/>
          <w:szCs w:val="16"/>
          <w:lang w:val="es-VE"/>
        </w:rPr>
        <w:t>Fondo, Reparaciones y Costas. Sentencia de 17 de noviembre de2009, Serie C No. 206. párr.120.</w:t>
      </w:r>
    </w:p>
  </w:footnote>
  <w:footnote w:id="68">
    <w:p w:rsidR="00A26307" w:rsidRPr="007A5722" w:rsidRDefault="00A26307" w:rsidP="007A5722">
      <w:pPr>
        <w:pStyle w:val="FootnoteText"/>
        <w:spacing w:after="120"/>
        <w:ind w:firstLine="720"/>
        <w:rPr>
          <w:rFonts w:asciiTheme="majorHAnsi" w:hAnsiTheme="majorHAnsi"/>
          <w:b/>
          <w:sz w:val="16"/>
          <w:szCs w:val="16"/>
          <w:lang w:val="es-CO"/>
        </w:rPr>
      </w:pPr>
      <w:r w:rsidRPr="007A5722">
        <w:rPr>
          <w:rStyle w:val="FootnoteReference"/>
          <w:rFonts w:asciiTheme="majorHAnsi" w:hAnsiTheme="majorHAnsi"/>
          <w:sz w:val="16"/>
          <w:szCs w:val="16"/>
        </w:rPr>
        <w:footnoteRef/>
      </w:r>
      <w:r w:rsidRPr="007A5722">
        <w:rPr>
          <w:rFonts w:asciiTheme="majorHAnsi" w:hAnsiTheme="majorHAnsi"/>
          <w:sz w:val="16"/>
          <w:szCs w:val="16"/>
          <w:lang w:val="es-CO"/>
        </w:rPr>
        <w:t xml:space="preserve"> </w:t>
      </w:r>
      <w:r w:rsidRPr="007A5722">
        <w:rPr>
          <w:rStyle w:val="Strong"/>
          <w:rFonts w:asciiTheme="majorHAnsi" w:hAnsiTheme="majorHAnsi"/>
          <w:b w:val="0"/>
          <w:sz w:val="16"/>
          <w:szCs w:val="16"/>
          <w:lang w:val="es-CO"/>
        </w:rPr>
        <w:t xml:space="preserve">Corte IDH. Caso Argüelles y otros Vs. Argentina. Excepciones Preliminares, Fondo, Reparaciones y Costas. Sentencia de 20 de noviembre de 2014. Serie C No. 288. Párr. 122. </w:t>
      </w:r>
    </w:p>
  </w:footnote>
  <w:footnote w:id="69">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Pr="007A5722">
        <w:rPr>
          <w:rFonts w:asciiTheme="majorHAnsi" w:hAnsiTheme="majorHAnsi"/>
          <w:sz w:val="16"/>
          <w:szCs w:val="16"/>
          <w:lang w:val="es-VE"/>
        </w:rPr>
        <w:t xml:space="preserve"> Corte IDH. Caso Arguelles y otros vs. Argentina. Excepciones Preliminares, Fondo, Reparaciones y Costas. Sentencia de 20 de noviembre de 2014. Serie C No. 288, párr.121.</w:t>
      </w:r>
    </w:p>
  </w:footnote>
  <w:footnote w:id="70">
    <w:p w:rsidR="00A26307" w:rsidRPr="007A5722" w:rsidRDefault="00A26307" w:rsidP="007A572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firstLine="720"/>
        <w:jc w:val="both"/>
        <w:rPr>
          <w:rFonts w:asciiTheme="majorHAnsi" w:hAnsiTheme="majorHAnsi"/>
          <w:sz w:val="16"/>
          <w:szCs w:val="16"/>
          <w:lang w:val="es-CO"/>
        </w:rPr>
      </w:pPr>
      <w:r w:rsidRPr="007A5722">
        <w:rPr>
          <w:rStyle w:val="FootnoteReference"/>
          <w:rFonts w:asciiTheme="majorHAnsi" w:hAnsiTheme="majorHAnsi"/>
          <w:sz w:val="16"/>
          <w:szCs w:val="16"/>
        </w:rPr>
        <w:footnoteRef/>
      </w:r>
      <w:r w:rsidRPr="007A5722">
        <w:rPr>
          <w:rFonts w:asciiTheme="majorHAnsi" w:hAnsiTheme="majorHAnsi"/>
          <w:sz w:val="16"/>
          <w:szCs w:val="16"/>
          <w:lang w:val="es-VE"/>
        </w:rPr>
        <w:t xml:space="preserve"> </w:t>
      </w:r>
      <w:r w:rsidRPr="007A5722">
        <w:rPr>
          <w:rFonts w:asciiTheme="majorHAnsi" w:hAnsiTheme="majorHAnsi" w:cs="Calibri"/>
          <w:sz w:val="16"/>
          <w:szCs w:val="16"/>
          <w:lang w:val="es-VE" w:eastAsia="es-ES"/>
        </w:rPr>
        <w:t xml:space="preserve">CIDH. Informe No. 86/09, Caso 12.553, Fondo, José, Jorge y Dante </w:t>
      </w:r>
      <w:proofErr w:type="spellStart"/>
      <w:r w:rsidRPr="007A5722">
        <w:rPr>
          <w:rFonts w:asciiTheme="majorHAnsi" w:hAnsiTheme="majorHAnsi" w:cs="Calibri"/>
          <w:sz w:val="16"/>
          <w:szCs w:val="16"/>
          <w:lang w:val="es-VE" w:eastAsia="es-ES"/>
        </w:rPr>
        <w:t>Peirano</w:t>
      </w:r>
      <w:proofErr w:type="spellEnd"/>
      <w:r w:rsidRPr="007A5722">
        <w:rPr>
          <w:rFonts w:asciiTheme="majorHAnsi" w:hAnsiTheme="majorHAnsi" w:cs="Calibri"/>
          <w:sz w:val="16"/>
          <w:szCs w:val="16"/>
          <w:lang w:val="es-VE" w:eastAsia="es-ES"/>
        </w:rPr>
        <w:t xml:space="preserve"> Basso, Uruguay, 6 de agosto de 2009, párr. </w:t>
      </w:r>
      <w:r w:rsidRPr="007A5722">
        <w:rPr>
          <w:rFonts w:asciiTheme="majorHAnsi" w:hAnsiTheme="majorHAnsi" w:cs="Calibri"/>
          <w:sz w:val="16"/>
          <w:szCs w:val="16"/>
          <w:lang w:val="es-CO" w:eastAsia="es-ES"/>
        </w:rPr>
        <w:t xml:space="preserve">133; CIDH. informe No. 2/97, Caso 11.205, Fondo, Jorge Luis </w:t>
      </w:r>
      <w:proofErr w:type="spellStart"/>
      <w:r w:rsidRPr="007A5722">
        <w:rPr>
          <w:rFonts w:asciiTheme="majorHAnsi" w:hAnsiTheme="majorHAnsi" w:cs="Calibri"/>
          <w:sz w:val="16"/>
          <w:szCs w:val="16"/>
          <w:lang w:val="es-CO" w:eastAsia="es-ES"/>
        </w:rPr>
        <w:t>Bronstein</w:t>
      </w:r>
      <w:proofErr w:type="spellEnd"/>
      <w:r w:rsidRPr="007A5722">
        <w:rPr>
          <w:rFonts w:asciiTheme="majorHAnsi" w:hAnsiTheme="majorHAnsi" w:cs="Calibri"/>
          <w:sz w:val="16"/>
          <w:szCs w:val="16"/>
          <w:lang w:val="es-CO" w:eastAsia="es-ES"/>
        </w:rPr>
        <w:t xml:space="preserve"> y otros, Argentina, 11 de marzo de 1997, párr. 12; CIDH. </w:t>
      </w:r>
      <w:r w:rsidRPr="007A5722">
        <w:rPr>
          <w:rFonts w:asciiTheme="majorHAnsi" w:hAnsiTheme="majorHAnsi" w:cs="Calibri-Italic"/>
          <w:iCs/>
          <w:sz w:val="16"/>
          <w:szCs w:val="16"/>
          <w:lang w:val="es-CO" w:eastAsia="es-ES"/>
        </w:rPr>
        <w:t>Tercer informe sobre la situación de los derechos humanos en Paraguay</w:t>
      </w:r>
      <w:r w:rsidRPr="007A5722">
        <w:rPr>
          <w:rFonts w:asciiTheme="majorHAnsi" w:hAnsiTheme="majorHAnsi" w:cs="Calibri"/>
          <w:sz w:val="16"/>
          <w:szCs w:val="16"/>
          <w:lang w:val="es-CO" w:eastAsia="es-ES"/>
        </w:rPr>
        <w:t xml:space="preserve">, OEA/Ser./L/VII.110. Doc. 52, adoptado el 9 de marzo de 2001. Cap. IV, párr. 34. Ver también: Corte IDH. </w:t>
      </w:r>
      <w:r w:rsidRPr="007A5722">
        <w:rPr>
          <w:rFonts w:asciiTheme="majorHAnsi" w:hAnsiTheme="majorHAnsi" w:cs="Calibri-Italic"/>
          <w:iCs/>
          <w:sz w:val="16"/>
          <w:szCs w:val="16"/>
          <w:lang w:val="es-CO" w:eastAsia="es-ES"/>
        </w:rPr>
        <w:t>Caso López Álvarez Vs. Honduras</w:t>
      </w:r>
      <w:r w:rsidRPr="007A5722">
        <w:rPr>
          <w:rFonts w:asciiTheme="majorHAnsi" w:hAnsiTheme="majorHAnsi" w:cs="Calibri"/>
          <w:sz w:val="16"/>
          <w:szCs w:val="16"/>
          <w:lang w:val="es-CO" w:eastAsia="es-ES"/>
        </w:rPr>
        <w:t xml:space="preserve">. Sentencia de 1 de febrero de 2006. Serie C No. 141, párr. 69; Corte IDH. </w:t>
      </w:r>
      <w:r w:rsidRPr="007A5722">
        <w:rPr>
          <w:rFonts w:asciiTheme="majorHAnsi" w:hAnsiTheme="majorHAnsi" w:cs="Calibri-Italic"/>
          <w:iCs/>
          <w:sz w:val="16"/>
          <w:szCs w:val="16"/>
          <w:lang w:val="es-CO" w:eastAsia="es-ES"/>
        </w:rPr>
        <w:t>Caso Acosta Calderón Vs. Ecuador</w:t>
      </w:r>
      <w:r w:rsidRPr="007A5722">
        <w:rPr>
          <w:rFonts w:asciiTheme="majorHAnsi" w:hAnsiTheme="majorHAnsi" w:cs="Calibri"/>
          <w:sz w:val="16"/>
          <w:szCs w:val="16"/>
          <w:lang w:val="es-CO" w:eastAsia="es-ES"/>
        </w:rPr>
        <w:t xml:space="preserve">. Sentencia de 24 de junio de 2005. Serie C No. 129, párr. 111; Corte IDH. </w:t>
      </w:r>
      <w:r w:rsidRPr="007A5722">
        <w:rPr>
          <w:rFonts w:asciiTheme="majorHAnsi" w:hAnsiTheme="majorHAnsi" w:cs="Calibri-Italic"/>
          <w:iCs/>
          <w:sz w:val="16"/>
          <w:szCs w:val="16"/>
          <w:lang w:val="es-CO" w:eastAsia="es-ES"/>
        </w:rPr>
        <w:t>Caso Tibi Vs. Ecuador</w:t>
      </w:r>
      <w:r w:rsidRPr="007A5722">
        <w:rPr>
          <w:rFonts w:asciiTheme="majorHAnsi" w:hAnsiTheme="majorHAnsi" w:cs="Calibri"/>
          <w:sz w:val="16"/>
          <w:szCs w:val="16"/>
          <w:lang w:val="es-CO" w:eastAsia="es-ES"/>
        </w:rPr>
        <w:t xml:space="preserve">. Sentencia de 7 de septiembre de 2004. Serie C No. 114, párr. 180; Corte IDH. </w:t>
      </w:r>
      <w:r w:rsidRPr="007A5722">
        <w:rPr>
          <w:rFonts w:asciiTheme="majorHAnsi" w:hAnsiTheme="majorHAnsi" w:cs="Calibri-Italic"/>
          <w:iCs/>
          <w:sz w:val="16"/>
          <w:szCs w:val="16"/>
          <w:lang w:val="es-CO" w:eastAsia="es-ES"/>
        </w:rPr>
        <w:t>Caso “Instituto de Reeducación del Menor” Vs. Paraguay</w:t>
      </w:r>
      <w:r w:rsidRPr="007A5722">
        <w:rPr>
          <w:rFonts w:asciiTheme="majorHAnsi" w:hAnsiTheme="majorHAnsi" w:cs="Calibri"/>
          <w:sz w:val="16"/>
          <w:szCs w:val="16"/>
          <w:lang w:val="es-CO" w:eastAsia="es-ES"/>
        </w:rPr>
        <w:t xml:space="preserve">. Sentencia de 2 de septiembre de 2004. Serie C No. 112, párr. 229; Corte IDH. </w:t>
      </w:r>
      <w:r w:rsidRPr="007A5722">
        <w:rPr>
          <w:rFonts w:asciiTheme="majorHAnsi" w:hAnsiTheme="majorHAnsi" w:cs="Calibri-Italic"/>
          <w:iCs/>
          <w:sz w:val="16"/>
          <w:szCs w:val="16"/>
          <w:lang w:val="es-CO" w:eastAsia="es-ES"/>
        </w:rPr>
        <w:t>Caso Suárez Rosero Vs. Ecuador</w:t>
      </w:r>
      <w:r w:rsidRPr="007A5722">
        <w:rPr>
          <w:rFonts w:asciiTheme="majorHAnsi" w:hAnsiTheme="majorHAnsi" w:cs="Calibri"/>
          <w:sz w:val="16"/>
          <w:szCs w:val="16"/>
          <w:lang w:val="es-CO" w:eastAsia="es-ES"/>
        </w:rPr>
        <w:t xml:space="preserve">. Sentencia de 12 de noviembre de 1997. Serie C No. 35, párr. 77. Igualmente, </w:t>
      </w:r>
    </w:p>
  </w:footnote>
  <w:footnote w:id="71">
    <w:p w:rsidR="00A26307" w:rsidRPr="007A5722" w:rsidRDefault="00A26307" w:rsidP="007A5722">
      <w:pPr>
        <w:pStyle w:val="FootnoteText"/>
        <w:spacing w:after="120"/>
        <w:ind w:firstLine="720"/>
        <w:rPr>
          <w:rFonts w:asciiTheme="majorHAnsi" w:hAnsiTheme="majorHAnsi"/>
          <w:sz w:val="16"/>
          <w:szCs w:val="16"/>
          <w:lang w:val="es-CO"/>
        </w:rPr>
      </w:pPr>
      <w:r w:rsidRPr="007A5722">
        <w:rPr>
          <w:rStyle w:val="FootnoteReference"/>
          <w:rFonts w:asciiTheme="majorHAnsi" w:hAnsiTheme="majorHAnsi"/>
          <w:sz w:val="16"/>
          <w:szCs w:val="16"/>
        </w:rPr>
        <w:footnoteRef/>
      </w:r>
      <w:r w:rsidRPr="007A5722">
        <w:rPr>
          <w:rFonts w:asciiTheme="majorHAnsi" w:hAnsiTheme="majorHAnsi"/>
          <w:sz w:val="16"/>
          <w:szCs w:val="16"/>
          <w:lang w:val="es-CO"/>
        </w:rPr>
        <w:t xml:space="preserve"> CIDH. Informe No. 12/96. Argentina. Caso 11.245. 1 de marzo de 1996. Párr. 80. </w:t>
      </w:r>
    </w:p>
  </w:footnote>
  <w:footnote w:id="72">
    <w:p w:rsidR="00A26307" w:rsidRPr="007A5722" w:rsidRDefault="00A26307" w:rsidP="007A5722">
      <w:pPr>
        <w:pStyle w:val="FootnoteText"/>
        <w:spacing w:after="120"/>
        <w:ind w:firstLine="720"/>
        <w:rPr>
          <w:rFonts w:asciiTheme="majorHAnsi" w:hAnsiTheme="majorHAnsi"/>
          <w:sz w:val="16"/>
          <w:szCs w:val="16"/>
          <w:lang w:val="es-CO"/>
        </w:rPr>
      </w:pPr>
      <w:r w:rsidRPr="007A5722">
        <w:rPr>
          <w:rStyle w:val="FootnoteReference"/>
          <w:rFonts w:asciiTheme="majorHAnsi" w:hAnsiTheme="majorHAnsi"/>
          <w:sz w:val="16"/>
          <w:szCs w:val="16"/>
        </w:rPr>
        <w:footnoteRef/>
      </w:r>
      <w:r w:rsidRPr="007A5722">
        <w:rPr>
          <w:rFonts w:asciiTheme="majorHAnsi" w:hAnsiTheme="majorHAnsi"/>
          <w:sz w:val="16"/>
          <w:szCs w:val="16"/>
          <w:lang w:val="es-CO"/>
        </w:rPr>
        <w:t xml:space="preserve"> CIDH. Informe No. 12/96. Argentina. Caso 11.245. 1 de marzo de 1996. Párr. 114. </w:t>
      </w:r>
    </w:p>
  </w:footnote>
  <w:footnote w:id="73">
    <w:p w:rsidR="00A26307" w:rsidRPr="007A5722" w:rsidRDefault="00A26307" w:rsidP="007A572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firstLine="720"/>
        <w:rPr>
          <w:rFonts w:asciiTheme="majorHAnsi" w:hAnsiTheme="majorHAnsi" w:cs="Calibri"/>
          <w:sz w:val="16"/>
          <w:szCs w:val="16"/>
          <w:lang w:val="es-CO" w:eastAsia="es-ES"/>
        </w:rPr>
      </w:pPr>
      <w:r w:rsidRPr="007A5722">
        <w:rPr>
          <w:rStyle w:val="FootnoteReference"/>
          <w:rFonts w:asciiTheme="majorHAnsi" w:hAnsiTheme="majorHAnsi"/>
          <w:sz w:val="16"/>
          <w:szCs w:val="16"/>
        </w:rPr>
        <w:footnoteRef/>
      </w:r>
      <w:r w:rsidRPr="007A5722">
        <w:rPr>
          <w:rFonts w:asciiTheme="majorHAnsi" w:hAnsiTheme="majorHAnsi"/>
          <w:sz w:val="16"/>
          <w:szCs w:val="16"/>
          <w:lang w:val="es-CO"/>
        </w:rPr>
        <w:t xml:space="preserve"> </w:t>
      </w:r>
      <w:r w:rsidRPr="007A5722">
        <w:rPr>
          <w:rFonts w:asciiTheme="majorHAnsi" w:hAnsiTheme="majorHAnsi" w:cs="Calibri"/>
          <w:sz w:val="16"/>
          <w:szCs w:val="16"/>
          <w:lang w:val="es-CO" w:eastAsia="es-ES"/>
        </w:rPr>
        <w:t xml:space="preserve">Corte IDH. </w:t>
      </w:r>
      <w:r w:rsidRPr="007A5722">
        <w:rPr>
          <w:rFonts w:asciiTheme="majorHAnsi" w:hAnsiTheme="majorHAnsi" w:cs="Calibri-Italic"/>
          <w:iCs/>
          <w:sz w:val="16"/>
          <w:szCs w:val="16"/>
          <w:lang w:val="es-CO" w:eastAsia="es-ES"/>
        </w:rPr>
        <w:t xml:space="preserve">Caso </w:t>
      </w:r>
      <w:proofErr w:type="spellStart"/>
      <w:r w:rsidRPr="007A5722">
        <w:rPr>
          <w:rFonts w:asciiTheme="majorHAnsi" w:hAnsiTheme="majorHAnsi" w:cs="Calibri-Italic"/>
          <w:iCs/>
          <w:sz w:val="16"/>
          <w:szCs w:val="16"/>
          <w:lang w:val="es-CO" w:eastAsia="es-ES"/>
        </w:rPr>
        <w:t>Usón</w:t>
      </w:r>
      <w:proofErr w:type="spellEnd"/>
      <w:r w:rsidRPr="007A5722">
        <w:rPr>
          <w:rFonts w:asciiTheme="majorHAnsi" w:hAnsiTheme="majorHAnsi" w:cs="Calibri-Italic"/>
          <w:iCs/>
          <w:sz w:val="16"/>
          <w:szCs w:val="16"/>
          <w:lang w:val="es-CO" w:eastAsia="es-ES"/>
        </w:rPr>
        <w:t xml:space="preserve"> Ramírez Vs. Venezuela. </w:t>
      </w:r>
      <w:r w:rsidRPr="007A5722">
        <w:rPr>
          <w:rFonts w:asciiTheme="majorHAnsi" w:hAnsiTheme="majorHAnsi" w:cs="Calibri"/>
          <w:sz w:val="16"/>
          <w:szCs w:val="16"/>
          <w:lang w:val="es-CO" w:eastAsia="es-ES"/>
        </w:rPr>
        <w:t>Excepción Preliminar, Fondo, Reparaciones y Costas. Sentencia de 20 de noviembre de 2009. Serie C No. 207, párr. 144.</w:t>
      </w:r>
    </w:p>
  </w:footnote>
  <w:footnote w:id="74">
    <w:p w:rsidR="00A26307" w:rsidRPr="007A5722" w:rsidRDefault="00A26307" w:rsidP="007A5722">
      <w:pPr>
        <w:pStyle w:val="FootnoteText"/>
        <w:spacing w:after="120"/>
        <w:ind w:firstLine="720"/>
        <w:rPr>
          <w:rFonts w:asciiTheme="majorHAnsi" w:hAnsiTheme="majorHAnsi"/>
          <w:sz w:val="16"/>
          <w:szCs w:val="16"/>
          <w:lang w:val="es-CO"/>
        </w:rPr>
      </w:pPr>
      <w:r w:rsidRPr="007A5722">
        <w:rPr>
          <w:rStyle w:val="FootnoteReference"/>
          <w:rFonts w:asciiTheme="majorHAnsi" w:eastAsia="Arial Unicode MS" w:hAnsiTheme="majorHAnsi" w:cs="Times New Roman"/>
          <w:color w:val="auto"/>
          <w:sz w:val="16"/>
          <w:szCs w:val="16"/>
          <w:lang w:eastAsia="en-US"/>
        </w:rPr>
        <w:footnoteRef/>
      </w:r>
      <w:r w:rsidRPr="007A5722">
        <w:rPr>
          <w:rFonts w:asciiTheme="majorHAnsi" w:hAnsiTheme="majorHAnsi"/>
          <w:sz w:val="16"/>
          <w:szCs w:val="16"/>
          <w:lang w:val="es-CO"/>
        </w:rPr>
        <w:t xml:space="preserve"> CIDH. Informe sobre el uso de la prisión preventiva en las Américas. OEA/</w:t>
      </w:r>
      <w:proofErr w:type="spellStart"/>
      <w:r w:rsidRPr="007A5722">
        <w:rPr>
          <w:rFonts w:asciiTheme="majorHAnsi" w:hAnsiTheme="majorHAnsi"/>
          <w:sz w:val="16"/>
          <w:szCs w:val="16"/>
          <w:lang w:val="es-CO"/>
        </w:rPr>
        <w:t>Ser.L</w:t>
      </w:r>
      <w:proofErr w:type="spellEnd"/>
      <w:r w:rsidRPr="007A5722">
        <w:rPr>
          <w:rFonts w:asciiTheme="majorHAnsi" w:hAnsiTheme="majorHAnsi"/>
          <w:sz w:val="16"/>
          <w:szCs w:val="16"/>
          <w:lang w:val="es-CO"/>
        </w:rPr>
        <w:t>/V/II. 30 de diciembre de 2013. Párr. 137.</w:t>
      </w:r>
    </w:p>
  </w:footnote>
  <w:footnote w:id="75">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Pr="007A5722">
        <w:rPr>
          <w:rFonts w:asciiTheme="majorHAnsi" w:hAnsiTheme="majorHAnsi"/>
          <w:sz w:val="16"/>
          <w:szCs w:val="16"/>
          <w:lang w:val="es-VE"/>
        </w:rPr>
        <w:t>Corte IDH, Caso Espinoza Gonzáles vs. Perú. Excepciones Preliminares, Fondo, Reparaciones y Costas. Sentencia de 20 de noviembre de 2014, Serie C No. 289, Párr.135;  Corte IDH, El Hábeas Corpus bajo Suspensión de Garantías (arts. 27.2, 25.1y 7.6 Convención Americana sobre Derechos Humanos). Opinión Consultiva OC-8/87 del 30 de enero de 1987. Serie A No. 8, párr. 33.</w:t>
      </w:r>
    </w:p>
  </w:footnote>
  <w:footnote w:id="76">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Pr="007A5722">
        <w:rPr>
          <w:rFonts w:asciiTheme="majorHAnsi" w:hAnsiTheme="majorHAnsi"/>
          <w:sz w:val="16"/>
          <w:szCs w:val="16"/>
          <w:lang w:val="es-VE"/>
        </w:rPr>
        <w:t xml:space="preserve"> Corte IDH. Caso Acosta Calderón vs. Ecuador. Fondo, Reparaciones y Costas.  Serie C No. 129, párr.93. </w:t>
      </w:r>
    </w:p>
  </w:footnote>
  <w:footnote w:id="77">
    <w:p w:rsidR="00A26307" w:rsidRPr="007A5722" w:rsidRDefault="00A26307" w:rsidP="007A5722">
      <w:pPr>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Pr="007A5722">
        <w:rPr>
          <w:rFonts w:asciiTheme="majorHAnsi" w:hAnsiTheme="majorHAnsi"/>
          <w:sz w:val="16"/>
          <w:szCs w:val="16"/>
          <w:lang w:val="es-VE"/>
        </w:rPr>
        <w:t xml:space="preserve"> Corte IDH. Caso López Álvarez. Fondo, Reparaciones y Costas. Sentencia de 1 de febrero de 2006. Serie C No. 141, párr.96; Ver también CIDH, Informe No. 67/11, Caso 11.157, Admisibilidad y Fondo, Gladys Carol Espinoza Gonzales, Perú, 31 de marzo de 2011 párr.165.</w:t>
      </w:r>
    </w:p>
  </w:footnote>
  <w:footnote w:id="78">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Pr="007A5722">
        <w:rPr>
          <w:rFonts w:asciiTheme="majorHAnsi" w:hAnsiTheme="majorHAnsi"/>
          <w:sz w:val="16"/>
          <w:szCs w:val="16"/>
          <w:lang w:val="pt-BR"/>
        </w:rPr>
        <w:t xml:space="preserve"> CIDH. Informe No. 86/09, Caso 12.553, Fondo, José, Jorge y Dante Peirano Basso, Uruguay, 6 de agosto de 2009, párrs. </w:t>
      </w:r>
      <w:r w:rsidRPr="007A5722">
        <w:rPr>
          <w:rFonts w:asciiTheme="majorHAnsi" w:hAnsiTheme="majorHAnsi"/>
          <w:sz w:val="16"/>
          <w:szCs w:val="16"/>
          <w:lang w:val="es-VE"/>
        </w:rPr>
        <w:t xml:space="preserve">118.  Ver también por ejemplo las Reglas de Tokio cuya regla 6.3 establece que el acusado “tendrá derecho a apelar ante una autoridad judicial u otra autoridad independiente y competente en los casos en que se imponga prisión preventiva”, disponible en: </w:t>
      </w:r>
      <w:r w:rsidR="00ED58DB">
        <w:fldChar w:fldCharType="begin"/>
      </w:r>
      <w:r w:rsidR="00ED58DB" w:rsidRPr="00542560">
        <w:rPr>
          <w:lang w:val="es-VE"/>
        </w:rPr>
        <w:instrText xml:space="preserve"> HYPERLINK "https://www.cidh.oas.org/PRIVADAS/reglasminimasnoprivativas.htm" </w:instrText>
      </w:r>
      <w:r w:rsidR="00ED58DB">
        <w:fldChar w:fldCharType="separate"/>
      </w:r>
      <w:r w:rsidRPr="007A5722">
        <w:rPr>
          <w:rStyle w:val="Hyperlink"/>
          <w:rFonts w:asciiTheme="majorHAnsi" w:hAnsiTheme="majorHAnsi"/>
          <w:sz w:val="16"/>
          <w:szCs w:val="16"/>
          <w:lang w:val="es-VE"/>
        </w:rPr>
        <w:t>https://www.cidh.oas.org/PRIVADAS/reglasminimasnoprivativas.htm</w:t>
      </w:r>
      <w:r w:rsidR="00ED58DB">
        <w:rPr>
          <w:rStyle w:val="Hyperlink"/>
          <w:rFonts w:asciiTheme="majorHAnsi" w:hAnsiTheme="majorHAnsi"/>
          <w:sz w:val="16"/>
          <w:szCs w:val="16"/>
          <w:lang w:val="es-VE"/>
        </w:rPr>
        <w:fldChar w:fldCharType="end"/>
      </w:r>
      <w:r w:rsidRPr="007A5722">
        <w:rPr>
          <w:rFonts w:asciiTheme="majorHAnsi" w:hAnsiTheme="majorHAnsi"/>
          <w:sz w:val="16"/>
          <w:szCs w:val="16"/>
          <w:lang w:val="es-VE"/>
        </w:rPr>
        <w:t xml:space="preserve">. </w:t>
      </w:r>
    </w:p>
  </w:footnote>
  <w:footnote w:id="79">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Pr="007A5722">
        <w:rPr>
          <w:rFonts w:asciiTheme="majorHAnsi" w:hAnsiTheme="majorHAnsi"/>
          <w:sz w:val="16"/>
          <w:szCs w:val="16"/>
          <w:lang w:val="es-VE"/>
        </w:rPr>
        <w:t xml:space="preserve"> Ver. Voto razonado del Juez A.A Cancado Trindade en el caso Acosta Calderón vs. Ecuador. Fondo, Reparaciones y Costas. Sentencia de 24 de junio de 2005. Serie C No. 129. </w:t>
      </w:r>
    </w:p>
  </w:footnote>
  <w:footnote w:id="80">
    <w:p w:rsidR="00A26307" w:rsidRPr="007A5722" w:rsidRDefault="00A26307" w:rsidP="007A5722">
      <w:pPr>
        <w:pStyle w:val="FootnoteText"/>
        <w:spacing w:after="120"/>
        <w:ind w:firstLine="720"/>
        <w:jc w:val="both"/>
        <w:rPr>
          <w:rFonts w:asciiTheme="majorHAnsi" w:hAnsiTheme="majorHAnsi"/>
          <w:sz w:val="16"/>
          <w:szCs w:val="16"/>
          <w:lang w:val="es-VE"/>
        </w:rPr>
      </w:pPr>
      <w:r w:rsidRPr="007A5722">
        <w:rPr>
          <w:rStyle w:val="FootnoteReference"/>
          <w:rFonts w:asciiTheme="majorHAnsi" w:hAnsiTheme="majorHAnsi"/>
          <w:sz w:val="16"/>
          <w:szCs w:val="16"/>
        </w:rPr>
        <w:footnoteRef/>
      </w:r>
      <w:r w:rsidR="007632CB">
        <w:rPr>
          <w:rFonts w:asciiTheme="majorHAnsi" w:hAnsiTheme="majorHAnsi"/>
          <w:sz w:val="16"/>
          <w:szCs w:val="16"/>
          <w:lang w:val="es-VE"/>
        </w:rPr>
        <w:t xml:space="preserve"> Anexo </w:t>
      </w:r>
      <w:r w:rsidR="00FC1635">
        <w:rPr>
          <w:rFonts w:asciiTheme="majorHAnsi" w:hAnsiTheme="majorHAnsi"/>
          <w:sz w:val="16"/>
          <w:szCs w:val="16"/>
          <w:lang w:val="es-VE"/>
        </w:rPr>
        <w:t>20</w:t>
      </w:r>
      <w:r w:rsidRPr="007A5722">
        <w:rPr>
          <w:rFonts w:asciiTheme="majorHAnsi" w:hAnsiTheme="majorHAnsi"/>
          <w:sz w:val="16"/>
          <w:szCs w:val="16"/>
          <w:lang w:val="es-VE"/>
        </w:rPr>
        <w:t>. Decisión de la Sala II de la Cámara Nacional de Apelaciones en lo Contencioso Administrativo Federal. Anexo a la comunicación presentado por el Estado el 16 de octubre de 2009.</w:t>
      </w:r>
    </w:p>
  </w:footnote>
  <w:footnote w:id="81">
    <w:p w:rsidR="00A26307" w:rsidRPr="007A5722" w:rsidRDefault="00A26307" w:rsidP="007A5722">
      <w:pPr>
        <w:pStyle w:val="FootnoteText"/>
        <w:spacing w:after="120"/>
        <w:ind w:firstLine="720"/>
        <w:jc w:val="both"/>
        <w:rPr>
          <w:rFonts w:asciiTheme="majorHAnsi" w:hAnsiTheme="majorHAnsi"/>
          <w:sz w:val="16"/>
          <w:szCs w:val="16"/>
          <w:lang w:val="es-ES"/>
        </w:rPr>
      </w:pPr>
      <w:r w:rsidRPr="007A5722">
        <w:rPr>
          <w:rStyle w:val="FootnoteReference"/>
          <w:rFonts w:asciiTheme="majorHAnsi" w:hAnsiTheme="majorHAnsi"/>
          <w:sz w:val="16"/>
          <w:szCs w:val="16"/>
        </w:rPr>
        <w:footnoteRef/>
      </w:r>
      <w:r w:rsidRPr="007A5722">
        <w:rPr>
          <w:rFonts w:asciiTheme="majorHAnsi" w:hAnsiTheme="majorHAnsi"/>
          <w:sz w:val="16"/>
          <w:szCs w:val="16"/>
          <w:lang w:val="es-ES"/>
        </w:rPr>
        <w:t xml:space="preserve"> Corte IDH, </w:t>
      </w:r>
      <w:r w:rsidRPr="007A5722">
        <w:rPr>
          <w:rFonts w:asciiTheme="majorHAnsi" w:hAnsiTheme="majorHAnsi"/>
          <w:bCs/>
          <w:sz w:val="16"/>
          <w:szCs w:val="16"/>
          <w:lang w:val="es-ES"/>
        </w:rPr>
        <w:t xml:space="preserve">Condición Jurídica y Derechos Humanos del Niño. Opinión Consultiva OC-17/02 del 28 de agosto de 2002. </w:t>
      </w:r>
      <w:r w:rsidRPr="007A5722">
        <w:rPr>
          <w:rFonts w:asciiTheme="majorHAnsi" w:hAnsiTheme="majorHAnsi"/>
          <w:sz w:val="16"/>
          <w:szCs w:val="16"/>
          <w:lang w:val="es-ES"/>
        </w:rPr>
        <w:t>Serie A No. 17, párr. 46.</w:t>
      </w:r>
    </w:p>
  </w:footnote>
  <w:footnote w:id="82">
    <w:p w:rsidR="00A26307" w:rsidRPr="007A5722" w:rsidRDefault="00A26307" w:rsidP="007A5722">
      <w:pPr>
        <w:pStyle w:val="FootnoteText"/>
        <w:spacing w:after="120"/>
        <w:ind w:firstLine="720"/>
        <w:jc w:val="both"/>
        <w:rPr>
          <w:rFonts w:asciiTheme="majorHAnsi" w:hAnsiTheme="majorHAnsi"/>
          <w:sz w:val="16"/>
          <w:szCs w:val="16"/>
          <w:lang w:val="es-CO"/>
        </w:rPr>
      </w:pPr>
      <w:r w:rsidRPr="007A5722">
        <w:rPr>
          <w:rStyle w:val="FootnoteReference"/>
          <w:rFonts w:asciiTheme="majorHAnsi" w:hAnsiTheme="majorHAnsi"/>
          <w:sz w:val="16"/>
          <w:szCs w:val="16"/>
        </w:rPr>
        <w:footnoteRef/>
      </w:r>
      <w:r w:rsidRPr="007A5722">
        <w:rPr>
          <w:rFonts w:asciiTheme="majorHAnsi" w:hAnsiTheme="majorHAnsi"/>
          <w:sz w:val="16"/>
          <w:szCs w:val="16"/>
          <w:lang w:val="es-VE"/>
        </w:rPr>
        <w:t xml:space="preserve"> CIDH, Demanda ante la Corte Interamericana de Derechos Humanos, Karen Atala e Hijas, 17 de septiembre de 2010,</w:t>
      </w:r>
      <w:r w:rsidRPr="007A5722">
        <w:rPr>
          <w:rFonts w:asciiTheme="majorHAnsi" w:hAnsiTheme="majorHAnsi"/>
          <w:sz w:val="16"/>
          <w:szCs w:val="16"/>
          <w:u w:val="single"/>
          <w:lang w:val="es-VE"/>
        </w:rPr>
        <w:t xml:space="preserve"> </w:t>
      </w:r>
      <w:r w:rsidRPr="007632CB">
        <w:rPr>
          <w:rFonts w:asciiTheme="majorHAnsi" w:hAnsiTheme="majorHAnsi"/>
          <w:sz w:val="16"/>
          <w:szCs w:val="16"/>
          <w:lang w:val="es-VE"/>
        </w:rPr>
        <w:t>párr.86;</w:t>
      </w:r>
      <w:r w:rsidRPr="007A5722">
        <w:rPr>
          <w:rFonts w:asciiTheme="majorHAnsi" w:hAnsiTheme="majorHAnsi"/>
          <w:sz w:val="16"/>
          <w:szCs w:val="16"/>
          <w:u w:val="single"/>
          <w:lang w:val="es-VE"/>
        </w:rPr>
        <w:t xml:space="preserve"> </w:t>
      </w:r>
      <w:r w:rsidRPr="007A5722">
        <w:rPr>
          <w:rStyle w:val="Strong"/>
          <w:rFonts w:asciiTheme="majorHAnsi" w:hAnsiTheme="majorHAnsi"/>
          <w:b w:val="0"/>
          <w:sz w:val="16"/>
          <w:szCs w:val="16"/>
          <w:lang w:val="es-CO"/>
        </w:rPr>
        <w:t xml:space="preserve">Corte IDH. Caso Atala Riffo y niñas Vs. Chile. Fondo, Reparaciones y Costas. Sentencia del 24 de febrero de 2012. Serie C No. 239. Párr. 164. </w:t>
      </w:r>
    </w:p>
  </w:footnote>
  <w:footnote w:id="83">
    <w:p w:rsidR="00A26307" w:rsidRPr="007A5722" w:rsidRDefault="00A26307" w:rsidP="007A5722">
      <w:pPr>
        <w:pStyle w:val="FootnoteText"/>
        <w:spacing w:after="120"/>
        <w:ind w:firstLine="720"/>
        <w:jc w:val="both"/>
        <w:rPr>
          <w:rFonts w:asciiTheme="majorHAnsi" w:hAnsiTheme="majorHAnsi"/>
          <w:color w:val="auto"/>
          <w:sz w:val="16"/>
          <w:szCs w:val="16"/>
          <w:lang w:val="es-ES_tradnl"/>
        </w:rPr>
      </w:pPr>
      <w:r w:rsidRPr="007A5722">
        <w:rPr>
          <w:rStyle w:val="FootnoteReference"/>
          <w:rFonts w:asciiTheme="majorHAnsi" w:hAnsiTheme="majorHAnsi"/>
          <w:color w:val="auto"/>
          <w:sz w:val="16"/>
          <w:szCs w:val="16"/>
        </w:rPr>
        <w:footnoteRef/>
      </w:r>
      <w:r w:rsidRPr="007A5722">
        <w:rPr>
          <w:rFonts w:asciiTheme="majorHAnsi" w:hAnsiTheme="majorHAnsi" w:cs="Arial"/>
          <w:color w:val="auto"/>
          <w:sz w:val="16"/>
          <w:szCs w:val="16"/>
          <w:lang w:val="es-ES"/>
        </w:rPr>
        <w:t xml:space="preserve"> CIDH, Informe No. 111/10, Caso 12.539, Fondo, Sebastián Claus Furlan y familia, Argentina, 21 de octubre de 2010, párr. </w:t>
      </w:r>
      <w:r w:rsidRPr="007A5722">
        <w:rPr>
          <w:rFonts w:asciiTheme="majorHAnsi" w:hAnsiTheme="majorHAnsi" w:cs="Arial"/>
          <w:color w:val="auto"/>
          <w:sz w:val="16"/>
          <w:szCs w:val="16"/>
          <w:lang w:val="pt-BR"/>
        </w:rPr>
        <w:t xml:space="preserve">100. Corte I.D.H., </w:t>
      </w:r>
      <w:r w:rsidRPr="007A5722">
        <w:rPr>
          <w:rFonts w:asciiTheme="majorHAnsi" w:hAnsiTheme="majorHAnsi" w:cs="Arial"/>
          <w:color w:val="auto"/>
          <w:sz w:val="16"/>
          <w:szCs w:val="16"/>
          <w:shd w:val="clear" w:color="auto" w:fill="FFFFFF"/>
          <w:lang w:val="pt-BR"/>
        </w:rPr>
        <w:t xml:space="preserve">Caso Masacre de Santo Domingo Vs. </w:t>
      </w:r>
      <w:r w:rsidRPr="007A5722">
        <w:rPr>
          <w:rFonts w:asciiTheme="majorHAnsi" w:hAnsiTheme="majorHAnsi" w:cs="Arial"/>
          <w:color w:val="auto"/>
          <w:sz w:val="16"/>
          <w:szCs w:val="16"/>
          <w:shd w:val="clear" w:color="auto" w:fill="FFFFFF"/>
          <w:lang w:val="es-ES_tradnl"/>
        </w:rPr>
        <w:t>Colombia. Excepciones Preliminares, Fondo y Reparaciones. Sentencia de 30 de noviembre de 2012. Serie C No. 259,</w:t>
      </w:r>
      <w:r w:rsidRPr="007A5722">
        <w:rPr>
          <w:rFonts w:asciiTheme="majorHAnsi" w:hAnsiTheme="majorHAnsi" w:cs="Arial"/>
          <w:color w:val="auto"/>
          <w:sz w:val="16"/>
          <w:szCs w:val="16"/>
          <w:lang w:val="es-ES_tradnl"/>
        </w:rPr>
        <w:t xml:space="preserve"> párr. </w:t>
      </w:r>
      <w:r w:rsidRPr="007A5722">
        <w:rPr>
          <w:rFonts w:asciiTheme="majorHAnsi" w:hAnsiTheme="majorHAnsi" w:cs="Arial"/>
          <w:color w:val="auto"/>
          <w:sz w:val="16"/>
          <w:szCs w:val="16"/>
          <w:lang w:val="es-ES"/>
        </w:rPr>
        <w:t>164.</w:t>
      </w:r>
    </w:p>
  </w:footnote>
  <w:footnote w:id="84">
    <w:p w:rsidR="00A26307" w:rsidRPr="007A5722" w:rsidRDefault="00A26307" w:rsidP="007A5722">
      <w:pPr>
        <w:pStyle w:val="FootnoteText"/>
        <w:spacing w:after="120"/>
        <w:ind w:firstLine="709"/>
        <w:jc w:val="both"/>
        <w:rPr>
          <w:rFonts w:asciiTheme="majorHAnsi" w:hAnsiTheme="majorHAnsi"/>
          <w:sz w:val="16"/>
          <w:szCs w:val="16"/>
          <w:lang w:val="es-PE"/>
        </w:rPr>
      </w:pPr>
      <w:r w:rsidRPr="007A5722">
        <w:rPr>
          <w:rStyle w:val="FootnoteReference"/>
          <w:rFonts w:asciiTheme="majorHAnsi" w:hAnsiTheme="majorHAnsi"/>
          <w:sz w:val="16"/>
          <w:szCs w:val="16"/>
        </w:rPr>
        <w:footnoteRef/>
      </w:r>
      <w:r w:rsidRPr="007A5722">
        <w:rPr>
          <w:rFonts w:asciiTheme="majorHAnsi" w:hAnsiTheme="majorHAnsi"/>
          <w:sz w:val="16"/>
          <w:szCs w:val="16"/>
          <w:lang w:val="es-PE"/>
        </w:rPr>
        <w:t xml:space="preserve"> Corte IDH. </w:t>
      </w:r>
      <w:r w:rsidRPr="007A5722">
        <w:rPr>
          <w:rFonts w:asciiTheme="majorHAnsi" w:hAnsiTheme="majorHAnsi"/>
          <w:iCs/>
          <w:sz w:val="16"/>
          <w:szCs w:val="16"/>
          <w:lang w:val="es-PE"/>
        </w:rPr>
        <w:t>Caso García Asto y Ramírez Rojas Vs. Perú</w:t>
      </w:r>
      <w:r w:rsidRPr="007A5722">
        <w:rPr>
          <w:rFonts w:asciiTheme="majorHAnsi" w:hAnsiTheme="majorHAnsi"/>
          <w:sz w:val="16"/>
          <w:szCs w:val="16"/>
          <w:lang w:val="es-PE"/>
        </w:rPr>
        <w:t xml:space="preserve">. Sentencia de 25 de noviembre de 2005. Serie C No. 137, párr. </w:t>
      </w:r>
      <w:r w:rsidRPr="007A5722">
        <w:rPr>
          <w:rFonts w:asciiTheme="majorHAnsi" w:hAnsiTheme="majorHAnsi"/>
          <w:sz w:val="16"/>
          <w:szCs w:val="16"/>
          <w:lang w:val="es-ES"/>
        </w:rPr>
        <w:t xml:space="preserve">166; </w:t>
      </w:r>
      <w:r w:rsidRPr="007A5722">
        <w:rPr>
          <w:rFonts w:asciiTheme="majorHAnsi" w:hAnsiTheme="majorHAnsi"/>
          <w:iCs/>
          <w:sz w:val="16"/>
          <w:szCs w:val="16"/>
          <w:lang w:val="es-ES"/>
        </w:rPr>
        <w:t>Caso Gómez Palomino Vs. Perú</w:t>
      </w:r>
      <w:r w:rsidRPr="007A5722">
        <w:rPr>
          <w:rFonts w:asciiTheme="majorHAnsi" w:hAnsiTheme="majorHAnsi"/>
          <w:sz w:val="16"/>
          <w:szCs w:val="16"/>
          <w:lang w:val="es-ES"/>
        </w:rPr>
        <w:t xml:space="preserve">. Sentencia de 22 de noviembre de 2005. Serie C No. 136, párr. 85; </w:t>
      </w:r>
      <w:r w:rsidRPr="007A5722">
        <w:rPr>
          <w:rFonts w:asciiTheme="majorHAnsi" w:hAnsiTheme="majorHAnsi"/>
          <w:iCs/>
          <w:sz w:val="16"/>
          <w:szCs w:val="16"/>
          <w:lang w:val="es-ES"/>
        </w:rPr>
        <w:t>Caso d</w:t>
      </w:r>
      <w:r w:rsidR="007632CB">
        <w:rPr>
          <w:rFonts w:asciiTheme="majorHAnsi" w:hAnsiTheme="majorHAnsi"/>
          <w:iCs/>
          <w:sz w:val="16"/>
          <w:szCs w:val="16"/>
          <w:lang w:val="es-ES"/>
        </w:rPr>
        <w:t xml:space="preserve">e la Comunidad </w:t>
      </w:r>
      <w:proofErr w:type="spellStart"/>
      <w:r w:rsidR="007632CB">
        <w:rPr>
          <w:rFonts w:asciiTheme="majorHAnsi" w:hAnsiTheme="majorHAnsi"/>
          <w:iCs/>
          <w:sz w:val="16"/>
          <w:szCs w:val="16"/>
          <w:lang w:val="es-ES"/>
        </w:rPr>
        <w:t>Moiwana</w:t>
      </w:r>
      <w:proofErr w:type="spellEnd"/>
      <w:r w:rsidR="007632CB">
        <w:rPr>
          <w:rFonts w:asciiTheme="majorHAnsi" w:hAnsiTheme="majorHAnsi"/>
          <w:iCs/>
          <w:sz w:val="16"/>
          <w:szCs w:val="16"/>
          <w:lang w:val="es-ES"/>
        </w:rPr>
        <w:t xml:space="preserve"> Vs. Surin</w:t>
      </w:r>
      <w:r w:rsidRPr="007A5722">
        <w:rPr>
          <w:rFonts w:asciiTheme="majorHAnsi" w:hAnsiTheme="majorHAnsi"/>
          <w:iCs/>
          <w:sz w:val="16"/>
          <w:szCs w:val="16"/>
          <w:lang w:val="es-ES"/>
        </w:rPr>
        <w:t>am</w:t>
      </w:r>
      <w:r w:rsidRPr="007A5722">
        <w:rPr>
          <w:rFonts w:asciiTheme="majorHAnsi" w:hAnsiTheme="majorHAnsi"/>
          <w:sz w:val="16"/>
          <w:szCs w:val="16"/>
          <w:lang w:val="es-ES"/>
        </w:rPr>
        <w:t xml:space="preserve">. Sentencia de 15 de junio de 2005. Serie C No. 124, párr. 160.  </w:t>
      </w:r>
    </w:p>
  </w:footnote>
  <w:footnote w:id="85">
    <w:p w:rsidR="00A26307" w:rsidRPr="007A5722" w:rsidRDefault="00A26307" w:rsidP="007A5722">
      <w:pPr>
        <w:pStyle w:val="FootnoteText"/>
        <w:spacing w:after="120"/>
        <w:ind w:firstLine="709"/>
        <w:jc w:val="both"/>
        <w:rPr>
          <w:rFonts w:asciiTheme="majorHAnsi" w:hAnsiTheme="majorHAnsi"/>
          <w:sz w:val="16"/>
          <w:szCs w:val="16"/>
          <w:lang w:val="es-PE"/>
        </w:rPr>
      </w:pPr>
      <w:r w:rsidRPr="007A5722">
        <w:rPr>
          <w:rStyle w:val="FootnoteReference"/>
          <w:rFonts w:asciiTheme="majorHAnsi" w:hAnsiTheme="majorHAnsi"/>
          <w:sz w:val="16"/>
          <w:szCs w:val="16"/>
        </w:rPr>
        <w:footnoteRef/>
      </w:r>
      <w:r w:rsidRPr="007A5722">
        <w:rPr>
          <w:rFonts w:asciiTheme="majorHAnsi" w:hAnsiTheme="majorHAnsi"/>
          <w:sz w:val="16"/>
          <w:szCs w:val="16"/>
          <w:lang w:val="es-PE"/>
        </w:rPr>
        <w:t xml:space="preserve"> Corte IDH. </w:t>
      </w:r>
      <w:r w:rsidRPr="007A5722">
        <w:rPr>
          <w:rFonts w:asciiTheme="majorHAnsi" w:hAnsiTheme="majorHAnsi"/>
          <w:iCs/>
          <w:sz w:val="16"/>
          <w:szCs w:val="16"/>
          <w:lang w:val="es-PE"/>
        </w:rPr>
        <w:t xml:space="preserve">Caso Ricardo Canese Vs. </w:t>
      </w:r>
      <w:r w:rsidRPr="007A5722">
        <w:rPr>
          <w:rFonts w:asciiTheme="majorHAnsi" w:hAnsiTheme="majorHAnsi"/>
          <w:iCs/>
          <w:sz w:val="16"/>
          <w:szCs w:val="16"/>
          <w:lang w:val="es-ES"/>
        </w:rPr>
        <w:t>Paraguay</w:t>
      </w:r>
      <w:r w:rsidRPr="007A5722">
        <w:rPr>
          <w:rFonts w:asciiTheme="majorHAnsi" w:hAnsiTheme="majorHAnsi"/>
          <w:sz w:val="16"/>
          <w:szCs w:val="16"/>
          <w:lang w:val="es-ES"/>
        </w:rPr>
        <w:t xml:space="preserve">. Sentencia de 31 de agosto de 2004. </w:t>
      </w:r>
      <w:r w:rsidRPr="007A5722">
        <w:rPr>
          <w:rFonts w:asciiTheme="majorHAnsi" w:hAnsiTheme="majorHAnsi"/>
          <w:sz w:val="16"/>
          <w:szCs w:val="16"/>
          <w:lang w:val="es-PE"/>
        </w:rPr>
        <w:t xml:space="preserve">Serie C No. 111, </w:t>
      </w:r>
      <w:r w:rsidRPr="007A5722">
        <w:rPr>
          <w:rFonts w:asciiTheme="majorHAnsi" w:hAnsiTheme="majorHAnsi"/>
          <w:sz w:val="16"/>
          <w:szCs w:val="16"/>
          <w:lang w:val="es-PE"/>
        </w:rPr>
        <w:br/>
        <w:t xml:space="preserve">párr. 142.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07" w:rsidRDefault="00A26307" w:rsidP="004B31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A26307" w:rsidRDefault="00A263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07" w:rsidRDefault="00A26307" w:rsidP="00A50FCF">
    <w:pPr>
      <w:pStyle w:val="Header"/>
      <w:tabs>
        <w:tab w:val="clear" w:pos="4320"/>
        <w:tab w:val="clear" w:pos="8640"/>
      </w:tabs>
      <w:jc w:val="center"/>
      <w:rPr>
        <w:sz w:val="22"/>
        <w:szCs w:val="22"/>
      </w:rPr>
    </w:pPr>
    <w:r>
      <w:rPr>
        <w:noProof/>
        <w:sz w:val="22"/>
        <w:szCs w:val="22"/>
      </w:rPr>
      <w:drawing>
        <wp:inline distT="0" distB="0" distL="0" distR="0" wp14:anchorId="6C372BC4" wp14:editId="1B970228">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A26307" w:rsidRPr="00EC7D62" w:rsidRDefault="00ED58DB" w:rsidP="00A50FCF">
    <w:pPr>
      <w:pStyle w:val="Header"/>
      <w:tabs>
        <w:tab w:val="clear" w:pos="4320"/>
        <w:tab w:val="clear" w:pos="8640"/>
      </w:tabs>
      <w:jc w:val="center"/>
      <w:rPr>
        <w:sz w:val="22"/>
        <w:szCs w:val="22"/>
      </w:rPr>
    </w:pPr>
    <w:r>
      <w:rPr>
        <w:sz w:val="22"/>
        <w:szCs w:val="22"/>
      </w:rPr>
      <w:pict w14:anchorId="0B3A6711">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1ED6EB2"/>
    <w:multiLevelType w:val="hybridMultilevel"/>
    <w:tmpl w:val="3ED01CB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199211B"/>
    <w:multiLevelType w:val="hybridMultilevel"/>
    <w:tmpl w:val="36B4F1F0"/>
    <w:lvl w:ilvl="0" w:tplc="88942BBC">
      <w:start w:val="1"/>
      <w:numFmt w:val="decimal"/>
      <w:lvlText w:val="%1."/>
      <w:lvlJc w:val="left"/>
      <w:pPr>
        <w:ind w:left="720" w:hanging="360"/>
      </w:pPr>
      <w:rPr>
        <w:rFonts w:asciiTheme="majorHAnsi" w:hAnsi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1133D3"/>
    <w:multiLevelType w:val="hybridMultilevel"/>
    <w:tmpl w:val="36B4F1F0"/>
    <w:lvl w:ilvl="0" w:tplc="88942BBC">
      <w:start w:val="1"/>
      <w:numFmt w:val="decimal"/>
      <w:lvlText w:val="%1."/>
      <w:lvlJc w:val="left"/>
      <w:pPr>
        <w:ind w:left="720" w:hanging="360"/>
      </w:pPr>
      <w:rPr>
        <w:rFonts w:asciiTheme="majorHAnsi" w:hAnsi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7C28E4"/>
    <w:multiLevelType w:val="hybridMultilevel"/>
    <w:tmpl w:val="AACCD23E"/>
    <w:lvl w:ilvl="0" w:tplc="30D0E5C6">
      <w:start w:val="1"/>
      <w:numFmt w:val="upperLetter"/>
      <w:lvlText w:val="%1."/>
      <w:lvlJc w:val="left"/>
      <w:pPr>
        <w:ind w:left="720" w:hanging="72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0434688"/>
    <w:multiLevelType w:val="hybridMultilevel"/>
    <w:tmpl w:val="3E1AB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7C65472"/>
    <w:multiLevelType w:val="hybridMultilevel"/>
    <w:tmpl w:val="78421F8A"/>
    <w:lvl w:ilvl="0" w:tplc="1DF2145E">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182037"/>
    <w:multiLevelType w:val="hybridMultilevel"/>
    <w:tmpl w:val="78421F8A"/>
    <w:lvl w:ilvl="0" w:tplc="1DF2145E">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nsid w:val="3C430424"/>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DC61D90"/>
    <w:multiLevelType w:val="hybridMultilevel"/>
    <w:tmpl w:val="14C2A7A6"/>
    <w:lvl w:ilvl="0" w:tplc="91C6FCC8">
      <w:start w:val="1"/>
      <w:numFmt w:val="decimal"/>
      <w:lvlText w:val="%1."/>
      <w:lvlJc w:val="left"/>
      <w:pPr>
        <w:tabs>
          <w:tab w:val="num" w:pos="1440"/>
        </w:tabs>
        <w:ind w:left="1440" w:hanging="360"/>
      </w:pPr>
      <w:rPr>
        <w:rFonts w:ascii="Cambria" w:hAnsi="Cambria" w:cs="Times New Roman" w:hint="default"/>
        <w:b w:val="0"/>
        <w:i w:val="0"/>
        <w:sz w:val="20"/>
        <w:szCs w:val="20"/>
        <w:lang w:val="es-V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DC4859"/>
    <w:multiLevelType w:val="hybridMultilevel"/>
    <w:tmpl w:val="28EC4CF0"/>
    <w:lvl w:ilvl="0" w:tplc="16B68AC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5">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4F7B63B5"/>
    <w:multiLevelType w:val="hybridMultilevel"/>
    <w:tmpl w:val="89F4C518"/>
    <w:lvl w:ilvl="0" w:tplc="C43A80A0">
      <w:start w:val="1"/>
      <w:numFmt w:val="upperRoman"/>
      <w:pStyle w:val="Heading1"/>
      <w:lvlText w:val="%1."/>
      <w:lvlJc w:val="left"/>
      <w:pPr>
        <w:tabs>
          <w:tab w:val="num" w:pos="1080"/>
        </w:tabs>
        <w:ind w:left="1080" w:hanging="720"/>
      </w:pPr>
      <w:rPr>
        <w:rFonts w:hint="default"/>
      </w:rPr>
    </w:lvl>
    <w:lvl w:ilvl="1" w:tplc="736A0FE4">
      <w:start w:val="2"/>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53CF66F6"/>
    <w:multiLevelType w:val="hybridMultilevel"/>
    <w:tmpl w:val="92402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3F65C8D"/>
    <w:multiLevelType w:val="hybridMultilevel"/>
    <w:tmpl w:val="36B4F1F0"/>
    <w:lvl w:ilvl="0" w:tplc="88942BBC">
      <w:start w:val="1"/>
      <w:numFmt w:val="decimal"/>
      <w:lvlText w:val="%1."/>
      <w:lvlJc w:val="left"/>
      <w:pPr>
        <w:ind w:left="720" w:hanging="360"/>
      </w:pPr>
      <w:rPr>
        <w:rFonts w:asciiTheme="majorHAnsi" w:hAnsiTheme="maj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4">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nsid w:val="5DB70CD2"/>
    <w:multiLevelType w:val="hybridMultilevel"/>
    <w:tmpl w:val="B1F0DB5C"/>
    <w:lvl w:ilvl="0" w:tplc="D8909EE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8">
    <w:nsid w:val="66A101BB"/>
    <w:multiLevelType w:val="hybridMultilevel"/>
    <w:tmpl w:val="455C2F06"/>
    <w:lvl w:ilvl="0" w:tplc="CB3E82CC">
      <w:start w:val="1"/>
      <w:numFmt w:val="upperRoman"/>
      <w:lvlText w:val="%1."/>
      <w:lvlJc w:val="left"/>
      <w:pPr>
        <w:tabs>
          <w:tab w:val="num" w:pos="1440"/>
        </w:tabs>
        <w:ind w:left="1440" w:hanging="720"/>
      </w:pPr>
      <w:rPr>
        <w:rFonts w:cs="Times New Roman" w:hint="default"/>
        <w:b/>
      </w:rPr>
    </w:lvl>
    <w:lvl w:ilvl="1" w:tplc="47D87E38">
      <w:start w:val="1"/>
      <w:numFmt w:val="decimal"/>
      <w:lvlText w:val="%2."/>
      <w:lvlJc w:val="left"/>
      <w:pPr>
        <w:tabs>
          <w:tab w:val="num" w:pos="1800"/>
        </w:tabs>
        <w:ind w:left="1800" w:hanging="360"/>
      </w:pPr>
      <w:rPr>
        <w:rFonts w:cs="Times New Roman" w:hint="default"/>
        <w:b/>
        <w:color w:val="auto"/>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9">
    <w:nsid w:val="66BE5E6A"/>
    <w:multiLevelType w:val="hybridMultilevel"/>
    <w:tmpl w:val="99A4964C"/>
    <w:lvl w:ilvl="0" w:tplc="B95E0210">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1">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7DB617F"/>
    <w:multiLevelType w:val="hybridMultilevel"/>
    <w:tmpl w:val="BD76D71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4">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nsid w:val="7ECC36F6"/>
    <w:multiLevelType w:val="hybridMultilevel"/>
    <w:tmpl w:val="8F0A16AA"/>
    <w:lvl w:ilvl="0" w:tplc="FC52580C">
      <w:start w:val="1"/>
      <w:numFmt w:val="decimal"/>
      <w:lvlText w:val="%1."/>
      <w:lvlJc w:val="left"/>
      <w:pPr>
        <w:tabs>
          <w:tab w:val="num" w:pos="2160"/>
        </w:tabs>
        <w:ind w:left="2160" w:hanging="1440"/>
      </w:pPr>
      <w:rPr>
        <w:rFonts w:ascii="Univers" w:hAnsi="Univers"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73">
    <w:nsid w:val="7F5653E7"/>
    <w:multiLevelType w:val="hybridMultilevel"/>
    <w:tmpl w:val="78421F8A"/>
    <w:lvl w:ilvl="0" w:tplc="1DF2145E">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65"/>
  </w:num>
  <w:num w:numId="4">
    <w:abstractNumId w:val="25"/>
  </w:num>
  <w:num w:numId="5">
    <w:abstractNumId w:val="57"/>
  </w:num>
  <w:num w:numId="6">
    <w:abstractNumId w:val="32"/>
  </w:num>
  <w:num w:numId="7">
    <w:abstractNumId w:val="7"/>
  </w:num>
  <w:num w:numId="8">
    <w:abstractNumId w:val="18"/>
  </w:num>
  <w:num w:numId="9">
    <w:abstractNumId w:val="52"/>
  </w:num>
  <w:num w:numId="10">
    <w:abstractNumId w:val="1"/>
  </w:num>
  <w:num w:numId="11">
    <w:abstractNumId w:val="44"/>
  </w:num>
  <w:num w:numId="12">
    <w:abstractNumId w:val="45"/>
  </w:num>
  <w:num w:numId="13">
    <w:abstractNumId w:val="53"/>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4"/>
  </w:num>
  <w:num w:numId="22">
    <w:abstractNumId w:val="15"/>
  </w:num>
  <w:num w:numId="23">
    <w:abstractNumId w:val="16"/>
  </w:num>
  <w:num w:numId="24">
    <w:abstractNumId w:val="17"/>
  </w:num>
  <w:num w:numId="25">
    <w:abstractNumId w:val="20"/>
  </w:num>
  <w:num w:numId="26">
    <w:abstractNumId w:val="21"/>
  </w:num>
  <w:num w:numId="27">
    <w:abstractNumId w:val="26"/>
  </w:num>
  <w:num w:numId="28">
    <w:abstractNumId w:val="27"/>
  </w:num>
  <w:num w:numId="29">
    <w:abstractNumId w:val="28"/>
  </w:num>
  <w:num w:numId="30">
    <w:abstractNumId w:val="31"/>
  </w:num>
  <w:num w:numId="31">
    <w:abstractNumId w:val="33"/>
  </w:num>
  <w:num w:numId="32">
    <w:abstractNumId w:val="37"/>
  </w:num>
  <w:num w:numId="33">
    <w:abstractNumId w:val="38"/>
  </w:num>
  <w:num w:numId="34">
    <w:abstractNumId w:val="39"/>
  </w:num>
  <w:num w:numId="35">
    <w:abstractNumId w:val="40"/>
  </w:num>
  <w:num w:numId="36">
    <w:abstractNumId w:val="41"/>
  </w:num>
  <w:num w:numId="37">
    <w:abstractNumId w:val="42"/>
  </w:num>
  <w:num w:numId="38">
    <w:abstractNumId w:val="43"/>
  </w:num>
  <w:num w:numId="39">
    <w:abstractNumId w:val="47"/>
  </w:num>
  <w:num w:numId="40">
    <w:abstractNumId w:val="48"/>
  </w:num>
  <w:num w:numId="41">
    <w:abstractNumId w:val="56"/>
  </w:num>
  <w:num w:numId="42">
    <w:abstractNumId w:val="60"/>
  </w:num>
  <w:num w:numId="43">
    <w:abstractNumId w:val="61"/>
  </w:num>
  <w:num w:numId="44">
    <w:abstractNumId w:val="62"/>
  </w:num>
  <w:num w:numId="45">
    <w:abstractNumId w:val="64"/>
  </w:num>
  <w:num w:numId="46">
    <w:abstractNumId w:val="66"/>
  </w:num>
  <w:num w:numId="47">
    <w:abstractNumId w:val="67"/>
  </w:num>
  <w:num w:numId="48">
    <w:abstractNumId w:val="68"/>
  </w:num>
  <w:num w:numId="49">
    <w:abstractNumId w:val="70"/>
  </w:num>
  <w:num w:numId="50">
    <w:abstractNumId w:val="72"/>
  </w:num>
  <w:num w:numId="51">
    <w:abstractNumId w:val="24"/>
  </w:num>
  <w:num w:numId="52">
    <w:abstractNumId w:val="49"/>
  </w:num>
  <w:num w:numId="53">
    <w:abstractNumId w:val="54"/>
  </w:num>
  <w:num w:numId="54">
    <w:abstractNumId w:val="46"/>
  </w:num>
  <w:num w:numId="55">
    <w:abstractNumId w:val="58"/>
  </w:num>
  <w:num w:numId="56">
    <w:abstractNumId w:val="0"/>
  </w:num>
  <w:num w:numId="57">
    <w:abstractNumId w:val="69"/>
  </w:num>
  <w:num w:numId="58">
    <w:abstractNumId w:val="35"/>
  </w:num>
  <w:num w:numId="59">
    <w:abstractNumId w:val="34"/>
  </w:num>
  <w:num w:numId="60">
    <w:abstractNumId w:val="36"/>
  </w:num>
  <w:num w:numId="61">
    <w:abstractNumId w:val="29"/>
  </w:num>
  <w:num w:numId="62">
    <w:abstractNumId w:val="30"/>
  </w:num>
  <w:num w:numId="63">
    <w:abstractNumId w:val="73"/>
  </w:num>
  <w:num w:numId="64">
    <w:abstractNumId w:val="5"/>
  </w:num>
  <w:num w:numId="65">
    <w:abstractNumId w:val="13"/>
  </w:num>
  <w:num w:numId="66">
    <w:abstractNumId w:val="19"/>
  </w:num>
  <w:num w:numId="67">
    <w:abstractNumId w:val="51"/>
  </w:num>
  <w:num w:numId="68">
    <w:abstractNumId w:val="59"/>
  </w:num>
  <w:num w:numId="69">
    <w:abstractNumId w:val="71"/>
  </w:num>
  <w:num w:numId="70">
    <w:abstractNumId w:val="22"/>
  </w:num>
  <w:num w:numId="71">
    <w:abstractNumId w:val="63"/>
  </w:num>
  <w:num w:numId="72">
    <w:abstractNumId w:val="55"/>
  </w:num>
  <w:num w:numId="73">
    <w:abstractNumId w:val="50"/>
  </w:num>
  <w:num w:numId="74">
    <w:abstractNumId w:val="2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2C8"/>
    <w:rsid w:val="0000032A"/>
    <w:rsid w:val="0000036F"/>
    <w:rsid w:val="00000472"/>
    <w:rsid w:val="00000645"/>
    <w:rsid w:val="00000CDA"/>
    <w:rsid w:val="000011BD"/>
    <w:rsid w:val="000016B0"/>
    <w:rsid w:val="000017F9"/>
    <w:rsid w:val="00001855"/>
    <w:rsid w:val="00001FAC"/>
    <w:rsid w:val="0000270F"/>
    <w:rsid w:val="00002784"/>
    <w:rsid w:val="00003017"/>
    <w:rsid w:val="00003756"/>
    <w:rsid w:val="00003C0A"/>
    <w:rsid w:val="00003E8B"/>
    <w:rsid w:val="00003E9C"/>
    <w:rsid w:val="00004149"/>
    <w:rsid w:val="00004260"/>
    <w:rsid w:val="00004302"/>
    <w:rsid w:val="00004579"/>
    <w:rsid w:val="0000484F"/>
    <w:rsid w:val="00004A86"/>
    <w:rsid w:val="00004CD3"/>
    <w:rsid w:val="00004DE7"/>
    <w:rsid w:val="00005529"/>
    <w:rsid w:val="00005712"/>
    <w:rsid w:val="00005CC5"/>
    <w:rsid w:val="00005E52"/>
    <w:rsid w:val="00005F8B"/>
    <w:rsid w:val="00005FF7"/>
    <w:rsid w:val="00006210"/>
    <w:rsid w:val="00006454"/>
    <w:rsid w:val="000065BB"/>
    <w:rsid w:val="0000665B"/>
    <w:rsid w:val="00006AEB"/>
    <w:rsid w:val="00006B28"/>
    <w:rsid w:val="00006E1F"/>
    <w:rsid w:val="00006F41"/>
    <w:rsid w:val="000070D7"/>
    <w:rsid w:val="00007135"/>
    <w:rsid w:val="0000713D"/>
    <w:rsid w:val="0000721C"/>
    <w:rsid w:val="000079F2"/>
    <w:rsid w:val="00007C3A"/>
    <w:rsid w:val="00007D20"/>
    <w:rsid w:val="00007E1F"/>
    <w:rsid w:val="00007E84"/>
    <w:rsid w:val="00010836"/>
    <w:rsid w:val="00010E7B"/>
    <w:rsid w:val="00010F73"/>
    <w:rsid w:val="00010FC1"/>
    <w:rsid w:val="000111A4"/>
    <w:rsid w:val="00011213"/>
    <w:rsid w:val="0001139F"/>
    <w:rsid w:val="000116A9"/>
    <w:rsid w:val="0001172F"/>
    <w:rsid w:val="00011738"/>
    <w:rsid w:val="00011BFA"/>
    <w:rsid w:val="00011D28"/>
    <w:rsid w:val="00012159"/>
    <w:rsid w:val="00012E69"/>
    <w:rsid w:val="00012E8F"/>
    <w:rsid w:val="00013196"/>
    <w:rsid w:val="00013262"/>
    <w:rsid w:val="00013304"/>
    <w:rsid w:val="00013730"/>
    <w:rsid w:val="0001377C"/>
    <w:rsid w:val="00013ABA"/>
    <w:rsid w:val="00013EF8"/>
    <w:rsid w:val="00014052"/>
    <w:rsid w:val="00014193"/>
    <w:rsid w:val="0001468F"/>
    <w:rsid w:val="000152F0"/>
    <w:rsid w:val="000159EC"/>
    <w:rsid w:val="00015B68"/>
    <w:rsid w:val="00015CF2"/>
    <w:rsid w:val="00016415"/>
    <w:rsid w:val="00016669"/>
    <w:rsid w:val="000167C9"/>
    <w:rsid w:val="00016D84"/>
    <w:rsid w:val="0001714B"/>
    <w:rsid w:val="0001788C"/>
    <w:rsid w:val="00017896"/>
    <w:rsid w:val="00017A0C"/>
    <w:rsid w:val="00017B7E"/>
    <w:rsid w:val="00017D12"/>
    <w:rsid w:val="00017E9A"/>
    <w:rsid w:val="00020576"/>
    <w:rsid w:val="00020701"/>
    <w:rsid w:val="000209DF"/>
    <w:rsid w:val="00021607"/>
    <w:rsid w:val="000216A9"/>
    <w:rsid w:val="000216C0"/>
    <w:rsid w:val="00021B34"/>
    <w:rsid w:val="00021D6E"/>
    <w:rsid w:val="00021EB3"/>
    <w:rsid w:val="00022008"/>
    <w:rsid w:val="0002248F"/>
    <w:rsid w:val="00022CE6"/>
    <w:rsid w:val="00022DDD"/>
    <w:rsid w:val="00022FE5"/>
    <w:rsid w:val="00023070"/>
    <w:rsid w:val="000234A9"/>
    <w:rsid w:val="0002381A"/>
    <w:rsid w:val="00023F0A"/>
    <w:rsid w:val="0002440E"/>
    <w:rsid w:val="0002480B"/>
    <w:rsid w:val="00024A8B"/>
    <w:rsid w:val="00024A9E"/>
    <w:rsid w:val="00025118"/>
    <w:rsid w:val="0002538A"/>
    <w:rsid w:val="000258DF"/>
    <w:rsid w:val="00025A15"/>
    <w:rsid w:val="00026077"/>
    <w:rsid w:val="00026226"/>
    <w:rsid w:val="00026955"/>
    <w:rsid w:val="00027093"/>
    <w:rsid w:val="00027161"/>
    <w:rsid w:val="000272B8"/>
    <w:rsid w:val="00027921"/>
    <w:rsid w:val="0002796C"/>
    <w:rsid w:val="000308E4"/>
    <w:rsid w:val="00030BCE"/>
    <w:rsid w:val="00030CAE"/>
    <w:rsid w:val="00030CF4"/>
    <w:rsid w:val="00030D5E"/>
    <w:rsid w:val="00030EEA"/>
    <w:rsid w:val="00030EEC"/>
    <w:rsid w:val="0003140D"/>
    <w:rsid w:val="0003150E"/>
    <w:rsid w:val="000316DE"/>
    <w:rsid w:val="00031F77"/>
    <w:rsid w:val="000322A7"/>
    <w:rsid w:val="000329AF"/>
    <w:rsid w:val="00032C1D"/>
    <w:rsid w:val="00032DB2"/>
    <w:rsid w:val="00032DD1"/>
    <w:rsid w:val="00032E59"/>
    <w:rsid w:val="00033658"/>
    <w:rsid w:val="00033798"/>
    <w:rsid w:val="00033A34"/>
    <w:rsid w:val="00033C0A"/>
    <w:rsid w:val="00033D3F"/>
    <w:rsid w:val="00033E63"/>
    <w:rsid w:val="00034465"/>
    <w:rsid w:val="00034479"/>
    <w:rsid w:val="000345D8"/>
    <w:rsid w:val="0003487D"/>
    <w:rsid w:val="000348CD"/>
    <w:rsid w:val="000349FD"/>
    <w:rsid w:val="00034B08"/>
    <w:rsid w:val="000351F0"/>
    <w:rsid w:val="00035642"/>
    <w:rsid w:val="00035866"/>
    <w:rsid w:val="00035898"/>
    <w:rsid w:val="00035E02"/>
    <w:rsid w:val="00035F55"/>
    <w:rsid w:val="00036090"/>
    <w:rsid w:val="00036409"/>
    <w:rsid w:val="0003681B"/>
    <w:rsid w:val="0003720D"/>
    <w:rsid w:val="0003738C"/>
    <w:rsid w:val="00037C0D"/>
    <w:rsid w:val="00037DD7"/>
    <w:rsid w:val="00040177"/>
    <w:rsid w:val="00040AE9"/>
    <w:rsid w:val="00040B5F"/>
    <w:rsid w:val="00040C3A"/>
    <w:rsid w:val="0004176A"/>
    <w:rsid w:val="00041CCA"/>
    <w:rsid w:val="000422ED"/>
    <w:rsid w:val="000423AC"/>
    <w:rsid w:val="00042707"/>
    <w:rsid w:val="000428AA"/>
    <w:rsid w:val="00042AA3"/>
    <w:rsid w:val="00042B39"/>
    <w:rsid w:val="0004316F"/>
    <w:rsid w:val="00043501"/>
    <w:rsid w:val="000436BC"/>
    <w:rsid w:val="00043744"/>
    <w:rsid w:val="0004387C"/>
    <w:rsid w:val="00043A9B"/>
    <w:rsid w:val="00043F74"/>
    <w:rsid w:val="0004416B"/>
    <w:rsid w:val="000443AB"/>
    <w:rsid w:val="000444CD"/>
    <w:rsid w:val="0004481A"/>
    <w:rsid w:val="00044B76"/>
    <w:rsid w:val="00044D50"/>
    <w:rsid w:val="00044D64"/>
    <w:rsid w:val="00044DFD"/>
    <w:rsid w:val="000455F8"/>
    <w:rsid w:val="00045932"/>
    <w:rsid w:val="00045C17"/>
    <w:rsid w:val="00045EAD"/>
    <w:rsid w:val="00045F69"/>
    <w:rsid w:val="00046100"/>
    <w:rsid w:val="0004618D"/>
    <w:rsid w:val="00046395"/>
    <w:rsid w:val="000465C7"/>
    <w:rsid w:val="0004682F"/>
    <w:rsid w:val="00046C0E"/>
    <w:rsid w:val="00047885"/>
    <w:rsid w:val="00050167"/>
    <w:rsid w:val="0005068C"/>
    <w:rsid w:val="00050A98"/>
    <w:rsid w:val="00050BD1"/>
    <w:rsid w:val="0005105A"/>
    <w:rsid w:val="00051C33"/>
    <w:rsid w:val="00051C44"/>
    <w:rsid w:val="0005283E"/>
    <w:rsid w:val="000529B2"/>
    <w:rsid w:val="00052A54"/>
    <w:rsid w:val="00052C79"/>
    <w:rsid w:val="000531B7"/>
    <w:rsid w:val="0005362B"/>
    <w:rsid w:val="0005370C"/>
    <w:rsid w:val="00053C8B"/>
    <w:rsid w:val="00053D00"/>
    <w:rsid w:val="00053EDB"/>
    <w:rsid w:val="00053FC6"/>
    <w:rsid w:val="00054266"/>
    <w:rsid w:val="00054314"/>
    <w:rsid w:val="00054691"/>
    <w:rsid w:val="0005493D"/>
    <w:rsid w:val="00054BCE"/>
    <w:rsid w:val="00054D12"/>
    <w:rsid w:val="00055001"/>
    <w:rsid w:val="000553EC"/>
    <w:rsid w:val="00055503"/>
    <w:rsid w:val="0005571E"/>
    <w:rsid w:val="00055963"/>
    <w:rsid w:val="000561C0"/>
    <w:rsid w:val="000562FB"/>
    <w:rsid w:val="000566C8"/>
    <w:rsid w:val="0005677C"/>
    <w:rsid w:val="00056E11"/>
    <w:rsid w:val="000571A9"/>
    <w:rsid w:val="000574FF"/>
    <w:rsid w:val="000579EC"/>
    <w:rsid w:val="00060F12"/>
    <w:rsid w:val="00061278"/>
    <w:rsid w:val="00061C6E"/>
    <w:rsid w:val="00062052"/>
    <w:rsid w:val="00062663"/>
    <w:rsid w:val="00062A19"/>
    <w:rsid w:val="00062AD7"/>
    <w:rsid w:val="00062B74"/>
    <w:rsid w:val="00062DAA"/>
    <w:rsid w:val="00062F65"/>
    <w:rsid w:val="000640B9"/>
    <w:rsid w:val="000646CE"/>
    <w:rsid w:val="00064A26"/>
    <w:rsid w:val="00064A4D"/>
    <w:rsid w:val="00064D5C"/>
    <w:rsid w:val="00064F88"/>
    <w:rsid w:val="00065907"/>
    <w:rsid w:val="000659A5"/>
    <w:rsid w:val="00065A77"/>
    <w:rsid w:val="00065FA9"/>
    <w:rsid w:val="000664AA"/>
    <w:rsid w:val="000668E2"/>
    <w:rsid w:val="00066DC1"/>
    <w:rsid w:val="00066DC3"/>
    <w:rsid w:val="00066EF9"/>
    <w:rsid w:val="00067387"/>
    <w:rsid w:val="000673D7"/>
    <w:rsid w:val="00067A21"/>
    <w:rsid w:val="00067A85"/>
    <w:rsid w:val="0007061E"/>
    <w:rsid w:val="0007068E"/>
    <w:rsid w:val="000708D6"/>
    <w:rsid w:val="000709B6"/>
    <w:rsid w:val="00070D39"/>
    <w:rsid w:val="00070D46"/>
    <w:rsid w:val="000710A8"/>
    <w:rsid w:val="0007147B"/>
    <w:rsid w:val="000716C5"/>
    <w:rsid w:val="00072066"/>
    <w:rsid w:val="00072A6F"/>
    <w:rsid w:val="00072D08"/>
    <w:rsid w:val="000731E4"/>
    <w:rsid w:val="00073559"/>
    <w:rsid w:val="0007379B"/>
    <w:rsid w:val="000738B8"/>
    <w:rsid w:val="00073936"/>
    <w:rsid w:val="0007430D"/>
    <w:rsid w:val="00074739"/>
    <w:rsid w:val="00074A38"/>
    <w:rsid w:val="00074A70"/>
    <w:rsid w:val="00074FE8"/>
    <w:rsid w:val="00075027"/>
    <w:rsid w:val="00075262"/>
    <w:rsid w:val="00075397"/>
    <w:rsid w:val="000754FE"/>
    <w:rsid w:val="000756B3"/>
    <w:rsid w:val="00075D33"/>
    <w:rsid w:val="00075E23"/>
    <w:rsid w:val="00075F8F"/>
    <w:rsid w:val="000766DB"/>
    <w:rsid w:val="00076A85"/>
    <w:rsid w:val="0007700D"/>
    <w:rsid w:val="000771A8"/>
    <w:rsid w:val="000776FB"/>
    <w:rsid w:val="0007798E"/>
    <w:rsid w:val="00077E68"/>
    <w:rsid w:val="0008002E"/>
    <w:rsid w:val="00080090"/>
    <w:rsid w:val="00080E85"/>
    <w:rsid w:val="00081000"/>
    <w:rsid w:val="00081241"/>
    <w:rsid w:val="00081789"/>
    <w:rsid w:val="000817EB"/>
    <w:rsid w:val="00081831"/>
    <w:rsid w:val="00081915"/>
    <w:rsid w:val="000819B7"/>
    <w:rsid w:val="00082D95"/>
    <w:rsid w:val="00082DFB"/>
    <w:rsid w:val="000832CE"/>
    <w:rsid w:val="00083563"/>
    <w:rsid w:val="00083645"/>
    <w:rsid w:val="00083661"/>
    <w:rsid w:val="000838F8"/>
    <w:rsid w:val="00083E46"/>
    <w:rsid w:val="000840CC"/>
    <w:rsid w:val="0008426D"/>
    <w:rsid w:val="00084A48"/>
    <w:rsid w:val="000852BF"/>
    <w:rsid w:val="00085342"/>
    <w:rsid w:val="0008583A"/>
    <w:rsid w:val="000859B7"/>
    <w:rsid w:val="00085AAE"/>
    <w:rsid w:val="00085F41"/>
    <w:rsid w:val="00086043"/>
    <w:rsid w:val="000862C6"/>
    <w:rsid w:val="00086897"/>
    <w:rsid w:val="0008725D"/>
    <w:rsid w:val="000873CC"/>
    <w:rsid w:val="00087C95"/>
    <w:rsid w:val="00087D18"/>
    <w:rsid w:val="00087F4C"/>
    <w:rsid w:val="00090355"/>
    <w:rsid w:val="000905B3"/>
    <w:rsid w:val="0009092E"/>
    <w:rsid w:val="00091369"/>
    <w:rsid w:val="000915E1"/>
    <w:rsid w:val="000923CA"/>
    <w:rsid w:val="00092B3D"/>
    <w:rsid w:val="00093196"/>
    <w:rsid w:val="00093275"/>
    <w:rsid w:val="0009344A"/>
    <w:rsid w:val="000936FF"/>
    <w:rsid w:val="00093BA5"/>
    <w:rsid w:val="00093C1D"/>
    <w:rsid w:val="00094037"/>
    <w:rsid w:val="0009424C"/>
    <w:rsid w:val="000949E4"/>
    <w:rsid w:val="00095659"/>
    <w:rsid w:val="00095BE7"/>
    <w:rsid w:val="000971C4"/>
    <w:rsid w:val="000972F8"/>
    <w:rsid w:val="00097447"/>
    <w:rsid w:val="0009765A"/>
    <w:rsid w:val="0009773E"/>
    <w:rsid w:val="000978D9"/>
    <w:rsid w:val="0009791F"/>
    <w:rsid w:val="00097DA5"/>
    <w:rsid w:val="000A0531"/>
    <w:rsid w:val="000A064B"/>
    <w:rsid w:val="000A0655"/>
    <w:rsid w:val="000A0743"/>
    <w:rsid w:val="000A083B"/>
    <w:rsid w:val="000A0D6F"/>
    <w:rsid w:val="000A103F"/>
    <w:rsid w:val="000A17E2"/>
    <w:rsid w:val="000A180A"/>
    <w:rsid w:val="000A195F"/>
    <w:rsid w:val="000A1973"/>
    <w:rsid w:val="000A1CBC"/>
    <w:rsid w:val="000A2034"/>
    <w:rsid w:val="000A2060"/>
    <w:rsid w:val="000A2066"/>
    <w:rsid w:val="000A22FF"/>
    <w:rsid w:val="000A27F3"/>
    <w:rsid w:val="000A2868"/>
    <w:rsid w:val="000A2C17"/>
    <w:rsid w:val="000A2C5F"/>
    <w:rsid w:val="000A3352"/>
    <w:rsid w:val="000A373B"/>
    <w:rsid w:val="000A392E"/>
    <w:rsid w:val="000A395F"/>
    <w:rsid w:val="000A3ADC"/>
    <w:rsid w:val="000A495B"/>
    <w:rsid w:val="000A546E"/>
    <w:rsid w:val="000A54CF"/>
    <w:rsid w:val="000A55A4"/>
    <w:rsid w:val="000A56CB"/>
    <w:rsid w:val="000A575F"/>
    <w:rsid w:val="000A5A10"/>
    <w:rsid w:val="000A5CD6"/>
    <w:rsid w:val="000A5E04"/>
    <w:rsid w:val="000A7128"/>
    <w:rsid w:val="000A73B5"/>
    <w:rsid w:val="000A76B6"/>
    <w:rsid w:val="000A777B"/>
    <w:rsid w:val="000A77FA"/>
    <w:rsid w:val="000A7E6B"/>
    <w:rsid w:val="000B08E4"/>
    <w:rsid w:val="000B099E"/>
    <w:rsid w:val="000B0AB4"/>
    <w:rsid w:val="000B0AD2"/>
    <w:rsid w:val="000B0B59"/>
    <w:rsid w:val="000B0B6B"/>
    <w:rsid w:val="000B0C9D"/>
    <w:rsid w:val="000B12AB"/>
    <w:rsid w:val="000B15F9"/>
    <w:rsid w:val="000B1E2E"/>
    <w:rsid w:val="000B21D2"/>
    <w:rsid w:val="000B2D3E"/>
    <w:rsid w:val="000B2DDA"/>
    <w:rsid w:val="000B2FC1"/>
    <w:rsid w:val="000B33A5"/>
    <w:rsid w:val="000B37BF"/>
    <w:rsid w:val="000B389F"/>
    <w:rsid w:val="000B3F89"/>
    <w:rsid w:val="000B40ED"/>
    <w:rsid w:val="000B421C"/>
    <w:rsid w:val="000B4B9B"/>
    <w:rsid w:val="000B4DD2"/>
    <w:rsid w:val="000B5C0D"/>
    <w:rsid w:val="000B5EF5"/>
    <w:rsid w:val="000B60D1"/>
    <w:rsid w:val="000B68EE"/>
    <w:rsid w:val="000B6F56"/>
    <w:rsid w:val="000B7473"/>
    <w:rsid w:val="000B77D4"/>
    <w:rsid w:val="000C14E7"/>
    <w:rsid w:val="000C174B"/>
    <w:rsid w:val="000C185A"/>
    <w:rsid w:val="000C1AEB"/>
    <w:rsid w:val="000C1C31"/>
    <w:rsid w:val="000C1C40"/>
    <w:rsid w:val="000C21D9"/>
    <w:rsid w:val="000C22E5"/>
    <w:rsid w:val="000C246A"/>
    <w:rsid w:val="000C2D1E"/>
    <w:rsid w:val="000C2FC6"/>
    <w:rsid w:val="000C3537"/>
    <w:rsid w:val="000C35AA"/>
    <w:rsid w:val="000C38D0"/>
    <w:rsid w:val="000C3FAF"/>
    <w:rsid w:val="000C44F4"/>
    <w:rsid w:val="000C4608"/>
    <w:rsid w:val="000C46DB"/>
    <w:rsid w:val="000C49E5"/>
    <w:rsid w:val="000C57F5"/>
    <w:rsid w:val="000C5826"/>
    <w:rsid w:val="000C5BC3"/>
    <w:rsid w:val="000C5BC5"/>
    <w:rsid w:val="000C606A"/>
    <w:rsid w:val="000C6197"/>
    <w:rsid w:val="000C6384"/>
    <w:rsid w:val="000C6396"/>
    <w:rsid w:val="000C67F1"/>
    <w:rsid w:val="000C6BA3"/>
    <w:rsid w:val="000C6D0F"/>
    <w:rsid w:val="000C6E2F"/>
    <w:rsid w:val="000C6F08"/>
    <w:rsid w:val="000D0883"/>
    <w:rsid w:val="000D10DB"/>
    <w:rsid w:val="000D13F2"/>
    <w:rsid w:val="000D180C"/>
    <w:rsid w:val="000D1A13"/>
    <w:rsid w:val="000D1F25"/>
    <w:rsid w:val="000D2081"/>
    <w:rsid w:val="000D2264"/>
    <w:rsid w:val="000D2AC5"/>
    <w:rsid w:val="000D2B31"/>
    <w:rsid w:val="000D2BBE"/>
    <w:rsid w:val="000D2CA1"/>
    <w:rsid w:val="000D2CEE"/>
    <w:rsid w:val="000D2EB4"/>
    <w:rsid w:val="000D2FEA"/>
    <w:rsid w:val="000D3087"/>
    <w:rsid w:val="000D30AD"/>
    <w:rsid w:val="000D38BF"/>
    <w:rsid w:val="000D4302"/>
    <w:rsid w:val="000D4EDA"/>
    <w:rsid w:val="000D5813"/>
    <w:rsid w:val="000D59F6"/>
    <w:rsid w:val="000D5F45"/>
    <w:rsid w:val="000D63AB"/>
    <w:rsid w:val="000D6940"/>
    <w:rsid w:val="000D6C2C"/>
    <w:rsid w:val="000D6CFC"/>
    <w:rsid w:val="000D6F0B"/>
    <w:rsid w:val="000D6F86"/>
    <w:rsid w:val="000D77A5"/>
    <w:rsid w:val="000D7D62"/>
    <w:rsid w:val="000D7E5C"/>
    <w:rsid w:val="000E08AE"/>
    <w:rsid w:val="000E0926"/>
    <w:rsid w:val="000E13FE"/>
    <w:rsid w:val="000E15E0"/>
    <w:rsid w:val="000E1735"/>
    <w:rsid w:val="000E2692"/>
    <w:rsid w:val="000E26E8"/>
    <w:rsid w:val="000E2C13"/>
    <w:rsid w:val="000E2F92"/>
    <w:rsid w:val="000E33DF"/>
    <w:rsid w:val="000E36DB"/>
    <w:rsid w:val="000E43B8"/>
    <w:rsid w:val="000E4430"/>
    <w:rsid w:val="000E451B"/>
    <w:rsid w:val="000E4802"/>
    <w:rsid w:val="000E49D8"/>
    <w:rsid w:val="000E4C6D"/>
    <w:rsid w:val="000E4DE0"/>
    <w:rsid w:val="000E4EF2"/>
    <w:rsid w:val="000E519E"/>
    <w:rsid w:val="000E5533"/>
    <w:rsid w:val="000E5573"/>
    <w:rsid w:val="000E5E47"/>
    <w:rsid w:val="000E5EB5"/>
    <w:rsid w:val="000E5F2D"/>
    <w:rsid w:val="000E68C0"/>
    <w:rsid w:val="000E696E"/>
    <w:rsid w:val="000E6A01"/>
    <w:rsid w:val="000E6BB4"/>
    <w:rsid w:val="000E6D56"/>
    <w:rsid w:val="000E6F30"/>
    <w:rsid w:val="000E7026"/>
    <w:rsid w:val="000E74A1"/>
    <w:rsid w:val="000E75B9"/>
    <w:rsid w:val="000E786A"/>
    <w:rsid w:val="000E79C6"/>
    <w:rsid w:val="000E7AB0"/>
    <w:rsid w:val="000E7DB1"/>
    <w:rsid w:val="000E7F36"/>
    <w:rsid w:val="000F02CF"/>
    <w:rsid w:val="000F05CF"/>
    <w:rsid w:val="000F0780"/>
    <w:rsid w:val="000F0BDE"/>
    <w:rsid w:val="000F0C16"/>
    <w:rsid w:val="000F0D25"/>
    <w:rsid w:val="000F1168"/>
    <w:rsid w:val="000F11EC"/>
    <w:rsid w:val="000F13A9"/>
    <w:rsid w:val="000F144C"/>
    <w:rsid w:val="000F15CF"/>
    <w:rsid w:val="000F1847"/>
    <w:rsid w:val="000F1B5C"/>
    <w:rsid w:val="000F1BFB"/>
    <w:rsid w:val="000F1F2F"/>
    <w:rsid w:val="000F1F53"/>
    <w:rsid w:val="000F20A0"/>
    <w:rsid w:val="000F24D2"/>
    <w:rsid w:val="000F2662"/>
    <w:rsid w:val="000F373A"/>
    <w:rsid w:val="000F37CF"/>
    <w:rsid w:val="000F4860"/>
    <w:rsid w:val="000F5A43"/>
    <w:rsid w:val="000F5F5D"/>
    <w:rsid w:val="000F60D7"/>
    <w:rsid w:val="000F6422"/>
    <w:rsid w:val="000F664E"/>
    <w:rsid w:val="000F67BF"/>
    <w:rsid w:val="000F6895"/>
    <w:rsid w:val="000F6BAD"/>
    <w:rsid w:val="000F7590"/>
    <w:rsid w:val="001007B4"/>
    <w:rsid w:val="00100911"/>
    <w:rsid w:val="00100C29"/>
    <w:rsid w:val="00100DF8"/>
    <w:rsid w:val="0010118F"/>
    <w:rsid w:val="001013B3"/>
    <w:rsid w:val="001015B1"/>
    <w:rsid w:val="0010163B"/>
    <w:rsid w:val="00101D95"/>
    <w:rsid w:val="00101FF4"/>
    <w:rsid w:val="0010210A"/>
    <w:rsid w:val="0010239E"/>
    <w:rsid w:val="00102E54"/>
    <w:rsid w:val="00103220"/>
    <w:rsid w:val="00103340"/>
    <w:rsid w:val="00103453"/>
    <w:rsid w:val="00103A90"/>
    <w:rsid w:val="001041CF"/>
    <w:rsid w:val="0010427D"/>
    <w:rsid w:val="0010487A"/>
    <w:rsid w:val="001048C3"/>
    <w:rsid w:val="00104D50"/>
    <w:rsid w:val="00104EC4"/>
    <w:rsid w:val="00104EEF"/>
    <w:rsid w:val="00104F8F"/>
    <w:rsid w:val="00105168"/>
    <w:rsid w:val="00105618"/>
    <w:rsid w:val="001058D8"/>
    <w:rsid w:val="00105BF1"/>
    <w:rsid w:val="00105BFF"/>
    <w:rsid w:val="00105C91"/>
    <w:rsid w:val="001063C9"/>
    <w:rsid w:val="00106BB9"/>
    <w:rsid w:val="00106D45"/>
    <w:rsid w:val="00107131"/>
    <w:rsid w:val="001072D6"/>
    <w:rsid w:val="001072DB"/>
    <w:rsid w:val="0010736F"/>
    <w:rsid w:val="0010779C"/>
    <w:rsid w:val="00107C7C"/>
    <w:rsid w:val="00107DE1"/>
    <w:rsid w:val="00107E5D"/>
    <w:rsid w:val="001108C5"/>
    <w:rsid w:val="001108D8"/>
    <w:rsid w:val="00110CF6"/>
    <w:rsid w:val="001110B5"/>
    <w:rsid w:val="00111119"/>
    <w:rsid w:val="0011146D"/>
    <w:rsid w:val="00111511"/>
    <w:rsid w:val="00111D6D"/>
    <w:rsid w:val="00111D90"/>
    <w:rsid w:val="001121B5"/>
    <w:rsid w:val="0011287E"/>
    <w:rsid w:val="00112E9A"/>
    <w:rsid w:val="001135F0"/>
    <w:rsid w:val="001137BC"/>
    <w:rsid w:val="00113DC9"/>
    <w:rsid w:val="00113E36"/>
    <w:rsid w:val="00113F73"/>
    <w:rsid w:val="00114195"/>
    <w:rsid w:val="0011455B"/>
    <w:rsid w:val="00114738"/>
    <w:rsid w:val="001148E3"/>
    <w:rsid w:val="00114A3E"/>
    <w:rsid w:val="00114F8B"/>
    <w:rsid w:val="00114FA2"/>
    <w:rsid w:val="00115094"/>
    <w:rsid w:val="0011518A"/>
    <w:rsid w:val="00115414"/>
    <w:rsid w:val="0011559D"/>
    <w:rsid w:val="00115971"/>
    <w:rsid w:val="001159C2"/>
    <w:rsid w:val="00115F79"/>
    <w:rsid w:val="00116000"/>
    <w:rsid w:val="00116A99"/>
    <w:rsid w:val="00116AE4"/>
    <w:rsid w:val="00116DE9"/>
    <w:rsid w:val="0011729F"/>
    <w:rsid w:val="00117804"/>
    <w:rsid w:val="001179C8"/>
    <w:rsid w:val="00117CAE"/>
    <w:rsid w:val="00117FA0"/>
    <w:rsid w:val="001207B6"/>
    <w:rsid w:val="0012194D"/>
    <w:rsid w:val="00121AE2"/>
    <w:rsid w:val="00121B13"/>
    <w:rsid w:val="00121B3D"/>
    <w:rsid w:val="00121CC2"/>
    <w:rsid w:val="00121DA5"/>
    <w:rsid w:val="00122361"/>
    <w:rsid w:val="00122517"/>
    <w:rsid w:val="00122FFA"/>
    <w:rsid w:val="0012394B"/>
    <w:rsid w:val="00123B05"/>
    <w:rsid w:val="001241EA"/>
    <w:rsid w:val="001244C2"/>
    <w:rsid w:val="0012463E"/>
    <w:rsid w:val="001246C5"/>
    <w:rsid w:val="00124961"/>
    <w:rsid w:val="00124FDB"/>
    <w:rsid w:val="001256DB"/>
    <w:rsid w:val="00125A0D"/>
    <w:rsid w:val="00125B5D"/>
    <w:rsid w:val="00125F82"/>
    <w:rsid w:val="00126439"/>
    <w:rsid w:val="001267D6"/>
    <w:rsid w:val="00126A4C"/>
    <w:rsid w:val="00126F99"/>
    <w:rsid w:val="001271B3"/>
    <w:rsid w:val="001272DF"/>
    <w:rsid w:val="0012741B"/>
    <w:rsid w:val="00127A2E"/>
    <w:rsid w:val="00127BEC"/>
    <w:rsid w:val="0013019B"/>
    <w:rsid w:val="001302EC"/>
    <w:rsid w:val="00130393"/>
    <w:rsid w:val="00130E7E"/>
    <w:rsid w:val="0013134A"/>
    <w:rsid w:val="00131518"/>
    <w:rsid w:val="00131531"/>
    <w:rsid w:val="0013174C"/>
    <w:rsid w:val="001317DE"/>
    <w:rsid w:val="00131D31"/>
    <w:rsid w:val="00131D92"/>
    <w:rsid w:val="00132556"/>
    <w:rsid w:val="00132991"/>
    <w:rsid w:val="001329AA"/>
    <w:rsid w:val="00132C5C"/>
    <w:rsid w:val="001338D3"/>
    <w:rsid w:val="001339CE"/>
    <w:rsid w:val="00133EE5"/>
    <w:rsid w:val="00134213"/>
    <w:rsid w:val="001348B4"/>
    <w:rsid w:val="0013490B"/>
    <w:rsid w:val="00134CAE"/>
    <w:rsid w:val="00134EC9"/>
    <w:rsid w:val="00135AFF"/>
    <w:rsid w:val="001361B4"/>
    <w:rsid w:val="001362B9"/>
    <w:rsid w:val="00136BF2"/>
    <w:rsid w:val="00136BFD"/>
    <w:rsid w:val="00136C3F"/>
    <w:rsid w:val="00136CE2"/>
    <w:rsid w:val="00137213"/>
    <w:rsid w:val="00137255"/>
    <w:rsid w:val="001374B9"/>
    <w:rsid w:val="001375A9"/>
    <w:rsid w:val="001378F1"/>
    <w:rsid w:val="00137918"/>
    <w:rsid w:val="00137A99"/>
    <w:rsid w:val="00137B73"/>
    <w:rsid w:val="00137DCE"/>
    <w:rsid w:val="00137E46"/>
    <w:rsid w:val="001400F9"/>
    <w:rsid w:val="0014020B"/>
    <w:rsid w:val="00140280"/>
    <w:rsid w:val="00140AB7"/>
    <w:rsid w:val="00140CCF"/>
    <w:rsid w:val="00140D24"/>
    <w:rsid w:val="00141302"/>
    <w:rsid w:val="001414D2"/>
    <w:rsid w:val="00141F57"/>
    <w:rsid w:val="00142184"/>
    <w:rsid w:val="001422EA"/>
    <w:rsid w:val="0014239C"/>
    <w:rsid w:val="00142959"/>
    <w:rsid w:val="00142F23"/>
    <w:rsid w:val="00142F74"/>
    <w:rsid w:val="001435E4"/>
    <w:rsid w:val="001437B1"/>
    <w:rsid w:val="00143A28"/>
    <w:rsid w:val="00143E73"/>
    <w:rsid w:val="00143F2D"/>
    <w:rsid w:val="00144139"/>
    <w:rsid w:val="00144168"/>
    <w:rsid w:val="0014430E"/>
    <w:rsid w:val="001443D1"/>
    <w:rsid w:val="00144DDE"/>
    <w:rsid w:val="00144E97"/>
    <w:rsid w:val="00144F7B"/>
    <w:rsid w:val="00144F9D"/>
    <w:rsid w:val="00146216"/>
    <w:rsid w:val="0014627C"/>
    <w:rsid w:val="0014640C"/>
    <w:rsid w:val="001464BE"/>
    <w:rsid w:val="0014683B"/>
    <w:rsid w:val="00146DFF"/>
    <w:rsid w:val="00146E2B"/>
    <w:rsid w:val="00147111"/>
    <w:rsid w:val="001472B0"/>
    <w:rsid w:val="001472B3"/>
    <w:rsid w:val="00147374"/>
    <w:rsid w:val="0014754E"/>
    <w:rsid w:val="0014789A"/>
    <w:rsid w:val="00147CDE"/>
    <w:rsid w:val="00147D6E"/>
    <w:rsid w:val="00147DC2"/>
    <w:rsid w:val="00150181"/>
    <w:rsid w:val="001504B8"/>
    <w:rsid w:val="00150511"/>
    <w:rsid w:val="0015077B"/>
    <w:rsid w:val="001507B5"/>
    <w:rsid w:val="00150901"/>
    <w:rsid w:val="001509F1"/>
    <w:rsid w:val="00150D67"/>
    <w:rsid w:val="00151098"/>
    <w:rsid w:val="001516CA"/>
    <w:rsid w:val="001517D4"/>
    <w:rsid w:val="001518CD"/>
    <w:rsid w:val="001518FF"/>
    <w:rsid w:val="00151A9C"/>
    <w:rsid w:val="00151C04"/>
    <w:rsid w:val="00152570"/>
    <w:rsid w:val="00152A76"/>
    <w:rsid w:val="00153168"/>
    <w:rsid w:val="00153864"/>
    <w:rsid w:val="00153902"/>
    <w:rsid w:val="001539FF"/>
    <w:rsid w:val="00153C1B"/>
    <w:rsid w:val="00153C77"/>
    <w:rsid w:val="00153EF6"/>
    <w:rsid w:val="0015428A"/>
    <w:rsid w:val="00154311"/>
    <w:rsid w:val="0015476E"/>
    <w:rsid w:val="00154C44"/>
    <w:rsid w:val="00154EAA"/>
    <w:rsid w:val="00154FCE"/>
    <w:rsid w:val="0015559D"/>
    <w:rsid w:val="00155AF7"/>
    <w:rsid w:val="00155CBD"/>
    <w:rsid w:val="0015623F"/>
    <w:rsid w:val="0015653E"/>
    <w:rsid w:val="001567E9"/>
    <w:rsid w:val="00156B5A"/>
    <w:rsid w:val="00156D89"/>
    <w:rsid w:val="00156E26"/>
    <w:rsid w:val="00156F91"/>
    <w:rsid w:val="001572C1"/>
    <w:rsid w:val="00157D0A"/>
    <w:rsid w:val="0016081C"/>
    <w:rsid w:val="001608AF"/>
    <w:rsid w:val="00160B83"/>
    <w:rsid w:val="00160BF1"/>
    <w:rsid w:val="0016148D"/>
    <w:rsid w:val="00161CB4"/>
    <w:rsid w:val="00161E86"/>
    <w:rsid w:val="00162431"/>
    <w:rsid w:val="0016286B"/>
    <w:rsid w:val="00162936"/>
    <w:rsid w:val="0016299D"/>
    <w:rsid w:val="001629BF"/>
    <w:rsid w:val="00162A49"/>
    <w:rsid w:val="00162CA0"/>
    <w:rsid w:val="00162F86"/>
    <w:rsid w:val="00163082"/>
    <w:rsid w:val="00163541"/>
    <w:rsid w:val="00163A4B"/>
    <w:rsid w:val="00163DD9"/>
    <w:rsid w:val="001640BE"/>
    <w:rsid w:val="001642A7"/>
    <w:rsid w:val="001644A9"/>
    <w:rsid w:val="00164A61"/>
    <w:rsid w:val="00164E6C"/>
    <w:rsid w:val="00165218"/>
    <w:rsid w:val="0016540B"/>
    <w:rsid w:val="00165554"/>
    <w:rsid w:val="00165B4C"/>
    <w:rsid w:val="00165D74"/>
    <w:rsid w:val="0016621A"/>
    <w:rsid w:val="0016638B"/>
    <w:rsid w:val="00167657"/>
    <w:rsid w:val="0016793E"/>
    <w:rsid w:val="00167A34"/>
    <w:rsid w:val="00167A48"/>
    <w:rsid w:val="00167C91"/>
    <w:rsid w:val="0017016B"/>
    <w:rsid w:val="0017022F"/>
    <w:rsid w:val="0017068B"/>
    <w:rsid w:val="001707AB"/>
    <w:rsid w:val="001707C9"/>
    <w:rsid w:val="00170E57"/>
    <w:rsid w:val="00171223"/>
    <w:rsid w:val="001715E1"/>
    <w:rsid w:val="00171A98"/>
    <w:rsid w:val="00171AC1"/>
    <w:rsid w:val="00171E69"/>
    <w:rsid w:val="00172155"/>
    <w:rsid w:val="00172176"/>
    <w:rsid w:val="00172431"/>
    <w:rsid w:val="00172786"/>
    <w:rsid w:val="00172ADB"/>
    <w:rsid w:val="00172BA6"/>
    <w:rsid w:val="0017331D"/>
    <w:rsid w:val="00173581"/>
    <w:rsid w:val="00173BFF"/>
    <w:rsid w:val="00173D98"/>
    <w:rsid w:val="00173E25"/>
    <w:rsid w:val="00174320"/>
    <w:rsid w:val="001746C2"/>
    <w:rsid w:val="00174BA1"/>
    <w:rsid w:val="00174C43"/>
    <w:rsid w:val="00175014"/>
    <w:rsid w:val="001750CD"/>
    <w:rsid w:val="001751C7"/>
    <w:rsid w:val="00175231"/>
    <w:rsid w:val="00175520"/>
    <w:rsid w:val="00175573"/>
    <w:rsid w:val="00175FC7"/>
    <w:rsid w:val="0017620D"/>
    <w:rsid w:val="00176353"/>
    <w:rsid w:val="00176CDE"/>
    <w:rsid w:val="001770BB"/>
    <w:rsid w:val="001774AA"/>
    <w:rsid w:val="00177614"/>
    <w:rsid w:val="0017765E"/>
    <w:rsid w:val="0017770D"/>
    <w:rsid w:val="0017778B"/>
    <w:rsid w:val="001777F9"/>
    <w:rsid w:val="001777FD"/>
    <w:rsid w:val="001801B2"/>
    <w:rsid w:val="001801CE"/>
    <w:rsid w:val="0018090E"/>
    <w:rsid w:val="00180AF9"/>
    <w:rsid w:val="00180FC3"/>
    <w:rsid w:val="00181839"/>
    <w:rsid w:val="00181F9D"/>
    <w:rsid w:val="00181FF3"/>
    <w:rsid w:val="001820E3"/>
    <w:rsid w:val="00182194"/>
    <w:rsid w:val="001822BF"/>
    <w:rsid w:val="0018242E"/>
    <w:rsid w:val="00182F97"/>
    <w:rsid w:val="0018301D"/>
    <w:rsid w:val="00183B96"/>
    <w:rsid w:val="00183D57"/>
    <w:rsid w:val="0018406F"/>
    <w:rsid w:val="001840B7"/>
    <w:rsid w:val="001840DF"/>
    <w:rsid w:val="00184368"/>
    <w:rsid w:val="001844F8"/>
    <w:rsid w:val="00184A77"/>
    <w:rsid w:val="00184CD1"/>
    <w:rsid w:val="00186065"/>
    <w:rsid w:val="0018609E"/>
    <w:rsid w:val="00186817"/>
    <w:rsid w:val="001869BA"/>
    <w:rsid w:val="00186D50"/>
    <w:rsid w:val="00186DDA"/>
    <w:rsid w:val="00186EB3"/>
    <w:rsid w:val="00186F05"/>
    <w:rsid w:val="001874E7"/>
    <w:rsid w:val="001875BF"/>
    <w:rsid w:val="00187970"/>
    <w:rsid w:val="00187A90"/>
    <w:rsid w:val="00187EE6"/>
    <w:rsid w:val="00187F36"/>
    <w:rsid w:val="00190293"/>
    <w:rsid w:val="00190382"/>
    <w:rsid w:val="001904BF"/>
    <w:rsid w:val="001906BC"/>
    <w:rsid w:val="00190849"/>
    <w:rsid w:val="0019090E"/>
    <w:rsid w:val="00190A6E"/>
    <w:rsid w:val="0019117A"/>
    <w:rsid w:val="0019153B"/>
    <w:rsid w:val="00191BCD"/>
    <w:rsid w:val="00191D9E"/>
    <w:rsid w:val="00192852"/>
    <w:rsid w:val="00192860"/>
    <w:rsid w:val="00192A6A"/>
    <w:rsid w:val="0019315D"/>
    <w:rsid w:val="00193E53"/>
    <w:rsid w:val="0019477D"/>
    <w:rsid w:val="00194890"/>
    <w:rsid w:val="00194A77"/>
    <w:rsid w:val="00194B6D"/>
    <w:rsid w:val="00194B70"/>
    <w:rsid w:val="00195339"/>
    <w:rsid w:val="001954FD"/>
    <w:rsid w:val="0019636B"/>
    <w:rsid w:val="00196576"/>
    <w:rsid w:val="00196BB0"/>
    <w:rsid w:val="0019744E"/>
    <w:rsid w:val="00197D1C"/>
    <w:rsid w:val="001A036D"/>
    <w:rsid w:val="001A0392"/>
    <w:rsid w:val="001A06B6"/>
    <w:rsid w:val="001A0A80"/>
    <w:rsid w:val="001A0C64"/>
    <w:rsid w:val="001A0E10"/>
    <w:rsid w:val="001A0EE5"/>
    <w:rsid w:val="001A10EA"/>
    <w:rsid w:val="001A167D"/>
    <w:rsid w:val="001A2706"/>
    <w:rsid w:val="001A2E9E"/>
    <w:rsid w:val="001A326F"/>
    <w:rsid w:val="001A39C9"/>
    <w:rsid w:val="001A3AC1"/>
    <w:rsid w:val="001A3D33"/>
    <w:rsid w:val="001A4150"/>
    <w:rsid w:val="001A4B19"/>
    <w:rsid w:val="001A56BE"/>
    <w:rsid w:val="001A5962"/>
    <w:rsid w:val="001A5D0E"/>
    <w:rsid w:val="001A6142"/>
    <w:rsid w:val="001A6A3C"/>
    <w:rsid w:val="001A724D"/>
    <w:rsid w:val="001A732B"/>
    <w:rsid w:val="001A73F3"/>
    <w:rsid w:val="001A75E5"/>
    <w:rsid w:val="001A7821"/>
    <w:rsid w:val="001A7869"/>
    <w:rsid w:val="001A7870"/>
    <w:rsid w:val="001A7911"/>
    <w:rsid w:val="001A7FAE"/>
    <w:rsid w:val="001B05AB"/>
    <w:rsid w:val="001B07C4"/>
    <w:rsid w:val="001B0833"/>
    <w:rsid w:val="001B0C0C"/>
    <w:rsid w:val="001B0CFF"/>
    <w:rsid w:val="001B0E3E"/>
    <w:rsid w:val="001B17A9"/>
    <w:rsid w:val="001B1C23"/>
    <w:rsid w:val="001B24D6"/>
    <w:rsid w:val="001B2D1A"/>
    <w:rsid w:val="001B2DA4"/>
    <w:rsid w:val="001B2E70"/>
    <w:rsid w:val="001B2FBE"/>
    <w:rsid w:val="001B3128"/>
    <w:rsid w:val="001B317F"/>
    <w:rsid w:val="001B3659"/>
    <w:rsid w:val="001B38EF"/>
    <w:rsid w:val="001B397A"/>
    <w:rsid w:val="001B3E86"/>
    <w:rsid w:val="001B4300"/>
    <w:rsid w:val="001B4309"/>
    <w:rsid w:val="001B464B"/>
    <w:rsid w:val="001B4E9A"/>
    <w:rsid w:val="001B512E"/>
    <w:rsid w:val="001B58DF"/>
    <w:rsid w:val="001B59CB"/>
    <w:rsid w:val="001B5BCA"/>
    <w:rsid w:val="001B61B1"/>
    <w:rsid w:val="001B6514"/>
    <w:rsid w:val="001B6568"/>
    <w:rsid w:val="001B668D"/>
    <w:rsid w:val="001B67FC"/>
    <w:rsid w:val="001B706E"/>
    <w:rsid w:val="001B73E2"/>
    <w:rsid w:val="001B79BA"/>
    <w:rsid w:val="001B7CF7"/>
    <w:rsid w:val="001C0082"/>
    <w:rsid w:val="001C02FD"/>
    <w:rsid w:val="001C0386"/>
    <w:rsid w:val="001C0846"/>
    <w:rsid w:val="001C08F4"/>
    <w:rsid w:val="001C0C84"/>
    <w:rsid w:val="001C11BE"/>
    <w:rsid w:val="001C1303"/>
    <w:rsid w:val="001C1B41"/>
    <w:rsid w:val="001C1FDD"/>
    <w:rsid w:val="001C258F"/>
    <w:rsid w:val="001C2D17"/>
    <w:rsid w:val="001C3127"/>
    <w:rsid w:val="001C3143"/>
    <w:rsid w:val="001C3605"/>
    <w:rsid w:val="001C37F5"/>
    <w:rsid w:val="001C3B7C"/>
    <w:rsid w:val="001C3E92"/>
    <w:rsid w:val="001C4035"/>
    <w:rsid w:val="001C403E"/>
    <w:rsid w:val="001C41DF"/>
    <w:rsid w:val="001C48D2"/>
    <w:rsid w:val="001C4958"/>
    <w:rsid w:val="001C49B1"/>
    <w:rsid w:val="001C4D40"/>
    <w:rsid w:val="001C5071"/>
    <w:rsid w:val="001C55C1"/>
    <w:rsid w:val="001C5CF6"/>
    <w:rsid w:val="001C6129"/>
    <w:rsid w:val="001C65BC"/>
    <w:rsid w:val="001C65C8"/>
    <w:rsid w:val="001C6685"/>
    <w:rsid w:val="001C7030"/>
    <w:rsid w:val="001C7080"/>
    <w:rsid w:val="001C7135"/>
    <w:rsid w:val="001C741A"/>
    <w:rsid w:val="001C7528"/>
    <w:rsid w:val="001C79C5"/>
    <w:rsid w:val="001C7D08"/>
    <w:rsid w:val="001C7FB9"/>
    <w:rsid w:val="001D0110"/>
    <w:rsid w:val="001D018F"/>
    <w:rsid w:val="001D0551"/>
    <w:rsid w:val="001D08B3"/>
    <w:rsid w:val="001D0A2D"/>
    <w:rsid w:val="001D0C3F"/>
    <w:rsid w:val="001D0FE9"/>
    <w:rsid w:val="001D1AB6"/>
    <w:rsid w:val="001D2A57"/>
    <w:rsid w:val="001D3235"/>
    <w:rsid w:val="001D3928"/>
    <w:rsid w:val="001D4838"/>
    <w:rsid w:val="001D4920"/>
    <w:rsid w:val="001D4DCB"/>
    <w:rsid w:val="001D4E2C"/>
    <w:rsid w:val="001D517C"/>
    <w:rsid w:val="001D53DD"/>
    <w:rsid w:val="001D568D"/>
    <w:rsid w:val="001D574C"/>
    <w:rsid w:val="001D5CAE"/>
    <w:rsid w:val="001D601A"/>
    <w:rsid w:val="001D6250"/>
    <w:rsid w:val="001D62CE"/>
    <w:rsid w:val="001D65EF"/>
    <w:rsid w:val="001D679A"/>
    <w:rsid w:val="001D6933"/>
    <w:rsid w:val="001D6A0D"/>
    <w:rsid w:val="001D70DC"/>
    <w:rsid w:val="001D7122"/>
    <w:rsid w:val="001D714A"/>
    <w:rsid w:val="001D72C4"/>
    <w:rsid w:val="001D78C3"/>
    <w:rsid w:val="001D79BD"/>
    <w:rsid w:val="001D7D0B"/>
    <w:rsid w:val="001D7EE5"/>
    <w:rsid w:val="001E0437"/>
    <w:rsid w:val="001E0701"/>
    <w:rsid w:val="001E0794"/>
    <w:rsid w:val="001E0915"/>
    <w:rsid w:val="001E0B07"/>
    <w:rsid w:val="001E0DAE"/>
    <w:rsid w:val="001E0E8D"/>
    <w:rsid w:val="001E199C"/>
    <w:rsid w:val="001E1A30"/>
    <w:rsid w:val="001E20DA"/>
    <w:rsid w:val="001E2374"/>
    <w:rsid w:val="001E2910"/>
    <w:rsid w:val="001E2ACA"/>
    <w:rsid w:val="001E3CF8"/>
    <w:rsid w:val="001E3D9F"/>
    <w:rsid w:val="001E3EFF"/>
    <w:rsid w:val="001E3F2B"/>
    <w:rsid w:val="001E446E"/>
    <w:rsid w:val="001E44AA"/>
    <w:rsid w:val="001E478E"/>
    <w:rsid w:val="001E5710"/>
    <w:rsid w:val="001E582D"/>
    <w:rsid w:val="001E616F"/>
    <w:rsid w:val="001E626D"/>
    <w:rsid w:val="001E730E"/>
    <w:rsid w:val="001E7B01"/>
    <w:rsid w:val="001E7E5D"/>
    <w:rsid w:val="001E7F5B"/>
    <w:rsid w:val="001F0BAC"/>
    <w:rsid w:val="001F1455"/>
    <w:rsid w:val="001F1FCA"/>
    <w:rsid w:val="001F2029"/>
    <w:rsid w:val="001F21BE"/>
    <w:rsid w:val="001F2493"/>
    <w:rsid w:val="001F2850"/>
    <w:rsid w:val="001F2A99"/>
    <w:rsid w:val="001F3206"/>
    <w:rsid w:val="001F3808"/>
    <w:rsid w:val="001F3C33"/>
    <w:rsid w:val="001F4195"/>
    <w:rsid w:val="001F46B7"/>
    <w:rsid w:val="001F4AD7"/>
    <w:rsid w:val="001F4BD9"/>
    <w:rsid w:val="001F5239"/>
    <w:rsid w:val="001F53B9"/>
    <w:rsid w:val="001F5500"/>
    <w:rsid w:val="001F58AE"/>
    <w:rsid w:val="001F5F72"/>
    <w:rsid w:val="001F6968"/>
    <w:rsid w:val="001F6B91"/>
    <w:rsid w:val="001F7006"/>
    <w:rsid w:val="001F7317"/>
    <w:rsid w:val="001F7DEA"/>
    <w:rsid w:val="00200042"/>
    <w:rsid w:val="0020078A"/>
    <w:rsid w:val="00200B39"/>
    <w:rsid w:val="002010F0"/>
    <w:rsid w:val="00201149"/>
    <w:rsid w:val="00201863"/>
    <w:rsid w:val="00201FCC"/>
    <w:rsid w:val="00202938"/>
    <w:rsid w:val="00202F0D"/>
    <w:rsid w:val="002035AD"/>
    <w:rsid w:val="00203C34"/>
    <w:rsid w:val="0020428A"/>
    <w:rsid w:val="00204333"/>
    <w:rsid w:val="002044DA"/>
    <w:rsid w:val="0020451F"/>
    <w:rsid w:val="00204A07"/>
    <w:rsid w:val="002050C1"/>
    <w:rsid w:val="0020519B"/>
    <w:rsid w:val="00205360"/>
    <w:rsid w:val="00205C87"/>
    <w:rsid w:val="00205CEE"/>
    <w:rsid w:val="00206580"/>
    <w:rsid w:val="00206678"/>
    <w:rsid w:val="002067F4"/>
    <w:rsid w:val="00206FD6"/>
    <w:rsid w:val="00207A7B"/>
    <w:rsid w:val="00207BA3"/>
    <w:rsid w:val="00207D88"/>
    <w:rsid w:val="00207E60"/>
    <w:rsid w:val="002100A6"/>
    <w:rsid w:val="002102E0"/>
    <w:rsid w:val="002106BD"/>
    <w:rsid w:val="00210A0E"/>
    <w:rsid w:val="00210CEC"/>
    <w:rsid w:val="00210D17"/>
    <w:rsid w:val="00210D4F"/>
    <w:rsid w:val="002112B7"/>
    <w:rsid w:val="00211639"/>
    <w:rsid w:val="002117CE"/>
    <w:rsid w:val="002119CF"/>
    <w:rsid w:val="002126B2"/>
    <w:rsid w:val="002126D9"/>
    <w:rsid w:val="0021278C"/>
    <w:rsid w:val="0021289C"/>
    <w:rsid w:val="00212DC0"/>
    <w:rsid w:val="00212FEF"/>
    <w:rsid w:val="002133DD"/>
    <w:rsid w:val="002139B8"/>
    <w:rsid w:val="00213AF0"/>
    <w:rsid w:val="00213CE7"/>
    <w:rsid w:val="002144DC"/>
    <w:rsid w:val="00214F4E"/>
    <w:rsid w:val="00215540"/>
    <w:rsid w:val="002159C3"/>
    <w:rsid w:val="00215C4E"/>
    <w:rsid w:val="00215FDC"/>
    <w:rsid w:val="00216276"/>
    <w:rsid w:val="0021633D"/>
    <w:rsid w:val="002163E3"/>
    <w:rsid w:val="002164B6"/>
    <w:rsid w:val="0021687A"/>
    <w:rsid w:val="00216D92"/>
    <w:rsid w:val="00216E12"/>
    <w:rsid w:val="00217073"/>
    <w:rsid w:val="002170A0"/>
    <w:rsid w:val="00217648"/>
    <w:rsid w:val="0021787A"/>
    <w:rsid w:val="00217918"/>
    <w:rsid w:val="00217BE0"/>
    <w:rsid w:val="00217D23"/>
    <w:rsid w:val="00217D58"/>
    <w:rsid w:val="00217DCB"/>
    <w:rsid w:val="0022012F"/>
    <w:rsid w:val="0022080F"/>
    <w:rsid w:val="00220995"/>
    <w:rsid w:val="00220C98"/>
    <w:rsid w:val="00220FA2"/>
    <w:rsid w:val="00221882"/>
    <w:rsid w:val="00221A95"/>
    <w:rsid w:val="00221BF6"/>
    <w:rsid w:val="00221D3B"/>
    <w:rsid w:val="002222B8"/>
    <w:rsid w:val="0022325B"/>
    <w:rsid w:val="0022363F"/>
    <w:rsid w:val="00223DA9"/>
    <w:rsid w:val="00223DC1"/>
    <w:rsid w:val="00223E1A"/>
    <w:rsid w:val="00223F08"/>
    <w:rsid w:val="00223FF8"/>
    <w:rsid w:val="00224155"/>
    <w:rsid w:val="0022476D"/>
    <w:rsid w:val="0022485A"/>
    <w:rsid w:val="0022498F"/>
    <w:rsid w:val="00224A01"/>
    <w:rsid w:val="00224D21"/>
    <w:rsid w:val="00224D3C"/>
    <w:rsid w:val="002250A3"/>
    <w:rsid w:val="002250E8"/>
    <w:rsid w:val="00225473"/>
    <w:rsid w:val="002259E0"/>
    <w:rsid w:val="00225BFF"/>
    <w:rsid w:val="002260D4"/>
    <w:rsid w:val="00226436"/>
    <w:rsid w:val="00226703"/>
    <w:rsid w:val="00226EE6"/>
    <w:rsid w:val="002275B6"/>
    <w:rsid w:val="00227A36"/>
    <w:rsid w:val="0023059B"/>
    <w:rsid w:val="00230ED4"/>
    <w:rsid w:val="0023138D"/>
    <w:rsid w:val="0023177B"/>
    <w:rsid w:val="00231A7E"/>
    <w:rsid w:val="00231B3A"/>
    <w:rsid w:val="00231DCB"/>
    <w:rsid w:val="00231F5B"/>
    <w:rsid w:val="0023253E"/>
    <w:rsid w:val="00232699"/>
    <w:rsid w:val="00232973"/>
    <w:rsid w:val="00232D05"/>
    <w:rsid w:val="00233203"/>
    <w:rsid w:val="00233556"/>
    <w:rsid w:val="00233754"/>
    <w:rsid w:val="00233A2A"/>
    <w:rsid w:val="00233ADE"/>
    <w:rsid w:val="00233D58"/>
    <w:rsid w:val="00234195"/>
    <w:rsid w:val="002348D2"/>
    <w:rsid w:val="00234AFA"/>
    <w:rsid w:val="00234E9B"/>
    <w:rsid w:val="00235217"/>
    <w:rsid w:val="002352F1"/>
    <w:rsid w:val="00235D59"/>
    <w:rsid w:val="00236430"/>
    <w:rsid w:val="002367BF"/>
    <w:rsid w:val="00236929"/>
    <w:rsid w:val="00236BC1"/>
    <w:rsid w:val="0023712E"/>
    <w:rsid w:val="002376A1"/>
    <w:rsid w:val="00237805"/>
    <w:rsid w:val="002406F8"/>
    <w:rsid w:val="00240952"/>
    <w:rsid w:val="00240E4C"/>
    <w:rsid w:val="002413C6"/>
    <w:rsid w:val="00241518"/>
    <w:rsid w:val="00241871"/>
    <w:rsid w:val="00241EF7"/>
    <w:rsid w:val="00242396"/>
    <w:rsid w:val="00242435"/>
    <w:rsid w:val="00242711"/>
    <w:rsid w:val="002428FF"/>
    <w:rsid w:val="00242EE2"/>
    <w:rsid w:val="0024314E"/>
    <w:rsid w:val="002435CE"/>
    <w:rsid w:val="0024396E"/>
    <w:rsid w:val="0024399A"/>
    <w:rsid w:val="0024436B"/>
    <w:rsid w:val="00244577"/>
    <w:rsid w:val="0024466B"/>
    <w:rsid w:val="002447E7"/>
    <w:rsid w:val="0024495A"/>
    <w:rsid w:val="00244DD4"/>
    <w:rsid w:val="00245284"/>
    <w:rsid w:val="00245DC5"/>
    <w:rsid w:val="00246249"/>
    <w:rsid w:val="00246800"/>
    <w:rsid w:val="00246D1F"/>
    <w:rsid w:val="002470AA"/>
    <w:rsid w:val="00247102"/>
    <w:rsid w:val="00247403"/>
    <w:rsid w:val="00247542"/>
    <w:rsid w:val="00247701"/>
    <w:rsid w:val="002479E8"/>
    <w:rsid w:val="00250188"/>
    <w:rsid w:val="002501DF"/>
    <w:rsid w:val="002502FA"/>
    <w:rsid w:val="0025035A"/>
    <w:rsid w:val="00250F6D"/>
    <w:rsid w:val="0025115D"/>
    <w:rsid w:val="002512A9"/>
    <w:rsid w:val="00251815"/>
    <w:rsid w:val="00251AD4"/>
    <w:rsid w:val="00251E70"/>
    <w:rsid w:val="0025209F"/>
    <w:rsid w:val="002528A3"/>
    <w:rsid w:val="002529EF"/>
    <w:rsid w:val="00252A87"/>
    <w:rsid w:val="00252D46"/>
    <w:rsid w:val="00252E62"/>
    <w:rsid w:val="00252F69"/>
    <w:rsid w:val="00253419"/>
    <w:rsid w:val="0025362D"/>
    <w:rsid w:val="00253D89"/>
    <w:rsid w:val="00253ECD"/>
    <w:rsid w:val="00253F46"/>
    <w:rsid w:val="00254727"/>
    <w:rsid w:val="00254C25"/>
    <w:rsid w:val="00255A87"/>
    <w:rsid w:val="00255E75"/>
    <w:rsid w:val="002560A3"/>
    <w:rsid w:val="002561F9"/>
    <w:rsid w:val="0025645E"/>
    <w:rsid w:val="002571C0"/>
    <w:rsid w:val="002571E1"/>
    <w:rsid w:val="0025721A"/>
    <w:rsid w:val="00257226"/>
    <w:rsid w:val="0025762A"/>
    <w:rsid w:val="0025788C"/>
    <w:rsid w:val="002579F1"/>
    <w:rsid w:val="00257BB0"/>
    <w:rsid w:val="00257E30"/>
    <w:rsid w:val="00260014"/>
    <w:rsid w:val="0026030B"/>
    <w:rsid w:val="0026036B"/>
    <w:rsid w:val="00260498"/>
    <w:rsid w:val="00260B9D"/>
    <w:rsid w:val="00261D46"/>
    <w:rsid w:val="00261FF3"/>
    <w:rsid w:val="002628DF"/>
    <w:rsid w:val="00262B65"/>
    <w:rsid w:val="00262CBD"/>
    <w:rsid w:val="00262F24"/>
    <w:rsid w:val="00262FE7"/>
    <w:rsid w:val="002639B4"/>
    <w:rsid w:val="00263C9E"/>
    <w:rsid w:val="00264C08"/>
    <w:rsid w:val="00265475"/>
    <w:rsid w:val="00265763"/>
    <w:rsid w:val="00265875"/>
    <w:rsid w:val="00265979"/>
    <w:rsid w:val="00265CC8"/>
    <w:rsid w:val="00265E2F"/>
    <w:rsid w:val="00266228"/>
    <w:rsid w:val="00266B56"/>
    <w:rsid w:val="00266B61"/>
    <w:rsid w:val="0026712A"/>
    <w:rsid w:val="00267244"/>
    <w:rsid w:val="002676E2"/>
    <w:rsid w:val="00267EE9"/>
    <w:rsid w:val="00267FD8"/>
    <w:rsid w:val="0027028C"/>
    <w:rsid w:val="002704DB"/>
    <w:rsid w:val="00270CCF"/>
    <w:rsid w:val="00270D43"/>
    <w:rsid w:val="00270E01"/>
    <w:rsid w:val="00271392"/>
    <w:rsid w:val="00271490"/>
    <w:rsid w:val="00272278"/>
    <w:rsid w:val="002724FC"/>
    <w:rsid w:val="00272A9A"/>
    <w:rsid w:val="00272E96"/>
    <w:rsid w:val="00272FED"/>
    <w:rsid w:val="00273352"/>
    <w:rsid w:val="00273723"/>
    <w:rsid w:val="00273B48"/>
    <w:rsid w:val="00274946"/>
    <w:rsid w:val="00274F86"/>
    <w:rsid w:val="00275137"/>
    <w:rsid w:val="002752D3"/>
    <w:rsid w:val="00275A72"/>
    <w:rsid w:val="00275A82"/>
    <w:rsid w:val="002763AE"/>
    <w:rsid w:val="0027668F"/>
    <w:rsid w:val="0027673F"/>
    <w:rsid w:val="00276CBA"/>
    <w:rsid w:val="00276D62"/>
    <w:rsid w:val="002773C2"/>
    <w:rsid w:val="00277AC6"/>
    <w:rsid w:val="00277E0C"/>
    <w:rsid w:val="00280702"/>
    <w:rsid w:val="00280936"/>
    <w:rsid w:val="00280D03"/>
    <w:rsid w:val="0028148D"/>
    <w:rsid w:val="00281754"/>
    <w:rsid w:val="002817B4"/>
    <w:rsid w:val="00281E6C"/>
    <w:rsid w:val="002822DA"/>
    <w:rsid w:val="002826B4"/>
    <w:rsid w:val="00282E05"/>
    <w:rsid w:val="00283976"/>
    <w:rsid w:val="002845CB"/>
    <w:rsid w:val="00284873"/>
    <w:rsid w:val="002849E0"/>
    <w:rsid w:val="00284D12"/>
    <w:rsid w:val="00284DE8"/>
    <w:rsid w:val="00284F73"/>
    <w:rsid w:val="002851FD"/>
    <w:rsid w:val="002854DD"/>
    <w:rsid w:val="00285591"/>
    <w:rsid w:val="00285772"/>
    <w:rsid w:val="0028583A"/>
    <w:rsid w:val="00285A70"/>
    <w:rsid w:val="00285D52"/>
    <w:rsid w:val="00285F07"/>
    <w:rsid w:val="00285F63"/>
    <w:rsid w:val="002861AB"/>
    <w:rsid w:val="00286308"/>
    <w:rsid w:val="00286476"/>
    <w:rsid w:val="002868D4"/>
    <w:rsid w:val="00286D5A"/>
    <w:rsid w:val="00287511"/>
    <w:rsid w:val="00287957"/>
    <w:rsid w:val="00287AD5"/>
    <w:rsid w:val="00287BD8"/>
    <w:rsid w:val="00290140"/>
    <w:rsid w:val="002902FD"/>
    <w:rsid w:val="00291197"/>
    <w:rsid w:val="002915A4"/>
    <w:rsid w:val="00291690"/>
    <w:rsid w:val="00291852"/>
    <w:rsid w:val="00291B27"/>
    <w:rsid w:val="00291CB2"/>
    <w:rsid w:val="00291E29"/>
    <w:rsid w:val="002926CB"/>
    <w:rsid w:val="00292AF9"/>
    <w:rsid w:val="00292D30"/>
    <w:rsid w:val="002933D1"/>
    <w:rsid w:val="00293632"/>
    <w:rsid w:val="00293886"/>
    <w:rsid w:val="002939B1"/>
    <w:rsid w:val="00293A69"/>
    <w:rsid w:val="00293BD4"/>
    <w:rsid w:val="0029419C"/>
    <w:rsid w:val="002941C1"/>
    <w:rsid w:val="002949A6"/>
    <w:rsid w:val="00294BF5"/>
    <w:rsid w:val="00295580"/>
    <w:rsid w:val="00295B56"/>
    <w:rsid w:val="00295E72"/>
    <w:rsid w:val="00297316"/>
    <w:rsid w:val="00297587"/>
    <w:rsid w:val="002978BD"/>
    <w:rsid w:val="002978D3"/>
    <w:rsid w:val="00297DAC"/>
    <w:rsid w:val="002A08C4"/>
    <w:rsid w:val="002A0AAE"/>
    <w:rsid w:val="002A0AE2"/>
    <w:rsid w:val="002A0C80"/>
    <w:rsid w:val="002A0ED4"/>
    <w:rsid w:val="002A0F05"/>
    <w:rsid w:val="002A1897"/>
    <w:rsid w:val="002A1AEE"/>
    <w:rsid w:val="002A1B3C"/>
    <w:rsid w:val="002A2202"/>
    <w:rsid w:val="002A2373"/>
    <w:rsid w:val="002A2454"/>
    <w:rsid w:val="002A26A9"/>
    <w:rsid w:val="002A2BB8"/>
    <w:rsid w:val="002A2FD2"/>
    <w:rsid w:val="002A3123"/>
    <w:rsid w:val="002A357B"/>
    <w:rsid w:val="002A35C4"/>
    <w:rsid w:val="002A3A10"/>
    <w:rsid w:val="002A3F12"/>
    <w:rsid w:val="002A41C3"/>
    <w:rsid w:val="002A4AC6"/>
    <w:rsid w:val="002A4AF0"/>
    <w:rsid w:val="002A4FFC"/>
    <w:rsid w:val="002A51F5"/>
    <w:rsid w:val="002A5423"/>
    <w:rsid w:val="002A55D8"/>
    <w:rsid w:val="002A56D7"/>
    <w:rsid w:val="002A5820"/>
    <w:rsid w:val="002A58AC"/>
    <w:rsid w:val="002A5980"/>
    <w:rsid w:val="002A59D5"/>
    <w:rsid w:val="002A5E63"/>
    <w:rsid w:val="002A5F69"/>
    <w:rsid w:val="002A62C7"/>
    <w:rsid w:val="002A6D47"/>
    <w:rsid w:val="002A6D6E"/>
    <w:rsid w:val="002A741D"/>
    <w:rsid w:val="002A75CD"/>
    <w:rsid w:val="002A797C"/>
    <w:rsid w:val="002A7B21"/>
    <w:rsid w:val="002B02DF"/>
    <w:rsid w:val="002B049F"/>
    <w:rsid w:val="002B144E"/>
    <w:rsid w:val="002B2064"/>
    <w:rsid w:val="002B2684"/>
    <w:rsid w:val="002B26AA"/>
    <w:rsid w:val="002B26C1"/>
    <w:rsid w:val="002B31DE"/>
    <w:rsid w:val="002B3710"/>
    <w:rsid w:val="002B38D3"/>
    <w:rsid w:val="002B3A7D"/>
    <w:rsid w:val="002B44BF"/>
    <w:rsid w:val="002B454A"/>
    <w:rsid w:val="002B4E67"/>
    <w:rsid w:val="002B4FD5"/>
    <w:rsid w:val="002B5929"/>
    <w:rsid w:val="002B5C25"/>
    <w:rsid w:val="002B5C5B"/>
    <w:rsid w:val="002B5CA7"/>
    <w:rsid w:val="002B6194"/>
    <w:rsid w:val="002B6A63"/>
    <w:rsid w:val="002B6DE9"/>
    <w:rsid w:val="002B76B0"/>
    <w:rsid w:val="002B79AD"/>
    <w:rsid w:val="002B7DEB"/>
    <w:rsid w:val="002B7ED9"/>
    <w:rsid w:val="002C006D"/>
    <w:rsid w:val="002C0080"/>
    <w:rsid w:val="002C0102"/>
    <w:rsid w:val="002C045F"/>
    <w:rsid w:val="002C0A67"/>
    <w:rsid w:val="002C0D63"/>
    <w:rsid w:val="002C15C4"/>
    <w:rsid w:val="002C1BF1"/>
    <w:rsid w:val="002C1C64"/>
    <w:rsid w:val="002C1FF8"/>
    <w:rsid w:val="002C24AA"/>
    <w:rsid w:val="002C2904"/>
    <w:rsid w:val="002C2B7C"/>
    <w:rsid w:val="002C34A2"/>
    <w:rsid w:val="002C34AB"/>
    <w:rsid w:val="002C3926"/>
    <w:rsid w:val="002C393D"/>
    <w:rsid w:val="002C3B14"/>
    <w:rsid w:val="002C4030"/>
    <w:rsid w:val="002C4287"/>
    <w:rsid w:val="002C42C4"/>
    <w:rsid w:val="002C4389"/>
    <w:rsid w:val="002C44B8"/>
    <w:rsid w:val="002C4A65"/>
    <w:rsid w:val="002C5523"/>
    <w:rsid w:val="002C591F"/>
    <w:rsid w:val="002C6225"/>
    <w:rsid w:val="002C633D"/>
    <w:rsid w:val="002C65E0"/>
    <w:rsid w:val="002C6AF4"/>
    <w:rsid w:val="002C6EF4"/>
    <w:rsid w:val="002C764F"/>
    <w:rsid w:val="002C7799"/>
    <w:rsid w:val="002C7A05"/>
    <w:rsid w:val="002D00ED"/>
    <w:rsid w:val="002D0721"/>
    <w:rsid w:val="002D0F59"/>
    <w:rsid w:val="002D1830"/>
    <w:rsid w:val="002D18B6"/>
    <w:rsid w:val="002D18D9"/>
    <w:rsid w:val="002D2A17"/>
    <w:rsid w:val="002D2B26"/>
    <w:rsid w:val="002D31B6"/>
    <w:rsid w:val="002D3204"/>
    <w:rsid w:val="002D38A8"/>
    <w:rsid w:val="002D39A0"/>
    <w:rsid w:val="002D432A"/>
    <w:rsid w:val="002D43E1"/>
    <w:rsid w:val="002D462C"/>
    <w:rsid w:val="002D491B"/>
    <w:rsid w:val="002D49D8"/>
    <w:rsid w:val="002D4A83"/>
    <w:rsid w:val="002D4F17"/>
    <w:rsid w:val="002D6432"/>
    <w:rsid w:val="002D6537"/>
    <w:rsid w:val="002D65D6"/>
    <w:rsid w:val="002D660F"/>
    <w:rsid w:val="002D6DFA"/>
    <w:rsid w:val="002D6FEA"/>
    <w:rsid w:val="002D7848"/>
    <w:rsid w:val="002D7C75"/>
    <w:rsid w:val="002D7E61"/>
    <w:rsid w:val="002D7EA2"/>
    <w:rsid w:val="002D7FF1"/>
    <w:rsid w:val="002E02FF"/>
    <w:rsid w:val="002E06CC"/>
    <w:rsid w:val="002E07B0"/>
    <w:rsid w:val="002E0A05"/>
    <w:rsid w:val="002E1155"/>
    <w:rsid w:val="002E118C"/>
    <w:rsid w:val="002E11D8"/>
    <w:rsid w:val="002E1601"/>
    <w:rsid w:val="002E1727"/>
    <w:rsid w:val="002E17BB"/>
    <w:rsid w:val="002E187C"/>
    <w:rsid w:val="002E214D"/>
    <w:rsid w:val="002E24FF"/>
    <w:rsid w:val="002E2A8A"/>
    <w:rsid w:val="002E2B53"/>
    <w:rsid w:val="002E2BFD"/>
    <w:rsid w:val="002E2D5E"/>
    <w:rsid w:val="002E3015"/>
    <w:rsid w:val="002E329D"/>
    <w:rsid w:val="002E3978"/>
    <w:rsid w:val="002E3E41"/>
    <w:rsid w:val="002E4339"/>
    <w:rsid w:val="002E49FB"/>
    <w:rsid w:val="002E5348"/>
    <w:rsid w:val="002E5579"/>
    <w:rsid w:val="002E5624"/>
    <w:rsid w:val="002E583B"/>
    <w:rsid w:val="002E5999"/>
    <w:rsid w:val="002E5FBD"/>
    <w:rsid w:val="002E601B"/>
    <w:rsid w:val="002E67C3"/>
    <w:rsid w:val="002E67CD"/>
    <w:rsid w:val="002E68C8"/>
    <w:rsid w:val="002E6E9D"/>
    <w:rsid w:val="002E7000"/>
    <w:rsid w:val="002E78CE"/>
    <w:rsid w:val="002E7C1A"/>
    <w:rsid w:val="002F085C"/>
    <w:rsid w:val="002F0CCD"/>
    <w:rsid w:val="002F0FB2"/>
    <w:rsid w:val="002F1177"/>
    <w:rsid w:val="002F1768"/>
    <w:rsid w:val="002F1ED2"/>
    <w:rsid w:val="002F225F"/>
    <w:rsid w:val="002F2480"/>
    <w:rsid w:val="002F26D5"/>
    <w:rsid w:val="002F2D34"/>
    <w:rsid w:val="002F2EE9"/>
    <w:rsid w:val="002F3964"/>
    <w:rsid w:val="002F3CDA"/>
    <w:rsid w:val="002F3D36"/>
    <w:rsid w:val="002F3F97"/>
    <w:rsid w:val="002F3FD1"/>
    <w:rsid w:val="002F464F"/>
    <w:rsid w:val="002F485D"/>
    <w:rsid w:val="002F4876"/>
    <w:rsid w:val="002F4A1F"/>
    <w:rsid w:val="002F4AB7"/>
    <w:rsid w:val="002F4C30"/>
    <w:rsid w:val="002F4E25"/>
    <w:rsid w:val="002F5526"/>
    <w:rsid w:val="002F596C"/>
    <w:rsid w:val="002F5A8D"/>
    <w:rsid w:val="002F5C30"/>
    <w:rsid w:val="002F5DAF"/>
    <w:rsid w:val="002F5EF7"/>
    <w:rsid w:val="002F5F89"/>
    <w:rsid w:val="002F6296"/>
    <w:rsid w:val="002F69BB"/>
    <w:rsid w:val="002F6B9D"/>
    <w:rsid w:val="002F6BFD"/>
    <w:rsid w:val="002F6F78"/>
    <w:rsid w:val="002F71CC"/>
    <w:rsid w:val="002F7310"/>
    <w:rsid w:val="003005A7"/>
    <w:rsid w:val="0030082A"/>
    <w:rsid w:val="00300DE6"/>
    <w:rsid w:val="00300F64"/>
    <w:rsid w:val="003016B9"/>
    <w:rsid w:val="003017B6"/>
    <w:rsid w:val="003018E5"/>
    <w:rsid w:val="00301BA8"/>
    <w:rsid w:val="00301E20"/>
    <w:rsid w:val="00301F70"/>
    <w:rsid w:val="003021A5"/>
    <w:rsid w:val="00302347"/>
    <w:rsid w:val="00302605"/>
    <w:rsid w:val="00302733"/>
    <w:rsid w:val="00302A64"/>
    <w:rsid w:val="00302DD3"/>
    <w:rsid w:val="003032E4"/>
    <w:rsid w:val="00303433"/>
    <w:rsid w:val="003034B3"/>
    <w:rsid w:val="003034CE"/>
    <w:rsid w:val="003036B5"/>
    <w:rsid w:val="003037F0"/>
    <w:rsid w:val="00303974"/>
    <w:rsid w:val="003039F4"/>
    <w:rsid w:val="0030433B"/>
    <w:rsid w:val="003045D6"/>
    <w:rsid w:val="00304AD9"/>
    <w:rsid w:val="00304CFD"/>
    <w:rsid w:val="0030512D"/>
    <w:rsid w:val="00305309"/>
    <w:rsid w:val="00305470"/>
    <w:rsid w:val="00305918"/>
    <w:rsid w:val="00305956"/>
    <w:rsid w:val="00305F49"/>
    <w:rsid w:val="0030616D"/>
    <w:rsid w:val="00306486"/>
    <w:rsid w:val="003067CA"/>
    <w:rsid w:val="00306880"/>
    <w:rsid w:val="00306C37"/>
    <w:rsid w:val="00306E40"/>
    <w:rsid w:val="00306F10"/>
    <w:rsid w:val="0030711D"/>
    <w:rsid w:val="00307920"/>
    <w:rsid w:val="00307B49"/>
    <w:rsid w:val="00307EE5"/>
    <w:rsid w:val="00307EFE"/>
    <w:rsid w:val="0031045A"/>
    <w:rsid w:val="003106C3"/>
    <w:rsid w:val="0031128E"/>
    <w:rsid w:val="003112A9"/>
    <w:rsid w:val="00311384"/>
    <w:rsid w:val="00311901"/>
    <w:rsid w:val="003119AD"/>
    <w:rsid w:val="00311EFE"/>
    <w:rsid w:val="003122F4"/>
    <w:rsid w:val="00312593"/>
    <w:rsid w:val="003126ED"/>
    <w:rsid w:val="00312F2F"/>
    <w:rsid w:val="00312F89"/>
    <w:rsid w:val="00312F99"/>
    <w:rsid w:val="00313A8E"/>
    <w:rsid w:val="00313AD6"/>
    <w:rsid w:val="00314078"/>
    <w:rsid w:val="00314765"/>
    <w:rsid w:val="00314834"/>
    <w:rsid w:val="00314901"/>
    <w:rsid w:val="00314A30"/>
    <w:rsid w:val="00314A7F"/>
    <w:rsid w:val="0031515E"/>
    <w:rsid w:val="00315471"/>
    <w:rsid w:val="0031575A"/>
    <w:rsid w:val="00315A3C"/>
    <w:rsid w:val="00316517"/>
    <w:rsid w:val="00316E88"/>
    <w:rsid w:val="00316FB5"/>
    <w:rsid w:val="003170EA"/>
    <w:rsid w:val="00317250"/>
    <w:rsid w:val="003173B1"/>
    <w:rsid w:val="00317BFE"/>
    <w:rsid w:val="00317EC9"/>
    <w:rsid w:val="00320269"/>
    <w:rsid w:val="0032049A"/>
    <w:rsid w:val="00321576"/>
    <w:rsid w:val="003216F4"/>
    <w:rsid w:val="0032186D"/>
    <w:rsid w:val="00322497"/>
    <w:rsid w:val="003229C1"/>
    <w:rsid w:val="00323190"/>
    <w:rsid w:val="003231D4"/>
    <w:rsid w:val="00323253"/>
    <w:rsid w:val="0032363A"/>
    <w:rsid w:val="00323AF6"/>
    <w:rsid w:val="00323C5F"/>
    <w:rsid w:val="00323CD6"/>
    <w:rsid w:val="0032412C"/>
    <w:rsid w:val="00324254"/>
    <w:rsid w:val="00324343"/>
    <w:rsid w:val="003247D2"/>
    <w:rsid w:val="0032515D"/>
    <w:rsid w:val="003252C8"/>
    <w:rsid w:val="00325747"/>
    <w:rsid w:val="0032576C"/>
    <w:rsid w:val="00325794"/>
    <w:rsid w:val="00325B5A"/>
    <w:rsid w:val="00326114"/>
    <w:rsid w:val="00326392"/>
    <w:rsid w:val="003264ED"/>
    <w:rsid w:val="00326665"/>
    <w:rsid w:val="00326775"/>
    <w:rsid w:val="00326A29"/>
    <w:rsid w:val="003273FC"/>
    <w:rsid w:val="0032749A"/>
    <w:rsid w:val="003274CA"/>
    <w:rsid w:val="003275B4"/>
    <w:rsid w:val="00327BA0"/>
    <w:rsid w:val="00327BFD"/>
    <w:rsid w:val="00330266"/>
    <w:rsid w:val="00330B2C"/>
    <w:rsid w:val="00330CFA"/>
    <w:rsid w:val="00330F9A"/>
    <w:rsid w:val="00331015"/>
    <w:rsid w:val="00331547"/>
    <w:rsid w:val="0033169F"/>
    <w:rsid w:val="00331880"/>
    <w:rsid w:val="00331D6B"/>
    <w:rsid w:val="00331DB6"/>
    <w:rsid w:val="003325AA"/>
    <w:rsid w:val="0033267B"/>
    <w:rsid w:val="00332983"/>
    <w:rsid w:val="00332C85"/>
    <w:rsid w:val="00332E1E"/>
    <w:rsid w:val="003332ED"/>
    <w:rsid w:val="00333392"/>
    <w:rsid w:val="00333430"/>
    <w:rsid w:val="00333AB7"/>
    <w:rsid w:val="00333B27"/>
    <w:rsid w:val="003340F9"/>
    <w:rsid w:val="00334139"/>
    <w:rsid w:val="00334281"/>
    <w:rsid w:val="003348C4"/>
    <w:rsid w:val="00334A3E"/>
    <w:rsid w:val="003351CA"/>
    <w:rsid w:val="0033611B"/>
    <w:rsid w:val="00336412"/>
    <w:rsid w:val="003367AD"/>
    <w:rsid w:val="00336DBE"/>
    <w:rsid w:val="00336E99"/>
    <w:rsid w:val="00337307"/>
    <w:rsid w:val="00337624"/>
    <w:rsid w:val="00337BAC"/>
    <w:rsid w:val="00337D8A"/>
    <w:rsid w:val="003401E5"/>
    <w:rsid w:val="003402C6"/>
    <w:rsid w:val="003403D3"/>
    <w:rsid w:val="00340E9B"/>
    <w:rsid w:val="00341959"/>
    <w:rsid w:val="003419A1"/>
    <w:rsid w:val="00341D78"/>
    <w:rsid w:val="00341D8B"/>
    <w:rsid w:val="00342457"/>
    <w:rsid w:val="00342A5D"/>
    <w:rsid w:val="00343226"/>
    <w:rsid w:val="00343559"/>
    <w:rsid w:val="00343A99"/>
    <w:rsid w:val="00343BE6"/>
    <w:rsid w:val="00343DA6"/>
    <w:rsid w:val="00344699"/>
    <w:rsid w:val="00344A5B"/>
    <w:rsid w:val="00344A84"/>
    <w:rsid w:val="00344E9A"/>
    <w:rsid w:val="003450CB"/>
    <w:rsid w:val="00345593"/>
    <w:rsid w:val="00345FA9"/>
    <w:rsid w:val="00346183"/>
    <w:rsid w:val="0034641D"/>
    <w:rsid w:val="00346643"/>
    <w:rsid w:val="00346C95"/>
    <w:rsid w:val="00346D29"/>
    <w:rsid w:val="00346D2B"/>
    <w:rsid w:val="00347065"/>
    <w:rsid w:val="003470BE"/>
    <w:rsid w:val="00347342"/>
    <w:rsid w:val="0034738C"/>
    <w:rsid w:val="00347AA1"/>
    <w:rsid w:val="00347B81"/>
    <w:rsid w:val="003500CC"/>
    <w:rsid w:val="00350137"/>
    <w:rsid w:val="003508CD"/>
    <w:rsid w:val="00350CF0"/>
    <w:rsid w:val="00350FEF"/>
    <w:rsid w:val="00351147"/>
    <w:rsid w:val="003513C8"/>
    <w:rsid w:val="003513F0"/>
    <w:rsid w:val="00352033"/>
    <w:rsid w:val="003523EE"/>
    <w:rsid w:val="003527E2"/>
    <w:rsid w:val="003528C1"/>
    <w:rsid w:val="0035295D"/>
    <w:rsid w:val="00352C95"/>
    <w:rsid w:val="003533E0"/>
    <w:rsid w:val="0035379E"/>
    <w:rsid w:val="00353892"/>
    <w:rsid w:val="00353972"/>
    <w:rsid w:val="003547CB"/>
    <w:rsid w:val="00354A4D"/>
    <w:rsid w:val="00354E59"/>
    <w:rsid w:val="0035504C"/>
    <w:rsid w:val="003550D4"/>
    <w:rsid w:val="00355188"/>
    <w:rsid w:val="00355242"/>
    <w:rsid w:val="003555B8"/>
    <w:rsid w:val="00355769"/>
    <w:rsid w:val="003558F5"/>
    <w:rsid w:val="003559ED"/>
    <w:rsid w:val="00355A42"/>
    <w:rsid w:val="00355E3E"/>
    <w:rsid w:val="00356185"/>
    <w:rsid w:val="0035634C"/>
    <w:rsid w:val="0035729D"/>
    <w:rsid w:val="00357486"/>
    <w:rsid w:val="00357600"/>
    <w:rsid w:val="00357727"/>
    <w:rsid w:val="00357AB2"/>
    <w:rsid w:val="00357E90"/>
    <w:rsid w:val="00357EBE"/>
    <w:rsid w:val="00357FAB"/>
    <w:rsid w:val="00360076"/>
    <w:rsid w:val="00360380"/>
    <w:rsid w:val="00360575"/>
    <w:rsid w:val="00360DF5"/>
    <w:rsid w:val="00360DF6"/>
    <w:rsid w:val="00360E13"/>
    <w:rsid w:val="00360EC9"/>
    <w:rsid w:val="00360F78"/>
    <w:rsid w:val="00361CB0"/>
    <w:rsid w:val="00361E5F"/>
    <w:rsid w:val="0036247E"/>
    <w:rsid w:val="0036281C"/>
    <w:rsid w:val="003628E9"/>
    <w:rsid w:val="00362AE8"/>
    <w:rsid w:val="00363417"/>
    <w:rsid w:val="00363772"/>
    <w:rsid w:val="003639E7"/>
    <w:rsid w:val="00363A3F"/>
    <w:rsid w:val="00363B69"/>
    <w:rsid w:val="00363FBD"/>
    <w:rsid w:val="00364165"/>
    <w:rsid w:val="003645B4"/>
    <w:rsid w:val="00364AC9"/>
    <w:rsid w:val="00364D74"/>
    <w:rsid w:val="00364E00"/>
    <w:rsid w:val="0036502F"/>
    <w:rsid w:val="0036510E"/>
    <w:rsid w:val="003652AB"/>
    <w:rsid w:val="00365EB8"/>
    <w:rsid w:val="0036614C"/>
    <w:rsid w:val="003661B2"/>
    <w:rsid w:val="0036634F"/>
    <w:rsid w:val="0036651A"/>
    <w:rsid w:val="00366ADD"/>
    <w:rsid w:val="003670E7"/>
    <w:rsid w:val="003675E5"/>
    <w:rsid w:val="00367BDC"/>
    <w:rsid w:val="00367C3F"/>
    <w:rsid w:val="00367CA4"/>
    <w:rsid w:val="00367E86"/>
    <w:rsid w:val="00370085"/>
    <w:rsid w:val="003701D9"/>
    <w:rsid w:val="00370353"/>
    <w:rsid w:val="00370549"/>
    <w:rsid w:val="00370742"/>
    <w:rsid w:val="00371913"/>
    <w:rsid w:val="00371A6F"/>
    <w:rsid w:val="00372131"/>
    <w:rsid w:val="0037278A"/>
    <w:rsid w:val="00372870"/>
    <w:rsid w:val="00372B1B"/>
    <w:rsid w:val="00373626"/>
    <w:rsid w:val="003738D7"/>
    <w:rsid w:val="00373A02"/>
    <w:rsid w:val="00373A0C"/>
    <w:rsid w:val="00373B73"/>
    <w:rsid w:val="00373E57"/>
    <w:rsid w:val="003742C8"/>
    <w:rsid w:val="003742D2"/>
    <w:rsid w:val="00374597"/>
    <w:rsid w:val="0037480D"/>
    <w:rsid w:val="00374B7D"/>
    <w:rsid w:val="003757D0"/>
    <w:rsid w:val="00375BD2"/>
    <w:rsid w:val="00375C0E"/>
    <w:rsid w:val="00375C1E"/>
    <w:rsid w:val="00375D8A"/>
    <w:rsid w:val="00376490"/>
    <w:rsid w:val="00376598"/>
    <w:rsid w:val="00376D82"/>
    <w:rsid w:val="00377287"/>
    <w:rsid w:val="003779AD"/>
    <w:rsid w:val="00377CE5"/>
    <w:rsid w:val="0038019B"/>
    <w:rsid w:val="003803A8"/>
    <w:rsid w:val="00380743"/>
    <w:rsid w:val="00380AEC"/>
    <w:rsid w:val="00380B64"/>
    <w:rsid w:val="00380BCE"/>
    <w:rsid w:val="00380DD1"/>
    <w:rsid w:val="00380DFA"/>
    <w:rsid w:val="00381110"/>
    <w:rsid w:val="00381275"/>
    <w:rsid w:val="0038158C"/>
    <w:rsid w:val="003816B3"/>
    <w:rsid w:val="003818C1"/>
    <w:rsid w:val="003819B8"/>
    <w:rsid w:val="00381C61"/>
    <w:rsid w:val="00382761"/>
    <w:rsid w:val="00382C39"/>
    <w:rsid w:val="0038307F"/>
    <w:rsid w:val="003836AB"/>
    <w:rsid w:val="00383FF6"/>
    <w:rsid w:val="00384606"/>
    <w:rsid w:val="00384754"/>
    <w:rsid w:val="003848FF"/>
    <w:rsid w:val="00384D4E"/>
    <w:rsid w:val="00384E4C"/>
    <w:rsid w:val="00385C70"/>
    <w:rsid w:val="00386545"/>
    <w:rsid w:val="0038683C"/>
    <w:rsid w:val="0038683D"/>
    <w:rsid w:val="003868E9"/>
    <w:rsid w:val="00386A9E"/>
    <w:rsid w:val="00386CF0"/>
    <w:rsid w:val="00386ECD"/>
    <w:rsid w:val="00386F16"/>
    <w:rsid w:val="00387929"/>
    <w:rsid w:val="00387B9A"/>
    <w:rsid w:val="00387E8F"/>
    <w:rsid w:val="00387FC1"/>
    <w:rsid w:val="003905DC"/>
    <w:rsid w:val="00390688"/>
    <w:rsid w:val="0039082B"/>
    <w:rsid w:val="00390C07"/>
    <w:rsid w:val="00390E1A"/>
    <w:rsid w:val="003912A6"/>
    <w:rsid w:val="00391E81"/>
    <w:rsid w:val="00392130"/>
    <w:rsid w:val="003921AA"/>
    <w:rsid w:val="003922B2"/>
    <w:rsid w:val="003929D0"/>
    <w:rsid w:val="00392E4C"/>
    <w:rsid w:val="003930A2"/>
    <w:rsid w:val="00393445"/>
    <w:rsid w:val="00393448"/>
    <w:rsid w:val="0039344F"/>
    <w:rsid w:val="00393769"/>
    <w:rsid w:val="00393872"/>
    <w:rsid w:val="0039447A"/>
    <w:rsid w:val="00394AF9"/>
    <w:rsid w:val="00394C06"/>
    <w:rsid w:val="00394C3D"/>
    <w:rsid w:val="00394CD0"/>
    <w:rsid w:val="00394E1F"/>
    <w:rsid w:val="00395233"/>
    <w:rsid w:val="00395583"/>
    <w:rsid w:val="00395C27"/>
    <w:rsid w:val="00395D74"/>
    <w:rsid w:val="0039660E"/>
    <w:rsid w:val="003966C4"/>
    <w:rsid w:val="00397012"/>
    <w:rsid w:val="003974DF"/>
    <w:rsid w:val="0039767F"/>
    <w:rsid w:val="003978EF"/>
    <w:rsid w:val="00397AFA"/>
    <w:rsid w:val="00397C9F"/>
    <w:rsid w:val="00397CEF"/>
    <w:rsid w:val="00397DC4"/>
    <w:rsid w:val="003A06CF"/>
    <w:rsid w:val="003A174E"/>
    <w:rsid w:val="003A1CAB"/>
    <w:rsid w:val="003A1D79"/>
    <w:rsid w:val="003A2270"/>
    <w:rsid w:val="003A2506"/>
    <w:rsid w:val="003A31E7"/>
    <w:rsid w:val="003A3ACF"/>
    <w:rsid w:val="003A431E"/>
    <w:rsid w:val="003A4CCF"/>
    <w:rsid w:val="003A557C"/>
    <w:rsid w:val="003A5852"/>
    <w:rsid w:val="003A5933"/>
    <w:rsid w:val="003A5976"/>
    <w:rsid w:val="003A5CF9"/>
    <w:rsid w:val="003A5F00"/>
    <w:rsid w:val="003A5F02"/>
    <w:rsid w:val="003A61C6"/>
    <w:rsid w:val="003A6220"/>
    <w:rsid w:val="003A6675"/>
    <w:rsid w:val="003A66F0"/>
    <w:rsid w:val="003A6A3C"/>
    <w:rsid w:val="003A6AE1"/>
    <w:rsid w:val="003A6E09"/>
    <w:rsid w:val="003A7106"/>
    <w:rsid w:val="003A71F4"/>
    <w:rsid w:val="003A723B"/>
    <w:rsid w:val="003A724A"/>
    <w:rsid w:val="003A74BB"/>
    <w:rsid w:val="003A7971"/>
    <w:rsid w:val="003A7E29"/>
    <w:rsid w:val="003A7FA8"/>
    <w:rsid w:val="003B0471"/>
    <w:rsid w:val="003B0A7F"/>
    <w:rsid w:val="003B0C66"/>
    <w:rsid w:val="003B0CA0"/>
    <w:rsid w:val="003B16AC"/>
    <w:rsid w:val="003B1B1C"/>
    <w:rsid w:val="003B1E2E"/>
    <w:rsid w:val="003B26A4"/>
    <w:rsid w:val="003B3094"/>
    <w:rsid w:val="003B341A"/>
    <w:rsid w:val="003B396A"/>
    <w:rsid w:val="003B3A0B"/>
    <w:rsid w:val="003B3CD9"/>
    <w:rsid w:val="003B451A"/>
    <w:rsid w:val="003B4572"/>
    <w:rsid w:val="003B4C86"/>
    <w:rsid w:val="003B5118"/>
    <w:rsid w:val="003B56B1"/>
    <w:rsid w:val="003B57DC"/>
    <w:rsid w:val="003B5823"/>
    <w:rsid w:val="003B59D9"/>
    <w:rsid w:val="003B5E55"/>
    <w:rsid w:val="003B6528"/>
    <w:rsid w:val="003B6C36"/>
    <w:rsid w:val="003B6D3A"/>
    <w:rsid w:val="003B71FF"/>
    <w:rsid w:val="003B771B"/>
    <w:rsid w:val="003B78A3"/>
    <w:rsid w:val="003B7910"/>
    <w:rsid w:val="003B794F"/>
    <w:rsid w:val="003B7AD5"/>
    <w:rsid w:val="003B7B5D"/>
    <w:rsid w:val="003B7E4E"/>
    <w:rsid w:val="003B7E9C"/>
    <w:rsid w:val="003B7EF5"/>
    <w:rsid w:val="003C0A19"/>
    <w:rsid w:val="003C0E87"/>
    <w:rsid w:val="003C18BC"/>
    <w:rsid w:val="003C1A9C"/>
    <w:rsid w:val="003C2014"/>
    <w:rsid w:val="003C228B"/>
    <w:rsid w:val="003C251B"/>
    <w:rsid w:val="003C2AB0"/>
    <w:rsid w:val="003C2AB7"/>
    <w:rsid w:val="003C2ABC"/>
    <w:rsid w:val="003C2F4A"/>
    <w:rsid w:val="003C3010"/>
    <w:rsid w:val="003C3634"/>
    <w:rsid w:val="003C3FB0"/>
    <w:rsid w:val="003C4A42"/>
    <w:rsid w:val="003C4B22"/>
    <w:rsid w:val="003C5129"/>
    <w:rsid w:val="003C5224"/>
    <w:rsid w:val="003C5B0F"/>
    <w:rsid w:val="003C5F03"/>
    <w:rsid w:val="003C676B"/>
    <w:rsid w:val="003C6815"/>
    <w:rsid w:val="003C73C4"/>
    <w:rsid w:val="003C7470"/>
    <w:rsid w:val="003C7713"/>
    <w:rsid w:val="003C77DC"/>
    <w:rsid w:val="003C7A03"/>
    <w:rsid w:val="003C7BD0"/>
    <w:rsid w:val="003C7C62"/>
    <w:rsid w:val="003C7F06"/>
    <w:rsid w:val="003D113D"/>
    <w:rsid w:val="003D139E"/>
    <w:rsid w:val="003D13EF"/>
    <w:rsid w:val="003D1521"/>
    <w:rsid w:val="003D19F6"/>
    <w:rsid w:val="003D1FF6"/>
    <w:rsid w:val="003D28C3"/>
    <w:rsid w:val="003D2B70"/>
    <w:rsid w:val="003D319A"/>
    <w:rsid w:val="003D3B30"/>
    <w:rsid w:val="003D3BC2"/>
    <w:rsid w:val="003D3BED"/>
    <w:rsid w:val="003D42E9"/>
    <w:rsid w:val="003D439F"/>
    <w:rsid w:val="003D4A75"/>
    <w:rsid w:val="003D4D71"/>
    <w:rsid w:val="003D5097"/>
    <w:rsid w:val="003D5135"/>
    <w:rsid w:val="003D534D"/>
    <w:rsid w:val="003D59E3"/>
    <w:rsid w:val="003D6089"/>
    <w:rsid w:val="003D61F9"/>
    <w:rsid w:val="003D6240"/>
    <w:rsid w:val="003D64EB"/>
    <w:rsid w:val="003D679D"/>
    <w:rsid w:val="003D6B8B"/>
    <w:rsid w:val="003D722F"/>
    <w:rsid w:val="003D7BAA"/>
    <w:rsid w:val="003E01DC"/>
    <w:rsid w:val="003E0724"/>
    <w:rsid w:val="003E0811"/>
    <w:rsid w:val="003E0EC0"/>
    <w:rsid w:val="003E111D"/>
    <w:rsid w:val="003E151B"/>
    <w:rsid w:val="003E1A21"/>
    <w:rsid w:val="003E22FD"/>
    <w:rsid w:val="003E2556"/>
    <w:rsid w:val="003E2978"/>
    <w:rsid w:val="003E2B6D"/>
    <w:rsid w:val="003E2CF6"/>
    <w:rsid w:val="003E2D79"/>
    <w:rsid w:val="003E315B"/>
    <w:rsid w:val="003E36E8"/>
    <w:rsid w:val="003E37E7"/>
    <w:rsid w:val="003E3BF9"/>
    <w:rsid w:val="003E3DAA"/>
    <w:rsid w:val="003E3EAA"/>
    <w:rsid w:val="003E40BD"/>
    <w:rsid w:val="003E41AB"/>
    <w:rsid w:val="003E515A"/>
    <w:rsid w:val="003E52CE"/>
    <w:rsid w:val="003E5438"/>
    <w:rsid w:val="003E5767"/>
    <w:rsid w:val="003E5E7F"/>
    <w:rsid w:val="003E5EC1"/>
    <w:rsid w:val="003E6B54"/>
    <w:rsid w:val="003E6CA1"/>
    <w:rsid w:val="003E6D73"/>
    <w:rsid w:val="003E6F59"/>
    <w:rsid w:val="003E7128"/>
    <w:rsid w:val="003E73F9"/>
    <w:rsid w:val="003E74F1"/>
    <w:rsid w:val="003E7ACD"/>
    <w:rsid w:val="003E7ECF"/>
    <w:rsid w:val="003F007D"/>
    <w:rsid w:val="003F0888"/>
    <w:rsid w:val="003F0E4E"/>
    <w:rsid w:val="003F153A"/>
    <w:rsid w:val="003F17F3"/>
    <w:rsid w:val="003F1A19"/>
    <w:rsid w:val="003F245F"/>
    <w:rsid w:val="003F2712"/>
    <w:rsid w:val="003F2A5C"/>
    <w:rsid w:val="003F2AEF"/>
    <w:rsid w:val="003F2E36"/>
    <w:rsid w:val="003F2ED2"/>
    <w:rsid w:val="003F3396"/>
    <w:rsid w:val="003F342F"/>
    <w:rsid w:val="003F38EE"/>
    <w:rsid w:val="003F38F1"/>
    <w:rsid w:val="003F39E7"/>
    <w:rsid w:val="003F3AD6"/>
    <w:rsid w:val="003F3C02"/>
    <w:rsid w:val="003F3CA4"/>
    <w:rsid w:val="003F3CFA"/>
    <w:rsid w:val="003F439C"/>
    <w:rsid w:val="003F4456"/>
    <w:rsid w:val="003F4531"/>
    <w:rsid w:val="003F46B5"/>
    <w:rsid w:val="003F49E4"/>
    <w:rsid w:val="003F4A56"/>
    <w:rsid w:val="003F4E60"/>
    <w:rsid w:val="003F4F6B"/>
    <w:rsid w:val="003F4FFA"/>
    <w:rsid w:val="003F501E"/>
    <w:rsid w:val="003F52F4"/>
    <w:rsid w:val="003F54E0"/>
    <w:rsid w:val="003F5758"/>
    <w:rsid w:val="003F5ABB"/>
    <w:rsid w:val="003F5DBC"/>
    <w:rsid w:val="003F6338"/>
    <w:rsid w:val="003F638A"/>
    <w:rsid w:val="003F6984"/>
    <w:rsid w:val="003F6E8F"/>
    <w:rsid w:val="003F706E"/>
    <w:rsid w:val="003F7E40"/>
    <w:rsid w:val="003F7F73"/>
    <w:rsid w:val="003F7FAD"/>
    <w:rsid w:val="004001F4"/>
    <w:rsid w:val="004003F0"/>
    <w:rsid w:val="004003F5"/>
    <w:rsid w:val="004007C2"/>
    <w:rsid w:val="004009FC"/>
    <w:rsid w:val="00400C45"/>
    <w:rsid w:val="004010B0"/>
    <w:rsid w:val="004011E9"/>
    <w:rsid w:val="00401967"/>
    <w:rsid w:val="00401A7F"/>
    <w:rsid w:val="00401C1C"/>
    <w:rsid w:val="00402AC2"/>
    <w:rsid w:val="0040313F"/>
    <w:rsid w:val="00403AC1"/>
    <w:rsid w:val="004040DA"/>
    <w:rsid w:val="0040438E"/>
    <w:rsid w:val="0040488F"/>
    <w:rsid w:val="00404E55"/>
    <w:rsid w:val="00404F46"/>
    <w:rsid w:val="00404FE6"/>
    <w:rsid w:val="00405361"/>
    <w:rsid w:val="00405A32"/>
    <w:rsid w:val="00405BC8"/>
    <w:rsid w:val="00405C29"/>
    <w:rsid w:val="00406039"/>
    <w:rsid w:val="004064A2"/>
    <w:rsid w:val="00406BB0"/>
    <w:rsid w:val="00406CB5"/>
    <w:rsid w:val="00406F64"/>
    <w:rsid w:val="004079F1"/>
    <w:rsid w:val="00407A34"/>
    <w:rsid w:val="00407EFB"/>
    <w:rsid w:val="0041047E"/>
    <w:rsid w:val="00410A7A"/>
    <w:rsid w:val="00410AE9"/>
    <w:rsid w:val="00411861"/>
    <w:rsid w:val="004119AE"/>
    <w:rsid w:val="0041202A"/>
    <w:rsid w:val="00412250"/>
    <w:rsid w:val="00412267"/>
    <w:rsid w:val="00412C81"/>
    <w:rsid w:val="00412C9A"/>
    <w:rsid w:val="0041306A"/>
    <w:rsid w:val="004134F5"/>
    <w:rsid w:val="004138E9"/>
    <w:rsid w:val="00413CE4"/>
    <w:rsid w:val="00414227"/>
    <w:rsid w:val="00414411"/>
    <w:rsid w:val="00415135"/>
    <w:rsid w:val="004154FF"/>
    <w:rsid w:val="00415BBD"/>
    <w:rsid w:val="0041616C"/>
    <w:rsid w:val="00416215"/>
    <w:rsid w:val="00416470"/>
    <w:rsid w:val="004165C2"/>
    <w:rsid w:val="00416ADC"/>
    <w:rsid w:val="00416B51"/>
    <w:rsid w:val="004170C6"/>
    <w:rsid w:val="00417460"/>
    <w:rsid w:val="0041778C"/>
    <w:rsid w:val="0041782F"/>
    <w:rsid w:val="00417966"/>
    <w:rsid w:val="00417AC6"/>
    <w:rsid w:val="00417C85"/>
    <w:rsid w:val="00417CBD"/>
    <w:rsid w:val="00417E6F"/>
    <w:rsid w:val="00420489"/>
    <w:rsid w:val="004205DD"/>
    <w:rsid w:val="00420BC3"/>
    <w:rsid w:val="0042105C"/>
    <w:rsid w:val="00421205"/>
    <w:rsid w:val="0042136A"/>
    <w:rsid w:val="00421621"/>
    <w:rsid w:val="004216C5"/>
    <w:rsid w:val="00421995"/>
    <w:rsid w:val="00421A18"/>
    <w:rsid w:val="00421EFD"/>
    <w:rsid w:val="004224B7"/>
    <w:rsid w:val="00422594"/>
    <w:rsid w:val="0042274D"/>
    <w:rsid w:val="00422E2F"/>
    <w:rsid w:val="0042303C"/>
    <w:rsid w:val="004231F7"/>
    <w:rsid w:val="004236B8"/>
    <w:rsid w:val="00423B60"/>
    <w:rsid w:val="00423D15"/>
    <w:rsid w:val="00424452"/>
    <w:rsid w:val="004244DC"/>
    <w:rsid w:val="00424962"/>
    <w:rsid w:val="00424BA4"/>
    <w:rsid w:val="00424BAB"/>
    <w:rsid w:val="00424CB5"/>
    <w:rsid w:val="00424EA8"/>
    <w:rsid w:val="0042533D"/>
    <w:rsid w:val="00425426"/>
    <w:rsid w:val="004254C0"/>
    <w:rsid w:val="0042566E"/>
    <w:rsid w:val="00425F29"/>
    <w:rsid w:val="00426453"/>
    <w:rsid w:val="004264E0"/>
    <w:rsid w:val="004265E4"/>
    <w:rsid w:val="0042699F"/>
    <w:rsid w:val="00426CA6"/>
    <w:rsid w:val="00426CF0"/>
    <w:rsid w:val="00427486"/>
    <w:rsid w:val="00427868"/>
    <w:rsid w:val="00427A2E"/>
    <w:rsid w:val="00427BBB"/>
    <w:rsid w:val="00430576"/>
    <w:rsid w:val="0043088F"/>
    <w:rsid w:val="004308D1"/>
    <w:rsid w:val="004314FA"/>
    <w:rsid w:val="004322D9"/>
    <w:rsid w:val="0043231F"/>
    <w:rsid w:val="0043250E"/>
    <w:rsid w:val="00432899"/>
    <w:rsid w:val="00432994"/>
    <w:rsid w:val="00432C81"/>
    <w:rsid w:val="0043310F"/>
    <w:rsid w:val="004332D8"/>
    <w:rsid w:val="00433664"/>
    <w:rsid w:val="0043456A"/>
    <w:rsid w:val="00434630"/>
    <w:rsid w:val="00434785"/>
    <w:rsid w:val="004347ED"/>
    <w:rsid w:val="00434849"/>
    <w:rsid w:val="004348D0"/>
    <w:rsid w:val="00434AC3"/>
    <w:rsid w:val="00435092"/>
    <w:rsid w:val="00435241"/>
    <w:rsid w:val="00435797"/>
    <w:rsid w:val="00435BC8"/>
    <w:rsid w:val="004363AB"/>
    <w:rsid w:val="00436503"/>
    <w:rsid w:val="00436F14"/>
    <w:rsid w:val="00436FF4"/>
    <w:rsid w:val="0043708E"/>
    <w:rsid w:val="00437367"/>
    <w:rsid w:val="00437845"/>
    <w:rsid w:val="004378F2"/>
    <w:rsid w:val="004378FB"/>
    <w:rsid w:val="00437BE0"/>
    <w:rsid w:val="00437CB9"/>
    <w:rsid w:val="00437D43"/>
    <w:rsid w:val="00437E1C"/>
    <w:rsid w:val="00437E20"/>
    <w:rsid w:val="00437FE1"/>
    <w:rsid w:val="004403AC"/>
    <w:rsid w:val="0044079F"/>
    <w:rsid w:val="0044096C"/>
    <w:rsid w:val="00440B67"/>
    <w:rsid w:val="00440D99"/>
    <w:rsid w:val="00440F62"/>
    <w:rsid w:val="004410E8"/>
    <w:rsid w:val="00441200"/>
    <w:rsid w:val="0044121F"/>
    <w:rsid w:val="004417F8"/>
    <w:rsid w:val="00441AA4"/>
    <w:rsid w:val="00441BB1"/>
    <w:rsid w:val="00441ECB"/>
    <w:rsid w:val="004424FF"/>
    <w:rsid w:val="00442850"/>
    <w:rsid w:val="00442B7F"/>
    <w:rsid w:val="00443644"/>
    <w:rsid w:val="00443D9D"/>
    <w:rsid w:val="00444095"/>
    <w:rsid w:val="00444265"/>
    <w:rsid w:val="0044444F"/>
    <w:rsid w:val="00444461"/>
    <w:rsid w:val="00444C04"/>
    <w:rsid w:val="00444E38"/>
    <w:rsid w:val="004451A2"/>
    <w:rsid w:val="00445497"/>
    <w:rsid w:val="00445FE0"/>
    <w:rsid w:val="00446198"/>
    <w:rsid w:val="004461C6"/>
    <w:rsid w:val="00446A1B"/>
    <w:rsid w:val="00447155"/>
    <w:rsid w:val="00447215"/>
    <w:rsid w:val="004479D4"/>
    <w:rsid w:val="00447D51"/>
    <w:rsid w:val="00447F13"/>
    <w:rsid w:val="00450A47"/>
    <w:rsid w:val="00450CA7"/>
    <w:rsid w:val="00450EE8"/>
    <w:rsid w:val="0045185C"/>
    <w:rsid w:val="0045203F"/>
    <w:rsid w:val="004538B2"/>
    <w:rsid w:val="00453BE6"/>
    <w:rsid w:val="00453C42"/>
    <w:rsid w:val="00453E6F"/>
    <w:rsid w:val="004545A6"/>
    <w:rsid w:val="00454F14"/>
    <w:rsid w:val="004557E0"/>
    <w:rsid w:val="00455AC0"/>
    <w:rsid w:val="00455C5C"/>
    <w:rsid w:val="00455C89"/>
    <w:rsid w:val="004562A5"/>
    <w:rsid w:val="0045640E"/>
    <w:rsid w:val="0045661F"/>
    <w:rsid w:val="0045690B"/>
    <w:rsid w:val="00456C1F"/>
    <w:rsid w:val="00456CCA"/>
    <w:rsid w:val="004571E7"/>
    <w:rsid w:val="0045758B"/>
    <w:rsid w:val="0045765A"/>
    <w:rsid w:val="0045788B"/>
    <w:rsid w:val="00457A3B"/>
    <w:rsid w:val="00457DA5"/>
    <w:rsid w:val="00457DCE"/>
    <w:rsid w:val="00457ED6"/>
    <w:rsid w:val="004601D7"/>
    <w:rsid w:val="004604B5"/>
    <w:rsid w:val="00460AA0"/>
    <w:rsid w:val="004610A9"/>
    <w:rsid w:val="004611CE"/>
    <w:rsid w:val="0046125C"/>
    <w:rsid w:val="00461473"/>
    <w:rsid w:val="0046192F"/>
    <w:rsid w:val="00462414"/>
    <w:rsid w:val="0046247F"/>
    <w:rsid w:val="00462771"/>
    <w:rsid w:val="00462B59"/>
    <w:rsid w:val="00462D95"/>
    <w:rsid w:val="00462F00"/>
    <w:rsid w:val="00462F3B"/>
    <w:rsid w:val="00462F66"/>
    <w:rsid w:val="00463106"/>
    <w:rsid w:val="004636CE"/>
    <w:rsid w:val="00463AB9"/>
    <w:rsid w:val="00463C21"/>
    <w:rsid w:val="00463C4C"/>
    <w:rsid w:val="00463D1C"/>
    <w:rsid w:val="00464741"/>
    <w:rsid w:val="004647F4"/>
    <w:rsid w:val="00464949"/>
    <w:rsid w:val="00465212"/>
    <w:rsid w:val="004664F9"/>
    <w:rsid w:val="00466977"/>
    <w:rsid w:val="004669A8"/>
    <w:rsid w:val="00466D04"/>
    <w:rsid w:val="00466F31"/>
    <w:rsid w:val="004671C7"/>
    <w:rsid w:val="00467534"/>
    <w:rsid w:val="00467B7E"/>
    <w:rsid w:val="00467D54"/>
    <w:rsid w:val="00470046"/>
    <w:rsid w:val="00470053"/>
    <w:rsid w:val="0047017B"/>
    <w:rsid w:val="00470193"/>
    <w:rsid w:val="00470568"/>
    <w:rsid w:val="0047063A"/>
    <w:rsid w:val="004706B2"/>
    <w:rsid w:val="004709B0"/>
    <w:rsid w:val="00470B7D"/>
    <w:rsid w:val="00470E85"/>
    <w:rsid w:val="004710B3"/>
    <w:rsid w:val="004711FE"/>
    <w:rsid w:val="0047125D"/>
    <w:rsid w:val="00471484"/>
    <w:rsid w:val="0047196C"/>
    <w:rsid w:val="004719E3"/>
    <w:rsid w:val="00471E58"/>
    <w:rsid w:val="00472759"/>
    <w:rsid w:val="0047286F"/>
    <w:rsid w:val="00472A16"/>
    <w:rsid w:val="00472C8A"/>
    <w:rsid w:val="00472DCC"/>
    <w:rsid w:val="00473B36"/>
    <w:rsid w:val="00473B4A"/>
    <w:rsid w:val="0047462B"/>
    <w:rsid w:val="0047491C"/>
    <w:rsid w:val="00474A08"/>
    <w:rsid w:val="00474B8A"/>
    <w:rsid w:val="0047509E"/>
    <w:rsid w:val="0047544B"/>
    <w:rsid w:val="004762C7"/>
    <w:rsid w:val="0047664A"/>
    <w:rsid w:val="004768CB"/>
    <w:rsid w:val="00476BE0"/>
    <w:rsid w:val="00476C0C"/>
    <w:rsid w:val="00477592"/>
    <w:rsid w:val="0047785D"/>
    <w:rsid w:val="00477AC5"/>
    <w:rsid w:val="004806EB"/>
    <w:rsid w:val="00480A29"/>
    <w:rsid w:val="00480BE6"/>
    <w:rsid w:val="00480CDD"/>
    <w:rsid w:val="00480D60"/>
    <w:rsid w:val="00480E41"/>
    <w:rsid w:val="00480FFA"/>
    <w:rsid w:val="00481138"/>
    <w:rsid w:val="004812FD"/>
    <w:rsid w:val="004813E2"/>
    <w:rsid w:val="00481581"/>
    <w:rsid w:val="0048200A"/>
    <w:rsid w:val="004821E1"/>
    <w:rsid w:val="004825DA"/>
    <w:rsid w:val="004826DF"/>
    <w:rsid w:val="004837BD"/>
    <w:rsid w:val="0048391F"/>
    <w:rsid w:val="00483AF1"/>
    <w:rsid w:val="00483BF2"/>
    <w:rsid w:val="00484838"/>
    <w:rsid w:val="0048489E"/>
    <w:rsid w:val="00484BE1"/>
    <w:rsid w:val="00484DFB"/>
    <w:rsid w:val="004859F8"/>
    <w:rsid w:val="00485F16"/>
    <w:rsid w:val="004862FF"/>
    <w:rsid w:val="0048630E"/>
    <w:rsid w:val="00486431"/>
    <w:rsid w:val="0048659E"/>
    <w:rsid w:val="004866AE"/>
    <w:rsid w:val="004866BC"/>
    <w:rsid w:val="004868C6"/>
    <w:rsid w:val="00486F1C"/>
    <w:rsid w:val="00486FF7"/>
    <w:rsid w:val="00487237"/>
    <w:rsid w:val="004879A8"/>
    <w:rsid w:val="004879E6"/>
    <w:rsid w:val="00487A9D"/>
    <w:rsid w:val="00490384"/>
    <w:rsid w:val="004904D3"/>
    <w:rsid w:val="004905CB"/>
    <w:rsid w:val="004909C8"/>
    <w:rsid w:val="00490A3E"/>
    <w:rsid w:val="00490E0C"/>
    <w:rsid w:val="00490F2E"/>
    <w:rsid w:val="004910CC"/>
    <w:rsid w:val="004921AB"/>
    <w:rsid w:val="0049241D"/>
    <w:rsid w:val="0049269C"/>
    <w:rsid w:val="004929C8"/>
    <w:rsid w:val="00492B05"/>
    <w:rsid w:val="00492E0E"/>
    <w:rsid w:val="00492F3F"/>
    <w:rsid w:val="004930F4"/>
    <w:rsid w:val="00493B99"/>
    <w:rsid w:val="00493C0B"/>
    <w:rsid w:val="00493EF9"/>
    <w:rsid w:val="0049419D"/>
    <w:rsid w:val="0049438E"/>
    <w:rsid w:val="0049462E"/>
    <w:rsid w:val="00494B65"/>
    <w:rsid w:val="00494F1F"/>
    <w:rsid w:val="004956BF"/>
    <w:rsid w:val="004956F6"/>
    <w:rsid w:val="00495B50"/>
    <w:rsid w:val="00495F35"/>
    <w:rsid w:val="00496186"/>
    <w:rsid w:val="00496351"/>
    <w:rsid w:val="00496B95"/>
    <w:rsid w:val="004976AC"/>
    <w:rsid w:val="00497B10"/>
    <w:rsid w:val="004A05B5"/>
    <w:rsid w:val="004A0972"/>
    <w:rsid w:val="004A0B3F"/>
    <w:rsid w:val="004A11F8"/>
    <w:rsid w:val="004A16C6"/>
    <w:rsid w:val="004A173E"/>
    <w:rsid w:val="004A183F"/>
    <w:rsid w:val="004A1B09"/>
    <w:rsid w:val="004A1E90"/>
    <w:rsid w:val="004A1EF4"/>
    <w:rsid w:val="004A1FF8"/>
    <w:rsid w:val="004A2094"/>
    <w:rsid w:val="004A258B"/>
    <w:rsid w:val="004A2F2E"/>
    <w:rsid w:val="004A3419"/>
    <w:rsid w:val="004A3A49"/>
    <w:rsid w:val="004A52A6"/>
    <w:rsid w:val="004A5667"/>
    <w:rsid w:val="004A5942"/>
    <w:rsid w:val="004A5BC7"/>
    <w:rsid w:val="004A5D6F"/>
    <w:rsid w:val="004A617D"/>
    <w:rsid w:val="004A6257"/>
    <w:rsid w:val="004A70F3"/>
    <w:rsid w:val="004A7144"/>
    <w:rsid w:val="004A7339"/>
    <w:rsid w:val="004A79F0"/>
    <w:rsid w:val="004A7BEC"/>
    <w:rsid w:val="004A7E5C"/>
    <w:rsid w:val="004B01BA"/>
    <w:rsid w:val="004B0689"/>
    <w:rsid w:val="004B0B09"/>
    <w:rsid w:val="004B0C2F"/>
    <w:rsid w:val="004B0DCD"/>
    <w:rsid w:val="004B0E0B"/>
    <w:rsid w:val="004B0EDD"/>
    <w:rsid w:val="004B13E6"/>
    <w:rsid w:val="004B1BE5"/>
    <w:rsid w:val="004B24F2"/>
    <w:rsid w:val="004B2543"/>
    <w:rsid w:val="004B2554"/>
    <w:rsid w:val="004B2646"/>
    <w:rsid w:val="004B2AD6"/>
    <w:rsid w:val="004B2DCD"/>
    <w:rsid w:val="004B316C"/>
    <w:rsid w:val="004B31A2"/>
    <w:rsid w:val="004B327C"/>
    <w:rsid w:val="004B3699"/>
    <w:rsid w:val="004B3822"/>
    <w:rsid w:val="004B3950"/>
    <w:rsid w:val="004B3A73"/>
    <w:rsid w:val="004B3ACD"/>
    <w:rsid w:val="004B3D32"/>
    <w:rsid w:val="004B3DE0"/>
    <w:rsid w:val="004B3E96"/>
    <w:rsid w:val="004B44D1"/>
    <w:rsid w:val="004B520F"/>
    <w:rsid w:val="004B5283"/>
    <w:rsid w:val="004B541C"/>
    <w:rsid w:val="004B5B99"/>
    <w:rsid w:val="004B5E6C"/>
    <w:rsid w:val="004B6F69"/>
    <w:rsid w:val="004B705D"/>
    <w:rsid w:val="004B70BC"/>
    <w:rsid w:val="004B71DC"/>
    <w:rsid w:val="004B788A"/>
    <w:rsid w:val="004B7BB8"/>
    <w:rsid w:val="004B7F0B"/>
    <w:rsid w:val="004C0442"/>
    <w:rsid w:val="004C051E"/>
    <w:rsid w:val="004C0C8C"/>
    <w:rsid w:val="004C1192"/>
    <w:rsid w:val="004C124F"/>
    <w:rsid w:val="004C19F4"/>
    <w:rsid w:val="004C1E57"/>
    <w:rsid w:val="004C1FA2"/>
    <w:rsid w:val="004C20D2"/>
    <w:rsid w:val="004C28A0"/>
    <w:rsid w:val="004C2CDF"/>
    <w:rsid w:val="004C3017"/>
    <w:rsid w:val="004C31F0"/>
    <w:rsid w:val="004C32D2"/>
    <w:rsid w:val="004C33D2"/>
    <w:rsid w:val="004C33DA"/>
    <w:rsid w:val="004C36C5"/>
    <w:rsid w:val="004C38AD"/>
    <w:rsid w:val="004C4074"/>
    <w:rsid w:val="004C4B62"/>
    <w:rsid w:val="004C4B6F"/>
    <w:rsid w:val="004C4D01"/>
    <w:rsid w:val="004C518B"/>
    <w:rsid w:val="004C526B"/>
    <w:rsid w:val="004C54C9"/>
    <w:rsid w:val="004C5730"/>
    <w:rsid w:val="004C5B63"/>
    <w:rsid w:val="004C5D37"/>
    <w:rsid w:val="004C5E9F"/>
    <w:rsid w:val="004C5ED3"/>
    <w:rsid w:val="004C609C"/>
    <w:rsid w:val="004C642E"/>
    <w:rsid w:val="004C6757"/>
    <w:rsid w:val="004C67C3"/>
    <w:rsid w:val="004C67FF"/>
    <w:rsid w:val="004C6870"/>
    <w:rsid w:val="004C69F4"/>
    <w:rsid w:val="004C6A80"/>
    <w:rsid w:val="004C6FB2"/>
    <w:rsid w:val="004C7312"/>
    <w:rsid w:val="004C7450"/>
    <w:rsid w:val="004C78D5"/>
    <w:rsid w:val="004C7A88"/>
    <w:rsid w:val="004D0030"/>
    <w:rsid w:val="004D0630"/>
    <w:rsid w:val="004D0917"/>
    <w:rsid w:val="004D0E7F"/>
    <w:rsid w:val="004D0F07"/>
    <w:rsid w:val="004D182F"/>
    <w:rsid w:val="004D19C3"/>
    <w:rsid w:val="004D2149"/>
    <w:rsid w:val="004D2643"/>
    <w:rsid w:val="004D30AE"/>
    <w:rsid w:val="004D3DAE"/>
    <w:rsid w:val="004D3DDC"/>
    <w:rsid w:val="004D4178"/>
    <w:rsid w:val="004D43BA"/>
    <w:rsid w:val="004D4704"/>
    <w:rsid w:val="004D4AD2"/>
    <w:rsid w:val="004D4B43"/>
    <w:rsid w:val="004D4BC8"/>
    <w:rsid w:val="004D4C6B"/>
    <w:rsid w:val="004D4FEE"/>
    <w:rsid w:val="004D5333"/>
    <w:rsid w:val="004D53D0"/>
    <w:rsid w:val="004D5A17"/>
    <w:rsid w:val="004D5EBF"/>
    <w:rsid w:val="004D5ED4"/>
    <w:rsid w:val="004D5F62"/>
    <w:rsid w:val="004D6025"/>
    <w:rsid w:val="004D60D4"/>
    <w:rsid w:val="004D631A"/>
    <w:rsid w:val="004D6324"/>
    <w:rsid w:val="004D6460"/>
    <w:rsid w:val="004D64FB"/>
    <w:rsid w:val="004D6611"/>
    <w:rsid w:val="004D6A88"/>
    <w:rsid w:val="004D6AC8"/>
    <w:rsid w:val="004D6DF5"/>
    <w:rsid w:val="004D6F68"/>
    <w:rsid w:val="004D7133"/>
    <w:rsid w:val="004D741F"/>
    <w:rsid w:val="004D7BB7"/>
    <w:rsid w:val="004E07AE"/>
    <w:rsid w:val="004E0DAA"/>
    <w:rsid w:val="004E0FCD"/>
    <w:rsid w:val="004E17C8"/>
    <w:rsid w:val="004E1D1E"/>
    <w:rsid w:val="004E1DE1"/>
    <w:rsid w:val="004E1FA6"/>
    <w:rsid w:val="004E2649"/>
    <w:rsid w:val="004E274B"/>
    <w:rsid w:val="004E2C4D"/>
    <w:rsid w:val="004E308B"/>
    <w:rsid w:val="004E3657"/>
    <w:rsid w:val="004E3AB5"/>
    <w:rsid w:val="004E3B05"/>
    <w:rsid w:val="004E4868"/>
    <w:rsid w:val="004E4F27"/>
    <w:rsid w:val="004E4F29"/>
    <w:rsid w:val="004E4F80"/>
    <w:rsid w:val="004E50AF"/>
    <w:rsid w:val="004E5351"/>
    <w:rsid w:val="004E54FC"/>
    <w:rsid w:val="004E58ED"/>
    <w:rsid w:val="004E6D2E"/>
    <w:rsid w:val="004E6EA6"/>
    <w:rsid w:val="004E73D4"/>
    <w:rsid w:val="004E77CB"/>
    <w:rsid w:val="004E788C"/>
    <w:rsid w:val="004E7996"/>
    <w:rsid w:val="004E79B7"/>
    <w:rsid w:val="004E7E35"/>
    <w:rsid w:val="004F0290"/>
    <w:rsid w:val="004F0655"/>
    <w:rsid w:val="004F11A9"/>
    <w:rsid w:val="004F11E7"/>
    <w:rsid w:val="004F18E4"/>
    <w:rsid w:val="004F1A94"/>
    <w:rsid w:val="004F1AF1"/>
    <w:rsid w:val="004F1B7B"/>
    <w:rsid w:val="004F1DA0"/>
    <w:rsid w:val="004F2230"/>
    <w:rsid w:val="004F23A6"/>
    <w:rsid w:val="004F2C05"/>
    <w:rsid w:val="004F2CE6"/>
    <w:rsid w:val="004F2EE9"/>
    <w:rsid w:val="004F3269"/>
    <w:rsid w:val="004F334B"/>
    <w:rsid w:val="004F34D2"/>
    <w:rsid w:val="004F361D"/>
    <w:rsid w:val="004F36CD"/>
    <w:rsid w:val="004F3B0B"/>
    <w:rsid w:val="004F3C45"/>
    <w:rsid w:val="004F3CB3"/>
    <w:rsid w:val="004F423E"/>
    <w:rsid w:val="004F46D8"/>
    <w:rsid w:val="004F4ACF"/>
    <w:rsid w:val="004F4EED"/>
    <w:rsid w:val="004F4F61"/>
    <w:rsid w:val="004F4FF8"/>
    <w:rsid w:val="004F5006"/>
    <w:rsid w:val="004F5715"/>
    <w:rsid w:val="004F573D"/>
    <w:rsid w:val="004F57C9"/>
    <w:rsid w:val="004F57FF"/>
    <w:rsid w:val="004F5B2D"/>
    <w:rsid w:val="004F600F"/>
    <w:rsid w:val="004F604D"/>
    <w:rsid w:val="004F6231"/>
    <w:rsid w:val="004F6A8C"/>
    <w:rsid w:val="004F6B5E"/>
    <w:rsid w:val="004F6BA3"/>
    <w:rsid w:val="00500955"/>
    <w:rsid w:val="00500E27"/>
    <w:rsid w:val="005011E6"/>
    <w:rsid w:val="0050125E"/>
    <w:rsid w:val="00501399"/>
    <w:rsid w:val="005013C5"/>
    <w:rsid w:val="00501B1B"/>
    <w:rsid w:val="00501D9A"/>
    <w:rsid w:val="00501F6C"/>
    <w:rsid w:val="00502121"/>
    <w:rsid w:val="00502BA5"/>
    <w:rsid w:val="00502E53"/>
    <w:rsid w:val="0050307A"/>
    <w:rsid w:val="005032BD"/>
    <w:rsid w:val="0050364E"/>
    <w:rsid w:val="00503A50"/>
    <w:rsid w:val="0050429C"/>
    <w:rsid w:val="0050469A"/>
    <w:rsid w:val="00504A1A"/>
    <w:rsid w:val="00504D4C"/>
    <w:rsid w:val="00504DD5"/>
    <w:rsid w:val="00504FE2"/>
    <w:rsid w:val="00505151"/>
    <w:rsid w:val="00505527"/>
    <w:rsid w:val="005055D2"/>
    <w:rsid w:val="005059A1"/>
    <w:rsid w:val="00505A3B"/>
    <w:rsid w:val="00505A4D"/>
    <w:rsid w:val="00505D03"/>
    <w:rsid w:val="0050633D"/>
    <w:rsid w:val="00506D0A"/>
    <w:rsid w:val="005070E5"/>
    <w:rsid w:val="00507BC4"/>
    <w:rsid w:val="005101F6"/>
    <w:rsid w:val="00510211"/>
    <w:rsid w:val="00510234"/>
    <w:rsid w:val="00510255"/>
    <w:rsid w:val="00510325"/>
    <w:rsid w:val="0051067D"/>
    <w:rsid w:val="00510CEA"/>
    <w:rsid w:val="0051128D"/>
    <w:rsid w:val="005114B6"/>
    <w:rsid w:val="00511514"/>
    <w:rsid w:val="005121F5"/>
    <w:rsid w:val="00512302"/>
    <w:rsid w:val="00512714"/>
    <w:rsid w:val="005128E4"/>
    <w:rsid w:val="00512E8A"/>
    <w:rsid w:val="005133DB"/>
    <w:rsid w:val="005134B9"/>
    <w:rsid w:val="00513755"/>
    <w:rsid w:val="005139D5"/>
    <w:rsid w:val="00513CB7"/>
    <w:rsid w:val="00513E30"/>
    <w:rsid w:val="00514330"/>
    <w:rsid w:val="0051487D"/>
    <w:rsid w:val="005155B3"/>
    <w:rsid w:val="00515A14"/>
    <w:rsid w:val="00515B37"/>
    <w:rsid w:val="0051673E"/>
    <w:rsid w:val="00516871"/>
    <w:rsid w:val="005169D0"/>
    <w:rsid w:val="00516C63"/>
    <w:rsid w:val="00516DCE"/>
    <w:rsid w:val="00517746"/>
    <w:rsid w:val="00520869"/>
    <w:rsid w:val="00520AD9"/>
    <w:rsid w:val="005216DC"/>
    <w:rsid w:val="0052196E"/>
    <w:rsid w:val="00521C52"/>
    <w:rsid w:val="00521C8E"/>
    <w:rsid w:val="00521CF5"/>
    <w:rsid w:val="0052239B"/>
    <w:rsid w:val="0052266E"/>
    <w:rsid w:val="00522F4D"/>
    <w:rsid w:val="0052356C"/>
    <w:rsid w:val="005239B1"/>
    <w:rsid w:val="0052405D"/>
    <w:rsid w:val="0052425B"/>
    <w:rsid w:val="005245C0"/>
    <w:rsid w:val="0052469C"/>
    <w:rsid w:val="0052491D"/>
    <w:rsid w:val="00524C2F"/>
    <w:rsid w:val="00524D3F"/>
    <w:rsid w:val="005254C4"/>
    <w:rsid w:val="00525560"/>
    <w:rsid w:val="0052567E"/>
    <w:rsid w:val="005259A3"/>
    <w:rsid w:val="00526081"/>
    <w:rsid w:val="005260C9"/>
    <w:rsid w:val="00526252"/>
    <w:rsid w:val="00527688"/>
    <w:rsid w:val="005276EF"/>
    <w:rsid w:val="005278B0"/>
    <w:rsid w:val="00527D40"/>
    <w:rsid w:val="00527E01"/>
    <w:rsid w:val="00527E99"/>
    <w:rsid w:val="0053004F"/>
    <w:rsid w:val="00530AED"/>
    <w:rsid w:val="00530D87"/>
    <w:rsid w:val="00530E8B"/>
    <w:rsid w:val="005319E8"/>
    <w:rsid w:val="00531BC2"/>
    <w:rsid w:val="00531E33"/>
    <w:rsid w:val="00531F93"/>
    <w:rsid w:val="0053252B"/>
    <w:rsid w:val="00532590"/>
    <w:rsid w:val="00532692"/>
    <w:rsid w:val="00532A86"/>
    <w:rsid w:val="005334E2"/>
    <w:rsid w:val="0053366D"/>
    <w:rsid w:val="0053407C"/>
    <w:rsid w:val="005342C2"/>
    <w:rsid w:val="00534382"/>
    <w:rsid w:val="00534464"/>
    <w:rsid w:val="00536644"/>
    <w:rsid w:val="00536BCA"/>
    <w:rsid w:val="00536EA7"/>
    <w:rsid w:val="0053714C"/>
    <w:rsid w:val="0053723D"/>
    <w:rsid w:val="0053747D"/>
    <w:rsid w:val="00537BA6"/>
    <w:rsid w:val="00537E23"/>
    <w:rsid w:val="00537E73"/>
    <w:rsid w:val="005403C4"/>
    <w:rsid w:val="00540577"/>
    <w:rsid w:val="005406CB"/>
    <w:rsid w:val="005408E8"/>
    <w:rsid w:val="00540A6A"/>
    <w:rsid w:val="00540C2B"/>
    <w:rsid w:val="00540EA2"/>
    <w:rsid w:val="005410E2"/>
    <w:rsid w:val="00541B5A"/>
    <w:rsid w:val="00541F66"/>
    <w:rsid w:val="0054210D"/>
    <w:rsid w:val="0054242C"/>
    <w:rsid w:val="00542560"/>
    <w:rsid w:val="00542583"/>
    <w:rsid w:val="00542774"/>
    <w:rsid w:val="00542A42"/>
    <w:rsid w:val="00542A9F"/>
    <w:rsid w:val="0054312D"/>
    <w:rsid w:val="005432FB"/>
    <w:rsid w:val="00543399"/>
    <w:rsid w:val="00543E41"/>
    <w:rsid w:val="00543EE5"/>
    <w:rsid w:val="00543FF6"/>
    <w:rsid w:val="00544007"/>
    <w:rsid w:val="00544144"/>
    <w:rsid w:val="0054436F"/>
    <w:rsid w:val="005444EF"/>
    <w:rsid w:val="00544570"/>
    <w:rsid w:val="00544ABA"/>
    <w:rsid w:val="00544C49"/>
    <w:rsid w:val="00544F8F"/>
    <w:rsid w:val="00544FDE"/>
    <w:rsid w:val="005451EB"/>
    <w:rsid w:val="0054575C"/>
    <w:rsid w:val="00545A37"/>
    <w:rsid w:val="00545E4B"/>
    <w:rsid w:val="00545FCB"/>
    <w:rsid w:val="0054604C"/>
    <w:rsid w:val="005461B1"/>
    <w:rsid w:val="0054729D"/>
    <w:rsid w:val="00547331"/>
    <w:rsid w:val="0054741E"/>
    <w:rsid w:val="005477CF"/>
    <w:rsid w:val="00547E2E"/>
    <w:rsid w:val="00550CD0"/>
    <w:rsid w:val="00550D2B"/>
    <w:rsid w:val="00550F89"/>
    <w:rsid w:val="00550FA9"/>
    <w:rsid w:val="0055110A"/>
    <w:rsid w:val="00551166"/>
    <w:rsid w:val="005516A1"/>
    <w:rsid w:val="00551CBD"/>
    <w:rsid w:val="005520EC"/>
    <w:rsid w:val="00552344"/>
    <w:rsid w:val="0055250F"/>
    <w:rsid w:val="00552650"/>
    <w:rsid w:val="00552E56"/>
    <w:rsid w:val="00552EF8"/>
    <w:rsid w:val="00553A72"/>
    <w:rsid w:val="00553A91"/>
    <w:rsid w:val="00553FAF"/>
    <w:rsid w:val="0055459E"/>
    <w:rsid w:val="005545D8"/>
    <w:rsid w:val="00555008"/>
    <w:rsid w:val="005552E9"/>
    <w:rsid w:val="005553B9"/>
    <w:rsid w:val="005554D2"/>
    <w:rsid w:val="00555928"/>
    <w:rsid w:val="00555B04"/>
    <w:rsid w:val="00555F9E"/>
    <w:rsid w:val="00556012"/>
    <w:rsid w:val="00556013"/>
    <w:rsid w:val="00556617"/>
    <w:rsid w:val="0055682B"/>
    <w:rsid w:val="00556E03"/>
    <w:rsid w:val="00557549"/>
    <w:rsid w:val="00557B7A"/>
    <w:rsid w:val="00557E63"/>
    <w:rsid w:val="00557F06"/>
    <w:rsid w:val="00560142"/>
    <w:rsid w:val="00560418"/>
    <w:rsid w:val="00560543"/>
    <w:rsid w:val="00560687"/>
    <w:rsid w:val="005606BF"/>
    <w:rsid w:val="00560D7D"/>
    <w:rsid w:val="00560DA6"/>
    <w:rsid w:val="00560E5B"/>
    <w:rsid w:val="005613EE"/>
    <w:rsid w:val="00561A87"/>
    <w:rsid w:val="00561C20"/>
    <w:rsid w:val="00561FA0"/>
    <w:rsid w:val="005626E9"/>
    <w:rsid w:val="00563158"/>
    <w:rsid w:val="005634B9"/>
    <w:rsid w:val="0056357E"/>
    <w:rsid w:val="00563767"/>
    <w:rsid w:val="00563885"/>
    <w:rsid w:val="00563887"/>
    <w:rsid w:val="0056392C"/>
    <w:rsid w:val="0056392F"/>
    <w:rsid w:val="00563977"/>
    <w:rsid w:val="00563B06"/>
    <w:rsid w:val="00563F9A"/>
    <w:rsid w:val="005644B8"/>
    <w:rsid w:val="0056495C"/>
    <w:rsid w:val="00564C6E"/>
    <w:rsid w:val="00565026"/>
    <w:rsid w:val="005652C1"/>
    <w:rsid w:val="0056548E"/>
    <w:rsid w:val="00565499"/>
    <w:rsid w:val="00565684"/>
    <w:rsid w:val="00565A04"/>
    <w:rsid w:val="00566347"/>
    <w:rsid w:val="0056639B"/>
    <w:rsid w:val="00566921"/>
    <w:rsid w:val="00566BC9"/>
    <w:rsid w:val="0056708D"/>
    <w:rsid w:val="005674CB"/>
    <w:rsid w:val="005679FF"/>
    <w:rsid w:val="00570607"/>
    <w:rsid w:val="00570B7D"/>
    <w:rsid w:val="00570C70"/>
    <w:rsid w:val="00571064"/>
    <w:rsid w:val="005715B7"/>
    <w:rsid w:val="00571632"/>
    <w:rsid w:val="00571A38"/>
    <w:rsid w:val="00571DE0"/>
    <w:rsid w:val="00572700"/>
    <w:rsid w:val="00572A86"/>
    <w:rsid w:val="00572B98"/>
    <w:rsid w:val="00572DDE"/>
    <w:rsid w:val="00573798"/>
    <w:rsid w:val="00573C8E"/>
    <w:rsid w:val="0057402A"/>
    <w:rsid w:val="00574086"/>
    <w:rsid w:val="0057447D"/>
    <w:rsid w:val="00574BE6"/>
    <w:rsid w:val="00574E64"/>
    <w:rsid w:val="00574EF7"/>
    <w:rsid w:val="00575540"/>
    <w:rsid w:val="00575753"/>
    <w:rsid w:val="00575C14"/>
    <w:rsid w:val="00575DBB"/>
    <w:rsid w:val="00575E2A"/>
    <w:rsid w:val="00575E9C"/>
    <w:rsid w:val="0057643D"/>
    <w:rsid w:val="00576860"/>
    <w:rsid w:val="00576F11"/>
    <w:rsid w:val="005771D0"/>
    <w:rsid w:val="005772F8"/>
    <w:rsid w:val="00577581"/>
    <w:rsid w:val="00577665"/>
    <w:rsid w:val="00577C88"/>
    <w:rsid w:val="00577EB1"/>
    <w:rsid w:val="00580031"/>
    <w:rsid w:val="00580333"/>
    <w:rsid w:val="005803E9"/>
    <w:rsid w:val="00580CCA"/>
    <w:rsid w:val="0058101F"/>
    <w:rsid w:val="0058177F"/>
    <w:rsid w:val="0058192E"/>
    <w:rsid w:val="0058194B"/>
    <w:rsid w:val="00581A89"/>
    <w:rsid w:val="00581DFC"/>
    <w:rsid w:val="005825C4"/>
    <w:rsid w:val="00582AE1"/>
    <w:rsid w:val="00582F5F"/>
    <w:rsid w:val="00582FE3"/>
    <w:rsid w:val="0058377A"/>
    <w:rsid w:val="005837C1"/>
    <w:rsid w:val="00583C78"/>
    <w:rsid w:val="0058400D"/>
    <w:rsid w:val="005842E2"/>
    <w:rsid w:val="00584C57"/>
    <w:rsid w:val="00584D24"/>
    <w:rsid w:val="00584DD1"/>
    <w:rsid w:val="005855B2"/>
    <w:rsid w:val="005858DC"/>
    <w:rsid w:val="00585A8F"/>
    <w:rsid w:val="00585E67"/>
    <w:rsid w:val="00585FFF"/>
    <w:rsid w:val="0058619A"/>
    <w:rsid w:val="005862CB"/>
    <w:rsid w:val="00586F50"/>
    <w:rsid w:val="00587276"/>
    <w:rsid w:val="005874C8"/>
    <w:rsid w:val="00587C05"/>
    <w:rsid w:val="00587CE3"/>
    <w:rsid w:val="00587D44"/>
    <w:rsid w:val="00587D9C"/>
    <w:rsid w:val="00587EDF"/>
    <w:rsid w:val="0059005F"/>
    <w:rsid w:val="00590771"/>
    <w:rsid w:val="00590A5F"/>
    <w:rsid w:val="00590B1D"/>
    <w:rsid w:val="00590CE7"/>
    <w:rsid w:val="00591708"/>
    <w:rsid w:val="005918C2"/>
    <w:rsid w:val="0059191A"/>
    <w:rsid w:val="00591D12"/>
    <w:rsid w:val="005921DF"/>
    <w:rsid w:val="005921FF"/>
    <w:rsid w:val="005923CF"/>
    <w:rsid w:val="00592672"/>
    <w:rsid w:val="00592B7B"/>
    <w:rsid w:val="00592F5D"/>
    <w:rsid w:val="005934E4"/>
    <w:rsid w:val="00593870"/>
    <w:rsid w:val="00593896"/>
    <w:rsid w:val="0059391D"/>
    <w:rsid w:val="00594297"/>
    <w:rsid w:val="00594B9F"/>
    <w:rsid w:val="00594FFE"/>
    <w:rsid w:val="00595615"/>
    <w:rsid w:val="00595E71"/>
    <w:rsid w:val="0059609F"/>
    <w:rsid w:val="0059641C"/>
    <w:rsid w:val="00596572"/>
    <w:rsid w:val="0059662E"/>
    <w:rsid w:val="005967AB"/>
    <w:rsid w:val="00596865"/>
    <w:rsid w:val="00596876"/>
    <w:rsid w:val="00596CAC"/>
    <w:rsid w:val="00596F17"/>
    <w:rsid w:val="00597060"/>
    <w:rsid w:val="005970A8"/>
    <w:rsid w:val="005970DF"/>
    <w:rsid w:val="0059717F"/>
    <w:rsid w:val="005976A9"/>
    <w:rsid w:val="00597ADB"/>
    <w:rsid w:val="00597D4B"/>
    <w:rsid w:val="005A066F"/>
    <w:rsid w:val="005A0918"/>
    <w:rsid w:val="005A1455"/>
    <w:rsid w:val="005A201E"/>
    <w:rsid w:val="005A212B"/>
    <w:rsid w:val="005A22F6"/>
    <w:rsid w:val="005A2996"/>
    <w:rsid w:val="005A3348"/>
    <w:rsid w:val="005A3463"/>
    <w:rsid w:val="005A36F2"/>
    <w:rsid w:val="005A3E3F"/>
    <w:rsid w:val="005A3EFF"/>
    <w:rsid w:val="005A42A8"/>
    <w:rsid w:val="005A4311"/>
    <w:rsid w:val="005A46A2"/>
    <w:rsid w:val="005A4777"/>
    <w:rsid w:val="005A4CFA"/>
    <w:rsid w:val="005A5125"/>
    <w:rsid w:val="005A5320"/>
    <w:rsid w:val="005A545C"/>
    <w:rsid w:val="005A555E"/>
    <w:rsid w:val="005A55AD"/>
    <w:rsid w:val="005A5C58"/>
    <w:rsid w:val="005A5F2C"/>
    <w:rsid w:val="005A61C9"/>
    <w:rsid w:val="005A63AF"/>
    <w:rsid w:val="005A64E9"/>
    <w:rsid w:val="005A672C"/>
    <w:rsid w:val="005A68B0"/>
    <w:rsid w:val="005A6D0E"/>
    <w:rsid w:val="005A702E"/>
    <w:rsid w:val="005A7188"/>
    <w:rsid w:val="005A71C6"/>
    <w:rsid w:val="005A763E"/>
    <w:rsid w:val="005A77C4"/>
    <w:rsid w:val="005A78EF"/>
    <w:rsid w:val="005A7A04"/>
    <w:rsid w:val="005A7A72"/>
    <w:rsid w:val="005A7D4B"/>
    <w:rsid w:val="005A7ED9"/>
    <w:rsid w:val="005A7FEA"/>
    <w:rsid w:val="005B018D"/>
    <w:rsid w:val="005B048D"/>
    <w:rsid w:val="005B0E0E"/>
    <w:rsid w:val="005B1236"/>
    <w:rsid w:val="005B142C"/>
    <w:rsid w:val="005B155B"/>
    <w:rsid w:val="005B1670"/>
    <w:rsid w:val="005B1C5F"/>
    <w:rsid w:val="005B22CA"/>
    <w:rsid w:val="005B2461"/>
    <w:rsid w:val="005B27A1"/>
    <w:rsid w:val="005B2B19"/>
    <w:rsid w:val="005B307E"/>
    <w:rsid w:val="005B3401"/>
    <w:rsid w:val="005B3533"/>
    <w:rsid w:val="005B3859"/>
    <w:rsid w:val="005B3A06"/>
    <w:rsid w:val="005B3CF4"/>
    <w:rsid w:val="005B4313"/>
    <w:rsid w:val="005B4396"/>
    <w:rsid w:val="005B4442"/>
    <w:rsid w:val="005B458F"/>
    <w:rsid w:val="005B4954"/>
    <w:rsid w:val="005B4B89"/>
    <w:rsid w:val="005B52B0"/>
    <w:rsid w:val="005B542E"/>
    <w:rsid w:val="005B586F"/>
    <w:rsid w:val="005B5E1E"/>
    <w:rsid w:val="005B66E4"/>
    <w:rsid w:val="005B6806"/>
    <w:rsid w:val="005B6890"/>
    <w:rsid w:val="005B6B14"/>
    <w:rsid w:val="005B6B30"/>
    <w:rsid w:val="005B7153"/>
    <w:rsid w:val="005C0276"/>
    <w:rsid w:val="005C04F7"/>
    <w:rsid w:val="005C0569"/>
    <w:rsid w:val="005C0612"/>
    <w:rsid w:val="005C0771"/>
    <w:rsid w:val="005C0C4D"/>
    <w:rsid w:val="005C1183"/>
    <w:rsid w:val="005C13B1"/>
    <w:rsid w:val="005C1795"/>
    <w:rsid w:val="005C181C"/>
    <w:rsid w:val="005C1A4C"/>
    <w:rsid w:val="005C1E7A"/>
    <w:rsid w:val="005C2417"/>
    <w:rsid w:val="005C29D7"/>
    <w:rsid w:val="005C319B"/>
    <w:rsid w:val="005C31A7"/>
    <w:rsid w:val="005C3AF8"/>
    <w:rsid w:val="005C4225"/>
    <w:rsid w:val="005C439E"/>
    <w:rsid w:val="005C4651"/>
    <w:rsid w:val="005C4767"/>
    <w:rsid w:val="005C49B8"/>
    <w:rsid w:val="005C4BC0"/>
    <w:rsid w:val="005C4F99"/>
    <w:rsid w:val="005C5371"/>
    <w:rsid w:val="005C5643"/>
    <w:rsid w:val="005C57A0"/>
    <w:rsid w:val="005C612F"/>
    <w:rsid w:val="005C6514"/>
    <w:rsid w:val="005C6F03"/>
    <w:rsid w:val="005C71A5"/>
    <w:rsid w:val="005C7488"/>
    <w:rsid w:val="005C74BF"/>
    <w:rsid w:val="005C7F7D"/>
    <w:rsid w:val="005D0F5C"/>
    <w:rsid w:val="005D1F4F"/>
    <w:rsid w:val="005D2501"/>
    <w:rsid w:val="005D2926"/>
    <w:rsid w:val="005D2B1A"/>
    <w:rsid w:val="005D3109"/>
    <w:rsid w:val="005D334C"/>
    <w:rsid w:val="005D35DB"/>
    <w:rsid w:val="005D3C3E"/>
    <w:rsid w:val="005D3CB6"/>
    <w:rsid w:val="005D4463"/>
    <w:rsid w:val="005D44F3"/>
    <w:rsid w:val="005D4947"/>
    <w:rsid w:val="005D4AA9"/>
    <w:rsid w:val="005D4B0E"/>
    <w:rsid w:val="005D4BFB"/>
    <w:rsid w:val="005D4DAE"/>
    <w:rsid w:val="005D52C5"/>
    <w:rsid w:val="005D5539"/>
    <w:rsid w:val="005D5CC0"/>
    <w:rsid w:val="005D5CD2"/>
    <w:rsid w:val="005D6024"/>
    <w:rsid w:val="005D64B9"/>
    <w:rsid w:val="005D6695"/>
    <w:rsid w:val="005D6E8A"/>
    <w:rsid w:val="005E00FD"/>
    <w:rsid w:val="005E04E5"/>
    <w:rsid w:val="005E081B"/>
    <w:rsid w:val="005E09DC"/>
    <w:rsid w:val="005E0A12"/>
    <w:rsid w:val="005E1599"/>
    <w:rsid w:val="005E17DF"/>
    <w:rsid w:val="005E1AE1"/>
    <w:rsid w:val="005E1BBF"/>
    <w:rsid w:val="005E1D97"/>
    <w:rsid w:val="005E1F03"/>
    <w:rsid w:val="005E21D4"/>
    <w:rsid w:val="005E2874"/>
    <w:rsid w:val="005E2A54"/>
    <w:rsid w:val="005E3919"/>
    <w:rsid w:val="005E3988"/>
    <w:rsid w:val="005E39C7"/>
    <w:rsid w:val="005E3B7F"/>
    <w:rsid w:val="005E3C6C"/>
    <w:rsid w:val="005E4055"/>
    <w:rsid w:val="005E4081"/>
    <w:rsid w:val="005E421A"/>
    <w:rsid w:val="005E441F"/>
    <w:rsid w:val="005E4479"/>
    <w:rsid w:val="005E45A4"/>
    <w:rsid w:val="005E5437"/>
    <w:rsid w:val="005E5580"/>
    <w:rsid w:val="005E59D9"/>
    <w:rsid w:val="005E63E4"/>
    <w:rsid w:val="005E6458"/>
    <w:rsid w:val="005E6507"/>
    <w:rsid w:val="005E65A6"/>
    <w:rsid w:val="005E65A7"/>
    <w:rsid w:val="005E66E5"/>
    <w:rsid w:val="005E699D"/>
    <w:rsid w:val="005E6E99"/>
    <w:rsid w:val="005E6F6C"/>
    <w:rsid w:val="005E730B"/>
    <w:rsid w:val="005E7839"/>
    <w:rsid w:val="005F05EF"/>
    <w:rsid w:val="005F0DAD"/>
    <w:rsid w:val="005F0F33"/>
    <w:rsid w:val="005F10FD"/>
    <w:rsid w:val="005F12AF"/>
    <w:rsid w:val="005F13C6"/>
    <w:rsid w:val="005F178D"/>
    <w:rsid w:val="005F1F3B"/>
    <w:rsid w:val="005F1F6E"/>
    <w:rsid w:val="005F25C4"/>
    <w:rsid w:val="005F2751"/>
    <w:rsid w:val="005F2F23"/>
    <w:rsid w:val="005F349E"/>
    <w:rsid w:val="005F3A3B"/>
    <w:rsid w:val="005F3BAA"/>
    <w:rsid w:val="005F3DAE"/>
    <w:rsid w:val="005F3FA3"/>
    <w:rsid w:val="005F400F"/>
    <w:rsid w:val="005F41B6"/>
    <w:rsid w:val="005F4819"/>
    <w:rsid w:val="005F4951"/>
    <w:rsid w:val="005F539F"/>
    <w:rsid w:val="005F5622"/>
    <w:rsid w:val="005F62A4"/>
    <w:rsid w:val="005F6475"/>
    <w:rsid w:val="005F66E5"/>
    <w:rsid w:val="005F6AA6"/>
    <w:rsid w:val="005F6F1E"/>
    <w:rsid w:val="005F74FD"/>
    <w:rsid w:val="005F7876"/>
    <w:rsid w:val="005F7DE2"/>
    <w:rsid w:val="005F7EE4"/>
    <w:rsid w:val="005F7F85"/>
    <w:rsid w:val="005F7FD1"/>
    <w:rsid w:val="00600363"/>
    <w:rsid w:val="00600DEB"/>
    <w:rsid w:val="00600ED5"/>
    <w:rsid w:val="0060104B"/>
    <w:rsid w:val="00601AC3"/>
    <w:rsid w:val="00601D10"/>
    <w:rsid w:val="0060208A"/>
    <w:rsid w:val="00602325"/>
    <w:rsid w:val="00602481"/>
    <w:rsid w:val="006027F0"/>
    <w:rsid w:val="00602908"/>
    <w:rsid w:val="00602B78"/>
    <w:rsid w:val="00602BE9"/>
    <w:rsid w:val="006031D9"/>
    <w:rsid w:val="006032C8"/>
    <w:rsid w:val="00603A60"/>
    <w:rsid w:val="00603A8C"/>
    <w:rsid w:val="00603CC3"/>
    <w:rsid w:val="00603E73"/>
    <w:rsid w:val="00603F1F"/>
    <w:rsid w:val="00603F29"/>
    <w:rsid w:val="00604126"/>
    <w:rsid w:val="0060419C"/>
    <w:rsid w:val="00604481"/>
    <w:rsid w:val="006049D5"/>
    <w:rsid w:val="00604A58"/>
    <w:rsid w:val="00604E7B"/>
    <w:rsid w:val="006055B4"/>
    <w:rsid w:val="00605636"/>
    <w:rsid w:val="00605639"/>
    <w:rsid w:val="00605C21"/>
    <w:rsid w:val="00605DF3"/>
    <w:rsid w:val="00605ED0"/>
    <w:rsid w:val="00605F21"/>
    <w:rsid w:val="00606418"/>
    <w:rsid w:val="0060676C"/>
    <w:rsid w:val="00606B13"/>
    <w:rsid w:val="0060703A"/>
    <w:rsid w:val="006070A1"/>
    <w:rsid w:val="006078DA"/>
    <w:rsid w:val="00607CE0"/>
    <w:rsid w:val="00607FBB"/>
    <w:rsid w:val="00610191"/>
    <w:rsid w:val="0061040B"/>
    <w:rsid w:val="0061044D"/>
    <w:rsid w:val="006104A9"/>
    <w:rsid w:val="00610598"/>
    <w:rsid w:val="006105BA"/>
    <w:rsid w:val="0061067B"/>
    <w:rsid w:val="00610D16"/>
    <w:rsid w:val="00610F85"/>
    <w:rsid w:val="00611411"/>
    <w:rsid w:val="006118C9"/>
    <w:rsid w:val="00611F1F"/>
    <w:rsid w:val="00612699"/>
    <w:rsid w:val="00612AAA"/>
    <w:rsid w:val="00612DCC"/>
    <w:rsid w:val="006133B9"/>
    <w:rsid w:val="006137AB"/>
    <w:rsid w:val="006145AD"/>
    <w:rsid w:val="006147AC"/>
    <w:rsid w:val="00614C69"/>
    <w:rsid w:val="00614F48"/>
    <w:rsid w:val="00615532"/>
    <w:rsid w:val="0061565D"/>
    <w:rsid w:val="006158A1"/>
    <w:rsid w:val="00616517"/>
    <w:rsid w:val="006165A2"/>
    <w:rsid w:val="00616733"/>
    <w:rsid w:val="00616911"/>
    <w:rsid w:val="00616A06"/>
    <w:rsid w:val="00616C27"/>
    <w:rsid w:val="0061720A"/>
    <w:rsid w:val="00617467"/>
    <w:rsid w:val="00617A5D"/>
    <w:rsid w:val="00617C65"/>
    <w:rsid w:val="00617F15"/>
    <w:rsid w:val="00620105"/>
    <w:rsid w:val="0062090E"/>
    <w:rsid w:val="00620D96"/>
    <w:rsid w:val="00621376"/>
    <w:rsid w:val="00621D0A"/>
    <w:rsid w:val="00621DA7"/>
    <w:rsid w:val="00621E20"/>
    <w:rsid w:val="0062206A"/>
    <w:rsid w:val="00622121"/>
    <w:rsid w:val="006222AD"/>
    <w:rsid w:val="006222F0"/>
    <w:rsid w:val="0062236D"/>
    <w:rsid w:val="00622D9E"/>
    <w:rsid w:val="00623415"/>
    <w:rsid w:val="0062361B"/>
    <w:rsid w:val="00623732"/>
    <w:rsid w:val="00623B8A"/>
    <w:rsid w:val="006244EF"/>
    <w:rsid w:val="00624B07"/>
    <w:rsid w:val="00624C18"/>
    <w:rsid w:val="00624F13"/>
    <w:rsid w:val="00625B29"/>
    <w:rsid w:val="00625E2A"/>
    <w:rsid w:val="0062667C"/>
    <w:rsid w:val="00626A1D"/>
    <w:rsid w:val="00626A68"/>
    <w:rsid w:val="00626B0C"/>
    <w:rsid w:val="00627295"/>
    <w:rsid w:val="00627303"/>
    <w:rsid w:val="0062761B"/>
    <w:rsid w:val="00627893"/>
    <w:rsid w:val="00627A84"/>
    <w:rsid w:val="00627C9F"/>
    <w:rsid w:val="00627DC1"/>
    <w:rsid w:val="00630099"/>
    <w:rsid w:val="00630243"/>
    <w:rsid w:val="006303C3"/>
    <w:rsid w:val="00630421"/>
    <w:rsid w:val="00630801"/>
    <w:rsid w:val="006308B0"/>
    <w:rsid w:val="00630992"/>
    <w:rsid w:val="00630ACE"/>
    <w:rsid w:val="00630F0A"/>
    <w:rsid w:val="00630F51"/>
    <w:rsid w:val="006311E9"/>
    <w:rsid w:val="006312A6"/>
    <w:rsid w:val="00631456"/>
    <w:rsid w:val="00632039"/>
    <w:rsid w:val="00632354"/>
    <w:rsid w:val="006328B3"/>
    <w:rsid w:val="00632CED"/>
    <w:rsid w:val="00632D40"/>
    <w:rsid w:val="00632EE6"/>
    <w:rsid w:val="00633006"/>
    <w:rsid w:val="0063380B"/>
    <w:rsid w:val="0063384C"/>
    <w:rsid w:val="0063388A"/>
    <w:rsid w:val="00633AFA"/>
    <w:rsid w:val="00634193"/>
    <w:rsid w:val="006348A4"/>
    <w:rsid w:val="00634935"/>
    <w:rsid w:val="00634F0C"/>
    <w:rsid w:val="00635014"/>
    <w:rsid w:val="00636164"/>
    <w:rsid w:val="006367BE"/>
    <w:rsid w:val="006368A4"/>
    <w:rsid w:val="00636EEC"/>
    <w:rsid w:val="00637390"/>
    <w:rsid w:val="00637A7D"/>
    <w:rsid w:val="00637E9F"/>
    <w:rsid w:val="00640598"/>
    <w:rsid w:val="00640C5B"/>
    <w:rsid w:val="00640DA6"/>
    <w:rsid w:val="00640F7D"/>
    <w:rsid w:val="00641554"/>
    <w:rsid w:val="006415F5"/>
    <w:rsid w:val="00641B06"/>
    <w:rsid w:val="00641FFA"/>
    <w:rsid w:val="00642011"/>
    <w:rsid w:val="00642053"/>
    <w:rsid w:val="00642149"/>
    <w:rsid w:val="00642299"/>
    <w:rsid w:val="00642671"/>
    <w:rsid w:val="006427A2"/>
    <w:rsid w:val="00642810"/>
    <w:rsid w:val="00642E0D"/>
    <w:rsid w:val="00642EA6"/>
    <w:rsid w:val="006432DF"/>
    <w:rsid w:val="006434CC"/>
    <w:rsid w:val="0064371D"/>
    <w:rsid w:val="00643CAC"/>
    <w:rsid w:val="00644100"/>
    <w:rsid w:val="0064414C"/>
    <w:rsid w:val="006443A2"/>
    <w:rsid w:val="00644CEF"/>
    <w:rsid w:val="00644FB9"/>
    <w:rsid w:val="0064529F"/>
    <w:rsid w:val="00645394"/>
    <w:rsid w:val="0064594A"/>
    <w:rsid w:val="0064625E"/>
    <w:rsid w:val="00646318"/>
    <w:rsid w:val="006463F5"/>
    <w:rsid w:val="00646412"/>
    <w:rsid w:val="0064649C"/>
    <w:rsid w:val="006467AC"/>
    <w:rsid w:val="00646AAA"/>
    <w:rsid w:val="0064701D"/>
    <w:rsid w:val="006475D3"/>
    <w:rsid w:val="00647CBF"/>
    <w:rsid w:val="00647D67"/>
    <w:rsid w:val="00647F10"/>
    <w:rsid w:val="006501D8"/>
    <w:rsid w:val="006504B1"/>
    <w:rsid w:val="00650B75"/>
    <w:rsid w:val="00650DF0"/>
    <w:rsid w:val="00650FD4"/>
    <w:rsid w:val="006510E9"/>
    <w:rsid w:val="00651248"/>
    <w:rsid w:val="00651686"/>
    <w:rsid w:val="006517C3"/>
    <w:rsid w:val="006519DE"/>
    <w:rsid w:val="006519E9"/>
    <w:rsid w:val="00651A84"/>
    <w:rsid w:val="00651E2C"/>
    <w:rsid w:val="00652129"/>
    <w:rsid w:val="00652333"/>
    <w:rsid w:val="00652714"/>
    <w:rsid w:val="0065315F"/>
    <w:rsid w:val="006533A7"/>
    <w:rsid w:val="0065354E"/>
    <w:rsid w:val="00653813"/>
    <w:rsid w:val="00653C47"/>
    <w:rsid w:val="00654330"/>
    <w:rsid w:val="0065473B"/>
    <w:rsid w:val="00654AA0"/>
    <w:rsid w:val="00654CA8"/>
    <w:rsid w:val="0065540B"/>
    <w:rsid w:val="006555CD"/>
    <w:rsid w:val="006556DA"/>
    <w:rsid w:val="0065583B"/>
    <w:rsid w:val="0065594F"/>
    <w:rsid w:val="006559B7"/>
    <w:rsid w:val="00655DC3"/>
    <w:rsid w:val="00655E03"/>
    <w:rsid w:val="00655F48"/>
    <w:rsid w:val="006565CC"/>
    <w:rsid w:val="00656A10"/>
    <w:rsid w:val="00656A12"/>
    <w:rsid w:val="006570B1"/>
    <w:rsid w:val="006571BA"/>
    <w:rsid w:val="00657915"/>
    <w:rsid w:val="00657BF3"/>
    <w:rsid w:val="00657C5E"/>
    <w:rsid w:val="00657E2F"/>
    <w:rsid w:val="0066006C"/>
    <w:rsid w:val="006602D9"/>
    <w:rsid w:val="00660616"/>
    <w:rsid w:val="00661472"/>
    <w:rsid w:val="00661526"/>
    <w:rsid w:val="00661A1B"/>
    <w:rsid w:val="00661C57"/>
    <w:rsid w:val="00662116"/>
    <w:rsid w:val="0066234E"/>
    <w:rsid w:val="006623FE"/>
    <w:rsid w:val="006626A2"/>
    <w:rsid w:val="00662FED"/>
    <w:rsid w:val="00663AAF"/>
    <w:rsid w:val="00663EF4"/>
    <w:rsid w:val="0066497B"/>
    <w:rsid w:val="006650A7"/>
    <w:rsid w:val="00665324"/>
    <w:rsid w:val="00665BA0"/>
    <w:rsid w:val="00665C39"/>
    <w:rsid w:val="00665EB9"/>
    <w:rsid w:val="00665F90"/>
    <w:rsid w:val="006660D0"/>
    <w:rsid w:val="00666CC1"/>
    <w:rsid w:val="0066736C"/>
    <w:rsid w:val="0066745B"/>
    <w:rsid w:val="006674FE"/>
    <w:rsid w:val="006676FD"/>
    <w:rsid w:val="00667AB0"/>
    <w:rsid w:val="00667BC7"/>
    <w:rsid w:val="00667CA7"/>
    <w:rsid w:val="00667EDC"/>
    <w:rsid w:val="006700BC"/>
    <w:rsid w:val="0067030C"/>
    <w:rsid w:val="00670732"/>
    <w:rsid w:val="00670BA7"/>
    <w:rsid w:val="00671028"/>
    <w:rsid w:val="00671984"/>
    <w:rsid w:val="00671CD9"/>
    <w:rsid w:val="00671DE9"/>
    <w:rsid w:val="00671E37"/>
    <w:rsid w:val="0067213E"/>
    <w:rsid w:val="00672A60"/>
    <w:rsid w:val="00673038"/>
    <w:rsid w:val="00673049"/>
    <w:rsid w:val="0067328F"/>
    <w:rsid w:val="00673E32"/>
    <w:rsid w:val="006745C2"/>
    <w:rsid w:val="006746BC"/>
    <w:rsid w:val="00674D66"/>
    <w:rsid w:val="00674E0A"/>
    <w:rsid w:val="006758F4"/>
    <w:rsid w:val="00675923"/>
    <w:rsid w:val="00675B13"/>
    <w:rsid w:val="00675D16"/>
    <w:rsid w:val="006764B0"/>
    <w:rsid w:val="006764EF"/>
    <w:rsid w:val="00676930"/>
    <w:rsid w:val="00676BC8"/>
    <w:rsid w:val="00676BEC"/>
    <w:rsid w:val="00677345"/>
    <w:rsid w:val="006774F4"/>
    <w:rsid w:val="00677817"/>
    <w:rsid w:val="00677AD8"/>
    <w:rsid w:val="00677B62"/>
    <w:rsid w:val="0068001B"/>
    <w:rsid w:val="0068009E"/>
    <w:rsid w:val="00680407"/>
    <w:rsid w:val="00680858"/>
    <w:rsid w:val="00680926"/>
    <w:rsid w:val="00680B66"/>
    <w:rsid w:val="0068105A"/>
    <w:rsid w:val="00681B7D"/>
    <w:rsid w:val="00681CE7"/>
    <w:rsid w:val="006820CE"/>
    <w:rsid w:val="00682170"/>
    <w:rsid w:val="006823E6"/>
    <w:rsid w:val="00682960"/>
    <w:rsid w:val="00682A00"/>
    <w:rsid w:val="00682B10"/>
    <w:rsid w:val="00682BA1"/>
    <w:rsid w:val="00682CEA"/>
    <w:rsid w:val="006833DA"/>
    <w:rsid w:val="00683685"/>
    <w:rsid w:val="00683B3E"/>
    <w:rsid w:val="0068424C"/>
    <w:rsid w:val="006844D5"/>
    <w:rsid w:val="00684A8E"/>
    <w:rsid w:val="00684ADA"/>
    <w:rsid w:val="00684C05"/>
    <w:rsid w:val="00685083"/>
    <w:rsid w:val="006857A6"/>
    <w:rsid w:val="00685917"/>
    <w:rsid w:val="006860C3"/>
    <w:rsid w:val="006868CE"/>
    <w:rsid w:val="00686C4E"/>
    <w:rsid w:val="00686CC1"/>
    <w:rsid w:val="00686D7F"/>
    <w:rsid w:val="00686E08"/>
    <w:rsid w:val="00687233"/>
    <w:rsid w:val="006874D5"/>
    <w:rsid w:val="006875F0"/>
    <w:rsid w:val="0068775D"/>
    <w:rsid w:val="00687961"/>
    <w:rsid w:val="00687BF9"/>
    <w:rsid w:val="00687C60"/>
    <w:rsid w:val="00687F7E"/>
    <w:rsid w:val="00690574"/>
    <w:rsid w:val="00690D4C"/>
    <w:rsid w:val="0069104F"/>
    <w:rsid w:val="00691211"/>
    <w:rsid w:val="00691A60"/>
    <w:rsid w:val="006928EA"/>
    <w:rsid w:val="00692B0E"/>
    <w:rsid w:val="00692CD1"/>
    <w:rsid w:val="00692DE8"/>
    <w:rsid w:val="00692E60"/>
    <w:rsid w:val="00694478"/>
    <w:rsid w:val="006945B0"/>
    <w:rsid w:val="00694B5E"/>
    <w:rsid w:val="006953A8"/>
    <w:rsid w:val="0069542B"/>
    <w:rsid w:val="006954B6"/>
    <w:rsid w:val="006959DA"/>
    <w:rsid w:val="00695B2C"/>
    <w:rsid w:val="00695D7D"/>
    <w:rsid w:val="00695E32"/>
    <w:rsid w:val="00695FD8"/>
    <w:rsid w:val="00696003"/>
    <w:rsid w:val="006966B2"/>
    <w:rsid w:val="00696F5C"/>
    <w:rsid w:val="00697206"/>
    <w:rsid w:val="006974EF"/>
    <w:rsid w:val="00697A5E"/>
    <w:rsid w:val="006A040E"/>
    <w:rsid w:val="006A071C"/>
    <w:rsid w:val="006A0950"/>
    <w:rsid w:val="006A0F6F"/>
    <w:rsid w:val="006A1131"/>
    <w:rsid w:val="006A12B2"/>
    <w:rsid w:val="006A12EA"/>
    <w:rsid w:val="006A1409"/>
    <w:rsid w:val="006A177B"/>
    <w:rsid w:val="006A17CB"/>
    <w:rsid w:val="006A17D2"/>
    <w:rsid w:val="006A1B76"/>
    <w:rsid w:val="006A1DC1"/>
    <w:rsid w:val="006A1E67"/>
    <w:rsid w:val="006A26BC"/>
    <w:rsid w:val="006A2865"/>
    <w:rsid w:val="006A288D"/>
    <w:rsid w:val="006A2D14"/>
    <w:rsid w:val="006A2FCE"/>
    <w:rsid w:val="006A34DF"/>
    <w:rsid w:val="006A37BA"/>
    <w:rsid w:val="006A3B28"/>
    <w:rsid w:val="006A3DA8"/>
    <w:rsid w:val="006A4388"/>
    <w:rsid w:val="006A4720"/>
    <w:rsid w:val="006A494C"/>
    <w:rsid w:val="006A4C34"/>
    <w:rsid w:val="006A5080"/>
    <w:rsid w:val="006A5279"/>
    <w:rsid w:val="006A5378"/>
    <w:rsid w:val="006A5619"/>
    <w:rsid w:val="006A5D09"/>
    <w:rsid w:val="006A6116"/>
    <w:rsid w:val="006A6396"/>
    <w:rsid w:val="006A6530"/>
    <w:rsid w:val="006A686E"/>
    <w:rsid w:val="006A6879"/>
    <w:rsid w:val="006A6C28"/>
    <w:rsid w:val="006A6E4C"/>
    <w:rsid w:val="006A6F86"/>
    <w:rsid w:val="006A702B"/>
    <w:rsid w:val="006A7102"/>
    <w:rsid w:val="006A7208"/>
    <w:rsid w:val="006A73E6"/>
    <w:rsid w:val="006A75AD"/>
    <w:rsid w:val="006A789A"/>
    <w:rsid w:val="006A7A63"/>
    <w:rsid w:val="006A7DF0"/>
    <w:rsid w:val="006B0320"/>
    <w:rsid w:val="006B07DF"/>
    <w:rsid w:val="006B09F4"/>
    <w:rsid w:val="006B0A06"/>
    <w:rsid w:val="006B1252"/>
    <w:rsid w:val="006B140A"/>
    <w:rsid w:val="006B15CE"/>
    <w:rsid w:val="006B17C3"/>
    <w:rsid w:val="006B1A48"/>
    <w:rsid w:val="006B2CC7"/>
    <w:rsid w:val="006B2D5C"/>
    <w:rsid w:val="006B2FBF"/>
    <w:rsid w:val="006B33C4"/>
    <w:rsid w:val="006B351F"/>
    <w:rsid w:val="006B3714"/>
    <w:rsid w:val="006B3AF1"/>
    <w:rsid w:val="006B3D00"/>
    <w:rsid w:val="006B4D46"/>
    <w:rsid w:val="006B51B9"/>
    <w:rsid w:val="006B57E1"/>
    <w:rsid w:val="006B5B8E"/>
    <w:rsid w:val="006B69B5"/>
    <w:rsid w:val="006B6F1E"/>
    <w:rsid w:val="006B6F29"/>
    <w:rsid w:val="006B71F6"/>
    <w:rsid w:val="006B74C2"/>
    <w:rsid w:val="006B7FA2"/>
    <w:rsid w:val="006C0784"/>
    <w:rsid w:val="006C0A65"/>
    <w:rsid w:val="006C0BE5"/>
    <w:rsid w:val="006C0FB6"/>
    <w:rsid w:val="006C11B7"/>
    <w:rsid w:val="006C128E"/>
    <w:rsid w:val="006C16AA"/>
    <w:rsid w:val="006C16D2"/>
    <w:rsid w:val="006C1767"/>
    <w:rsid w:val="006C17B3"/>
    <w:rsid w:val="006C1ADB"/>
    <w:rsid w:val="006C1D5B"/>
    <w:rsid w:val="006C1E07"/>
    <w:rsid w:val="006C2414"/>
    <w:rsid w:val="006C341D"/>
    <w:rsid w:val="006C3B01"/>
    <w:rsid w:val="006C4468"/>
    <w:rsid w:val="006C4EB1"/>
    <w:rsid w:val="006C58EB"/>
    <w:rsid w:val="006C6102"/>
    <w:rsid w:val="006C62AA"/>
    <w:rsid w:val="006C6946"/>
    <w:rsid w:val="006C7244"/>
    <w:rsid w:val="006C7306"/>
    <w:rsid w:val="006C7774"/>
    <w:rsid w:val="006C77B8"/>
    <w:rsid w:val="006D0196"/>
    <w:rsid w:val="006D0592"/>
    <w:rsid w:val="006D0772"/>
    <w:rsid w:val="006D0A39"/>
    <w:rsid w:val="006D0AAE"/>
    <w:rsid w:val="006D0B3C"/>
    <w:rsid w:val="006D0E40"/>
    <w:rsid w:val="006D0F9A"/>
    <w:rsid w:val="006D132D"/>
    <w:rsid w:val="006D1C43"/>
    <w:rsid w:val="006D1DAA"/>
    <w:rsid w:val="006D2A5F"/>
    <w:rsid w:val="006D2C15"/>
    <w:rsid w:val="006D2EC4"/>
    <w:rsid w:val="006D362F"/>
    <w:rsid w:val="006D39C6"/>
    <w:rsid w:val="006D39FC"/>
    <w:rsid w:val="006D3BA3"/>
    <w:rsid w:val="006D424B"/>
    <w:rsid w:val="006D47BD"/>
    <w:rsid w:val="006D57EF"/>
    <w:rsid w:val="006D5D2C"/>
    <w:rsid w:val="006D5ED9"/>
    <w:rsid w:val="006D640D"/>
    <w:rsid w:val="006D6521"/>
    <w:rsid w:val="006D6D14"/>
    <w:rsid w:val="006D7534"/>
    <w:rsid w:val="006D796E"/>
    <w:rsid w:val="006D7A04"/>
    <w:rsid w:val="006D7E6F"/>
    <w:rsid w:val="006E0021"/>
    <w:rsid w:val="006E00A3"/>
    <w:rsid w:val="006E0123"/>
    <w:rsid w:val="006E0166"/>
    <w:rsid w:val="006E0EE8"/>
    <w:rsid w:val="006E1178"/>
    <w:rsid w:val="006E1697"/>
    <w:rsid w:val="006E1A3B"/>
    <w:rsid w:val="006E230E"/>
    <w:rsid w:val="006E25DC"/>
    <w:rsid w:val="006E26D2"/>
    <w:rsid w:val="006E2743"/>
    <w:rsid w:val="006E28E8"/>
    <w:rsid w:val="006E2908"/>
    <w:rsid w:val="006E3303"/>
    <w:rsid w:val="006E33B3"/>
    <w:rsid w:val="006E362D"/>
    <w:rsid w:val="006E3AF6"/>
    <w:rsid w:val="006E3E8D"/>
    <w:rsid w:val="006E3EFB"/>
    <w:rsid w:val="006E434B"/>
    <w:rsid w:val="006E4A94"/>
    <w:rsid w:val="006E5002"/>
    <w:rsid w:val="006E54B0"/>
    <w:rsid w:val="006E56C1"/>
    <w:rsid w:val="006E58D1"/>
    <w:rsid w:val="006E59D4"/>
    <w:rsid w:val="006E5B92"/>
    <w:rsid w:val="006E5BFC"/>
    <w:rsid w:val="006E5DDA"/>
    <w:rsid w:val="006E5E19"/>
    <w:rsid w:val="006E6208"/>
    <w:rsid w:val="006E621E"/>
    <w:rsid w:val="006E66A1"/>
    <w:rsid w:val="006E6C59"/>
    <w:rsid w:val="006E6E08"/>
    <w:rsid w:val="006E6EF6"/>
    <w:rsid w:val="006E72D0"/>
    <w:rsid w:val="006E73D4"/>
    <w:rsid w:val="006E752E"/>
    <w:rsid w:val="006E76E6"/>
    <w:rsid w:val="006E7804"/>
    <w:rsid w:val="006E7B34"/>
    <w:rsid w:val="006E7DF9"/>
    <w:rsid w:val="006F0078"/>
    <w:rsid w:val="006F0305"/>
    <w:rsid w:val="006F09EB"/>
    <w:rsid w:val="006F0A0A"/>
    <w:rsid w:val="006F0BBD"/>
    <w:rsid w:val="006F1121"/>
    <w:rsid w:val="006F165F"/>
    <w:rsid w:val="006F1C06"/>
    <w:rsid w:val="006F1CF4"/>
    <w:rsid w:val="006F1FB3"/>
    <w:rsid w:val="006F241B"/>
    <w:rsid w:val="006F2584"/>
    <w:rsid w:val="006F273B"/>
    <w:rsid w:val="006F27B6"/>
    <w:rsid w:val="006F284C"/>
    <w:rsid w:val="006F2B4A"/>
    <w:rsid w:val="006F32EF"/>
    <w:rsid w:val="006F337E"/>
    <w:rsid w:val="006F3397"/>
    <w:rsid w:val="006F34E3"/>
    <w:rsid w:val="006F3DC4"/>
    <w:rsid w:val="006F474A"/>
    <w:rsid w:val="006F491C"/>
    <w:rsid w:val="006F4CE6"/>
    <w:rsid w:val="006F4E46"/>
    <w:rsid w:val="006F5275"/>
    <w:rsid w:val="006F5AAE"/>
    <w:rsid w:val="006F5C1B"/>
    <w:rsid w:val="006F5F5B"/>
    <w:rsid w:val="006F5FB8"/>
    <w:rsid w:val="006F6F33"/>
    <w:rsid w:val="006F6FE5"/>
    <w:rsid w:val="006F706B"/>
    <w:rsid w:val="006F79EC"/>
    <w:rsid w:val="006F7CCB"/>
    <w:rsid w:val="006F7EE3"/>
    <w:rsid w:val="00700A19"/>
    <w:rsid w:val="00701315"/>
    <w:rsid w:val="00701983"/>
    <w:rsid w:val="007019A7"/>
    <w:rsid w:val="00701BD7"/>
    <w:rsid w:val="00701F15"/>
    <w:rsid w:val="00701F4D"/>
    <w:rsid w:val="0070217A"/>
    <w:rsid w:val="007022F9"/>
    <w:rsid w:val="00702755"/>
    <w:rsid w:val="00702E08"/>
    <w:rsid w:val="00702EFA"/>
    <w:rsid w:val="00702F28"/>
    <w:rsid w:val="007032B2"/>
    <w:rsid w:val="00703A3A"/>
    <w:rsid w:val="00703E40"/>
    <w:rsid w:val="00703E6F"/>
    <w:rsid w:val="00704084"/>
    <w:rsid w:val="00704237"/>
    <w:rsid w:val="007042C0"/>
    <w:rsid w:val="0070448F"/>
    <w:rsid w:val="0070498B"/>
    <w:rsid w:val="00704E13"/>
    <w:rsid w:val="00704F4E"/>
    <w:rsid w:val="0070520F"/>
    <w:rsid w:val="00705668"/>
    <w:rsid w:val="00705C69"/>
    <w:rsid w:val="00705E34"/>
    <w:rsid w:val="0070693D"/>
    <w:rsid w:val="0070697F"/>
    <w:rsid w:val="00706E87"/>
    <w:rsid w:val="007073E2"/>
    <w:rsid w:val="007074D6"/>
    <w:rsid w:val="007079BD"/>
    <w:rsid w:val="00707B58"/>
    <w:rsid w:val="00707B7D"/>
    <w:rsid w:val="00707BF5"/>
    <w:rsid w:val="00710113"/>
    <w:rsid w:val="007104EA"/>
    <w:rsid w:val="0071056F"/>
    <w:rsid w:val="00710772"/>
    <w:rsid w:val="0071082A"/>
    <w:rsid w:val="00710956"/>
    <w:rsid w:val="00710D41"/>
    <w:rsid w:val="007114BB"/>
    <w:rsid w:val="0071162D"/>
    <w:rsid w:val="007119D9"/>
    <w:rsid w:val="00711B80"/>
    <w:rsid w:val="00711E01"/>
    <w:rsid w:val="00711F99"/>
    <w:rsid w:val="007124F8"/>
    <w:rsid w:val="00712705"/>
    <w:rsid w:val="007127ED"/>
    <w:rsid w:val="007127FA"/>
    <w:rsid w:val="00712A15"/>
    <w:rsid w:val="00712DD6"/>
    <w:rsid w:val="007134FD"/>
    <w:rsid w:val="00713551"/>
    <w:rsid w:val="00713632"/>
    <w:rsid w:val="00713B81"/>
    <w:rsid w:val="00713E33"/>
    <w:rsid w:val="007144B7"/>
    <w:rsid w:val="007146D8"/>
    <w:rsid w:val="00714B32"/>
    <w:rsid w:val="00714F4B"/>
    <w:rsid w:val="007150A7"/>
    <w:rsid w:val="0071559C"/>
    <w:rsid w:val="007155B6"/>
    <w:rsid w:val="0071591F"/>
    <w:rsid w:val="00715B3B"/>
    <w:rsid w:val="0071619F"/>
    <w:rsid w:val="007166D4"/>
    <w:rsid w:val="00716E77"/>
    <w:rsid w:val="00716FBE"/>
    <w:rsid w:val="00717B02"/>
    <w:rsid w:val="00717FFA"/>
    <w:rsid w:val="0072009E"/>
    <w:rsid w:val="007200CC"/>
    <w:rsid w:val="007205E1"/>
    <w:rsid w:val="00720893"/>
    <w:rsid w:val="00720928"/>
    <w:rsid w:val="007209F2"/>
    <w:rsid w:val="00720F8E"/>
    <w:rsid w:val="00720FD7"/>
    <w:rsid w:val="0072101B"/>
    <w:rsid w:val="00721111"/>
    <w:rsid w:val="0072111C"/>
    <w:rsid w:val="00721568"/>
    <w:rsid w:val="007215FD"/>
    <w:rsid w:val="0072179D"/>
    <w:rsid w:val="0072199C"/>
    <w:rsid w:val="00721AD2"/>
    <w:rsid w:val="00721B11"/>
    <w:rsid w:val="00721EF2"/>
    <w:rsid w:val="00721F44"/>
    <w:rsid w:val="007222C5"/>
    <w:rsid w:val="00722D18"/>
    <w:rsid w:val="00722D61"/>
    <w:rsid w:val="00722DBA"/>
    <w:rsid w:val="00723163"/>
    <w:rsid w:val="0072344D"/>
    <w:rsid w:val="00723A38"/>
    <w:rsid w:val="00724D73"/>
    <w:rsid w:val="00724E06"/>
    <w:rsid w:val="007253B8"/>
    <w:rsid w:val="00725557"/>
    <w:rsid w:val="007255D9"/>
    <w:rsid w:val="007255DB"/>
    <w:rsid w:val="00725626"/>
    <w:rsid w:val="00725C8A"/>
    <w:rsid w:val="00725E74"/>
    <w:rsid w:val="007264EF"/>
    <w:rsid w:val="00726E23"/>
    <w:rsid w:val="00726EB2"/>
    <w:rsid w:val="0072728A"/>
    <w:rsid w:val="007274DE"/>
    <w:rsid w:val="00727AD9"/>
    <w:rsid w:val="00727C60"/>
    <w:rsid w:val="00727F16"/>
    <w:rsid w:val="007301C7"/>
    <w:rsid w:val="007303F5"/>
    <w:rsid w:val="00730AED"/>
    <w:rsid w:val="007314E0"/>
    <w:rsid w:val="007319B6"/>
    <w:rsid w:val="00731B6C"/>
    <w:rsid w:val="00732113"/>
    <w:rsid w:val="0073271A"/>
    <w:rsid w:val="00732A0F"/>
    <w:rsid w:val="00732AA5"/>
    <w:rsid w:val="00733029"/>
    <w:rsid w:val="00733344"/>
    <w:rsid w:val="00733A89"/>
    <w:rsid w:val="00733BC5"/>
    <w:rsid w:val="00733FB1"/>
    <w:rsid w:val="007343B5"/>
    <w:rsid w:val="00734429"/>
    <w:rsid w:val="00734F47"/>
    <w:rsid w:val="00735244"/>
    <w:rsid w:val="007353CB"/>
    <w:rsid w:val="00735439"/>
    <w:rsid w:val="00735820"/>
    <w:rsid w:val="00735C10"/>
    <w:rsid w:val="00735E15"/>
    <w:rsid w:val="00735F77"/>
    <w:rsid w:val="007363AB"/>
    <w:rsid w:val="00736621"/>
    <w:rsid w:val="00736A4B"/>
    <w:rsid w:val="00736A5A"/>
    <w:rsid w:val="00736B68"/>
    <w:rsid w:val="00737152"/>
    <w:rsid w:val="0073741F"/>
    <w:rsid w:val="00737AFF"/>
    <w:rsid w:val="00740558"/>
    <w:rsid w:val="007406AC"/>
    <w:rsid w:val="00740D0C"/>
    <w:rsid w:val="00740EC3"/>
    <w:rsid w:val="00741CA3"/>
    <w:rsid w:val="0074209F"/>
    <w:rsid w:val="007421AC"/>
    <w:rsid w:val="007425C7"/>
    <w:rsid w:val="00742B58"/>
    <w:rsid w:val="00742D79"/>
    <w:rsid w:val="00743384"/>
    <w:rsid w:val="00743769"/>
    <w:rsid w:val="007438F1"/>
    <w:rsid w:val="00743D3B"/>
    <w:rsid w:val="00744187"/>
    <w:rsid w:val="00744387"/>
    <w:rsid w:val="007444E9"/>
    <w:rsid w:val="00744667"/>
    <w:rsid w:val="0074478D"/>
    <w:rsid w:val="0074488D"/>
    <w:rsid w:val="00744E53"/>
    <w:rsid w:val="00744F40"/>
    <w:rsid w:val="0074509F"/>
    <w:rsid w:val="00745A9C"/>
    <w:rsid w:val="00745C39"/>
    <w:rsid w:val="00745D4F"/>
    <w:rsid w:val="0074602F"/>
    <w:rsid w:val="00746030"/>
    <w:rsid w:val="0074626D"/>
    <w:rsid w:val="0074649B"/>
    <w:rsid w:val="0074670B"/>
    <w:rsid w:val="00746BEB"/>
    <w:rsid w:val="00746D77"/>
    <w:rsid w:val="007470B2"/>
    <w:rsid w:val="00747495"/>
    <w:rsid w:val="00747573"/>
    <w:rsid w:val="0075008E"/>
    <w:rsid w:val="007502CB"/>
    <w:rsid w:val="0075120E"/>
    <w:rsid w:val="007518E6"/>
    <w:rsid w:val="00751BC3"/>
    <w:rsid w:val="0075203A"/>
    <w:rsid w:val="007521AE"/>
    <w:rsid w:val="007525DE"/>
    <w:rsid w:val="0075265F"/>
    <w:rsid w:val="007527F2"/>
    <w:rsid w:val="007528B9"/>
    <w:rsid w:val="007528BE"/>
    <w:rsid w:val="00752A4D"/>
    <w:rsid w:val="00752A97"/>
    <w:rsid w:val="00752DDB"/>
    <w:rsid w:val="007531C1"/>
    <w:rsid w:val="007536A9"/>
    <w:rsid w:val="0075385A"/>
    <w:rsid w:val="00753C72"/>
    <w:rsid w:val="00754112"/>
    <w:rsid w:val="007543A5"/>
    <w:rsid w:val="007545C9"/>
    <w:rsid w:val="00754E62"/>
    <w:rsid w:val="007554FC"/>
    <w:rsid w:val="007555A2"/>
    <w:rsid w:val="007555B4"/>
    <w:rsid w:val="007556D6"/>
    <w:rsid w:val="007559AC"/>
    <w:rsid w:val="00755FDC"/>
    <w:rsid w:val="00756151"/>
    <w:rsid w:val="00756BE5"/>
    <w:rsid w:val="007573DE"/>
    <w:rsid w:val="007576D1"/>
    <w:rsid w:val="007578A2"/>
    <w:rsid w:val="00757D54"/>
    <w:rsid w:val="00757EE9"/>
    <w:rsid w:val="00760390"/>
    <w:rsid w:val="00760EF5"/>
    <w:rsid w:val="007613AB"/>
    <w:rsid w:val="00761A36"/>
    <w:rsid w:val="00761DA2"/>
    <w:rsid w:val="00762321"/>
    <w:rsid w:val="00762441"/>
    <w:rsid w:val="0076258E"/>
    <w:rsid w:val="00762A48"/>
    <w:rsid w:val="00762BBB"/>
    <w:rsid w:val="007632CB"/>
    <w:rsid w:val="0076334D"/>
    <w:rsid w:val="007642E5"/>
    <w:rsid w:val="00764578"/>
    <w:rsid w:val="007650EA"/>
    <w:rsid w:val="00765397"/>
    <w:rsid w:val="00765533"/>
    <w:rsid w:val="00765557"/>
    <w:rsid w:val="00765727"/>
    <w:rsid w:val="007658BB"/>
    <w:rsid w:val="00766170"/>
    <w:rsid w:val="0076643F"/>
    <w:rsid w:val="00766855"/>
    <w:rsid w:val="00766DE1"/>
    <w:rsid w:val="00766EA0"/>
    <w:rsid w:val="00766FA2"/>
    <w:rsid w:val="00766FD3"/>
    <w:rsid w:val="0076720B"/>
    <w:rsid w:val="007673D9"/>
    <w:rsid w:val="00767453"/>
    <w:rsid w:val="00767501"/>
    <w:rsid w:val="007677F1"/>
    <w:rsid w:val="007703E6"/>
    <w:rsid w:val="00770B4A"/>
    <w:rsid w:val="00770C19"/>
    <w:rsid w:val="007710D8"/>
    <w:rsid w:val="007716DA"/>
    <w:rsid w:val="00771C9A"/>
    <w:rsid w:val="00772433"/>
    <w:rsid w:val="007727D2"/>
    <w:rsid w:val="00772A89"/>
    <w:rsid w:val="00772C4C"/>
    <w:rsid w:val="00772CC1"/>
    <w:rsid w:val="00772DDD"/>
    <w:rsid w:val="00772EFA"/>
    <w:rsid w:val="00773A08"/>
    <w:rsid w:val="00773E4D"/>
    <w:rsid w:val="00774408"/>
    <w:rsid w:val="007746B6"/>
    <w:rsid w:val="00774B7A"/>
    <w:rsid w:val="00774C6F"/>
    <w:rsid w:val="00774C7A"/>
    <w:rsid w:val="00774DF0"/>
    <w:rsid w:val="007753D7"/>
    <w:rsid w:val="007755C7"/>
    <w:rsid w:val="00776045"/>
    <w:rsid w:val="007767EF"/>
    <w:rsid w:val="0077681B"/>
    <w:rsid w:val="00776913"/>
    <w:rsid w:val="00776DC6"/>
    <w:rsid w:val="00776F61"/>
    <w:rsid w:val="00776FDE"/>
    <w:rsid w:val="00777114"/>
    <w:rsid w:val="00777F44"/>
    <w:rsid w:val="007801FB"/>
    <w:rsid w:val="00780581"/>
    <w:rsid w:val="00780661"/>
    <w:rsid w:val="0078099E"/>
    <w:rsid w:val="007809F9"/>
    <w:rsid w:val="00780F38"/>
    <w:rsid w:val="007814C9"/>
    <w:rsid w:val="0078174E"/>
    <w:rsid w:val="00781B69"/>
    <w:rsid w:val="00782585"/>
    <w:rsid w:val="00782A6F"/>
    <w:rsid w:val="00782C20"/>
    <w:rsid w:val="00782CFB"/>
    <w:rsid w:val="0078318D"/>
    <w:rsid w:val="00783570"/>
    <w:rsid w:val="00783876"/>
    <w:rsid w:val="00783B7E"/>
    <w:rsid w:val="007842BC"/>
    <w:rsid w:val="0078432E"/>
    <w:rsid w:val="0078460C"/>
    <w:rsid w:val="00784766"/>
    <w:rsid w:val="007848A4"/>
    <w:rsid w:val="00784AC1"/>
    <w:rsid w:val="00784C30"/>
    <w:rsid w:val="00784C71"/>
    <w:rsid w:val="00784E03"/>
    <w:rsid w:val="00785213"/>
    <w:rsid w:val="0078551E"/>
    <w:rsid w:val="00785691"/>
    <w:rsid w:val="00785B6E"/>
    <w:rsid w:val="00785BBF"/>
    <w:rsid w:val="00785F90"/>
    <w:rsid w:val="00786126"/>
    <w:rsid w:val="007862B0"/>
    <w:rsid w:val="007863BC"/>
    <w:rsid w:val="0078689C"/>
    <w:rsid w:val="0078697D"/>
    <w:rsid w:val="00786A91"/>
    <w:rsid w:val="00786DB3"/>
    <w:rsid w:val="00790178"/>
    <w:rsid w:val="00790243"/>
    <w:rsid w:val="00790CB4"/>
    <w:rsid w:val="00790F8B"/>
    <w:rsid w:val="00790FAB"/>
    <w:rsid w:val="007910AA"/>
    <w:rsid w:val="007913E9"/>
    <w:rsid w:val="00791828"/>
    <w:rsid w:val="00791A91"/>
    <w:rsid w:val="00792525"/>
    <w:rsid w:val="00792A15"/>
    <w:rsid w:val="00793493"/>
    <w:rsid w:val="007938CA"/>
    <w:rsid w:val="00793AED"/>
    <w:rsid w:val="00793CB7"/>
    <w:rsid w:val="0079417D"/>
    <w:rsid w:val="00794475"/>
    <w:rsid w:val="00794641"/>
    <w:rsid w:val="0079488C"/>
    <w:rsid w:val="00794BE2"/>
    <w:rsid w:val="007950AC"/>
    <w:rsid w:val="007955DC"/>
    <w:rsid w:val="007957F7"/>
    <w:rsid w:val="0079611D"/>
    <w:rsid w:val="00796236"/>
    <w:rsid w:val="007962DA"/>
    <w:rsid w:val="00796A26"/>
    <w:rsid w:val="00796C37"/>
    <w:rsid w:val="00796C54"/>
    <w:rsid w:val="00797B22"/>
    <w:rsid w:val="00797DD9"/>
    <w:rsid w:val="007A0688"/>
    <w:rsid w:val="007A101F"/>
    <w:rsid w:val="007A10D1"/>
    <w:rsid w:val="007A17E4"/>
    <w:rsid w:val="007A1CE0"/>
    <w:rsid w:val="007A1EC7"/>
    <w:rsid w:val="007A26BF"/>
    <w:rsid w:val="007A29CE"/>
    <w:rsid w:val="007A29E9"/>
    <w:rsid w:val="007A30BB"/>
    <w:rsid w:val="007A33CA"/>
    <w:rsid w:val="007A35BD"/>
    <w:rsid w:val="007A37BF"/>
    <w:rsid w:val="007A3EC1"/>
    <w:rsid w:val="007A4039"/>
    <w:rsid w:val="007A440D"/>
    <w:rsid w:val="007A46C7"/>
    <w:rsid w:val="007A4794"/>
    <w:rsid w:val="007A4A25"/>
    <w:rsid w:val="007A4E0E"/>
    <w:rsid w:val="007A539D"/>
    <w:rsid w:val="007A5722"/>
    <w:rsid w:val="007A5817"/>
    <w:rsid w:val="007A6847"/>
    <w:rsid w:val="007A6B39"/>
    <w:rsid w:val="007A6E2E"/>
    <w:rsid w:val="007A6E5C"/>
    <w:rsid w:val="007A6E65"/>
    <w:rsid w:val="007A7FED"/>
    <w:rsid w:val="007B01BB"/>
    <w:rsid w:val="007B03A8"/>
    <w:rsid w:val="007B043F"/>
    <w:rsid w:val="007B05F9"/>
    <w:rsid w:val="007B0A16"/>
    <w:rsid w:val="007B0C7B"/>
    <w:rsid w:val="007B0CE3"/>
    <w:rsid w:val="007B0DE4"/>
    <w:rsid w:val="007B0EC9"/>
    <w:rsid w:val="007B12AB"/>
    <w:rsid w:val="007B1A8A"/>
    <w:rsid w:val="007B1B67"/>
    <w:rsid w:val="007B1F4F"/>
    <w:rsid w:val="007B2A71"/>
    <w:rsid w:val="007B2B9C"/>
    <w:rsid w:val="007B330B"/>
    <w:rsid w:val="007B3656"/>
    <w:rsid w:val="007B3C7F"/>
    <w:rsid w:val="007B3D30"/>
    <w:rsid w:val="007B3E4B"/>
    <w:rsid w:val="007B48C7"/>
    <w:rsid w:val="007B4920"/>
    <w:rsid w:val="007B4D53"/>
    <w:rsid w:val="007B515B"/>
    <w:rsid w:val="007B51AE"/>
    <w:rsid w:val="007B52BC"/>
    <w:rsid w:val="007B55AA"/>
    <w:rsid w:val="007B59A2"/>
    <w:rsid w:val="007B5D67"/>
    <w:rsid w:val="007B60E9"/>
    <w:rsid w:val="007B628E"/>
    <w:rsid w:val="007B6779"/>
    <w:rsid w:val="007B6CC3"/>
    <w:rsid w:val="007B7113"/>
    <w:rsid w:val="007B73C9"/>
    <w:rsid w:val="007B752C"/>
    <w:rsid w:val="007B75D3"/>
    <w:rsid w:val="007B79CB"/>
    <w:rsid w:val="007B79DE"/>
    <w:rsid w:val="007B7C16"/>
    <w:rsid w:val="007B7C79"/>
    <w:rsid w:val="007C01B1"/>
    <w:rsid w:val="007C0801"/>
    <w:rsid w:val="007C0B70"/>
    <w:rsid w:val="007C0C13"/>
    <w:rsid w:val="007C0DA5"/>
    <w:rsid w:val="007C1B4C"/>
    <w:rsid w:val="007C1CC8"/>
    <w:rsid w:val="007C1DBF"/>
    <w:rsid w:val="007C2060"/>
    <w:rsid w:val="007C2330"/>
    <w:rsid w:val="007C23D2"/>
    <w:rsid w:val="007C27C3"/>
    <w:rsid w:val="007C2FF6"/>
    <w:rsid w:val="007C3334"/>
    <w:rsid w:val="007C351D"/>
    <w:rsid w:val="007C452A"/>
    <w:rsid w:val="007C4F8A"/>
    <w:rsid w:val="007C51D7"/>
    <w:rsid w:val="007C547B"/>
    <w:rsid w:val="007C5D39"/>
    <w:rsid w:val="007C68C5"/>
    <w:rsid w:val="007C6E82"/>
    <w:rsid w:val="007C6F41"/>
    <w:rsid w:val="007C6F65"/>
    <w:rsid w:val="007C7891"/>
    <w:rsid w:val="007C7C29"/>
    <w:rsid w:val="007C7E5C"/>
    <w:rsid w:val="007D0013"/>
    <w:rsid w:val="007D0278"/>
    <w:rsid w:val="007D0745"/>
    <w:rsid w:val="007D0758"/>
    <w:rsid w:val="007D0B97"/>
    <w:rsid w:val="007D0C8C"/>
    <w:rsid w:val="007D0E3C"/>
    <w:rsid w:val="007D10B3"/>
    <w:rsid w:val="007D1170"/>
    <w:rsid w:val="007D1432"/>
    <w:rsid w:val="007D16DC"/>
    <w:rsid w:val="007D19F7"/>
    <w:rsid w:val="007D1B51"/>
    <w:rsid w:val="007D2484"/>
    <w:rsid w:val="007D2494"/>
    <w:rsid w:val="007D2A18"/>
    <w:rsid w:val="007D2B98"/>
    <w:rsid w:val="007D2D97"/>
    <w:rsid w:val="007D30F0"/>
    <w:rsid w:val="007D31DC"/>
    <w:rsid w:val="007D33BB"/>
    <w:rsid w:val="007D3D79"/>
    <w:rsid w:val="007D4D0A"/>
    <w:rsid w:val="007D4F01"/>
    <w:rsid w:val="007D5AD1"/>
    <w:rsid w:val="007D5AEA"/>
    <w:rsid w:val="007D5F5F"/>
    <w:rsid w:val="007D6705"/>
    <w:rsid w:val="007D6FA3"/>
    <w:rsid w:val="007D733F"/>
    <w:rsid w:val="007D7568"/>
    <w:rsid w:val="007D7C4D"/>
    <w:rsid w:val="007D7F07"/>
    <w:rsid w:val="007E0337"/>
    <w:rsid w:val="007E03CE"/>
    <w:rsid w:val="007E05CF"/>
    <w:rsid w:val="007E07FA"/>
    <w:rsid w:val="007E0A89"/>
    <w:rsid w:val="007E0D10"/>
    <w:rsid w:val="007E0D58"/>
    <w:rsid w:val="007E0D92"/>
    <w:rsid w:val="007E1554"/>
    <w:rsid w:val="007E15CA"/>
    <w:rsid w:val="007E1751"/>
    <w:rsid w:val="007E1768"/>
    <w:rsid w:val="007E1DDF"/>
    <w:rsid w:val="007E21BC"/>
    <w:rsid w:val="007E28DA"/>
    <w:rsid w:val="007E2B3E"/>
    <w:rsid w:val="007E30E6"/>
    <w:rsid w:val="007E38E5"/>
    <w:rsid w:val="007E41D2"/>
    <w:rsid w:val="007E441B"/>
    <w:rsid w:val="007E4D79"/>
    <w:rsid w:val="007E5009"/>
    <w:rsid w:val="007E5462"/>
    <w:rsid w:val="007E5490"/>
    <w:rsid w:val="007E5655"/>
    <w:rsid w:val="007E585F"/>
    <w:rsid w:val="007E593F"/>
    <w:rsid w:val="007E5A40"/>
    <w:rsid w:val="007E5D40"/>
    <w:rsid w:val="007E61C5"/>
    <w:rsid w:val="007E6417"/>
    <w:rsid w:val="007E752B"/>
    <w:rsid w:val="007E7891"/>
    <w:rsid w:val="007E799A"/>
    <w:rsid w:val="007E7C40"/>
    <w:rsid w:val="007E7D65"/>
    <w:rsid w:val="007E7EEE"/>
    <w:rsid w:val="007F0264"/>
    <w:rsid w:val="007F0496"/>
    <w:rsid w:val="007F0713"/>
    <w:rsid w:val="007F0A18"/>
    <w:rsid w:val="007F0C72"/>
    <w:rsid w:val="007F0D3D"/>
    <w:rsid w:val="007F0D3F"/>
    <w:rsid w:val="007F0E4E"/>
    <w:rsid w:val="007F171B"/>
    <w:rsid w:val="007F1CD8"/>
    <w:rsid w:val="007F1D45"/>
    <w:rsid w:val="007F2072"/>
    <w:rsid w:val="007F22E5"/>
    <w:rsid w:val="007F27F6"/>
    <w:rsid w:val="007F2DC3"/>
    <w:rsid w:val="007F3406"/>
    <w:rsid w:val="007F3A1F"/>
    <w:rsid w:val="007F400D"/>
    <w:rsid w:val="007F48EE"/>
    <w:rsid w:val="007F4C17"/>
    <w:rsid w:val="007F5266"/>
    <w:rsid w:val="007F5537"/>
    <w:rsid w:val="007F55EC"/>
    <w:rsid w:val="007F5A3A"/>
    <w:rsid w:val="007F5D54"/>
    <w:rsid w:val="007F6080"/>
    <w:rsid w:val="007F6089"/>
    <w:rsid w:val="007F60D4"/>
    <w:rsid w:val="007F62F3"/>
    <w:rsid w:val="007F66BA"/>
    <w:rsid w:val="007F673D"/>
    <w:rsid w:val="007F69D0"/>
    <w:rsid w:val="007F6BD5"/>
    <w:rsid w:val="007F6F48"/>
    <w:rsid w:val="007F6F94"/>
    <w:rsid w:val="007F7A91"/>
    <w:rsid w:val="007F7D9D"/>
    <w:rsid w:val="008004DC"/>
    <w:rsid w:val="00800630"/>
    <w:rsid w:val="008006CA"/>
    <w:rsid w:val="0080085C"/>
    <w:rsid w:val="0080094F"/>
    <w:rsid w:val="00800B51"/>
    <w:rsid w:val="0080142B"/>
    <w:rsid w:val="00801688"/>
    <w:rsid w:val="00801BBC"/>
    <w:rsid w:val="00801C82"/>
    <w:rsid w:val="00801D53"/>
    <w:rsid w:val="00802182"/>
    <w:rsid w:val="0080241F"/>
    <w:rsid w:val="00802659"/>
    <w:rsid w:val="00802E00"/>
    <w:rsid w:val="00802E76"/>
    <w:rsid w:val="0080331E"/>
    <w:rsid w:val="00803681"/>
    <w:rsid w:val="00803767"/>
    <w:rsid w:val="0080398A"/>
    <w:rsid w:val="00803C4D"/>
    <w:rsid w:val="00803CC0"/>
    <w:rsid w:val="00803F1C"/>
    <w:rsid w:val="00804360"/>
    <w:rsid w:val="00804AD4"/>
    <w:rsid w:val="00805C88"/>
    <w:rsid w:val="0080600E"/>
    <w:rsid w:val="008060E0"/>
    <w:rsid w:val="0080612C"/>
    <w:rsid w:val="0080639F"/>
    <w:rsid w:val="008068D9"/>
    <w:rsid w:val="008069C1"/>
    <w:rsid w:val="008069D1"/>
    <w:rsid w:val="00806CE0"/>
    <w:rsid w:val="00806D71"/>
    <w:rsid w:val="00806E7A"/>
    <w:rsid w:val="0080746B"/>
    <w:rsid w:val="00807593"/>
    <w:rsid w:val="008079CC"/>
    <w:rsid w:val="00810541"/>
    <w:rsid w:val="00810860"/>
    <w:rsid w:val="00810AC5"/>
    <w:rsid w:val="00810F65"/>
    <w:rsid w:val="00811988"/>
    <w:rsid w:val="00811B47"/>
    <w:rsid w:val="00812296"/>
    <w:rsid w:val="008124AE"/>
    <w:rsid w:val="00812ACD"/>
    <w:rsid w:val="00812ADE"/>
    <w:rsid w:val="0081357B"/>
    <w:rsid w:val="008140C5"/>
    <w:rsid w:val="00814173"/>
    <w:rsid w:val="0081449E"/>
    <w:rsid w:val="008146EC"/>
    <w:rsid w:val="00814818"/>
    <w:rsid w:val="0081496B"/>
    <w:rsid w:val="00815160"/>
    <w:rsid w:val="00815207"/>
    <w:rsid w:val="00815497"/>
    <w:rsid w:val="00815A24"/>
    <w:rsid w:val="00815E08"/>
    <w:rsid w:val="00816112"/>
    <w:rsid w:val="00816513"/>
    <w:rsid w:val="008167A5"/>
    <w:rsid w:val="00816A42"/>
    <w:rsid w:val="00816AE5"/>
    <w:rsid w:val="00816ED6"/>
    <w:rsid w:val="00817276"/>
    <w:rsid w:val="0081746C"/>
    <w:rsid w:val="00817612"/>
    <w:rsid w:val="00817AA5"/>
    <w:rsid w:val="00817B08"/>
    <w:rsid w:val="00817DF4"/>
    <w:rsid w:val="00817E57"/>
    <w:rsid w:val="0082100E"/>
    <w:rsid w:val="0082165B"/>
    <w:rsid w:val="00821FF7"/>
    <w:rsid w:val="008220D0"/>
    <w:rsid w:val="00822126"/>
    <w:rsid w:val="0082233B"/>
    <w:rsid w:val="0082287D"/>
    <w:rsid w:val="008228F4"/>
    <w:rsid w:val="00822FF5"/>
    <w:rsid w:val="0082333F"/>
    <w:rsid w:val="008234BE"/>
    <w:rsid w:val="0082350F"/>
    <w:rsid w:val="00823555"/>
    <w:rsid w:val="008238F3"/>
    <w:rsid w:val="00824A3F"/>
    <w:rsid w:val="008254E1"/>
    <w:rsid w:val="00825623"/>
    <w:rsid w:val="008258DE"/>
    <w:rsid w:val="00825D2C"/>
    <w:rsid w:val="00825F67"/>
    <w:rsid w:val="00825FF9"/>
    <w:rsid w:val="008266B8"/>
    <w:rsid w:val="00826860"/>
    <w:rsid w:val="00826C65"/>
    <w:rsid w:val="00826E70"/>
    <w:rsid w:val="008271E7"/>
    <w:rsid w:val="00827229"/>
    <w:rsid w:val="00827365"/>
    <w:rsid w:val="00827622"/>
    <w:rsid w:val="0082785F"/>
    <w:rsid w:val="00830929"/>
    <w:rsid w:val="008309CD"/>
    <w:rsid w:val="00830C4A"/>
    <w:rsid w:val="00830F17"/>
    <w:rsid w:val="0083146E"/>
    <w:rsid w:val="008314F4"/>
    <w:rsid w:val="008318FB"/>
    <w:rsid w:val="00832212"/>
    <w:rsid w:val="00832784"/>
    <w:rsid w:val="00832873"/>
    <w:rsid w:val="00832E7E"/>
    <w:rsid w:val="0083327F"/>
    <w:rsid w:val="00833633"/>
    <w:rsid w:val="00833661"/>
    <w:rsid w:val="008336D0"/>
    <w:rsid w:val="008338A4"/>
    <w:rsid w:val="0083395A"/>
    <w:rsid w:val="00833D8C"/>
    <w:rsid w:val="00834158"/>
    <w:rsid w:val="0083487F"/>
    <w:rsid w:val="00835216"/>
    <w:rsid w:val="0083554E"/>
    <w:rsid w:val="00835819"/>
    <w:rsid w:val="0083588E"/>
    <w:rsid w:val="00835C46"/>
    <w:rsid w:val="00836060"/>
    <w:rsid w:val="0083613A"/>
    <w:rsid w:val="00836348"/>
    <w:rsid w:val="00836907"/>
    <w:rsid w:val="008369AB"/>
    <w:rsid w:val="00837083"/>
    <w:rsid w:val="008375A0"/>
    <w:rsid w:val="00837C45"/>
    <w:rsid w:val="0084036C"/>
    <w:rsid w:val="008417D9"/>
    <w:rsid w:val="008418D2"/>
    <w:rsid w:val="00841B6E"/>
    <w:rsid w:val="00841E8D"/>
    <w:rsid w:val="00842033"/>
    <w:rsid w:val="00842422"/>
    <w:rsid w:val="00842510"/>
    <w:rsid w:val="00842534"/>
    <w:rsid w:val="00842675"/>
    <w:rsid w:val="00842BB7"/>
    <w:rsid w:val="008436B8"/>
    <w:rsid w:val="00843BA5"/>
    <w:rsid w:val="00843F3D"/>
    <w:rsid w:val="0084404F"/>
    <w:rsid w:val="0084424C"/>
    <w:rsid w:val="00844730"/>
    <w:rsid w:val="00844798"/>
    <w:rsid w:val="00844E00"/>
    <w:rsid w:val="00845264"/>
    <w:rsid w:val="00845447"/>
    <w:rsid w:val="00845699"/>
    <w:rsid w:val="008457C2"/>
    <w:rsid w:val="0084582A"/>
    <w:rsid w:val="00845DC2"/>
    <w:rsid w:val="00846006"/>
    <w:rsid w:val="0084626F"/>
    <w:rsid w:val="0084643A"/>
    <w:rsid w:val="0084650F"/>
    <w:rsid w:val="00846555"/>
    <w:rsid w:val="0084665C"/>
    <w:rsid w:val="00846D91"/>
    <w:rsid w:val="00846D9A"/>
    <w:rsid w:val="00846DCA"/>
    <w:rsid w:val="00847119"/>
    <w:rsid w:val="00847D04"/>
    <w:rsid w:val="00847D66"/>
    <w:rsid w:val="00847E88"/>
    <w:rsid w:val="008505C6"/>
    <w:rsid w:val="008508B9"/>
    <w:rsid w:val="00850E4D"/>
    <w:rsid w:val="00851376"/>
    <w:rsid w:val="008514D3"/>
    <w:rsid w:val="00851BEA"/>
    <w:rsid w:val="008520EB"/>
    <w:rsid w:val="0085254C"/>
    <w:rsid w:val="008525A9"/>
    <w:rsid w:val="00853B54"/>
    <w:rsid w:val="00853DA5"/>
    <w:rsid w:val="00853F9D"/>
    <w:rsid w:val="008540B6"/>
    <w:rsid w:val="008540EE"/>
    <w:rsid w:val="0085423E"/>
    <w:rsid w:val="00854460"/>
    <w:rsid w:val="0085457E"/>
    <w:rsid w:val="008548E4"/>
    <w:rsid w:val="00854A32"/>
    <w:rsid w:val="008550C6"/>
    <w:rsid w:val="008554B8"/>
    <w:rsid w:val="0085567C"/>
    <w:rsid w:val="008556CA"/>
    <w:rsid w:val="00855B3B"/>
    <w:rsid w:val="00855D9C"/>
    <w:rsid w:val="008563A3"/>
    <w:rsid w:val="00857A82"/>
    <w:rsid w:val="00857D41"/>
    <w:rsid w:val="0086031A"/>
    <w:rsid w:val="008603F2"/>
    <w:rsid w:val="00860B0A"/>
    <w:rsid w:val="00860B5F"/>
    <w:rsid w:val="00860E77"/>
    <w:rsid w:val="008611BC"/>
    <w:rsid w:val="00861880"/>
    <w:rsid w:val="008619A1"/>
    <w:rsid w:val="00861D82"/>
    <w:rsid w:val="00862253"/>
    <w:rsid w:val="0086261F"/>
    <w:rsid w:val="008627EF"/>
    <w:rsid w:val="008629F3"/>
    <w:rsid w:val="00862EC5"/>
    <w:rsid w:val="00863367"/>
    <w:rsid w:val="00863387"/>
    <w:rsid w:val="00863802"/>
    <w:rsid w:val="00863ED4"/>
    <w:rsid w:val="0086456A"/>
    <w:rsid w:val="008645D3"/>
    <w:rsid w:val="008646C9"/>
    <w:rsid w:val="008655E7"/>
    <w:rsid w:val="008656C2"/>
    <w:rsid w:val="008657F3"/>
    <w:rsid w:val="00865B0B"/>
    <w:rsid w:val="00865CB9"/>
    <w:rsid w:val="00865D33"/>
    <w:rsid w:val="00865D59"/>
    <w:rsid w:val="00866186"/>
    <w:rsid w:val="00866433"/>
    <w:rsid w:val="008664EC"/>
    <w:rsid w:val="008668F6"/>
    <w:rsid w:val="0086721D"/>
    <w:rsid w:val="008673C5"/>
    <w:rsid w:val="00867A6D"/>
    <w:rsid w:val="00867B68"/>
    <w:rsid w:val="0087059D"/>
    <w:rsid w:val="0087074B"/>
    <w:rsid w:val="008710B2"/>
    <w:rsid w:val="00871537"/>
    <w:rsid w:val="00871ACF"/>
    <w:rsid w:val="00871D0C"/>
    <w:rsid w:val="008721DA"/>
    <w:rsid w:val="0087259A"/>
    <w:rsid w:val="00872A19"/>
    <w:rsid w:val="00872A3D"/>
    <w:rsid w:val="008737A5"/>
    <w:rsid w:val="00873836"/>
    <w:rsid w:val="00873E8E"/>
    <w:rsid w:val="00873F92"/>
    <w:rsid w:val="00874327"/>
    <w:rsid w:val="00874731"/>
    <w:rsid w:val="0087479F"/>
    <w:rsid w:val="00874C92"/>
    <w:rsid w:val="00874DE8"/>
    <w:rsid w:val="0087517E"/>
    <w:rsid w:val="0087518B"/>
    <w:rsid w:val="0087528D"/>
    <w:rsid w:val="008756B1"/>
    <w:rsid w:val="008762FF"/>
    <w:rsid w:val="00876822"/>
    <w:rsid w:val="00876A9F"/>
    <w:rsid w:val="008771AD"/>
    <w:rsid w:val="00877442"/>
    <w:rsid w:val="0087747E"/>
    <w:rsid w:val="00877CD0"/>
    <w:rsid w:val="00880BC8"/>
    <w:rsid w:val="00881157"/>
    <w:rsid w:val="00881512"/>
    <w:rsid w:val="00881A67"/>
    <w:rsid w:val="00881B88"/>
    <w:rsid w:val="0088252D"/>
    <w:rsid w:val="008825B3"/>
    <w:rsid w:val="008828EF"/>
    <w:rsid w:val="00882A03"/>
    <w:rsid w:val="00882E89"/>
    <w:rsid w:val="00882FB6"/>
    <w:rsid w:val="008833C1"/>
    <w:rsid w:val="0088368C"/>
    <w:rsid w:val="00883E21"/>
    <w:rsid w:val="00884DB2"/>
    <w:rsid w:val="00885223"/>
    <w:rsid w:val="00885396"/>
    <w:rsid w:val="00885450"/>
    <w:rsid w:val="008854BC"/>
    <w:rsid w:val="00885553"/>
    <w:rsid w:val="00885737"/>
    <w:rsid w:val="00885974"/>
    <w:rsid w:val="00885C06"/>
    <w:rsid w:val="00885CA7"/>
    <w:rsid w:val="00885E54"/>
    <w:rsid w:val="0088636C"/>
    <w:rsid w:val="0088678D"/>
    <w:rsid w:val="0088679A"/>
    <w:rsid w:val="00886814"/>
    <w:rsid w:val="00887304"/>
    <w:rsid w:val="0088761F"/>
    <w:rsid w:val="00887BD0"/>
    <w:rsid w:val="00887C19"/>
    <w:rsid w:val="00887C63"/>
    <w:rsid w:val="00887CD8"/>
    <w:rsid w:val="008902F5"/>
    <w:rsid w:val="00890650"/>
    <w:rsid w:val="008909B7"/>
    <w:rsid w:val="00890B04"/>
    <w:rsid w:val="00890C56"/>
    <w:rsid w:val="00890FA9"/>
    <w:rsid w:val="00890FEF"/>
    <w:rsid w:val="0089119C"/>
    <w:rsid w:val="008914B5"/>
    <w:rsid w:val="00891933"/>
    <w:rsid w:val="00891AD0"/>
    <w:rsid w:val="00891ADA"/>
    <w:rsid w:val="00891F36"/>
    <w:rsid w:val="00892723"/>
    <w:rsid w:val="008927C7"/>
    <w:rsid w:val="00892A41"/>
    <w:rsid w:val="00892AD7"/>
    <w:rsid w:val="00892BA9"/>
    <w:rsid w:val="00892F49"/>
    <w:rsid w:val="008934E9"/>
    <w:rsid w:val="0089369B"/>
    <w:rsid w:val="00893713"/>
    <w:rsid w:val="00893DA3"/>
    <w:rsid w:val="00893DFD"/>
    <w:rsid w:val="00893EF9"/>
    <w:rsid w:val="00894134"/>
    <w:rsid w:val="00894765"/>
    <w:rsid w:val="00894809"/>
    <w:rsid w:val="00894D26"/>
    <w:rsid w:val="00895389"/>
    <w:rsid w:val="00895472"/>
    <w:rsid w:val="00895D38"/>
    <w:rsid w:val="00895FA2"/>
    <w:rsid w:val="00896099"/>
    <w:rsid w:val="00896807"/>
    <w:rsid w:val="00896F65"/>
    <w:rsid w:val="00897145"/>
    <w:rsid w:val="00897313"/>
    <w:rsid w:val="0089759E"/>
    <w:rsid w:val="00897C0D"/>
    <w:rsid w:val="00897C86"/>
    <w:rsid w:val="00897E12"/>
    <w:rsid w:val="008A0437"/>
    <w:rsid w:val="008A0DAD"/>
    <w:rsid w:val="008A0EC3"/>
    <w:rsid w:val="008A21D5"/>
    <w:rsid w:val="008A2501"/>
    <w:rsid w:val="008A27CC"/>
    <w:rsid w:val="008A2B89"/>
    <w:rsid w:val="008A2F89"/>
    <w:rsid w:val="008A30E2"/>
    <w:rsid w:val="008A3473"/>
    <w:rsid w:val="008A3B82"/>
    <w:rsid w:val="008A41EF"/>
    <w:rsid w:val="008A4355"/>
    <w:rsid w:val="008A43E2"/>
    <w:rsid w:val="008A4748"/>
    <w:rsid w:val="008A4985"/>
    <w:rsid w:val="008A49F0"/>
    <w:rsid w:val="008A4B90"/>
    <w:rsid w:val="008A5C86"/>
    <w:rsid w:val="008A5EA2"/>
    <w:rsid w:val="008A633B"/>
    <w:rsid w:val="008A63C6"/>
    <w:rsid w:val="008A6B26"/>
    <w:rsid w:val="008A6C80"/>
    <w:rsid w:val="008A6CB5"/>
    <w:rsid w:val="008A72C5"/>
    <w:rsid w:val="008A72E6"/>
    <w:rsid w:val="008A75D0"/>
    <w:rsid w:val="008A7874"/>
    <w:rsid w:val="008A7E0F"/>
    <w:rsid w:val="008B0826"/>
    <w:rsid w:val="008B08E2"/>
    <w:rsid w:val="008B0C96"/>
    <w:rsid w:val="008B0EF3"/>
    <w:rsid w:val="008B10ED"/>
    <w:rsid w:val="008B12F5"/>
    <w:rsid w:val="008B1402"/>
    <w:rsid w:val="008B192D"/>
    <w:rsid w:val="008B1BBB"/>
    <w:rsid w:val="008B1C8D"/>
    <w:rsid w:val="008B1E57"/>
    <w:rsid w:val="008B20E5"/>
    <w:rsid w:val="008B21E9"/>
    <w:rsid w:val="008B26CE"/>
    <w:rsid w:val="008B2B80"/>
    <w:rsid w:val="008B2D49"/>
    <w:rsid w:val="008B309E"/>
    <w:rsid w:val="008B31CA"/>
    <w:rsid w:val="008B391B"/>
    <w:rsid w:val="008B3941"/>
    <w:rsid w:val="008B41A1"/>
    <w:rsid w:val="008B426B"/>
    <w:rsid w:val="008B450E"/>
    <w:rsid w:val="008B4895"/>
    <w:rsid w:val="008B4CCC"/>
    <w:rsid w:val="008B5010"/>
    <w:rsid w:val="008B5196"/>
    <w:rsid w:val="008B5210"/>
    <w:rsid w:val="008B55C7"/>
    <w:rsid w:val="008B59E8"/>
    <w:rsid w:val="008B5ACB"/>
    <w:rsid w:val="008B60FC"/>
    <w:rsid w:val="008B6765"/>
    <w:rsid w:val="008B67FC"/>
    <w:rsid w:val="008B6888"/>
    <w:rsid w:val="008B6EC0"/>
    <w:rsid w:val="008B744E"/>
    <w:rsid w:val="008B751D"/>
    <w:rsid w:val="008B777D"/>
    <w:rsid w:val="008B77CB"/>
    <w:rsid w:val="008B793B"/>
    <w:rsid w:val="008B7C48"/>
    <w:rsid w:val="008B7FD8"/>
    <w:rsid w:val="008C056E"/>
    <w:rsid w:val="008C0A49"/>
    <w:rsid w:val="008C0C3D"/>
    <w:rsid w:val="008C10D9"/>
    <w:rsid w:val="008C135B"/>
    <w:rsid w:val="008C19E3"/>
    <w:rsid w:val="008C1B2F"/>
    <w:rsid w:val="008C1BB7"/>
    <w:rsid w:val="008C1C94"/>
    <w:rsid w:val="008C1FE0"/>
    <w:rsid w:val="008C2225"/>
    <w:rsid w:val="008C294B"/>
    <w:rsid w:val="008C2AE9"/>
    <w:rsid w:val="008C3431"/>
    <w:rsid w:val="008C3892"/>
    <w:rsid w:val="008C3C05"/>
    <w:rsid w:val="008C3F6A"/>
    <w:rsid w:val="008C4927"/>
    <w:rsid w:val="008C4928"/>
    <w:rsid w:val="008C4A05"/>
    <w:rsid w:val="008C4C11"/>
    <w:rsid w:val="008C5146"/>
    <w:rsid w:val="008C5543"/>
    <w:rsid w:val="008C5562"/>
    <w:rsid w:val="008C5D8E"/>
    <w:rsid w:val="008C60FD"/>
    <w:rsid w:val="008C6103"/>
    <w:rsid w:val="008C6414"/>
    <w:rsid w:val="008C6720"/>
    <w:rsid w:val="008C6927"/>
    <w:rsid w:val="008C6949"/>
    <w:rsid w:val="008C6E24"/>
    <w:rsid w:val="008C6EAF"/>
    <w:rsid w:val="008C710F"/>
    <w:rsid w:val="008C74AB"/>
    <w:rsid w:val="008C77C0"/>
    <w:rsid w:val="008C7DB1"/>
    <w:rsid w:val="008C7F5B"/>
    <w:rsid w:val="008D046B"/>
    <w:rsid w:val="008D098C"/>
    <w:rsid w:val="008D0EC6"/>
    <w:rsid w:val="008D1265"/>
    <w:rsid w:val="008D1330"/>
    <w:rsid w:val="008D1A69"/>
    <w:rsid w:val="008D1FC9"/>
    <w:rsid w:val="008D21E0"/>
    <w:rsid w:val="008D23D9"/>
    <w:rsid w:val="008D29D4"/>
    <w:rsid w:val="008D2A0D"/>
    <w:rsid w:val="008D2E8E"/>
    <w:rsid w:val="008D3224"/>
    <w:rsid w:val="008D32E6"/>
    <w:rsid w:val="008D33B3"/>
    <w:rsid w:val="008D3FA1"/>
    <w:rsid w:val="008D4062"/>
    <w:rsid w:val="008D43AD"/>
    <w:rsid w:val="008D4432"/>
    <w:rsid w:val="008D4690"/>
    <w:rsid w:val="008D4727"/>
    <w:rsid w:val="008D4768"/>
    <w:rsid w:val="008D4A3F"/>
    <w:rsid w:val="008D4C94"/>
    <w:rsid w:val="008D5095"/>
    <w:rsid w:val="008D54E7"/>
    <w:rsid w:val="008D5CB6"/>
    <w:rsid w:val="008D60FB"/>
    <w:rsid w:val="008D6267"/>
    <w:rsid w:val="008D65CF"/>
    <w:rsid w:val="008D68B9"/>
    <w:rsid w:val="008D6B07"/>
    <w:rsid w:val="008D76ED"/>
    <w:rsid w:val="008D7923"/>
    <w:rsid w:val="008E0137"/>
    <w:rsid w:val="008E075C"/>
    <w:rsid w:val="008E07BC"/>
    <w:rsid w:val="008E0960"/>
    <w:rsid w:val="008E0B0A"/>
    <w:rsid w:val="008E0B30"/>
    <w:rsid w:val="008E0EDA"/>
    <w:rsid w:val="008E11CA"/>
    <w:rsid w:val="008E1471"/>
    <w:rsid w:val="008E1700"/>
    <w:rsid w:val="008E1940"/>
    <w:rsid w:val="008E20A5"/>
    <w:rsid w:val="008E2248"/>
    <w:rsid w:val="008E22AA"/>
    <w:rsid w:val="008E22F7"/>
    <w:rsid w:val="008E25ED"/>
    <w:rsid w:val="008E296F"/>
    <w:rsid w:val="008E2A39"/>
    <w:rsid w:val="008E2FC3"/>
    <w:rsid w:val="008E3511"/>
    <w:rsid w:val="008E3759"/>
    <w:rsid w:val="008E3B2C"/>
    <w:rsid w:val="008E3EC0"/>
    <w:rsid w:val="008E449B"/>
    <w:rsid w:val="008E4946"/>
    <w:rsid w:val="008E50F6"/>
    <w:rsid w:val="008E5415"/>
    <w:rsid w:val="008E5A1F"/>
    <w:rsid w:val="008E6426"/>
    <w:rsid w:val="008E69E2"/>
    <w:rsid w:val="008E6A8E"/>
    <w:rsid w:val="008E6E7A"/>
    <w:rsid w:val="008E6F74"/>
    <w:rsid w:val="008E7255"/>
    <w:rsid w:val="008E75D4"/>
    <w:rsid w:val="008E7E47"/>
    <w:rsid w:val="008F0098"/>
    <w:rsid w:val="008F02C2"/>
    <w:rsid w:val="008F0CBE"/>
    <w:rsid w:val="008F10DF"/>
    <w:rsid w:val="008F12CF"/>
    <w:rsid w:val="008F1612"/>
    <w:rsid w:val="008F17F5"/>
    <w:rsid w:val="008F1912"/>
    <w:rsid w:val="008F19CD"/>
    <w:rsid w:val="008F1E69"/>
    <w:rsid w:val="008F1F46"/>
    <w:rsid w:val="008F1F8A"/>
    <w:rsid w:val="008F2394"/>
    <w:rsid w:val="008F2478"/>
    <w:rsid w:val="008F25BE"/>
    <w:rsid w:val="008F2A26"/>
    <w:rsid w:val="008F2A92"/>
    <w:rsid w:val="008F2D9D"/>
    <w:rsid w:val="008F2FAD"/>
    <w:rsid w:val="008F3062"/>
    <w:rsid w:val="008F3479"/>
    <w:rsid w:val="008F3526"/>
    <w:rsid w:val="008F37C4"/>
    <w:rsid w:val="008F3E0A"/>
    <w:rsid w:val="008F3FD2"/>
    <w:rsid w:val="008F425A"/>
    <w:rsid w:val="008F4487"/>
    <w:rsid w:val="008F45C9"/>
    <w:rsid w:val="008F4711"/>
    <w:rsid w:val="008F471E"/>
    <w:rsid w:val="008F4DF4"/>
    <w:rsid w:val="008F4EFD"/>
    <w:rsid w:val="008F5B40"/>
    <w:rsid w:val="008F5E8B"/>
    <w:rsid w:val="008F5FB3"/>
    <w:rsid w:val="008F627B"/>
    <w:rsid w:val="008F66DC"/>
    <w:rsid w:val="008F696E"/>
    <w:rsid w:val="008F69CB"/>
    <w:rsid w:val="008F6A7F"/>
    <w:rsid w:val="008F6BBA"/>
    <w:rsid w:val="008F724A"/>
    <w:rsid w:val="008F7553"/>
    <w:rsid w:val="008F7BCE"/>
    <w:rsid w:val="008F7FA4"/>
    <w:rsid w:val="009003AE"/>
    <w:rsid w:val="00900920"/>
    <w:rsid w:val="00900AF1"/>
    <w:rsid w:val="00901586"/>
    <w:rsid w:val="00901A4C"/>
    <w:rsid w:val="009023CC"/>
    <w:rsid w:val="00902609"/>
    <w:rsid w:val="0090270B"/>
    <w:rsid w:val="00902EDB"/>
    <w:rsid w:val="00902F13"/>
    <w:rsid w:val="00902F2B"/>
    <w:rsid w:val="00902FAA"/>
    <w:rsid w:val="0090300E"/>
    <w:rsid w:val="009032C1"/>
    <w:rsid w:val="0090341B"/>
    <w:rsid w:val="00903DD0"/>
    <w:rsid w:val="009041DC"/>
    <w:rsid w:val="009042DB"/>
    <w:rsid w:val="00904343"/>
    <w:rsid w:val="00904BD6"/>
    <w:rsid w:val="00905478"/>
    <w:rsid w:val="0090550F"/>
    <w:rsid w:val="00905516"/>
    <w:rsid w:val="009056A6"/>
    <w:rsid w:val="00905C12"/>
    <w:rsid w:val="0090610F"/>
    <w:rsid w:val="00906820"/>
    <w:rsid w:val="00906DAC"/>
    <w:rsid w:val="00906E1D"/>
    <w:rsid w:val="00906E40"/>
    <w:rsid w:val="00907063"/>
    <w:rsid w:val="009072E5"/>
    <w:rsid w:val="00907F68"/>
    <w:rsid w:val="00910286"/>
    <w:rsid w:val="00910381"/>
    <w:rsid w:val="009105A9"/>
    <w:rsid w:val="0091063B"/>
    <w:rsid w:val="00910B7A"/>
    <w:rsid w:val="00910D7B"/>
    <w:rsid w:val="009115E7"/>
    <w:rsid w:val="00911823"/>
    <w:rsid w:val="009119A7"/>
    <w:rsid w:val="00911AD8"/>
    <w:rsid w:val="00911CD9"/>
    <w:rsid w:val="00911DA9"/>
    <w:rsid w:val="009121A0"/>
    <w:rsid w:val="00912540"/>
    <w:rsid w:val="00912B46"/>
    <w:rsid w:val="00912BD6"/>
    <w:rsid w:val="00912FB7"/>
    <w:rsid w:val="0091348F"/>
    <w:rsid w:val="009137EA"/>
    <w:rsid w:val="0091389C"/>
    <w:rsid w:val="00913D8D"/>
    <w:rsid w:val="00914361"/>
    <w:rsid w:val="0091441A"/>
    <w:rsid w:val="00914517"/>
    <w:rsid w:val="009148CF"/>
    <w:rsid w:val="00914ADF"/>
    <w:rsid w:val="00914ECD"/>
    <w:rsid w:val="00915037"/>
    <w:rsid w:val="009154A4"/>
    <w:rsid w:val="009155FB"/>
    <w:rsid w:val="0091563F"/>
    <w:rsid w:val="0091583A"/>
    <w:rsid w:val="009158F7"/>
    <w:rsid w:val="00916605"/>
    <w:rsid w:val="00916621"/>
    <w:rsid w:val="00916739"/>
    <w:rsid w:val="009169CB"/>
    <w:rsid w:val="00916AB6"/>
    <w:rsid w:val="00916BAA"/>
    <w:rsid w:val="00916E0F"/>
    <w:rsid w:val="0091708E"/>
    <w:rsid w:val="00917159"/>
    <w:rsid w:val="009177D4"/>
    <w:rsid w:val="009179E9"/>
    <w:rsid w:val="0092041F"/>
    <w:rsid w:val="00920607"/>
    <w:rsid w:val="009206C5"/>
    <w:rsid w:val="00920889"/>
    <w:rsid w:val="00920930"/>
    <w:rsid w:val="009209D4"/>
    <w:rsid w:val="00920A58"/>
    <w:rsid w:val="00920A8C"/>
    <w:rsid w:val="00920AB3"/>
    <w:rsid w:val="00920C3E"/>
    <w:rsid w:val="00921832"/>
    <w:rsid w:val="009219E0"/>
    <w:rsid w:val="00921AB4"/>
    <w:rsid w:val="00921F39"/>
    <w:rsid w:val="00921F55"/>
    <w:rsid w:val="00922964"/>
    <w:rsid w:val="00922D48"/>
    <w:rsid w:val="00922FC4"/>
    <w:rsid w:val="00923148"/>
    <w:rsid w:val="009238E7"/>
    <w:rsid w:val="00924764"/>
    <w:rsid w:val="009249B2"/>
    <w:rsid w:val="00924C27"/>
    <w:rsid w:val="00924C64"/>
    <w:rsid w:val="00925257"/>
    <w:rsid w:val="00925367"/>
    <w:rsid w:val="00925544"/>
    <w:rsid w:val="00925733"/>
    <w:rsid w:val="00925A19"/>
    <w:rsid w:val="009264DF"/>
    <w:rsid w:val="00926755"/>
    <w:rsid w:val="00926943"/>
    <w:rsid w:val="00926A08"/>
    <w:rsid w:val="00926A94"/>
    <w:rsid w:val="00926AA0"/>
    <w:rsid w:val="00926BAE"/>
    <w:rsid w:val="00926D4F"/>
    <w:rsid w:val="00927033"/>
    <w:rsid w:val="009271A8"/>
    <w:rsid w:val="00927354"/>
    <w:rsid w:val="00927535"/>
    <w:rsid w:val="009275F3"/>
    <w:rsid w:val="009278A2"/>
    <w:rsid w:val="00927D83"/>
    <w:rsid w:val="00927ED8"/>
    <w:rsid w:val="009301F7"/>
    <w:rsid w:val="009309EB"/>
    <w:rsid w:val="00930F4D"/>
    <w:rsid w:val="0093120D"/>
    <w:rsid w:val="009312A3"/>
    <w:rsid w:val="009316D4"/>
    <w:rsid w:val="00931769"/>
    <w:rsid w:val="00931D6C"/>
    <w:rsid w:val="00931E9D"/>
    <w:rsid w:val="0093224F"/>
    <w:rsid w:val="00932C5D"/>
    <w:rsid w:val="00932C88"/>
    <w:rsid w:val="0093313B"/>
    <w:rsid w:val="00933700"/>
    <w:rsid w:val="00933DAD"/>
    <w:rsid w:val="00933EE9"/>
    <w:rsid w:val="00933FCE"/>
    <w:rsid w:val="00934070"/>
    <w:rsid w:val="00934959"/>
    <w:rsid w:val="009349BE"/>
    <w:rsid w:val="00934A2C"/>
    <w:rsid w:val="00934B4C"/>
    <w:rsid w:val="00934DFB"/>
    <w:rsid w:val="00935013"/>
    <w:rsid w:val="0093501B"/>
    <w:rsid w:val="009355D3"/>
    <w:rsid w:val="00935BCB"/>
    <w:rsid w:val="00936594"/>
    <w:rsid w:val="009366E0"/>
    <w:rsid w:val="0093685A"/>
    <w:rsid w:val="00936B61"/>
    <w:rsid w:val="00936F64"/>
    <w:rsid w:val="00937BCD"/>
    <w:rsid w:val="00940613"/>
    <w:rsid w:val="0094082C"/>
    <w:rsid w:val="00940AFA"/>
    <w:rsid w:val="00940DF6"/>
    <w:rsid w:val="009411A4"/>
    <w:rsid w:val="0094120E"/>
    <w:rsid w:val="009413D3"/>
    <w:rsid w:val="00941641"/>
    <w:rsid w:val="00941659"/>
    <w:rsid w:val="009416EC"/>
    <w:rsid w:val="00941EBA"/>
    <w:rsid w:val="00942414"/>
    <w:rsid w:val="009424DA"/>
    <w:rsid w:val="0094275B"/>
    <w:rsid w:val="009429BC"/>
    <w:rsid w:val="00942C1C"/>
    <w:rsid w:val="00942EC2"/>
    <w:rsid w:val="00943552"/>
    <w:rsid w:val="00943D43"/>
    <w:rsid w:val="0094444C"/>
    <w:rsid w:val="0094464C"/>
    <w:rsid w:val="00944C59"/>
    <w:rsid w:val="00944F05"/>
    <w:rsid w:val="0094547C"/>
    <w:rsid w:val="00945A06"/>
    <w:rsid w:val="00945A2C"/>
    <w:rsid w:val="00945A76"/>
    <w:rsid w:val="00945C70"/>
    <w:rsid w:val="00945C77"/>
    <w:rsid w:val="0094696E"/>
    <w:rsid w:val="00946B9A"/>
    <w:rsid w:val="00946EFD"/>
    <w:rsid w:val="00946F18"/>
    <w:rsid w:val="009470BC"/>
    <w:rsid w:val="009475F5"/>
    <w:rsid w:val="00947E15"/>
    <w:rsid w:val="009500D7"/>
    <w:rsid w:val="009502A2"/>
    <w:rsid w:val="009503D9"/>
    <w:rsid w:val="009507D3"/>
    <w:rsid w:val="009508AA"/>
    <w:rsid w:val="00950B7F"/>
    <w:rsid w:val="00950E0E"/>
    <w:rsid w:val="0095149A"/>
    <w:rsid w:val="00951AE2"/>
    <w:rsid w:val="00951E65"/>
    <w:rsid w:val="0095229E"/>
    <w:rsid w:val="0095245A"/>
    <w:rsid w:val="00952502"/>
    <w:rsid w:val="0095257D"/>
    <w:rsid w:val="00952582"/>
    <w:rsid w:val="009529DA"/>
    <w:rsid w:val="00952AE7"/>
    <w:rsid w:val="00952BCA"/>
    <w:rsid w:val="00952EDD"/>
    <w:rsid w:val="00952FD1"/>
    <w:rsid w:val="00952FE3"/>
    <w:rsid w:val="00953A76"/>
    <w:rsid w:val="0095411D"/>
    <w:rsid w:val="009546E1"/>
    <w:rsid w:val="0095497F"/>
    <w:rsid w:val="00954991"/>
    <w:rsid w:val="00954DFF"/>
    <w:rsid w:val="009552C9"/>
    <w:rsid w:val="009556DC"/>
    <w:rsid w:val="0095588A"/>
    <w:rsid w:val="00955960"/>
    <w:rsid w:val="00955AA1"/>
    <w:rsid w:val="009565D1"/>
    <w:rsid w:val="009567A7"/>
    <w:rsid w:val="00956842"/>
    <w:rsid w:val="00956DE9"/>
    <w:rsid w:val="0095700E"/>
    <w:rsid w:val="00957448"/>
    <w:rsid w:val="00957E2C"/>
    <w:rsid w:val="00957F29"/>
    <w:rsid w:val="00960021"/>
    <w:rsid w:val="00960AC4"/>
    <w:rsid w:val="00960AF4"/>
    <w:rsid w:val="009610C2"/>
    <w:rsid w:val="00961148"/>
    <w:rsid w:val="00961AAB"/>
    <w:rsid w:val="00961BB2"/>
    <w:rsid w:val="00962B4C"/>
    <w:rsid w:val="00962B8C"/>
    <w:rsid w:val="00963304"/>
    <w:rsid w:val="009633F4"/>
    <w:rsid w:val="00963625"/>
    <w:rsid w:val="0096395A"/>
    <w:rsid w:val="0096435F"/>
    <w:rsid w:val="00964A6F"/>
    <w:rsid w:val="00964E61"/>
    <w:rsid w:val="00964FF0"/>
    <w:rsid w:val="00965249"/>
    <w:rsid w:val="00965364"/>
    <w:rsid w:val="00965692"/>
    <w:rsid w:val="00965D7A"/>
    <w:rsid w:val="00965FF1"/>
    <w:rsid w:val="009661AF"/>
    <w:rsid w:val="0096646F"/>
    <w:rsid w:val="00966665"/>
    <w:rsid w:val="009666D9"/>
    <w:rsid w:val="00966BE2"/>
    <w:rsid w:val="00967024"/>
    <w:rsid w:val="00967045"/>
    <w:rsid w:val="0096706E"/>
    <w:rsid w:val="009673BF"/>
    <w:rsid w:val="0096763A"/>
    <w:rsid w:val="0096766E"/>
    <w:rsid w:val="00967BDC"/>
    <w:rsid w:val="00967DAD"/>
    <w:rsid w:val="0097048E"/>
    <w:rsid w:val="00970B97"/>
    <w:rsid w:val="009712C6"/>
    <w:rsid w:val="00971902"/>
    <w:rsid w:val="009719FA"/>
    <w:rsid w:val="00971ADF"/>
    <w:rsid w:val="00972061"/>
    <w:rsid w:val="00972540"/>
    <w:rsid w:val="00972CBA"/>
    <w:rsid w:val="00972E9F"/>
    <w:rsid w:val="00973118"/>
    <w:rsid w:val="009731EE"/>
    <w:rsid w:val="00973E7C"/>
    <w:rsid w:val="00974482"/>
    <w:rsid w:val="00974685"/>
    <w:rsid w:val="00974C38"/>
    <w:rsid w:val="00974D7E"/>
    <w:rsid w:val="00974EC9"/>
    <w:rsid w:val="009753E0"/>
    <w:rsid w:val="0097544B"/>
    <w:rsid w:val="00975C4E"/>
    <w:rsid w:val="00975E4C"/>
    <w:rsid w:val="00975F13"/>
    <w:rsid w:val="00976577"/>
    <w:rsid w:val="00976633"/>
    <w:rsid w:val="00976CBA"/>
    <w:rsid w:val="009772CA"/>
    <w:rsid w:val="0097742E"/>
    <w:rsid w:val="00977AE2"/>
    <w:rsid w:val="00977B1C"/>
    <w:rsid w:val="00977F70"/>
    <w:rsid w:val="009805B0"/>
    <w:rsid w:val="00980707"/>
    <w:rsid w:val="00980B7F"/>
    <w:rsid w:val="00980E04"/>
    <w:rsid w:val="00980EDD"/>
    <w:rsid w:val="00981174"/>
    <w:rsid w:val="00981E2F"/>
    <w:rsid w:val="00981FBA"/>
    <w:rsid w:val="0098223E"/>
    <w:rsid w:val="009827F4"/>
    <w:rsid w:val="00982A48"/>
    <w:rsid w:val="00982BBB"/>
    <w:rsid w:val="00982C0F"/>
    <w:rsid w:val="00982DA4"/>
    <w:rsid w:val="0098353F"/>
    <w:rsid w:val="00984198"/>
    <w:rsid w:val="00984E1B"/>
    <w:rsid w:val="00985188"/>
    <w:rsid w:val="009853D7"/>
    <w:rsid w:val="00985B24"/>
    <w:rsid w:val="00985C1C"/>
    <w:rsid w:val="00985C45"/>
    <w:rsid w:val="00986095"/>
    <w:rsid w:val="00986489"/>
    <w:rsid w:val="009867A2"/>
    <w:rsid w:val="00986E88"/>
    <w:rsid w:val="00987846"/>
    <w:rsid w:val="00987F72"/>
    <w:rsid w:val="009901A9"/>
    <w:rsid w:val="0099057A"/>
    <w:rsid w:val="009907F7"/>
    <w:rsid w:val="00990A3A"/>
    <w:rsid w:val="00990B08"/>
    <w:rsid w:val="00990BAD"/>
    <w:rsid w:val="00990CE5"/>
    <w:rsid w:val="00991017"/>
    <w:rsid w:val="0099106A"/>
    <w:rsid w:val="009910E7"/>
    <w:rsid w:val="00991613"/>
    <w:rsid w:val="00991BFF"/>
    <w:rsid w:val="00991CC6"/>
    <w:rsid w:val="00991EC9"/>
    <w:rsid w:val="00992087"/>
    <w:rsid w:val="009922A2"/>
    <w:rsid w:val="009923C4"/>
    <w:rsid w:val="00992497"/>
    <w:rsid w:val="009927B2"/>
    <w:rsid w:val="0099354C"/>
    <w:rsid w:val="009937D9"/>
    <w:rsid w:val="00993864"/>
    <w:rsid w:val="0099465A"/>
    <w:rsid w:val="00994A61"/>
    <w:rsid w:val="00994B64"/>
    <w:rsid w:val="009957F8"/>
    <w:rsid w:val="00995985"/>
    <w:rsid w:val="009959C9"/>
    <w:rsid w:val="00995B97"/>
    <w:rsid w:val="0099633B"/>
    <w:rsid w:val="00996486"/>
    <w:rsid w:val="00996B8A"/>
    <w:rsid w:val="00997407"/>
    <w:rsid w:val="00997BC5"/>
    <w:rsid w:val="00997F87"/>
    <w:rsid w:val="00997FDB"/>
    <w:rsid w:val="009A0323"/>
    <w:rsid w:val="009A03A9"/>
    <w:rsid w:val="009A092B"/>
    <w:rsid w:val="009A0943"/>
    <w:rsid w:val="009A1ABF"/>
    <w:rsid w:val="009A1B4C"/>
    <w:rsid w:val="009A1C21"/>
    <w:rsid w:val="009A22C5"/>
    <w:rsid w:val="009A2539"/>
    <w:rsid w:val="009A25F6"/>
    <w:rsid w:val="009A30F6"/>
    <w:rsid w:val="009A3DB8"/>
    <w:rsid w:val="009A4178"/>
    <w:rsid w:val="009A4AD3"/>
    <w:rsid w:val="009A4AE5"/>
    <w:rsid w:val="009A4B37"/>
    <w:rsid w:val="009A4EC8"/>
    <w:rsid w:val="009A4F41"/>
    <w:rsid w:val="009A5295"/>
    <w:rsid w:val="009A56F1"/>
    <w:rsid w:val="009A5824"/>
    <w:rsid w:val="009A585B"/>
    <w:rsid w:val="009A607F"/>
    <w:rsid w:val="009A6186"/>
    <w:rsid w:val="009A6195"/>
    <w:rsid w:val="009A640E"/>
    <w:rsid w:val="009A69A0"/>
    <w:rsid w:val="009A7158"/>
    <w:rsid w:val="009A72E5"/>
    <w:rsid w:val="009A738A"/>
    <w:rsid w:val="009A78E7"/>
    <w:rsid w:val="009A7A66"/>
    <w:rsid w:val="009A7DF4"/>
    <w:rsid w:val="009B02F7"/>
    <w:rsid w:val="009B046F"/>
    <w:rsid w:val="009B0CD6"/>
    <w:rsid w:val="009B0D9C"/>
    <w:rsid w:val="009B120B"/>
    <w:rsid w:val="009B13D5"/>
    <w:rsid w:val="009B1688"/>
    <w:rsid w:val="009B18E4"/>
    <w:rsid w:val="009B2454"/>
    <w:rsid w:val="009B2623"/>
    <w:rsid w:val="009B2830"/>
    <w:rsid w:val="009B2ECC"/>
    <w:rsid w:val="009B3386"/>
    <w:rsid w:val="009B342D"/>
    <w:rsid w:val="009B3595"/>
    <w:rsid w:val="009B381A"/>
    <w:rsid w:val="009B381B"/>
    <w:rsid w:val="009B3B35"/>
    <w:rsid w:val="009B3B7F"/>
    <w:rsid w:val="009B4027"/>
    <w:rsid w:val="009B4685"/>
    <w:rsid w:val="009B4994"/>
    <w:rsid w:val="009B4CA0"/>
    <w:rsid w:val="009B4F60"/>
    <w:rsid w:val="009B50A1"/>
    <w:rsid w:val="009B52CE"/>
    <w:rsid w:val="009B53F0"/>
    <w:rsid w:val="009B5B35"/>
    <w:rsid w:val="009B5EF1"/>
    <w:rsid w:val="009B6281"/>
    <w:rsid w:val="009B62CA"/>
    <w:rsid w:val="009B6461"/>
    <w:rsid w:val="009B6585"/>
    <w:rsid w:val="009B6919"/>
    <w:rsid w:val="009B6C83"/>
    <w:rsid w:val="009B7119"/>
    <w:rsid w:val="009B7333"/>
    <w:rsid w:val="009B7C38"/>
    <w:rsid w:val="009B7C50"/>
    <w:rsid w:val="009B7D05"/>
    <w:rsid w:val="009C04E8"/>
    <w:rsid w:val="009C0618"/>
    <w:rsid w:val="009C0C08"/>
    <w:rsid w:val="009C0C46"/>
    <w:rsid w:val="009C121B"/>
    <w:rsid w:val="009C1664"/>
    <w:rsid w:val="009C176D"/>
    <w:rsid w:val="009C1821"/>
    <w:rsid w:val="009C1890"/>
    <w:rsid w:val="009C1C1B"/>
    <w:rsid w:val="009C23B6"/>
    <w:rsid w:val="009C244A"/>
    <w:rsid w:val="009C2C3F"/>
    <w:rsid w:val="009C2D00"/>
    <w:rsid w:val="009C3942"/>
    <w:rsid w:val="009C3BA8"/>
    <w:rsid w:val="009C3C4B"/>
    <w:rsid w:val="009C3CC1"/>
    <w:rsid w:val="009C3D85"/>
    <w:rsid w:val="009C44EC"/>
    <w:rsid w:val="009C475A"/>
    <w:rsid w:val="009C48CD"/>
    <w:rsid w:val="009C4C5F"/>
    <w:rsid w:val="009C4D51"/>
    <w:rsid w:val="009C54CA"/>
    <w:rsid w:val="009C600C"/>
    <w:rsid w:val="009C60C5"/>
    <w:rsid w:val="009C61BB"/>
    <w:rsid w:val="009C6760"/>
    <w:rsid w:val="009C6A0D"/>
    <w:rsid w:val="009C6F5F"/>
    <w:rsid w:val="009C7131"/>
    <w:rsid w:val="009C74A3"/>
    <w:rsid w:val="009C777D"/>
    <w:rsid w:val="009C7859"/>
    <w:rsid w:val="009C7AEB"/>
    <w:rsid w:val="009C7BAA"/>
    <w:rsid w:val="009C7D64"/>
    <w:rsid w:val="009C7EA2"/>
    <w:rsid w:val="009C7F63"/>
    <w:rsid w:val="009D037E"/>
    <w:rsid w:val="009D181B"/>
    <w:rsid w:val="009D1822"/>
    <w:rsid w:val="009D1A08"/>
    <w:rsid w:val="009D21A7"/>
    <w:rsid w:val="009D230B"/>
    <w:rsid w:val="009D2C16"/>
    <w:rsid w:val="009D2ECA"/>
    <w:rsid w:val="009D33B2"/>
    <w:rsid w:val="009D38F5"/>
    <w:rsid w:val="009D3A41"/>
    <w:rsid w:val="009D3EF3"/>
    <w:rsid w:val="009D42E6"/>
    <w:rsid w:val="009D56F7"/>
    <w:rsid w:val="009D5770"/>
    <w:rsid w:val="009D5F93"/>
    <w:rsid w:val="009D6E78"/>
    <w:rsid w:val="009D74D7"/>
    <w:rsid w:val="009D7611"/>
    <w:rsid w:val="009D7959"/>
    <w:rsid w:val="009D7CFD"/>
    <w:rsid w:val="009E0289"/>
    <w:rsid w:val="009E0B61"/>
    <w:rsid w:val="009E0B84"/>
    <w:rsid w:val="009E11CC"/>
    <w:rsid w:val="009E12CB"/>
    <w:rsid w:val="009E13FC"/>
    <w:rsid w:val="009E1402"/>
    <w:rsid w:val="009E1BAF"/>
    <w:rsid w:val="009E21ED"/>
    <w:rsid w:val="009E2C1F"/>
    <w:rsid w:val="009E2F48"/>
    <w:rsid w:val="009E3012"/>
    <w:rsid w:val="009E45CB"/>
    <w:rsid w:val="009E4975"/>
    <w:rsid w:val="009E4E45"/>
    <w:rsid w:val="009E4E91"/>
    <w:rsid w:val="009E50CA"/>
    <w:rsid w:val="009E53DE"/>
    <w:rsid w:val="009E5525"/>
    <w:rsid w:val="009E5577"/>
    <w:rsid w:val="009E55C9"/>
    <w:rsid w:val="009E58B4"/>
    <w:rsid w:val="009E5B14"/>
    <w:rsid w:val="009E5DD1"/>
    <w:rsid w:val="009E5FE1"/>
    <w:rsid w:val="009E63A1"/>
    <w:rsid w:val="009E6937"/>
    <w:rsid w:val="009E695C"/>
    <w:rsid w:val="009E6C3E"/>
    <w:rsid w:val="009E6CC1"/>
    <w:rsid w:val="009E6D6F"/>
    <w:rsid w:val="009E79F2"/>
    <w:rsid w:val="009E7C0B"/>
    <w:rsid w:val="009E7E3B"/>
    <w:rsid w:val="009F0505"/>
    <w:rsid w:val="009F05C5"/>
    <w:rsid w:val="009F0DD7"/>
    <w:rsid w:val="009F0ED2"/>
    <w:rsid w:val="009F0F41"/>
    <w:rsid w:val="009F1026"/>
    <w:rsid w:val="009F156C"/>
    <w:rsid w:val="009F1993"/>
    <w:rsid w:val="009F19B5"/>
    <w:rsid w:val="009F1D4D"/>
    <w:rsid w:val="009F2AF7"/>
    <w:rsid w:val="009F2EF7"/>
    <w:rsid w:val="009F32AE"/>
    <w:rsid w:val="009F32C6"/>
    <w:rsid w:val="009F33BF"/>
    <w:rsid w:val="009F38F6"/>
    <w:rsid w:val="009F3CAF"/>
    <w:rsid w:val="009F40AE"/>
    <w:rsid w:val="009F4735"/>
    <w:rsid w:val="009F4EFC"/>
    <w:rsid w:val="009F50F4"/>
    <w:rsid w:val="009F51B6"/>
    <w:rsid w:val="009F5402"/>
    <w:rsid w:val="009F552D"/>
    <w:rsid w:val="009F5DD5"/>
    <w:rsid w:val="009F6313"/>
    <w:rsid w:val="009F6409"/>
    <w:rsid w:val="009F65C1"/>
    <w:rsid w:val="009F6745"/>
    <w:rsid w:val="009F6C1A"/>
    <w:rsid w:val="009F6CD8"/>
    <w:rsid w:val="009F72BB"/>
    <w:rsid w:val="009F7549"/>
    <w:rsid w:val="009F7C21"/>
    <w:rsid w:val="00A00055"/>
    <w:rsid w:val="00A00BFD"/>
    <w:rsid w:val="00A0131C"/>
    <w:rsid w:val="00A01C60"/>
    <w:rsid w:val="00A01D16"/>
    <w:rsid w:val="00A01E78"/>
    <w:rsid w:val="00A01FAF"/>
    <w:rsid w:val="00A025AC"/>
    <w:rsid w:val="00A027FA"/>
    <w:rsid w:val="00A028A8"/>
    <w:rsid w:val="00A02BDB"/>
    <w:rsid w:val="00A03143"/>
    <w:rsid w:val="00A0334E"/>
    <w:rsid w:val="00A033C9"/>
    <w:rsid w:val="00A033DA"/>
    <w:rsid w:val="00A037F6"/>
    <w:rsid w:val="00A04AD4"/>
    <w:rsid w:val="00A04AF7"/>
    <w:rsid w:val="00A052AC"/>
    <w:rsid w:val="00A05477"/>
    <w:rsid w:val="00A05A3C"/>
    <w:rsid w:val="00A05A90"/>
    <w:rsid w:val="00A06120"/>
    <w:rsid w:val="00A0623D"/>
    <w:rsid w:val="00A06A2E"/>
    <w:rsid w:val="00A06E28"/>
    <w:rsid w:val="00A070F3"/>
    <w:rsid w:val="00A072D4"/>
    <w:rsid w:val="00A07707"/>
    <w:rsid w:val="00A07908"/>
    <w:rsid w:val="00A07AD8"/>
    <w:rsid w:val="00A07AF5"/>
    <w:rsid w:val="00A07C4A"/>
    <w:rsid w:val="00A07E5F"/>
    <w:rsid w:val="00A104DF"/>
    <w:rsid w:val="00A10A00"/>
    <w:rsid w:val="00A10BE2"/>
    <w:rsid w:val="00A10E6B"/>
    <w:rsid w:val="00A10ED4"/>
    <w:rsid w:val="00A10FA5"/>
    <w:rsid w:val="00A11505"/>
    <w:rsid w:val="00A1170C"/>
    <w:rsid w:val="00A11AE1"/>
    <w:rsid w:val="00A11E23"/>
    <w:rsid w:val="00A12152"/>
    <w:rsid w:val="00A12867"/>
    <w:rsid w:val="00A129D6"/>
    <w:rsid w:val="00A129F4"/>
    <w:rsid w:val="00A12F23"/>
    <w:rsid w:val="00A1346B"/>
    <w:rsid w:val="00A13654"/>
    <w:rsid w:val="00A13976"/>
    <w:rsid w:val="00A139B1"/>
    <w:rsid w:val="00A13D36"/>
    <w:rsid w:val="00A15BCA"/>
    <w:rsid w:val="00A160DA"/>
    <w:rsid w:val="00A1622F"/>
    <w:rsid w:val="00A16B1B"/>
    <w:rsid w:val="00A16D37"/>
    <w:rsid w:val="00A17003"/>
    <w:rsid w:val="00A17640"/>
    <w:rsid w:val="00A17685"/>
    <w:rsid w:val="00A177EA"/>
    <w:rsid w:val="00A1783E"/>
    <w:rsid w:val="00A178DD"/>
    <w:rsid w:val="00A20048"/>
    <w:rsid w:val="00A20353"/>
    <w:rsid w:val="00A20460"/>
    <w:rsid w:val="00A20A63"/>
    <w:rsid w:val="00A20C8B"/>
    <w:rsid w:val="00A20DBC"/>
    <w:rsid w:val="00A2128F"/>
    <w:rsid w:val="00A21721"/>
    <w:rsid w:val="00A219A8"/>
    <w:rsid w:val="00A21A95"/>
    <w:rsid w:val="00A21B9A"/>
    <w:rsid w:val="00A221A0"/>
    <w:rsid w:val="00A2220D"/>
    <w:rsid w:val="00A23138"/>
    <w:rsid w:val="00A231BB"/>
    <w:rsid w:val="00A231C0"/>
    <w:rsid w:val="00A2380B"/>
    <w:rsid w:val="00A23D7A"/>
    <w:rsid w:val="00A23FFF"/>
    <w:rsid w:val="00A24527"/>
    <w:rsid w:val="00A24801"/>
    <w:rsid w:val="00A24E67"/>
    <w:rsid w:val="00A2510D"/>
    <w:rsid w:val="00A25182"/>
    <w:rsid w:val="00A2546A"/>
    <w:rsid w:val="00A2556A"/>
    <w:rsid w:val="00A2561A"/>
    <w:rsid w:val="00A25621"/>
    <w:rsid w:val="00A25E38"/>
    <w:rsid w:val="00A262AF"/>
    <w:rsid w:val="00A26307"/>
    <w:rsid w:val="00A264FE"/>
    <w:rsid w:val="00A26681"/>
    <w:rsid w:val="00A26C11"/>
    <w:rsid w:val="00A26F8A"/>
    <w:rsid w:val="00A2742D"/>
    <w:rsid w:val="00A27D5F"/>
    <w:rsid w:val="00A30211"/>
    <w:rsid w:val="00A30431"/>
    <w:rsid w:val="00A3090A"/>
    <w:rsid w:val="00A30A66"/>
    <w:rsid w:val="00A30DA9"/>
    <w:rsid w:val="00A312F3"/>
    <w:rsid w:val="00A31632"/>
    <w:rsid w:val="00A32032"/>
    <w:rsid w:val="00A3207B"/>
    <w:rsid w:val="00A322CA"/>
    <w:rsid w:val="00A328B3"/>
    <w:rsid w:val="00A329E4"/>
    <w:rsid w:val="00A32F4A"/>
    <w:rsid w:val="00A33976"/>
    <w:rsid w:val="00A339A3"/>
    <w:rsid w:val="00A33BB5"/>
    <w:rsid w:val="00A33CDB"/>
    <w:rsid w:val="00A33F2C"/>
    <w:rsid w:val="00A33F57"/>
    <w:rsid w:val="00A34040"/>
    <w:rsid w:val="00A344B3"/>
    <w:rsid w:val="00A34625"/>
    <w:rsid w:val="00A34A7E"/>
    <w:rsid w:val="00A3515F"/>
    <w:rsid w:val="00A3575D"/>
    <w:rsid w:val="00A357AB"/>
    <w:rsid w:val="00A357FF"/>
    <w:rsid w:val="00A35CBB"/>
    <w:rsid w:val="00A3607C"/>
    <w:rsid w:val="00A36098"/>
    <w:rsid w:val="00A36165"/>
    <w:rsid w:val="00A36824"/>
    <w:rsid w:val="00A36B39"/>
    <w:rsid w:val="00A36B9D"/>
    <w:rsid w:val="00A36D42"/>
    <w:rsid w:val="00A379F0"/>
    <w:rsid w:val="00A379F5"/>
    <w:rsid w:val="00A405E8"/>
    <w:rsid w:val="00A40EE9"/>
    <w:rsid w:val="00A40F16"/>
    <w:rsid w:val="00A411BD"/>
    <w:rsid w:val="00A41959"/>
    <w:rsid w:val="00A4206A"/>
    <w:rsid w:val="00A426BF"/>
    <w:rsid w:val="00A427A2"/>
    <w:rsid w:val="00A42C9D"/>
    <w:rsid w:val="00A42CF6"/>
    <w:rsid w:val="00A42D88"/>
    <w:rsid w:val="00A430F9"/>
    <w:rsid w:val="00A43282"/>
    <w:rsid w:val="00A43286"/>
    <w:rsid w:val="00A43685"/>
    <w:rsid w:val="00A43843"/>
    <w:rsid w:val="00A439A9"/>
    <w:rsid w:val="00A43C82"/>
    <w:rsid w:val="00A43D5D"/>
    <w:rsid w:val="00A440C1"/>
    <w:rsid w:val="00A44165"/>
    <w:rsid w:val="00A443E5"/>
    <w:rsid w:val="00A4449E"/>
    <w:rsid w:val="00A44666"/>
    <w:rsid w:val="00A44C2B"/>
    <w:rsid w:val="00A4583D"/>
    <w:rsid w:val="00A458BB"/>
    <w:rsid w:val="00A45C15"/>
    <w:rsid w:val="00A45D58"/>
    <w:rsid w:val="00A46904"/>
    <w:rsid w:val="00A46BA2"/>
    <w:rsid w:val="00A46FDF"/>
    <w:rsid w:val="00A4737C"/>
    <w:rsid w:val="00A477D3"/>
    <w:rsid w:val="00A47809"/>
    <w:rsid w:val="00A47911"/>
    <w:rsid w:val="00A503DE"/>
    <w:rsid w:val="00A50603"/>
    <w:rsid w:val="00A508E5"/>
    <w:rsid w:val="00A509E2"/>
    <w:rsid w:val="00A50B61"/>
    <w:rsid w:val="00A50B7B"/>
    <w:rsid w:val="00A50D2D"/>
    <w:rsid w:val="00A50F2F"/>
    <w:rsid w:val="00A50FCF"/>
    <w:rsid w:val="00A512A5"/>
    <w:rsid w:val="00A51744"/>
    <w:rsid w:val="00A528D1"/>
    <w:rsid w:val="00A52D34"/>
    <w:rsid w:val="00A5335B"/>
    <w:rsid w:val="00A5337B"/>
    <w:rsid w:val="00A53982"/>
    <w:rsid w:val="00A53D16"/>
    <w:rsid w:val="00A54597"/>
    <w:rsid w:val="00A54AB9"/>
    <w:rsid w:val="00A550B7"/>
    <w:rsid w:val="00A551AD"/>
    <w:rsid w:val="00A55219"/>
    <w:rsid w:val="00A55B8D"/>
    <w:rsid w:val="00A55C7B"/>
    <w:rsid w:val="00A55EEF"/>
    <w:rsid w:val="00A57053"/>
    <w:rsid w:val="00A5731B"/>
    <w:rsid w:val="00A57E57"/>
    <w:rsid w:val="00A57F82"/>
    <w:rsid w:val="00A60593"/>
    <w:rsid w:val="00A60715"/>
    <w:rsid w:val="00A60DF4"/>
    <w:rsid w:val="00A610CD"/>
    <w:rsid w:val="00A6149F"/>
    <w:rsid w:val="00A61F90"/>
    <w:rsid w:val="00A6209A"/>
    <w:rsid w:val="00A62487"/>
    <w:rsid w:val="00A62B85"/>
    <w:rsid w:val="00A62CF1"/>
    <w:rsid w:val="00A63437"/>
    <w:rsid w:val="00A635E2"/>
    <w:rsid w:val="00A637C7"/>
    <w:rsid w:val="00A63957"/>
    <w:rsid w:val="00A63A97"/>
    <w:rsid w:val="00A63CE7"/>
    <w:rsid w:val="00A640EF"/>
    <w:rsid w:val="00A6411A"/>
    <w:rsid w:val="00A64923"/>
    <w:rsid w:val="00A64A27"/>
    <w:rsid w:val="00A64A93"/>
    <w:rsid w:val="00A65066"/>
    <w:rsid w:val="00A65569"/>
    <w:rsid w:val="00A65638"/>
    <w:rsid w:val="00A658E1"/>
    <w:rsid w:val="00A65954"/>
    <w:rsid w:val="00A65AC3"/>
    <w:rsid w:val="00A66363"/>
    <w:rsid w:val="00A666C4"/>
    <w:rsid w:val="00A67020"/>
    <w:rsid w:val="00A678CE"/>
    <w:rsid w:val="00A67FD8"/>
    <w:rsid w:val="00A7105A"/>
    <w:rsid w:val="00A7190E"/>
    <w:rsid w:val="00A71B46"/>
    <w:rsid w:val="00A71B59"/>
    <w:rsid w:val="00A720F8"/>
    <w:rsid w:val="00A72174"/>
    <w:rsid w:val="00A7230A"/>
    <w:rsid w:val="00A72340"/>
    <w:rsid w:val="00A72957"/>
    <w:rsid w:val="00A72CCE"/>
    <w:rsid w:val="00A72EDD"/>
    <w:rsid w:val="00A731BF"/>
    <w:rsid w:val="00A736F2"/>
    <w:rsid w:val="00A73892"/>
    <w:rsid w:val="00A73B2E"/>
    <w:rsid w:val="00A73B7E"/>
    <w:rsid w:val="00A7401D"/>
    <w:rsid w:val="00A7407B"/>
    <w:rsid w:val="00A7408E"/>
    <w:rsid w:val="00A740B9"/>
    <w:rsid w:val="00A74A27"/>
    <w:rsid w:val="00A757F2"/>
    <w:rsid w:val="00A75A9C"/>
    <w:rsid w:val="00A75B29"/>
    <w:rsid w:val="00A75B77"/>
    <w:rsid w:val="00A76263"/>
    <w:rsid w:val="00A76A82"/>
    <w:rsid w:val="00A76DB5"/>
    <w:rsid w:val="00A77001"/>
    <w:rsid w:val="00A77801"/>
    <w:rsid w:val="00A77C7A"/>
    <w:rsid w:val="00A77E21"/>
    <w:rsid w:val="00A807F2"/>
    <w:rsid w:val="00A80A6B"/>
    <w:rsid w:val="00A80D36"/>
    <w:rsid w:val="00A81008"/>
    <w:rsid w:val="00A817B6"/>
    <w:rsid w:val="00A81D4D"/>
    <w:rsid w:val="00A81E30"/>
    <w:rsid w:val="00A81E6D"/>
    <w:rsid w:val="00A82364"/>
    <w:rsid w:val="00A82517"/>
    <w:rsid w:val="00A825A1"/>
    <w:rsid w:val="00A82EA7"/>
    <w:rsid w:val="00A831E4"/>
    <w:rsid w:val="00A83678"/>
    <w:rsid w:val="00A837F7"/>
    <w:rsid w:val="00A8380C"/>
    <w:rsid w:val="00A83D29"/>
    <w:rsid w:val="00A83D2C"/>
    <w:rsid w:val="00A84096"/>
    <w:rsid w:val="00A842A0"/>
    <w:rsid w:val="00A84403"/>
    <w:rsid w:val="00A849C5"/>
    <w:rsid w:val="00A84A29"/>
    <w:rsid w:val="00A84D3B"/>
    <w:rsid w:val="00A84EEE"/>
    <w:rsid w:val="00A85477"/>
    <w:rsid w:val="00A8571D"/>
    <w:rsid w:val="00A859F8"/>
    <w:rsid w:val="00A85C23"/>
    <w:rsid w:val="00A85D6F"/>
    <w:rsid w:val="00A85E23"/>
    <w:rsid w:val="00A85F99"/>
    <w:rsid w:val="00A86270"/>
    <w:rsid w:val="00A862F8"/>
    <w:rsid w:val="00A866D0"/>
    <w:rsid w:val="00A86937"/>
    <w:rsid w:val="00A86C0A"/>
    <w:rsid w:val="00A86D00"/>
    <w:rsid w:val="00A87156"/>
    <w:rsid w:val="00A87819"/>
    <w:rsid w:val="00A9097D"/>
    <w:rsid w:val="00A90A31"/>
    <w:rsid w:val="00A90B35"/>
    <w:rsid w:val="00A90BE4"/>
    <w:rsid w:val="00A912E1"/>
    <w:rsid w:val="00A91484"/>
    <w:rsid w:val="00A918C1"/>
    <w:rsid w:val="00A9258C"/>
    <w:rsid w:val="00A92B2D"/>
    <w:rsid w:val="00A92D19"/>
    <w:rsid w:val="00A93138"/>
    <w:rsid w:val="00A93522"/>
    <w:rsid w:val="00A9366F"/>
    <w:rsid w:val="00A93F13"/>
    <w:rsid w:val="00A94080"/>
    <w:rsid w:val="00A9421E"/>
    <w:rsid w:val="00A94E0E"/>
    <w:rsid w:val="00A94F3C"/>
    <w:rsid w:val="00A9538F"/>
    <w:rsid w:val="00A953BF"/>
    <w:rsid w:val="00A95457"/>
    <w:rsid w:val="00A95535"/>
    <w:rsid w:val="00A95547"/>
    <w:rsid w:val="00A95679"/>
    <w:rsid w:val="00A95835"/>
    <w:rsid w:val="00A95C36"/>
    <w:rsid w:val="00A95C6E"/>
    <w:rsid w:val="00A95CBB"/>
    <w:rsid w:val="00A96001"/>
    <w:rsid w:val="00A96746"/>
    <w:rsid w:val="00A970C5"/>
    <w:rsid w:val="00A972D1"/>
    <w:rsid w:val="00A974AC"/>
    <w:rsid w:val="00A978BF"/>
    <w:rsid w:val="00A97AA6"/>
    <w:rsid w:val="00A97B33"/>
    <w:rsid w:val="00A97BA9"/>
    <w:rsid w:val="00A97FB6"/>
    <w:rsid w:val="00AA027F"/>
    <w:rsid w:val="00AA042C"/>
    <w:rsid w:val="00AA0751"/>
    <w:rsid w:val="00AA09A2"/>
    <w:rsid w:val="00AA09AD"/>
    <w:rsid w:val="00AA09B7"/>
    <w:rsid w:val="00AA1294"/>
    <w:rsid w:val="00AA26F7"/>
    <w:rsid w:val="00AA299D"/>
    <w:rsid w:val="00AA2DB7"/>
    <w:rsid w:val="00AA32A7"/>
    <w:rsid w:val="00AA33C9"/>
    <w:rsid w:val="00AA3666"/>
    <w:rsid w:val="00AA380B"/>
    <w:rsid w:val="00AA3CC3"/>
    <w:rsid w:val="00AA3DE2"/>
    <w:rsid w:val="00AA3DF8"/>
    <w:rsid w:val="00AA3F11"/>
    <w:rsid w:val="00AA42C4"/>
    <w:rsid w:val="00AA43E6"/>
    <w:rsid w:val="00AA4463"/>
    <w:rsid w:val="00AA5381"/>
    <w:rsid w:val="00AA556F"/>
    <w:rsid w:val="00AA56D0"/>
    <w:rsid w:val="00AA5754"/>
    <w:rsid w:val="00AA5846"/>
    <w:rsid w:val="00AA61E8"/>
    <w:rsid w:val="00AA64DD"/>
    <w:rsid w:val="00AA652D"/>
    <w:rsid w:val="00AA75C1"/>
    <w:rsid w:val="00AA78EE"/>
    <w:rsid w:val="00AA7937"/>
    <w:rsid w:val="00AA7DEB"/>
    <w:rsid w:val="00AB00C5"/>
    <w:rsid w:val="00AB0351"/>
    <w:rsid w:val="00AB0512"/>
    <w:rsid w:val="00AB057F"/>
    <w:rsid w:val="00AB0C45"/>
    <w:rsid w:val="00AB118E"/>
    <w:rsid w:val="00AB1190"/>
    <w:rsid w:val="00AB1501"/>
    <w:rsid w:val="00AB15C9"/>
    <w:rsid w:val="00AB184F"/>
    <w:rsid w:val="00AB190A"/>
    <w:rsid w:val="00AB1C07"/>
    <w:rsid w:val="00AB1D5F"/>
    <w:rsid w:val="00AB1DE7"/>
    <w:rsid w:val="00AB21D6"/>
    <w:rsid w:val="00AB259A"/>
    <w:rsid w:val="00AB2716"/>
    <w:rsid w:val="00AB2C0B"/>
    <w:rsid w:val="00AB2E03"/>
    <w:rsid w:val="00AB2F76"/>
    <w:rsid w:val="00AB3046"/>
    <w:rsid w:val="00AB314E"/>
    <w:rsid w:val="00AB36A9"/>
    <w:rsid w:val="00AB3B18"/>
    <w:rsid w:val="00AB3EDA"/>
    <w:rsid w:val="00AB43F6"/>
    <w:rsid w:val="00AB446E"/>
    <w:rsid w:val="00AB48B7"/>
    <w:rsid w:val="00AB5770"/>
    <w:rsid w:val="00AB5881"/>
    <w:rsid w:val="00AB5BFB"/>
    <w:rsid w:val="00AB5CEC"/>
    <w:rsid w:val="00AB60D9"/>
    <w:rsid w:val="00AB61E4"/>
    <w:rsid w:val="00AB62FD"/>
    <w:rsid w:val="00AB6544"/>
    <w:rsid w:val="00AB66AE"/>
    <w:rsid w:val="00AB66BF"/>
    <w:rsid w:val="00AB6874"/>
    <w:rsid w:val="00AB7183"/>
    <w:rsid w:val="00AB76A6"/>
    <w:rsid w:val="00AB7D09"/>
    <w:rsid w:val="00AC00C7"/>
    <w:rsid w:val="00AC0121"/>
    <w:rsid w:val="00AC0177"/>
    <w:rsid w:val="00AC02FB"/>
    <w:rsid w:val="00AC0A1D"/>
    <w:rsid w:val="00AC0D64"/>
    <w:rsid w:val="00AC10EC"/>
    <w:rsid w:val="00AC1166"/>
    <w:rsid w:val="00AC11A4"/>
    <w:rsid w:val="00AC1248"/>
    <w:rsid w:val="00AC19CB"/>
    <w:rsid w:val="00AC2AC5"/>
    <w:rsid w:val="00AC2E7F"/>
    <w:rsid w:val="00AC3102"/>
    <w:rsid w:val="00AC3617"/>
    <w:rsid w:val="00AC3C4D"/>
    <w:rsid w:val="00AC3E08"/>
    <w:rsid w:val="00AC3E50"/>
    <w:rsid w:val="00AC4030"/>
    <w:rsid w:val="00AC4086"/>
    <w:rsid w:val="00AC46D0"/>
    <w:rsid w:val="00AC4BEC"/>
    <w:rsid w:val="00AC534C"/>
    <w:rsid w:val="00AC55B4"/>
    <w:rsid w:val="00AC5976"/>
    <w:rsid w:val="00AC5AD5"/>
    <w:rsid w:val="00AC5ADF"/>
    <w:rsid w:val="00AC5B89"/>
    <w:rsid w:val="00AC5F68"/>
    <w:rsid w:val="00AC65DA"/>
    <w:rsid w:val="00AC6C0E"/>
    <w:rsid w:val="00AC6C7A"/>
    <w:rsid w:val="00AC6DFA"/>
    <w:rsid w:val="00AC7163"/>
    <w:rsid w:val="00AC74B7"/>
    <w:rsid w:val="00AC750B"/>
    <w:rsid w:val="00AC766D"/>
    <w:rsid w:val="00AC7CE6"/>
    <w:rsid w:val="00AD040E"/>
    <w:rsid w:val="00AD0B73"/>
    <w:rsid w:val="00AD1142"/>
    <w:rsid w:val="00AD1157"/>
    <w:rsid w:val="00AD198B"/>
    <w:rsid w:val="00AD1AC2"/>
    <w:rsid w:val="00AD1D81"/>
    <w:rsid w:val="00AD1DB5"/>
    <w:rsid w:val="00AD1F92"/>
    <w:rsid w:val="00AD20C3"/>
    <w:rsid w:val="00AD2972"/>
    <w:rsid w:val="00AD2C61"/>
    <w:rsid w:val="00AD2CA9"/>
    <w:rsid w:val="00AD2DA0"/>
    <w:rsid w:val="00AD2F8F"/>
    <w:rsid w:val="00AD31E9"/>
    <w:rsid w:val="00AD3494"/>
    <w:rsid w:val="00AD34CF"/>
    <w:rsid w:val="00AD3691"/>
    <w:rsid w:val="00AD3BFB"/>
    <w:rsid w:val="00AD4156"/>
    <w:rsid w:val="00AD446C"/>
    <w:rsid w:val="00AD44F8"/>
    <w:rsid w:val="00AD452F"/>
    <w:rsid w:val="00AD4990"/>
    <w:rsid w:val="00AD534E"/>
    <w:rsid w:val="00AD5E46"/>
    <w:rsid w:val="00AD6380"/>
    <w:rsid w:val="00AD68E8"/>
    <w:rsid w:val="00AD6A7C"/>
    <w:rsid w:val="00AD6F41"/>
    <w:rsid w:val="00AD7098"/>
    <w:rsid w:val="00AD7BB2"/>
    <w:rsid w:val="00AD7F25"/>
    <w:rsid w:val="00AD7F4B"/>
    <w:rsid w:val="00AD7FD7"/>
    <w:rsid w:val="00AE02FB"/>
    <w:rsid w:val="00AE05ED"/>
    <w:rsid w:val="00AE063F"/>
    <w:rsid w:val="00AE0CEB"/>
    <w:rsid w:val="00AE103A"/>
    <w:rsid w:val="00AE1585"/>
    <w:rsid w:val="00AE16D7"/>
    <w:rsid w:val="00AE16DB"/>
    <w:rsid w:val="00AE1770"/>
    <w:rsid w:val="00AE185A"/>
    <w:rsid w:val="00AE2101"/>
    <w:rsid w:val="00AE2548"/>
    <w:rsid w:val="00AE2C5D"/>
    <w:rsid w:val="00AE3479"/>
    <w:rsid w:val="00AE3A24"/>
    <w:rsid w:val="00AE4172"/>
    <w:rsid w:val="00AE46DB"/>
    <w:rsid w:val="00AE48BB"/>
    <w:rsid w:val="00AE4924"/>
    <w:rsid w:val="00AE4D51"/>
    <w:rsid w:val="00AE5488"/>
    <w:rsid w:val="00AE6775"/>
    <w:rsid w:val="00AE68F1"/>
    <w:rsid w:val="00AE6AC2"/>
    <w:rsid w:val="00AE6B83"/>
    <w:rsid w:val="00AE6D30"/>
    <w:rsid w:val="00AE6DE4"/>
    <w:rsid w:val="00AE6F59"/>
    <w:rsid w:val="00AE6F91"/>
    <w:rsid w:val="00AE73B1"/>
    <w:rsid w:val="00AE77C4"/>
    <w:rsid w:val="00AE7B52"/>
    <w:rsid w:val="00AF03CA"/>
    <w:rsid w:val="00AF05C1"/>
    <w:rsid w:val="00AF076C"/>
    <w:rsid w:val="00AF0789"/>
    <w:rsid w:val="00AF0DA1"/>
    <w:rsid w:val="00AF127A"/>
    <w:rsid w:val="00AF1CC1"/>
    <w:rsid w:val="00AF1EC1"/>
    <w:rsid w:val="00AF2089"/>
    <w:rsid w:val="00AF240F"/>
    <w:rsid w:val="00AF298E"/>
    <w:rsid w:val="00AF3064"/>
    <w:rsid w:val="00AF37EF"/>
    <w:rsid w:val="00AF3E3C"/>
    <w:rsid w:val="00AF423D"/>
    <w:rsid w:val="00AF425D"/>
    <w:rsid w:val="00AF4278"/>
    <w:rsid w:val="00AF44C3"/>
    <w:rsid w:val="00AF4BC2"/>
    <w:rsid w:val="00AF4C2C"/>
    <w:rsid w:val="00AF4D3A"/>
    <w:rsid w:val="00AF52A5"/>
    <w:rsid w:val="00AF53C6"/>
    <w:rsid w:val="00AF5571"/>
    <w:rsid w:val="00AF56C2"/>
    <w:rsid w:val="00AF596C"/>
    <w:rsid w:val="00AF5E4C"/>
    <w:rsid w:val="00AF5E7A"/>
    <w:rsid w:val="00AF5F6D"/>
    <w:rsid w:val="00AF60E0"/>
    <w:rsid w:val="00AF6A32"/>
    <w:rsid w:val="00AF6AFF"/>
    <w:rsid w:val="00AF7544"/>
    <w:rsid w:val="00AF7667"/>
    <w:rsid w:val="00AF76FB"/>
    <w:rsid w:val="00AF77AE"/>
    <w:rsid w:val="00AF7B8C"/>
    <w:rsid w:val="00B00247"/>
    <w:rsid w:val="00B00B50"/>
    <w:rsid w:val="00B00FAB"/>
    <w:rsid w:val="00B011F2"/>
    <w:rsid w:val="00B01497"/>
    <w:rsid w:val="00B0192B"/>
    <w:rsid w:val="00B01CCE"/>
    <w:rsid w:val="00B022D6"/>
    <w:rsid w:val="00B025E2"/>
    <w:rsid w:val="00B02C4E"/>
    <w:rsid w:val="00B02FBE"/>
    <w:rsid w:val="00B0318B"/>
    <w:rsid w:val="00B0341D"/>
    <w:rsid w:val="00B03A26"/>
    <w:rsid w:val="00B03F3C"/>
    <w:rsid w:val="00B04B7D"/>
    <w:rsid w:val="00B05925"/>
    <w:rsid w:val="00B05AC2"/>
    <w:rsid w:val="00B05B37"/>
    <w:rsid w:val="00B05DFC"/>
    <w:rsid w:val="00B0644A"/>
    <w:rsid w:val="00B0675F"/>
    <w:rsid w:val="00B06987"/>
    <w:rsid w:val="00B06C1C"/>
    <w:rsid w:val="00B06CFC"/>
    <w:rsid w:val="00B06FE4"/>
    <w:rsid w:val="00B07000"/>
    <w:rsid w:val="00B077CE"/>
    <w:rsid w:val="00B07EBA"/>
    <w:rsid w:val="00B07EBE"/>
    <w:rsid w:val="00B102E9"/>
    <w:rsid w:val="00B10D93"/>
    <w:rsid w:val="00B10F4E"/>
    <w:rsid w:val="00B11B2D"/>
    <w:rsid w:val="00B11BE3"/>
    <w:rsid w:val="00B12238"/>
    <w:rsid w:val="00B12686"/>
    <w:rsid w:val="00B12FA9"/>
    <w:rsid w:val="00B1305F"/>
    <w:rsid w:val="00B13110"/>
    <w:rsid w:val="00B1311E"/>
    <w:rsid w:val="00B131AB"/>
    <w:rsid w:val="00B131FD"/>
    <w:rsid w:val="00B1357B"/>
    <w:rsid w:val="00B1360F"/>
    <w:rsid w:val="00B13ADD"/>
    <w:rsid w:val="00B13C95"/>
    <w:rsid w:val="00B13D6E"/>
    <w:rsid w:val="00B13DA0"/>
    <w:rsid w:val="00B1465C"/>
    <w:rsid w:val="00B14767"/>
    <w:rsid w:val="00B14BC9"/>
    <w:rsid w:val="00B14E0A"/>
    <w:rsid w:val="00B14F30"/>
    <w:rsid w:val="00B15CE2"/>
    <w:rsid w:val="00B15D1A"/>
    <w:rsid w:val="00B160E9"/>
    <w:rsid w:val="00B164CA"/>
    <w:rsid w:val="00B1664E"/>
    <w:rsid w:val="00B16895"/>
    <w:rsid w:val="00B16A2E"/>
    <w:rsid w:val="00B16EB9"/>
    <w:rsid w:val="00B1736D"/>
    <w:rsid w:val="00B173C5"/>
    <w:rsid w:val="00B17715"/>
    <w:rsid w:val="00B1773A"/>
    <w:rsid w:val="00B1773B"/>
    <w:rsid w:val="00B177BC"/>
    <w:rsid w:val="00B20071"/>
    <w:rsid w:val="00B203F2"/>
    <w:rsid w:val="00B20412"/>
    <w:rsid w:val="00B20723"/>
    <w:rsid w:val="00B2115C"/>
    <w:rsid w:val="00B21524"/>
    <w:rsid w:val="00B218CB"/>
    <w:rsid w:val="00B21948"/>
    <w:rsid w:val="00B21BE2"/>
    <w:rsid w:val="00B221F3"/>
    <w:rsid w:val="00B22340"/>
    <w:rsid w:val="00B233D9"/>
    <w:rsid w:val="00B23860"/>
    <w:rsid w:val="00B2426C"/>
    <w:rsid w:val="00B242EF"/>
    <w:rsid w:val="00B24991"/>
    <w:rsid w:val="00B24A9D"/>
    <w:rsid w:val="00B24F59"/>
    <w:rsid w:val="00B25283"/>
    <w:rsid w:val="00B256B0"/>
    <w:rsid w:val="00B2572A"/>
    <w:rsid w:val="00B25CDF"/>
    <w:rsid w:val="00B25D3C"/>
    <w:rsid w:val="00B25D62"/>
    <w:rsid w:val="00B25DC3"/>
    <w:rsid w:val="00B262A4"/>
    <w:rsid w:val="00B26458"/>
    <w:rsid w:val="00B264BC"/>
    <w:rsid w:val="00B26584"/>
    <w:rsid w:val="00B266B7"/>
    <w:rsid w:val="00B266DC"/>
    <w:rsid w:val="00B2694A"/>
    <w:rsid w:val="00B26AAC"/>
    <w:rsid w:val="00B26E55"/>
    <w:rsid w:val="00B26F07"/>
    <w:rsid w:val="00B26FB4"/>
    <w:rsid w:val="00B2753D"/>
    <w:rsid w:val="00B27827"/>
    <w:rsid w:val="00B27BCD"/>
    <w:rsid w:val="00B27D61"/>
    <w:rsid w:val="00B302A6"/>
    <w:rsid w:val="00B302C7"/>
    <w:rsid w:val="00B30539"/>
    <w:rsid w:val="00B30977"/>
    <w:rsid w:val="00B30CFD"/>
    <w:rsid w:val="00B314DB"/>
    <w:rsid w:val="00B316B5"/>
    <w:rsid w:val="00B316B6"/>
    <w:rsid w:val="00B318E3"/>
    <w:rsid w:val="00B32F4A"/>
    <w:rsid w:val="00B33091"/>
    <w:rsid w:val="00B33E12"/>
    <w:rsid w:val="00B34258"/>
    <w:rsid w:val="00B34535"/>
    <w:rsid w:val="00B34991"/>
    <w:rsid w:val="00B349D1"/>
    <w:rsid w:val="00B34ACE"/>
    <w:rsid w:val="00B34D89"/>
    <w:rsid w:val="00B34DF4"/>
    <w:rsid w:val="00B35161"/>
    <w:rsid w:val="00B355E4"/>
    <w:rsid w:val="00B356B0"/>
    <w:rsid w:val="00B36240"/>
    <w:rsid w:val="00B363AF"/>
    <w:rsid w:val="00B36D53"/>
    <w:rsid w:val="00B3701B"/>
    <w:rsid w:val="00B3718B"/>
    <w:rsid w:val="00B37446"/>
    <w:rsid w:val="00B379F2"/>
    <w:rsid w:val="00B40069"/>
    <w:rsid w:val="00B4041B"/>
    <w:rsid w:val="00B4060E"/>
    <w:rsid w:val="00B40ADC"/>
    <w:rsid w:val="00B40FB2"/>
    <w:rsid w:val="00B40FC2"/>
    <w:rsid w:val="00B4164E"/>
    <w:rsid w:val="00B417D2"/>
    <w:rsid w:val="00B4182B"/>
    <w:rsid w:val="00B41C05"/>
    <w:rsid w:val="00B41E18"/>
    <w:rsid w:val="00B4264B"/>
    <w:rsid w:val="00B42BA3"/>
    <w:rsid w:val="00B42BDB"/>
    <w:rsid w:val="00B4321D"/>
    <w:rsid w:val="00B434AA"/>
    <w:rsid w:val="00B43AE5"/>
    <w:rsid w:val="00B43BEA"/>
    <w:rsid w:val="00B43CAB"/>
    <w:rsid w:val="00B43CB8"/>
    <w:rsid w:val="00B442C7"/>
    <w:rsid w:val="00B4442F"/>
    <w:rsid w:val="00B44752"/>
    <w:rsid w:val="00B44C7C"/>
    <w:rsid w:val="00B44DD3"/>
    <w:rsid w:val="00B456B1"/>
    <w:rsid w:val="00B45759"/>
    <w:rsid w:val="00B458A8"/>
    <w:rsid w:val="00B45DF4"/>
    <w:rsid w:val="00B46228"/>
    <w:rsid w:val="00B4632A"/>
    <w:rsid w:val="00B46398"/>
    <w:rsid w:val="00B46A0F"/>
    <w:rsid w:val="00B46F78"/>
    <w:rsid w:val="00B47060"/>
    <w:rsid w:val="00B470F9"/>
    <w:rsid w:val="00B47278"/>
    <w:rsid w:val="00B473D0"/>
    <w:rsid w:val="00B476CE"/>
    <w:rsid w:val="00B50D3F"/>
    <w:rsid w:val="00B50E37"/>
    <w:rsid w:val="00B51482"/>
    <w:rsid w:val="00B51928"/>
    <w:rsid w:val="00B520E4"/>
    <w:rsid w:val="00B528E6"/>
    <w:rsid w:val="00B530F1"/>
    <w:rsid w:val="00B5326D"/>
    <w:rsid w:val="00B5354B"/>
    <w:rsid w:val="00B53AD5"/>
    <w:rsid w:val="00B545D7"/>
    <w:rsid w:val="00B54749"/>
    <w:rsid w:val="00B547BC"/>
    <w:rsid w:val="00B54F1B"/>
    <w:rsid w:val="00B55CE1"/>
    <w:rsid w:val="00B561AD"/>
    <w:rsid w:val="00B56419"/>
    <w:rsid w:val="00B5652C"/>
    <w:rsid w:val="00B56AC1"/>
    <w:rsid w:val="00B56B37"/>
    <w:rsid w:val="00B56CBE"/>
    <w:rsid w:val="00B56CF7"/>
    <w:rsid w:val="00B56FE9"/>
    <w:rsid w:val="00B570E7"/>
    <w:rsid w:val="00B5734E"/>
    <w:rsid w:val="00B57970"/>
    <w:rsid w:val="00B57AF8"/>
    <w:rsid w:val="00B57E19"/>
    <w:rsid w:val="00B57F96"/>
    <w:rsid w:val="00B600EF"/>
    <w:rsid w:val="00B600F0"/>
    <w:rsid w:val="00B605E4"/>
    <w:rsid w:val="00B60964"/>
    <w:rsid w:val="00B60B60"/>
    <w:rsid w:val="00B60C61"/>
    <w:rsid w:val="00B60E67"/>
    <w:rsid w:val="00B6113A"/>
    <w:rsid w:val="00B61680"/>
    <w:rsid w:val="00B6189E"/>
    <w:rsid w:val="00B6191C"/>
    <w:rsid w:val="00B61A09"/>
    <w:rsid w:val="00B61E91"/>
    <w:rsid w:val="00B61F6A"/>
    <w:rsid w:val="00B630CF"/>
    <w:rsid w:val="00B63324"/>
    <w:rsid w:val="00B63484"/>
    <w:rsid w:val="00B636B5"/>
    <w:rsid w:val="00B63922"/>
    <w:rsid w:val="00B64AE2"/>
    <w:rsid w:val="00B64B86"/>
    <w:rsid w:val="00B65B7D"/>
    <w:rsid w:val="00B65FAC"/>
    <w:rsid w:val="00B6650F"/>
    <w:rsid w:val="00B6674E"/>
    <w:rsid w:val="00B66B23"/>
    <w:rsid w:val="00B66DDF"/>
    <w:rsid w:val="00B66F20"/>
    <w:rsid w:val="00B6720D"/>
    <w:rsid w:val="00B674E6"/>
    <w:rsid w:val="00B67DA3"/>
    <w:rsid w:val="00B706EF"/>
    <w:rsid w:val="00B707CB"/>
    <w:rsid w:val="00B71885"/>
    <w:rsid w:val="00B71BBE"/>
    <w:rsid w:val="00B7222E"/>
    <w:rsid w:val="00B722E9"/>
    <w:rsid w:val="00B72332"/>
    <w:rsid w:val="00B727DB"/>
    <w:rsid w:val="00B7294B"/>
    <w:rsid w:val="00B7294E"/>
    <w:rsid w:val="00B72977"/>
    <w:rsid w:val="00B72B38"/>
    <w:rsid w:val="00B72C4A"/>
    <w:rsid w:val="00B73061"/>
    <w:rsid w:val="00B732CC"/>
    <w:rsid w:val="00B737A1"/>
    <w:rsid w:val="00B737FD"/>
    <w:rsid w:val="00B73967"/>
    <w:rsid w:val="00B74317"/>
    <w:rsid w:val="00B74930"/>
    <w:rsid w:val="00B74B77"/>
    <w:rsid w:val="00B74CF0"/>
    <w:rsid w:val="00B74DF9"/>
    <w:rsid w:val="00B75A71"/>
    <w:rsid w:val="00B760A7"/>
    <w:rsid w:val="00B760E4"/>
    <w:rsid w:val="00B765BB"/>
    <w:rsid w:val="00B76D25"/>
    <w:rsid w:val="00B76F8A"/>
    <w:rsid w:val="00B771FA"/>
    <w:rsid w:val="00B772CB"/>
    <w:rsid w:val="00B77461"/>
    <w:rsid w:val="00B77911"/>
    <w:rsid w:val="00B77987"/>
    <w:rsid w:val="00B77FA9"/>
    <w:rsid w:val="00B80262"/>
    <w:rsid w:val="00B803AC"/>
    <w:rsid w:val="00B8064A"/>
    <w:rsid w:val="00B80B1E"/>
    <w:rsid w:val="00B81169"/>
    <w:rsid w:val="00B81288"/>
    <w:rsid w:val="00B812D3"/>
    <w:rsid w:val="00B8136C"/>
    <w:rsid w:val="00B8166D"/>
    <w:rsid w:val="00B81742"/>
    <w:rsid w:val="00B819AD"/>
    <w:rsid w:val="00B81C16"/>
    <w:rsid w:val="00B81EAB"/>
    <w:rsid w:val="00B82744"/>
    <w:rsid w:val="00B8292C"/>
    <w:rsid w:val="00B829A2"/>
    <w:rsid w:val="00B83140"/>
    <w:rsid w:val="00B8368E"/>
    <w:rsid w:val="00B83B21"/>
    <w:rsid w:val="00B83B56"/>
    <w:rsid w:val="00B83C7C"/>
    <w:rsid w:val="00B83CAA"/>
    <w:rsid w:val="00B83ED3"/>
    <w:rsid w:val="00B8460A"/>
    <w:rsid w:val="00B84A61"/>
    <w:rsid w:val="00B84D32"/>
    <w:rsid w:val="00B84D3D"/>
    <w:rsid w:val="00B84DDA"/>
    <w:rsid w:val="00B84FF0"/>
    <w:rsid w:val="00B851B0"/>
    <w:rsid w:val="00B85958"/>
    <w:rsid w:val="00B85A22"/>
    <w:rsid w:val="00B85B17"/>
    <w:rsid w:val="00B85D0F"/>
    <w:rsid w:val="00B87ADF"/>
    <w:rsid w:val="00B87DB6"/>
    <w:rsid w:val="00B9049A"/>
    <w:rsid w:val="00B906F3"/>
    <w:rsid w:val="00B90768"/>
    <w:rsid w:val="00B90CB4"/>
    <w:rsid w:val="00B90D86"/>
    <w:rsid w:val="00B90E72"/>
    <w:rsid w:val="00B90E79"/>
    <w:rsid w:val="00B90EA4"/>
    <w:rsid w:val="00B90EC1"/>
    <w:rsid w:val="00B91111"/>
    <w:rsid w:val="00B91154"/>
    <w:rsid w:val="00B91212"/>
    <w:rsid w:val="00B91369"/>
    <w:rsid w:val="00B917C7"/>
    <w:rsid w:val="00B91B61"/>
    <w:rsid w:val="00B91B6E"/>
    <w:rsid w:val="00B91CAC"/>
    <w:rsid w:val="00B91D22"/>
    <w:rsid w:val="00B91D9A"/>
    <w:rsid w:val="00B92358"/>
    <w:rsid w:val="00B9294F"/>
    <w:rsid w:val="00B92B20"/>
    <w:rsid w:val="00B92C9B"/>
    <w:rsid w:val="00B92D5A"/>
    <w:rsid w:val="00B93439"/>
    <w:rsid w:val="00B9354E"/>
    <w:rsid w:val="00B939D7"/>
    <w:rsid w:val="00B93F68"/>
    <w:rsid w:val="00B93FE4"/>
    <w:rsid w:val="00B9432B"/>
    <w:rsid w:val="00B944FB"/>
    <w:rsid w:val="00B94589"/>
    <w:rsid w:val="00B948CD"/>
    <w:rsid w:val="00B94B27"/>
    <w:rsid w:val="00B955AE"/>
    <w:rsid w:val="00B95C9D"/>
    <w:rsid w:val="00B95CD3"/>
    <w:rsid w:val="00B95DE5"/>
    <w:rsid w:val="00B95E11"/>
    <w:rsid w:val="00B95F34"/>
    <w:rsid w:val="00B961C3"/>
    <w:rsid w:val="00B96300"/>
    <w:rsid w:val="00B966CC"/>
    <w:rsid w:val="00B97217"/>
    <w:rsid w:val="00B97310"/>
    <w:rsid w:val="00B977C7"/>
    <w:rsid w:val="00BA04E9"/>
    <w:rsid w:val="00BA0A5E"/>
    <w:rsid w:val="00BA1C9C"/>
    <w:rsid w:val="00BA1D6D"/>
    <w:rsid w:val="00BA1D94"/>
    <w:rsid w:val="00BA2004"/>
    <w:rsid w:val="00BA234D"/>
    <w:rsid w:val="00BA2600"/>
    <w:rsid w:val="00BA26B2"/>
    <w:rsid w:val="00BA276C"/>
    <w:rsid w:val="00BA295C"/>
    <w:rsid w:val="00BA2DC2"/>
    <w:rsid w:val="00BA2F04"/>
    <w:rsid w:val="00BA3273"/>
    <w:rsid w:val="00BA397F"/>
    <w:rsid w:val="00BA42C6"/>
    <w:rsid w:val="00BA4746"/>
    <w:rsid w:val="00BA483C"/>
    <w:rsid w:val="00BA4E7D"/>
    <w:rsid w:val="00BA528B"/>
    <w:rsid w:val="00BA53BB"/>
    <w:rsid w:val="00BA55A1"/>
    <w:rsid w:val="00BA573E"/>
    <w:rsid w:val="00BA5D29"/>
    <w:rsid w:val="00BA5D33"/>
    <w:rsid w:val="00BA5E29"/>
    <w:rsid w:val="00BA619C"/>
    <w:rsid w:val="00BA63B3"/>
    <w:rsid w:val="00BA683E"/>
    <w:rsid w:val="00BA6B53"/>
    <w:rsid w:val="00BA7312"/>
    <w:rsid w:val="00BA76C8"/>
    <w:rsid w:val="00BA778F"/>
    <w:rsid w:val="00BA792D"/>
    <w:rsid w:val="00BA79CE"/>
    <w:rsid w:val="00BA7CCA"/>
    <w:rsid w:val="00BA7F1C"/>
    <w:rsid w:val="00BA7F2B"/>
    <w:rsid w:val="00BB0164"/>
    <w:rsid w:val="00BB01F4"/>
    <w:rsid w:val="00BB0213"/>
    <w:rsid w:val="00BB0FAF"/>
    <w:rsid w:val="00BB1354"/>
    <w:rsid w:val="00BB15C3"/>
    <w:rsid w:val="00BB19E7"/>
    <w:rsid w:val="00BB1DDE"/>
    <w:rsid w:val="00BB1F5B"/>
    <w:rsid w:val="00BB208D"/>
    <w:rsid w:val="00BB256D"/>
    <w:rsid w:val="00BB2D95"/>
    <w:rsid w:val="00BB2F1B"/>
    <w:rsid w:val="00BB2F42"/>
    <w:rsid w:val="00BB306F"/>
    <w:rsid w:val="00BB3189"/>
    <w:rsid w:val="00BB336D"/>
    <w:rsid w:val="00BB35E4"/>
    <w:rsid w:val="00BB3658"/>
    <w:rsid w:val="00BB369E"/>
    <w:rsid w:val="00BB3952"/>
    <w:rsid w:val="00BB3B9C"/>
    <w:rsid w:val="00BB3DFB"/>
    <w:rsid w:val="00BB4116"/>
    <w:rsid w:val="00BB4145"/>
    <w:rsid w:val="00BB41CF"/>
    <w:rsid w:val="00BB4253"/>
    <w:rsid w:val="00BB49EB"/>
    <w:rsid w:val="00BB4CC8"/>
    <w:rsid w:val="00BB52E6"/>
    <w:rsid w:val="00BB5302"/>
    <w:rsid w:val="00BB5322"/>
    <w:rsid w:val="00BB5FC7"/>
    <w:rsid w:val="00BB64B7"/>
    <w:rsid w:val="00BB650E"/>
    <w:rsid w:val="00BB658B"/>
    <w:rsid w:val="00BB664F"/>
    <w:rsid w:val="00BB6E97"/>
    <w:rsid w:val="00BB7246"/>
    <w:rsid w:val="00BB72FE"/>
    <w:rsid w:val="00BB79ED"/>
    <w:rsid w:val="00BB7C91"/>
    <w:rsid w:val="00BB7E95"/>
    <w:rsid w:val="00BC0178"/>
    <w:rsid w:val="00BC05DA"/>
    <w:rsid w:val="00BC0622"/>
    <w:rsid w:val="00BC0A95"/>
    <w:rsid w:val="00BC1478"/>
    <w:rsid w:val="00BC18C9"/>
    <w:rsid w:val="00BC1A04"/>
    <w:rsid w:val="00BC1B91"/>
    <w:rsid w:val="00BC2583"/>
    <w:rsid w:val="00BC2AFC"/>
    <w:rsid w:val="00BC2D8D"/>
    <w:rsid w:val="00BC2EDB"/>
    <w:rsid w:val="00BC3C59"/>
    <w:rsid w:val="00BC4041"/>
    <w:rsid w:val="00BC433F"/>
    <w:rsid w:val="00BC4A2D"/>
    <w:rsid w:val="00BC4BE9"/>
    <w:rsid w:val="00BC4DAA"/>
    <w:rsid w:val="00BC4E19"/>
    <w:rsid w:val="00BC4F90"/>
    <w:rsid w:val="00BC52C9"/>
    <w:rsid w:val="00BC57DB"/>
    <w:rsid w:val="00BC5941"/>
    <w:rsid w:val="00BC6005"/>
    <w:rsid w:val="00BC65A4"/>
    <w:rsid w:val="00BC668B"/>
    <w:rsid w:val="00BC668F"/>
    <w:rsid w:val="00BC6855"/>
    <w:rsid w:val="00BC6C67"/>
    <w:rsid w:val="00BC6DCB"/>
    <w:rsid w:val="00BC70E9"/>
    <w:rsid w:val="00BC7733"/>
    <w:rsid w:val="00BC7790"/>
    <w:rsid w:val="00BC79CF"/>
    <w:rsid w:val="00BC7E53"/>
    <w:rsid w:val="00BD0135"/>
    <w:rsid w:val="00BD09C0"/>
    <w:rsid w:val="00BD0A0E"/>
    <w:rsid w:val="00BD0CF9"/>
    <w:rsid w:val="00BD0EB4"/>
    <w:rsid w:val="00BD2028"/>
    <w:rsid w:val="00BD23C2"/>
    <w:rsid w:val="00BD2703"/>
    <w:rsid w:val="00BD2BEC"/>
    <w:rsid w:val="00BD2DF4"/>
    <w:rsid w:val="00BD324A"/>
    <w:rsid w:val="00BD3342"/>
    <w:rsid w:val="00BD33F7"/>
    <w:rsid w:val="00BD3A3F"/>
    <w:rsid w:val="00BD3D6F"/>
    <w:rsid w:val="00BD3D92"/>
    <w:rsid w:val="00BD403B"/>
    <w:rsid w:val="00BD41AE"/>
    <w:rsid w:val="00BD41BB"/>
    <w:rsid w:val="00BD4730"/>
    <w:rsid w:val="00BD495B"/>
    <w:rsid w:val="00BD4B89"/>
    <w:rsid w:val="00BD4CE2"/>
    <w:rsid w:val="00BD51C3"/>
    <w:rsid w:val="00BD5704"/>
    <w:rsid w:val="00BD5E95"/>
    <w:rsid w:val="00BD5F33"/>
    <w:rsid w:val="00BD6504"/>
    <w:rsid w:val="00BD6538"/>
    <w:rsid w:val="00BD6DAC"/>
    <w:rsid w:val="00BD726E"/>
    <w:rsid w:val="00BD7826"/>
    <w:rsid w:val="00BD79CE"/>
    <w:rsid w:val="00BD7DCC"/>
    <w:rsid w:val="00BE025B"/>
    <w:rsid w:val="00BE047B"/>
    <w:rsid w:val="00BE06FB"/>
    <w:rsid w:val="00BE07EE"/>
    <w:rsid w:val="00BE0B95"/>
    <w:rsid w:val="00BE0CBC"/>
    <w:rsid w:val="00BE0D78"/>
    <w:rsid w:val="00BE0F76"/>
    <w:rsid w:val="00BE120D"/>
    <w:rsid w:val="00BE167E"/>
    <w:rsid w:val="00BE1964"/>
    <w:rsid w:val="00BE1967"/>
    <w:rsid w:val="00BE19E0"/>
    <w:rsid w:val="00BE2175"/>
    <w:rsid w:val="00BE21C8"/>
    <w:rsid w:val="00BE2530"/>
    <w:rsid w:val="00BE2AE0"/>
    <w:rsid w:val="00BE3101"/>
    <w:rsid w:val="00BE31DC"/>
    <w:rsid w:val="00BE3526"/>
    <w:rsid w:val="00BE358A"/>
    <w:rsid w:val="00BE376B"/>
    <w:rsid w:val="00BE3A33"/>
    <w:rsid w:val="00BE3D72"/>
    <w:rsid w:val="00BE3DD0"/>
    <w:rsid w:val="00BE3FD6"/>
    <w:rsid w:val="00BE4112"/>
    <w:rsid w:val="00BE4A27"/>
    <w:rsid w:val="00BE4AE9"/>
    <w:rsid w:val="00BE4C47"/>
    <w:rsid w:val="00BE5379"/>
    <w:rsid w:val="00BE5855"/>
    <w:rsid w:val="00BE5987"/>
    <w:rsid w:val="00BE6435"/>
    <w:rsid w:val="00BE64AF"/>
    <w:rsid w:val="00BE64B7"/>
    <w:rsid w:val="00BE65AE"/>
    <w:rsid w:val="00BE6BF1"/>
    <w:rsid w:val="00BE6C00"/>
    <w:rsid w:val="00BE6C3F"/>
    <w:rsid w:val="00BE6E94"/>
    <w:rsid w:val="00BE705C"/>
    <w:rsid w:val="00BE72B5"/>
    <w:rsid w:val="00BE73F9"/>
    <w:rsid w:val="00BE7498"/>
    <w:rsid w:val="00BE75DE"/>
    <w:rsid w:val="00BE7D95"/>
    <w:rsid w:val="00BF031D"/>
    <w:rsid w:val="00BF03D8"/>
    <w:rsid w:val="00BF04C4"/>
    <w:rsid w:val="00BF0ACA"/>
    <w:rsid w:val="00BF0E77"/>
    <w:rsid w:val="00BF1807"/>
    <w:rsid w:val="00BF180B"/>
    <w:rsid w:val="00BF1823"/>
    <w:rsid w:val="00BF1864"/>
    <w:rsid w:val="00BF1A40"/>
    <w:rsid w:val="00BF2146"/>
    <w:rsid w:val="00BF2FF3"/>
    <w:rsid w:val="00BF339D"/>
    <w:rsid w:val="00BF3411"/>
    <w:rsid w:val="00BF3461"/>
    <w:rsid w:val="00BF34CC"/>
    <w:rsid w:val="00BF3DF6"/>
    <w:rsid w:val="00BF4CCB"/>
    <w:rsid w:val="00BF4D34"/>
    <w:rsid w:val="00BF559C"/>
    <w:rsid w:val="00BF5612"/>
    <w:rsid w:val="00BF5AF5"/>
    <w:rsid w:val="00BF611D"/>
    <w:rsid w:val="00BF61E1"/>
    <w:rsid w:val="00BF6533"/>
    <w:rsid w:val="00BF68CF"/>
    <w:rsid w:val="00BF6B82"/>
    <w:rsid w:val="00BF6FD8"/>
    <w:rsid w:val="00BF717E"/>
    <w:rsid w:val="00BF72EC"/>
    <w:rsid w:val="00BF7D6D"/>
    <w:rsid w:val="00BF7F7C"/>
    <w:rsid w:val="00C0075D"/>
    <w:rsid w:val="00C00A9D"/>
    <w:rsid w:val="00C00CE3"/>
    <w:rsid w:val="00C00E20"/>
    <w:rsid w:val="00C00EEA"/>
    <w:rsid w:val="00C01D45"/>
    <w:rsid w:val="00C01E60"/>
    <w:rsid w:val="00C0258D"/>
    <w:rsid w:val="00C0275D"/>
    <w:rsid w:val="00C02859"/>
    <w:rsid w:val="00C029AF"/>
    <w:rsid w:val="00C02D36"/>
    <w:rsid w:val="00C02EA6"/>
    <w:rsid w:val="00C02FE9"/>
    <w:rsid w:val="00C035E3"/>
    <w:rsid w:val="00C03680"/>
    <w:rsid w:val="00C03F9C"/>
    <w:rsid w:val="00C04314"/>
    <w:rsid w:val="00C0443E"/>
    <w:rsid w:val="00C04499"/>
    <w:rsid w:val="00C045F5"/>
    <w:rsid w:val="00C047D5"/>
    <w:rsid w:val="00C047D9"/>
    <w:rsid w:val="00C04CBF"/>
    <w:rsid w:val="00C04CEF"/>
    <w:rsid w:val="00C04F37"/>
    <w:rsid w:val="00C052ED"/>
    <w:rsid w:val="00C054DF"/>
    <w:rsid w:val="00C05604"/>
    <w:rsid w:val="00C0580F"/>
    <w:rsid w:val="00C0593D"/>
    <w:rsid w:val="00C05A94"/>
    <w:rsid w:val="00C05AAD"/>
    <w:rsid w:val="00C05C0C"/>
    <w:rsid w:val="00C05EB5"/>
    <w:rsid w:val="00C05EC5"/>
    <w:rsid w:val="00C06120"/>
    <w:rsid w:val="00C062C0"/>
    <w:rsid w:val="00C067C3"/>
    <w:rsid w:val="00C07105"/>
    <w:rsid w:val="00C071D4"/>
    <w:rsid w:val="00C07B37"/>
    <w:rsid w:val="00C1008E"/>
    <w:rsid w:val="00C1072B"/>
    <w:rsid w:val="00C10C6B"/>
    <w:rsid w:val="00C11042"/>
    <w:rsid w:val="00C113F3"/>
    <w:rsid w:val="00C116E8"/>
    <w:rsid w:val="00C11A27"/>
    <w:rsid w:val="00C11A75"/>
    <w:rsid w:val="00C12104"/>
    <w:rsid w:val="00C12378"/>
    <w:rsid w:val="00C12709"/>
    <w:rsid w:val="00C12DEE"/>
    <w:rsid w:val="00C12F43"/>
    <w:rsid w:val="00C13281"/>
    <w:rsid w:val="00C135D0"/>
    <w:rsid w:val="00C13881"/>
    <w:rsid w:val="00C13D44"/>
    <w:rsid w:val="00C1411C"/>
    <w:rsid w:val="00C143A1"/>
    <w:rsid w:val="00C1461B"/>
    <w:rsid w:val="00C14978"/>
    <w:rsid w:val="00C152A5"/>
    <w:rsid w:val="00C15A24"/>
    <w:rsid w:val="00C15A62"/>
    <w:rsid w:val="00C15E00"/>
    <w:rsid w:val="00C15E41"/>
    <w:rsid w:val="00C1629F"/>
    <w:rsid w:val="00C16451"/>
    <w:rsid w:val="00C164B9"/>
    <w:rsid w:val="00C169C4"/>
    <w:rsid w:val="00C174CA"/>
    <w:rsid w:val="00C17BE7"/>
    <w:rsid w:val="00C17C8F"/>
    <w:rsid w:val="00C17EBE"/>
    <w:rsid w:val="00C2009B"/>
    <w:rsid w:val="00C2045A"/>
    <w:rsid w:val="00C20CA9"/>
    <w:rsid w:val="00C20D9C"/>
    <w:rsid w:val="00C20E98"/>
    <w:rsid w:val="00C21762"/>
    <w:rsid w:val="00C21974"/>
    <w:rsid w:val="00C21E02"/>
    <w:rsid w:val="00C2207C"/>
    <w:rsid w:val="00C2211A"/>
    <w:rsid w:val="00C2240A"/>
    <w:rsid w:val="00C2268A"/>
    <w:rsid w:val="00C22A90"/>
    <w:rsid w:val="00C22BEF"/>
    <w:rsid w:val="00C233AC"/>
    <w:rsid w:val="00C2355D"/>
    <w:rsid w:val="00C236C1"/>
    <w:rsid w:val="00C2373E"/>
    <w:rsid w:val="00C240BD"/>
    <w:rsid w:val="00C24543"/>
    <w:rsid w:val="00C24624"/>
    <w:rsid w:val="00C247B9"/>
    <w:rsid w:val="00C24859"/>
    <w:rsid w:val="00C24A94"/>
    <w:rsid w:val="00C24CDF"/>
    <w:rsid w:val="00C2517B"/>
    <w:rsid w:val="00C25480"/>
    <w:rsid w:val="00C25607"/>
    <w:rsid w:val="00C256A2"/>
    <w:rsid w:val="00C2582F"/>
    <w:rsid w:val="00C2655E"/>
    <w:rsid w:val="00C265A1"/>
    <w:rsid w:val="00C26704"/>
    <w:rsid w:val="00C26A02"/>
    <w:rsid w:val="00C26AD6"/>
    <w:rsid w:val="00C2728C"/>
    <w:rsid w:val="00C27349"/>
    <w:rsid w:val="00C27A6A"/>
    <w:rsid w:val="00C300ED"/>
    <w:rsid w:val="00C304FA"/>
    <w:rsid w:val="00C30573"/>
    <w:rsid w:val="00C30AC4"/>
    <w:rsid w:val="00C30B18"/>
    <w:rsid w:val="00C30B9C"/>
    <w:rsid w:val="00C30D2D"/>
    <w:rsid w:val="00C31AE8"/>
    <w:rsid w:val="00C31CD7"/>
    <w:rsid w:val="00C3244B"/>
    <w:rsid w:val="00C3249B"/>
    <w:rsid w:val="00C32539"/>
    <w:rsid w:val="00C32962"/>
    <w:rsid w:val="00C329B6"/>
    <w:rsid w:val="00C331D7"/>
    <w:rsid w:val="00C33726"/>
    <w:rsid w:val="00C33F62"/>
    <w:rsid w:val="00C34113"/>
    <w:rsid w:val="00C3457E"/>
    <w:rsid w:val="00C34A4C"/>
    <w:rsid w:val="00C34A62"/>
    <w:rsid w:val="00C34B0A"/>
    <w:rsid w:val="00C34CEF"/>
    <w:rsid w:val="00C34E88"/>
    <w:rsid w:val="00C34E9B"/>
    <w:rsid w:val="00C35013"/>
    <w:rsid w:val="00C3530F"/>
    <w:rsid w:val="00C3534A"/>
    <w:rsid w:val="00C3552C"/>
    <w:rsid w:val="00C35CE9"/>
    <w:rsid w:val="00C3601A"/>
    <w:rsid w:val="00C3617B"/>
    <w:rsid w:val="00C3623E"/>
    <w:rsid w:val="00C36652"/>
    <w:rsid w:val="00C36DFD"/>
    <w:rsid w:val="00C37037"/>
    <w:rsid w:val="00C3799D"/>
    <w:rsid w:val="00C37FDB"/>
    <w:rsid w:val="00C401C4"/>
    <w:rsid w:val="00C40219"/>
    <w:rsid w:val="00C405FE"/>
    <w:rsid w:val="00C40641"/>
    <w:rsid w:val="00C4082F"/>
    <w:rsid w:val="00C40F01"/>
    <w:rsid w:val="00C4102B"/>
    <w:rsid w:val="00C415F7"/>
    <w:rsid w:val="00C4160B"/>
    <w:rsid w:val="00C41985"/>
    <w:rsid w:val="00C41AD0"/>
    <w:rsid w:val="00C41D1E"/>
    <w:rsid w:val="00C41D81"/>
    <w:rsid w:val="00C42213"/>
    <w:rsid w:val="00C42BE7"/>
    <w:rsid w:val="00C42CEA"/>
    <w:rsid w:val="00C433C4"/>
    <w:rsid w:val="00C437CD"/>
    <w:rsid w:val="00C43E22"/>
    <w:rsid w:val="00C440EB"/>
    <w:rsid w:val="00C441D8"/>
    <w:rsid w:val="00C44508"/>
    <w:rsid w:val="00C44748"/>
    <w:rsid w:val="00C44880"/>
    <w:rsid w:val="00C4519A"/>
    <w:rsid w:val="00C45415"/>
    <w:rsid w:val="00C45834"/>
    <w:rsid w:val="00C45D0C"/>
    <w:rsid w:val="00C46451"/>
    <w:rsid w:val="00C46486"/>
    <w:rsid w:val="00C46810"/>
    <w:rsid w:val="00C468CA"/>
    <w:rsid w:val="00C47943"/>
    <w:rsid w:val="00C50392"/>
    <w:rsid w:val="00C50AE1"/>
    <w:rsid w:val="00C50BC3"/>
    <w:rsid w:val="00C50E0A"/>
    <w:rsid w:val="00C50EB2"/>
    <w:rsid w:val="00C512B7"/>
    <w:rsid w:val="00C51515"/>
    <w:rsid w:val="00C51884"/>
    <w:rsid w:val="00C51A9D"/>
    <w:rsid w:val="00C51AA5"/>
    <w:rsid w:val="00C51B54"/>
    <w:rsid w:val="00C51D13"/>
    <w:rsid w:val="00C52032"/>
    <w:rsid w:val="00C520A7"/>
    <w:rsid w:val="00C52187"/>
    <w:rsid w:val="00C52D20"/>
    <w:rsid w:val="00C52E97"/>
    <w:rsid w:val="00C53067"/>
    <w:rsid w:val="00C5332A"/>
    <w:rsid w:val="00C533FC"/>
    <w:rsid w:val="00C53ADC"/>
    <w:rsid w:val="00C54035"/>
    <w:rsid w:val="00C540FE"/>
    <w:rsid w:val="00C54104"/>
    <w:rsid w:val="00C548BE"/>
    <w:rsid w:val="00C54BCF"/>
    <w:rsid w:val="00C54EB5"/>
    <w:rsid w:val="00C554CF"/>
    <w:rsid w:val="00C55590"/>
    <w:rsid w:val="00C55DC5"/>
    <w:rsid w:val="00C5660B"/>
    <w:rsid w:val="00C56633"/>
    <w:rsid w:val="00C567DF"/>
    <w:rsid w:val="00C56BB7"/>
    <w:rsid w:val="00C573E1"/>
    <w:rsid w:val="00C578A4"/>
    <w:rsid w:val="00C60071"/>
    <w:rsid w:val="00C604DB"/>
    <w:rsid w:val="00C605C2"/>
    <w:rsid w:val="00C60EAA"/>
    <w:rsid w:val="00C60EEA"/>
    <w:rsid w:val="00C61082"/>
    <w:rsid w:val="00C6114D"/>
    <w:rsid w:val="00C61566"/>
    <w:rsid w:val="00C616B6"/>
    <w:rsid w:val="00C61CC5"/>
    <w:rsid w:val="00C62087"/>
    <w:rsid w:val="00C62141"/>
    <w:rsid w:val="00C62241"/>
    <w:rsid w:val="00C62AE2"/>
    <w:rsid w:val="00C62CFF"/>
    <w:rsid w:val="00C630D7"/>
    <w:rsid w:val="00C63412"/>
    <w:rsid w:val="00C634ED"/>
    <w:rsid w:val="00C6366B"/>
    <w:rsid w:val="00C639C6"/>
    <w:rsid w:val="00C639FB"/>
    <w:rsid w:val="00C63D51"/>
    <w:rsid w:val="00C6438A"/>
    <w:rsid w:val="00C6568F"/>
    <w:rsid w:val="00C65722"/>
    <w:rsid w:val="00C65E14"/>
    <w:rsid w:val="00C66807"/>
    <w:rsid w:val="00C66B04"/>
    <w:rsid w:val="00C66B72"/>
    <w:rsid w:val="00C66CA5"/>
    <w:rsid w:val="00C66E3D"/>
    <w:rsid w:val="00C675D4"/>
    <w:rsid w:val="00C67740"/>
    <w:rsid w:val="00C7030F"/>
    <w:rsid w:val="00C70812"/>
    <w:rsid w:val="00C709FD"/>
    <w:rsid w:val="00C7121C"/>
    <w:rsid w:val="00C713CE"/>
    <w:rsid w:val="00C713D2"/>
    <w:rsid w:val="00C71C0F"/>
    <w:rsid w:val="00C71DDD"/>
    <w:rsid w:val="00C71F60"/>
    <w:rsid w:val="00C722BA"/>
    <w:rsid w:val="00C72302"/>
    <w:rsid w:val="00C726E4"/>
    <w:rsid w:val="00C72736"/>
    <w:rsid w:val="00C72939"/>
    <w:rsid w:val="00C72AB3"/>
    <w:rsid w:val="00C73345"/>
    <w:rsid w:val="00C73D8E"/>
    <w:rsid w:val="00C746F6"/>
    <w:rsid w:val="00C74A29"/>
    <w:rsid w:val="00C74AF3"/>
    <w:rsid w:val="00C751A0"/>
    <w:rsid w:val="00C7553C"/>
    <w:rsid w:val="00C7582E"/>
    <w:rsid w:val="00C75D26"/>
    <w:rsid w:val="00C7606B"/>
    <w:rsid w:val="00C76102"/>
    <w:rsid w:val="00C7625C"/>
    <w:rsid w:val="00C762F5"/>
    <w:rsid w:val="00C76328"/>
    <w:rsid w:val="00C7651F"/>
    <w:rsid w:val="00C768DE"/>
    <w:rsid w:val="00C769B0"/>
    <w:rsid w:val="00C76DF0"/>
    <w:rsid w:val="00C7755C"/>
    <w:rsid w:val="00C777AC"/>
    <w:rsid w:val="00C77BBF"/>
    <w:rsid w:val="00C77BDE"/>
    <w:rsid w:val="00C80067"/>
    <w:rsid w:val="00C805CF"/>
    <w:rsid w:val="00C8073A"/>
    <w:rsid w:val="00C8077D"/>
    <w:rsid w:val="00C8091B"/>
    <w:rsid w:val="00C80B39"/>
    <w:rsid w:val="00C80D43"/>
    <w:rsid w:val="00C817A5"/>
    <w:rsid w:val="00C819AF"/>
    <w:rsid w:val="00C81B10"/>
    <w:rsid w:val="00C81CD6"/>
    <w:rsid w:val="00C821A3"/>
    <w:rsid w:val="00C825C1"/>
    <w:rsid w:val="00C83458"/>
    <w:rsid w:val="00C8384D"/>
    <w:rsid w:val="00C83A04"/>
    <w:rsid w:val="00C83C2A"/>
    <w:rsid w:val="00C83D88"/>
    <w:rsid w:val="00C83F12"/>
    <w:rsid w:val="00C842DF"/>
    <w:rsid w:val="00C84A25"/>
    <w:rsid w:val="00C84C1A"/>
    <w:rsid w:val="00C851E6"/>
    <w:rsid w:val="00C853B0"/>
    <w:rsid w:val="00C85A89"/>
    <w:rsid w:val="00C85B93"/>
    <w:rsid w:val="00C85E9A"/>
    <w:rsid w:val="00C861DF"/>
    <w:rsid w:val="00C86267"/>
    <w:rsid w:val="00C8646E"/>
    <w:rsid w:val="00C86EE8"/>
    <w:rsid w:val="00C86F17"/>
    <w:rsid w:val="00C872FB"/>
    <w:rsid w:val="00C87EB8"/>
    <w:rsid w:val="00C90298"/>
    <w:rsid w:val="00C90D02"/>
    <w:rsid w:val="00C90F17"/>
    <w:rsid w:val="00C90FA6"/>
    <w:rsid w:val="00C914C4"/>
    <w:rsid w:val="00C9157C"/>
    <w:rsid w:val="00C9176B"/>
    <w:rsid w:val="00C9192C"/>
    <w:rsid w:val="00C91BCA"/>
    <w:rsid w:val="00C91F1F"/>
    <w:rsid w:val="00C91FAE"/>
    <w:rsid w:val="00C92371"/>
    <w:rsid w:val="00C925E5"/>
    <w:rsid w:val="00C9263A"/>
    <w:rsid w:val="00C92BBF"/>
    <w:rsid w:val="00C92DFD"/>
    <w:rsid w:val="00C93069"/>
    <w:rsid w:val="00C93076"/>
    <w:rsid w:val="00C9312E"/>
    <w:rsid w:val="00C9346A"/>
    <w:rsid w:val="00C93901"/>
    <w:rsid w:val="00C939C5"/>
    <w:rsid w:val="00C93D7B"/>
    <w:rsid w:val="00C9443A"/>
    <w:rsid w:val="00C94480"/>
    <w:rsid w:val="00C94963"/>
    <w:rsid w:val="00C94AE5"/>
    <w:rsid w:val="00C94D25"/>
    <w:rsid w:val="00C94D5E"/>
    <w:rsid w:val="00C94E03"/>
    <w:rsid w:val="00C95188"/>
    <w:rsid w:val="00C9567A"/>
    <w:rsid w:val="00C95E86"/>
    <w:rsid w:val="00C95F29"/>
    <w:rsid w:val="00C96456"/>
    <w:rsid w:val="00C96C27"/>
    <w:rsid w:val="00C97979"/>
    <w:rsid w:val="00C97B5F"/>
    <w:rsid w:val="00CA02D4"/>
    <w:rsid w:val="00CA03F7"/>
    <w:rsid w:val="00CA115B"/>
    <w:rsid w:val="00CA1392"/>
    <w:rsid w:val="00CA1713"/>
    <w:rsid w:val="00CA1877"/>
    <w:rsid w:val="00CA18FF"/>
    <w:rsid w:val="00CA19CA"/>
    <w:rsid w:val="00CA1CAE"/>
    <w:rsid w:val="00CA1CFC"/>
    <w:rsid w:val="00CA2398"/>
    <w:rsid w:val="00CA2443"/>
    <w:rsid w:val="00CA24E3"/>
    <w:rsid w:val="00CA2AED"/>
    <w:rsid w:val="00CA2F0C"/>
    <w:rsid w:val="00CA346B"/>
    <w:rsid w:val="00CA39F5"/>
    <w:rsid w:val="00CA3FAB"/>
    <w:rsid w:val="00CA4050"/>
    <w:rsid w:val="00CA438E"/>
    <w:rsid w:val="00CA4570"/>
    <w:rsid w:val="00CA4E81"/>
    <w:rsid w:val="00CA51DB"/>
    <w:rsid w:val="00CA594D"/>
    <w:rsid w:val="00CA5E7C"/>
    <w:rsid w:val="00CA6001"/>
    <w:rsid w:val="00CA6347"/>
    <w:rsid w:val="00CA646A"/>
    <w:rsid w:val="00CA6A7E"/>
    <w:rsid w:val="00CA6B51"/>
    <w:rsid w:val="00CA7658"/>
    <w:rsid w:val="00CA77C5"/>
    <w:rsid w:val="00CA7A77"/>
    <w:rsid w:val="00CA7D38"/>
    <w:rsid w:val="00CA7EA3"/>
    <w:rsid w:val="00CB0568"/>
    <w:rsid w:val="00CB09E7"/>
    <w:rsid w:val="00CB1367"/>
    <w:rsid w:val="00CB15BF"/>
    <w:rsid w:val="00CB1774"/>
    <w:rsid w:val="00CB1900"/>
    <w:rsid w:val="00CB1970"/>
    <w:rsid w:val="00CB1B22"/>
    <w:rsid w:val="00CB212D"/>
    <w:rsid w:val="00CB2365"/>
    <w:rsid w:val="00CB25B4"/>
    <w:rsid w:val="00CB2660"/>
    <w:rsid w:val="00CB268E"/>
    <w:rsid w:val="00CB2B44"/>
    <w:rsid w:val="00CB31EC"/>
    <w:rsid w:val="00CB33DA"/>
    <w:rsid w:val="00CB3766"/>
    <w:rsid w:val="00CB3AA7"/>
    <w:rsid w:val="00CB3D2A"/>
    <w:rsid w:val="00CB4946"/>
    <w:rsid w:val="00CB51F9"/>
    <w:rsid w:val="00CB5B57"/>
    <w:rsid w:val="00CB6563"/>
    <w:rsid w:val="00CB6914"/>
    <w:rsid w:val="00CB6A15"/>
    <w:rsid w:val="00CB6BBC"/>
    <w:rsid w:val="00CB6CDB"/>
    <w:rsid w:val="00CB6E4D"/>
    <w:rsid w:val="00CB7019"/>
    <w:rsid w:val="00CB7174"/>
    <w:rsid w:val="00CB75DC"/>
    <w:rsid w:val="00CB768E"/>
    <w:rsid w:val="00CC0526"/>
    <w:rsid w:val="00CC0C3B"/>
    <w:rsid w:val="00CC1D21"/>
    <w:rsid w:val="00CC2014"/>
    <w:rsid w:val="00CC2355"/>
    <w:rsid w:val="00CC23DD"/>
    <w:rsid w:val="00CC2479"/>
    <w:rsid w:val="00CC25EE"/>
    <w:rsid w:val="00CC2BC5"/>
    <w:rsid w:val="00CC2CE0"/>
    <w:rsid w:val="00CC2D25"/>
    <w:rsid w:val="00CC2EBF"/>
    <w:rsid w:val="00CC2FB9"/>
    <w:rsid w:val="00CC305E"/>
    <w:rsid w:val="00CC3194"/>
    <w:rsid w:val="00CC31C5"/>
    <w:rsid w:val="00CC33E4"/>
    <w:rsid w:val="00CC35BA"/>
    <w:rsid w:val="00CC40F6"/>
    <w:rsid w:val="00CC437D"/>
    <w:rsid w:val="00CC44AC"/>
    <w:rsid w:val="00CC4507"/>
    <w:rsid w:val="00CC4FB6"/>
    <w:rsid w:val="00CC4FCD"/>
    <w:rsid w:val="00CC54BA"/>
    <w:rsid w:val="00CC5619"/>
    <w:rsid w:val="00CC5A69"/>
    <w:rsid w:val="00CC5E22"/>
    <w:rsid w:val="00CC5E90"/>
    <w:rsid w:val="00CC5E9E"/>
    <w:rsid w:val="00CC6286"/>
    <w:rsid w:val="00CC62A2"/>
    <w:rsid w:val="00CC636E"/>
    <w:rsid w:val="00CC6DEA"/>
    <w:rsid w:val="00CC6EEB"/>
    <w:rsid w:val="00CC7018"/>
    <w:rsid w:val="00CC7123"/>
    <w:rsid w:val="00CC73C1"/>
    <w:rsid w:val="00CC759E"/>
    <w:rsid w:val="00CC76D2"/>
    <w:rsid w:val="00CC7B6E"/>
    <w:rsid w:val="00CC7BE0"/>
    <w:rsid w:val="00CC7D0D"/>
    <w:rsid w:val="00CD046C"/>
    <w:rsid w:val="00CD07FB"/>
    <w:rsid w:val="00CD0EA6"/>
    <w:rsid w:val="00CD1071"/>
    <w:rsid w:val="00CD1103"/>
    <w:rsid w:val="00CD186A"/>
    <w:rsid w:val="00CD1947"/>
    <w:rsid w:val="00CD1B0D"/>
    <w:rsid w:val="00CD21B3"/>
    <w:rsid w:val="00CD21DC"/>
    <w:rsid w:val="00CD241B"/>
    <w:rsid w:val="00CD2990"/>
    <w:rsid w:val="00CD2A95"/>
    <w:rsid w:val="00CD2B79"/>
    <w:rsid w:val="00CD39A2"/>
    <w:rsid w:val="00CD3E9E"/>
    <w:rsid w:val="00CD3ED6"/>
    <w:rsid w:val="00CD4108"/>
    <w:rsid w:val="00CD4338"/>
    <w:rsid w:val="00CD489C"/>
    <w:rsid w:val="00CD49CE"/>
    <w:rsid w:val="00CD4B8B"/>
    <w:rsid w:val="00CD4BA5"/>
    <w:rsid w:val="00CD4EAB"/>
    <w:rsid w:val="00CD563B"/>
    <w:rsid w:val="00CD5E89"/>
    <w:rsid w:val="00CD6484"/>
    <w:rsid w:val="00CD66CD"/>
    <w:rsid w:val="00CD6740"/>
    <w:rsid w:val="00CD6BFE"/>
    <w:rsid w:val="00CD6F85"/>
    <w:rsid w:val="00CD72F1"/>
    <w:rsid w:val="00CD7C47"/>
    <w:rsid w:val="00CE009C"/>
    <w:rsid w:val="00CE02F4"/>
    <w:rsid w:val="00CE076C"/>
    <w:rsid w:val="00CE0F5A"/>
    <w:rsid w:val="00CE17C9"/>
    <w:rsid w:val="00CE1801"/>
    <w:rsid w:val="00CE20B6"/>
    <w:rsid w:val="00CE245D"/>
    <w:rsid w:val="00CE2A89"/>
    <w:rsid w:val="00CE2FB5"/>
    <w:rsid w:val="00CE311B"/>
    <w:rsid w:val="00CE366D"/>
    <w:rsid w:val="00CE3D55"/>
    <w:rsid w:val="00CE434E"/>
    <w:rsid w:val="00CE4419"/>
    <w:rsid w:val="00CE44CE"/>
    <w:rsid w:val="00CE4A64"/>
    <w:rsid w:val="00CE5199"/>
    <w:rsid w:val="00CE5305"/>
    <w:rsid w:val="00CE547B"/>
    <w:rsid w:val="00CE59DE"/>
    <w:rsid w:val="00CE5A44"/>
    <w:rsid w:val="00CE5D46"/>
    <w:rsid w:val="00CE66D5"/>
    <w:rsid w:val="00CE672C"/>
    <w:rsid w:val="00CE6D06"/>
    <w:rsid w:val="00CE7C68"/>
    <w:rsid w:val="00CE7F4A"/>
    <w:rsid w:val="00CF012B"/>
    <w:rsid w:val="00CF02D8"/>
    <w:rsid w:val="00CF0811"/>
    <w:rsid w:val="00CF102F"/>
    <w:rsid w:val="00CF1FAC"/>
    <w:rsid w:val="00CF20C3"/>
    <w:rsid w:val="00CF2938"/>
    <w:rsid w:val="00CF29AF"/>
    <w:rsid w:val="00CF2B4C"/>
    <w:rsid w:val="00CF2D2D"/>
    <w:rsid w:val="00CF3144"/>
    <w:rsid w:val="00CF351C"/>
    <w:rsid w:val="00CF3E8C"/>
    <w:rsid w:val="00CF438A"/>
    <w:rsid w:val="00CF45D6"/>
    <w:rsid w:val="00CF4721"/>
    <w:rsid w:val="00CF4A54"/>
    <w:rsid w:val="00CF4EE8"/>
    <w:rsid w:val="00CF4F4B"/>
    <w:rsid w:val="00CF55F9"/>
    <w:rsid w:val="00CF5907"/>
    <w:rsid w:val="00CF5A20"/>
    <w:rsid w:val="00CF5B9C"/>
    <w:rsid w:val="00CF5C49"/>
    <w:rsid w:val="00CF637A"/>
    <w:rsid w:val="00CF6754"/>
    <w:rsid w:val="00CF6787"/>
    <w:rsid w:val="00CF6C35"/>
    <w:rsid w:val="00CF6DE7"/>
    <w:rsid w:val="00CF7A42"/>
    <w:rsid w:val="00CF7E17"/>
    <w:rsid w:val="00CF7EB4"/>
    <w:rsid w:val="00D0014F"/>
    <w:rsid w:val="00D00383"/>
    <w:rsid w:val="00D0086F"/>
    <w:rsid w:val="00D00928"/>
    <w:rsid w:val="00D00C12"/>
    <w:rsid w:val="00D010CF"/>
    <w:rsid w:val="00D0175B"/>
    <w:rsid w:val="00D01BBD"/>
    <w:rsid w:val="00D01FD1"/>
    <w:rsid w:val="00D02DB7"/>
    <w:rsid w:val="00D02DE7"/>
    <w:rsid w:val="00D03E7E"/>
    <w:rsid w:val="00D03F26"/>
    <w:rsid w:val="00D04259"/>
    <w:rsid w:val="00D044BD"/>
    <w:rsid w:val="00D046C4"/>
    <w:rsid w:val="00D04F27"/>
    <w:rsid w:val="00D052B4"/>
    <w:rsid w:val="00D05582"/>
    <w:rsid w:val="00D05894"/>
    <w:rsid w:val="00D059DE"/>
    <w:rsid w:val="00D05D29"/>
    <w:rsid w:val="00D062FF"/>
    <w:rsid w:val="00D0639F"/>
    <w:rsid w:val="00D063AD"/>
    <w:rsid w:val="00D066BF"/>
    <w:rsid w:val="00D068DE"/>
    <w:rsid w:val="00D0706F"/>
    <w:rsid w:val="00D071B0"/>
    <w:rsid w:val="00D07351"/>
    <w:rsid w:val="00D078F2"/>
    <w:rsid w:val="00D07CD3"/>
    <w:rsid w:val="00D10504"/>
    <w:rsid w:val="00D108E9"/>
    <w:rsid w:val="00D10E02"/>
    <w:rsid w:val="00D10E07"/>
    <w:rsid w:val="00D10F5B"/>
    <w:rsid w:val="00D115FA"/>
    <w:rsid w:val="00D1165D"/>
    <w:rsid w:val="00D11A5E"/>
    <w:rsid w:val="00D122CE"/>
    <w:rsid w:val="00D1255D"/>
    <w:rsid w:val="00D12665"/>
    <w:rsid w:val="00D1284F"/>
    <w:rsid w:val="00D12CAB"/>
    <w:rsid w:val="00D12EFE"/>
    <w:rsid w:val="00D13C2A"/>
    <w:rsid w:val="00D13D09"/>
    <w:rsid w:val="00D13FCE"/>
    <w:rsid w:val="00D1409F"/>
    <w:rsid w:val="00D149F1"/>
    <w:rsid w:val="00D14D4D"/>
    <w:rsid w:val="00D14D5F"/>
    <w:rsid w:val="00D14ECA"/>
    <w:rsid w:val="00D14F16"/>
    <w:rsid w:val="00D15325"/>
    <w:rsid w:val="00D1578E"/>
    <w:rsid w:val="00D159C3"/>
    <w:rsid w:val="00D15D15"/>
    <w:rsid w:val="00D15EC3"/>
    <w:rsid w:val="00D15F59"/>
    <w:rsid w:val="00D162A1"/>
    <w:rsid w:val="00D163F2"/>
    <w:rsid w:val="00D166BA"/>
    <w:rsid w:val="00D167D5"/>
    <w:rsid w:val="00D167FE"/>
    <w:rsid w:val="00D16870"/>
    <w:rsid w:val="00D173C6"/>
    <w:rsid w:val="00D173D2"/>
    <w:rsid w:val="00D17482"/>
    <w:rsid w:val="00D17CC0"/>
    <w:rsid w:val="00D200F6"/>
    <w:rsid w:val="00D20226"/>
    <w:rsid w:val="00D202AC"/>
    <w:rsid w:val="00D208F8"/>
    <w:rsid w:val="00D20A44"/>
    <w:rsid w:val="00D20AB9"/>
    <w:rsid w:val="00D20BD7"/>
    <w:rsid w:val="00D20D0E"/>
    <w:rsid w:val="00D20EA8"/>
    <w:rsid w:val="00D20FB9"/>
    <w:rsid w:val="00D2116F"/>
    <w:rsid w:val="00D211CE"/>
    <w:rsid w:val="00D21320"/>
    <w:rsid w:val="00D21891"/>
    <w:rsid w:val="00D21966"/>
    <w:rsid w:val="00D21A95"/>
    <w:rsid w:val="00D21D43"/>
    <w:rsid w:val="00D21F40"/>
    <w:rsid w:val="00D22010"/>
    <w:rsid w:val="00D22566"/>
    <w:rsid w:val="00D22575"/>
    <w:rsid w:val="00D225CE"/>
    <w:rsid w:val="00D226F1"/>
    <w:rsid w:val="00D2281E"/>
    <w:rsid w:val="00D22BD4"/>
    <w:rsid w:val="00D22E8A"/>
    <w:rsid w:val="00D2333E"/>
    <w:rsid w:val="00D2360B"/>
    <w:rsid w:val="00D236A7"/>
    <w:rsid w:val="00D2399B"/>
    <w:rsid w:val="00D239AA"/>
    <w:rsid w:val="00D239E9"/>
    <w:rsid w:val="00D23A87"/>
    <w:rsid w:val="00D248F7"/>
    <w:rsid w:val="00D24A7F"/>
    <w:rsid w:val="00D24ED7"/>
    <w:rsid w:val="00D24EFB"/>
    <w:rsid w:val="00D251F2"/>
    <w:rsid w:val="00D25974"/>
    <w:rsid w:val="00D25DA5"/>
    <w:rsid w:val="00D25E53"/>
    <w:rsid w:val="00D26301"/>
    <w:rsid w:val="00D2631B"/>
    <w:rsid w:val="00D26A84"/>
    <w:rsid w:val="00D26D2F"/>
    <w:rsid w:val="00D27665"/>
    <w:rsid w:val="00D27700"/>
    <w:rsid w:val="00D279B7"/>
    <w:rsid w:val="00D27B53"/>
    <w:rsid w:val="00D27B82"/>
    <w:rsid w:val="00D306D1"/>
    <w:rsid w:val="00D306F3"/>
    <w:rsid w:val="00D308F8"/>
    <w:rsid w:val="00D30DD0"/>
    <w:rsid w:val="00D315FA"/>
    <w:rsid w:val="00D31642"/>
    <w:rsid w:val="00D31674"/>
    <w:rsid w:val="00D31F3C"/>
    <w:rsid w:val="00D32002"/>
    <w:rsid w:val="00D32082"/>
    <w:rsid w:val="00D324B3"/>
    <w:rsid w:val="00D329C8"/>
    <w:rsid w:val="00D33614"/>
    <w:rsid w:val="00D33852"/>
    <w:rsid w:val="00D33903"/>
    <w:rsid w:val="00D33AF6"/>
    <w:rsid w:val="00D33E17"/>
    <w:rsid w:val="00D34291"/>
    <w:rsid w:val="00D343B8"/>
    <w:rsid w:val="00D345DE"/>
    <w:rsid w:val="00D34786"/>
    <w:rsid w:val="00D34BE9"/>
    <w:rsid w:val="00D34C63"/>
    <w:rsid w:val="00D34CA0"/>
    <w:rsid w:val="00D34E8F"/>
    <w:rsid w:val="00D34EC4"/>
    <w:rsid w:val="00D35829"/>
    <w:rsid w:val="00D35966"/>
    <w:rsid w:val="00D35BD0"/>
    <w:rsid w:val="00D35F36"/>
    <w:rsid w:val="00D35F98"/>
    <w:rsid w:val="00D363CB"/>
    <w:rsid w:val="00D367BC"/>
    <w:rsid w:val="00D3681A"/>
    <w:rsid w:val="00D3682C"/>
    <w:rsid w:val="00D36DC7"/>
    <w:rsid w:val="00D3710A"/>
    <w:rsid w:val="00D373F6"/>
    <w:rsid w:val="00D37B53"/>
    <w:rsid w:val="00D37DDB"/>
    <w:rsid w:val="00D40168"/>
    <w:rsid w:val="00D4075D"/>
    <w:rsid w:val="00D409A3"/>
    <w:rsid w:val="00D4163E"/>
    <w:rsid w:val="00D41BBF"/>
    <w:rsid w:val="00D41DC9"/>
    <w:rsid w:val="00D42D8E"/>
    <w:rsid w:val="00D43262"/>
    <w:rsid w:val="00D43835"/>
    <w:rsid w:val="00D43A4E"/>
    <w:rsid w:val="00D43F6C"/>
    <w:rsid w:val="00D44154"/>
    <w:rsid w:val="00D44D1C"/>
    <w:rsid w:val="00D45354"/>
    <w:rsid w:val="00D455DD"/>
    <w:rsid w:val="00D45802"/>
    <w:rsid w:val="00D46036"/>
    <w:rsid w:val="00D4610B"/>
    <w:rsid w:val="00D46263"/>
    <w:rsid w:val="00D4628A"/>
    <w:rsid w:val="00D46970"/>
    <w:rsid w:val="00D46A1F"/>
    <w:rsid w:val="00D46B2C"/>
    <w:rsid w:val="00D46CEA"/>
    <w:rsid w:val="00D46EBE"/>
    <w:rsid w:val="00D471E9"/>
    <w:rsid w:val="00D47537"/>
    <w:rsid w:val="00D47A8E"/>
    <w:rsid w:val="00D47E7A"/>
    <w:rsid w:val="00D5022E"/>
    <w:rsid w:val="00D506C4"/>
    <w:rsid w:val="00D50CF0"/>
    <w:rsid w:val="00D50D9E"/>
    <w:rsid w:val="00D50E69"/>
    <w:rsid w:val="00D50F26"/>
    <w:rsid w:val="00D51633"/>
    <w:rsid w:val="00D51F61"/>
    <w:rsid w:val="00D524E7"/>
    <w:rsid w:val="00D52D14"/>
    <w:rsid w:val="00D52D7B"/>
    <w:rsid w:val="00D52EDC"/>
    <w:rsid w:val="00D52F9C"/>
    <w:rsid w:val="00D531E3"/>
    <w:rsid w:val="00D532F7"/>
    <w:rsid w:val="00D538AD"/>
    <w:rsid w:val="00D5390E"/>
    <w:rsid w:val="00D53D62"/>
    <w:rsid w:val="00D54019"/>
    <w:rsid w:val="00D543A9"/>
    <w:rsid w:val="00D5477A"/>
    <w:rsid w:val="00D550AF"/>
    <w:rsid w:val="00D5519A"/>
    <w:rsid w:val="00D553E1"/>
    <w:rsid w:val="00D55A37"/>
    <w:rsid w:val="00D562DC"/>
    <w:rsid w:val="00D5671A"/>
    <w:rsid w:val="00D57276"/>
    <w:rsid w:val="00D5747F"/>
    <w:rsid w:val="00D57732"/>
    <w:rsid w:val="00D57E70"/>
    <w:rsid w:val="00D6022F"/>
    <w:rsid w:val="00D60299"/>
    <w:rsid w:val="00D603D4"/>
    <w:rsid w:val="00D607FA"/>
    <w:rsid w:val="00D60B67"/>
    <w:rsid w:val="00D60CA1"/>
    <w:rsid w:val="00D60EF9"/>
    <w:rsid w:val="00D60F3A"/>
    <w:rsid w:val="00D612F9"/>
    <w:rsid w:val="00D616FB"/>
    <w:rsid w:val="00D61CF7"/>
    <w:rsid w:val="00D6214E"/>
    <w:rsid w:val="00D62D3D"/>
    <w:rsid w:val="00D62EE3"/>
    <w:rsid w:val="00D6322D"/>
    <w:rsid w:val="00D63D41"/>
    <w:rsid w:val="00D63EBC"/>
    <w:rsid w:val="00D6401D"/>
    <w:rsid w:val="00D64185"/>
    <w:rsid w:val="00D64A85"/>
    <w:rsid w:val="00D652B5"/>
    <w:rsid w:val="00D65495"/>
    <w:rsid w:val="00D65F09"/>
    <w:rsid w:val="00D65F25"/>
    <w:rsid w:val="00D661BB"/>
    <w:rsid w:val="00D66395"/>
    <w:rsid w:val="00D66426"/>
    <w:rsid w:val="00D664FC"/>
    <w:rsid w:val="00D66A14"/>
    <w:rsid w:val="00D66B72"/>
    <w:rsid w:val="00D67780"/>
    <w:rsid w:val="00D67CC4"/>
    <w:rsid w:val="00D70810"/>
    <w:rsid w:val="00D712D3"/>
    <w:rsid w:val="00D71422"/>
    <w:rsid w:val="00D7151E"/>
    <w:rsid w:val="00D71A72"/>
    <w:rsid w:val="00D724ED"/>
    <w:rsid w:val="00D7257D"/>
    <w:rsid w:val="00D72582"/>
    <w:rsid w:val="00D72716"/>
    <w:rsid w:val="00D72DC6"/>
    <w:rsid w:val="00D7337D"/>
    <w:rsid w:val="00D73420"/>
    <w:rsid w:val="00D735F6"/>
    <w:rsid w:val="00D737C1"/>
    <w:rsid w:val="00D7451B"/>
    <w:rsid w:val="00D74BA2"/>
    <w:rsid w:val="00D74D79"/>
    <w:rsid w:val="00D7519B"/>
    <w:rsid w:val="00D752E8"/>
    <w:rsid w:val="00D7558D"/>
    <w:rsid w:val="00D758B9"/>
    <w:rsid w:val="00D75997"/>
    <w:rsid w:val="00D75E0D"/>
    <w:rsid w:val="00D7603D"/>
    <w:rsid w:val="00D7609D"/>
    <w:rsid w:val="00D76222"/>
    <w:rsid w:val="00D76409"/>
    <w:rsid w:val="00D766FF"/>
    <w:rsid w:val="00D7682C"/>
    <w:rsid w:val="00D7684D"/>
    <w:rsid w:val="00D76B90"/>
    <w:rsid w:val="00D77087"/>
    <w:rsid w:val="00D7724D"/>
    <w:rsid w:val="00D77E3E"/>
    <w:rsid w:val="00D80196"/>
    <w:rsid w:val="00D80B10"/>
    <w:rsid w:val="00D80BAC"/>
    <w:rsid w:val="00D810A9"/>
    <w:rsid w:val="00D810EB"/>
    <w:rsid w:val="00D811FC"/>
    <w:rsid w:val="00D81280"/>
    <w:rsid w:val="00D812CF"/>
    <w:rsid w:val="00D81D92"/>
    <w:rsid w:val="00D81DB1"/>
    <w:rsid w:val="00D8270C"/>
    <w:rsid w:val="00D828B3"/>
    <w:rsid w:val="00D82C41"/>
    <w:rsid w:val="00D82F90"/>
    <w:rsid w:val="00D832DD"/>
    <w:rsid w:val="00D83493"/>
    <w:rsid w:val="00D834FD"/>
    <w:rsid w:val="00D83533"/>
    <w:rsid w:val="00D84457"/>
    <w:rsid w:val="00D8456A"/>
    <w:rsid w:val="00D8460F"/>
    <w:rsid w:val="00D84B05"/>
    <w:rsid w:val="00D84F1F"/>
    <w:rsid w:val="00D85115"/>
    <w:rsid w:val="00D858B7"/>
    <w:rsid w:val="00D85BCD"/>
    <w:rsid w:val="00D85D3C"/>
    <w:rsid w:val="00D85EAB"/>
    <w:rsid w:val="00D85EF7"/>
    <w:rsid w:val="00D860DF"/>
    <w:rsid w:val="00D86424"/>
    <w:rsid w:val="00D86479"/>
    <w:rsid w:val="00D868E2"/>
    <w:rsid w:val="00D86926"/>
    <w:rsid w:val="00D86B6A"/>
    <w:rsid w:val="00D86C32"/>
    <w:rsid w:val="00D86C80"/>
    <w:rsid w:val="00D871DD"/>
    <w:rsid w:val="00D87369"/>
    <w:rsid w:val="00D8739D"/>
    <w:rsid w:val="00D873CB"/>
    <w:rsid w:val="00D878B9"/>
    <w:rsid w:val="00D87BF1"/>
    <w:rsid w:val="00D900B7"/>
    <w:rsid w:val="00D90284"/>
    <w:rsid w:val="00D906FD"/>
    <w:rsid w:val="00D90CDF"/>
    <w:rsid w:val="00D91193"/>
    <w:rsid w:val="00D91266"/>
    <w:rsid w:val="00D917CF"/>
    <w:rsid w:val="00D91882"/>
    <w:rsid w:val="00D91BCE"/>
    <w:rsid w:val="00D91DF1"/>
    <w:rsid w:val="00D91F0B"/>
    <w:rsid w:val="00D9245F"/>
    <w:rsid w:val="00D92701"/>
    <w:rsid w:val="00D927A3"/>
    <w:rsid w:val="00D928B6"/>
    <w:rsid w:val="00D9291F"/>
    <w:rsid w:val="00D92961"/>
    <w:rsid w:val="00D92C49"/>
    <w:rsid w:val="00D92CC8"/>
    <w:rsid w:val="00D9324C"/>
    <w:rsid w:val="00D938BF"/>
    <w:rsid w:val="00D93A78"/>
    <w:rsid w:val="00D9413C"/>
    <w:rsid w:val="00D94765"/>
    <w:rsid w:val="00D9479F"/>
    <w:rsid w:val="00D94887"/>
    <w:rsid w:val="00D94A3B"/>
    <w:rsid w:val="00D94CF2"/>
    <w:rsid w:val="00D95628"/>
    <w:rsid w:val="00D956C3"/>
    <w:rsid w:val="00D957DD"/>
    <w:rsid w:val="00D95A66"/>
    <w:rsid w:val="00D95CAC"/>
    <w:rsid w:val="00D96050"/>
    <w:rsid w:val="00D961AB"/>
    <w:rsid w:val="00D967D0"/>
    <w:rsid w:val="00D96E10"/>
    <w:rsid w:val="00D9739F"/>
    <w:rsid w:val="00D97446"/>
    <w:rsid w:val="00D974F6"/>
    <w:rsid w:val="00D9757F"/>
    <w:rsid w:val="00D9763D"/>
    <w:rsid w:val="00D9793C"/>
    <w:rsid w:val="00D97B6E"/>
    <w:rsid w:val="00DA022A"/>
    <w:rsid w:val="00DA05DA"/>
    <w:rsid w:val="00DA080E"/>
    <w:rsid w:val="00DA0ACA"/>
    <w:rsid w:val="00DA0B90"/>
    <w:rsid w:val="00DA0CA3"/>
    <w:rsid w:val="00DA0CF1"/>
    <w:rsid w:val="00DA11C9"/>
    <w:rsid w:val="00DA138B"/>
    <w:rsid w:val="00DA14C8"/>
    <w:rsid w:val="00DA14E2"/>
    <w:rsid w:val="00DA1993"/>
    <w:rsid w:val="00DA1CA7"/>
    <w:rsid w:val="00DA2039"/>
    <w:rsid w:val="00DA2351"/>
    <w:rsid w:val="00DA2675"/>
    <w:rsid w:val="00DA2C92"/>
    <w:rsid w:val="00DA326B"/>
    <w:rsid w:val="00DA380D"/>
    <w:rsid w:val="00DA4062"/>
    <w:rsid w:val="00DA4372"/>
    <w:rsid w:val="00DA451E"/>
    <w:rsid w:val="00DA4592"/>
    <w:rsid w:val="00DA4E47"/>
    <w:rsid w:val="00DA59AB"/>
    <w:rsid w:val="00DA5FD7"/>
    <w:rsid w:val="00DA6D54"/>
    <w:rsid w:val="00DA7111"/>
    <w:rsid w:val="00DA7B5F"/>
    <w:rsid w:val="00DA7BF2"/>
    <w:rsid w:val="00DA7EE8"/>
    <w:rsid w:val="00DB00A0"/>
    <w:rsid w:val="00DB0A25"/>
    <w:rsid w:val="00DB0D85"/>
    <w:rsid w:val="00DB11C3"/>
    <w:rsid w:val="00DB1255"/>
    <w:rsid w:val="00DB1335"/>
    <w:rsid w:val="00DB13F3"/>
    <w:rsid w:val="00DB1657"/>
    <w:rsid w:val="00DB1767"/>
    <w:rsid w:val="00DB1843"/>
    <w:rsid w:val="00DB22F3"/>
    <w:rsid w:val="00DB2856"/>
    <w:rsid w:val="00DB32E8"/>
    <w:rsid w:val="00DB330D"/>
    <w:rsid w:val="00DB3618"/>
    <w:rsid w:val="00DB397C"/>
    <w:rsid w:val="00DB4292"/>
    <w:rsid w:val="00DB50A5"/>
    <w:rsid w:val="00DB567E"/>
    <w:rsid w:val="00DB5A76"/>
    <w:rsid w:val="00DB5BF0"/>
    <w:rsid w:val="00DB5C1D"/>
    <w:rsid w:val="00DB69E7"/>
    <w:rsid w:val="00DB6BC5"/>
    <w:rsid w:val="00DB6CA2"/>
    <w:rsid w:val="00DB6DCC"/>
    <w:rsid w:val="00DB7AEB"/>
    <w:rsid w:val="00DB7BC2"/>
    <w:rsid w:val="00DC0183"/>
    <w:rsid w:val="00DC01D2"/>
    <w:rsid w:val="00DC0482"/>
    <w:rsid w:val="00DC0551"/>
    <w:rsid w:val="00DC0767"/>
    <w:rsid w:val="00DC0D80"/>
    <w:rsid w:val="00DC11E7"/>
    <w:rsid w:val="00DC140D"/>
    <w:rsid w:val="00DC166C"/>
    <w:rsid w:val="00DC176B"/>
    <w:rsid w:val="00DC1A2E"/>
    <w:rsid w:val="00DC1C8A"/>
    <w:rsid w:val="00DC1D18"/>
    <w:rsid w:val="00DC1E9C"/>
    <w:rsid w:val="00DC2B87"/>
    <w:rsid w:val="00DC337C"/>
    <w:rsid w:val="00DC3981"/>
    <w:rsid w:val="00DC3B33"/>
    <w:rsid w:val="00DC4351"/>
    <w:rsid w:val="00DC435F"/>
    <w:rsid w:val="00DC499C"/>
    <w:rsid w:val="00DC4DB4"/>
    <w:rsid w:val="00DC51DD"/>
    <w:rsid w:val="00DC51F6"/>
    <w:rsid w:val="00DC5C29"/>
    <w:rsid w:val="00DC6095"/>
    <w:rsid w:val="00DC61EE"/>
    <w:rsid w:val="00DC672D"/>
    <w:rsid w:val="00DC6783"/>
    <w:rsid w:val="00DC67B2"/>
    <w:rsid w:val="00DC6B69"/>
    <w:rsid w:val="00DC6E50"/>
    <w:rsid w:val="00DC6F0A"/>
    <w:rsid w:val="00DC6F6C"/>
    <w:rsid w:val="00DC6F7C"/>
    <w:rsid w:val="00DC7023"/>
    <w:rsid w:val="00DC74E5"/>
    <w:rsid w:val="00DC769A"/>
    <w:rsid w:val="00DC7D22"/>
    <w:rsid w:val="00DC7E66"/>
    <w:rsid w:val="00DD063E"/>
    <w:rsid w:val="00DD0888"/>
    <w:rsid w:val="00DD0BBA"/>
    <w:rsid w:val="00DD0E82"/>
    <w:rsid w:val="00DD1443"/>
    <w:rsid w:val="00DD147B"/>
    <w:rsid w:val="00DD1C33"/>
    <w:rsid w:val="00DD2142"/>
    <w:rsid w:val="00DD24ED"/>
    <w:rsid w:val="00DD256F"/>
    <w:rsid w:val="00DD298A"/>
    <w:rsid w:val="00DD31F9"/>
    <w:rsid w:val="00DD3BC4"/>
    <w:rsid w:val="00DD3D86"/>
    <w:rsid w:val="00DD3E65"/>
    <w:rsid w:val="00DD410F"/>
    <w:rsid w:val="00DD4712"/>
    <w:rsid w:val="00DD49CF"/>
    <w:rsid w:val="00DD4C4D"/>
    <w:rsid w:val="00DD4D63"/>
    <w:rsid w:val="00DD515F"/>
    <w:rsid w:val="00DD5B44"/>
    <w:rsid w:val="00DD5BBB"/>
    <w:rsid w:val="00DD65CF"/>
    <w:rsid w:val="00DD684B"/>
    <w:rsid w:val="00DD6D14"/>
    <w:rsid w:val="00DD6D40"/>
    <w:rsid w:val="00DD6D92"/>
    <w:rsid w:val="00DD6F74"/>
    <w:rsid w:val="00DD70A5"/>
    <w:rsid w:val="00DD70D2"/>
    <w:rsid w:val="00DD73F4"/>
    <w:rsid w:val="00DE02F3"/>
    <w:rsid w:val="00DE0367"/>
    <w:rsid w:val="00DE07D2"/>
    <w:rsid w:val="00DE07E4"/>
    <w:rsid w:val="00DE09A1"/>
    <w:rsid w:val="00DE09A5"/>
    <w:rsid w:val="00DE0A59"/>
    <w:rsid w:val="00DE0DF1"/>
    <w:rsid w:val="00DE1353"/>
    <w:rsid w:val="00DE21FB"/>
    <w:rsid w:val="00DE2229"/>
    <w:rsid w:val="00DE2387"/>
    <w:rsid w:val="00DE26A0"/>
    <w:rsid w:val="00DE2805"/>
    <w:rsid w:val="00DE2A16"/>
    <w:rsid w:val="00DE2B9E"/>
    <w:rsid w:val="00DE2DCE"/>
    <w:rsid w:val="00DE2FE5"/>
    <w:rsid w:val="00DE30FA"/>
    <w:rsid w:val="00DE449B"/>
    <w:rsid w:val="00DE488D"/>
    <w:rsid w:val="00DE4C67"/>
    <w:rsid w:val="00DE4D69"/>
    <w:rsid w:val="00DE4EC3"/>
    <w:rsid w:val="00DE56F7"/>
    <w:rsid w:val="00DE610F"/>
    <w:rsid w:val="00DE6CA6"/>
    <w:rsid w:val="00DE6E4D"/>
    <w:rsid w:val="00DE70AC"/>
    <w:rsid w:val="00DE710B"/>
    <w:rsid w:val="00DE7267"/>
    <w:rsid w:val="00DE792A"/>
    <w:rsid w:val="00DF01D3"/>
    <w:rsid w:val="00DF087C"/>
    <w:rsid w:val="00DF0C1C"/>
    <w:rsid w:val="00DF0C68"/>
    <w:rsid w:val="00DF0D34"/>
    <w:rsid w:val="00DF0F2C"/>
    <w:rsid w:val="00DF0FC5"/>
    <w:rsid w:val="00DF1593"/>
    <w:rsid w:val="00DF19E4"/>
    <w:rsid w:val="00DF1B4B"/>
    <w:rsid w:val="00DF1BCE"/>
    <w:rsid w:val="00DF203B"/>
    <w:rsid w:val="00DF22C9"/>
    <w:rsid w:val="00DF26AA"/>
    <w:rsid w:val="00DF2C04"/>
    <w:rsid w:val="00DF2CDA"/>
    <w:rsid w:val="00DF2D7E"/>
    <w:rsid w:val="00DF36A5"/>
    <w:rsid w:val="00DF3BCF"/>
    <w:rsid w:val="00DF41C7"/>
    <w:rsid w:val="00DF4976"/>
    <w:rsid w:val="00DF4BDC"/>
    <w:rsid w:val="00DF4DC3"/>
    <w:rsid w:val="00DF4E8E"/>
    <w:rsid w:val="00DF4FA5"/>
    <w:rsid w:val="00DF51BD"/>
    <w:rsid w:val="00DF54E8"/>
    <w:rsid w:val="00DF5598"/>
    <w:rsid w:val="00DF5814"/>
    <w:rsid w:val="00DF584F"/>
    <w:rsid w:val="00DF5E7D"/>
    <w:rsid w:val="00DF6137"/>
    <w:rsid w:val="00DF640C"/>
    <w:rsid w:val="00DF6541"/>
    <w:rsid w:val="00DF6D65"/>
    <w:rsid w:val="00DF6EE0"/>
    <w:rsid w:val="00DF7034"/>
    <w:rsid w:val="00DF7740"/>
    <w:rsid w:val="00DF7ADF"/>
    <w:rsid w:val="00E0018F"/>
    <w:rsid w:val="00E00575"/>
    <w:rsid w:val="00E007B6"/>
    <w:rsid w:val="00E00943"/>
    <w:rsid w:val="00E00AA0"/>
    <w:rsid w:val="00E00BED"/>
    <w:rsid w:val="00E00E8B"/>
    <w:rsid w:val="00E015A1"/>
    <w:rsid w:val="00E01699"/>
    <w:rsid w:val="00E01F68"/>
    <w:rsid w:val="00E0225F"/>
    <w:rsid w:val="00E0238B"/>
    <w:rsid w:val="00E025B6"/>
    <w:rsid w:val="00E02D81"/>
    <w:rsid w:val="00E02F88"/>
    <w:rsid w:val="00E0340B"/>
    <w:rsid w:val="00E03501"/>
    <w:rsid w:val="00E03579"/>
    <w:rsid w:val="00E03899"/>
    <w:rsid w:val="00E03C99"/>
    <w:rsid w:val="00E03D10"/>
    <w:rsid w:val="00E0434E"/>
    <w:rsid w:val="00E04626"/>
    <w:rsid w:val="00E04B90"/>
    <w:rsid w:val="00E050D2"/>
    <w:rsid w:val="00E05117"/>
    <w:rsid w:val="00E05283"/>
    <w:rsid w:val="00E0542D"/>
    <w:rsid w:val="00E054BE"/>
    <w:rsid w:val="00E05590"/>
    <w:rsid w:val="00E05839"/>
    <w:rsid w:val="00E05963"/>
    <w:rsid w:val="00E05DD4"/>
    <w:rsid w:val="00E06482"/>
    <w:rsid w:val="00E06900"/>
    <w:rsid w:val="00E06907"/>
    <w:rsid w:val="00E07283"/>
    <w:rsid w:val="00E073AA"/>
    <w:rsid w:val="00E07432"/>
    <w:rsid w:val="00E07651"/>
    <w:rsid w:val="00E07921"/>
    <w:rsid w:val="00E07A00"/>
    <w:rsid w:val="00E07BDD"/>
    <w:rsid w:val="00E07C8F"/>
    <w:rsid w:val="00E07E9F"/>
    <w:rsid w:val="00E07F44"/>
    <w:rsid w:val="00E07FFB"/>
    <w:rsid w:val="00E100AC"/>
    <w:rsid w:val="00E100F6"/>
    <w:rsid w:val="00E10211"/>
    <w:rsid w:val="00E10B87"/>
    <w:rsid w:val="00E11263"/>
    <w:rsid w:val="00E113FD"/>
    <w:rsid w:val="00E11C7C"/>
    <w:rsid w:val="00E11EFC"/>
    <w:rsid w:val="00E12008"/>
    <w:rsid w:val="00E121A5"/>
    <w:rsid w:val="00E129DA"/>
    <w:rsid w:val="00E12D6E"/>
    <w:rsid w:val="00E12FA4"/>
    <w:rsid w:val="00E132E4"/>
    <w:rsid w:val="00E1365D"/>
    <w:rsid w:val="00E137B9"/>
    <w:rsid w:val="00E138C0"/>
    <w:rsid w:val="00E13D83"/>
    <w:rsid w:val="00E13F34"/>
    <w:rsid w:val="00E140CF"/>
    <w:rsid w:val="00E14556"/>
    <w:rsid w:val="00E14A07"/>
    <w:rsid w:val="00E14F9B"/>
    <w:rsid w:val="00E15089"/>
    <w:rsid w:val="00E150F2"/>
    <w:rsid w:val="00E15153"/>
    <w:rsid w:val="00E1541F"/>
    <w:rsid w:val="00E15E74"/>
    <w:rsid w:val="00E15FC7"/>
    <w:rsid w:val="00E161B6"/>
    <w:rsid w:val="00E166A0"/>
    <w:rsid w:val="00E168F4"/>
    <w:rsid w:val="00E16A50"/>
    <w:rsid w:val="00E16C4B"/>
    <w:rsid w:val="00E16D17"/>
    <w:rsid w:val="00E177FA"/>
    <w:rsid w:val="00E17B93"/>
    <w:rsid w:val="00E20589"/>
    <w:rsid w:val="00E206A7"/>
    <w:rsid w:val="00E2087C"/>
    <w:rsid w:val="00E209A8"/>
    <w:rsid w:val="00E20E99"/>
    <w:rsid w:val="00E20EBA"/>
    <w:rsid w:val="00E21558"/>
    <w:rsid w:val="00E2197C"/>
    <w:rsid w:val="00E219C7"/>
    <w:rsid w:val="00E21F0D"/>
    <w:rsid w:val="00E2257A"/>
    <w:rsid w:val="00E2265D"/>
    <w:rsid w:val="00E226AD"/>
    <w:rsid w:val="00E2291A"/>
    <w:rsid w:val="00E22AFB"/>
    <w:rsid w:val="00E22ED3"/>
    <w:rsid w:val="00E22FD5"/>
    <w:rsid w:val="00E2332B"/>
    <w:rsid w:val="00E236F6"/>
    <w:rsid w:val="00E239AD"/>
    <w:rsid w:val="00E23E3D"/>
    <w:rsid w:val="00E23EAA"/>
    <w:rsid w:val="00E23FC1"/>
    <w:rsid w:val="00E24905"/>
    <w:rsid w:val="00E24A7E"/>
    <w:rsid w:val="00E24E60"/>
    <w:rsid w:val="00E25B14"/>
    <w:rsid w:val="00E26C3D"/>
    <w:rsid w:val="00E2717A"/>
    <w:rsid w:val="00E27212"/>
    <w:rsid w:val="00E27C22"/>
    <w:rsid w:val="00E27E1F"/>
    <w:rsid w:val="00E30410"/>
    <w:rsid w:val="00E30427"/>
    <w:rsid w:val="00E30B11"/>
    <w:rsid w:val="00E30B8F"/>
    <w:rsid w:val="00E30BF1"/>
    <w:rsid w:val="00E31199"/>
    <w:rsid w:val="00E3130F"/>
    <w:rsid w:val="00E31324"/>
    <w:rsid w:val="00E3162A"/>
    <w:rsid w:val="00E31AA3"/>
    <w:rsid w:val="00E3229C"/>
    <w:rsid w:val="00E3262D"/>
    <w:rsid w:val="00E3282D"/>
    <w:rsid w:val="00E32DDF"/>
    <w:rsid w:val="00E32E6B"/>
    <w:rsid w:val="00E32FB8"/>
    <w:rsid w:val="00E334EE"/>
    <w:rsid w:val="00E346B5"/>
    <w:rsid w:val="00E347E0"/>
    <w:rsid w:val="00E34862"/>
    <w:rsid w:val="00E34B4D"/>
    <w:rsid w:val="00E34B77"/>
    <w:rsid w:val="00E34E0F"/>
    <w:rsid w:val="00E34F06"/>
    <w:rsid w:val="00E34F67"/>
    <w:rsid w:val="00E34F86"/>
    <w:rsid w:val="00E35456"/>
    <w:rsid w:val="00E35520"/>
    <w:rsid w:val="00E3569E"/>
    <w:rsid w:val="00E35C6A"/>
    <w:rsid w:val="00E35E2A"/>
    <w:rsid w:val="00E36321"/>
    <w:rsid w:val="00E3643F"/>
    <w:rsid w:val="00E36709"/>
    <w:rsid w:val="00E36EA1"/>
    <w:rsid w:val="00E36EA9"/>
    <w:rsid w:val="00E36EFF"/>
    <w:rsid w:val="00E3711F"/>
    <w:rsid w:val="00E375F7"/>
    <w:rsid w:val="00E379FB"/>
    <w:rsid w:val="00E40449"/>
    <w:rsid w:val="00E404DA"/>
    <w:rsid w:val="00E40DDD"/>
    <w:rsid w:val="00E40EAA"/>
    <w:rsid w:val="00E41873"/>
    <w:rsid w:val="00E41A17"/>
    <w:rsid w:val="00E41AE4"/>
    <w:rsid w:val="00E41D6E"/>
    <w:rsid w:val="00E424EB"/>
    <w:rsid w:val="00E429E1"/>
    <w:rsid w:val="00E42BC5"/>
    <w:rsid w:val="00E42C57"/>
    <w:rsid w:val="00E42DC6"/>
    <w:rsid w:val="00E43157"/>
    <w:rsid w:val="00E43391"/>
    <w:rsid w:val="00E43532"/>
    <w:rsid w:val="00E43C7E"/>
    <w:rsid w:val="00E442BF"/>
    <w:rsid w:val="00E443D8"/>
    <w:rsid w:val="00E44507"/>
    <w:rsid w:val="00E4495D"/>
    <w:rsid w:val="00E44A08"/>
    <w:rsid w:val="00E44A40"/>
    <w:rsid w:val="00E44F1B"/>
    <w:rsid w:val="00E44FB5"/>
    <w:rsid w:val="00E4564E"/>
    <w:rsid w:val="00E45D84"/>
    <w:rsid w:val="00E45E4A"/>
    <w:rsid w:val="00E461B1"/>
    <w:rsid w:val="00E461CE"/>
    <w:rsid w:val="00E4688F"/>
    <w:rsid w:val="00E47085"/>
    <w:rsid w:val="00E47274"/>
    <w:rsid w:val="00E4756C"/>
    <w:rsid w:val="00E475CB"/>
    <w:rsid w:val="00E5027C"/>
    <w:rsid w:val="00E503F9"/>
    <w:rsid w:val="00E508BF"/>
    <w:rsid w:val="00E508DA"/>
    <w:rsid w:val="00E50985"/>
    <w:rsid w:val="00E5098A"/>
    <w:rsid w:val="00E509AD"/>
    <w:rsid w:val="00E50ACD"/>
    <w:rsid w:val="00E5125E"/>
    <w:rsid w:val="00E5178A"/>
    <w:rsid w:val="00E5183E"/>
    <w:rsid w:val="00E52120"/>
    <w:rsid w:val="00E52778"/>
    <w:rsid w:val="00E52B0D"/>
    <w:rsid w:val="00E531A1"/>
    <w:rsid w:val="00E532BF"/>
    <w:rsid w:val="00E53475"/>
    <w:rsid w:val="00E53522"/>
    <w:rsid w:val="00E54667"/>
    <w:rsid w:val="00E5476A"/>
    <w:rsid w:val="00E549E8"/>
    <w:rsid w:val="00E555A6"/>
    <w:rsid w:val="00E55C9B"/>
    <w:rsid w:val="00E56133"/>
    <w:rsid w:val="00E56AA3"/>
    <w:rsid w:val="00E5716B"/>
    <w:rsid w:val="00E571A2"/>
    <w:rsid w:val="00E576E9"/>
    <w:rsid w:val="00E57951"/>
    <w:rsid w:val="00E57D93"/>
    <w:rsid w:val="00E6041E"/>
    <w:rsid w:val="00E6079F"/>
    <w:rsid w:val="00E60984"/>
    <w:rsid w:val="00E60DCD"/>
    <w:rsid w:val="00E611C5"/>
    <w:rsid w:val="00E6134B"/>
    <w:rsid w:val="00E6166A"/>
    <w:rsid w:val="00E61AF4"/>
    <w:rsid w:val="00E620D3"/>
    <w:rsid w:val="00E625E8"/>
    <w:rsid w:val="00E626A4"/>
    <w:rsid w:val="00E6318B"/>
    <w:rsid w:val="00E632A1"/>
    <w:rsid w:val="00E6377D"/>
    <w:rsid w:val="00E638E9"/>
    <w:rsid w:val="00E63F00"/>
    <w:rsid w:val="00E64439"/>
    <w:rsid w:val="00E64C50"/>
    <w:rsid w:val="00E64E6F"/>
    <w:rsid w:val="00E64F6D"/>
    <w:rsid w:val="00E6503F"/>
    <w:rsid w:val="00E65121"/>
    <w:rsid w:val="00E6521A"/>
    <w:rsid w:val="00E65231"/>
    <w:rsid w:val="00E65686"/>
    <w:rsid w:val="00E6583F"/>
    <w:rsid w:val="00E65D77"/>
    <w:rsid w:val="00E65EEA"/>
    <w:rsid w:val="00E66059"/>
    <w:rsid w:val="00E6608B"/>
    <w:rsid w:val="00E66142"/>
    <w:rsid w:val="00E671D9"/>
    <w:rsid w:val="00E6751B"/>
    <w:rsid w:val="00E67D4F"/>
    <w:rsid w:val="00E67FE0"/>
    <w:rsid w:val="00E7071E"/>
    <w:rsid w:val="00E7107C"/>
    <w:rsid w:val="00E7153A"/>
    <w:rsid w:val="00E7199C"/>
    <w:rsid w:val="00E71AC7"/>
    <w:rsid w:val="00E720CA"/>
    <w:rsid w:val="00E722E2"/>
    <w:rsid w:val="00E72705"/>
    <w:rsid w:val="00E72BF4"/>
    <w:rsid w:val="00E73324"/>
    <w:rsid w:val="00E73AE6"/>
    <w:rsid w:val="00E73DA2"/>
    <w:rsid w:val="00E73F34"/>
    <w:rsid w:val="00E741A4"/>
    <w:rsid w:val="00E741C9"/>
    <w:rsid w:val="00E74444"/>
    <w:rsid w:val="00E746DB"/>
    <w:rsid w:val="00E74DC8"/>
    <w:rsid w:val="00E751DA"/>
    <w:rsid w:val="00E752DD"/>
    <w:rsid w:val="00E75431"/>
    <w:rsid w:val="00E75A4B"/>
    <w:rsid w:val="00E75C30"/>
    <w:rsid w:val="00E76156"/>
    <w:rsid w:val="00E761D6"/>
    <w:rsid w:val="00E763FB"/>
    <w:rsid w:val="00E767F0"/>
    <w:rsid w:val="00E77728"/>
    <w:rsid w:val="00E77DCE"/>
    <w:rsid w:val="00E77E37"/>
    <w:rsid w:val="00E802E4"/>
    <w:rsid w:val="00E80909"/>
    <w:rsid w:val="00E80D57"/>
    <w:rsid w:val="00E80FE4"/>
    <w:rsid w:val="00E81BF2"/>
    <w:rsid w:val="00E821A1"/>
    <w:rsid w:val="00E822A7"/>
    <w:rsid w:val="00E82893"/>
    <w:rsid w:val="00E829D7"/>
    <w:rsid w:val="00E82BA0"/>
    <w:rsid w:val="00E82CCE"/>
    <w:rsid w:val="00E82DD9"/>
    <w:rsid w:val="00E830D2"/>
    <w:rsid w:val="00E8354B"/>
    <w:rsid w:val="00E83682"/>
    <w:rsid w:val="00E838BB"/>
    <w:rsid w:val="00E83BBD"/>
    <w:rsid w:val="00E83C3F"/>
    <w:rsid w:val="00E83F5C"/>
    <w:rsid w:val="00E840EE"/>
    <w:rsid w:val="00E841AF"/>
    <w:rsid w:val="00E84437"/>
    <w:rsid w:val="00E84727"/>
    <w:rsid w:val="00E849E5"/>
    <w:rsid w:val="00E84E07"/>
    <w:rsid w:val="00E84EB5"/>
    <w:rsid w:val="00E8505C"/>
    <w:rsid w:val="00E850FB"/>
    <w:rsid w:val="00E85662"/>
    <w:rsid w:val="00E85717"/>
    <w:rsid w:val="00E85865"/>
    <w:rsid w:val="00E85940"/>
    <w:rsid w:val="00E8629D"/>
    <w:rsid w:val="00E86A9C"/>
    <w:rsid w:val="00E86B98"/>
    <w:rsid w:val="00E8734C"/>
    <w:rsid w:val="00E8744A"/>
    <w:rsid w:val="00E8789F"/>
    <w:rsid w:val="00E90613"/>
    <w:rsid w:val="00E9074C"/>
    <w:rsid w:val="00E90AEF"/>
    <w:rsid w:val="00E90B04"/>
    <w:rsid w:val="00E90BF7"/>
    <w:rsid w:val="00E90F9A"/>
    <w:rsid w:val="00E915FE"/>
    <w:rsid w:val="00E918FD"/>
    <w:rsid w:val="00E91A0A"/>
    <w:rsid w:val="00E91BB5"/>
    <w:rsid w:val="00E91BED"/>
    <w:rsid w:val="00E91D64"/>
    <w:rsid w:val="00E92441"/>
    <w:rsid w:val="00E9247F"/>
    <w:rsid w:val="00E925A2"/>
    <w:rsid w:val="00E9272C"/>
    <w:rsid w:val="00E92A81"/>
    <w:rsid w:val="00E92C44"/>
    <w:rsid w:val="00E931CF"/>
    <w:rsid w:val="00E93606"/>
    <w:rsid w:val="00E93945"/>
    <w:rsid w:val="00E93ACE"/>
    <w:rsid w:val="00E93FD8"/>
    <w:rsid w:val="00E943D5"/>
    <w:rsid w:val="00E9470E"/>
    <w:rsid w:val="00E94A36"/>
    <w:rsid w:val="00E950CD"/>
    <w:rsid w:val="00E9542C"/>
    <w:rsid w:val="00E956AB"/>
    <w:rsid w:val="00E956AD"/>
    <w:rsid w:val="00E95C05"/>
    <w:rsid w:val="00E960E0"/>
    <w:rsid w:val="00E960F8"/>
    <w:rsid w:val="00E96527"/>
    <w:rsid w:val="00E96E07"/>
    <w:rsid w:val="00E96E1A"/>
    <w:rsid w:val="00E97A79"/>
    <w:rsid w:val="00E97B71"/>
    <w:rsid w:val="00E97C19"/>
    <w:rsid w:val="00EA00A7"/>
    <w:rsid w:val="00EA030C"/>
    <w:rsid w:val="00EA058D"/>
    <w:rsid w:val="00EA0A0E"/>
    <w:rsid w:val="00EA0ACD"/>
    <w:rsid w:val="00EA10FA"/>
    <w:rsid w:val="00EA1360"/>
    <w:rsid w:val="00EA16D3"/>
    <w:rsid w:val="00EA16FC"/>
    <w:rsid w:val="00EA1A04"/>
    <w:rsid w:val="00EA1BEE"/>
    <w:rsid w:val="00EA301B"/>
    <w:rsid w:val="00EA3091"/>
    <w:rsid w:val="00EA33E8"/>
    <w:rsid w:val="00EA36FF"/>
    <w:rsid w:val="00EA3BB7"/>
    <w:rsid w:val="00EA3CC1"/>
    <w:rsid w:val="00EA3D34"/>
    <w:rsid w:val="00EA4459"/>
    <w:rsid w:val="00EA4585"/>
    <w:rsid w:val="00EA458C"/>
    <w:rsid w:val="00EA4702"/>
    <w:rsid w:val="00EA470D"/>
    <w:rsid w:val="00EA4837"/>
    <w:rsid w:val="00EA4865"/>
    <w:rsid w:val="00EA53B4"/>
    <w:rsid w:val="00EA59B1"/>
    <w:rsid w:val="00EA59BB"/>
    <w:rsid w:val="00EA5C48"/>
    <w:rsid w:val="00EA5D1F"/>
    <w:rsid w:val="00EA5DBC"/>
    <w:rsid w:val="00EA5E58"/>
    <w:rsid w:val="00EA6097"/>
    <w:rsid w:val="00EA609D"/>
    <w:rsid w:val="00EA640E"/>
    <w:rsid w:val="00EA68AD"/>
    <w:rsid w:val="00EA6E86"/>
    <w:rsid w:val="00EA71E0"/>
    <w:rsid w:val="00EA7416"/>
    <w:rsid w:val="00EA74FD"/>
    <w:rsid w:val="00EA7A5D"/>
    <w:rsid w:val="00EA7DA0"/>
    <w:rsid w:val="00EA7DAD"/>
    <w:rsid w:val="00EA7EF4"/>
    <w:rsid w:val="00EB0237"/>
    <w:rsid w:val="00EB0584"/>
    <w:rsid w:val="00EB0A73"/>
    <w:rsid w:val="00EB0CC8"/>
    <w:rsid w:val="00EB0CE7"/>
    <w:rsid w:val="00EB0EBD"/>
    <w:rsid w:val="00EB1199"/>
    <w:rsid w:val="00EB1228"/>
    <w:rsid w:val="00EB1307"/>
    <w:rsid w:val="00EB1348"/>
    <w:rsid w:val="00EB151A"/>
    <w:rsid w:val="00EB17DA"/>
    <w:rsid w:val="00EB1949"/>
    <w:rsid w:val="00EB1FA6"/>
    <w:rsid w:val="00EB24F9"/>
    <w:rsid w:val="00EB26D3"/>
    <w:rsid w:val="00EB2AC2"/>
    <w:rsid w:val="00EB2D76"/>
    <w:rsid w:val="00EB38D2"/>
    <w:rsid w:val="00EB3952"/>
    <w:rsid w:val="00EB39AE"/>
    <w:rsid w:val="00EB3E59"/>
    <w:rsid w:val="00EB3F5A"/>
    <w:rsid w:val="00EB413B"/>
    <w:rsid w:val="00EB454D"/>
    <w:rsid w:val="00EB473E"/>
    <w:rsid w:val="00EB492B"/>
    <w:rsid w:val="00EB496A"/>
    <w:rsid w:val="00EB4EF7"/>
    <w:rsid w:val="00EB521A"/>
    <w:rsid w:val="00EB576A"/>
    <w:rsid w:val="00EB60D2"/>
    <w:rsid w:val="00EB6159"/>
    <w:rsid w:val="00EB65F1"/>
    <w:rsid w:val="00EB6709"/>
    <w:rsid w:val="00EB6964"/>
    <w:rsid w:val="00EB6A38"/>
    <w:rsid w:val="00EB6BB4"/>
    <w:rsid w:val="00EB6DE1"/>
    <w:rsid w:val="00EB7027"/>
    <w:rsid w:val="00EB71A1"/>
    <w:rsid w:val="00EB720C"/>
    <w:rsid w:val="00EB762E"/>
    <w:rsid w:val="00EB7776"/>
    <w:rsid w:val="00EB7C0C"/>
    <w:rsid w:val="00EB7CCF"/>
    <w:rsid w:val="00EB7D08"/>
    <w:rsid w:val="00EC01D9"/>
    <w:rsid w:val="00EC07A3"/>
    <w:rsid w:val="00EC1348"/>
    <w:rsid w:val="00EC250C"/>
    <w:rsid w:val="00EC25B8"/>
    <w:rsid w:val="00EC271E"/>
    <w:rsid w:val="00EC2CD7"/>
    <w:rsid w:val="00EC3420"/>
    <w:rsid w:val="00EC3939"/>
    <w:rsid w:val="00EC3F5A"/>
    <w:rsid w:val="00EC40F3"/>
    <w:rsid w:val="00EC456F"/>
    <w:rsid w:val="00EC4DAF"/>
    <w:rsid w:val="00EC57CD"/>
    <w:rsid w:val="00EC5871"/>
    <w:rsid w:val="00EC5AE5"/>
    <w:rsid w:val="00EC5C06"/>
    <w:rsid w:val="00EC5EC4"/>
    <w:rsid w:val="00EC5F21"/>
    <w:rsid w:val="00EC5FC9"/>
    <w:rsid w:val="00EC6162"/>
    <w:rsid w:val="00EC699E"/>
    <w:rsid w:val="00EC6C07"/>
    <w:rsid w:val="00EC6FCD"/>
    <w:rsid w:val="00EC730A"/>
    <w:rsid w:val="00EC75CD"/>
    <w:rsid w:val="00EC7729"/>
    <w:rsid w:val="00EC7939"/>
    <w:rsid w:val="00EC7E71"/>
    <w:rsid w:val="00ED022D"/>
    <w:rsid w:val="00ED075D"/>
    <w:rsid w:val="00ED13EE"/>
    <w:rsid w:val="00ED1421"/>
    <w:rsid w:val="00ED14D5"/>
    <w:rsid w:val="00ED18DC"/>
    <w:rsid w:val="00ED1A3E"/>
    <w:rsid w:val="00ED1B01"/>
    <w:rsid w:val="00ED1B04"/>
    <w:rsid w:val="00ED1C68"/>
    <w:rsid w:val="00ED211C"/>
    <w:rsid w:val="00ED248C"/>
    <w:rsid w:val="00ED2824"/>
    <w:rsid w:val="00ED295F"/>
    <w:rsid w:val="00ED2B97"/>
    <w:rsid w:val="00ED3118"/>
    <w:rsid w:val="00ED367B"/>
    <w:rsid w:val="00ED3D04"/>
    <w:rsid w:val="00ED4148"/>
    <w:rsid w:val="00ED4370"/>
    <w:rsid w:val="00ED4911"/>
    <w:rsid w:val="00ED4F32"/>
    <w:rsid w:val="00ED52D6"/>
    <w:rsid w:val="00ED54AA"/>
    <w:rsid w:val="00ED58DB"/>
    <w:rsid w:val="00ED5C74"/>
    <w:rsid w:val="00ED5D69"/>
    <w:rsid w:val="00ED5FA0"/>
    <w:rsid w:val="00ED65C4"/>
    <w:rsid w:val="00ED67F1"/>
    <w:rsid w:val="00ED75BD"/>
    <w:rsid w:val="00ED76BE"/>
    <w:rsid w:val="00ED7C53"/>
    <w:rsid w:val="00EE0032"/>
    <w:rsid w:val="00EE071F"/>
    <w:rsid w:val="00EE0747"/>
    <w:rsid w:val="00EE07CF"/>
    <w:rsid w:val="00EE0CF4"/>
    <w:rsid w:val="00EE0E65"/>
    <w:rsid w:val="00EE0EF2"/>
    <w:rsid w:val="00EE0F1D"/>
    <w:rsid w:val="00EE0F3C"/>
    <w:rsid w:val="00EE0F71"/>
    <w:rsid w:val="00EE1655"/>
    <w:rsid w:val="00EE1908"/>
    <w:rsid w:val="00EE1981"/>
    <w:rsid w:val="00EE1F51"/>
    <w:rsid w:val="00EE1F68"/>
    <w:rsid w:val="00EE20C5"/>
    <w:rsid w:val="00EE24AD"/>
    <w:rsid w:val="00EE24F0"/>
    <w:rsid w:val="00EE2B90"/>
    <w:rsid w:val="00EE2B93"/>
    <w:rsid w:val="00EE30BB"/>
    <w:rsid w:val="00EE3881"/>
    <w:rsid w:val="00EE3C36"/>
    <w:rsid w:val="00EE3E89"/>
    <w:rsid w:val="00EE3EEA"/>
    <w:rsid w:val="00EE40D7"/>
    <w:rsid w:val="00EE4163"/>
    <w:rsid w:val="00EE4181"/>
    <w:rsid w:val="00EE42B2"/>
    <w:rsid w:val="00EE44D5"/>
    <w:rsid w:val="00EE4F2C"/>
    <w:rsid w:val="00EE5038"/>
    <w:rsid w:val="00EE51CE"/>
    <w:rsid w:val="00EE52BC"/>
    <w:rsid w:val="00EE56E1"/>
    <w:rsid w:val="00EE5AB2"/>
    <w:rsid w:val="00EE62E2"/>
    <w:rsid w:val="00EE6E06"/>
    <w:rsid w:val="00EE7652"/>
    <w:rsid w:val="00EE78D4"/>
    <w:rsid w:val="00EE7AF3"/>
    <w:rsid w:val="00EE7DB5"/>
    <w:rsid w:val="00EE7DC6"/>
    <w:rsid w:val="00EF0086"/>
    <w:rsid w:val="00EF019F"/>
    <w:rsid w:val="00EF0339"/>
    <w:rsid w:val="00EF041B"/>
    <w:rsid w:val="00EF0CFD"/>
    <w:rsid w:val="00EF0E20"/>
    <w:rsid w:val="00EF0E91"/>
    <w:rsid w:val="00EF0E9C"/>
    <w:rsid w:val="00EF10AE"/>
    <w:rsid w:val="00EF1FDC"/>
    <w:rsid w:val="00EF20EA"/>
    <w:rsid w:val="00EF25E4"/>
    <w:rsid w:val="00EF2CC9"/>
    <w:rsid w:val="00EF2E44"/>
    <w:rsid w:val="00EF300A"/>
    <w:rsid w:val="00EF3628"/>
    <w:rsid w:val="00EF3789"/>
    <w:rsid w:val="00EF380F"/>
    <w:rsid w:val="00EF3997"/>
    <w:rsid w:val="00EF3A41"/>
    <w:rsid w:val="00EF3AA4"/>
    <w:rsid w:val="00EF3AAC"/>
    <w:rsid w:val="00EF3ACE"/>
    <w:rsid w:val="00EF3F5D"/>
    <w:rsid w:val="00EF42B8"/>
    <w:rsid w:val="00EF47C6"/>
    <w:rsid w:val="00EF4A52"/>
    <w:rsid w:val="00EF4B8C"/>
    <w:rsid w:val="00EF4D4A"/>
    <w:rsid w:val="00EF5489"/>
    <w:rsid w:val="00EF55FC"/>
    <w:rsid w:val="00EF5C68"/>
    <w:rsid w:val="00EF5F2C"/>
    <w:rsid w:val="00EF60DC"/>
    <w:rsid w:val="00EF619B"/>
    <w:rsid w:val="00EF6C7F"/>
    <w:rsid w:val="00EF6DE9"/>
    <w:rsid w:val="00EF7060"/>
    <w:rsid w:val="00EF73D7"/>
    <w:rsid w:val="00EF758E"/>
    <w:rsid w:val="00EF769D"/>
    <w:rsid w:val="00EF7710"/>
    <w:rsid w:val="00EF7AD6"/>
    <w:rsid w:val="00EF7B0E"/>
    <w:rsid w:val="00EF7C5E"/>
    <w:rsid w:val="00EF7E01"/>
    <w:rsid w:val="00F00055"/>
    <w:rsid w:val="00F00323"/>
    <w:rsid w:val="00F0043F"/>
    <w:rsid w:val="00F00735"/>
    <w:rsid w:val="00F00B55"/>
    <w:rsid w:val="00F00B7C"/>
    <w:rsid w:val="00F01E62"/>
    <w:rsid w:val="00F01F5F"/>
    <w:rsid w:val="00F01F7B"/>
    <w:rsid w:val="00F02506"/>
    <w:rsid w:val="00F027CA"/>
    <w:rsid w:val="00F02865"/>
    <w:rsid w:val="00F02932"/>
    <w:rsid w:val="00F02987"/>
    <w:rsid w:val="00F029FA"/>
    <w:rsid w:val="00F02AD1"/>
    <w:rsid w:val="00F031DF"/>
    <w:rsid w:val="00F03977"/>
    <w:rsid w:val="00F03B99"/>
    <w:rsid w:val="00F03D56"/>
    <w:rsid w:val="00F03DA3"/>
    <w:rsid w:val="00F0417F"/>
    <w:rsid w:val="00F042BD"/>
    <w:rsid w:val="00F048F3"/>
    <w:rsid w:val="00F04F35"/>
    <w:rsid w:val="00F0509B"/>
    <w:rsid w:val="00F05E26"/>
    <w:rsid w:val="00F06515"/>
    <w:rsid w:val="00F065B7"/>
    <w:rsid w:val="00F065D0"/>
    <w:rsid w:val="00F06BB9"/>
    <w:rsid w:val="00F071A7"/>
    <w:rsid w:val="00F07980"/>
    <w:rsid w:val="00F07BE5"/>
    <w:rsid w:val="00F07D4B"/>
    <w:rsid w:val="00F10358"/>
    <w:rsid w:val="00F1049E"/>
    <w:rsid w:val="00F107B2"/>
    <w:rsid w:val="00F109B2"/>
    <w:rsid w:val="00F10D7E"/>
    <w:rsid w:val="00F10EF7"/>
    <w:rsid w:val="00F10F5F"/>
    <w:rsid w:val="00F10FF9"/>
    <w:rsid w:val="00F11B32"/>
    <w:rsid w:val="00F11CDE"/>
    <w:rsid w:val="00F11CF8"/>
    <w:rsid w:val="00F121B8"/>
    <w:rsid w:val="00F12D3C"/>
    <w:rsid w:val="00F12E32"/>
    <w:rsid w:val="00F12E5C"/>
    <w:rsid w:val="00F13524"/>
    <w:rsid w:val="00F13B62"/>
    <w:rsid w:val="00F1409E"/>
    <w:rsid w:val="00F141E4"/>
    <w:rsid w:val="00F146A7"/>
    <w:rsid w:val="00F146ED"/>
    <w:rsid w:val="00F14818"/>
    <w:rsid w:val="00F14D01"/>
    <w:rsid w:val="00F14E7D"/>
    <w:rsid w:val="00F14F60"/>
    <w:rsid w:val="00F1510C"/>
    <w:rsid w:val="00F154CF"/>
    <w:rsid w:val="00F15C84"/>
    <w:rsid w:val="00F15FDD"/>
    <w:rsid w:val="00F1644E"/>
    <w:rsid w:val="00F16538"/>
    <w:rsid w:val="00F16B67"/>
    <w:rsid w:val="00F16D7C"/>
    <w:rsid w:val="00F16E58"/>
    <w:rsid w:val="00F1755B"/>
    <w:rsid w:val="00F2057E"/>
    <w:rsid w:val="00F2075F"/>
    <w:rsid w:val="00F20ABD"/>
    <w:rsid w:val="00F20CC3"/>
    <w:rsid w:val="00F2142B"/>
    <w:rsid w:val="00F2171B"/>
    <w:rsid w:val="00F218B3"/>
    <w:rsid w:val="00F2192C"/>
    <w:rsid w:val="00F219EA"/>
    <w:rsid w:val="00F21A94"/>
    <w:rsid w:val="00F22F20"/>
    <w:rsid w:val="00F23AFC"/>
    <w:rsid w:val="00F23B3A"/>
    <w:rsid w:val="00F23B45"/>
    <w:rsid w:val="00F23C77"/>
    <w:rsid w:val="00F23DB8"/>
    <w:rsid w:val="00F23F87"/>
    <w:rsid w:val="00F247A0"/>
    <w:rsid w:val="00F2488D"/>
    <w:rsid w:val="00F250C7"/>
    <w:rsid w:val="00F250FC"/>
    <w:rsid w:val="00F253CC"/>
    <w:rsid w:val="00F2551C"/>
    <w:rsid w:val="00F2579B"/>
    <w:rsid w:val="00F25A36"/>
    <w:rsid w:val="00F25CD8"/>
    <w:rsid w:val="00F2600C"/>
    <w:rsid w:val="00F263E2"/>
    <w:rsid w:val="00F26524"/>
    <w:rsid w:val="00F26610"/>
    <w:rsid w:val="00F26A2B"/>
    <w:rsid w:val="00F26BDA"/>
    <w:rsid w:val="00F2702A"/>
    <w:rsid w:val="00F270F1"/>
    <w:rsid w:val="00F2770D"/>
    <w:rsid w:val="00F2796D"/>
    <w:rsid w:val="00F27A79"/>
    <w:rsid w:val="00F27EFA"/>
    <w:rsid w:val="00F30148"/>
    <w:rsid w:val="00F3016F"/>
    <w:rsid w:val="00F301F1"/>
    <w:rsid w:val="00F3062D"/>
    <w:rsid w:val="00F30798"/>
    <w:rsid w:val="00F308DF"/>
    <w:rsid w:val="00F318EF"/>
    <w:rsid w:val="00F31EA0"/>
    <w:rsid w:val="00F3246D"/>
    <w:rsid w:val="00F32627"/>
    <w:rsid w:val="00F328BD"/>
    <w:rsid w:val="00F330E4"/>
    <w:rsid w:val="00F33748"/>
    <w:rsid w:val="00F33955"/>
    <w:rsid w:val="00F33AF9"/>
    <w:rsid w:val="00F34B5A"/>
    <w:rsid w:val="00F351BB"/>
    <w:rsid w:val="00F3585A"/>
    <w:rsid w:val="00F36342"/>
    <w:rsid w:val="00F367FD"/>
    <w:rsid w:val="00F3684D"/>
    <w:rsid w:val="00F3692A"/>
    <w:rsid w:val="00F36BBC"/>
    <w:rsid w:val="00F36BD1"/>
    <w:rsid w:val="00F36DD3"/>
    <w:rsid w:val="00F37106"/>
    <w:rsid w:val="00F3776F"/>
    <w:rsid w:val="00F400D1"/>
    <w:rsid w:val="00F4059E"/>
    <w:rsid w:val="00F405CE"/>
    <w:rsid w:val="00F40611"/>
    <w:rsid w:val="00F40950"/>
    <w:rsid w:val="00F40F53"/>
    <w:rsid w:val="00F41724"/>
    <w:rsid w:val="00F417F4"/>
    <w:rsid w:val="00F42613"/>
    <w:rsid w:val="00F42707"/>
    <w:rsid w:val="00F42AAE"/>
    <w:rsid w:val="00F42BD0"/>
    <w:rsid w:val="00F43422"/>
    <w:rsid w:val="00F435E2"/>
    <w:rsid w:val="00F4360C"/>
    <w:rsid w:val="00F43957"/>
    <w:rsid w:val="00F43AEE"/>
    <w:rsid w:val="00F4406D"/>
    <w:rsid w:val="00F4462C"/>
    <w:rsid w:val="00F446CF"/>
    <w:rsid w:val="00F446F9"/>
    <w:rsid w:val="00F44A15"/>
    <w:rsid w:val="00F44C09"/>
    <w:rsid w:val="00F44CA5"/>
    <w:rsid w:val="00F44D14"/>
    <w:rsid w:val="00F44FED"/>
    <w:rsid w:val="00F45631"/>
    <w:rsid w:val="00F458B4"/>
    <w:rsid w:val="00F45942"/>
    <w:rsid w:val="00F45ADC"/>
    <w:rsid w:val="00F45B86"/>
    <w:rsid w:val="00F460BD"/>
    <w:rsid w:val="00F46421"/>
    <w:rsid w:val="00F46DCE"/>
    <w:rsid w:val="00F46E91"/>
    <w:rsid w:val="00F47077"/>
    <w:rsid w:val="00F476EA"/>
    <w:rsid w:val="00F47821"/>
    <w:rsid w:val="00F50213"/>
    <w:rsid w:val="00F503E5"/>
    <w:rsid w:val="00F506DB"/>
    <w:rsid w:val="00F50950"/>
    <w:rsid w:val="00F50C83"/>
    <w:rsid w:val="00F50D1D"/>
    <w:rsid w:val="00F50E2F"/>
    <w:rsid w:val="00F5120C"/>
    <w:rsid w:val="00F5126E"/>
    <w:rsid w:val="00F519CF"/>
    <w:rsid w:val="00F52036"/>
    <w:rsid w:val="00F52669"/>
    <w:rsid w:val="00F5266C"/>
    <w:rsid w:val="00F52ED7"/>
    <w:rsid w:val="00F53091"/>
    <w:rsid w:val="00F536F2"/>
    <w:rsid w:val="00F537C8"/>
    <w:rsid w:val="00F539AD"/>
    <w:rsid w:val="00F53D74"/>
    <w:rsid w:val="00F54512"/>
    <w:rsid w:val="00F54740"/>
    <w:rsid w:val="00F54ECA"/>
    <w:rsid w:val="00F550DF"/>
    <w:rsid w:val="00F55253"/>
    <w:rsid w:val="00F5569F"/>
    <w:rsid w:val="00F557DF"/>
    <w:rsid w:val="00F56089"/>
    <w:rsid w:val="00F560E0"/>
    <w:rsid w:val="00F561E3"/>
    <w:rsid w:val="00F56791"/>
    <w:rsid w:val="00F56BA5"/>
    <w:rsid w:val="00F56C88"/>
    <w:rsid w:val="00F56E69"/>
    <w:rsid w:val="00F57246"/>
    <w:rsid w:val="00F57702"/>
    <w:rsid w:val="00F57724"/>
    <w:rsid w:val="00F57978"/>
    <w:rsid w:val="00F57B9F"/>
    <w:rsid w:val="00F57D68"/>
    <w:rsid w:val="00F607B9"/>
    <w:rsid w:val="00F60E22"/>
    <w:rsid w:val="00F60E5B"/>
    <w:rsid w:val="00F6165A"/>
    <w:rsid w:val="00F61A1A"/>
    <w:rsid w:val="00F61FE4"/>
    <w:rsid w:val="00F62282"/>
    <w:rsid w:val="00F62600"/>
    <w:rsid w:val="00F62748"/>
    <w:rsid w:val="00F628F3"/>
    <w:rsid w:val="00F62C58"/>
    <w:rsid w:val="00F62D1E"/>
    <w:rsid w:val="00F62FE2"/>
    <w:rsid w:val="00F63469"/>
    <w:rsid w:val="00F634D9"/>
    <w:rsid w:val="00F63CCB"/>
    <w:rsid w:val="00F640C5"/>
    <w:rsid w:val="00F649AD"/>
    <w:rsid w:val="00F64B8B"/>
    <w:rsid w:val="00F64DB1"/>
    <w:rsid w:val="00F653D2"/>
    <w:rsid w:val="00F65545"/>
    <w:rsid w:val="00F659EC"/>
    <w:rsid w:val="00F6703B"/>
    <w:rsid w:val="00F6731B"/>
    <w:rsid w:val="00F67A50"/>
    <w:rsid w:val="00F67B09"/>
    <w:rsid w:val="00F67C38"/>
    <w:rsid w:val="00F70327"/>
    <w:rsid w:val="00F704B2"/>
    <w:rsid w:val="00F70FB8"/>
    <w:rsid w:val="00F711C6"/>
    <w:rsid w:val="00F7124D"/>
    <w:rsid w:val="00F71A9D"/>
    <w:rsid w:val="00F71E40"/>
    <w:rsid w:val="00F7244A"/>
    <w:rsid w:val="00F72BD4"/>
    <w:rsid w:val="00F73170"/>
    <w:rsid w:val="00F73584"/>
    <w:rsid w:val="00F735AE"/>
    <w:rsid w:val="00F73687"/>
    <w:rsid w:val="00F739DF"/>
    <w:rsid w:val="00F73EDB"/>
    <w:rsid w:val="00F746C3"/>
    <w:rsid w:val="00F74E0A"/>
    <w:rsid w:val="00F75766"/>
    <w:rsid w:val="00F759DA"/>
    <w:rsid w:val="00F75A47"/>
    <w:rsid w:val="00F75F3C"/>
    <w:rsid w:val="00F76487"/>
    <w:rsid w:val="00F764FE"/>
    <w:rsid w:val="00F76E2B"/>
    <w:rsid w:val="00F77DF8"/>
    <w:rsid w:val="00F804AE"/>
    <w:rsid w:val="00F80657"/>
    <w:rsid w:val="00F8067B"/>
    <w:rsid w:val="00F80A4F"/>
    <w:rsid w:val="00F80E66"/>
    <w:rsid w:val="00F81147"/>
    <w:rsid w:val="00F816DE"/>
    <w:rsid w:val="00F81BE3"/>
    <w:rsid w:val="00F82261"/>
    <w:rsid w:val="00F82642"/>
    <w:rsid w:val="00F82DD5"/>
    <w:rsid w:val="00F82E43"/>
    <w:rsid w:val="00F83A86"/>
    <w:rsid w:val="00F843AA"/>
    <w:rsid w:val="00F84D44"/>
    <w:rsid w:val="00F852F7"/>
    <w:rsid w:val="00F852FC"/>
    <w:rsid w:val="00F85337"/>
    <w:rsid w:val="00F85974"/>
    <w:rsid w:val="00F85A52"/>
    <w:rsid w:val="00F860B1"/>
    <w:rsid w:val="00F8621E"/>
    <w:rsid w:val="00F866A6"/>
    <w:rsid w:val="00F868FF"/>
    <w:rsid w:val="00F869AF"/>
    <w:rsid w:val="00F869E0"/>
    <w:rsid w:val="00F86B3A"/>
    <w:rsid w:val="00F877C0"/>
    <w:rsid w:val="00F90217"/>
    <w:rsid w:val="00F9023E"/>
    <w:rsid w:val="00F90433"/>
    <w:rsid w:val="00F9043B"/>
    <w:rsid w:val="00F90590"/>
    <w:rsid w:val="00F90767"/>
    <w:rsid w:val="00F90AEF"/>
    <w:rsid w:val="00F90CAC"/>
    <w:rsid w:val="00F90CC2"/>
    <w:rsid w:val="00F90CE4"/>
    <w:rsid w:val="00F91160"/>
    <w:rsid w:val="00F91542"/>
    <w:rsid w:val="00F917D1"/>
    <w:rsid w:val="00F91A90"/>
    <w:rsid w:val="00F91B83"/>
    <w:rsid w:val="00F91BBA"/>
    <w:rsid w:val="00F91BDC"/>
    <w:rsid w:val="00F92433"/>
    <w:rsid w:val="00F92604"/>
    <w:rsid w:val="00F92850"/>
    <w:rsid w:val="00F92A8E"/>
    <w:rsid w:val="00F932CA"/>
    <w:rsid w:val="00F93327"/>
    <w:rsid w:val="00F9392B"/>
    <w:rsid w:val="00F93F64"/>
    <w:rsid w:val="00F94216"/>
    <w:rsid w:val="00F94442"/>
    <w:rsid w:val="00F9451A"/>
    <w:rsid w:val="00F9491D"/>
    <w:rsid w:val="00F94F45"/>
    <w:rsid w:val="00F954CA"/>
    <w:rsid w:val="00F9568E"/>
    <w:rsid w:val="00F957AE"/>
    <w:rsid w:val="00F95A27"/>
    <w:rsid w:val="00F95C4F"/>
    <w:rsid w:val="00F96160"/>
    <w:rsid w:val="00F964F8"/>
    <w:rsid w:val="00F9653B"/>
    <w:rsid w:val="00F9666C"/>
    <w:rsid w:val="00F96778"/>
    <w:rsid w:val="00F96E6F"/>
    <w:rsid w:val="00F96EE6"/>
    <w:rsid w:val="00F97516"/>
    <w:rsid w:val="00F97A52"/>
    <w:rsid w:val="00F97E2D"/>
    <w:rsid w:val="00F97E62"/>
    <w:rsid w:val="00FA02EB"/>
    <w:rsid w:val="00FA0338"/>
    <w:rsid w:val="00FA0711"/>
    <w:rsid w:val="00FA084C"/>
    <w:rsid w:val="00FA08DD"/>
    <w:rsid w:val="00FA0908"/>
    <w:rsid w:val="00FA093F"/>
    <w:rsid w:val="00FA0D48"/>
    <w:rsid w:val="00FA174E"/>
    <w:rsid w:val="00FA1A07"/>
    <w:rsid w:val="00FA1A78"/>
    <w:rsid w:val="00FA1FAA"/>
    <w:rsid w:val="00FA1FBB"/>
    <w:rsid w:val="00FA2208"/>
    <w:rsid w:val="00FA2595"/>
    <w:rsid w:val="00FA2E9D"/>
    <w:rsid w:val="00FA30A1"/>
    <w:rsid w:val="00FA35B3"/>
    <w:rsid w:val="00FA3858"/>
    <w:rsid w:val="00FA3987"/>
    <w:rsid w:val="00FA3AA9"/>
    <w:rsid w:val="00FA4035"/>
    <w:rsid w:val="00FA410D"/>
    <w:rsid w:val="00FA4293"/>
    <w:rsid w:val="00FA46DA"/>
    <w:rsid w:val="00FA4AD3"/>
    <w:rsid w:val="00FA5737"/>
    <w:rsid w:val="00FA57A0"/>
    <w:rsid w:val="00FA5957"/>
    <w:rsid w:val="00FA5C21"/>
    <w:rsid w:val="00FA5EAE"/>
    <w:rsid w:val="00FA60B9"/>
    <w:rsid w:val="00FA65A6"/>
    <w:rsid w:val="00FA65BB"/>
    <w:rsid w:val="00FA66D9"/>
    <w:rsid w:val="00FA6A30"/>
    <w:rsid w:val="00FA6C23"/>
    <w:rsid w:val="00FA6DA6"/>
    <w:rsid w:val="00FA7494"/>
    <w:rsid w:val="00FA7605"/>
    <w:rsid w:val="00FA77B7"/>
    <w:rsid w:val="00FA7A5C"/>
    <w:rsid w:val="00FA7E11"/>
    <w:rsid w:val="00FB0522"/>
    <w:rsid w:val="00FB05F9"/>
    <w:rsid w:val="00FB069F"/>
    <w:rsid w:val="00FB098E"/>
    <w:rsid w:val="00FB0A94"/>
    <w:rsid w:val="00FB0D60"/>
    <w:rsid w:val="00FB1072"/>
    <w:rsid w:val="00FB1084"/>
    <w:rsid w:val="00FB10AB"/>
    <w:rsid w:val="00FB1351"/>
    <w:rsid w:val="00FB14D9"/>
    <w:rsid w:val="00FB1666"/>
    <w:rsid w:val="00FB1AC2"/>
    <w:rsid w:val="00FB2096"/>
    <w:rsid w:val="00FB2A66"/>
    <w:rsid w:val="00FB2E57"/>
    <w:rsid w:val="00FB2ED7"/>
    <w:rsid w:val="00FB37B1"/>
    <w:rsid w:val="00FB3D94"/>
    <w:rsid w:val="00FB3F52"/>
    <w:rsid w:val="00FB3F5D"/>
    <w:rsid w:val="00FB4364"/>
    <w:rsid w:val="00FB43C8"/>
    <w:rsid w:val="00FB43DD"/>
    <w:rsid w:val="00FB465A"/>
    <w:rsid w:val="00FB4BD3"/>
    <w:rsid w:val="00FB4E37"/>
    <w:rsid w:val="00FB4EB8"/>
    <w:rsid w:val="00FB52E5"/>
    <w:rsid w:val="00FB54A0"/>
    <w:rsid w:val="00FB57E4"/>
    <w:rsid w:val="00FB5E1B"/>
    <w:rsid w:val="00FB616C"/>
    <w:rsid w:val="00FB62CF"/>
    <w:rsid w:val="00FB6330"/>
    <w:rsid w:val="00FB64DE"/>
    <w:rsid w:val="00FB6512"/>
    <w:rsid w:val="00FB68F0"/>
    <w:rsid w:val="00FB6A39"/>
    <w:rsid w:val="00FB713A"/>
    <w:rsid w:val="00FB726D"/>
    <w:rsid w:val="00FB78FA"/>
    <w:rsid w:val="00FB7B6A"/>
    <w:rsid w:val="00FC045D"/>
    <w:rsid w:val="00FC0A1C"/>
    <w:rsid w:val="00FC0F90"/>
    <w:rsid w:val="00FC0FA1"/>
    <w:rsid w:val="00FC1635"/>
    <w:rsid w:val="00FC1660"/>
    <w:rsid w:val="00FC171D"/>
    <w:rsid w:val="00FC1F8E"/>
    <w:rsid w:val="00FC2002"/>
    <w:rsid w:val="00FC2226"/>
    <w:rsid w:val="00FC27FD"/>
    <w:rsid w:val="00FC2925"/>
    <w:rsid w:val="00FC2B0C"/>
    <w:rsid w:val="00FC3301"/>
    <w:rsid w:val="00FC33C2"/>
    <w:rsid w:val="00FC375C"/>
    <w:rsid w:val="00FC3B74"/>
    <w:rsid w:val="00FC3B9C"/>
    <w:rsid w:val="00FC3E44"/>
    <w:rsid w:val="00FC4122"/>
    <w:rsid w:val="00FC415B"/>
    <w:rsid w:val="00FC47E0"/>
    <w:rsid w:val="00FC488C"/>
    <w:rsid w:val="00FC54C6"/>
    <w:rsid w:val="00FC551C"/>
    <w:rsid w:val="00FC563C"/>
    <w:rsid w:val="00FC5691"/>
    <w:rsid w:val="00FC57AF"/>
    <w:rsid w:val="00FC5AF3"/>
    <w:rsid w:val="00FC5BED"/>
    <w:rsid w:val="00FC6038"/>
    <w:rsid w:val="00FC634A"/>
    <w:rsid w:val="00FC6609"/>
    <w:rsid w:val="00FC721A"/>
    <w:rsid w:val="00FC7319"/>
    <w:rsid w:val="00FC73F0"/>
    <w:rsid w:val="00FC7D96"/>
    <w:rsid w:val="00FD0576"/>
    <w:rsid w:val="00FD05AE"/>
    <w:rsid w:val="00FD05B2"/>
    <w:rsid w:val="00FD0C3E"/>
    <w:rsid w:val="00FD0D0F"/>
    <w:rsid w:val="00FD0EFE"/>
    <w:rsid w:val="00FD11D8"/>
    <w:rsid w:val="00FD125C"/>
    <w:rsid w:val="00FD13DD"/>
    <w:rsid w:val="00FD1971"/>
    <w:rsid w:val="00FD1A5F"/>
    <w:rsid w:val="00FD1ABA"/>
    <w:rsid w:val="00FD1AFA"/>
    <w:rsid w:val="00FD1CEF"/>
    <w:rsid w:val="00FD21EF"/>
    <w:rsid w:val="00FD26A1"/>
    <w:rsid w:val="00FD27E6"/>
    <w:rsid w:val="00FD2C07"/>
    <w:rsid w:val="00FD2E3F"/>
    <w:rsid w:val="00FD2FDF"/>
    <w:rsid w:val="00FD3C3B"/>
    <w:rsid w:val="00FD3D23"/>
    <w:rsid w:val="00FD44C4"/>
    <w:rsid w:val="00FD46A6"/>
    <w:rsid w:val="00FD49F4"/>
    <w:rsid w:val="00FD4EC1"/>
    <w:rsid w:val="00FD4F75"/>
    <w:rsid w:val="00FD51B3"/>
    <w:rsid w:val="00FD5273"/>
    <w:rsid w:val="00FD54DA"/>
    <w:rsid w:val="00FD5540"/>
    <w:rsid w:val="00FD55C0"/>
    <w:rsid w:val="00FD5921"/>
    <w:rsid w:val="00FD60E3"/>
    <w:rsid w:val="00FD66F9"/>
    <w:rsid w:val="00FD70E8"/>
    <w:rsid w:val="00FD729D"/>
    <w:rsid w:val="00FD76F2"/>
    <w:rsid w:val="00FD7769"/>
    <w:rsid w:val="00FD7903"/>
    <w:rsid w:val="00FD79FD"/>
    <w:rsid w:val="00FD79FF"/>
    <w:rsid w:val="00FE0043"/>
    <w:rsid w:val="00FE0851"/>
    <w:rsid w:val="00FE0A9C"/>
    <w:rsid w:val="00FE0BC9"/>
    <w:rsid w:val="00FE0E59"/>
    <w:rsid w:val="00FE0EE6"/>
    <w:rsid w:val="00FE12C4"/>
    <w:rsid w:val="00FE15F2"/>
    <w:rsid w:val="00FE18F9"/>
    <w:rsid w:val="00FE1DFE"/>
    <w:rsid w:val="00FE1F1B"/>
    <w:rsid w:val="00FE1F8C"/>
    <w:rsid w:val="00FE29EC"/>
    <w:rsid w:val="00FE31C6"/>
    <w:rsid w:val="00FE350D"/>
    <w:rsid w:val="00FE3895"/>
    <w:rsid w:val="00FE45EF"/>
    <w:rsid w:val="00FE487F"/>
    <w:rsid w:val="00FE4928"/>
    <w:rsid w:val="00FE5017"/>
    <w:rsid w:val="00FE52B3"/>
    <w:rsid w:val="00FE554C"/>
    <w:rsid w:val="00FE584B"/>
    <w:rsid w:val="00FE5E14"/>
    <w:rsid w:val="00FE66A3"/>
    <w:rsid w:val="00FE6783"/>
    <w:rsid w:val="00FE6B45"/>
    <w:rsid w:val="00FE6BB0"/>
    <w:rsid w:val="00FE6F27"/>
    <w:rsid w:val="00FE7413"/>
    <w:rsid w:val="00FE762A"/>
    <w:rsid w:val="00FF08C7"/>
    <w:rsid w:val="00FF0BCF"/>
    <w:rsid w:val="00FF11B9"/>
    <w:rsid w:val="00FF14ED"/>
    <w:rsid w:val="00FF1BD8"/>
    <w:rsid w:val="00FF1FF3"/>
    <w:rsid w:val="00FF222C"/>
    <w:rsid w:val="00FF22DB"/>
    <w:rsid w:val="00FF289C"/>
    <w:rsid w:val="00FF2A34"/>
    <w:rsid w:val="00FF2E0B"/>
    <w:rsid w:val="00FF2FF7"/>
    <w:rsid w:val="00FF342C"/>
    <w:rsid w:val="00FF3556"/>
    <w:rsid w:val="00FF4690"/>
    <w:rsid w:val="00FF4706"/>
    <w:rsid w:val="00FF4711"/>
    <w:rsid w:val="00FF48F6"/>
    <w:rsid w:val="00FF4D55"/>
    <w:rsid w:val="00FF4E38"/>
    <w:rsid w:val="00FF4F04"/>
    <w:rsid w:val="00FF522C"/>
    <w:rsid w:val="00FF5263"/>
    <w:rsid w:val="00FF5851"/>
    <w:rsid w:val="00FF5EE6"/>
    <w:rsid w:val="00FF5F63"/>
    <w:rsid w:val="00FF64F1"/>
    <w:rsid w:val="00FF6BD0"/>
    <w:rsid w:val="00FF726F"/>
    <w:rsid w:val="00FF7876"/>
    <w:rsid w:val="00FF7B79"/>
    <w:rsid w:val="00FF7D01"/>
    <w:rsid w:val="00FF7DF5"/>
    <w:rsid w:val="00FF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53D7"/>
    <w:rPr>
      <w:sz w:val="24"/>
      <w:szCs w:val="24"/>
      <w:lang w:val="en-US" w:eastAsia="en-US"/>
    </w:rPr>
  </w:style>
  <w:style w:type="paragraph" w:styleId="Heading1">
    <w:name w:val="heading 1"/>
    <w:basedOn w:val="Normal"/>
    <w:next w:val="Normal"/>
    <w:link w:val="Heading1Char"/>
    <w:qFormat/>
    <w:rsid w:val="00E24E60"/>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heme="majorHAnsi" w:eastAsia="Times New Roman" w:hAnsiTheme="majorHAnsi"/>
      <w:b/>
      <w:sz w:val="20"/>
      <w:szCs w:val="20"/>
      <w:bdr w:val="none" w:sz="0" w:space="0" w:color="auto"/>
      <w:lang w:val="es-ES_tradnl"/>
    </w:rPr>
  </w:style>
  <w:style w:type="paragraph" w:styleId="Heading2">
    <w:name w:val="heading 2"/>
    <w:basedOn w:val="Normal"/>
    <w:next w:val="Normal"/>
    <w:link w:val="Heading2Char"/>
    <w:qFormat/>
    <w:rsid w:val="00E24E60"/>
    <w:pPr>
      <w:keepNext/>
      <w:numPr>
        <w:ilvl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Theme="majorHAnsi" w:eastAsia="Times New Roman" w:hAnsiTheme="majorHAnsi"/>
      <w:b/>
      <w:sz w:val="20"/>
      <w:szCs w:val="20"/>
      <w:bdr w:val="none" w:sz="0" w:space="0" w:color="auto"/>
      <w:lang w:val="es-ES_tradnl"/>
    </w:rPr>
  </w:style>
  <w:style w:type="paragraph" w:styleId="Heading3">
    <w:name w:val="heading 3"/>
    <w:basedOn w:val="Normal"/>
    <w:next w:val="Normal"/>
    <w:link w:val="Heading3Char"/>
    <w:unhideWhenUsed/>
    <w:qFormat/>
    <w:rsid w:val="004B31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sz w:val="24"/>
      <w:szCs w:val="24"/>
    </w:rPr>
  </w:style>
  <w:style w:type="paragraph" w:styleId="Footer">
    <w:name w:val="footer"/>
    <w:link w:val="FooterChar"/>
    <w:rsid w:val="007753D7"/>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7753D7"/>
    <w:rPr>
      <w:rFonts w:ascii="Cambria" w:eastAsia="Cambria" w:hAnsi="Cambria" w:cs="Cambria"/>
      <w:color w:val="000000"/>
      <w:sz w:val="24"/>
      <w:szCs w:val="24"/>
      <w:u w:color="000000"/>
    </w:rPr>
  </w:style>
  <w:style w:type="paragraph" w:styleId="BodyTextIndent">
    <w:name w:val="Body Text Indent"/>
    <w:link w:val="BodyTextIndentChar"/>
    <w:rsid w:val="007753D7"/>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
    <w:link w:val="ListParagraphChar"/>
    <w:uiPriority w:val="99"/>
    <w:qFormat/>
    <w:rsid w:val="007753D7"/>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E24E60"/>
    <w:rPr>
      <w:rFonts w:asciiTheme="majorHAnsi" w:eastAsia="Times New Roman" w:hAnsiTheme="majorHAnsi"/>
      <w:b/>
      <w:bdr w:val="none" w:sz="0" w:space="0" w:color="auto"/>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BB1DDE"/>
    <w:pPr>
      <w:tabs>
        <w:tab w:val="left" w:pos="1440"/>
        <w:tab w:val="right" w:leader="dot" w:pos="9440"/>
      </w:tabs>
      <w:spacing w:after="100"/>
    </w:pPr>
    <w:rPr>
      <w:rFonts w:asciiTheme="majorHAnsi" w:hAnsiTheme="majorHAnsi"/>
      <w:noProof/>
      <w:sz w:val="20"/>
      <w:szCs w:val="20"/>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rsid w:val="004B316C"/>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E24E60"/>
    <w:rPr>
      <w:rFonts w:asciiTheme="majorHAnsi" w:eastAsia="Times New Roman" w:hAnsiTheme="majorHAnsi"/>
      <w:b/>
      <w:bdr w:val="none" w:sz="0" w:space="0" w:color="auto"/>
      <w:lang w:val="es-ES_tradnl" w:eastAsia="en-US"/>
    </w:rPr>
  </w:style>
  <w:style w:type="character" w:customStyle="1" w:styleId="Heading4Char">
    <w:name w:val="Heading 4 Char"/>
    <w:basedOn w:val="DefaultParagraphFont"/>
    <w:link w:val="Heading4"/>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link w:val="Style1Char"/>
    <w:autoRedefine/>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ju-005fpara--char">
    <w:name w:val="ju-005fpara--char"/>
    <w:basedOn w:val="DefaultParagraphFont"/>
    <w:rsid w:val="004B316C"/>
  </w:style>
  <w:style w:type="paragraph" w:customStyle="1" w:styleId="Sinespaciado">
    <w:name w:val="Sin espaciado"/>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4B316C"/>
    <w:rPr>
      <w:i/>
      <w:iCs/>
    </w:rPr>
  </w:style>
  <w:style w:type="character" w:styleId="CommentReference">
    <w:name w:val="annotation reference"/>
    <w:semiHidden/>
    <w:rsid w:val="004B316C"/>
    <w:rPr>
      <w:sz w:val="16"/>
      <w:szCs w:val="16"/>
    </w:rPr>
  </w:style>
  <w:style w:type="paragraph" w:styleId="CommentText">
    <w:name w:val="annotation text"/>
    <w:basedOn w:val="Normal"/>
    <w:link w:val="CommentTextChar"/>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aliases w:val="Párrafo de lista1 Char,List Paragraph1 Char,Colorful List - Accent 11 Char,List Paragraph11 Char"/>
    <w:link w:val="ListParagraph"/>
    <w:uiPriority w:val="99"/>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qFormat/>
    <w:rsid w:val="00E4044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E40449"/>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E40449"/>
    <w:pPr>
      <w:keepNext/>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E40449"/>
    <w:pPr>
      <w:keepNext/>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E40449"/>
    <w:pPr>
      <w:keepNext/>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E40449"/>
    <w:pPr>
      <w:keepNext/>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E40449"/>
    <w:pPr>
      <w:keepNext/>
      <w:numPr>
        <w:ilvl w:val="5"/>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E40449"/>
    <w:pPr>
      <w:keepNext/>
      <w:numPr>
        <w:ilvl w:val="6"/>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E40449"/>
    <w:pPr>
      <w:keepNext/>
      <w:numPr>
        <w:ilvl w:val="7"/>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E40449"/>
    <w:pPr>
      <w:numPr>
        <w:ilvl w:val="8"/>
        <w:numId w:val="56"/>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semiHidden/>
    <w:unhideWhenUsed/>
    <w:qFormat/>
    <w:rsid w:val="00526252"/>
    <w:pPr>
      <w:keepLines/>
      <w:numPr>
        <w:numId w:val="0"/>
      </w:numPr>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34"/>
    <w:qFormat/>
    <w:rsid w:val="005D3C3E"/>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link w:val="ColorfulList-Accent12"/>
    <w:uiPriority w:val="34"/>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 w:type="paragraph" w:styleId="HTMLPreformatted">
    <w:name w:val="HTML Preformatted"/>
    <w:basedOn w:val="Normal"/>
    <w:link w:val="HTMLPreformattedChar"/>
    <w:uiPriority w:val="99"/>
    <w:unhideWhenUsed/>
    <w:rsid w:val="004D264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4D2643"/>
    <w:rPr>
      <w:rFonts w:ascii="Courier New" w:eastAsia="Times New Roman" w:hAnsi="Courier New" w:cs="Courier New"/>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187EE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styleId="EndnoteText">
    <w:name w:val="endnote text"/>
    <w:basedOn w:val="Normal"/>
    <w:link w:val="EndnoteTextChar"/>
    <w:uiPriority w:val="99"/>
    <w:semiHidden/>
    <w:unhideWhenUsed/>
    <w:rsid w:val="00265E2F"/>
    <w:rPr>
      <w:sz w:val="20"/>
      <w:szCs w:val="20"/>
    </w:rPr>
  </w:style>
  <w:style w:type="character" w:customStyle="1" w:styleId="EndnoteTextChar">
    <w:name w:val="Endnote Text Char"/>
    <w:basedOn w:val="DefaultParagraphFont"/>
    <w:link w:val="EndnoteText"/>
    <w:uiPriority w:val="99"/>
    <w:semiHidden/>
    <w:rsid w:val="00265E2F"/>
    <w:rPr>
      <w:lang w:val="en-US" w:eastAsia="en-US"/>
    </w:rPr>
  </w:style>
  <w:style w:type="character" w:styleId="EndnoteReference">
    <w:name w:val="endnote reference"/>
    <w:basedOn w:val="DefaultParagraphFont"/>
    <w:uiPriority w:val="99"/>
    <w:semiHidden/>
    <w:unhideWhenUsed/>
    <w:rsid w:val="00265E2F"/>
    <w:rPr>
      <w:vertAlign w:val="superscript"/>
    </w:rPr>
  </w:style>
  <w:style w:type="table" w:styleId="MediumGrid1">
    <w:name w:val="Medium Grid 1"/>
    <w:basedOn w:val="TableNormal"/>
    <w:uiPriority w:val="67"/>
    <w:rsid w:val="002406F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2406F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186F0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tyle1Char">
    <w:name w:val="Style1 Char"/>
    <w:link w:val="Style1"/>
    <w:rsid w:val="000F7590"/>
    <w:rPr>
      <w:rFonts w:ascii="Univers" w:eastAsia="Times New Roman" w:hAnsi="Univers"/>
      <w:sz w:val="16"/>
      <w:szCs w:val="16"/>
      <w:u w:color="000000"/>
      <w:bdr w:val="none" w:sz="0" w:space="0" w:color="auto"/>
      <w:lang w:val="es-PY"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53D7"/>
    <w:rPr>
      <w:sz w:val="24"/>
      <w:szCs w:val="24"/>
      <w:lang w:val="en-US" w:eastAsia="en-US"/>
    </w:rPr>
  </w:style>
  <w:style w:type="paragraph" w:styleId="Heading1">
    <w:name w:val="heading 1"/>
    <w:basedOn w:val="Normal"/>
    <w:next w:val="Normal"/>
    <w:link w:val="Heading1Char"/>
    <w:qFormat/>
    <w:rsid w:val="00E24E60"/>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heme="majorHAnsi" w:eastAsia="Times New Roman" w:hAnsiTheme="majorHAnsi"/>
      <w:b/>
      <w:sz w:val="20"/>
      <w:szCs w:val="20"/>
      <w:bdr w:val="none" w:sz="0" w:space="0" w:color="auto"/>
      <w:lang w:val="es-ES_tradnl"/>
    </w:rPr>
  </w:style>
  <w:style w:type="paragraph" w:styleId="Heading2">
    <w:name w:val="heading 2"/>
    <w:basedOn w:val="Normal"/>
    <w:next w:val="Normal"/>
    <w:link w:val="Heading2Char"/>
    <w:qFormat/>
    <w:rsid w:val="00E24E60"/>
    <w:pPr>
      <w:keepNext/>
      <w:numPr>
        <w:ilvl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Theme="majorHAnsi" w:eastAsia="Times New Roman" w:hAnsiTheme="majorHAnsi"/>
      <w:b/>
      <w:sz w:val="20"/>
      <w:szCs w:val="20"/>
      <w:bdr w:val="none" w:sz="0" w:space="0" w:color="auto"/>
      <w:lang w:val="es-ES_tradnl"/>
    </w:rPr>
  </w:style>
  <w:style w:type="paragraph" w:styleId="Heading3">
    <w:name w:val="heading 3"/>
    <w:basedOn w:val="Normal"/>
    <w:next w:val="Normal"/>
    <w:link w:val="Heading3Char"/>
    <w:unhideWhenUsed/>
    <w:qFormat/>
    <w:rsid w:val="004B31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sz w:val="24"/>
      <w:szCs w:val="24"/>
    </w:rPr>
  </w:style>
  <w:style w:type="paragraph" w:styleId="Footer">
    <w:name w:val="footer"/>
    <w:link w:val="FooterChar"/>
    <w:rsid w:val="007753D7"/>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7753D7"/>
    <w:rPr>
      <w:rFonts w:ascii="Cambria" w:eastAsia="Cambria" w:hAnsi="Cambria" w:cs="Cambria"/>
      <w:color w:val="000000"/>
      <w:sz w:val="24"/>
      <w:szCs w:val="24"/>
      <w:u w:color="000000"/>
    </w:rPr>
  </w:style>
  <w:style w:type="paragraph" w:styleId="BodyTextIndent">
    <w:name w:val="Body Text Indent"/>
    <w:link w:val="BodyTextIndentChar"/>
    <w:rsid w:val="007753D7"/>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
    <w:link w:val="ListParagraphChar"/>
    <w:uiPriority w:val="99"/>
    <w:qFormat/>
    <w:rsid w:val="007753D7"/>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E24E60"/>
    <w:rPr>
      <w:rFonts w:asciiTheme="majorHAnsi" w:eastAsia="Times New Roman" w:hAnsiTheme="majorHAnsi"/>
      <w:b/>
      <w:bdr w:val="none" w:sz="0" w:space="0" w:color="auto"/>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BB1DDE"/>
    <w:pPr>
      <w:tabs>
        <w:tab w:val="left" w:pos="1440"/>
        <w:tab w:val="right" w:leader="dot" w:pos="9440"/>
      </w:tabs>
      <w:spacing w:after="100"/>
    </w:pPr>
    <w:rPr>
      <w:rFonts w:asciiTheme="majorHAnsi" w:hAnsiTheme="majorHAnsi"/>
      <w:noProof/>
      <w:sz w:val="20"/>
      <w:szCs w:val="20"/>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rsid w:val="004B316C"/>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E24E60"/>
    <w:rPr>
      <w:rFonts w:asciiTheme="majorHAnsi" w:eastAsia="Times New Roman" w:hAnsiTheme="majorHAnsi"/>
      <w:b/>
      <w:bdr w:val="none" w:sz="0" w:space="0" w:color="auto"/>
      <w:lang w:val="es-ES_tradnl" w:eastAsia="en-US"/>
    </w:rPr>
  </w:style>
  <w:style w:type="character" w:customStyle="1" w:styleId="Heading4Char">
    <w:name w:val="Heading 4 Char"/>
    <w:basedOn w:val="DefaultParagraphFont"/>
    <w:link w:val="Heading4"/>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link w:val="Style1Char"/>
    <w:autoRedefine/>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ju-005fpara--char">
    <w:name w:val="ju-005fpara--char"/>
    <w:basedOn w:val="DefaultParagraphFont"/>
    <w:rsid w:val="004B316C"/>
  </w:style>
  <w:style w:type="paragraph" w:customStyle="1" w:styleId="Sinespaciado">
    <w:name w:val="Sin espaciado"/>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4B316C"/>
    <w:rPr>
      <w:i/>
      <w:iCs/>
    </w:rPr>
  </w:style>
  <w:style w:type="character" w:styleId="CommentReference">
    <w:name w:val="annotation reference"/>
    <w:semiHidden/>
    <w:rsid w:val="004B316C"/>
    <w:rPr>
      <w:sz w:val="16"/>
      <w:szCs w:val="16"/>
    </w:rPr>
  </w:style>
  <w:style w:type="paragraph" w:styleId="CommentText">
    <w:name w:val="annotation text"/>
    <w:basedOn w:val="Normal"/>
    <w:link w:val="CommentTextChar"/>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aliases w:val="Párrafo de lista1 Char,List Paragraph1 Char,Colorful List - Accent 11 Char,List Paragraph11 Char"/>
    <w:link w:val="ListParagraph"/>
    <w:uiPriority w:val="99"/>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qFormat/>
    <w:rsid w:val="00E4044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E40449"/>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E40449"/>
    <w:pPr>
      <w:keepNext/>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E40449"/>
    <w:pPr>
      <w:keepNext/>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E40449"/>
    <w:pPr>
      <w:keepNext/>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E40449"/>
    <w:pPr>
      <w:keepNext/>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E40449"/>
    <w:pPr>
      <w:keepNext/>
      <w:numPr>
        <w:ilvl w:val="5"/>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E40449"/>
    <w:pPr>
      <w:keepNext/>
      <w:numPr>
        <w:ilvl w:val="6"/>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E40449"/>
    <w:pPr>
      <w:keepNext/>
      <w:numPr>
        <w:ilvl w:val="7"/>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E40449"/>
    <w:pPr>
      <w:numPr>
        <w:ilvl w:val="8"/>
        <w:numId w:val="56"/>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semiHidden/>
    <w:unhideWhenUsed/>
    <w:qFormat/>
    <w:rsid w:val="00526252"/>
    <w:pPr>
      <w:keepLines/>
      <w:numPr>
        <w:numId w:val="0"/>
      </w:numPr>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34"/>
    <w:qFormat/>
    <w:rsid w:val="005D3C3E"/>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link w:val="ColorfulList-Accent12"/>
    <w:uiPriority w:val="34"/>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 w:type="paragraph" w:styleId="HTMLPreformatted">
    <w:name w:val="HTML Preformatted"/>
    <w:basedOn w:val="Normal"/>
    <w:link w:val="HTMLPreformattedChar"/>
    <w:uiPriority w:val="99"/>
    <w:unhideWhenUsed/>
    <w:rsid w:val="004D264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4D2643"/>
    <w:rPr>
      <w:rFonts w:ascii="Courier New" w:eastAsia="Times New Roman" w:hAnsi="Courier New" w:cs="Courier New"/>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187EE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styleId="EndnoteText">
    <w:name w:val="endnote text"/>
    <w:basedOn w:val="Normal"/>
    <w:link w:val="EndnoteTextChar"/>
    <w:uiPriority w:val="99"/>
    <w:semiHidden/>
    <w:unhideWhenUsed/>
    <w:rsid w:val="00265E2F"/>
    <w:rPr>
      <w:sz w:val="20"/>
      <w:szCs w:val="20"/>
    </w:rPr>
  </w:style>
  <w:style w:type="character" w:customStyle="1" w:styleId="EndnoteTextChar">
    <w:name w:val="Endnote Text Char"/>
    <w:basedOn w:val="DefaultParagraphFont"/>
    <w:link w:val="EndnoteText"/>
    <w:uiPriority w:val="99"/>
    <w:semiHidden/>
    <w:rsid w:val="00265E2F"/>
    <w:rPr>
      <w:lang w:val="en-US" w:eastAsia="en-US"/>
    </w:rPr>
  </w:style>
  <w:style w:type="character" w:styleId="EndnoteReference">
    <w:name w:val="endnote reference"/>
    <w:basedOn w:val="DefaultParagraphFont"/>
    <w:uiPriority w:val="99"/>
    <w:semiHidden/>
    <w:unhideWhenUsed/>
    <w:rsid w:val="00265E2F"/>
    <w:rPr>
      <w:vertAlign w:val="superscript"/>
    </w:rPr>
  </w:style>
  <w:style w:type="table" w:styleId="MediumGrid1">
    <w:name w:val="Medium Grid 1"/>
    <w:basedOn w:val="TableNormal"/>
    <w:uiPriority w:val="67"/>
    <w:rsid w:val="002406F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2406F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186F0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tyle1Char">
    <w:name w:val="Style1 Char"/>
    <w:link w:val="Style1"/>
    <w:rsid w:val="000F7590"/>
    <w:rPr>
      <w:rFonts w:ascii="Univers" w:eastAsia="Times New Roman" w:hAnsi="Univers"/>
      <w:sz w:val="16"/>
      <w:szCs w:val="16"/>
      <w:u w:color="000000"/>
      <w:bdr w:val="none" w:sz="0" w:space="0" w:color="auto"/>
      <w:lang w:val="es-P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0900">
      <w:bodyDiv w:val="1"/>
      <w:marLeft w:val="0"/>
      <w:marRight w:val="0"/>
      <w:marTop w:val="0"/>
      <w:marBottom w:val="0"/>
      <w:divBdr>
        <w:top w:val="none" w:sz="0" w:space="0" w:color="auto"/>
        <w:left w:val="none" w:sz="0" w:space="0" w:color="auto"/>
        <w:bottom w:val="none" w:sz="0" w:space="0" w:color="auto"/>
        <w:right w:val="none" w:sz="0" w:space="0" w:color="auto"/>
      </w:divBdr>
      <w:divsChild>
        <w:div w:id="1614703790">
          <w:marLeft w:val="0"/>
          <w:marRight w:val="0"/>
          <w:marTop w:val="0"/>
          <w:marBottom w:val="0"/>
          <w:divBdr>
            <w:top w:val="none" w:sz="0" w:space="0" w:color="auto"/>
            <w:left w:val="none" w:sz="0" w:space="0" w:color="auto"/>
            <w:bottom w:val="none" w:sz="0" w:space="0" w:color="auto"/>
            <w:right w:val="none" w:sz="0" w:space="0" w:color="auto"/>
          </w:divBdr>
          <w:divsChild>
            <w:div w:id="1615555170">
              <w:marLeft w:val="0"/>
              <w:marRight w:val="0"/>
              <w:marTop w:val="0"/>
              <w:marBottom w:val="0"/>
              <w:divBdr>
                <w:top w:val="none" w:sz="0" w:space="0" w:color="auto"/>
                <w:left w:val="none" w:sz="0" w:space="0" w:color="auto"/>
                <w:bottom w:val="none" w:sz="0" w:space="0" w:color="auto"/>
                <w:right w:val="none" w:sz="0" w:space="0" w:color="auto"/>
              </w:divBdr>
              <w:divsChild>
                <w:div w:id="17087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3949">
      <w:bodyDiv w:val="1"/>
      <w:marLeft w:val="0"/>
      <w:marRight w:val="0"/>
      <w:marTop w:val="0"/>
      <w:marBottom w:val="0"/>
      <w:divBdr>
        <w:top w:val="none" w:sz="0" w:space="0" w:color="auto"/>
        <w:left w:val="none" w:sz="0" w:space="0" w:color="auto"/>
        <w:bottom w:val="none" w:sz="0" w:space="0" w:color="auto"/>
        <w:right w:val="none" w:sz="0" w:space="0" w:color="auto"/>
      </w:divBdr>
      <w:divsChild>
        <w:div w:id="2063870308">
          <w:marLeft w:val="0"/>
          <w:marRight w:val="0"/>
          <w:marTop w:val="0"/>
          <w:marBottom w:val="0"/>
          <w:divBdr>
            <w:top w:val="none" w:sz="0" w:space="0" w:color="auto"/>
            <w:left w:val="none" w:sz="0" w:space="0" w:color="auto"/>
            <w:bottom w:val="none" w:sz="0" w:space="0" w:color="auto"/>
            <w:right w:val="none" w:sz="0" w:space="0" w:color="auto"/>
          </w:divBdr>
          <w:divsChild>
            <w:div w:id="1778405652">
              <w:marLeft w:val="0"/>
              <w:marRight w:val="0"/>
              <w:marTop w:val="0"/>
              <w:marBottom w:val="0"/>
              <w:divBdr>
                <w:top w:val="none" w:sz="0" w:space="0" w:color="auto"/>
                <w:left w:val="none" w:sz="0" w:space="0" w:color="auto"/>
                <w:bottom w:val="none" w:sz="0" w:space="0" w:color="auto"/>
                <w:right w:val="none" w:sz="0" w:space="0" w:color="auto"/>
              </w:divBdr>
              <w:divsChild>
                <w:div w:id="8724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3612">
      <w:bodyDiv w:val="1"/>
      <w:marLeft w:val="0"/>
      <w:marRight w:val="0"/>
      <w:marTop w:val="0"/>
      <w:marBottom w:val="0"/>
      <w:divBdr>
        <w:top w:val="none" w:sz="0" w:space="0" w:color="auto"/>
        <w:left w:val="none" w:sz="0" w:space="0" w:color="auto"/>
        <w:bottom w:val="none" w:sz="0" w:space="0" w:color="auto"/>
        <w:right w:val="none" w:sz="0" w:space="0" w:color="auto"/>
      </w:divBdr>
    </w:div>
    <w:div w:id="125125692">
      <w:bodyDiv w:val="1"/>
      <w:marLeft w:val="0"/>
      <w:marRight w:val="0"/>
      <w:marTop w:val="0"/>
      <w:marBottom w:val="0"/>
      <w:divBdr>
        <w:top w:val="none" w:sz="0" w:space="0" w:color="auto"/>
        <w:left w:val="none" w:sz="0" w:space="0" w:color="auto"/>
        <w:bottom w:val="none" w:sz="0" w:space="0" w:color="auto"/>
        <w:right w:val="none" w:sz="0" w:space="0" w:color="auto"/>
      </w:divBdr>
    </w:div>
    <w:div w:id="128473114">
      <w:bodyDiv w:val="1"/>
      <w:marLeft w:val="0"/>
      <w:marRight w:val="0"/>
      <w:marTop w:val="0"/>
      <w:marBottom w:val="0"/>
      <w:divBdr>
        <w:top w:val="none" w:sz="0" w:space="0" w:color="auto"/>
        <w:left w:val="none" w:sz="0" w:space="0" w:color="auto"/>
        <w:bottom w:val="none" w:sz="0" w:space="0" w:color="auto"/>
        <w:right w:val="none" w:sz="0" w:space="0" w:color="auto"/>
      </w:divBdr>
    </w:div>
    <w:div w:id="182089093">
      <w:bodyDiv w:val="1"/>
      <w:marLeft w:val="0"/>
      <w:marRight w:val="0"/>
      <w:marTop w:val="0"/>
      <w:marBottom w:val="0"/>
      <w:divBdr>
        <w:top w:val="none" w:sz="0" w:space="0" w:color="auto"/>
        <w:left w:val="none" w:sz="0" w:space="0" w:color="auto"/>
        <w:bottom w:val="none" w:sz="0" w:space="0" w:color="auto"/>
        <w:right w:val="none" w:sz="0" w:space="0" w:color="auto"/>
      </w:divBdr>
    </w:div>
    <w:div w:id="217208730">
      <w:bodyDiv w:val="1"/>
      <w:marLeft w:val="0"/>
      <w:marRight w:val="0"/>
      <w:marTop w:val="0"/>
      <w:marBottom w:val="0"/>
      <w:divBdr>
        <w:top w:val="none" w:sz="0" w:space="0" w:color="auto"/>
        <w:left w:val="none" w:sz="0" w:space="0" w:color="auto"/>
        <w:bottom w:val="none" w:sz="0" w:space="0" w:color="auto"/>
        <w:right w:val="none" w:sz="0" w:space="0" w:color="auto"/>
      </w:divBdr>
      <w:divsChild>
        <w:div w:id="226035566">
          <w:marLeft w:val="0"/>
          <w:marRight w:val="0"/>
          <w:marTop w:val="0"/>
          <w:marBottom w:val="0"/>
          <w:divBdr>
            <w:top w:val="none" w:sz="0" w:space="0" w:color="auto"/>
            <w:left w:val="none" w:sz="0" w:space="0" w:color="auto"/>
            <w:bottom w:val="none" w:sz="0" w:space="0" w:color="auto"/>
            <w:right w:val="none" w:sz="0" w:space="0" w:color="auto"/>
          </w:divBdr>
          <w:divsChild>
            <w:div w:id="1873301713">
              <w:marLeft w:val="0"/>
              <w:marRight w:val="0"/>
              <w:marTop w:val="0"/>
              <w:marBottom w:val="0"/>
              <w:divBdr>
                <w:top w:val="none" w:sz="0" w:space="0" w:color="auto"/>
                <w:left w:val="none" w:sz="0" w:space="0" w:color="auto"/>
                <w:bottom w:val="none" w:sz="0" w:space="0" w:color="auto"/>
                <w:right w:val="none" w:sz="0" w:space="0" w:color="auto"/>
              </w:divBdr>
              <w:divsChild>
                <w:div w:id="10421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7795">
      <w:bodyDiv w:val="1"/>
      <w:marLeft w:val="0"/>
      <w:marRight w:val="0"/>
      <w:marTop w:val="0"/>
      <w:marBottom w:val="0"/>
      <w:divBdr>
        <w:top w:val="none" w:sz="0" w:space="0" w:color="auto"/>
        <w:left w:val="none" w:sz="0" w:space="0" w:color="auto"/>
        <w:bottom w:val="none" w:sz="0" w:space="0" w:color="auto"/>
        <w:right w:val="none" w:sz="0" w:space="0" w:color="auto"/>
      </w:divBdr>
      <w:divsChild>
        <w:div w:id="615672209">
          <w:marLeft w:val="0"/>
          <w:marRight w:val="0"/>
          <w:marTop w:val="0"/>
          <w:marBottom w:val="0"/>
          <w:divBdr>
            <w:top w:val="none" w:sz="0" w:space="0" w:color="auto"/>
            <w:left w:val="none" w:sz="0" w:space="0" w:color="auto"/>
            <w:bottom w:val="none" w:sz="0" w:space="0" w:color="auto"/>
            <w:right w:val="none" w:sz="0" w:space="0" w:color="auto"/>
          </w:divBdr>
          <w:divsChild>
            <w:div w:id="488667486">
              <w:marLeft w:val="0"/>
              <w:marRight w:val="0"/>
              <w:marTop w:val="0"/>
              <w:marBottom w:val="0"/>
              <w:divBdr>
                <w:top w:val="none" w:sz="0" w:space="0" w:color="auto"/>
                <w:left w:val="none" w:sz="0" w:space="0" w:color="auto"/>
                <w:bottom w:val="none" w:sz="0" w:space="0" w:color="auto"/>
                <w:right w:val="none" w:sz="0" w:space="0" w:color="auto"/>
              </w:divBdr>
              <w:divsChild>
                <w:div w:id="5353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60335">
      <w:bodyDiv w:val="1"/>
      <w:marLeft w:val="0"/>
      <w:marRight w:val="0"/>
      <w:marTop w:val="0"/>
      <w:marBottom w:val="0"/>
      <w:divBdr>
        <w:top w:val="none" w:sz="0" w:space="0" w:color="auto"/>
        <w:left w:val="none" w:sz="0" w:space="0" w:color="auto"/>
        <w:bottom w:val="none" w:sz="0" w:space="0" w:color="auto"/>
        <w:right w:val="none" w:sz="0" w:space="0" w:color="auto"/>
      </w:divBdr>
    </w:div>
    <w:div w:id="362901482">
      <w:bodyDiv w:val="1"/>
      <w:marLeft w:val="0"/>
      <w:marRight w:val="0"/>
      <w:marTop w:val="0"/>
      <w:marBottom w:val="0"/>
      <w:divBdr>
        <w:top w:val="none" w:sz="0" w:space="0" w:color="auto"/>
        <w:left w:val="none" w:sz="0" w:space="0" w:color="auto"/>
        <w:bottom w:val="none" w:sz="0" w:space="0" w:color="auto"/>
        <w:right w:val="none" w:sz="0" w:space="0" w:color="auto"/>
      </w:divBdr>
    </w:div>
    <w:div w:id="396171635">
      <w:bodyDiv w:val="1"/>
      <w:marLeft w:val="0"/>
      <w:marRight w:val="0"/>
      <w:marTop w:val="0"/>
      <w:marBottom w:val="0"/>
      <w:divBdr>
        <w:top w:val="none" w:sz="0" w:space="0" w:color="auto"/>
        <w:left w:val="none" w:sz="0" w:space="0" w:color="auto"/>
        <w:bottom w:val="none" w:sz="0" w:space="0" w:color="auto"/>
        <w:right w:val="none" w:sz="0" w:space="0" w:color="auto"/>
      </w:divBdr>
    </w:div>
    <w:div w:id="431360052">
      <w:bodyDiv w:val="1"/>
      <w:marLeft w:val="0"/>
      <w:marRight w:val="0"/>
      <w:marTop w:val="0"/>
      <w:marBottom w:val="0"/>
      <w:divBdr>
        <w:top w:val="none" w:sz="0" w:space="0" w:color="auto"/>
        <w:left w:val="none" w:sz="0" w:space="0" w:color="auto"/>
        <w:bottom w:val="none" w:sz="0" w:space="0" w:color="auto"/>
        <w:right w:val="none" w:sz="0" w:space="0" w:color="auto"/>
      </w:divBdr>
    </w:div>
    <w:div w:id="572394939">
      <w:bodyDiv w:val="1"/>
      <w:marLeft w:val="0"/>
      <w:marRight w:val="0"/>
      <w:marTop w:val="0"/>
      <w:marBottom w:val="0"/>
      <w:divBdr>
        <w:top w:val="none" w:sz="0" w:space="0" w:color="auto"/>
        <w:left w:val="none" w:sz="0" w:space="0" w:color="auto"/>
        <w:bottom w:val="none" w:sz="0" w:space="0" w:color="auto"/>
        <w:right w:val="none" w:sz="0" w:space="0" w:color="auto"/>
      </w:divBdr>
      <w:divsChild>
        <w:div w:id="1909606406">
          <w:marLeft w:val="0"/>
          <w:marRight w:val="0"/>
          <w:marTop w:val="0"/>
          <w:marBottom w:val="0"/>
          <w:divBdr>
            <w:top w:val="none" w:sz="0" w:space="0" w:color="auto"/>
            <w:left w:val="none" w:sz="0" w:space="0" w:color="auto"/>
            <w:bottom w:val="none" w:sz="0" w:space="0" w:color="auto"/>
            <w:right w:val="none" w:sz="0" w:space="0" w:color="auto"/>
          </w:divBdr>
          <w:divsChild>
            <w:div w:id="309869785">
              <w:marLeft w:val="0"/>
              <w:marRight w:val="0"/>
              <w:marTop w:val="0"/>
              <w:marBottom w:val="0"/>
              <w:divBdr>
                <w:top w:val="none" w:sz="0" w:space="0" w:color="auto"/>
                <w:left w:val="none" w:sz="0" w:space="0" w:color="auto"/>
                <w:bottom w:val="none" w:sz="0" w:space="0" w:color="auto"/>
                <w:right w:val="none" w:sz="0" w:space="0" w:color="auto"/>
              </w:divBdr>
              <w:divsChild>
                <w:div w:id="957755225">
                  <w:marLeft w:val="0"/>
                  <w:marRight w:val="0"/>
                  <w:marTop w:val="0"/>
                  <w:marBottom w:val="0"/>
                  <w:divBdr>
                    <w:top w:val="none" w:sz="0" w:space="0" w:color="auto"/>
                    <w:left w:val="none" w:sz="0" w:space="0" w:color="auto"/>
                    <w:bottom w:val="none" w:sz="0" w:space="0" w:color="auto"/>
                    <w:right w:val="none" w:sz="0" w:space="0" w:color="auto"/>
                  </w:divBdr>
                  <w:divsChild>
                    <w:div w:id="10392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24764">
      <w:bodyDiv w:val="1"/>
      <w:marLeft w:val="0"/>
      <w:marRight w:val="0"/>
      <w:marTop w:val="0"/>
      <w:marBottom w:val="0"/>
      <w:divBdr>
        <w:top w:val="none" w:sz="0" w:space="0" w:color="auto"/>
        <w:left w:val="none" w:sz="0" w:space="0" w:color="auto"/>
        <w:bottom w:val="none" w:sz="0" w:space="0" w:color="auto"/>
        <w:right w:val="none" w:sz="0" w:space="0" w:color="auto"/>
      </w:divBdr>
    </w:div>
    <w:div w:id="779111432">
      <w:bodyDiv w:val="1"/>
      <w:marLeft w:val="0"/>
      <w:marRight w:val="0"/>
      <w:marTop w:val="0"/>
      <w:marBottom w:val="0"/>
      <w:divBdr>
        <w:top w:val="none" w:sz="0" w:space="0" w:color="auto"/>
        <w:left w:val="none" w:sz="0" w:space="0" w:color="auto"/>
        <w:bottom w:val="none" w:sz="0" w:space="0" w:color="auto"/>
        <w:right w:val="none" w:sz="0" w:space="0" w:color="auto"/>
      </w:divBdr>
    </w:div>
    <w:div w:id="862866816">
      <w:bodyDiv w:val="1"/>
      <w:marLeft w:val="0"/>
      <w:marRight w:val="0"/>
      <w:marTop w:val="0"/>
      <w:marBottom w:val="0"/>
      <w:divBdr>
        <w:top w:val="none" w:sz="0" w:space="0" w:color="auto"/>
        <w:left w:val="none" w:sz="0" w:space="0" w:color="auto"/>
        <w:bottom w:val="none" w:sz="0" w:space="0" w:color="auto"/>
        <w:right w:val="none" w:sz="0" w:space="0" w:color="auto"/>
      </w:divBdr>
    </w:div>
    <w:div w:id="869807112">
      <w:bodyDiv w:val="1"/>
      <w:marLeft w:val="0"/>
      <w:marRight w:val="0"/>
      <w:marTop w:val="0"/>
      <w:marBottom w:val="0"/>
      <w:divBdr>
        <w:top w:val="none" w:sz="0" w:space="0" w:color="auto"/>
        <w:left w:val="none" w:sz="0" w:space="0" w:color="auto"/>
        <w:bottom w:val="none" w:sz="0" w:space="0" w:color="auto"/>
        <w:right w:val="none" w:sz="0" w:space="0" w:color="auto"/>
      </w:divBdr>
    </w:div>
    <w:div w:id="888735094">
      <w:bodyDiv w:val="1"/>
      <w:marLeft w:val="0"/>
      <w:marRight w:val="0"/>
      <w:marTop w:val="0"/>
      <w:marBottom w:val="0"/>
      <w:divBdr>
        <w:top w:val="none" w:sz="0" w:space="0" w:color="auto"/>
        <w:left w:val="none" w:sz="0" w:space="0" w:color="auto"/>
        <w:bottom w:val="none" w:sz="0" w:space="0" w:color="auto"/>
        <w:right w:val="none" w:sz="0" w:space="0" w:color="auto"/>
      </w:divBdr>
    </w:div>
    <w:div w:id="912397683">
      <w:bodyDiv w:val="1"/>
      <w:marLeft w:val="0"/>
      <w:marRight w:val="0"/>
      <w:marTop w:val="0"/>
      <w:marBottom w:val="0"/>
      <w:divBdr>
        <w:top w:val="none" w:sz="0" w:space="0" w:color="auto"/>
        <w:left w:val="none" w:sz="0" w:space="0" w:color="auto"/>
        <w:bottom w:val="none" w:sz="0" w:space="0" w:color="auto"/>
        <w:right w:val="none" w:sz="0" w:space="0" w:color="auto"/>
      </w:divBdr>
    </w:div>
    <w:div w:id="981352473">
      <w:bodyDiv w:val="1"/>
      <w:marLeft w:val="0"/>
      <w:marRight w:val="0"/>
      <w:marTop w:val="0"/>
      <w:marBottom w:val="0"/>
      <w:divBdr>
        <w:top w:val="none" w:sz="0" w:space="0" w:color="auto"/>
        <w:left w:val="none" w:sz="0" w:space="0" w:color="auto"/>
        <w:bottom w:val="none" w:sz="0" w:space="0" w:color="auto"/>
        <w:right w:val="none" w:sz="0" w:space="0" w:color="auto"/>
      </w:divBdr>
    </w:div>
    <w:div w:id="1071273860">
      <w:bodyDiv w:val="1"/>
      <w:marLeft w:val="0"/>
      <w:marRight w:val="0"/>
      <w:marTop w:val="0"/>
      <w:marBottom w:val="0"/>
      <w:divBdr>
        <w:top w:val="none" w:sz="0" w:space="0" w:color="auto"/>
        <w:left w:val="none" w:sz="0" w:space="0" w:color="auto"/>
        <w:bottom w:val="none" w:sz="0" w:space="0" w:color="auto"/>
        <w:right w:val="none" w:sz="0" w:space="0" w:color="auto"/>
      </w:divBdr>
    </w:div>
    <w:div w:id="1220936955">
      <w:bodyDiv w:val="1"/>
      <w:marLeft w:val="0"/>
      <w:marRight w:val="0"/>
      <w:marTop w:val="0"/>
      <w:marBottom w:val="0"/>
      <w:divBdr>
        <w:top w:val="none" w:sz="0" w:space="0" w:color="auto"/>
        <w:left w:val="none" w:sz="0" w:space="0" w:color="auto"/>
        <w:bottom w:val="none" w:sz="0" w:space="0" w:color="auto"/>
        <w:right w:val="none" w:sz="0" w:space="0" w:color="auto"/>
      </w:divBdr>
      <w:divsChild>
        <w:div w:id="804811409">
          <w:marLeft w:val="0"/>
          <w:marRight w:val="0"/>
          <w:marTop w:val="0"/>
          <w:marBottom w:val="0"/>
          <w:divBdr>
            <w:top w:val="none" w:sz="0" w:space="0" w:color="auto"/>
            <w:left w:val="none" w:sz="0" w:space="0" w:color="auto"/>
            <w:bottom w:val="none" w:sz="0" w:space="0" w:color="auto"/>
            <w:right w:val="none" w:sz="0" w:space="0" w:color="auto"/>
          </w:divBdr>
          <w:divsChild>
            <w:div w:id="992490227">
              <w:marLeft w:val="0"/>
              <w:marRight w:val="0"/>
              <w:marTop w:val="0"/>
              <w:marBottom w:val="0"/>
              <w:divBdr>
                <w:top w:val="none" w:sz="0" w:space="0" w:color="auto"/>
                <w:left w:val="none" w:sz="0" w:space="0" w:color="auto"/>
                <w:bottom w:val="none" w:sz="0" w:space="0" w:color="auto"/>
                <w:right w:val="none" w:sz="0" w:space="0" w:color="auto"/>
              </w:divBdr>
              <w:divsChild>
                <w:div w:id="10595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2220">
      <w:bodyDiv w:val="1"/>
      <w:marLeft w:val="0"/>
      <w:marRight w:val="0"/>
      <w:marTop w:val="0"/>
      <w:marBottom w:val="0"/>
      <w:divBdr>
        <w:top w:val="none" w:sz="0" w:space="0" w:color="auto"/>
        <w:left w:val="none" w:sz="0" w:space="0" w:color="auto"/>
        <w:bottom w:val="none" w:sz="0" w:space="0" w:color="auto"/>
        <w:right w:val="none" w:sz="0" w:space="0" w:color="auto"/>
      </w:divBdr>
      <w:divsChild>
        <w:div w:id="1793479875">
          <w:marLeft w:val="0"/>
          <w:marRight w:val="0"/>
          <w:marTop w:val="0"/>
          <w:marBottom w:val="0"/>
          <w:divBdr>
            <w:top w:val="none" w:sz="0" w:space="0" w:color="auto"/>
            <w:left w:val="none" w:sz="0" w:space="0" w:color="auto"/>
            <w:bottom w:val="none" w:sz="0" w:space="0" w:color="auto"/>
            <w:right w:val="none" w:sz="0" w:space="0" w:color="auto"/>
          </w:divBdr>
          <w:divsChild>
            <w:div w:id="59988567">
              <w:marLeft w:val="0"/>
              <w:marRight w:val="0"/>
              <w:marTop w:val="0"/>
              <w:marBottom w:val="0"/>
              <w:divBdr>
                <w:top w:val="none" w:sz="0" w:space="0" w:color="auto"/>
                <w:left w:val="none" w:sz="0" w:space="0" w:color="auto"/>
                <w:bottom w:val="none" w:sz="0" w:space="0" w:color="auto"/>
                <w:right w:val="none" w:sz="0" w:space="0" w:color="auto"/>
              </w:divBdr>
              <w:divsChild>
                <w:div w:id="2141341908">
                  <w:marLeft w:val="0"/>
                  <w:marRight w:val="0"/>
                  <w:marTop w:val="0"/>
                  <w:marBottom w:val="0"/>
                  <w:divBdr>
                    <w:top w:val="none" w:sz="0" w:space="0" w:color="auto"/>
                    <w:left w:val="none" w:sz="0" w:space="0" w:color="auto"/>
                    <w:bottom w:val="none" w:sz="0" w:space="0" w:color="auto"/>
                    <w:right w:val="none" w:sz="0" w:space="0" w:color="auto"/>
                  </w:divBdr>
                  <w:divsChild>
                    <w:div w:id="7263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98783">
      <w:bodyDiv w:val="1"/>
      <w:marLeft w:val="0"/>
      <w:marRight w:val="0"/>
      <w:marTop w:val="0"/>
      <w:marBottom w:val="0"/>
      <w:divBdr>
        <w:top w:val="none" w:sz="0" w:space="0" w:color="auto"/>
        <w:left w:val="none" w:sz="0" w:space="0" w:color="auto"/>
        <w:bottom w:val="none" w:sz="0" w:space="0" w:color="auto"/>
        <w:right w:val="none" w:sz="0" w:space="0" w:color="auto"/>
      </w:divBdr>
    </w:div>
    <w:div w:id="1468745761">
      <w:bodyDiv w:val="1"/>
      <w:marLeft w:val="0"/>
      <w:marRight w:val="0"/>
      <w:marTop w:val="0"/>
      <w:marBottom w:val="0"/>
      <w:divBdr>
        <w:top w:val="none" w:sz="0" w:space="0" w:color="auto"/>
        <w:left w:val="none" w:sz="0" w:space="0" w:color="auto"/>
        <w:bottom w:val="none" w:sz="0" w:space="0" w:color="auto"/>
        <w:right w:val="none" w:sz="0" w:space="0" w:color="auto"/>
      </w:divBdr>
    </w:div>
    <w:div w:id="1477524889">
      <w:bodyDiv w:val="1"/>
      <w:marLeft w:val="0"/>
      <w:marRight w:val="0"/>
      <w:marTop w:val="0"/>
      <w:marBottom w:val="0"/>
      <w:divBdr>
        <w:top w:val="none" w:sz="0" w:space="0" w:color="auto"/>
        <w:left w:val="none" w:sz="0" w:space="0" w:color="auto"/>
        <w:bottom w:val="none" w:sz="0" w:space="0" w:color="auto"/>
        <w:right w:val="none" w:sz="0" w:space="0" w:color="auto"/>
      </w:divBdr>
    </w:div>
    <w:div w:id="1515920160">
      <w:bodyDiv w:val="1"/>
      <w:marLeft w:val="0"/>
      <w:marRight w:val="0"/>
      <w:marTop w:val="0"/>
      <w:marBottom w:val="0"/>
      <w:divBdr>
        <w:top w:val="none" w:sz="0" w:space="0" w:color="auto"/>
        <w:left w:val="none" w:sz="0" w:space="0" w:color="auto"/>
        <w:bottom w:val="none" w:sz="0" w:space="0" w:color="auto"/>
        <w:right w:val="none" w:sz="0" w:space="0" w:color="auto"/>
      </w:divBdr>
      <w:divsChild>
        <w:div w:id="1778017893">
          <w:marLeft w:val="0"/>
          <w:marRight w:val="0"/>
          <w:marTop w:val="0"/>
          <w:marBottom w:val="0"/>
          <w:divBdr>
            <w:top w:val="none" w:sz="0" w:space="0" w:color="auto"/>
            <w:left w:val="none" w:sz="0" w:space="0" w:color="auto"/>
            <w:bottom w:val="none" w:sz="0" w:space="0" w:color="auto"/>
            <w:right w:val="none" w:sz="0" w:space="0" w:color="auto"/>
          </w:divBdr>
          <w:divsChild>
            <w:div w:id="518545274">
              <w:marLeft w:val="0"/>
              <w:marRight w:val="0"/>
              <w:marTop w:val="0"/>
              <w:marBottom w:val="0"/>
              <w:divBdr>
                <w:top w:val="none" w:sz="0" w:space="0" w:color="auto"/>
                <w:left w:val="none" w:sz="0" w:space="0" w:color="auto"/>
                <w:bottom w:val="none" w:sz="0" w:space="0" w:color="auto"/>
                <w:right w:val="none" w:sz="0" w:space="0" w:color="auto"/>
              </w:divBdr>
              <w:divsChild>
                <w:div w:id="1495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8871">
      <w:bodyDiv w:val="1"/>
      <w:marLeft w:val="0"/>
      <w:marRight w:val="0"/>
      <w:marTop w:val="0"/>
      <w:marBottom w:val="0"/>
      <w:divBdr>
        <w:top w:val="none" w:sz="0" w:space="0" w:color="auto"/>
        <w:left w:val="none" w:sz="0" w:space="0" w:color="auto"/>
        <w:bottom w:val="none" w:sz="0" w:space="0" w:color="auto"/>
        <w:right w:val="none" w:sz="0" w:space="0" w:color="auto"/>
      </w:divBdr>
      <w:divsChild>
        <w:div w:id="2000881240">
          <w:marLeft w:val="0"/>
          <w:marRight w:val="0"/>
          <w:marTop w:val="0"/>
          <w:marBottom w:val="0"/>
          <w:divBdr>
            <w:top w:val="none" w:sz="0" w:space="0" w:color="auto"/>
            <w:left w:val="none" w:sz="0" w:space="0" w:color="auto"/>
            <w:bottom w:val="none" w:sz="0" w:space="0" w:color="auto"/>
            <w:right w:val="none" w:sz="0" w:space="0" w:color="auto"/>
          </w:divBdr>
          <w:divsChild>
            <w:div w:id="183977375">
              <w:marLeft w:val="0"/>
              <w:marRight w:val="0"/>
              <w:marTop w:val="0"/>
              <w:marBottom w:val="0"/>
              <w:divBdr>
                <w:top w:val="none" w:sz="0" w:space="0" w:color="auto"/>
                <w:left w:val="none" w:sz="0" w:space="0" w:color="auto"/>
                <w:bottom w:val="none" w:sz="0" w:space="0" w:color="auto"/>
                <w:right w:val="none" w:sz="0" w:space="0" w:color="auto"/>
              </w:divBdr>
              <w:divsChild>
                <w:div w:id="4332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5607">
      <w:bodyDiv w:val="1"/>
      <w:marLeft w:val="0"/>
      <w:marRight w:val="0"/>
      <w:marTop w:val="0"/>
      <w:marBottom w:val="0"/>
      <w:divBdr>
        <w:top w:val="none" w:sz="0" w:space="0" w:color="auto"/>
        <w:left w:val="none" w:sz="0" w:space="0" w:color="auto"/>
        <w:bottom w:val="none" w:sz="0" w:space="0" w:color="auto"/>
        <w:right w:val="none" w:sz="0" w:space="0" w:color="auto"/>
      </w:divBdr>
      <w:divsChild>
        <w:div w:id="1885410878">
          <w:marLeft w:val="0"/>
          <w:marRight w:val="0"/>
          <w:marTop w:val="0"/>
          <w:marBottom w:val="0"/>
          <w:divBdr>
            <w:top w:val="none" w:sz="0" w:space="0" w:color="auto"/>
            <w:left w:val="none" w:sz="0" w:space="0" w:color="auto"/>
            <w:bottom w:val="none" w:sz="0" w:space="0" w:color="auto"/>
            <w:right w:val="none" w:sz="0" w:space="0" w:color="auto"/>
          </w:divBdr>
          <w:divsChild>
            <w:div w:id="862671937">
              <w:marLeft w:val="0"/>
              <w:marRight w:val="0"/>
              <w:marTop w:val="0"/>
              <w:marBottom w:val="0"/>
              <w:divBdr>
                <w:top w:val="none" w:sz="0" w:space="0" w:color="auto"/>
                <w:left w:val="none" w:sz="0" w:space="0" w:color="auto"/>
                <w:bottom w:val="none" w:sz="0" w:space="0" w:color="auto"/>
                <w:right w:val="none" w:sz="0" w:space="0" w:color="auto"/>
              </w:divBdr>
              <w:divsChild>
                <w:div w:id="9130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2184">
      <w:bodyDiv w:val="1"/>
      <w:marLeft w:val="0"/>
      <w:marRight w:val="0"/>
      <w:marTop w:val="0"/>
      <w:marBottom w:val="0"/>
      <w:divBdr>
        <w:top w:val="none" w:sz="0" w:space="0" w:color="auto"/>
        <w:left w:val="none" w:sz="0" w:space="0" w:color="auto"/>
        <w:bottom w:val="none" w:sz="0" w:space="0" w:color="auto"/>
        <w:right w:val="none" w:sz="0" w:space="0" w:color="auto"/>
      </w:divBdr>
    </w:div>
    <w:div w:id="1730836369">
      <w:bodyDiv w:val="1"/>
      <w:marLeft w:val="0"/>
      <w:marRight w:val="0"/>
      <w:marTop w:val="0"/>
      <w:marBottom w:val="0"/>
      <w:divBdr>
        <w:top w:val="none" w:sz="0" w:space="0" w:color="auto"/>
        <w:left w:val="none" w:sz="0" w:space="0" w:color="auto"/>
        <w:bottom w:val="none" w:sz="0" w:space="0" w:color="auto"/>
        <w:right w:val="none" w:sz="0" w:space="0" w:color="auto"/>
      </w:divBdr>
      <w:divsChild>
        <w:div w:id="1244685949">
          <w:marLeft w:val="0"/>
          <w:marRight w:val="0"/>
          <w:marTop w:val="0"/>
          <w:marBottom w:val="0"/>
          <w:divBdr>
            <w:top w:val="none" w:sz="0" w:space="0" w:color="auto"/>
            <w:left w:val="none" w:sz="0" w:space="0" w:color="auto"/>
            <w:bottom w:val="none" w:sz="0" w:space="0" w:color="auto"/>
            <w:right w:val="none" w:sz="0" w:space="0" w:color="auto"/>
          </w:divBdr>
        </w:div>
      </w:divsChild>
    </w:div>
    <w:div w:id="1775709477">
      <w:bodyDiv w:val="1"/>
      <w:marLeft w:val="0"/>
      <w:marRight w:val="0"/>
      <w:marTop w:val="0"/>
      <w:marBottom w:val="0"/>
      <w:divBdr>
        <w:top w:val="none" w:sz="0" w:space="0" w:color="auto"/>
        <w:left w:val="none" w:sz="0" w:space="0" w:color="auto"/>
        <w:bottom w:val="none" w:sz="0" w:space="0" w:color="auto"/>
        <w:right w:val="none" w:sz="0" w:space="0" w:color="auto"/>
      </w:divBdr>
      <w:divsChild>
        <w:div w:id="1982227836">
          <w:marLeft w:val="0"/>
          <w:marRight w:val="0"/>
          <w:marTop w:val="0"/>
          <w:marBottom w:val="0"/>
          <w:divBdr>
            <w:top w:val="none" w:sz="0" w:space="0" w:color="auto"/>
            <w:left w:val="none" w:sz="0" w:space="0" w:color="auto"/>
            <w:bottom w:val="none" w:sz="0" w:space="0" w:color="auto"/>
            <w:right w:val="none" w:sz="0" w:space="0" w:color="auto"/>
          </w:divBdr>
          <w:divsChild>
            <w:div w:id="184757938">
              <w:marLeft w:val="0"/>
              <w:marRight w:val="0"/>
              <w:marTop w:val="0"/>
              <w:marBottom w:val="0"/>
              <w:divBdr>
                <w:top w:val="none" w:sz="0" w:space="0" w:color="auto"/>
                <w:left w:val="none" w:sz="0" w:space="0" w:color="auto"/>
                <w:bottom w:val="none" w:sz="0" w:space="0" w:color="auto"/>
                <w:right w:val="none" w:sz="0" w:space="0" w:color="auto"/>
              </w:divBdr>
              <w:divsChild>
                <w:div w:id="765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1968368">
      <w:bodyDiv w:val="1"/>
      <w:marLeft w:val="0"/>
      <w:marRight w:val="0"/>
      <w:marTop w:val="0"/>
      <w:marBottom w:val="0"/>
      <w:divBdr>
        <w:top w:val="none" w:sz="0" w:space="0" w:color="auto"/>
        <w:left w:val="none" w:sz="0" w:space="0" w:color="auto"/>
        <w:bottom w:val="none" w:sz="0" w:space="0" w:color="auto"/>
        <w:right w:val="none" w:sz="0" w:space="0" w:color="auto"/>
      </w:divBdr>
      <w:divsChild>
        <w:div w:id="456724534">
          <w:marLeft w:val="0"/>
          <w:marRight w:val="0"/>
          <w:marTop w:val="0"/>
          <w:marBottom w:val="0"/>
          <w:divBdr>
            <w:top w:val="none" w:sz="0" w:space="0" w:color="auto"/>
            <w:left w:val="none" w:sz="0" w:space="0" w:color="auto"/>
            <w:bottom w:val="none" w:sz="0" w:space="0" w:color="auto"/>
            <w:right w:val="none" w:sz="0" w:space="0" w:color="auto"/>
          </w:divBdr>
          <w:divsChild>
            <w:div w:id="1916433413">
              <w:marLeft w:val="0"/>
              <w:marRight w:val="0"/>
              <w:marTop w:val="0"/>
              <w:marBottom w:val="0"/>
              <w:divBdr>
                <w:top w:val="none" w:sz="0" w:space="0" w:color="auto"/>
                <w:left w:val="none" w:sz="0" w:space="0" w:color="auto"/>
                <w:bottom w:val="none" w:sz="0" w:space="0" w:color="auto"/>
                <w:right w:val="none" w:sz="0" w:space="0" w:color="auto"/>
              </w:divBdr>
              <w:divsChild>
                <w:div w:id="1300066048">
                  <w:marLeft w:val="0"/>
                  <w:marRight w:val="0"/>
                  <w:marTop w:val="0"/>
                  <w:marBottom w:val="0"/>
                  <w:divBdr>
                    <w:top w:val="none" w:sz="0" w:space="0" w:color="auto"/>
                    <w:left w:val="none" w:sz="0" w:space="0" w:color="auto"/>
                    <w:bottom w:val="none" w:sz="0" w:space="0" w:color="auto"/>
                    <w:right w:val="none" w:sz="0" w:space="0" w:color="auto"/>
                  </w:divBdr>
                </w:div>
                <w:div w:id="20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87195">
      <w:bodyDiv w:val="1"/>
      <w:marLeft w:val="0"/>
      <w:marRight w:val="0"/>
      <w:marTop w:val="0"/>
      <w:marBottom w:val="0"/>
      <w:divBdr>
        <w:top w:val="none" w:sz="0" w:space="0" w:color="auto"/>
        <w:left w:val="none" w:sz="0" w:space="0" w:color="auto"/>
        <w:bottom w:val="none" w:sz="0" w:space="0" w:color="auto"/>
        <w:right w:val="none" w:sz="0" w:space="0" w:color="auto"/>
      </w:divBdr>
    </w:div>
    <w:div w:id="1839805601">
      <w:bodyDiv w:val="1"/>
      <w:marLeft w:val="0"/>
      <w:marRight w:val="0"/>
      <w:marTop w:val="0"/>
      <w:marBottom w:val="0"/>
      <w:divBdr>
        <w:top w:val="none" w:sz="0" w:space="0" w:color="auto"/>
        <w:left w:val="none" w:sz="0" w:space="0" w:color="auto"/>
        <w:bottom w:val="none" w:sz="0" w:space="0" w:color="auto"/>
        <w:right w:val="none" w:sz="0" w:space="0" w:color="auto"/>
      </w:divBdr>
      <w:divsChild>
        <w:div w:id="24913458">
          <w:marLeft w:val="0"/>
          <w:marRight w:val="0"/>
          <w:marTop w:val="0"/>
          <w:marBottom w:val="0"/>
          <w:divBdr>
            <w:top w:val="none" w:sz="0" w:space="0" w:color="auto"/>
            <w:left w:val="none" w:sz="0" w:space="0" w:color="auto"/>
            <w:bottom w:val="none" w:sz="0" w:space="0" w:color="auto"/>
            <w:right w:val="none" w:sz="0" w:space="0" w:color="auto"/>
          </w:divBdr>
          <w:divsChild>
            <w:div w:id="673724396">
              <w:marLeft w:val="0"/>
              <w:marRight w:val="0"/>
              <w:marTop w:val="0"/>
              <w:marBottom w:val="0"/>
              <w:divBdr>
                <w:top w:val="none" w:sz="0" w:space="0" w:color="auto"/>
                <w:left w:val="none" w:sz="0" w:space="0" w:color="auto"/>
                <w:bottom w:val="none" w:sz="0" w:space="0" w:color="auto"/>
                <w:right w:val="none" w:sz="0" w:space="0" w:color="auto"/>
              </w:divBdr>
              <w:divsChild>
                <w:div w:id="6708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434249">
      <w:bodyDiv w:val="1"/>
      <w:marLeft w:val="0"/>
      <w:marRight w:val="0"/>
      <w:marTop w:val="0"/>
      <w:marBottom w:val="0"/>
      <w:divBdr>
        <w:top w:val="none" w:sz="0" w:space="0" w:color="auto"/>
        <w:left w:val="none" w:sz="0" w:space="0" w:color="auto"/>
        <w:bottom w:val="none" w:sz="0" w:space="0" w:color="auto"/>
        <w:right w:val="none" w:sz="0" w:space="0" w:color="auto"/>
      </w:divBdr>
    </w:div>
    <w:div w:id="1963267792">
      <w:bodyDiv w:val="1"/>
      <w:marLeft w:val="0"/>
      <w:marRight w:val="0"/>
      <w:marTop w:val="0"/>
      <w:marBottom w:val="0"/>
      <w:divBdr>
        <w:top w:val="none" w:sz="0" w:space="0" w:color="auto"/>
        <w:left w:val="none" w:sz="0" w:space="0" w:color="auto"/>
        <w:bottom w:val="none" w:sz="0" w:space="0" w:color="auto"/>
        <w:right w:val="none" w:sz="0" w:space="0" w:color="auto"/>
      </w:divBdr>
      <w:divsChild>
        <w:div w:id="165872867">
          <w:marLeft w:val="0"/>
          <w:marRight w:val="0"/>
          <w:marTop w:val="0"/>
          <w:marBottom w:val="0"/>
          <w:divBdr>
            <w:top w:val="none" w:sz="0" w:space="0" w:color="auto"/>
            <w:left w:val="none" w:sz="0" w:space="0" w:color="auto"/>
            <w:bottom w:val="none" w:sz="0" w:space="0" w:color="auto"/>
            <w:right w:val="none" w:sz="0" w:space="0" w:color="auto"/>
          </w:divBdr>
        </w:div>
        <w:div w:id="972365312">
          <w:marLeft w:val="0"/>
          <w:marRight w:val="0"/>
          <w:marTop w:val="0"/>
          <w:marBottom w:val="0"/>
          <w:divBdr>
            <w:top w:val="none" w:sz="0" w:space="0" w:color="auto"/>
            <w:left w:val="none" w:sz="0" w:space="0" w:color="auto"/>
            <w:bottom w:val="none" w:sz="0" w:space="0" w:color="auto"/>
            <w:right w:val="none" w:sz="0" w:space="0" w:color="auto"/>
          </w:divBdr>
        </w:div>
      </w:divsChild>
    </w:div>
    <w:div w:id="1966963980">
      <w:bodyDiv w:val="1"/>
      <w:marLeft w:val="0"/>
      <w:marRight w:val="0"/>
      <w:marTop w:val="0"/>
      <w:marBottom w:val="0"/>
      <w:divBdr>
        <w:top w:val="none" w:sz="0" w:space="0" w:color="auto"/>
        <w:left w:val="none" w:sz="0" w:space="0" w:color="auto"/>
        <w:bottom w:val="none" w:sz="0" w:space="0" w:color="auto"/>
        <w:right w:val="none" w:sz="0" w:space="0" w:color="auto"/>
      </w:divBdr>
      <w:divsChild>
        <w:div w:id="21711777">
          <w:marLeft w:val="0"/>
          <w:marRight w:val="0"/>
          <w:marTop w:val="0"/>
          <w:marBottom w:val="0"/>
          <w:divBdr>
            <w:top w:val="none" w:sz="0" w:space="0" w:color="auto"/>
            <w:left w:val="none" w:sz="0" w:space="0" w:color="auto"/>
            <w:bottom w:val="none" w:sz="0" w:space="0" w:color="auto"/>
            <w:right w:val="none" w:sz="0" w:space="0" w:color="auto"/>
          </w:divBdr>
          <w:divsChild>
            <w:div w:id="1650017355">
              <w:marLeft w:val="0"/>
              <w:marRight w:val="0"/>
              <w:marTop w:val="0"/>
              <w:marBottom w:val="0"/>
              <w:divBdr>
                <w:top w:val="none" w:sz="0" w:space="0" w:color="auto"/>
                <w:left w:val="none" w:sz="0" w:space="0" w:color="auto"/>
                <w:bottom w:val="none" w:sz="0" w:space="0" w:color="auto"/>
                <w:right w:val="none" w:sz="0" w:space="0" w:color="auto"/>
              </w:divBdr>
              <w:divsChild>
                <w:div w:id="11794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65976">
      <w:bodyDiv w:val="1"/>
      <w:marLeft w:val="0"/>
      <w:marRight w:val="0"/>
      <w:marTop w:val="0"/>
      <w:marBottom w:val="0"/>
      <w:divBdr>
        <w:top w:val="none" w:sz="0" w:space="0" w:color="auto"/>
        <w:left w:val="none" w:sz="0" w:space="0" w:color="auto"/>
        <w:bottom w:val="none" w:sz="0" w:space="0" w:color="auto"/>
        <w:right w:val="none" w:sz="0" w:space="0" w:color="auto"/>
      </w:divBdr>
    </w:div>
    <w:div w:id="2039357256">
      <w:bodyDiv w:val="1"/>
      <w:marLeft w:val="0"/>
      <w:marRight w:val="0"/>
      <w:marTop w:val="0"/>
      <w:marBottom w:val="0"/>
      <w:divBdr>
        <w:top w:val="none" w:sz="0" w:space="0" w:color="auto"/>
        <w:left w:val="none" w:sz="0" w:space="0" w:color="auto"/>
        <w:bottom w:val="none" w:sz="0" w:space="0" w:color="auto"/>
        <w:right w:val="none" w:sz="0" w:space="0" w:color="auto"/>
      </w:divBdr>
      <w:divsChild>
        <w:div w:id="992835716">
          <w:marLeft w:val="0"/>
          <w:marRight w:val="0"/>
          <w:marTop w:val="0"/>
          <w:marBottom w:val="0"/>
          <w:divBdr>
            <w:top w:val="none" w:sz="0" w:space="0" w:color="auto"/>
            <w:left w:val="none" w:sz="0" w:space="0" w:color="auto"/>
            <w:bottom w:val="none" w:sz="0" w:space="0" w:color="auto"/>
            <w:right w:val="none" w:sz="0" w:space="0" w:color="auto"/>
          </w:divBdr>
          <w:divsChild>
            <w:div w:id="819346187">
              <w:marLeft w:val="0"/>
              <w:marRight w:val="0"/>
              <w:marTop w:val="0"/>
              <w:marBottom w:val="0"/>
              <w:divBdr>
                <w:top w:val="none" w:sz="0" w:space="0" w:color="auto"/>
                <w:left w:val="none" w:sz="0" w:space="0" w:color="auto"/>
                <w:bottom w:val="none" w:sz="0" w:space="0" w:color="auto"/>
                <w:right w:val="none" w:sz="0" w:space="0" w:color="auto"/>
              </w:divBdr>
              <w:divsChild>
                <w:div w:id="14393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2119">
      <w:bodyDiv w:val="1"/>
      <w:marLeft w:val="0"/>
      <w:marRight w:val="0"/>
      <w:marTop w:val="0"/>
      <w:marBottom w:val="0"/>
      <w:divBdr>
        <w:top w:val="none" w:sz="0" w:space="0" w:color="auto"/>
        <w:left w:val="none" w:sz="0" w:space="0" w:color="auto"/>
        <w:bottom w:val="none" w:sz="0" w:space="0" w:color="auto"/>
        <w:right w:val="none" w:sz="0" w:space="0" w:color="auto"/>
      </w:divBdr>
    </w:div>
    <w:div w:id="2086876998">
      <w:bodyDiv w:val="1"/>
      <w:marLeft w:val="0"/>
      <w:marRight w:val="0"/>
      <w:marTop w:val="0"/>
      <w:marBottom w:val="0"/>
      <w:divBdr>
        <w:top w:val="none" w:sz="0" w:space="0" w:color="auto"/>
        <w:left w:val="none" w:sz="0" w:space="0" w:color="auto"/>
        <w:bottom w:val="none" w:sz="0" w:space="0" w:color="auto"/>
        <w:right w:val="none" w:sz="0" w:space="0" w:color="auto"/>
      </w:divBdr>
    </w:div>
    <w:div w:id="2096509803">
      <w:bodyDiv w:val="1"/>
      <w:marLeft w:val="0"/>
      <w:marRight w:val="0"/>
      <w:marTop w:val="0"/>
      <w:marBottom w:val="0"/>
      <w:divBdr>
        <w:top w:val="none" w:sz="0" w:space="0" w:color="auto"/>
        <w:left w:val="none" w:sz="0" w:space="0" w:color="auto"/>
        <w:bottom w:val="none" w:sz="0" w:space="0" w:color="auto"/>
        <w:right w:val="none" w:sz="0" w:space="0" w:color="auto"/>
      </w:divBdr>
    </w:div>
    <w:div w:id="2133282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62A49-07C5-4705-88BA-7D4B4CB4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31</Pages>
  <Words>14121</Words>
  <Characters>80490</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Christian</cp:lastModifiedBy>
  <cp:revision>20</cp:revision>
  <cp:lastPrinted>2016-12-13T17:38:00Z</cp:lastPrinted>
  <dcterms:created xsi:type="dcterms:W3CDTF">2016-11-22T16:44:00Z</dcterms:created>
  <dcterms:modified xsi:type="dcterms:W3CDTF">2016-12-13T22:08:00Z</dcterms:modified>
</cp:coreProperties>
</file>