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596554" w14:textId="77777777" w:rsidR="009D7F32" w:rsidRPr="00640517" w:rsidRDefault="001814EF" w:rsidP="009D7F32">
      <w:pPr>
        <w:jc w:val="both"/>
        <w:rPr>
          <w:rFonts w:asciiTheme="majorHAnsi" w:hAnsiTheme="majorHAnsi" w:cs="Univers"/>
          <w:b/>
          <w:bCs/>
          <w:sz w:val="20"/>
          <w:szCs w:val="20"/>
          <w:lang w:val="es-ES_tradnl"/>
        </w:rPr>
      </w:pPr>
      <w:r w:rsidRPr="00640517">
        <w:rPr>
          <w:rFonts w:asciiTheme="majorHAnsi" w:hAnsiTheme="majorHAnsi"/>
          <w:noProof/>
          <w:sz w:val="20"/>
          <w:szCs w:val="20"/>
          <w:lang w:val="es-UY" w:eastAsia="es-UY"/>
        </w:rPr>
        <mc:AlternateContent>
          <mc:Choice Requires="wps">
            <w:drawing>
              <wp:anchor distT="0" distB="0" distL="114300" distR="114300" simplePos="0" relativeHeight="251653632" behindDoc="0" locked="0" layoutInCell="1" allowOverlap="1" wp14:anchorId="2F66DC7A" wp14:editId="18250CAA">
                <wp:simplePos x="0" y="0"/>
                <wp:positionH relativeFrom="column">
                  <wp:posOffset>-490855</wp:posOffset>
                </wp:positionH>
                <wp:positionV relativeFrom="paragraph">
                  <wp:posOffset>-426720</wp:posOffset>
                </wp:positionV>
                <wp:extent cx="1543050" cy="9096375"/>
                <wp:effectExtent l="0" t="0" r="0" b="9525"/>
                <wp:wrapNone/>
                <wp:docPr id="1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rect w14:anchorId="0B63A7F5" id="Rectangle 1" o:spid="_x0000_s1026" style="position:absolute;margin-left:-38.65pt;margin-top:-33.6pt;width:121.5pt;height:716.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" fillcolor="#4a7194" stroked="f" strokeweight="2pt">
                <v:path arrowok="t"/>
              </v:rect>
            </w:pict>
          </mc:Fallback>
        </mc:AlternateContent>
      </w:r>
      <w:r w:rsidRPr="00640517">
        <w:rPr>
          <w:rFonts w:asciiTheme="majorHAnsi" w:hAnsiTheme="majorHAnsi"/>
          <w:noProof/>
          <w:sz w:val="20"/>
          <w:szCs w:val="20"/>
          <w:lang w:val="es-UY" w:eastAsia="es-UY"/>
        </w:rPr>
        <mc:AlternateContent>
          <mc:Choice Requires="wps">
            <w:drawing>
              <wp:anchor distT="0" distB="0" distL="114300" distR="114300" simplePos="0" relativeHeight="251657728" behindDoc="0" locked="0" layoutInCell="1" allowOverlap="1" wp14:anchorId="60638F27" wp14:editId="6677AA40">
                <wp:simplePos x="0" y="0"/>
                <wp:positionH relativeFrom="column">
                  <wp:posOffset>1282065</wp:posOffset>
                </wp:positionH>
                <wp:positionV relativeFrom="paragraph">
                  <wp:posOffset>-424180</wp:posOffset>
                </wp:positionV>
                <wp:extent cx="5248275" cy="902335"/>
                <wp:effectExtent l="0" t="0" r="0" b="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txbx>
                        <w:txbxContent>
                          <w:p w14:paraId="502FB407" w14:textId="77777777" w:rsidR="0007239A" w:rsidRDefault="0007239A" w:rsidP="009D7F32">
                            <w:r>
                              <w:rPr>
                                <w:noProof/>
                                <w:lang w:val="es-UY" w:eastAsia="es-UY"/>
                              </w:rPr>
                              <w:drawing>
                                <wp:inline distT="0" distB="0" distL="0" distR="0" wp14:anchorId="3A195973" wp14:editId="79895928">
                                  <wp:extent cx="2647950" cy="504825"/>
                                  <wp:effectExtent l="0" t="0" r="0" b="9525"/>
                                  <wp:docPr id="20" name="Picture 12" descr="cid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h-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7950" cy="50482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" filled="f" stroked="f" strokeweight=".5pt">
                <v:path arrowok="t"/>
                <v:textbox>
                  <w:txbxContent>
                    <w:p w14:paraId="502FB407" w14:textId="77777777" w:rsidR="0007239A" w:rsidRDefault="0007239A" w:rsidP="009D7F32">
                      <w:r>
                        <w:rPr>
                          <w:noProof/>
                        </w:rPr>
                        <w:drawing>
                          <wp:inline distT="0" distB="0" distL="0" distR="0" wp14:anchorId="3A195973" wp14:editId="79895928">
                            <wp:extent cx="2647950" cy="504825"/>
                            <wp:effectExtent l="0" t="0" r="0" b="9525"/>
                            <wp:docPr id="20" name="Picture 12" descr="cid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h-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7950" cy="504825"/>
                                    </a:xfrm>
                                    <a:prstGeom prst="rect">
                                      <a:avLst/>
                                    </a:prstGeom>
                                    <a:noFill/>
                                    <a:ln>
                                      <a:noFill/>
                                    </a:ln>
                                  </pic:spPr>
                                </pic:pic>
                              </a:graphicData>
                            </a:graphic>
                          </wp:inline>
                        </w:drawing>
                      </w:r>
                      <w:r>
                        <w:tab/>
                        <w:t xml:space="preserve">                              </w:t>
                      </w:r>
                    </w:p>
                  </w:txbxContent>
                </v:textbox>
              </v:shape>
            </w:pict>
          </mc:Fallback>
        </mc:AlternateContent>
      </w:r>
    </w:p>
    <w:p w14:paraId="42911FEE" w14:textId="77777777" w:rsidR="009D7F32" w:rsidRPr="00640517" w:rsidRDefault="009D7F32" w:rsidP="009D7F32">
      <w:pPr>
        <w:tabs>
          <w:tab w:val="center" w:pos="5400"/>
        </w:tabs>
        <w:suppressAutoHyphens/>
        <w:jc w:val="both"/>
        <w:rPr>
          <w:rFonts w:asciiTheme="majorHAnsi" w:hAnsiTheme="majorHAnsi"/>
          <w:sz w:val="20"/>
          <w:szCs w:val="20"/>
          <w:lang w:val="es-ES"/>
        </w:rPr>
      </w:pPr>
    </w:p>
    <w:p w14:paraId="5482D430" w14:textId="77777777" w:rsidR="009D7F32" w:rsidRPr="00640517" w:rsidRDefault="009D7F32" w:rsidP="009D7F32">
      <w:pPr>
        <w:tabs>
          <w:tab w:val="center" w:pos="5400"/>
        </w:tabs>
        <w:suppressAutoHyphens/>
        <w:jc w:val="both"/>
        <w:rPr>
          <w:rFonts w:asciiTheme="majorHAnsi" w:hAnsiTheme="majorHAnsi"/>
          <w:sz w:val="20"/>
          <w:szCs w:val="20"/>
          <w:lang w:val="es-ES"/>
        </w:rPr>
      </w:pPr>
    </w:p>
    <w:p w14:paraId="3A131067" w14:textId="77777777" w:rsidR="009D7F32" w:rsidRPr="00640517" w:rsidRDefault="009D7F32" w:rsidP="009D7F32">
      <w:pPr>
        <w:tabs>
          <w:tab w:val="center" w:pos="5400"/>
        </w:tabs>
        <w:suppressAutoHyphens/>
        <w:rPr>
          <w:rFonts w:asciiTheme="majorHAnsi" w:hAnsiTheme="majorHAnsi"/>
          <w:sz w:val="20"/>
          <w:szCs w:val="20"/>
          <w:lang w:val="es-ES_tradnl"/>
        </w:rPr>
      </w:pPr>
    </w:p>
    <w:p w14:paraId="08690687" w14:textId="77777777" w:rsidR="009D7F32" w:rsidRPr="00640517" w:rsidRDefault="009D7F32" w:rsidP="009D7F32">
      <w:pPr>
        <w:tabs>
          <w:tab w:val="center" w:pos="5400"/>
        </w:tabs>
        <w:suppressAutoHyphens/>
        <w:rPr>
          <w:rFonts w:asciiTheme="majorHAnsi" w:hAnsiTheme="majorHAnsi"/>
          <w:sz w:val="20"/>
          <w:szCs w:val="20"/>
          <w:lang w:val="es-ES_tradnl"/>
        </w:rPr>
      </w:pPr>
    </w:p>
    <w:p w14:paraId="402C2AFB" w14:textId="77777777" w:rsidR="009D7F32" w:rsidRPr="00640517" w:rsidRDefault="009D7F32" w:rsidP="009D7F32">
      <w:pPr>
        <w:tabs>
          <w:tab w:val="center" w:pos="5400"/>
        </w:tabs>
        <w:suppressAutoHyphens/>
        <w:rPr>
          <w:rFonts w:asciiTheme="majorHAnsi" w:hAnsiTheme="majorHAnsi"/>
          <w:sz w:val="20"/>
          <w:szCs w:val="20"/>
          <w:lang w:val="es-ES_tradnl"/>
        </w:rPr>
      </w:pPr>
    </w:p>
    <w:p w14:paraId="7979B306" w14:textId="77777777" w:rsidR="009D7F32" w:rsidRPr="00640517" w:rsidRDefault="009D7F32" w:rsidP="009D7F32">
      <w:pPr>
        <w:tabs>
          <w:tab w:val="center" w:pos="5400"/>
        </w:tabs>
        <w:suppressAutoHyphens/>
        <w:jc w:val="center"/>
        <w:rPr>
          <w:rFonts w:asciiTheme="majorHAnsi" w:hAnsiTheme="majorHAnsi"/>
          <w:sz w:val="20"/>
          <w:szCs w:val="20"/>
          <w:lang w:val="es-ES_tradnl"/>
        </w:rPr>
      </w:pPr>
    </w:p>
    <w:p w14:paraId="4CD5F732" w14:textId="77777777" w:rsidR="009D7F32" w:rsidRPr="00640517" w:rsidRDefault="009D7F32" w:rsidP="009D7F32">
      <w:pPr>
        <w:tabs>
          <w:tab w:val="center" w:pos="5400"/>
        </w:tabs>
        <w:suppressAutoHyphens/>
        <w:jc w:val="center"/>
        <w:rPr>
          <w:rFonts w:asciiTheme="majorHAnsi" w:hAnsiTheme="majorHAnsi"/>
          <w:sz w:val="20"/>
          <w:szCs w:val="20"/>
          <w:lang w:val="es-ES_tradnl"/>
        </w:rPr>
      </w:pPr>
    </w:p>
    <w:p w14:paraId="4779297B" w14:textId="77777777" w:rsidR="009D7F32" w:rsidRPr="00640517" w:rsidRDefault="009D7F32" w:rsidP="009D7F32">
      <w:pPr>
        <w:tabs>
          <w:tab w:val="center" w:pos="5400"/>
        </w:tabs>
        <w:suppressAutoHyphens/>
        <w:jc w:val="center"/>
        <w:rPr>
          <w:rFonts w:asciiTheme="majorHAnsi" w:hAnsiTheme="majorHAnsi"/>
          <w:sz w:val="20"/>
          <w:szCs w:val="20"/>
          <w:lang w:val="es-ES_tradnl"/>
        </w:rPr>
      </w:pPr>
    </w:p>
    <w:p w14:paraId="0E39383E" w14:textId="77777777" w:rsidR="009D7F32" w:rsidRPr="00640517" w:rsidRDefault="009D7F32" w:rsidP="009D7F32">
      <w:pPr>
        <w:tabs>
          <w:tab w:val="center" w:pos="5400"/>
        </w:tabs>
        <w:suppressAutoHyphens/>
        <w:jc w:val="center"/>
        <w:rPr>
          <w:rFonts w:asciiTheme="majorHAnsi" w:hAnsiTheme="majorHAnsi"/>
          <w:sz w:val="20"/>
          <w:szCs w:val="20"/>
          <w:lang w:val="es-ES_tradnl"/>
        </w:rPr>
      </w:pPr>
    </w:p>
    <w:p w14:paraId="442F4CDC" w14:textId="77777777" w:rsidR="009D7F32" w:rsidRPr="00640517" w:rsidRDefault="009D7F32" w:rsidP="009D7F32">
      <w:pPr>
        <w:tabs>
          <w:tab w:val="center" w:pos="5400"/>
        </w:tabs>
        <w:suppressAutoHyphens/>
        <w:jc w:val="center"/>
        <w:rPr>
          <w:rFonts w:asciiTheme="majorHAnsi" w:hAnsiTheme="majorHAnsi"/>
          <w:sz w:val="20"/>
          <w:szCs w:val="20"/>
          <w:lang w:val="es-ES_tradnl"/>
        </w:rPr>
      </w:pPr>
    </w:p>
    <w:p w14:paraId="65A45F73" w14:textId="77777777" w:rsidR="009D7F32" w:rsidRPr="00640517" w:rsidRDefault="009D7F32" w:rsidP="009D7F32">
      <w:pPr>
        <w:tabs>
          <w:tab w:val="center" w:pos="5400"/>
        </w:tabs>
        <w:suppressAutoHyphens/>
        <w:jc w:val="center"/>
        <w:rPr>
          <w:rFonts w:asciiTheme="majorHAnsi" w:hAnsiTheme="majorHAnsi"/>
          <w:sz w:val="20"/>
          <w:szCs w:val="20"/>
          <w:lang w:val="es-ES_tradnl"/>
        </w:rPr>
      </w:pPr>
    </w:p>
    <w:p w14:paraId="6DEE9C36" w14:textId="77777777" w:rsidR="009D7F32" w:rsidRPr="00640517" w:rsidRDefault="009D7F32" w:rsidP="009D7F32">
      <w:pPr>
        <w:tabs>
          <w:tab w:val="center" w:pos="5400"/>
        </w:tabs>
        <w:suppressAutoHyphens/>
        <w:jc w:val="center"/>
        <w:rPr>
          <w:rFonts w:asciiTheme="majorHAnsi" w:hAnsiTheme="majorHAnsi"/>
          <w:sz w:val="20"/>
          <w:szCs w:val="20"/>
          <w:lang w:val="es-ES_tradnl"/>
        </w:rPr>
      </w:pPr>
    </w:p>
    <w:p w14:paraId="75EBB0DC" w14:textId="77777777" w:rsidR="009D7F32" w:rsidRPr="00640517" w:rsidRDefault="001814EF" w:rsidP="009D7F32">
      <w:pPr>
        <w:tabs>
          <w:tab w:val="center" w:pos="5400"/>
        </w:tabs>
        <w:suppressAutoHyphens/>
        <w:jc w:val="center"/>
        <w:rPr>
          <w:rFonts w:asciiTheme="majorHAnsi" w:hAnsiTheme="majorHAnsi"/>
          <w:sz w:val="20"/>
          <w:szCs w:val="20"/>
          <w:lang w:val="es-ES_tradnl"/>
        </w:rPr>
      </w:pPr>
      <w:r w:rsidRPr="00640517">
        <w:rPr>
          <w:rFonts w:asciiTheme="majorHAnsi" w:hAnsiTheme="majorHAnsi"/>
          <w:noProof/>
          <w:sz w:val="20"/>
          <w:szCs w:val="20"/>
          <w:lang w:val="es-UY" w:eastAsia="es-UY"/>
        </w:rPr>
        <mc:AlternateContent>
          <mc:Choice Requires="wps">
            <w:drawing>
              <wp:anchor distT="0" distB="0" distL="114300" distR="114300" simplePos="0" relativeHeight="251654656" behindDoc="0" locked="0" layoutInCell="1" allowOverlap="1" wp14:anchorId="17CB4659" wp14:editId="6C5689CA">
                <wp:simplePos x="0" y="0"/>
                <wp:positionH relativeFrom="column">
                  <wp:posOffset>1352550</wp:posOffset>
                </wp:positionH>
                <wp:positionV relativeFrom="paragraph">
                  <wp:posOffset>107315</wp:posOffset>
                </wp:positionV>
                <wp:extent cx="4441190" cy="2181225"/>
                <wp:effectExtent l="0" t="0" r="0" b="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txbx>
                        <w:txbxContent>
                          <w:p w14:paraId="77E3CBEF" w14:textId="0AE9D4F1" w:rsidR="0007239A" w:rsidRPr="00D142E1" w:rsidRDefault="0007239A" w:rsidP="009D7F32">
                            <w:pPr>
                              <w:spacing w:line="276" w:lineRule="auto"/>
                              <w:rPr>
                                <w:rFonts w:ascii="Cambria" w:hAnsi="Cambria" w:cs="Arial"/>
                                <w:b/>
                                <w:bCs/>
                                <w:color w:val="0D0D0D"/>
                                <w:sz w:val="36"/>
                                <w:szCs w:val="22"/>
                                <w:lang w:val="es-ES_tradnl"/>
                              </w:rPr>
                            </w:pPr>
                            <w:r w:rsidRPr="00D142E1">
                              <w:rPr>
                                <w:rFonts w:ascii="Cambria" w:hAnsi="Cambria" w:cs="Arial"/>
                                <w:b/>
                                <w:bCs/>
                                <w:color w:val="0D0D0D"/>
                                <w:sz w:val="36"/>
                                <w:szCs w:val="22"/>
                                <w:lang w:val="es-ES_tradnl"/>
                              </w:rPr>
                              <w:t xml:space="preserve">INFORME </w:t>
                            </w:r>
                            <w:r w:rsidRPr="00D142E1">
                              <w:rPr>
                                <w:rFonts w:ascii="Cambria" w:hAnsi="Cambria" w:cs="Arial"/>
                                <w:b/>
                                <w:bCs/>
                                <w:color w:val="0D0D0D"/>
                                <w:sz w:val="36"/>
                                <w:szCs w:val="40"/>
                                <w:lang w:val="es-ES_tradnl"/>
                              </w:rPr>
                              <w:t>No.</w:t>
                            </w:r>
                            <w:r>
                              <w:rPr>
                                <w:rFonts w:ascii="Cambria" w:hAnsi="Cambria" w:cs="Arial"/>
                                <w:b/>
                                <w:bCs/>
                                <w:color w:val="0D0D0D"/>
                                <w:sz w:val="36"/>
                                <w:szCs w:val="22"/>
                                <w:lang w:val="es-ES_tradnl"/>
                              </w:rPr>
                              <w:t xml:space="preserve"> </w:t>
                            </w:r>
                            <w:r w:rsidR="00C65ACD">
                              <w:rPr>
                                <w:rFonts w:ascii="Cambria" w:hAnsi="Cambria" w:cs="Arial"/>
                                <w:b/>
                                <w:bCs/>
                                <w:color w:val="0D0D0D"/>
                                <w:sz w:val="36"/>
                                <w:szCs w:val="22"/>
                                <w:lang w:val="es-ES_tradnl"/>
                              </w:rPr>
                              <w:t>23</w:t>
                            </w:r>
                            <w:r>
                              <w:rPr>
                                <w:rFonts w:ascii="Cambria" w:hAnsi="Cambria" w:cs="Arial"/>
                                <w:b/>
                                <w:bCs/>
                                <w:color w:val="0D0D0D"/>
                                <w:sz w:val="36"/>
                                <w:szCs w:val="22"/>
                                <w:lang w:val="es-ES_tradnl"/>
                              </w:rPr>
                              <w:t>/17</w:t>
                            </w:r>
                          </w:p>
                          <w:p w14:paraId="79139724" w14:textId="77777777" w:rsidR="0007239A" w:rsidRPr="00D142E1" w:rsidRDefault="0007239A" w:rsidP="009D7F32">
                            <w:pPr>
                              <w:spacing w:line="276" w:lineRule="auto"/>
                              <w:rPr>
                                <w:rFonts w:ascii="Cambria" w:hAnsi="Cambria" w:cs="Arial"/>
                                <w:b/>
                                <w:color w:val="0D0D0D"/>
                                <w:sz w:val="36"/>
                                <w:szCs w:val="22"/>
                                <w:lang w:val="es-ES_tradnl"/>
                              </w:rPr>
                            </w:pPr>
                            <w:r>
                              <w:rPr>
                                <w:rFonts w:ascii="Cambria" w:hAnsi="Cambria" w:cs="Arial"/>
                                <w:b/>
                                <w:color w:val="0D0D0D"/>
                                <w:sz w:val="36"/>
                                <w:szCs w:val="22"/>
                                <w:lang w:val="es-ES_tradnl"/>
                              </w:rPr>
                              <w:t>CASO 12.311</w:t>
                            </w:r>
                          </w:p>
                          <w:p w14:paraId="7F9A4213" w14:textId="77777777" w:rsidR="0007239A" w:rsidRPr="00D142E1" w:rsidRDefault="0007239A" w:rsidP="009D7F32">
                            <w:pPr>
                              <w:spacing w:line="276" w:lineRule="auto"/>
                              <w:rPr>
                                <w:rFonts w:ascii="Cambria" w:hAnsi="Cambria" w:cs="Arial"/>
                                <w:color w:val="0D0D0D"/>
                                <w:szCs w:val="22"/>
                                <w:lang w:val="es-ES_tradnl"/>
                              </w:rPr>
                            </w:pPr>
                            <w:r w:rsidRPr="00D142E1">
                              <w:rPr>
                                <w:rFonts w:ascii="Cambria" w:hAnsi="Cambria" w:cs="Arial"/>
                                <w:color w:val="0D0D0D"/>
                                <w:szCs w:val="22"/>
                                <w:lang w:val="es-ES_tradnl"/>
                              </w:rPr>
                              <w:t>INFORME DE FONDO</w:t>
                            </w:r>
                          </w:p>
                          <w:p w14:paraId="5BE5D8CC" w14:textId="77777777" w:rsidR="0007239A" w:rsidRPr="00D142E1" w:rsidRDefault="0007239A" w:rsidP="009D7F32">
                            <w:pPr>
                              <w:spacing w:line="276" w:lineRule="auto"/>
                              <w:rPr>
                                <w:rFonts w:ascii="Cambria" w:hAnsi="Cambria" w:cs="Arial"/>
                                <w:color w:val="0D0D0D"/>
                                <w:szCs w:val="22"/>
                                <w:lang w:val="es-ES_tradnl"/>
                              </w:rPr>
                            </w:pPr>
                            <w:bookmarkStart w:id="0" w:name="_ftnref1"/>
                          </w:p>
                          <w:p w14:paraId="1BBAFABB" w14:textId="77777777" w:rsidR="0007239A" w:rsidRPr="00D142E1" w:rsidRDefault="0007239A" w:rsidP="009D7F32">
                            <w:pPr>
                              <w:spacing w:line="276" w:lineRule="auto"/>
                              <w:rPr>
                                <w:rFonts w:ascii="Cambria" w:hAnsi="Cambria" w:cs="Arial"/>
                                <w:color w:val="0D0D0D"/>
                                <w:szCs w:val="22"/>
                                <w:lang w:val="es-ES_tradnl"/>
                              </w:rPr>
                            </w:pPr>
                            <w:r>
                              <w:rPr>
                                <w:rFonts w:ascii="Cambria" w:hAnsi="Cambria" w:cs="Arial"/>
                                <w:color w:val="0D0D0D"/>
                                <w:szCs w:val="22"/>
                                <w:lang w:val="es-ES_tradnl"/>
                              </w:rPr>
                              <w:t xml:space="preserve">EDUARDO BENJAMIN COLINDRES  </w:t>
                            </w:r>
                          </w:p>
                          <w:bookmarkEnd w:id="0"/>
                          <w:p w14:paraId="6F318BA2" w14:textId="77777777" w:rsidR="0007239A" w:rsidRPr="00D142E1" w:rsidRDefault="0007239A" w:rsidP="009D7F32">
                            <w:pPr>
                              <w:spacing w:line="276" w:lineRule="auto"/>
                              <w:rPr>
                                <w:rFonts w:ascii="Cambria" w:hAnsi="Cambria" w:cs="Arial"/>
                                <w:color w:val="0D0D0D"/>
                                <w:szCs w:val="22"/>
                                <w:lang w:val="es-ES"/>
                              </w:rPr>
                            </w:pPr>
                            <w:r>
                              <w:rPr>
                                <w:rFonts w:ascii="Cambria" w:hAnsi="Cambria" w:cs="Arial"/>
                                <w:color w:val="0D0D0D"/>
                                <w:szCs w:val="22"/>
                                <w:lang w:val="es-ES_tradnl"/>
                              </w:rPr>
                              <w:t>EL SALVADOR</w:t>
                            </w:r>
                          </w:p>
                          <w:p w14:paraId="5AC6AC6D" w14:textId="77777777" w:rsidR="0007239A" w:rsidRPr="00D142E1" w:rsidRDefault="0007239A" w:rsidP="009D7F32">
                            <w:pPr>
                              <w:rPr>
                                <w:color w:val="0D0D0D"/>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" filled="f" stroked="f" strokeweight=".5pt">
                <v:path arrowok="t"/>
                <v:textbox>
                  <w:txbxContent>
                    <w:p w14:paraId="77E3CBEF" w14:textId="0AE9D4F1" w:rsidR="0007239A" w:rsidRPr="00D142E1" w:rsidRDefault="0007239A" w:rsidP="009D7F32">
                      <w:pPr>
                        <w:spacing w:line="276" w:lineRule="auto"/>
                        <w:rPr>
                          <w:rFonts w:ascii="Cambria" w:hAnsi="Cambria" w:cs="Arial"/>
                          <w:b/>
                          <w:bCs/>
                          <w:color w:val="0D0D0D"/>
                          <w:sz w:val="36"/>
                          <w:szCs w:val="22"/>
                          <w:lang w:val="es-ES_tradnl"/>
                        </w:rPr>
                      </w:pPr>
                      <w:r w:rsidRPr="00D142E1">
                        <w:rPr>
                          <w:rFonts w:ascii="Cambria" w:hAnsi="Cambria" w:cs="Arial"/>
                          <w:b/>
                          <w:bCs/>
                          <w:color w:val="0D0D0D"/>
                          <w:sz w:val="36"/>
                          <w:szCs w:val="22"/>
                          <w:lang w:val="es-ES_tradnl"/>
                        </w:rPr>
                        <w:t xml:space="preserve">INFORME </w:t>
                      </w:r>
                      <w:r w:rsidRPr="00D142E1">
                        <w:rPr>
                          <w:rFonts w:ascii="Cambria" w:hAnsi="Cambria" w:cs="Arial"/>
                          <w:b/>
                          <w:bCs/>
                          <w:color w:val="0D0D0D"/>
                          <w:sz w:val="36"/>
                          <w:szCs w:val="40"/>
                          <w:lang w:val="es-ES_tradnl"/>
                        </w:rPr>
                        <w:t>No.</w:t>
                      </w:r>
                      <w:r>
                        <w:rPr>
                          <w:rFonts w:ascii="Cambria" w:hAnsi="Cambria" w:cs="Arial"/>
                          <w:b/>
                          <w:bCs/>
                          <w:color w:val="0D0D0D"/>
                          <w:sz w:val="36"/>
                          <w:szCs w:val="22"/>
                          <w:lang w:val="es-ES_tradnl"/>
                        </w:rPr>
                        <w:t xml:space="preserve"> </w:t>
                      </w:r>
                      <w:r w:rsidR="00C65ACD">
                        <w:rPr>
                          <w:rFonts w:ascii="Cambria" w:hAnsi="Cambria" w:cs="Arial"/>
                          <w:b/>
                          <w:bCs/>
                          <w:color w:val="0D0D0D"/>
                          <w:sz w:val="36"/>
                          <w:szCs w:val="22"/>
                          <w:lang w:val="es-ES_tradnl"/>
                        </w:rPr>
                        <w:t>23</w:t>
                      </w:r>
                      <w:r>
                        <w:rPr>
                          <w:rFonts w:ascii="Cambria" w:hAnsi="Cambria" w:cs="Arial"/>
                          <w:b/>
                          <w:bCs/>
                          <w:color w:val="0D0D0D"/>
                          <w:sz w:val="36"/>
                          <w:szCs w:val="22"/>
                          <w:lang w:val="es-ES_tradnl"/>
                        </w:rPr>
                        <w:t>/17</w:t>
                      </w:r>
                    </w:p>
                    <w:p w14:paraId="79139724" w14:textId="77777777" w:rsidR="0007239A" w:rsidRPr="00D142E1" w:rsidRDefault="0007239A" w:rsidP="009D7F32">
                      <w:pPr>
                        <w:spacing w:line="276" w:lineRule="auto"/>
                        <w:rPr>
                          <w:rFonts w:ascii="Cambria" w:hAnsi="Cambria" w:cs="Arial"/>
                          <w:b/>
                          <w:color w:val="0D0D0D"/>
                          <w:sz w:val="36"/>
                          <w:szCs w:val="22"/>
                          <w:lang w:val="es-ES_tradnl"/>
                        </w:rPr>
                      </w:pPr>
                      <w:r>
                        <w:rPr>
                          <w:rFonts w:ascii="Cambria" w:hAnsi="Cambria" w:cs="Arial"/>
                          <w:b/>
                          <w:color w:val="0D0D0D"/>
                          <w:sz w:val="36"/>
                          <w:szCs w:val="22"/>
                          <w:lang w:val="es-ES_tradnl"/>
                        </w:rPr>
                        <w:t>CASO 12.311</w:t>
                      </w:r>
                    </w:p>
                    <w:p w14:paraId="7F9A4213" w14:textId="77777777" w:rsidR="0007239A" w:rsidRPr="00D142E1" w:rsidRDefault="0007239A" w:rsidP="009D7F32">
                      <w:pPr>
                        <w:spacing w:line="276" w:lineRule="auto"/>
                        <w:rPr>
                          <w:rFonts w:ascii="Cambria" w:hAnsi="Cambria" w:cs="Arial"/>
                          <w:color w:val="0D0D0D"/>
                          <w:szCs w:val="22"/>
                          <w:lang w:val="es-ES_tradnl"/>
                        </w:rPr>
                      </w:pPr>
                      <w:r w:rsidRPr="00D142E1">
                        <w:rPr>
                          <w:rFonts w:ascii="Cambria" w:hAnsi="Cambria" w:cs="Arial"/>
                          <w:color w:val="0D0D0D"/>
                          <w:szCs w:val="22"/>
                          <w:lang w:val="es-ES_tradnl"/>
                        </w:rPr>
                        <w:t>INFORME DE FONDO</w:t>
                      </w:r>
                    </w:p>
                    <w:p w14:paraId="5BE5D8CC" w14:textId="77777777" w:rsidR="0007239A" w:rsidRPr="00D142E1" w:rsidRDefault="0007239A" w:rsidP="009D7F32">
                      <w:pPr>
                        <w:spacing w:line="276" w:lineRule="auto"/>
                        <w:rPr>
                          <w:rFonts w:ascii="Cambria" w:hAnsi="Cambria" w:cs="Arial"/>
                          <w:color w:val="0D0D0D"/>
                          <w:szCs w:val="22"/>
                          <w:lang w:val="es-ES_tradnl"/>
                        </w:rPr>
                      </w:pPr>
                      <w:bookmarkStart w:id="1" w:name="_ftnref1"/>
                    </w:p>
                    <w:p w14:paraId="1BBAFABB" w14:textId="77777777" w:rsidR="0007239A" w:rsidRPr="00D142E1" w:rsidRDefault="0007239A" w:rsidP="009D7F32">
                      <w:pPr>
                        <w:spacing w:line="276" w:lineRule="auto"/>
                        <w:rPr>
                          <w:rFonts w:ascii="Cambria" w:hAnsi="Cambria" w:cs="Arial"/>
                          <w:color w:val="0D0D0D"/>
                          <w:szCs w:val="22"/>
                          <w:lang w:val="es-ES_tradnl"/>
                        </w:rPr>
                      </w:pPr>
                      <w:r>
                        <w:rPr>
                          <w:rFonts w:ascii="Cambria" w:hAnsi="Cambria" w:cs="Arial"/>
                          <w:color w:val="0D0D0D"/>
                          <w:szCs w:val="22"/>
                          <w:lang w:val="es-ES_tradnl"/>
                        </w:rPr>
                        <w:t xml:space="preserve">EDUARDO BENJAMIN COLINDRES  </w:t>
                      </w:r>
                    </w:p>
                    <w:bookmarkEnd w:id="1"/>
                    <w:p w14:paraId="6F318BA2" w14:textId="77777777" w:rsidR="0007239A" w:rsidRPr="00D142E1" w:rsidRDefault="0007239A" w:rsidP="009D7F32">
                      <w:pPr>
                        <w:spacing w:line="276" w:lineRule="auto"/>
                        <w:rPr>
                          <w:rFonts w:ascii="Cambria" w:hAnsi="Cambria" w:cs="Arial"/>
                          <w:color w:val="0D0D0D"/>
                          <w:szCs w:val="22"/>
                          <w:lang w:val="es-ES"/>
                        </w:rPr>
                      </w:pPr>
                      <w:r>
                        <w:rPr>
                          <w:rFonts w:ascii="Cambria" w:hAnsi="Cambria" w:cs="Arial"/>
                          <w:color w:val="0D0D0D"/>
                          <w:szCs w:val="22"/>
                          <w:lang w:val="es-ES_tradnl"/>
                        </w:rPr>
                        <w:t>EL SALVADOR</w:t>
                      </w:r>
                    </w:p>
                    <w:p w14:paraId="5AC6AC6D" w14:textId="77777777" w:rsidR="0007239A" w:rsidRPr="00D142E1" w:rsidRDefault="0007239A" w:rsidP="009D7F32">
                      <w:pPr>
                        <w:rPr>
                          <w:color w:val="0D0D0D"/>
                          <w:lang w:val="es-ES_tradnl"/>
                        </w:rPr>
                      </w:pPr>
                    </w:p>
                  </w:txbxContent>
                </v:textbox>
              </v:shape>
            </w:pict>
          </mc:Fallback>
        </mc:AlternateContent>
      </w:r>
      <w:r w:rsidRPr="00640517">
        <w:rPr>
          <w:rFonts w:asciiTheme="majorHAnsi" w:hAnsiTheme="majorHAnsi"/>
          <w:noProof/>
          <w:sz w:val="20"/>
          <w:szCs w:val="20"/>
          <w:lang w:val="es-UY" w:eastAsia="es-UY"/>
        </w:rPr>
        <mc:AlternateContent>
          <mc:Choice Requires="wps">
            <w:drawing>
              <wp:anchor distT="0" distB="0" distL="114300" distR="114300" simplePos="0" relativeHeight="251656704" behindDoc="0" locked="0" layoutInCell="1" allowOverlap="1" wp14:anchorId="4EF0F2D5" wp14:editId="0CA0B750">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txbx>
                        <w:txbxContent>
                          <w:p w14:paraId="1481CD22" w14:textId="77777777" w:rsidR="0007239A" w:rsidRPr="00D142E1" w:rsidRDefault="0007239A" w:rsidP="009D7F32">
                            <w:pPr>
                              <w:spacing w:line="276" w:lineRule="auto"/>
                              <w:jc w:val="right"/>
                              <w:rPr>
                                <w:rFonts w:ascii="Calibri" w:hAnsi="Calibri"/>
                                <w:color w:val="FFFFFF"/>
                                <w:sz w:val="22"/>
                                <w:lang w:val="pt-BR"/>
                              </w:rPr>
                            </w:pPr>
                            <w:r w:rsidRPr="00D142E1">
                              <w:rPr>
                                <w:rFonts w:ascii="Calibri" w:hAnsi="Calibri"/>
                                <w:color w:val="FFFFFF"/>
                                <w:sz w:val="22"/>
                                <w:lang w:val="pt-BR"/>
                              </w:rPr>
                              <w:t>OEA/Ser.L/V/II.</w:t>
                            </w:r>
                            <w:r>
                              <w:rPr>
                                <w:rFonts w:ascii="Calibri" w:hAnsi="Calibri"/>
                                <w:color w:val="FFFFFF"/>
                                <w:sz w:val="22"/>
                                <w:lang w:val="pt-BR"/>
                              </w:rPr>
                              <w:t>161</w:t>
                            </w:r>
                          </w:p>
                          <w:p w14:paraId="52A74E6B" w14:textId="5F04A323" w:rsidR="0007239A" w:rsidRPr="00D142E1" w:rsidRDefault="0007239A" w:rsidP="009D7F32">
                            <w:pPr>
                              <w:spacing w:line="276" w:lineRule="auto"/>
                              <w:jc w:val="right"/>
                              <w:rPr>
                                <w:rFonts w:ascii="Calibri" w:hAnsi="Calibri"/>
                                <w:color w:val="FFFFFF"/>
                                <w:sz w:val="22"/>
                                <w:lang w:val="pt-BR"/>
                              </w:rPr>
                            </w:pPr>
                            <w:r w:rsidRPr="00D142E1">
                              <w:rPr>
                                <w:rFonts w:ascii="Calibri" w:hAnsi="Calibri"/>
                                <w:color w:val="FFFFFF"/>
                                <w:sz w:val="22"/>
                                <w:lang w:val="pt-BR"/>
                              </w:rPr>
                              <w:t xml:space="preserve">Doc. </w:t>
                            </w:r>
                            <w:r w:rsidR="00162484">
                              <w:rPr>
                                <w:rFonts w:ascii="Calibri" w:hAnsi="Calibri"/>
                                <w:color w:val="FFFFFF"/>
                                <w:sz w:val="22"/>
                                <w:lang w:val="pt-BR"/>
                              </w:rPr>
                              <w:t>30</w:t>
                            </w:r>
                          </w:p>
                          <w:p w14:paraId="77783A21" w14:textId="027D0558" w:rsidR="0007239A" w:rsidRPr="00D142E1" w:rsidRDefault="00C65ACD" w:rsidP="009D7F32">
                            <w:pPr>
                              <w:spacing w:line="276" w:lineRule="auto"/>
                              <w:jc w:val="right"/>
                              <w:rPr>
                                <w:rFonts w:ascii="Calibri" w:hAnsi="Calibri"/>
                                <w:color w:val="FFFFFF"/>
                                <w:sz w:val="22"/>
                                <w:lang w:val="es-ES"/>
                              </w:rPr>
                            </w:pPr>
                            <w:r>
                              <w:rPr>
                                <w:rFonts w:ascii="Calibri" w:hAnsi="Calibri"/>
                                <w:color w:val="FFFFFF"/>
                                <w:sz w:val="22"/>
                                <w:lang w:val="es-ES"/>
                              </w:rPr>
                              <w:t>18</w:t>
                            </w:r>
                            <w:r w:rsidR="0007239A">
                              <w:rPr>
                                <w:rFonts w:ascii="Calibri" w:hAnsi="Calibri"/>
                                <w:color w:val="FFFFFF"/>
                                <w:sz w:val="22"/>
                                <w:lang w:val="es-ES"/>
                              </w:rPr>
                              <w:t xml:space="preserve"> marzo 2017</w:t>
                            </w:r>
                          </w:p>
                          <w:p w14:paraId="5A5B0D55" w14:textId="77777777" w:rsidR="0007239A" w:rsidRPr="00D142E1" w:rsidRDefault="0007239A" w:rsidP="009D7F32">
                            <w:pPr>
                              <w:spacing w:line="276" w:lineRule="auto"/>
                              <w:jc w:val="right"/>
                              <w:rPr>
                                <w:rFonts w:ascii="Calibri" w:hAnsi="Calibri"/>
                                <w:color w:val="FFFFFF"/>
                                <w:sz w:val="22"/>
                                <w:lang w:val="es-ES"/>
                              </w:rPr>
                            </w:pPr>
                            <w:r w:rsidRPr="00D142E1">
                              <w:rPr>
                                <w:rFonts w:ascii="Calibri" w:hAnsi="Calibri"/>
                                <w:color w:val="FFFFFF"/>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" filled="f" stroked="f" strokeweight=".5pt">
                <v:path arrowok="t"/>
                <v:textbox>
                  <w:txbxContent>
                    <w:p w14:paraId="1481CD22" w14:textId="77777777" w:rsidR="0007239A" w:rsidRPr="00D142E1" w:rsidRDefault="0007239A" w:rsidP="009D7F32">
                      <w:pPr>
                        <w:spacing w:line="276" w:lineRule="auto"/>
                        <w:jc w:val="right"/>
                        <w:rPr>
                          <w:rFonts w:ascii="Calibri" w:hAnsi="Calibri"/>
                          <w:color w:val="FFFFFF"/>
                          <w:sz w:val="22"/>
                          <w:lang w:val="pt-BR"/>
                        </w:rPr>
                      </w:pPr>
                      <w:r w:rsidRPr="00D142E1">
                        <w:rPr>
                          <w:rFonts w:ascii="Calibri" w:hAnsi="Calibri"/>
                          <w:color w:val="FFFFFF"/>
                          <w:sz w:val="22"/>
                          <w:lang w:val="pt-BR"/>
                        </w:rPr>
                        <w:t>OEA/Ser.L/V/II.</w:t>
                      </w:r>
                      <w:r>
                        <w:rPr>
                          <w:rFonts w:ascii="Calibri" w:hAnsi="Calibri"/>
                          <w:color w:val="FFFFFF"/>
                          <w:sz w:val="22"/>
                          <w:lang w:val="pt-BR"/>
                        </w:rPr>
                        <w:t>161</w:t>
                      </w:r>
                    </w:p>
                    <w:p w14:paraId="52A74E6B" w14:textId="5F04A323" w:rsidR="0007239A" w:rsidRPr="00D142E1" w:rsidRDefault="0007239A" w:rsidP="009D7F32">
                      <w:pPr>
                        <w:spacing w:line="276" w:lineRule="auto"/>
                        <w:jc w:val="right"/>
                        <w:rPr>
                          <w:rFonts w:ascii="Calibri" w:hAnsi="Calibri"/>
                          <w:color w:val="FFFFFF"/>
                          <w:sz w:val="22"/>
                          <w:lang w:val="pt-BR"/>
                        </w:rPr>
                      </w:pPr>
                      <w:r w:rsidRPr="00D142E1">
                        <w:rPr>
                          <w:rFonts w:ascii="Calibri" w:hAnsi="Calibri"/>
                          <w:color w:val="FFFFFF"/>
                          <w:sz w:val="22"/>
                          <w:lang w:val="pt-BR"/>
                        </w:rPr>
                        <w:t xml:space="preserve">Doc. </w:t>
                      </w:r>
                      <w:r w:rsidR="00162484">
                        <w:rPr>
                          <w:rFonts w:ascii="Calibri" w:hAnsi="Calibri"/>
                          <w:color w:val="FFFFFF"/>
                          <w:sz w:val="22"/>
                          <w:lang w:val="pt-BR"/>
                        </w:rPr>
                        <w:t>30</w:t>
                      </w:r>
                      <w:bookmarkStart w:id="3" w:name="_GoBack"/>
                      <w:bookmarkEnd w:id="3"/>
                    </w:p>
                    <w:p w14:paraId="77783A21" w14:textId="027D0558" w:rsidR="0007239A" w:rsidRPr="00D142E1" w:rsidRDefault="00C65ACD" w:rsidP="009D7F32">
                      <w:pPr>
                        <w:spacing w:line="276" w:lineRule="auto"/>
                        <w:jc w:val="right"/>
                        <w:rPr>
                          <w:rFonts w:ascii="Calibri" w:hAnsi="Calibri"/>
                          <w:color w:val="FFFFFF"/>
                          <w:sz w:val="22"/>
                          <w:lang w:val="es-ES"/>
                        </w:rPr>
                      </w:pPr>
                      <w:r>
                        <w:rPr>
                          <w:rFonts w:ascii="Calibri" w:hAnsi="Calibri"/>
                          <w:color w:val="FFFFFF"/>
                          <w:sz w:val="22"/>
                          <w:lang w:val="es-ES"/>
                        </w:rPr>
                        <w:t>18</w:t>
                      </w:r>
                      <w:r w:rsidR="0007239A">
                        <w:rPr>
                          <w:rFonts w:ascii="Calibri" w:hAnsi="Calibri"/>
                          <w:color w:val="FFFFFF"/>
                          <w:sz w:val="22"/>
                          <w:lang w:val="es-ES"/>
                        </w:rPr>
                        <w:t xml:space="preserve"> marzo 2017</w:t>
                      </w:r>
                    </w:p>
                    <w:p w14:paraId="5A5B0D55" w14:textId="77777777" w:rsidR="0007239A" w:rsidRPr="00D142E1" w:rsidRDefault="0007239A" w:rsidP="009D7F32">
                      <w:pPr>
                        <w:spacing w:line="276" w:lineRule="auto"/>
                        <w:jc w:val="right"/>
                        <w:rPr>
                          <w:rFonts w:ascii="Calibri" w:hAnsi="Calibri"/>
                          <w:color w:val="FFFFFF"/>
                          <w:sz w:val="22"/>
                          <w:lang w:val="es-ES"/>
                        </w:rPr>
                      </w:pPr>
                      <w:r w:rsidRPr="00D142E1">
                        <w:rPr>
                          <w:rFonts w:ascii="Calibri" w:hAnsi="Calibri"/>
                          <w:color w:val="FFFFFF"/>
                          <w:sz w:val="22"/>
                          <w:lang w:val="es-ES"/>
                        </w:rPr>
                        <w:t>Original: español</w:t>
                      </w:r>
                    </w:p>
                  </w:txbxContent>
                </v:textbox>
              </v:shape>
            </w:pict>
          </mc:Fallback>
        </mc:AlternateContent>
      </w:r>
    </w:p>
    <w:p w14:paraId="6DECE1D4" w14:textId="77777777" w:rsidR="009D7F32" w:rsidRPr="00640517" w:rsidRDefault="009D7F32" w:rsidP="009D7F32">
      <w:pPr>
        <w:tabs>
          <w:tab w:val="center" w:pos="5400"/>
        </w:tabs>
        <w:suppressAutoHyphens/>
        <w:jc w:val="center"/>
        <w:rPr>
          <w:rFonts w:asciiTheme="majorHAnsi" w:hAnsiTheme="majorHAnsi"/>
          <w:sz w:val="20"/>
          <w:szCs w:val="20"/>
          <w:lang w:val="es-ES_tradnl"/>
        </w:rPr>
      </w:pPr>
    </w:p>
    <w:p w14:paraId="33A0703C" w14:textId="77777777" w:rsidR="009D7F32" w:rsidRPr="00640517" w:rsidRDefault="009D7F32" w:rsidP="009D7F32">
      <w:pPr>
        <w:tabs>
          <w:tab w:val="center" w:pos="5400"/>
        </w:tabs>
        <w:suppressAutoHyphens/>
        <w:jc w:val="center"/>
        <w:rPr>
          <w:rFonts w:asciiTheme="majorHAnsi" w:hAnsiTheme="majorHAnsi"/>
          <w:sz w:val="20"/>
          <w:szCs w:val="20"/>
          <w:lang w:val="es-ES_tradnl"/>
        </w:rPr>
      </w:pPr>
    </w:p>
    <w:p w14:paraId="2CFE8F21" w14:textId="77777777" w:rsidR="009D7F32" w:rsidRPr="00640517" w:rsidRDefault="009D7F32" w:rsidP="009D7F32">
      <w:pPr>
        <w:tabs>
          <w:tab w:val="center" w:pos="5400"/>
        </w:tabs>
        <w:suppressAutoHyphens/>
        <w:jc w:val="center"/>
        <w:rPr>
          <w:rFonts w:asciiTheme="majorHAnsi" w:hAnsiTheme="majorHAnsi" w:cs="Arial"/>
          <w:sz w:val="20"/>
          <w:szCs w:val="20"/>
          <w:lang w:val="es-ES_tradnl"/>
        </w:rPr>
      </w:pPr>
    </w:p>
    <w:p w14:paraId="3CC5BCF4" w14:textId="77777777" w:rsidR="009D7F32" w:rsidRPr="00640517" w:rsidRDefault="009D7F32" w:rsidP="009D7F32">
      <w:pPr>
        <w:tabs>
          <w:tab w:val="center" w:pos="5400"/>
        </w:tabs>
        <w:suppressAutoHyphens/>
        <w:jc w:val="center"/>
        <w:rPr>
          <w:rFonts w:asciiTheme="majorHAnsi" w:hAnsiTheme="majorHAnsi"/>
          <w:sz w:val="20"/>
          <w:szCs w:val="20"/>
          <w:lang w:val="es-ES_tradnl"/>
        </w:rPr>
      </w:pPr>
    </w:p>
    <w:p w14:paraId="08EEBFED" w14:textId="77777777" w:rsidR="009D7F32" w:rsidRPr="00640517" w:rsidRDefault="009D7F32" w:rsidP="009D7F32">
      <w:pPr>
        <w:tabs>
          <w:tab w:val="center" w:pos="5400"/>
        </w:tabs>
        <w:suppressAutoHyphens/>
        <w:jc w:val="center"/>
        <w:rPr>
          <w:rFonts w:asciiTheme="majorHAnsi" w:hAnsiTheme="majorHAnsi"/>
          <w:sz w:val="20"/>
          <w:szCs w:val="20"/>
          <w:lang w:val="es-ES_tradnl"/>
        </w:rPr>
      </w:pPr>
    </w:p>
    <w:p w14:paraId="4A458E0F" w14:textId="77777777" w:rsidR="009D7F32" w:rsidRPr="00640517" w:rsidRDefault="009D7F32" w:rsidP="009D7F32">
      <w:pPr>
        <w:tabs>
          <w:tab w:val="center" w:pos="5400"/>
        </w:tabs>
        <w:suppressAutoHyphens/>
        <w:jc w:val="center"/>
        <w:rPr>
          <w:rFonts w:asciiTheme="majorHAnsi" w:hAnsiTheme="majorHAnsi"/>
          <w:sz w:val="20"/>
          <w:szCs w:val="20"/>
          <w:lang w:val="es-ES_tradnl"/>
        </w:rPr>
      </w:pPr>
    </w:p>
    <w:p w14:paraId="6967C0AB" w14:textId="77777777" w:rsidR="009D7F32" w:rsidRPr="00640517" w:rsidRDefault="009D7F32" w:rsidP="009D7F32">
      <w:pPr>
        <w:tabs>
          <w:tab w:val="center" w:pos="5400"/>
        </w:tabs>
        <w:suppressAutoHyphens/>
        <w:jc w:val="center"/>
        <w:rPr>
          <w:rFonts w:asciiTheme="majorHAnsi" w:hAnsiTheme="majorHAnsi"/>
          <w:sz w:val="20"/>
          <w:szCs w:val="20"/>
          <w:lang w:val="es-ES_tradnl"/>
        </w:rPr>
      </w:pPr>
    </w:p>
    <w:p w14:paraId="4C575D8D" w14:textId="77777777" w:rsidR="009D7F32" w:rsidRPr="00640517" w:rsidRDefault="009D7F32" w:rsidP="009D7F32">
      <w:pPr>
        <w:tabs>
          <w:tab w:val="center" w:pos="5400"/>
        </w:tabs>
        <w:suppressAutoHyphens/>
        <w:jc w:val="center"/>
        <w:rPr>
          <w:rFonts w:asciiTheme="majorHAnsi" w:hAnsiTheme="majorHAnsi"/>
          <w:sz w:val="20"/>
          <w:szCs w:val="20"/>
          <w:lang w:val="es-ES_tradnl"/>
        </w:rPr>
      </w:pPr>
    </w:p>
    <w:p w14:paraId="4EACC69C" w14:textId="77777777" w:rsidR="009D7F32" w:rsidRPr="00640517" w:rsidRDefault="009D7F32" w:rsidP="009D7F32">
      <w:pPr>
        <w:tabs>
          <w:tab w:val="center" w:pos="5400"/>
        </w:tabs>
        <w:suppressAutoHyphens/>
        <w:jc w:val="center"/>
        <w:rPr>
          <w:rFonts w:asciiTheme="majorHAnsi" w:hAnsiTheme="majorHAnsi"/>
          <w:sz w:val="20"/>
          <w:szCs w:val="20"/>
          <w:lang w:val="es-ES_tradnl"/>
        </w:rPr>
      </w:pPr>
    </w:p>
    <w:p w14:paraId="554C2716" w14:textId="77777777" w:rsidR="009D7F32" w:rsidRPr="00640517" w:rsidRDefault="009D7F32" w:rsidP="009D7F32">
      <w:pPr>
        <w:tabs>
          <w:tab w:val="center" w:pos="5400"/>
        </w:tabs>
        <w:suppressAutoHyphens/>
        <w:jc w:val="center"/>
        <w:rPr>
          <w:rFonts w:asciiTheme="majorHAnsi" w:hAnsiTheme="majorHAnsi"/>
          <w:sz w:val="20"/>
          <w:szCs w:val="20"/>
          <w:lang w:val="es-ES_tradnl"/>
        </w:rPr>
      </w:pPr>
    </w:p>
    <w:p w14:paraId="65845DB8" w14:textId="77777777" w:rsidR="009D7F32" w:rsidRPr="00640517" w:rsidRDefault="009D7F32" w:rsidP="009D7F32">
      <w:pPr>
        <w:tabs>
          <w:tab w:val="center" w:pos="5400"/>
        </w:tabs>
        <w:suppressAutoHyphens/>
        <w:jc w:val="center"/>
        <w:rPr>
          <w:rFonts w:asciiTheme="majorHAnsi" w:hAnsiTheme="majorHAnsi"/>
          <w:sz w:val="20"/>
          <w:szCs w:val="20"/>
          <w:lang w:val="es-ES_tradnl"/>
        </w:rPr>
      </w:pPr>
    </w:p>
    <w:p w14:paraId="220C36CF" w14:textId="77777777" w:rsidR="009D7F32" w:rsidRPr="00640517" w:rsidRDefault="009D7F32" w:rsidP="009D7F32">
      <w:pPr>
        <w:tabs>
          <w:tab w:val="center" w:pos="5400"/>
        </w:tabs>
        <w:suppressAutoHyphens/>
        <w:jc w:val="center"/>
        <w:rPr>
          <w:rFonts w:asciiTheme="majorHAnsi" w:hAnsiTheme="majorHAnsi"/>
          <w:sz w:val="20"/>
          <w:szCs w:val="20"/>
          <w:lang w:val="es-ES_tradnl"/>
        </w:rPr>
      </w:pPr>
    </w:p>
    <w:p w14:paraId="499F6A4E" w14:textId="77777777" w:rsidR="009D7F32" w:rsidRPr="00640517" w:rsidRDefault="009D7F32" w:rsidP="009D7F32">
      <w:pPr>
        <w:tabs>
          <w:tab w:val="center" w:pos="5400"/>
        </w:tabs>
        <w:suppressAutoHyphens/>
        <w:jc w:val="center"/>
        <w:rPr>
          <w:rFonts w:asciiTheme="majorHAnsi" w:hAnsiTheme="majorHAnsi"/>
          <w:sz w:val="20"/>
          <w:szCs w:val="20"/>
          <w:lang w:val="es-ES_tradnl"/>
        </w:rPr>
      </w:pPr>
    </w:p>
    <w:p w14:paraId="03BE1AA4" w14:textId="77777777" w:rsidR="009D7F32" w:rsidRPr="00640517" w:rsidRDefault="009D7F32" w:rsidP="009D7F32">
      <w:pPr>
        <w:tabs>
          <w:tab w:val="center" w:pos="5400"/>
        </w:tabs>
        <w:suppressAutoHyphens/>
        <w:jc w:val="center"/>
        <w:rPr>
          <w:rFonts w:asciiTheme="majorHAnsi" w:hAnsiTheme="majorHAnsi"/>
          <w:sz w:val="20"/>
          <w:szCs w:val="20"/>
          <w:lang w:val="es-ES_tradnl"/>
        </w:rPr>
      </w:pPr>
    </w:p>
    <w:p w14:paraId="2F10B310" w14:textId="77777777" w:rsidR="009D7F32" w:rsidRPr="00640517" w:rsidRDefault="009D7F32" w:rsidP="009D7F32">
      <w:pPr>
        <w:tabs>
          <w:tab w:val="center" w:pos="5400"/>
        </w:tabs>
        <w:suppressAutoHyphens/>
        <w:jc w:val="center"/>
        <w:rPr>
          <w:rFonts w:asciiTheme="majorHAnsi" w:hAnsiTheme="majorHAnsi"/>
          <w:sz w:val="20"/>
          <w:szCs w:val="20"/>
          <w:lang w:val="es-ES_tradnl"/>
        </w:rPr>
      </w:pPr>
    </w:p>
    <w:p w14:paraId="2EB22A1B" w14:textId="77777777" w:rsidR="009D7F32" w:rsidRPr="00640517" w:rsidRDefault="009D7F32" w:rsidP="009D7F32">
      <w:pPr>
        <w:tabs>
          <w:tab w:val="center" w:pos="5400"/>
        </w:tabs>
        <w:suppressAutoHyphens/>
        <w:jc w:val="center"/>
        <w:rPr>
          <w:rFonts w:asciiTheme="majorHAnsi" w:hAnsiTheme="majorHAnsi"/>
          <w:sz w:val="20"/>
          <w:szCs w:val="20"/>
          <w:lang w:val="es-ES_tradnl"/>
        </w:rPr>
      </w:pPr>
    </w:p>
    <w:p w14:paraId="0406179E" w14:textId="77777777" w:rsidR="009D7F32" w:rsidRPr="00640517" w:rsidRDefault="009D7F32" w:rsidP="009D7F32">
      <w:pPr>
        <w:tabs>
          <w:tab w:val="center" w:pos="5400"/>
        </w:tabs>
        <w:suppressAutoHyphens/>
        <w:jc w:val="center"/>
        <w:rPr>
          <w:rFonts w:asciiTheme="majorHAnsi" w:hAnsiTheme="majorHAnsi"/>
          <w:sz w:val="20"/>
          <w:szCs w:val="20"/>
          <w:lang w:val="es-ES_tradnl"/>
        </w:rPr>
      </w:pPr>
    </w:p>
    <w:p w14:paraId="78C4B8A6" w14:textId="77777777" w:rsidR="009D7F32" w:rsidRPr="00640517" w:rsidRDefault="009D7F32" w:rsidP="009D7F32">
      <w:pPr>
        <w:tabs>
          <w:tab w:val="center" w:pos="5400"/>
        </w:tabs>
        <w:suppressAutoHyphens/>
        <w:jc w:val="center"/>
        <w:rPr>
          <w:rFonts w:asciiTheme="majorHAnsi" w:hAnsiTheme="majorHAnsi"/>
          <w:sz w:val="20"/>
          <w:szCs w:val="20"/>
          <w:lang w:val="es-ES_tradnl"/>
        </w:rPr>
      </w:pPr>
    </w:p>
    <w:p w14:paraId="2DECB79C" w14:textId="77777777" w:rsidR="009D7F32" w:rsidRPr="00640517" w:rsidRDefault="009D7F32" w:rsidP="009D7F32">
      <w:pPr>
        <w:tabs>
          <w:tab w:val="center" w:pos="5400"/>
        </w:tabs>
        <w:suppressAutoHyphens/>
        <w:jc w:val="center"/>
        <w:rPr>
          <w:rFonts w:asciiTheme="majorHAnsi" w:hAnsiTheme="majorHAnsi"/>
          <w:sz w:val="20"/>
          <w:szCs w:val="20"/>
          <w:lang w:val="es-ES_tradnl"/>
        </w:rPr>
      </w:pPr>
    </w:p>
    <w:p w14:paraId="6D4CA686" w14:textId="77777777" w:rsidR="009D7F32" w:rsidRPr="00640517" w:rsidRDefault="009D7F32" w:rsidP="009D7F32">
      <w:pPr>
        <w:tabs>
          <w:tab w:val="center" w:pos="5400"/>
        </w:tabs>
        <w:suppressAutoHyphens/>
        <w:jc w:val="center"/>
        <w:rPr>
          <w:rFonts w:asciiTheme="majorHAnsi" w:hAnsiTheme="majorHAnsi"/>
          <w:sz w:val="20"/>
          <w:szCs w:val="20"/>
          <w:lang w:val="es-ES_tradnl"/>
        </w:rPr>
      </w:pPr>
    </w:p>
    <w:p w14:paraId="309D4E21" w14:textId="77777777" w:rsidR="009D7F32" w:rsidRPr="00640517" w:rsidRDefault="009D7F32" w:rsidP="009D7F32">
      <w:pPr>
        <w:tabs>
          <w:tab w:val="center" w:pos="5400"/>
        </w:tabs>
        <w:suppressAutoHyphens/>
        <w:jc w:val="center"/>
        <w:rPr>
          <w:rFonts w:asciiTheme="majorHAnsi" w:hAnsiTheme="majorHAnsi"/>
          <w:sz w:val="20"/>
          <w:szCs w:val="20"/>
          <w:lang w:val="es-ES_tradnl"/>
        </w:rPr>
      </w:pPr>
    </w:p>
    <w:p w14:paraId="1DCB0DC0" w14:textId="77777777" w:rsidR="009D7F32" w:rsidRPr="00640517" w:rsidRDefault="009D7F32" w:rsidP="009D7F32">
      <w:pPr>
        <w:tabs>
          <w:tab w:val="center" w:pos="5400"/>
        </w:tabs>
        <w:suppressAutoHyphens/>
        <w:jc w:val="center"/>
        <w:rPr>
          <w:rFonts w:asciiTheme="majorHAnsi" w:hAnsiTheme="majorHAnsi"/>
          <w:sz w:val="20"/>
          <w:szCs w:val="20"/>
          <w:lang w:val="es-ES_tradnl"/>
        </w:rPr>
      </w:pPr>
    </w:p>
    <w:p w14:paraId="11DB365A" w14:textId="77777777" w:rsidR="009D7F32" w:rsidRPr="00640517" w:rsidRDefault="009D7F32" w:rsidP="009D7F32">
      <w:pPr>
        <w:tabs>
          <w:tab w:val="center" w:pos="5400"/>
        </w:tabs>
        <w:suppressAutoHyphens/>
        <w:jc w:val="center"/>
        <w:rPr>
          <w:rFonts w:asciiTheme="majorHAnsi" w:hAnsiTheme="majorHAnsi"/>
          <w:sz w:val="20"/>
          <w:szCs w:val="20"/>
          <w:lang w:val="es-ES_tradnl"/>
        </w:rPr>
      </w:pPr>
    </w:p>
    <w:p w14:paraId="21C0C5A2" w14:textId="77777777" w:rsidR="009D7F32" w:rsidRPr="00640517" w:rsidRDefault="009D7F32" w:rsidP="009D7F32">
      <w:pPr>
        <w:tabs>
          <w:tab w:val="center" w:pos="5400"/>
        </w:tabs>
        <w:suppressAutoHyphens/>
        <w:jc w:val="center"/>
        <w:rPr>
          <w:rFonts w:asciiTheme="majorHAnsi" w:hAnsiTheme="majorHAnsi"/>
          <w:sz w:val="20"/>
          <w:szCs w:val="20"/>
          <w:lang w:val="es-ES_tradnl"/>
        </w:rPr>
      </w:pPr>
    </w:p>
    <w:p w14:paraId="7B6A8E65" w14:textId="77777777" w:rsidR="009D7F32" w:rsidRPr="00640517" w:rsidRDefault="009D7F32" w:rsidP="009D7F32">
      <w:pPr>
        <w:tabs>
          <w:tab w:val="center" w:pos="5400"/>
        </w:tabs>
        <w:suppressAutoHyphens/>
        <w:jc w:val="center"/>
        <w:rPr>
          <w:rFonts w:asciiTheme="majorHAnsi" w:hAnsiTheme="majorHAnsi"/>
          <w:sz w:val="20"/>
          <w:szCs w:val="20"/>
          <w:lang w:val="es-ES_tradnl"/>
        </w:rPr>
      </w:pPr>
    </w:p>
    <w:p w14:paraId="41E5C1E3" w14:textId="77777777" w:rsidR="009D7F32" w:rsidRPr="00640517" w:rsidRDefault="009D7F32" w:rsidP="009D7F32">
      <w:pPr>
        <w:tabs>
          <w:tab w:val="center" w:pos="5400"/>
        </w:tabs>
        <w:suppressAutoHyphens/>
        <w:jc w:val="center"/>
        <w:rPr>
          <w:rFonts w:asciiTheme="majorHAnsi" w:hAnsiTheme="majorHAnsi"/>
          <w:sz w:val="20"/>
          <w:szCs w:val="20"/>
          <w:lang w:val="es-ES_tradnl"/>
        </w:rPr>
      </w:pPr>
    </w:p>
    <w:p w14:paraId="264BEB6C" w14:textId="77777777" w:rsidR="009D7F32" w:rsidRPr="00640517" w:rsidRDefault="009D7F32" w:rsidP="009D7F32">
      <w:pPr>
        <w:tabs>
          <w:tab w:val="center" w:pos="5400"/>
        </w:tabs>
        <w:suppressAutoHyphens/>
        <w:jc w:val="center"/>
        <w:rPr>
          <w:rFonts w:asciiTheme="majorHAnsi" w:hAnsiTheme="majorHAnsi"/>
          <w:sz w:val="20"/>
          <w:szCs w:val="20"/>
          <w:lang w:val="es-ES_tradnl"/>
        </w:rPr>
      </w:pPr>
    </w:p>
    <w:p w14:paraId="49934C6D" w14:textId="77777777" w:rsidR="009D7F32" w:rsidRPr="00640517" w:rsidRDefault="009D7F32" w:rsidP="009D7F32">
      <w:pPr>
        <w:tabs>
          <w:tab w:val="center" w:pos="5400"/>
        </w:tabs>
        <w:suppressAutoHyphens/>
        <w:jc w:val="center"/>
        <w:rPr>
          <w:rFonts w:asciiTheme="majorHAnsi" w:hAnsiTheme="majorHAnsi"/>
          <w:sz w:val="20"/>
          <w:szCs w:val="20"/>
          <w:lang w:val="es-ES_tradnl"/>
        </w:rPr>
      </w:pPr>
    </w:p>
    <w:p w14:paraId="32E7C24C" w14:textId="77777777" w:rsidR="009D7F32" w:rsidRPr="00640517" w:rsidRDefault="001814EF" w:rsidP="009D7F32">
      <w:pPr>
        <w:tabs>
          <w:tab w:val="center" w:pos="5400"/>
        </w:tabs>
        <w:suppressAutoHyphens/>
        <w:jc w:val="center"/>
        <w:rPr>
          <w:rFonts w:asciiTheme="majorHAnsi" w:hAnsiTheme="majorHAnsi"/>
          <w:sz w:val="20"/>
          <w:szCs w:val="20"/>
          <w:lang w:val="es-ES_tradnl"/>
        </w:rPr>
      </w:pPr>
      <w:r w:rsidRPr="00640517">
        <w:rPr>
          <w:rFonts w:asciiTheme="majorHAnsi" w:hAnsiTheme="majorHAnsi"/>
          <w:noProof/>
          <w:sz w:val="20"/>
          <w:szCs w:val="20"/>
          <w:lang w:val="es-UY" w:eastAsia="es-UY"/>
        </w:rPr>
        <mc:AlternateContent>
          <mc:Choice Requires="wps">
            <w:drawing>
              <wp:anchor distT="0" distB="0" distL="114300" distR="114300" simplePos="0" relativeHeight="251655680" behindDoc="0" locked="0" layoutInCell="1" allowOverlap="1" wp14:anchorId="0CA53B0D" wp14:editId="39D72409">
                <wp:simplePos x="0" y="0"/>
                <wp:positionH relativeFrom="column">
                  <wp:posOffset>1341755</wp:posOffset>
                </wp:positionH>
                <wp:positionV relativeFrom="paragraph">
                  <wp:posOffset>22860</wp:posOffset>
                </wp:positionV>
                <wp:extent cx="4933950" cy="664845"/>
                <wp:effectExtent l="0" t="0" r="0" b="190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txbx>
                        <w:txbxContent>
                          <w:p w14:paraId="1C835AE1" w14:textId="2C8449CE" w:rsidR="0007239A" w:rsidRPr="00D142E1" w:rsidRDefault="0007239A" w:rsidP="009D7F32">
                            <w:pPr>
                              <w:tabs>
                                <w:tab w:val="center" w:pos="5400"/>
                              </w:tabs>
                              <w:suppressAutoHyphens/>
                              <w:spacing w:before="60"/>
                              <w:rPr>
                                <w:rFonts w:ascii="Cambria" w:hAnsi="Cambria" w:cs="Univers"/>
                                <w:color w:val="0D0D0D"/>
                                <w:sz w:val="18"/>
                                <w:szCs w:val="20"/>
                                <w:lang w:val="es-ES_tradnl"/>
                              </w:rPr>
                            </w:pPr>
                            <w:r w:rsidRPr="00D142E1">
                              <w:rPr>
                                <w:rFonts w:ascii="Cambria" w:hAnsi="Cambria"/>
                                <w:color w:val="0D0D0D"/>
                                <w:sz w:val="18"/>
                                <w:szCs w:val="20"/>
                                <w:lang w:val="es-ES"/>
                              </w:rPr>
                              <w:t>Aprobado por la Comisión en su sesión N</w:t>
                            </w:r>
                            <w:r>
                              <w:rPr>
                                <w:rFonts w:ascii="Cambria" w:hAnsi="Cambria"/>
                                <w:color w:val="0D0D0D"/>
                                <w:sz w:val="18"/>
                                <w:szCs w:val="20"/>
                                <w:lang w:val="es-ES"/>
                              </w:rPr>
                              <w:t xml:space="preserve">o. </w:t>
                            </w:r>
                            <w:r w:rsidR="00C65ACD">
                              <w:rPr>
                                <w:rFonts w:ascii="Cambria" w:hAnsi="Cambria"/>
                                <w:color w:val="0D0D0D"/>
                                <w:sz w:val="18"/>
                                <w:szCs w:val="20"/>
                                <w:lang w:val="es-ES"/>
                              </w:rPr>
                              <w:t>2077</w:t>
                            </w:r>
                            <w:r>
                              <w:rPr>
                                <w:rFonts w:ascii="Cambria" w:hAnsi="Cambria"/>
                                <w:color w:val="0D0D0D"/>
                                <w:sz w:val="18"/>
                                <w:szCs w:val="20"/>
                                <w:lang w:val="es-ES"/>
                              </w:rPr>
                              <w:t xml:space="preserve"> celebrada el </w:t>
                            </w:r>
                            <w:r w:rsidR="00C65ACD">
                              <w:rPr>
                                <w:rFonts w:ascii="Cambria" w:hAnsi="Cambria"/>
                                <w:color w:val="0D0D0D"/>
                                <w:sz w:val="18"/>
                                <w:szCs w:val="20"/>
                                <w:lang w:val="es-ES"/>
                              </w:rPr>
                              <w:t>18</w:t>
                            </w:r>
                            <w:r>
                              <w:rPr>
                                <w:rFonts w:ascii="Cambria" w:hAnsi="Cambria"/>
                                <w:color w:val="0D0D0D"/>
                                <w:sz w:val="18"/>
                                <w:szCs w:val="20"/>
                                <w:lang w:val="es-ES"/>
                              </w:rPr>
                              <w:t xml:space="preserve"> de </w:t>
                            </w:r>
                            <w:r w:rsidR="00C65ACD">
                              <w:rPr>
                                <w:rFonts w:ascii="Cambria" w:hAnsi="Cambria"/>
                                <w:color w:val="0D0D0D"/>
                                <w:sz w:val="18"/>
                                <w:szCs w:val="20"/>
                                <w:lang w:val="es-ES"/>
                              </w:rPr>
                              <w:t>marzo</w:t>
                            </w:r>
                            <w:r>
                              <w:rPr>
                                <w:rFonts w:ascii="Cambria" w:hAnsi="Cambria"/>
                                <w:color w:val="0D0D0D"/>
                                <w:sz w:val="18"/>
                                <w:szCs w:val="20"/>
                                <w:lang w:val="es-ES"/>
                              </w:rPr>
                              <w:t xml:space="preserve"> de </w:t>
                            </w:r>
                            <w:r w:rsidR="00C65ACD">
                              <w:rPr>
                                <w:rFonts w:ascii="Cambria" w:hAnsi="Cambria"/>
                                <w:color w:val="0D0D0D"/>
                                <w:sz w:val="18"/>
                                <w:szCs w:val="20"/>
                                <w:lang w:val="es-ES"/>
                              </w:rPr>
                              <w:t>2017</w:t>
                            </w:r>
                            <w:r w:rsidRPr="00D142E1">
                              <w:rPr>
                                <w:rFonts w:ascii="Cambria" w:hAnsi="Cambria"/>
                                <w:color w:val="0D0D0D"/>
                                <w:sz w:val="18"/>
                                <w:szCs w:val="20"/>
                                <w:lang w:val="es-ES"/>
                              </w:rPr>
                              <w:br/>
                            </w:r>
                            <w:r>
                              <w:rPr>
                                <w:rFonts w:ascii="Cambria" w:hAnsi="Cambria" w:cs="Univers"/>
                                <w:color w:val="0D0D0D"/>
                                <w:sz w:val="18"/>
                                <w:szCs w:val="20"/>
                                <w:lang w:val="es-ES_tradnl"/>
                              </w:rPr>
                              <w:t xml:space="preserve">161º </w:t>
                            </w:r>
                            <w:r w:rsidRPr="00D142E1">
                              <w:rPr>
                                <w:rFonts w:ascii="Cambria" w:hAnsi="Cambria" w:cs="Univers"/>
                                <w:color w:val="0D0D0D"/>
                                <w:sz w:val="18"/>
                                <w:szCs w:val="20"/>
                                <w:lang w:val="es-ES_tradnl"/>
                              </w:rPr>
                              <w:t xml:space="preserve"> período ordinario de sesiones</w:t>
                            </w:r>
                            <w:r>
                              <w:rPr>
                                <w:rFonts w:ascii="Cambria" w:hAnsi="Cambria" w:cs="Univers"/>
                                <w:color w:val="0D0D0D"/>
                                <w:sz w:val="18"/>
                                <w:szCs w:val="20"/>
                                <w:lang w:val="es-ES_tradnl"/>
                              </w:rPr>
                              <w:t>.</w:t>
                            </w:r>
                          </w:p>
                          <w:p w14:paraId="76423B2F" w14:textId="77777777" w:rsidR="0007239A" w:rsidRPr="00D142E1" w:rsidRDefault="0007239A" w:rsidP="009D7F32">
                            <w:pPr>
                              <w:tabs>
                                <w:tab w:val="center" w:pos="5400"/>
                              </w:tabs>
                              <w:suppressAutoHyphens/>
                              <w:spacing w:before="60"/>
                              <w:rPr>
                                <w:rFonts w:ascii="Calibri" w:hAnsi="Calibri" w:cs="Univers"/>
                                <w:color w:val="0D0D0D"/>
                                <w:sz w:val="20"/>
                                <w:szCs w:val="20"/>
                                <w:lang w:val="es-ES"/>
                              </w:rPr>
                            </w:pPr>
                          </w:p>
                          <w:p w14:paraId="65E564EC" w14:textId="77777777" w:rsidR="0007239A" w:rsidRPr="00D142E1" w:rsidRDefault="0007239A" w:rsidP="009D7F32">
                            <w:pPr>
                              <w:tabs>
                                <w:tab w:val="center" w:pos="5400"/>
                              </w:tabs>
                              <w:suppressAutoHyphens/>
                              <w:spacing w:before="60"/>
                              <w:rPr>
                                <w:rFonts w:ascii="Calibri" w:hAnsi="Calibri"/>
                                <w:color w:val="FFFFFF"/>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" filled="f" stroked="f" strokeweight=".5pt">
                <v:path arrowok="t"/>
                <v:textbox>
                  <w:txbxContent>
                    <w:p w14:paraId="1C835AE1" w14:textId="2C8449CE" w:rsidR="0007239A" w:rsidRPr="00D142E1" w:rsidRDefault="0007239A" w:rsidP="009D7F32">
                      <w:pPr>
                        <w:tabs>
                          <w:tab w:val="center" w:pos="5400"/>
                        </w:tabs>
                        <w:suppressAutoHyphens/>
                        <w:spacing w:before="60"/>
                        <w:rPr>
                          <w:rFonts w:ascii="Cambria" w:hAnsi="Cambria" w:cs="Univers"/>
                          <w:color w:val="0D0D0D"/>
                          <w:sz w:val="18"/>
                          <w:szCs w:val="20"/>
                          <w:lang w:val="es-ES_tradnl"/>
                        </w:rPr>
                      </w:pPr>
                      <w:r w:rsidRPr="00D142E1">
                        <w:rPr>
                          <w:rFonts w:ascii="Cambria" w:hAnsi="Cambria"/>
                          <w:color w:val="0D0D0D"/>
                          <w:sz w:val="18"/>
                          <w:szCs w:val="20"/>
                          <w:lang w:val="es-ES"/>
                        </w:rPr>
                        <w:t>Aprobado por la Comisión en su sesión N</w:t>
                      </w:r>
                      <w:r>
                        <w:rPr>
                          <w:rFonts w:ascii="Cambria" w:hAnsi="Cambria"/>
                          <w:color w:val="0D0D0D"/>
                          <w:sz w:val="18"/>
                          <w:szCs w:val="20"/>
                          <w:lang w:val="es-ES"/>
                        </w:rPr>
                        <w:t xml:space="preserve">o. </w:t>
                      </w:r>
                      <w:r w:rsidR="00C65ACD">
                        <w:rPr>
                          <w:rFonts w:ascii="Cambria" w:hAnsi="Cambria"/>
                          <w:color w:val="0D0D0D"/>
                          <w:sz w:val="18"/>
                          <w:szCs w:val="20"/>
                          <w:lang w:val="es-ES"/>
                        </w:rPr>
                        <w:t>2077</w:t>
                      </w:r>
                      <w:r>
                        <w:rPr>
                          <w:rFonts w:ascii="Cambria" w:hAnsi="Cambria"/>
                          <w:color w:val="0D0D0D"/>
                          <w:sz w:val="18"/>
                          <w:szCs w:val="20"/>
                          <w:lang w:val="es-ES"/>
                        </w:rPr>
                        <w:t xml:space="preserve"> celebrada el </w:t>
                      </w:r>
                      <w:r w:rsidR="00C65ACD">
                        <w:rPr>
                          <w:rFonts w:ascii="Cambria" w:hAnsi="Cambria"/>
                          <w:color w:val="0D0D0D"/>
                          <w:sz w:val="18"/>
                          <w:szCs w:val="20"/>
                          <w:lang w:val="es-ES"/>
                        </w:rPr>
                        <w:t>18</w:t>
                      </w:r>
                      <w:r>
                        <w:rPr>
                          <w:rFonts w:ascii="Cambria" w:hAnsi="Cambria"/>
                          <w:color w:val="0D0D0D"/>
                          <w:sz w:val="18"/>
                          <w:szCs w:val="20"/>
                          <w:lang w:val="es-ES"/>
                        </w:rPr>
                        <w:t xml:space="preserve"> de </w:t>
                      </w:r>
                      <w:r w:rsidR="00C65ACD">
                        <w:rPr>
                          <w:rFonts w:ascii="Cambria" w:hAnsi="Cambria"/>
                          <w:color w:val="0D0D0D"/>
                          <w:sz w:val="18"/>
                          <w:szCs w:val="20"/>
                          <w:lang w:val="es-ES"/>
                        </w:rPr>
                        <w:t>marzo</w:t>
                      </w:r>
                      <w:r>
                        <w:rPr>
                          <w:rFonts w:ascii="Cambria" w:hAnsi="Cambria"/>
                          <w:color w:val="0D0D0D"/>
                          <w:sz w:val="18"/>
                          <w:szCs w:val="20"/>
                          <w:lang w:val="es-ES"/>
                        </w:rPr>
                        <w:t xml:space="preserve"> de </w:t>
                      </w:r>
                      <w:r w:rsidR="00C65ACD">
                        <w:rPr>
                          <w:rFonts w:ascii="Cambria" w:hAnsi="Cambria"/>
                          <w:color w:val="0D0D0D"/>
                          <w:sz w:val="18"/>
                          <w:szCs w:val="20"/>
                          <w:lang w:val="es-ES"/>
                        </w:rPr>
                        <w:t>2017</w:t>
                      </w:r>
                      <w:r w:rsidRPr="00D142E1">
                        <w:rPr>
                          <w:rFonts w:ascii="Cambria" w:hAnsi="Cambria"/>
                          <w:color w:val="0D0D0D"/>
                          <w:sz w:val="18"/>
                          <w:szCs w:val="20"/>
                          <w:lang w:val="es-ES"/>
                        </w:rPr>
                        <w:br/>
                      </w:r>
                      <w:r>
                        <w:rPr>
                          <w:rFonts w:ascii="Cambria" w:hAnsi="Cambria" w:cs="Univers"/>
                          <w:color w:val="0D0D0D"/>
                          <w:sz w:val="18"/>
                          <w:szCs w:val="20"/>
                          <w:lang w:val="es-ES_tradnl"/>
                        </w:rPr>
                        <w:t xml:space="preserve">161º </w:t>
                      </w:r>
                      <w:r w:rsidRPr="00D142E1">
                        <w:rPr>
                          <w:rFonts w:ascii="Cambria" w:hAnsi="Cambria" w:cs="Univers"/>
                          <w:color w:val="0D0D0D"/>
                          <w:sz w:val="18"/>
                          <w:szCs w:val="20"/>
                          <w:lang w:val="es-ES_tradnl"/>
                        </w:rPr>
                        <w:t xml:space="preserve"> período ordinario de sesiones</w:t>
                      </w:r>
                      <w:r>
                        <w:rPr>
                          <w:rFonts w:ascii="Cambria" w:hAnsi="Cambria" w:cs="Univers"/>
                          <w:color w:val="0D0D0D"/>
                          <w:sz w:val="18"/>
                          <w:szCs w:val="20"/>
                          <w:lang w:val="es-ES_tradnl"/>
                        </w:rPr>
                        <w:t>.</w:t>
                      </w:r>
                    </w:p>
                    <w:p w14:paraId="76423B2F" w14:textId="77777777" w:rsidR="0007239A" w:rsidRPr="00D142E1" w:rsidRDefault="0007239A" w:rsidP="009D7F32">
                      <w:pPr>
                        <w:tabs>
                          <w:tab w:val="center" w:pos="5400"/>
                        </w:tabs>
                        <w:suppressAutoHyphens/>
                        <w:spacing w:before="60"/>
                        <w:rPr>
                          <w:rFonts w:ascii="Calibri" w:hAnsi="Calibri" w:cs="Univers"/>
                          <w:color w:val="0D0D0D"/>
                          <w:sz w:val="20"/>
                          <w:szCs w:val="20"/>
                          <w:lang w:val="es-ES"/>
                        </w:rPr>
                      </w:pPr>
                    </w:p>
                    <w:p w14:paraId="65E564EC" w14:textId="77777777" w:rsidR="0007239A" w:rsidRPr="00D142E1" w:rsidRDefault="0007239A" w:rsidP="009D7F32">
                      <w:pPr>
                        <w:tabs>
                          <w:tab w:val="center" w:pos="5400"/>
                        </w:tabs>
                        <w:suppressAutoHyphens/>
                        <w:spacing w:before="60"/>
                        <w:rPr>
                          <w:rFonts w:ascii="Calibri" w:hAnsi="Calibri"/>
                          <w:color w:val="FFFFFF"/>
                          <w:spacing w:val="-2"/>
                          <w:sz w:val="16"/>
                          <w:lang w:val="es-ES"/>
                        </w:rPr>
                      </w:pPr>
                    </w:p>
                  </w:txbxContent>
                </v:textbox>
              </v:shape>
            </w:pict>
          </mc:Fallback>
        </mc:AlternateContent>
      </w:r>
    </w:p>
    <w:p w14:paraId="0015A924" w14:textId="77777777" w:rsidR="009D7F32" w:rsidRPr="00640517" w:rsidRDefault="009D7F32" w:rsidP="009D7F32">
      <w:pPr>
        <w:tabs>
          <w:tab w:val="center" w:pos="5400"/>
        </w:tabs>
        <w:suppressAutoHyphens/>
        <w:jc w:val="center"/>
        <w:rPr>
          <w:rFonts w:asciiTheme="majorHAnsi" w:hAnsiTheme="majorHAnsi"/>
          <w:sz w:val="20"/>
          <w:szCs w:val="20"/>
          <w:lang w:val="es-ES_tradnl"/>
        </w:rPr>
      </w:pPr>
    </w:p>
    <w:p w14:paraId="5A068126" w14:textId="77777777" w:rsidR="009D7F32" w:rsidRPr="00640517" w:rsidRDefault="009D7F32" w:rsidP="009D7F32">
      <w:pPr>
        <w:tabs>
          <w:tab w:val="center" w:pos="5400"/>
        </w:tabs>
        <w:suppressAutoHyphens/>
        <w:jc w:val="center"/>
        <w:rPr>
          <w:rFonts w:asciiTheme="majorHAnsi" w:hAnsiTheme="majorHAnsi"/>
          <w:sz w:val="20"/>
          <w:szCs w:val="20"/>
          <w:lang w:val="es-ES_tradnl"/>
        </w:rPr>
      </w:pPr>
    </w:p>
    <w:p w14:paraId="46957C0D" w14:textId="77777777" w:rsidR="009D7F32" w:rsidRPr="00640517" w:rsidRDefault="009D7F32" w:rsidP="009D7F32">
      <w:pPr>
        <w:tabs>
          <w:tab w:val="center" w:pos="5400"/>
        </w:tabs>
        <w:suppressAutoHyphens/>
        <w:jc w:val="center"/>
        <w:rPr>
          <w:rFonts w:asciiTheme="majorHAnsi" w:hAnsiTheme="majorHAnsi"/>
          <w:sz w:val="20"/>
          <w:szCs w:val="20"/>
          <w:lang w:val="es-ES_tradnl"/>
        </w:rPr>
      </w:pPr>
    </w:p>
    <w:p w14:paraId="6FC4DFC1" w14:textId="77777777" w:rsidR="009D7F32" w:rsidRPr="00640517" w:rsidRDefault="009D7F32" w:rsidP="009D7F32">
      <w:pPr>
        <w:tabs>
          <w:tab w:val="center" w:pos="5400"/>
        </w:tabs>
        <w:suppressAutoHyphens/>
        <w:jc w:val="center"/>
        <w:rPr>
          <w:rFonts w:asciiTheme="majorHAnsi" w:hAnsiTheme="majorHAnsi"/>
          <w:sz w:val="20"/>
          <w:szCs w:val="20"/>
          <w:lang w:val="es-ES_tradnl"/>
        </w:rPr>
      </w:pPr>
    </w:p>
    <w:p w14:paraId="6EC8D191" w14:textId="77777777" w:rsidR="009D7F32" w:rsidRPr="00640517" w:rsidRDefault="001814EF" w:rsidP="009D7F32">
      <w:pPr>
        <w:tabs>
          <w:tab w:val="center" w:pos="5400"/>
        </w:tabs>
        <w:suppressAutoHyphens/>
        <w:jc w:val="center"/>
        <w:rPr>
          <w:rFonts w:asciiTheme="majorHAnsi" w:hAnsiTheme="majorHAnsi"/>
          <w:sz w:val="20"/>
          <w:szCs w:val="20"/>
          <w:lang w:val="es-ES_tradnl"/>
        </w:rPr>
      </w:pPr>
      <w:r w:rsidRPr="00640517">
        <w:rPr>
          <w:rFonts w:asciiTheme="majorHAnsi" w:hAnsiTheme="majorHAnsi"/>
          <w:noProof/>
          <w:sz w:val="20"/>
          <w:szCs w:val="20"/>
          <w:lang w:val="es-UY" w:eastAsia="es-UY"/>
        </w:rPr>
        <mc:AlternateContent>
          <mc:Choice Requires="wps">
            <w:drawing>
              <wp:anchor distT="0" distB="0" distL="114300" distR="114300" simplePos="0" relativeHeight="251658752" behindDoc="0" locked="0" layoutInCell="1" allowOverlap="1" wp14:anchorId="0D8E3D99" wp14:editId="24DDBF45">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txbx>
                        <w:txbxContent>
                          <w:p w14:paraId="1BE2D686" w14:textId="1EFD9317" w:rsidR="0007239A" w:rsidRPr="007202AC" w:rsidRDefault="0007239A" w:rsidP="009D7F32">
                            <w:pPr>
                              <w:spacing w:line="276" w:lineRule="auto"/>
                              <w:rPr>
                                <w:rFonts w:ascii="Cambria" w:hAnsi="Cambria"/>
                                <w:color w:val="595959"/>
                                <w:sz w:val="18"/>
                                <w:szCs w:val="18"/>
                                <w:lang w:val="es-ES"/>
                              </w:rPr>
                            </w:pPr>
                            <w:r w:rsidRPr="00D142E1">
                              <w:rPr>
                                <w:rFonts w:ascii="Cambria" w:hAnsi="Cambria"/>
                                <w:b/>
                                <w:color w:val="595959"/>
                                <w:sz w:val="18"/>
                                <w:szCs w:val="18"/>
                                <w:lang w:val="pt-BR"/>
                              </w:rPr>
                              <w:t>Citar como:</w:t>
                            </w:r>
                            <w:r w:rsidRPr="00D142E1">
                              <w:rPr>
                                <w:rFonts w:ascii="Cambria" w:hAnsi="Cambria"/>
                                <w:color w:val="595959"/>
                                <w:sz w:val="18"/>
                                <w:szCs w:val="18"/>
                                <w:lang w:val="pt-BR"/>
                              </w:rPr>
                              <w:t xml:space="preserve"> CIDH, Informe No. </w:t>
                            </w:r>
                            <w:r w:rsidR="00C65ACD">
                              <w:rPr>
                                <w:rFonts w:ascii="Cambria" w:hAnsi="Cambria"/>
                                <w:color w:val="595959"/>
                                <w:sz w:val="18"/>
                                <w:szCs w:val="18"/>
                                <w:lang w:val="pt-BR"/>
                              </w:rPr>
                              <w:t>23</w:t>
                            </w:r>
                            <w:r w:rsidRPr="00C65ACD">
                              <w:rPr>
                                <w:rFonts w:ascii="Cambria" w:hAnsi="Cambria"/>
                                <w:color w:val="595959"/>
                                <w:sz w:val="18"/>
                                <w:szCs w:val="18"/>
                                <w:lang w:val="pt-BR"/>
                              </w:rPr>
                              <w:t>/</w:t>
                            </w:r>
                            <w:r w:rsidR="00C65ACD" w:rsidRPr="00C65ACD">
                              <w:rPr>
                                <w:rFonts w:ascii="Cambria" w:hAnsi="Cambria"/>
                                <w:color w:val="595959"/>
                                <w:sz w:val="18"/>
                                <w:szCs w:val="18"/>
                                <w:lang w:val="pt-BR"/>
                              </w:rPr>
                              <w:t>17</w:t>
                            </w:r>
                            <w:r w:rsidRPr="00C65ACD">
                              <w:rPr>
                                <w:rFonts w:ascii="Cambria" w:hAnsi="Cambria"/>
                                <w:color w:val="595959"/>
                                <w:sz w:val="18"/>
                                <w:szCs w:val="18"/>
                                <w:lang w:val="pt-BR"/>
                              </w:rPr>
                              <w:t xml:space="preserve">, Caso 12.311. </w:t>
                            </w:r>
                            <w:r w:rsidRPr="00D142E1">
                              <w:rPr>
                                <w:rFonts w:ascii="Cambria" w:hAnsi="Cambria"/>
                                <w:color w:val="595959"/>
                                <w:sz w:val="18"/>
                                <w:szCs w:val="18"/>
                                <w:lang w:val="es-ES_tradnl"/>
                              </w:rPr>
                              <w:t xml:space="preserve">Fondo. </w:t>
                            </w:r>
                            <w:r>
                              <w:rPr>
                                <w:rFonts w:ascii="Cambria" w:hAnsi="Cambria"/>
                                <w:color w:val="595959"/>
                                <w:sz w:val="18"/>
                                <w:szCs w:val="18"/>
                                <w:lang w:val="es-ES_tradnl"/>
                              </w:rPr>
                              <w:t>Eduardo Benjamín Colindres.</w:t>
                            </w:r>
                            <w:r w:rsidRPr="00D142E1">
                              <w:rPr>
                                <w:rFonts w:ascii="Cambria" w:hAnsi="Cambria"/>
                                <w:color w:val="595959"/>
                                <w:sz w:val="18"/>
                                <w:szCs w:val="18"/>
                                <w:lang w:val="es-ES_tradnl"/>
                              </w:rPr>
                              <w:t xml:space="preserve"> </w:t>
                            </w:r>
                            <w:r w:rsidR="007B378B">
                              <w:rPr>
                                <w:rFonts w:ascii="Cambria" w:hAnsi="Cambria"/>
                                <w:color w:val="595959"/>
                                <w:sz w:val="18"/>
                                <w:szCs w:val="18"/>
                                <w:lang w:val="es-ES_tradnl"/>
                              </w:rPr>
                              <w:t xml:space="preserve">             </w:t>
                            </w:r>
                            <w:r>
                              <w:rPr>
                                <w:rFonts w:ascii="Cambria" w:hAnsi="Cambria"/>
                                <w:color w:val="595959"/>
                                <w:sz w:val="18"/>
                                <w:szCs w:val="18"/>
                                <w:lang w:val="es-ES_tradnl"/>
                              </w:rPr>
                              <w:t>El Salvador.</w:t>
                            </w:r>
                            <w:r>
                              <w:rPr>
                                <w:rFonts w:ascii="Cambria" w:hAnsi="Cambria"/>
                                <w:color w:val="595959"/>
                                <w:sz w:val="18"/>
                                <w:szCs w:val="18"/>
                                <w:lang w:val="es-ES"/>
                              </w:rPr>
                              <w:t xml:space="preserve"> </w:t>
                            </w:r>
                            <w:r w:rsidR="00C65ACD">
                              <w:rPr>
                                <w:rFonts w:ascii="Cambria" w:hAnsi="Cambria"/>
                                <w:color w:val="595959"/>
                                <w:sz w:val="18"/>
                                <w:szCs w:val="18"/>
                                <w:lang w:val="es-ES"/>
                              </w:rPr>
                              <w:t>18</w:t>
                            </w:r>
                            <w:r>
                              <w:rPr>
                                <w:rFonts w:ascii="Cambria" w:hAnsi="Cambria"/>
                                <w:color w:val="595959"/>
                                <w:sz w:val="18"/>
                                <w:szCs w:val="18"/>
                                <w:lang w:val="es-ES"/>
                              </w:rPr>
                              <w:t xml:space="preserve"> de </w:t>
                            </w:r>
                            <w:r w:rsidR="00C65ACD">
                              <w:rPr>
                                <w:rFonts w:ascii="Cambria" w:hAnsi="Cambria"/>
                                <w:color w:val="595959"/>
                                <w:sz w:val="18"/>
                                <w:szCs w:val="18"/>
                                <w:lang w:val="es-ES"/>
                              </w:rPr>
                              <w:t>marzo</w:t>
                            </w:r>
                            <w:r>
                              <w:rPr>
                                <w:rFonts w:ascii="Cambria" w:hAnsi="Cambria"/>
                                <w:color w:val="595959"/>
                                <w:sz w:val="18"/>
                                <w:szCs w:val="18"/>
                                <w:lang w:val="es-ES"/>
                              </w:rPr>
                              <w:t xml:space="preserve"> de </w:t>
                            </w:r>
                            <w:r w:rsidR="00C65ACD">
                              <w:rPr>
                                <w:rFonts w:ascii="Cambria" w:hAnsi="Cambria"/>
                                <w:color w:val="595959"/>
                                <w:sz w:val="18"/>
                                <w:szCs w:val="18"/>
                                <w:lang w:val="es-ES"/>
                              </w:rPr>
                              <w:t>2017</w:t>
                            </w:r>
                            <w:r w:rsidRPr="007202AC">
                              <w:rPr>
                                <w:rFonts w:ascii="Cambria" w:hAnsi="Cambria"/>
                                <w:color w:val="595959"/>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" filled="f" stroked="f" strokeweight=".5pt">
                <v:path arrowok="t"/>
                <v:textbox>
                  <w:txbxContent>
                    <w:p w14:paraId="1BE2D686" w14:textId="1EFD9317" w:rsidR="0007239A" w:rsidRPr="007202AC" w:rsidRDefault="0007239A" w:rsidP="009D7F32">
                      <w:pPr>
                        <w:spacing w:line="276" w:lineRule="auto"/>
                        <w:rPr>
                          <w:rFonts w:ascii="Cambria" w:hAnsi="Cambria"/>
                          <w:color w:val="595959"/>
                          <w:sz w:val="18"/>
                          <w:szCs w:val="18"/>
                          <w:lang w:val="es-ES"/>
                        </w:rPr>
                      </w:pPr>
                      <w:r w:rsidRPr="00D142E1">
                        <w:rPr>
                          <w:rFonts w:ascii="Cambria" w:hAnsi="Cambria"/>
                          <w:b/>
                          <w:color w:val="595959"/>
                          <w:sz w:val="18"/>
                          <w:szCs w:val="18"/>
                          <w:lang w:val="pt-BR"/>
                        </w:rPr>
                        <w:t>Citar como:</w:t>
                      </w:r>
                      <w:r w:rsidRPr="00D142E1">
                        <w:rPr>
                          <w:rFonts w:ascii="Cambria" w:hAnsi="Cambria"/>
                          <w:color w:val="595959"/>
                          <w:sz w:val="18"/>
                          <w:szCs w:val="18"/>
                          <w:lang w:val="pt-BR"/>
                        </w:rPr>
                        <w:t xml:space="preserve"> CIDH, Informe No. </w:t>
                      </w:r>
                      <w:r w:rsidR="00C65ACD">
                        <w:rPr>
                          <w:rFonts w:ascii="Cambria" w:hAnsi="Cambria"/>
                          <w:color w:val="595959"/>
                          <w:sz w:val="18"/>
                          <w:szCs w:val="18"/>
                          <w:lang w:val="pt-BR"/>
                        </w:rPr>
                        <w:t>23</w:t>
                      </w:r>
                      <w:r w:rsidRPr="00C65ACD">
                        <w:rPr>
                          <w:rFonts w:ascii="Cambria" w:hAnsi="Cambria"/>
                          <w:color w:val="595959"/>
                          <w:sz w:val="18"/>
                          <w:szCs w:val="18"/>
                          <w:lang w:val="pt-BR"/>
                        </w:rPr>
                        <w:t>/</w:t>
                      </w:r>
                      <w:r w:rsidR="00C65ACD" w:rsidRPr="00C65ACD">
                        <w:rPr>
                          <w:rFonts w:ascii="Cambria" w:hAnsi="Cambria"/>
                          <w:color w:val="595959"/>
                          <w:sz w:val="18"/>
                          <w:szCs w:val="18"/>
                          <w:lang w:val="pt-BR"/>
                        </w:rPr>
                        <w:t>17</w:t>
                      </w:r>
                      <w:r w:rsidRPr="00C65ACD">
                        <w:rPr>
                          <w:rFonts w:ascii="Cambria" w:hAnsi="Cambria"/>
                          <w:color w:val="595959"/>
                          <w:sz w:val="18"/>
                          <w:szCs w:val="18"/>
                          <w:lang w:val="pt-BR"/>
                        </w:rPr>
                        <w:t xml:space="preserve">, Caso 12.311. </w:t>
                      </w:r>
                      <w:r w:rsidRPr="00D142E1">
                        <w:rPr>
                          <w:rFonts w:ascii="Cambria" w:hAnsi="Cambria"/>
                          <w:color w:val="595959"/>
                          <w:sz w:val="18"/>
                          <w:szCs w:val="18"/>
                          <w:lang w:val="es-ES_tradnl"/>
                        </w:rPr>
                        <w:t xml:space="preserve">Fondo. </w:t>
                      </w:r>
                      <w:r>
                        <w:rPr>
                          <w:rFonts w:ascii="Cambria" w:hAnsi="Cambria"/>
                          <w:color w:val="595959"/>
                          <w:sz w:val="18"/>
                          <w:szCs w:val="18"/>
                          <w:lang w:val="es-ES_tradnl"/>
                        </w:rPr>
                        <w:t>Eduardo Benjamín Colindres.</w:t>
                      </w:r>
                      <w:r w:rsidRPr="00D142E1">
                        <w:rPr>
                          <w:rFonts w:ascii="Cambria" w:hAnsi="Cambria"/>
                          <w:color w:val="595959"/>
                          <w:sz w:val="18"/>
                          <w:szCs w:val="18"/>
                          <w:lang w:val="es-ES_tradnl"/>
                        </w:rPr>
                        <w:t xml:space="preserve"> </w:t>
                      </w:r>
                      <w:r w:rsidR="007B378B">
                        <w:rPr>
                          <w:rFonts w:ascii="Cambria" w:hAnsi="Cambria"/>
                          <w:color w:val="595959"/>
                          <w:sz w:val="18"/>
                          <w:szCs w:val="18"/>
                          <w:lang w:val="es-ES_tradnl"/>
                        </w:rPr>
                        <w:t xml:space="preserve">             </w:t>
                      </w:r>
                      <w:r>
                        <w:rPr>
                          <w:rFonts w:ascii="Cambria" w:hAnsi="Cambria"/>
                          <w:color w:val="595959"/>
                          <w:sz w:val="18"/>
                          <w:szCs w:val="18"/>
                          <w:lang w:val="es-ES_tradnl"/>
                        </w:rPr>
                        <w:t>El Salvador.</w:t>
                      </w:r>
                      <w:r>
                        <w:rPr>
                          <w:rFonts w:ascii="Cambria" w:hAnsi="Cambria"/>
                          <w:color w:val="595959"/>
                          <w:sz w:val="18"/>
                          <w:szCs w:val="18"/>
                          <w:lang w:val="es-ES"/>
                        </w:rPr>
                        <w:t xml:space="preserve"> </w:t>
                      </w:r>
                      <w:r w:rsidR="00C65ACD">
                        <w:rPr>
                          <w:rFonts w:ascii="Cambria" w:hAnsi="Cambria"/>
                          <w:color w:val="595959"/>
                          <w:sz w:val="18"/>
                          <w:szCs w:val="18"/>
                          <w:lang w:val="es-ES"/>
                        </w:rPr>
                        <w:t>18</w:t>
                      </w:r>
                      <w:r>
                        <w:rPr>
                          <w:rFonts w:ascii="Cambria" w:hAnsi="Cambria"/>
                          <w:color w:val="595959"/>
                          <w:sz w:val="18"/>
                          <w:szCs w:val="18"/>
                          <w:lang w:val="es-ES"/>
                        </w:rPr>
                        <w:t xml:space="preserve"> de </w:t>
                      </w:r>
                      <w:r w:rsidR="00C65ACD">
                        <w:rPr>
                          <w:rFonts w:ascii="Cambria" w:hAnsi="Cambria"/>
                          <w:color w:val="595959"/>
                          <w:sz w:val="18"/>
                          <w:szCs w:val="18"/>
                          <w:lang w:val="es-ES"/>
                        </w:rPr>
                        <w:t>marzo</w:t>
                      </w:r>
                      <w:r>
                        <w:rPr>
                          <w:rFonts w:ascii="Cambria" w:hAnsi="Cambria"/>
                          <w:color w:val="595959"/>
                          <w:sz w:val="18"/>
                          <w:szCs w:val="18"/>
                          <w:lang w:val="es-ES"/>
                        </w:rPr>
                        <w:t xml:space="preserve"> de </w:t>
                      </w:r>
                      <w:r w:rsidR="00C65ACD">
                        <w:rPr>
                          <w:rFonts w:ascii="Cambria" w:hAnsi="Cambria"/>
                          <w:color w:val="595959"/>
                          <w:sz w:val="18"/>
                          <w:szCs w:val="18"/>
                          <w:lang w:val="es-ES"/>
                        </w:rPr>
                        <w:t>2017</w:t>
                      </w:r>
                      <w:r w:rsidRPr="007202AC">
                        <w:rPr>
                          <w:rFonts w:ascii="Cambria" w:hAnsi="Cambria"/>
                          <w:color w:val="595959"/>
                          <w:sz w:val="18"/>
                          <w:szCs w:val="18"/>
                          <w:lang w:val="es-ES"/>
                        </w:rPr>
                        <w:t>.</w:t>
                      </w:r>
                    </w:p>
                  </w:txbxContent>
                </v:textbox>
              </v:shape>
            </w:pict>
          </mc:Fallback>
        </mc:AlternateContent>
      </w:r>
    </w:p>
    <w:p w14:paraId="291C9B97" w14:textId="77777777" w:rsidR="009D7F32" w:rsidRPr="00640517" w:rsidRDefault="009D7F32" w:rsidP="009D7F32">
      <w:pPr>
        <w:tabs>
          <w:tab w:val="center" w:pos="5400"/>
        </w:tabs>
        <w:suppressAutoHyphens/>
        <w:jc w:val="center"/>
        <w:rPr>
          <w:rFonts w:asciiTheme="majorHAnsi" w:hAnsiTheme="majorHAnsi"/>
          <w:sz w:val="20"/>
          <w:szCs w:val="20"/>
          <w:lang w:val="es-ES_tradnl"/>
        </w:rPr>
      </w:pPr>
    </w:p>
    <w:p w14:paraId="4989C9B2" w14:textId="77777777" w:rsidR="009D7F32" w:rsidRPr="00640517" w:rsidRDefault="001814EF" w:rsidP="009D7F32">
      <w:pPr>
        <w:tabs>
          <w:tab w:val="center" w:pos="5400"/>
        </w:tabs>
        <w:suppressAutoHyphens/>
        <w:jc w:val="center"/>
        <w:rPr>
          <w:rFonts w:asciiTheme="majorHAnsi" w:hAnsiTheme="majorHAnsi"/>
          <w:b/>
          <w:sz w:val="20"/>
          <w:szCs w:val="20"/>
          <w:lang w:val="es-ES_tradnl"/>
        </w:rPr>
      </w:pPr>
      <w:r w:rsidRPr="00640517">
        <w:rPr>
          <w:rFonts w:asciiTheme="majorHAnsi" w:hAnsiTheme="majorHAnsi"/>
          <w:noProof/>
          <w:sz w:val="20"/>
          <w:szCs w:val="20"/>
          <w:lang w:val="es-UY" w:eastAsia="es-UY"/>
        </w:rPr>
        <mc:AlternateContent>
          <mc:Choice Requires="wps">
            <w:drawing>
              <wp:anchor distT="0" distB="0" distL="114300" distR="114300" simplePos="0" relativeHeight="251659776" behindDoc="0" locked="0" layoutInCell="1" allowOverlap="1" wp14:anchorId="69FF85BE" wp14:editId="0ABAB566">
                <wp:simplePos x="0" y="0"/>
                <wp:positionH relativeFrom="column">
                  <wp:posOffset>1329690</wp:posOffset>
                </wp:positionH>
                <wp:positionV relativeFrom="paragraph">
                  <wp:posOffset>638810</wp:posOffset>
                </wp:positionV>
                <wp:extent cx="4096385" cy="567055"/>
                <wp:effectExtent l="0" t="0" r="0" b="444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6385" cy="567055"/>
                        </a:xfrm>
                        <a:prstGeom prst="rect">
                          <a:avLst/>
                        </a:prstGeom>
                        <a:solidFill>
                          <a:sysClr val="window" lastClr="FFFFFF"/>
                        </a:solidFill>
                        <a:ln w="6350">
                          <a:noFill/>
                        </a:ln>
                        <a:effectLst/>
                      </wps:spPr>
                      <wps:txbx>
                        <w:txbxContent>
                          <w:p w14:paraId="5EC88FE7" w14:textId="77777777" w:rsidR="0007239A" w:rsidRPr="00D142E1" w:rsidRDefault="0007239A" w:rsidP="009D7F32">
                            <w:pPr>
                              <w:rPr>
                                <w:color w:val="FFFFFF"/>
                              </w:rPr>
                            </w:pPr>
                            <w:r>
                              <w:rPr>
                                <w:noProof/>
                                <w:color w:val="FFFFFF"/>
                                <w:lang w:val="es-UY" w:eastAsia="es-UY"/>
                              </w:rPr>
                              <w:drawing>
                                <wp:inline distT="0" distB="0" distL="0" distR="0" wp14:anchorId="252E3F35" wp14:editId="7A3B887A">
                                  <wp:extent cx="1343025" cy="390525"/>
                                  <wp:effectExtent l="0" t="0" r="9525" b="9525"/>
                                  <wp:docPr id="21" name="Picture 15" descr="oea-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ea-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3025" cy="3905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" fillcolor="window" stroked="f" strokeweight=".5pt">
                <v:path arrowok="t"/>
                <v:textbox>
                  <w:txbxContent>
                    <w:p w14:paraId="5EC88FE7" w14:textId="77777777" w:rsidR="0007239A" w:rsidRPr="00D142E1" w:rsidRDefault="0007239A" w:rsidP="009D7F32">
                      <w:pPr>
                        <w:rPr>
                          <w:color w:val="FFFFFF"/>
                        </w:rPr>
                      </w:pPr>
                      <w:r>
                        <w:rPr>
                          <w:noProof/>
                          <w:color w:val="FFFFFF"/>
                        </w:rPr>
                        <w:drawing>
                          <wp:inline distT="0" distB="0" distL="0" distR="0" wp14:anchorId="252E3F35" wp14:editId="7A3B887A">
                            <wp:extent cx="1343025" cy="390525"/>
                            <wp:effectExtent l="0" t="0" r="9525" b="9525"/>
                            <wp:docPr id="21" name="Picture 15" descr="oea-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ea-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43025" cy="390525"/>
                                    </a:xfrm>
                                    <a:prstGeom prst="rect">
                                      <a:avLst/>
                                    </a:prstGeom>
                                    <a:noFill/>
                                    <a:ln>
                                      <a:noFill/>
                                    </a:ln>
                                  </pic:spPr>
                                </pic:pic>
                              </a:graphicData>
                            </a:graphic>
                          </wp:inline>
                        </w:drawing>
                      </w:r>
                    </w:p>
                  </w:txbxContent>
                </v:textbox>
              </v:shape>
            </w:pict>
          </mc:Fallback>
        </mc:AlternateContent>
      </w:r>
      <w:r w:rsidRPr="00640517">
        <w:rPr>
          <w:rFonts w:asciiTheme="majorHAnsi" w:hAnsiTheme="majorHAnsi"/>
          <w:noProof/>
          <w:sz w:val="20"/>
          <w:szCs w:val="20"/>
          <w:lang w:val="es-UY" w:eastAsia="es-UY"/>
        </w:rPr>
        <mc:AlternateContent>
          <mc:Choice Requires="wps">
            <w:drawing>
              <wp:anchor distT="0" distB="0" distL="114300" distR="114300" simplePos="0" relativeHeight="251660800" behindDoc="0" locked="0" layoutInCell="1" allowOverlap="1" wp14:anchorId="37CDC8B2" wp14:editId="6C9928CE">
                <wp:simplePos x="0" y="0"/>
                <wp:positionH relativeFrom="column">
                  <wp:posOffset>-272415</wp:posOffset>
                </wp:positionH>
                <wp:positionV relativeFrom="paragraph">
                  <wp:posOffset>915035</wp:posOffset>
                </wp:positionV>
                <wp:extent cx="1181100" cy="33274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txbx>
                        <w:txbxContent>
                          <w:p w14:paraId="382B42F9" w14:textId="77777777" w:rsidR="0007239A" w:rsidRPr="00D142E1" w:rsidRDefault="0007239A" w:rsidP="009D7F32">
                            <w:pPr>
                              <w:jc w:val="center"/>
                              <w:rPr>
                                <w:rFonts w:ascii="Calibri" w:hAnsi="Calibri"/>
                                <w:b/>
                                <w:color w:val="FFFFFF"/>
                              </w:rPr>
                            </w:pPr>
                            <w:r w:rsidRPr="00D142E1">
                              <w:rPr>
                                <w:rFonts w:ascii="Calibri" w:hAnsi="Calibri"/>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" filled="f" stroked="f" strokeweight=".5pt">
                <v:path arrowok="t"/>
                <v:textbox>
                  <w:txbxContent>
                    <w:p w14:paraId="382B42F9" w14:textId="77777777" w:rsidR="0007239A" w:rsidRPr="00D142E1" w:rsidRDefault="0007239A" w:rsidP="009D7F32">
                      <w:pPr>
                        <w:jc w:val="center"/>
                        <w:rPr>
                          <w:rFonts w:ascii="Calibri" w:hAnsi="Calibri"/>
                          <w:b/>
                          <w:color w:val="FFFFFF"/>
                        </w:rPr>
                      </w:pPr>
                      <w:r w:rsidRPr="00D142E1">
                        <w:rPr>
                          <w:rFonts w:ascii="Calibri" w:hAnsi="Calibri"/>
                          <w:b/>
                          <w:color w:val="FFFFFF"/>
                          <w:lang w:val="pt-BR"/>
                        </w:rPr>
                        <w:t>www.cidh.org</w:t>
                      </w:r>
                    </w:p>
                  </w:txbxContent>
                </v:textbox>
              </v:shape>
            </w:pict>
          </mc:Fallback>
        </mc:AlternateContent>
      </w:r>
    </w:p>
    <w:p w14:paraId="460B8356" w14:textId="77777777" w:rsidR="009D7F32" w:rsidRPr="00640517" w:rsidRDefault="009D7F32" w:rsidP="009D7F32">
      <w:pPr>
        <w:tabs>
          <w:tab w:val="center" w:pos="5400"/>
        </w:tabs>
        <w:suppressAutoHyphens/>
        <w:jc w:val="center"/>
        <w:rPr>
          <w:rFonts w:asciiTheme="majorHAnsi" w:hAnsiTheme="majorHAnsi"/>
          <w:b/>
          <w:sz w:val="20"/>
          <w:szCs w:val="20"/>
          <w:lang w:val="es-ES_tradnl"/>
        </w:rPr>
        <w:sectPr w:rsidR="009D7F32" w:rsidRPr="00640517" w:rsidSect="009D7F32">
          <w:headerReference w:type="even" r:id="rId13"/>
          <w:headerReference w:type="default" r:id="rId14"/>
          <w:footerReference w:type="default" r:id="rId15"/>
          <w:footerReference w:type="first" r:id="rId16"/>
          <w:pgSz w:w="12240" w:h="15840"/>
          <w:pgMar w:top="1440" w:right="1440" w:bottom="1440" w:left="1440" w:header="720" w:footer="720" w:gutter="0"/>
          <w:pgNumType w:start="0"/>
          <w:cols w:space="720"/>
          <w:titlePg/>
          <w:docGrid w:linePitch="326"/>
        </w:sectPr>
      </w:pPr>
    </w:p>
    <w:p w14:paraId="42BA53A2" w14:textId="7FB1F8F3" w:rsidR="009D7F32" w:rsidRPr="0045657E" w:rsidRDefault="009D20F0" w:rsidP="009D7F32">
      <w:pPr>
        <w:jc w:val="center"/>
        <w:rPr>
          <w:rFonts w:asciiTheme="majorHAnsi" w:hAnsiTheme="majorHAnsi"/>
          <w:b/>
          <w:sz w:val="18"/>
          <w:szCs w:val="18"/>
          <w:lang w:val="es-ES"/>
        </w:rPr>
      </w:pPr>
      <w:r w:rsidRPr="0045657E">
        <w:rPr>
          <w:rFonts w:asciiTheme="majorHAnsi" w:hAnsiTheme="majorHAnsi"/>
          <w:b/>
          <w:sz w:val="18"/>
          <w:szCs w:val="18"/>
          <w:lang w:val="es-ES"/>
        </w:rPr>
        <w:lastRenderedPageBreak/>
        <w:t>INFORME N</w:t>
      </w:r>
      <w:r w:rsidR="00842402" w:rsidRPr="0045657E">
        <w:rPr>
          <w:rFonts w:asciiTheme="majorHAnsi" w:hAnsiTheme="majorHAnsi"/>
          <w:b/>
          <w:sz w:val="18"/>
          <w:szCs w:val="18"/>
          <w:lang w:val="es-ES"/>
        </w:rPr>
        <w:t>o</w:t>
      </w:r>
      <w:r w:rsidRPr="0045657E">
        <w:rPr>
          <w:rFonts w:asciiTheme="majorHAnsi" w:hAnsiTheme="majorHAnsi"/>
          <w:b/>
          <w:sz w:val="18"/>
          <w:szCs w:val="18"/>
          <w:lang w:val="es-ES"/>
        </w:rPr>
        <w:t xml:space="preserve">. </w:t>
      </w:r>
      <w:r w:rsidR="00C65ACD">
        <w:rPr>
          <w:rFonts w:asciiTheme="majorHAnsi" w:hAnsiTheme="majorHAnsi"/>
          <w:b/>
          <w:sz w:val="18"/>
          <w:szCs w:val="18"/>
          <w:lang w:val="es-ES"/>
        </w:rPr>
        <w:t>23</w:t>
      </w:r>
      <w:r w:rsidR="00B96291" w:rsidRPr="0045657E">
        <w:rPr>
          <w:rFonts w:asciiTheme="majorHAnsi" w:hAnsiTheme="majorHAnsi"/>
          <w:b/>
          <w:sz w:val="18"/>
          <w:szCs w:val="18"/>
          <w:lang w:val="es-ES"/>
        </w:rPr>
        <w:t>/1</w:t>
      </w:r>
      <w:r w:rsidR="000E4C7A" w:rsidRPr="0045657E">
        <w:rPr>
          <w:rFonts w:asciiTheme="majorHAnsi" w:hAnsiTheme="majorHAnsi"/>
          <w:b/>
          <w:sz w:val="18"/>
          <w:szCs w:val="18"/>
          <w:lang w:val="es-ES"/>
        </w:rPr>
        <w:t>7</w:t>
      </w:r>
    </w:p>
    <w:p w14:paraId="01273C15" w14:textId="77777777" w:rsidR="009D7F32" w:rsidRPr="0045657E" w:rsidRDefault="00B96291" w:rsidP="009D7F32">
      <w:pPr>
        <w:jc w:val="center"/>
        <w:rPr>
          <w:rFonts w:asciiTheme="majorHAnsi" w:hAnsiTheme="majorHAnsi"/>
          <w:sz w:val="18"/>
          <w:szCs w:val="18"/>
          <w:lang w:val="es-ES"/>
        </w:rPr>
      </w:pPr>
      <w:r w:rsidRPr="0045657E">
        <w:rPr>
          <w:rFonts w:asciiTheme="majorHAnsi" w:hAnsiTheme="majorHAnsi"/>
          <w:sz w:val="18"/>
          <w:szCs w:val="18"/>
          <w:lang w:val="es-ES"/>
        </w:rPr>
        <w:t>CASO 12.311</w:t>
      </w:r>
    </w:p>
    <w:p w14:paraId="59389704" w14:textId="77777777" w:rsidR="009D7F32" w:rsidRPr="0045657E" w:rsidRDefault="009D20F0" w:rsidP="009D7F32">
      <w:pPr>
        <w:jc w:val="center"/>
        <w:rPr>
          <w:rFonts w:asciiTheme="majorHAnsi" w:hAnsiTheme="majorHAnsi"/>
          <w:sz w:val="18"/>
          <w:szCs w:val="18"/>
          <w:lang w:val="es-ES"/>
        </w:rPr>
      </w:pPr>
      <w:r w:rsidRPr="0045657E">
        <w:rPr>
          <w:rFonts w:asciiTheme="majorHAnsi" w:hAnsiTheme="majorHAnsi"/>
          <w:sz w:val="18"/>
          <w:szCs w:val="18"/>
          <w:lang w:val="es-ES"/>
        </w:rPr>
        <w:t>FONDO</w:t>
      </w:r>
    </w:p>
    <w:p w14:paraId="6B0666CB" w14:textId="77777777" w:rsidR="009D7F32" w:rsidRPr="0045657E" w:rsidRDefault="00B96291" w:rsidP="009D7F32">
      <w:pPr>
        <w:jc w:val="center"/>
        <w:rPr>
          <w:rFonts w:asciiTheme="majorHAnsi" w:hAnsiTheme="majorHAnsi"/>
          <w:sz w:val="18"/>
          <w:szCs w:val="18"/>
          <w:lang w:val="es-ES"/>
        </w:rPr>
      </w:pPr>
      <w:r w:rsidRPr="0045657E">
        <w:rPr>
          <w:rFonts w:asciiTheme="majorHAnsi" w:hAnsiTheme="majorHAnsi"/>
          <w:sz w:val="18"/>
          <w:szCs w:val="18"/>
          <w:lang w:val="es-ES"/>
        </w:rPr>
        <w:t>EDUARDO BENJAMIN COLINDRES</w:t>
      </w:r>
    </w:p>
    <w:p w14:paraId="6FA26617" w14:textId="77777777" w:rsidR="009D7F32" w:rsidRPr="0045657E" w:rsidRDefault="00B96291" w:rsidP="009D7F32">
      <w:pPr>
        <w:jc w:val="center"/>
        <w:rPr>
          <w:rFonts w:asciiTheme="majorHAnsi" w:hAnsiTheme="majorHAnsi"/>
          <w:sz w:val="18"/>
          <w:szCs w:val="18"/>
          <w:lang w:val="es-ES"/>
        </w:rPr>
      </w:pPr>
      <w:r w:rsidRPr="0045657E">
        <w:rPr>
          <w:rFonts w:asciiTheme="majorHAnsi" w:hAnsiTheme="majorHAnsi"/>
          <w:sz w:val="18"/>
          <w:szCs w:val="18"/>
          <w:lang w:val="es-ES"/>
        </w:rPr>
        <w:t>EL SALVADOR</w:t>
      </w:r>
    </w:p>
    <w:p w14:paraId="4433735F" w14:textId="6B808CED" w:rsidR="009D7F32" w:rsidRPr="0045657E" w:rsidRDefault="00C65ACD" w:rsidP="009D7F32">
      <w:pPr>
        <w:jc w:val="center"/>
        <w:rPr>
          <w:rFonts w:asciiTheme="majorHAnsi" w:hAnsiTheme="majorHAnsi"/>
          <w:sz w:val="18"/>
          <w:szCs w:val="18"/>
          <w:lang w:val="es-ES"/>
        </w:rPr>
      </w:pPr>
      <w:r>
        <w:rPr>
          <w:rFonts w:asciiTheme="majorHAnsi" w:hAnsiTheme="majorHAnsi"/>
          <w:sz w:val="18"/>
          <w:szCs w:val="18"/>
          <w:lang w:val="es-ES"/>
        </w:rPr>
        <w:t>18</w:t>
      </w:r>
      <w:r w:rsidR="009D20F0" w:rsidRPr="0045657E">
        <w:rPr>
          <w:rFonts w:asciiTheme="majorHAnsi" w:hAnsiTheme="majorHAnsi"/>
          <w:sz w:val="18"/>
          <w:szCs w:val="18"/>
          <w:lang w:val="es-ES"/>
        </w:rPr>
        <w:t xml:space="preserve"> DE </w:t>
      </w:r>
      <w:r>
        <w:rPr>
          <w:rFonts w:asciiTheme="majorHAnsi" w:hAnsiTheme="majorHAnsi"/>
          <w:sz w:val="18"/>
          <w:szCs w:val="18"/>
          <w:lang w:val="es-ES"/>
        </w:rPr>
        <w:t>MARZO</w:t>
      </w:r>
      <w:r w:rsidR="00B96291" w:rsidRPr="0045657E">
        <w:rPr>
          <w:rFonts w:asciiTheme="majorHAnsi" w:hAnsiTheme="majorHAnsi"/>
          <w:sz w:val="18"/>
          <w:szCs w:val="18"/>
          <w:lang w:val="es-ES"/>
        </w:rPr>
        <w:t xml:space="preserve"> </w:t>
      </w:r>
      <w:r w:rsidR="009D20F0" w:rsidRPr="0045657E">
        <w:rPr>
          <w:rFonts w:asciiTheme="majorHAnsi" w:hAnsiTheme="majorHAnsi"/>
          <w:sz w:val="18"/>
          <w:szCs w:val="18"/>
          <w:lang w:val="es-ES"/>
        </w:rPr>
        <w:t xml:space="preserve">DE </w:t>
      </w:r>
      <w:r w:rsidR="004749EE">
        <w:rPr>
          <w:rFonts w:asciiTheme="majorHAnsi" w:hAnsiTheme="majorHAnsi"/>
          <w:sz w:val="18"/>
          <w:szCs w:val="18"/>
          <w:lang w:val="es-ES"/>
        </w:rPr>
        <w:t>20</w:t>
      </w:r>
      <w:r w:rsidR="00015207" w:rsidRPr="0045657E">
        <w:rPr>
          <w:rFonts w:asciiTheme="majorHAnsi" w:hAnsiTheme="majorHAnsi"/>
          <w:sz w:val="18"/>
          <w:szCs w:val="18"/>
          <w:lang w:val="es-ES"/>
        </w:rPr>
        <w:t>17</w:t>
      </w:r>
    </w:p>
    <w:p w14:paraId="04DDD676" w14:textId="77777777" w:rsidR="00AA15B5" w:rsidRPr="00640517" w:rsidRDefault="00AA15B5" w:rsidP="00AA15B5">
      <w:pPr>
        <w:jc w:val="both"/>
        <w:rPr>
          <w:rFonts w:asciiTheme="majorHAnsi" w:hAnsiTheme="majorHAnsi"/>
          <w:sz w:val="20"/>
          <w:szCs w:val="20"/>
          <w:lang w:val="es-ES"/>
        </w:rPr>
      </w:pPr>
    </w:p>
    <w:p w14:paraId="3B4ABC99" w14:textId="148CCB0B" w:rsidR="006264C8" w:rsidRPr="00207C3A" w:rsidRDefault="00207C3A" w:rsidP="00207C3A">
      <w:pPr>
        <w:jc w:val="center"/>
        <w:rPr>
          <w:rFonts w:asciiTheme="majorHAnsi" w:hAnsiTheme="majorHAnsi"/>
          <w:b/>
          <w:sz w:val="20"/>
          <w:szCs w:val="20"/>
          <w:lang w:val="es-ES"/>
        </w:rPr>
      </w:pPr>
      <w:r w:rsidRPr="00207C3A">
        <w:rPr>
          <w:rFonts w:asciiTheme="majorHAnsi" w:hAnsiTheme="majorHAnsi"/>
          <w:b/>
          <w:sz w:val="20"/>
          <w:szCs w:val="20"/>
          <w:lang w:val="es-ES"/>
        </w:rPr>
        <w:t>ÍNDICE</w:t>
      </w:r>
    </w:p>
    <w:p w14:paraId="2F3B648A" w14:textId="77777777" w:rsidR="00207C3A" w:rsidRPr="00640517" w:rsidRDefault="00207C3A" w:rsidP="00207C3A">
      <w:pPr>
        <w:jc w:val="center"/>
        <w:rPr>
          <w:rFonts w:asciiTheme="majorHAnsi" w:hAnsiTheme="majorHAnsi"/>
          <w:sz w:val="20"/>
          <w:szCs w:val="20"/>
          <w:lang w:val="es-ES"/>
        </w:rPr>
      </w:pPr>
    </w:p>
    <w:p w14:paraId="39DD47BF" w14:textId="77777777" w:rsidR="00207C3A" w:rsidRPr="00207C3A" w:rsidRDefault="00207C3A">
      <w:pPr>
        <w:pStyle w:val="TOC1"/>
        <w:rPr>
          <w:rFonts w:asciiTheme="majorHAnsi" w:eastAsiaTheme="minorEastAsia" w:hAnsiTheme="majorHAnsi" w:cstheme="minorBidi"/>
          <w:noProof/>
          <w:sz w:val="20"/>
          <w:szCs w:val="20"/>
        </w:rPr>
      </w:pPr>
      <w:r w:rsidRPr="00207C3A">
        <w:rPr>
          <w:rFonts w:asciiTheme="majorHAnsi" w:hAnsiTheme="majorHAnsi"/>
        </w:rPr>
        <w:fldChar w:fldCharType="begin"/>
      </w:r>
      <w:r w:rsidRPr="00207C3A">
        <w:rPr>
          <w:rFonts w:asciiTheme="majorHAnsi" w:hAnsiTheme="majorHAnsi"/>
        </w:rPr>
        <w:instrText xml:space="preserve"> TOC \o "1-3" \h \z \u </w:instrText>
      </w:r>
      <w:r w:rsidRPr="00207C3A">
        <w:rPr>
          <w:rFonts w:asciiTheme="majorHAnsi" w:hAnsiTheme="majorHAnsi"/>
        </w:rPr>
        <w:fldChar w:fldCharType="separate"/>
      </w:r>
      <w:hyperlink w:anchor="_Toc484623828" w:history="1">
        <w:r w:rsidRPr="00207C3A">
          <w:rPr>
            <w:rStyle w:val="Hyperlink"/>
            <w:rFonts w:asciiTheme="majorHAnsi" w:hAnsiTheme="majorHAnsi"/>
            <w:b/>
            <w:noProof/>
            <w:sz w:val="20"/>
            <w:szCs w:val="20"/>
          </w:rPr>
          <w:t>I.</w:t>
        </w:r>
        <w:r w:rsidRPr="00207C3A">
          <w:rPr>
            <w:rFonts w:asciiTheme="majorHAnsi" w:eastAsiaTheme="minorEastAsia" w:hAnsiTheme="majorHAnsi" w:cstheme="minorBidi"/>
            <w:b/>
            <w:noProof/>
            <w:sz w:val="20"/>
            <w:szCs w:val="20"/>
          </w:rPr>
          <w:tab/>
        </w:r>
        <w:r w:rsidRPr="00207C3A">
          <w:rPr>
            <w:rStyle w:val="Hyperlink"/>
            <w:rFonts w:asciiTheme="majorHAnsi" w:hAnsiTheme="majorHAnsi"/>
            <w:b/>
            <w:noProof/>
            <w:sz w:val="20"/>
            <w:szCs w:val="20"/>
          </w:rPr>
          <w:t>RESUMEN</w:t>
        </w:r>
        <w:r w:rsidRPr="00207C3A">
          <w:rPr>
            <w:rFonts w:asciiTheme="majorHAnsi" w:hAnsiTheme="majorHAnsi"/>
            <w:noProof/>
            <w:webHidden/>
            <w:sz w:val="20"/>
            <w:szCs w:val="20"/>
          </w:rPr>
          <w:tab/>
        </w:r>
        <w:r w:rsidRPr="00207C3A">
          <w:rPr>
            <w:rFonts w:asciiTheme="majorHAnsi" w:hAnsiTheme="majorHAnsi"/>
            <w:noProof/>
            <w:webHidden/>
            <w:sz w:val="20"/>
            <w:szCs w:val="20"/>
          </w:rPr>
          <w:fldChar w:fldCharType="begin"/>
        </w:r>
        <w:r w:rsidRPr="00207C3A">
          <w:rPr>
            <w:rFonts w:asciiTheme="majorHAnsi" w:hAnsiTheme="majorHAnsi"/>
            <w:noProof/>
            <w:webHidden/>
            <w:sz w:val="20"/>
            <w:szCs w:val="20"/>
          </w:rPr>
          <w:instrText xml:space="preserve"> PAGEREF _Toc484623828 \h </w:instrText>
        </w:r>
        <w:r w:rsidRPr="00207C3A">
          <w:rPr>
            <w:rFonts w:asciiTheme="majorHAnsi" w:hAnsiTheme="majorHAnsi"/>
            <w:noProof/>
            <w:webHidden/>
            <w:sz w:val="20"/>
            <w:szCs w:val="20"/>
          </w:rPr>
        </w:r>
        <w:r w:rsidRPr="00207C3A">
          <w:rPr>
            <w:rFonts w:asciiTheme="majorHAnsi" w:hAnsiTheme="majorHAnsi"/>
            <w:noProof/>
            <w:webHidden/>
            <w:sz w:val="20"/>
            <w:szCs w:val="20"/>
          </w:rPr>
          <w:fldChar w:fldCharType="separate"/>
        </w:r>
        <w:r w:rsidR="00162484">
          <w:rPr>
            <w:rFonts w:asciiTheme="majorHAnsi" w:hAnsiTheme="majorHAnsi"/>
            <w:noProof/>
            <w:webHidden/>
            <w:sz w:val="20"/>
            <w:szCs w:val="20"/>
          </w:rPr>
          <w:t>1</w:t>
        </w:r>
        <w:r w:rsidRPr="00207C3A">
          <w:rPr>
            <w:rFonts w:asciiTheme="majorHAnsi" w:hAnsiTheme="majorHAnsi"/>
            <w:noProof/>
            <w:webHidden/>
            <w:sz w:val="20"/>
            <w:szCs w:val="20"/>
          </w:rPr>
          <w:fldChar w:fldCharType="end"/>
        </w:r>
      </w:hyperlink>
    </w:p>
    <w:p w14:paraId="79164353" w14:textId="77777777" w:rsidR="00207C3A" w:rsidRPr="00207C3A" w:rsidRDefault="00213F94">
      <w:pPr>
        <w:pStyle w:val="TOC1"/>
        <w:rPr>
          <w:rFonts w:asciiTheme="majorHAnsi" w:eastAsiaTheme="minorEastAsia" w:hAnsiTheme="majorHAnsi" w:cstheme="minorBidi"/>
          <w:noProof/>
          <w:sz w:val="20"/>
          <w:szCs w:val="20"/>
        </w:rPr>
      </w:pPr>
      <w:hyperlink w:anchor="_Toc484623829" w:history="1">
        <w:r w:rsidR="00207C3A" w:rsidRPr="00207C3A">
          <w:rPr>
            <w:rStyle w:val="Hyperlink"/>
            <w:rFonts w:asciiTheme="majorHAnsi" w:hAnsiTheme="majorHAnsi"/>
            <w:b/>
            <w:noProof/>
            <w:sz w:val="20"/>
            <w:szCs w:val="20"/>
          </w:rPr>
          <w:t xml:space="preserve">II. </w:t>
        </w:r>
        <w:r w:rsidR="00207C3A" w:rsidRPr="00207C3A">
          <w:rPr>
            <w:rFonts w:asciiTheme="majorHAnsi" w:eastAsiaTheme="minorEastAsia" w:hAnsiTheme="majorHAnsi" w:cstheme="minorBidi"/>
            <w:b/>
            <w:noProof/>
            <w:sz w:val="20"/>
            <w:szCs w:val="20"/>
          </w:rPr>
          <w:tab/>
        </w:r>
        <w:r w:rsidR="00207C3A" w:rsidRPr="00207C3A">
          <w:rPr>
            <w:rStyle w:val="Hyperlink"/>
            <w:rFonts w:asciiTheme="majorHAnsi" w:hAnsiTheme="majorHAnsi"/>
            <w:b/>
            <w:noProof/>
            <w:sz w:val="20"/>
            <w:szCs w:val="20"/>
          </w:rPr>
          <w:t>TRÁMITE ANTE LA COMISIÓN POSTERIOR A LA APROBACIÓN DEL INFORME DE ADMISIBILIDAD No. 25/06</w:t>
        </w:r>
        <w:r w:rsidR="00207C3A" w:rsidRPr="00207C3A">
          <w:rPr>
            <w:rFonts w:asciiTheme="majorHAnsi" w:hAnsiTheme="majorHAnsi"/>
            <w:noProof/>
            <w:webHidden/>
            <w:sz w:val="20"/>
            <w:szCs w:val="20"/>
          </w:rPr>
          <w:tab/>
        </w:r>
        <w:r w:rsidR="00207C3A" w:rsidRPr="00207C3A">
          <w:rPr>
            <w:rFonts w:asciiTheme="majorHAnsi" w:hAnsiTheme="majorHAnsi"/>
            <w:noProof/>
            <w:webHidden/>
            <w:sz w:val="20"/>
            <w:szCs w:val="20"/>
          </w:rPr>
          <w:fldChar w:fldCharType="begin"/>
        </w:r>
        <w:r w:rsidR="00207C3A" w:rsidRPr="00207C3A">
          <w:rPr>
            <w:rFonts w:asciiTheme="majorHAnsi" w:hAnsiTheme="majorHAnsi"/>
            <w:noProof/>
            <w:webHidden/>
            <w:sz w:val="20"/>
            <w:szCs w:val="20"/>
          </w:rPr>
          <w:instrText xml:space="preserve"> PAGEREF _Toc484623829 \h </w:instrText>
        </w:r>
        <w:r w:rsidR="00207C3A" w:rsidRPr="00207C3A">
          <w:rPr>
            <w:rFonts w:asciiTheme="majorHAnsi" w:hAnsiTheme="majorHAnsi"/>
            <w:noProof/>
            <w:webHidden/>
            <w:sz w:val="20"/>
            <w:szCs w:val="20"/>
          </w:rPr>
        </w:r>
        <w:r w:rsidR="00207C3A" w:rsidRPr="00207C3A">
          <w:rPr>
            <w:rFonts w:asciiTheme="majorHAnsi" w:hAnsiTheme="majorHAnsi"/>
            <w:noProof/>
            <w:webHidden/>
            <w:sz w:val="20"/>
            <w:szCs w:val="20"/>
          </w:rPr>
          <w:fldChar w:fldCharType="separate"/>
        </w:r>
        <w:r w:rsidR="00162484">
          <w:rPr>
            <w:rFonts w:asciiTheme="majorHAnsi" w:hAnsiTheme="majorHAnsi"/>
            <w:noProof/>
            <w:webHidden/>
            <w:sz w:val="20"/>
            <w:szCs w:val="20"/>
          </w:rPr>
          <w:t>1</w:t>
        </w:r>
        <w:r w:rsidR="00207C3A" w:rsidRPr="00207C3A">
          <w:rPr>
            <w:rFonts w:asciiTheme="majorHAnsi" w:hAnsiTheme="majorHAnsi"/>
            <w:noProof/>
            <w:webHidden/>
            <w:sz w:val="20"/>
            <w:szCs w:val="20"/>
          </w:rPr>
          <w:fldChar w:fldCharType="end"/>
        </w:r>
      </w:hyperlink>
    </w:p>
    <w:p w14:paraId="6621B84B" w14:textId="77777777" w:rsidR="00207C3A" w:rsidRPr="00207C3A" w:rsidRDefault="00213F94">
      <w:pPr>
        <w:pStyle w:val="TOC1"/>
        <w:rPr>
          <w:rFonts w:asciiTheme="majorHAnsi" w:eastAsiaTheme="minorEastAsia" w:hAnsiTheme="majorHAnsi" w:cstheme="minorBidi"/>
          <w:noProof/>
          <w:sz w:val="20"/>
          <w:szCs w:val="20"/>
        </w:rPr>
      </w:pPr>
      <w:hyperlink w:anchor="_Toc484623830" w:history="1">
        <w:r w:rsidR="00207C3A" w:rsidRPr="00207C3A">
          <w:rPr>
            <w:rStyle w:val="Hyperlink"/>
            <w:rFonts w:asciiTheme="majorHAnsi" w:hAnsiTheme="majorHAnsi"/>
            <w:b/>
            <w:noProof/>
            <w:sz w:val="20"/>
            <w:szCs w:val="20"/>
          </w:rPr>
          <w:t>III.</w:t>
        </w:r>
        <w:r w:rsidR="00207C3A" w:rsidRPr="00207C3A">
          <w:rPr>
            <w:rFonts w:asciiTheme="majorHAnsi" w:eastAsiaTheme="minorEastAsia" w:hAnsiTheme="majorHAnsi" w:cstheme="minorBidi"/>
            <w:b/>
            <w:noProof/>
            <w:sz w:val="20"/>
            <w:szCs w:val="20"/>
          </w:rPr>
          <w:tab/>
        </w:r>
        <w:r w:rsidR="00207C3A" w:rsidRPr="00207C3A">
          <w:rPr>
            <w:rStyle w:val="Hyperlink"/>
            <w:rFonts w:asciiTheme="majorHAnsi" w:hAnsiTheme="majorHAnsi"/>
            <w:b/>
            <w:noProof/>
            <w:sz w:val="20"/>
            <w:szCs w:val="20"/>
          </w:rPr>
          <w:t>POSICIONES DE LAS PARTES</w:t>
        </w:r>
        <w:r w:rsidR="00207C3A" w:rsidRPr="00207C3A">
          <w:rPr>
            <w:rFonts w:asciiTheme="majorHAnsi" w:hAnsiTheme="majorHAnsi"/>
            <w:noProof/>
            <w:webHidden/>
            <w:sz w:val="20"/>
            <w:szCs w:val="20"/>
          </w:rPr>
          <w:tab/>
        </w:r>
        <w:r w:rsidR="00207C3A" w:rsidRPr="00207C3A">
          <w:rPr>
            <w:rFonts w:asciiTheme="majorHAnsi" w:hAnsiTheme="majorHAnsi"/>
            <w:noProof/>
            <w:webHidden/>
            <w:sz w:val="20"/>
            <w:szCs w:val="20"/>
          </w:rPr>
          <w:fldChar w:fldCharType="begin"/>
        </w:r>
        <w:r w:rsidR="00207C3A" w:rsidRPr="00207C3A">
          <w:rPr>
            <w:rFonts w:asciiTheme="majorHAnsi" w:hAnsiTheme="majorHAnsi"/>
            <w:noProof/>
            <w:webHidden/>
            <w:sz w:val="20"/>
            <w:szCs w:val="20"/>
          </w:rPr>
          <w:instrText xml:space="preserve"> PAGEREF _Toc484623830 \h </w:instrText>
        </w:r>
        <w:r w:rsidR="00207C3A" w:rsidRPr="00207C3A">
          <w:rPr>
            <w:rFonts w:asciiTheme="majorHAnsi" w:hAnsiTheme="majorHAnsi"/>
            <w:noProof/>
            <w:webHidden/>
            <w:sz w:val="20"/>
            <w:szCs w:val="20"/>
          </w:rPr>
        </w:r>
        <w:r w:rsidR="00207C3A" w:rsidRPr="00207C3A">
          <w:rPr>
            <w:rFonts w:asciiTheme="majorHAnsi" w:hAnsiTheme="majorHAnsi"/>
            <w:noProof/>
            <w:webHidden/>
            <w:sz w:val="20"/>
            <w:szCs w:val="20"/>
          </w:rPr>
          <w:fldChar w:fldCharType="separate"/>
        </w:r>
        <w:r w:rsidR="00162484">
          <w:rPr>
            <w:rFonts w:asciiTheme="majorHAnsi" w:hAnsiTheme="majorHAnsi"/>
            <w:noProof/>
            <w:webHidden/>
            <w:sz w:val="20"/>
            <w:szCs w:val="20"/>
          </w:rPr>
          <w:t>2</w:t>
        </w:r>
        <w:r w:rsidR="00207C3A" w:rsidRPr="00207C3A">
          <w:rPr>
            <w:rFonts w:asciiTheme="majorHAnsi" w:hAnsiTheme="majorHAnsi"/>
            <w:noProof/>
            <w:webHidden/>
            <w:sz w:val="20"/>
            <w:szCs w:val="20"/>
          </w:rPr>
          <w:fldChar w:fldCharType="end"/>
        </w:r>
      </w:hyperlink>
    </w:p>
    <w:p w14:paraId="36A7F9E0" w14:textId="59FBB78D" w:rsidR="00207C3A" w:rsidRPr="00207C3A" w:rsidRDefault="00213F94">
      <w:pPr>
        <w:pStyle w:val="TOC2"/>
        <w:rPr>
          <w:rFonts w:asciiTheme="majorHAnsi" w:eastAsiaTheme="minorEastAsia" w:hAnsiTheme="majorHAnsi" w:cstheme="minorBidi"/>
          <w:noProof/>
          <w:sz w:val="20"/>
          <w:szCs w:val="20"/>
        </w:rPr>
      </w:pPr>
      <w:hyperlink w:anchor="_Toc484623831" w:history="1">
        <w:r w:rsidR="0007239A">
          <w:rPr>
            <w:rStyle w:val="Hyperlink"/>
            <w:rFonts w:asciiTheme="majorHAnsi" w:hAnsiTheme="majorHAnsi"/>
            <w:noProof/>
            <w:sz w:val="20"/>
            <w:szCs w:val="20"/>
          </w:rPr>
          <w:t>A</w:t>
        </w:r>
        <w:r w:rsidR="00207C3A" w:rsidRPr="00207C3A">
          <w:rPr>
            <w:rStyle w:val="Hyperlink"/>
            <w:rFonts w:asciiTheme="majorHAnsi" w:hAnsiTheme="majorHAnsi"/>
            <w:noProof/>
            <w:sz w:val="20"/>
            <w:szCs w:val="20"/>
          </w:rPr>
          <w:t>.</w:t>
        </w:r>
        <w:r w:rsidR="00207C3A" w:rsidRPr="00207C3A">
          <w:rPr>
            <w:rFonts w:asciiTheme="majorHAnsi" w:eastAsiaTheme="minorEastAsia" w:hAnsiTheme="majorHAnsi" w:cstheme="minorBidi"/>
            <w:noProof/>
            <w:sz w:val="20"/>
            <w:szCs w:val="20"/>
          </w:rPr>
          <w:tab/>
        </w:r>
        <w:r w:rsidR="00207C3A" w:rsidRPr="00207C3A">
          <w:rPr>
            <w:rStyle w:val="Hyperlink"/>
            <w:rFonts w:asciiTheme="majorHAnsi" w:hAnsiTheme="majorHAnsi"/>
            <w:noProof/>
            <w:sz w:val="20"/>
            <w:szCs w:val="20"/>
          </w:rPr>
          <w:t>Posición de los peticionarios</w:t>
        </w:r>
        <w:r w:rsidR="00207C3A" w:rsidRPr="00207C3A">
          <w:rPr>
            <w:rFonts w:asciiTheme="majorHAnsi" w:hAnsiTheme="majorHAnsi"/>
            <w:noProof/>
            <w:webHidden/>
            <w:sz w:val="20"/>
            <w:szCs w:val="20"/>
          </w:rPr>
          <w:tab/>
        </w:r>
        <w:r w:rsidR="00207C3A" w:rsidRPr="00207C3A">
          <w:rPr>
            <w:rFonts w:asciiTheme="majorHAnsi" w:hAnsiTheme="majorHAnsi"/>
            <w:noProof/>
            <w:webHidden/>
            <w:sz w:val="20"/>
            <w:szCs w:val="20"/>
          </w:rPr>
          <w:fldChar w:fldCharType="begin"/>
        </w:r>
        <w:r w:rsidR="00207C3A" w:rsidRPr="00207C3A">
          <w:rPr>
            <w:rFonts w:asciiTheme="majorHAnsi" w:hAnsiTheme="majorHAnsi"/>
            <w:noProof/>
            <w:webHidden/>
            <w:sz w:val="20"/>
            <w:szCs w:val="20"/>
          </w:rPr>
          <w:instrText xml:space="preserve"> PAGEREF _Toc484623831 \h </w:instrText>
        </w:r>
        <w:r w:rsidR="00207C3A" w:rsidRPr="00207C3A">
          <w:rPr>
            <w:rFonts w:asciiTheme="majorHAnsi" w:hAnsiTheme="majorHAnsi"/>
            <w:noProof/>
            <w:webHidden/>
            <w:sz w:val="20"/>
            <w:szCs w:val="20"/>
          </w:rPr>
        </w:r>
        <w:r w:rsidR="00207C3A" w:rsidRPr="00207C3A">
          <w:rPr>
            <w:rFonts w:asciiTheme="majorHAnsi" w:hAnsiTheme="majorHAnsi"/>
            <w:noProof/>
            <w:webHidden/>
            <w:sz w:val="20"/>
            <w:szCs w:val="20"/>
          </w:rPr>
          <w:fldChar w:fldCharType="separate"/>
        </w:r>
        <w:r w:rsidR="00162484">
          <w:rPr>
            <w:rFonts w:asciiTheme="majorHAnsi" w:hAnsiTheme="majorHAnsi"/>
            <w:noProof/>
            <w:webHidden/>
            <w:sz w:val="20"/>
            <w:szCs w:val="20"/>
          </w:rPr>
          <w:t>2</w:t>
        </w:r>
        <w:r w:rsidR="00207C3A" w:rsidRPr="00207C3A">
          <w:rPr>
            <w:rFonts w:asciiTheme="majorHAnsi" w:hAnsiTheme="majorHAnsi"/>
            <w:noProof/>
            <w:webHidden/>
            <w:sz w:val="20"/>
            <w:szCs w:val="20"/>
          </w:rPr>
          <w:fldChar w:fldCharType="end"/>
        </w:r>
      </w:hyperlink>
    </w:p>
    <w:p w14:paraId="6529DE0A" w14:textId="072D9813" w:rsidR="00207C3A" w:rsidRPr="00207C3A" w:rsidRDefault="00213F94">
      <w:pPr>
        <w:pStyle w:val="TOC2"/>
        <w:rPr>
          <w:rFonts w:asciiTheme="majorHAnsi" w:eastAsiaTheme="minorEastAsia" w:hAnsiTheme="majorHAnsi" w:cstheme="minorBidi"/>
          <w:noProof/>
          <w:sz w:val="20"/>
          <w:szCs w:val="20"/>
        </w:rPr>
      </w:pPr>
      <w:hyperlink w:anchor="_Toc484623832" w:history="1">
        <w:r w:rsidR="0007239A">
          <w:rPr>
            <w:rStyle w:val="Hyperlink"/>
            <w:rFonts w:asciiTheme="majorHAnsi" w:hAnsiTheme="majorHAnsi"/>
            <w:noProof/>
            <w:sz w:val="20"/>
            <w:szCs w:val="20"/>
          </w:rPr>
          <w:t>B</w:t>
        </w:r>
        <w:r w:rsidR="00207C3A" w:rsidRPr="00207C3A">
          <w:rPr>
            <w:rStyle w:val="Hyperlink"/>
            <w:rFonts w:asciiTheme="majorHAnsi" w:hAnsiTheme="majorHAnsi"/>
            <w:noProof/>
            <w:sz w:val="20"/>
            <w:szCs w:val="20"/>
          </w:rPr>
          <w:t>.</w:t>
        </w:r>
        <w:r w:rsidR="00207C3A" w:rsidRPr="00207C3A">
          <w:rPr>
            <w:rFonts w:asciiTheme="majorHAnsi" w:eastAsiaTheme="minorEastAsia" w:hAnsiTheme="majorHAnsi" w:cstheme="minorBidi"/>
            <w:noProof/>
            <w:sz w:val="20"/>
            <w:szCs w:val="20"/>
          </w:rPr>
          <w:tab/>
        </w:r>
        <w:r w:rsidR="00207C3A" w:rsidRPr="00207C3A">
          <w:rPr>
            <w:rStyle w:val="Hyperlink"/>
            <w:rFonts w:asciiTheme="majorHAnsi" w:hAnsiTheme="majorHAnsi"/>
            <w:noProof/>
            <w:sz w:val="20"/>
            <w:szCs w:val="20"/>
          </w:rPr>
          <w:t>Posición del Estado</w:t>
        </w:r>
        <w:r w:rsidR="00207C3A" w:rsidRPr="00207C3A">
          <w:rPr>
            <w:rFonts w:asciiTheme="majorHAnsi" w:hAnsiTheme="majorHAnsi"/>
            <w:noProof/>
            <w:webHidden/>
            <w:sz w:val="20"/>
            <w:szCs w:val="20"/>
          </w:rPr>
          <w:tab/>
        </w:r>
        <w:r w:rsidR="00207C3A" w:rsidRPr="00207C3A">
          <w:rPr>
            <w:rFonts w:asciiTheme="majorHAnsi" w:hAnsiTheme="majorHAnsi"/>
            <w:noProof/>
            <w:webHidden/>
            <w:sz w:val="20"/>
            <w:szCs w:val="20"/>
          </w:rPr>
          <w:fldChar w:fldCharType="begin"/>
        </w:r>
        <w:r w:rsidR="00207C3A" w:rsidRPr="00207C3A">
          <w:rPr>
            <w:rFonts w:asciiTheme="majorHAnsi" w:hAnsiTheme="majorHAnsi"/>
            <w:noProof/>
            <w:webHidden/>
            <w:sz w:val="20"/>
            <w:szCs w:val="20"/>
          </w:rPr>
          <w:instrText xml:space="preserve"> PAGEREF _Toc484623832 \h </w:instrText>
        </w:r>
        <w:r w:rsidR="00207C3A" w:rsidRPr="00207C3A">
          <w:rPr>
            <w:rFonts w:asciiTheme="majorHAnsi" w:hAnsiTheme="majorHAnsi"/>
            <w:noProof/>
            <w:webHidden/>
            <w:sz w:val="20"/>
            <w:szCs w:val="20"/>
          </w:rPr>
        </w:r>
        <w:r w:rsidR="00207C3A" w:rsidRPr="00207C3A">
          <w:rPr>
            <w:rFonts w:asciiTheme="majorHAnsi" w:hAnsiTheme="majorHAnsi"/>
            <w:noProof/>
            <w:webHidden/>
            <w:sz w:val="20"/>
            <w:szCs w:val="20"/>
          </w:rPr>
          <w:fldChar w:fldCharType="separate"/>
        </w:r>
        <w:r w:rsidR="00162484">
          <w:rPr>
            <w:rFonts w:asciiTheme="majorHAnsi" w:hAnsiTheme="majorHAnsi"/>
            <w:noProof/>
            <w:webHidden/>
            <w:sz w:val="20"/>
            <w:szCs w:val="20"/>
          </w:rPr>
          <w:t>3</w:t>
        </w:r>
        <w:r w:rsidR="00207C3A" w:rsidRPr="00207C3A">
          <w:rPr>
            <w:rFonts w:asciiTheme="majorHAnsi" w:hAnsiTheme="majorHAnsi"/>
            <w:noProof/>
            <w:webHidden/>
            <w:sz w:val="20"/>
            <w:szCs w:val="20"/>
          </w:rPr>
          <w:fldChar w:fldCharType="end"/>
        </w:r>
      </w:hyperlink>
    </w:p>
    <w:p w14:paraId="12381368" w14:textId="77777777" w:rsidR="00207C3A" w:rsidRPr="00207C3A" w:rsidRDefault="00213F94">
      <w:pPr>
        <w:pStyle w:val="TOC1"/>
        <w:rPr>
          <w:rFonts w:asciiTheme="majorHAnsi" w:eastAsiaTheme="minorEastAsia" w:hAnsiTheme="majorHAnsi" w:cstheme="minorBidi"/>
          <w:noProof/>
          <w:sz w:val="20"/>
          <w:szCs w:val="20"/>
        </w:rPr>
      </w:pPr>
      <w:hyperlink w:anchor="_Toc484623833" w:history="1">
        <w:r w:rsidR="00207C3A" w:rsidRPr="00207C3A">
          <w:rPr>
            <w:rStyle w:val="Hyperlink"/>
            <w:rFonts w:asciiTheme="majorHAnsi" w:hAnsiTheme="majorHAnsi"/>
            <w:b/>
            <w:noProof/>
            <w:sz w:val="20"/>
            <w:szCs w:val="20"/>
          </w:rPr>
          <w:t>IV.</w:t>
        </w:r>
        <w:r w:rsidR="00207C3A" w:rsidRPr="00207C3A">
          <w:rPr>
            <w:rFonts w:asciiTheme="majorHAnsi" w:eastAsiaTheme="minorEastAsia" w:hAnsiTheme="majorHAnsi" w:cstheme="minorBidi"/>
            <w:b/>
            <w:noProof/>
            <w:sz w:val="20"/>
            <w:szCs w:val="20"/>
          </w:rPr>
          <w:tab/>
        </w:r>
        <w:r w:rsidR="00207C3A" w:rsidRPr="00207C3A">
          <w:rPr>
            <w:rStyle w:val="Hyperlink"/>
            <w:rFonts w:asciiTheme="majorHAnsi" w:hAnsiTheme="majorHAnsi"/>
            <w:b/>
            <w:noProof/>
            <w:sz w:val="20"/>
            <w:szCs w:val="20"/>
          </w:rPr>
          <w:t>ANÁLISIS DE FONDO</w:t>
        </w:r>
        <w:r w:rsidR="00207C3A" w:rsidRPr="00207C3A">
          <w:rPr>
            <w:rFonts w:asciiTheme="majorHAnsi" w:hAnsiTheme="majorHAnsi"/>
            <w:noProof/>
            <w:webHidden/>
            <w:sz w:val="20"/>
            <w:szCs w:val="20"/>
          </w:rPr>
          <w:tab/>
        </w:r>
        <w:r w:rsidR="00207C3A" w:rsidRPr="00207C3A">
          <w:rPr>
            <w:rFonts w:asciiTheme="majorHAnsi" w:hAnsiTheme="majorHAnsi"/>
            <w:noProof/>
            <w:webHidden/>
            <w:sz w:val="20"/>
            <w:szCs w:val="20"/>
          </w:rPr>
          <w:fldChar w:fldCharType="begin"/>
        </w:r>
        <w:r w:rsidR="00207C3A" w:rsidRPr="00207C3A">
          <w:rPr>
            <w:rFonts w:asciiTheme="majorHAnsi" w:hAnsiTheme="majorHAnsi"/>
            <w:noProof/>
            <w:webHidden/>
            <w:sz w:val="20"/>
            <w:szCs w:val="20"/>
          </w:rPr>
          <w:instrText xml:space="preserve"> PAGEREF _Toc484623833 \h </w:instrText>
        </w:r>
        <w:r w:rsidR="00207C3A" w:rsidRPr="00207C3A">
          <w:rPr>
            <w:rFonts w:asciiTheme="majorHAnsi" w:hAnsiTheme="majorHAnsi"/>
            <w:noProof/>
            <w:webHidden/>
            <w:sz w:val="20"/>
            <w:szCs w:val="20"/>
          </w:rPr>
        </w:r>
        <w:r w:rsidR="00207C3A" w:rsidRPr="00207C3A">
          <w:rPr>
            <w:rFonts w:asciiTheme="majorHAnsi" w:hAnsiTheme="majorHAnsi"/>
            <w:noProof/>
            <w:webHidden/>
            <w:sz w:val="20"/>
            <w:szCs w:val="20"/>
          </w:rPr>
          <w:fldChar w:fldCharType="separate"/>
        </w:r>
        <w:r w:rsidR="00162484">
          <w:rPr>
            <w:rFonts w:asciiTheme="majorHAnsi" w:hAnsiTheme="majorHAnsi"/>
            <w:noProof/>
            <w:webHidden/>
            <w:sz w:val="20"/>
            <w:szCs w:val="20"/>
          </w:rPr>
          <w:t>3</w:t>
        </w:r>
        <w:r w:rsidR="00207C3A" w:rsidRPr="00207C3A">
          <w:rPr>
            <w:rFonts w:asciiTheme="majorHAnsi" w:hAnsiTheme="majorHAnsi"/>
            <w:noProof/>
            <w:webHidden/>
            <w:sz w:val="20"/>
            <w:szCs w:val="20"/>
          </w:rPr>
          <w:fldChar w:fldCharType="end"/>
        </w:r>
      </w:hyperlink>
    </w:p>
    <w:p w14:paraId="0C4D343B" w14:textId="77777777" w:rsidR="00207C3A" w:rsidRPr="00207C3A" w:rsidRDefault="00213F94">
      <w:pPr>
        <w:pStyle w:val="TOC2"/>
        <w:rPr>
          <w:rFonts w:asciiTheme="majorHAnsi" w:eastAsiaTheme="minorEastAsia" w:hAnsiTheme="majorHAnsi" w:cstheme="minorBidi"/>
          <w:noProof/>
          <w:sz w:val="20"/>
          <w:szCs w:val="20"/>
        </w:rPr>
      </w:pPr>
      <w:hyperlink w:anchor="_Toc484623834" w:history="1">
        <w:r w:rsidR="00207C3A" w:rsidRPr="0007239A">
          <w:rPr>
            <w:rStyle w:val="Hyperlink"/>
            <w:rFonts w:asciiTheme="majorHAnsi" w:hAnsiTheme="majorHAnsi"/>
            <w:noProof/>
            <w:sz w:val="20"/>
            <w:szCs w:val="20"/>
          </w:rPr>
          <w:t>A.</w:t>
        </w:r>
        <w:r w:rsidR="00207C3A" w:rsidRPr="0007239A">
          <w:rPr>
            <w:rFonts w:asciiTheme="majorHAnsi" w:eastAsiaTheme="minorEastAsia" w:hAnsiTheme="majorHAnsi" w:cstheme="minorBidi"/>
            <w:noProof/>
            <w:sz w:val="20"/>
            <w:szCs w:val="20"/>
          </w:rPr>
          <w:tab/>
        </w:r>
        <w:r w:rsidR="00207C3A" w:rsidRPr="0007239A">
          <w:rPr>
            <w:rStyle w:val="Hyperlink"/>
            <w:rFonts w:asciiTheme="majorHAnsi" w:hAnsiTheme="majorHAnsi"/>
            <w:noProof/>
            <w:sz w:val="20"/>
            <w:szCs w:val="20"/>
          </w:rPr>
          <w:t>Hechos probados</w:t>
        </w:r>
        <w:r w:rsidR="00207C3A" w:rsidRPr="00207C3A">
          <w:rPr>
            <w:rFonts w:asciiTheme="majorHAnsi" w:hAnsiTheme="majorHAnsi"/>
            <w:noProof/>
            <w:webHidden/>
            <w:sz w:val="20"/>
            <w:szCs w:val="20"/>
          </w:rPr>
          <w:tab/>
        </w:r>
        <w:r w:rsidR="00207C3A" w:rsidRPr="00207C3A">
          <w:rPr>
            <w:rFonts w:asciiTheme="majorHAnsi" w:hAnsiTheme="majorHAnsi"/>
            <w:noProof/>
            <w:webHidden/>
            <w:sz w:val="20"/>
            <w:szCs w:val="20"/>
          </w:rPr>
          <w:fldChar w:fldCharType="begin"/>
        </w:r>
        <w:r w:rsidR="00207C3A" w:rsidRPr="00207C3A">
          <w:rPr>
            <w:rFonts w:asciiTheme="majorHAnsi" w:hAnsiTheme="majorHAnsi"/>
            <w:noProof/>
            <w:webHidden/>
            <w:sz w:val="20"/>
            <w:szCs w:val="20"/>
          </w:rPr>
          <w:instrText xml:space="preserve"> PAGEREF _Toc484623834 \h </w:instrText>
        </w:r>
        <w:r w:rsidR="00207C3A" w:rsidRPr="00207C3A">
          <w:rPr>
            <w:rFonts w:asciiTheme="majorHAnsi" w:hAnsiTheme="majorHAnsi"/>
            <w:noProof/>
            <w:webHidden/>
            <w:sz w:val="20"/>
            <w:szCs w:val="20"/>
          </w:rPr>
        </w:r>
        <w:r w:rsidR="00207C3A" w:rsidRPr="00207C3A">
          <w:rPr>
            <w:rFonts w:asciiTheme="majorHAnsi" w:hAnsiTheme="majorHAnsi"/>
            <w:noProof/>
            <w:webHidden/>
            <w:sz w:val="20"/>
            <w:szCs w:val="20"/>
          </w:rPr>
          <w:fldChar w:fldCharType="separate"/>
        </w:r>
        <w:r w:rsidR="00162484">
          <w:rPr>
            <w:rFonts w:asciiTheme="majorHAnsi" w:hAnsiTheme="majorHAnsi"/>
            <w:noProof/>
            <w:webHidden/>
            <w:sz w:val="20"/>
            <w:szCs w:val="20"/>
          </w:rPr>
          <w:t>3</w:t>
        </w:r>
        <w:r w:rsidR="00207C3A" w:rsidRPr="00207C3A">
          <w:rPr>
            <w:rFonts w:asciiTheme="majorHAnsi" w:hAnsiTheme="majorHAnsi"/>
            <w:noProof/>
            <w:webHidden/>
            <w:sz w:val="20"/>
            <w:szCs w:val="20"/>
          </w:rPr>
          <w:fldChar w:fldCharType="end"/>
        </w:r>
      </w:hyperlink>
    </w:p>
    <w:p w14:paraId="08D97ECC" w14:textId="77777777" w:rsidR="00207C3A" w:rsidRPr="00207C3A" w:rsidRDefault="00213F94" w:rsidP="00207C3A">
      <w:pPr>
        <w:pStyle w:val="TOC3"/>
        <w:rPr>
          <w:rFonts w:eastAsiaTheme="minorEastAsia" w:cstheme="minorBidi"/>
          <w:lang w:val="en-US"/>
        </w:rPr>
      </w:pPr>
      <w:hyperlink w:anchor="_Toc484623835" w:history="1">
        <w:r w:rsidR="00207C3A" w:rsidRPr="00207C3A">
          <w:rPr>
            <w:rStyle w:val="Hyperlink"/>
          </w:rPr>
          <w:t>1.</w:t>
        </w:r>
        <w:r w:rsidR="00207C3A" w:rsidRPr="00207C3A">
          <w:rPr>
            <w:rFonts w:eastAsiaTheme="minorEastAsia" w:cstheme="minorBidi"/>
            <w:lang w:val="en-US"/>
          </w:rPr>
          <w:tab/>
        </w:r>
        <w:r w:rsidR="00207C3A" w:rsidRPr="00207C3A">
          <w:rPr>
            <w:rStyle w:val="Hyperlink"/>
          </w:rPr>
          <w:t>La destitución del señor Colindres como magistrado del Tribunal Supremo Electoral  el 22 de noviembre de 1996</w:t>
        </w:r>
        <w:r w:rsidR="00207C3A" w:rsidRPr="00207C3A">
          <w:rPr>
            <w:webHidden/>
          </w:rPr>
          <w:tab/>
        </w:r>
        <w:r w:rsidR="00207C3A" w:rsidRPr="00207C3A">
          <w:rPr>
            <w:webHidden/>
          </w:rPr>
          <w:fldChar w:fldCharType="begin"/>
        </w:r>
        <w:r w:rsidR="00207C3A" w:rsidRPr="00207C3A">
          <w:rPr>
            <w:webHidden/>
          </w:rPr>
          <w:instrText xml:space="preserve"> PAGEREF _Toc484623835 \h </w:instrText>
        </w:r>
        <w:r w:rsidR="00207C3A" w:rsidRPr="00207C3A">
          <w:rPr>
            <w:webHidden/>
          </w:rPr>
        </w:r>
        <w:r w:rsidR="00207C3A" w:rsidRPr="00207C3A">
          <w:rPr>
            <w:webHidden/>
          </w:rPr>
          <w:fldChar w:fldCharType="separate"/>
        </w:r>
        <w:r w:rsidR="00162484">
          <w:rPr>
            <w:webHidden/>
          </w:rPr>
          <w:t>4</w:t>
        </w:r>
        <w:r w:rsidR="00207C3A" w:rsidRPr="00207C3A">
          <w:rPr>
            <w:webHidden/>
          </w:rPr>
          <w:fldChar w:fldCharType="end"/>
        </w:r>
      </w:hyperlink>
    </w:p>
    <w:p w14:paraId="1AE216E7" w14:textId="77777777" w:rsidR="00207C3A" w:rsidRPr="00207C3A" w:rsidRDefault="00213F94" w:rsidP="00207C3A">
      <w:pPr>
        <w:pStyle w:val="TOC3"/>
        <w:rPr>
          <w:rFonts w:eastAsiaTheme="minorEastAsia" w:cstheme="minorBidi"/>
          <w:b/>
          <w:lang w:val="en-US"/>
        </w:rPr>
      </w:pPr>
      <w:hyperlink w:anchor="_Toc484623836" w:history="1">
        <w:r w:rsidR="00207C3A" w:rsidRPr="00207C3A">
          <w:rPr>
            <w:rStyle w:val="Hyperlink"/>
          </w:rPr>
          <w:t>2.</w:t>
        </w:r>
        <w:r w:rsidR="00207C3A" w:rsidRPr="00207C3A">
          <w:rPr>
            <w:rFonts w:eastAsiaTheme="minorEastAsia" w:cstheme="minorBidi"/>
            <w:b/>
            <w:lang w:val="en-US"/>
          </w:rPr>
          <w:tab/>
        </w:r>
        <w:r w:rsidR="00207C3A" w:rsidRPr="00207C3A">
          <w:rPr>
            <w:rStyle w:val="Hyperlink"/>
          </w:rPr>
          <w:t>La restitución del señor Colindres como magistrado del Tribunal Supremo Electoral</w:t>
        </w:r>
        <w:r w:rsidR="00207C3A" w:rsidRPr="00207C3A">
          <w:rPr>
            <w:webHidden/>
          </w:rPr>
          <w:tab/>
        </w:r>
        <w:r w:rsidR="00207C3A" w:rsidRPr="00207C3A">
          <w:rPr>
            <w:webHidden/>
          </w:rPr>
          <w:fldChar w:fldCharType="begin"/>
        </w:r>
        <w:r w:rsidR="00207C3A" w:rsidRPr="00207C3A">
          <w:rPr>
            <w:webHidden/>
          </w:rPr>
          <w:instrText xml:space="preserve"> PAGEREF _Toc484623836 \h </w:instrText>
        </w:r>
        <w:r w:rsidR="00207C3A" w:rsidRPr="00207C3A">
          <w:rPr>
            <w:webHidden/>
          </w:rPr>
        </w:r>
        <w:r w:rsidR="00207C3A" w:rsidRPr="00207C3A">
          <w:rPr>
            <w:webHidden/>
          </w:rPr>
          <w:fldChar w:fldCharType="separate"/>
        </w:r>
        <w:r w:rsidR="00162484">
          <w:rPr>
            <w:webHidden/>
          </w:rPr>
          <w:t>5</w:t>
        </w:r>
        <w:r w:rsidR="00207C3A" w:rsidRPr="00207C3A">
          <w:rPr>
            <w:webHidden/>
          </w:rPr>
          <w:fldChar w:fldCharType="end"/>
        </w:r>
      </w:hyperlink>
    </w:p>
    <w:p w14:paraId="6E9557A2" w14:textId="77777777" w:rsidR="00207C3A" w:rsidRPr="00207C3A" w:rsidRDefault="00213F94" w:rsidP="00207C3A">
      <w:pPr>
        <w:pStyle w:val="TOC3"/>
        <w:rPr>
          <w:rFonts w:eastAsiaTheme="minorEastAsia" w:cstheme="minorBidi"/>
          <w:b/>
          <w:lang w:val="en-US"/>
        </w:rPr>
      </w:pPr>
      <w:hyperlink w:anchor="_Toc484623837" w:history="1">
        <w:r w:rsidR="00207C3A" w:rsidRPr="00207C3A">
          <w:rPr>
            <w:rStyle w:val="Hyperlink"/>
          </w:rPr>
          <w:t>3.</w:t>
        </w:r>
        <w:r w:rsidR="00207C3A" w:rsidRPr="00207C3A">
          <w:rPr>
            <w:rFonts w:eastAsiaTheme="minorEastAsia" w:cstheme="minorBidi"/>
            <w:b/>
            <w:lang w:val="en-US"/>
          </w:rPr>
          <w:tab/>
        </w:r>
        <w:r w:rsidR="00207C3A" w:rsidRPr="00207C3A">
          <w:rPr>
            <w:rStyle w:val="Hyperlink"/>
          </w:rPr>
          <w:t>La segunda destitución del señor Colindres el 2 de julio de 1998</w:t>
        </w:r>
        <w:r w:rsidR="00207C3A" w:rsidRPr="00207C3A">
          <w:rPr>
            <w:webHidden/>
          </w:rPr>
          <w:tab/>
        </w:r>
        <w:r w:rsidR="00207C3A" w:rsidRPr="00207C3A">
          <w:rPr>
            <w:webHidden/>
          </w:rPr>
          <w:fldChar w:fldCharType="begin"/>
        </w:r>
        <w:r w:rsidR="00207C3A" w:rsidRPr="00207C3A">
          <w:rPr>
            <w:webHidden/>
          </w:rPr>
          <w:instrText xml:space="preserve"> PAGEREF _Toc484623837 \h </w:instrText>
        </w:r>
        <w:r w:rsidR="00207C3A" w:rsidRPr="00207C3A">
          <w:rPr>
            <w:webHidden/>
          </w:rPr>
        </w:r>
        <w:r w:rsidR="00207C3A" w:rsidRPr="00207C3A">
          <w:rPr>
            <w:webHidden/>
          </w:rPr>
          <w:fldChar w:fldCharType="separate"/>
        </w:r>
        <w:r w:rsidR="00162484">
          <w:rPr>
            <w:webHidden/>
          </w:rPr>
          <w:t>6</w:t>
        </w:r>
        <w:r w:rsidR="00207C3A" w:rsidRPr="00207C3A">
          <w:rPr>
            <w:webHidden/>
          </w:rPr>
          <w:fldChar w:fldCharType="end"/>
        </w:r>
      </w:hyperlink>
    </w:p>
    <w:p w14:paraId="724FD922" w14:textId="77777777" w:rsidR="00207C3A" w:rsidRPr="00207C3A" w:rsidRDefault="00213F94" w:rsidP="00207C3A">
      <w:pPr>
        <w:pStyle w:val="TOC3"/>
        <w:rPr>
          <w:rFonts w:eastAsiaTheme="minorEastAsia" w:cstheme="minorBidi"/>
          <w:b/>
          <w:lang w:val="en-US"/>
        </w:rPr>
      </w:pPr>
      <w:hyperlink w:anchor="_Toc484623838" w:history="1">
        <w:r w:rsidR="00207C3A" w:rsidRPr="00207C3A">
          <w:rPr>
            <w:rStyle w:val="Hyperlink"/>
            <w:lang w:val="es-ES"/>
          </w:rPr>
          <w:t>4.</w:t>
        </w:r>
        <w:r w:rsidR="00207C3A" w:rsidRPr="00207C3A">
          <w:rPr>
            <w:rFonts w:eastAsiaTheme="minorEastAsia" w:cstheme="minorBidi"/>
            <w:b/>
            <w:lang w:val="en-US"/>
          </w:rPr>
          <w:tab/>
        </w:r>
        <w:r w:rsidR="00207C3A" w:rsidRPr="00207C3A">
          <w:rPr>
            <w:rStyle w:val="Hyperlink"/>
          </w:rPr>
          <w:t>Recursos interpuestos por el magistrado Colindres antes de su destitución el 2 de julio de 1998</w:t>
        </w:r>
        <w:r w:rsidR="00207C3A" w:rsidRPr="00207C3A">
          <w:rPr>
            <w:webHidden/>
          </w:rPr>
          <w:tab/>
        </w:r>
        <w:r w:rsidR="00207C3A" w:rsidRPr="00207C3A">
          <w:rPr>
            <w:webHidden/>
          </w:rPr>
          <w:fldChar w:fldCharType="begin"/>
        </w:r>
        <w:r w:rsidR="00207C3A" w:rsidRPr="00207C3A">
          <w:rPr>
            <w:webHidden/>
          </w:rPr>
          <w:instrText xml:space="preserve"> PAGEREF _Toc484623838 \h </w:instrText>
        </w:r>
        <w:r w:rsidR="00207C3A" w:rsidRPr="00207C3A">
          <w:rPr>
            <w:webHidden/>
          </w:rPr>
        </w:r>
        <w:r w:rsidR="00207C3A" w:rsidRPr="00207C3A">
          <w:rPr>
            <w:webHidden/>
          </w:rPr>
          <w:fldChar w:fldCharType="separate"/>
        </w:r>
        <w:r w:rsidR="00162484">
          <w:rPr>
            <w:webHidden/>
          </w:rPr>
          <w:t>8</w:t>
        </w:r>
        <w:r w:rsidR="00207C3A" w:rsidRPr="00207C3A">
          <w:rPr>
            <w:webHidden/>
          </w:rPr>
          <w:fldChar w:fldCharType="end"/>
        </w:r>
      </w:hyperlink>
    </w:p>
    <w:p w14:paraId="7C49F425" w14:textId="77777777" w:rsidR="00207C3A" w:rsidRPr="00207C3A" w:rsidRDefault="00213F94" w:rsidP="00207C3A">
      <w:pPr>
        <w:pStyle w:val="TOC3"/>
        <w:rPr>
          <w:rFonts w:eastAsiaTheme="minorEastAsia" w:cstheme="minorBidi"/>
          <w:b/>
          <w:lang w:val="en-US"/>
        </w:rPr>
      </w:pPr>
      <w:hyperlink w:anchor="_Toc484623839" w:history="1">
        <w:r w:rsidR="00207C3A" w:rsidRPr="00207C3A">
          <w:rPr>
            <w:rStyle w:val="Hyperlink"/>
          </w:rPr>
          <w:t>5.</w:t>
        </w:r>
        <w:r w:rsidR="00207C3A" w:rsidRPr="00207C3A">
          <w:rPr>
            <w:rFonts w:eastAsiaTheme="minorEastAsia" w:cstheme="minorBidi"/>
            <w:b/>
            <w:lang w:val="en-US"/>
          </w:rPr>
          <w:tab/>
        </w:r>
        <w:r w:rsidR="00207C3A" w:rsidRPr="00207C3A">
          <w:rPr>
            <w:rStyle w:val="Hyperlink"/>
          </w:rPr>
          <w:t>Recursos interpuestos por el señor Colindres después de su destitución el 2 de julio de 1998</w:t>
        </w:r>
        <w:r w:rsidR="00207C3A" w:rsidRPr="00207C3A">
          <w:rPr>
            <w:webHidden/>
          </w:rPr>
          <w:tab/>
        </w:r>
        <w:r w:rsidR="00207C3A" w:rsidRPr="00207C3A">
          <w:rPr>
            <w:webHidden/>
          </w:rPr>
          <w:fldChar w:fldCharType="begin"/>
        </w:r>
        <w:r w:rsidR="00207C3A" w:rsidRPr="00207C3A">
          <w:rPr>
            <w:webHidden/>
          </w:rPr>
          <w:instrText xml:space="preserve"> PAGEREF _Toc484623839 \h </w:instrText>
        </w:r>
        <w:r w:rsidR="00207C3A" w:rsidRPr="00207C3A">
          <w:rPr>
            <w:webHidden/>
          </w:rPr>
        </w:r>
        <w:r w:rsidR="00207C3A" w:rsidRPr="00207C3A">
          <w:rPr>
            <w:webHidden/>
          </w:rPr>
          <w:fldChar w:fldCharType="separate"/>
        </w:r>
        <w:r w:rsidR="00162484">
          <w:rPr>
            <w:webHidden/>
          </w:rPr>
          <w:t>9</w:t>
        </w:r>
        <w:r w:rsidR="00207C3A" w:rsidRPr="00207C3A">
          <w:rPr>
            <w:webHidden/>
          </w:rPr>
          <w:fldChar w:fldCharType="end"/>
        </w:r>
      </w:hyperlink>
    </w:p>
    <w:p w14:paraId="3C2826F4" w14:textId="77777777" w:rsidR="00207C3A" w:rsidRPr="00207C3A" w:rsidRDefault="00213F94" w:rsidP="00207C3A">
      <w:pPr>
        <w:pStyle w:val="TOC3"/>
        <w:rPr>
          <w:rFonts w:eastAsiaTheme="minorEastAsia" w:cstheme="minorBidi"/>
          <w:b/>
          <w:lang w:val="en-US"/>
        </w:rPr>
      </w:pPr>
      <w:hyperlink w:anchor="_Toc484623840" w:history="1">
        <w:r w:rsidR="00207C3A" w:rsidRPr="00207C3A">
          <w:rPr>
            <w:rStyle w:val="Hyperlink"/>
          </w:rPr>
          <w:t>6.</w:t>
        </w:r>
        <w:r w:rsidR="00207C3A" w:rsidRPr="00207C3A">
          <w:rPr>
            <w:rFonts w:eastAsiaTheme="minorEastAsia" w:cstheme="minorBidi"/>
            <w:b/>
            <w:lang w:val="en-US"/>
          </w:rPr>
          <w:tab/>
        </w:r>
        <w:r w:rsidR="00207C3A" w:rsidRPr="00207C3A">
          <w:rPr>
            <w:rStyle w:val="Hyperlink"/>
          </w:rPr>
          <w:t>Demanda de daños y perjuicios respecto de la primera destitución</w:t>
        </w:r>
        <w:r w:rsidR="00207C3A" w:rsidRPr="00207C3A">
          <w:rPr>
            <w:webHidden/>
          </w:rPr>
          <w:tab/>
        </w:r>
        <w:r w:rsidR="00207C3A" w:rsidRPr="00207C3A">
          <w:rPr>
            <w:webHidden/>
          </w:rPr>
          <w:fldChar w:fldCharType="begin"/>
        </w:r>
        <w:r w:rsidR="00207C3A" w:rsidRPr="00207C3A">
          <w:rPr>
            <w:webHidden/>
          </w:rPr>
          <w:instrText xml:space="preserve"> PAGEREF _Toc484623840 \h </w:instrText>
        </w:r>
        <w:r w:rsidR="00207C3A" w:rsidRPr="00207C3A">
          <w:rPr>
            <w:webHidden/>
          </w:rPr>
        </w:r>
        <w:r w:rsidR="00207C3A" w:rsidRPr="00207C3A">
          <w:rPr>
            <w:webHidden/>
          </w:rPr>
          <w:fldChar w:fldCharType="separate"/>
        </w:r>
        <w:r w:rsidR="00162484">
          <w:rPr>
            <w:webHidden/>
          </w:rPr>
          <w:t>11</w:t>
        </w:r>
        <w:r w:rsidR="00207C3A" w:rsidRPr="00207C3A">
          <w:rPr>
            <w:webHidden/>
          </w:rPr>
          <w:fldChar w:fldCharType="end"/>
        </w:r>
      </w:hyperlink>
    </w:p>
    <w:p w14:paraId="6B6B2DB0" w14:textId="77777777" w:rsidR="00207C3A" w:rsidRPr="00207C3A" w:rsidRDefault="00213F94">
      <w:pPr>
        <w:pStyle w:val="TOC2"/>
        <w:rPr>
          <w:rFonts w:asciiTheme="majorHAnsi" w:eastAsiaTheme="minorEastAsia" w:hAnsiTheme="majorHAnsi" w:cstheme="minorBidi"/>
          <w:noProof/>
          <w:sz w:val="20"/>
          <w:szCs w:val="20"/>
        </w:rPr>
      </w:pPr>
      <w:hyperlink w:anchor="_Toc484623841" w:history="1">
        <w:r w:rsidR="00207C3A" w:rsidRPr="0007239A">
          <w:rPr>
            <w:rStyle w:val="Hyperlink"/>
            <w:rFonts w:asciiTheme="majorHAnsi" w:hAnsiTheme="majorHAnsi"/>
            <w:noProof/>
            <w:sz w:val="20"/>
            <w:szCs w:val="20"/>
          </w:rPr>
          <w:t>B.</w:t>
        </w:r>
        <w:r w:rsidR="00207C3A" w:rsidRPr="0007239A">
          <w:rPr>
            <w:rFonts w:asciiTheme="majorHAnsi" w:eastAsiaTheme="minorEastAsia" w:hAnsiTheme="majorHAnsi" w:cstheme="minorBidi"/>
            <w:noProof/>
            <w:sz w:val="20"/>
            <w:szCs w:val="20"/>
          </w:rPr>
          <w:tab/>
        </w:r>
        <w:r w:rsidR="00207C3A" w:rsidRPr="0007239A">
          <w:rPr>
            <w:rStyle w:val="Hyperlink"/>
            <w:rFonts w:asciiTheme="majorHAnsi" w:hAnsiTheme="majorHAnsi"/>
            <w:noProof/>
            <w:sz w:val="20"/>
            <w:szCs w:val="20"/>
          </w:rPr>
          <w:t>ANÁLISIS DE DERECHO</w:t>
        </w:r>
        <w:r w:rsidR="00207C3A" w:rsidRPr="00207C3A">
          <w:rPr>
            <w:rFonts w:asciiTheme="majorHAnsi" w:hAnsiTheme="majorHAnsi"/>
            <w:noProof/>
            <w:webHidden/>
            <w:sz w:val="20"/>
            <w:szCs w:val="20"/>
          </w:rPr>
          <w:tab/>
        </w:r>
        <w:r w:rsidR="00207C3A" w:rsidRPr="00207C3A">
          <w:rPr>
            <w:rFonts w:asciiTheme="majorHAnsi" w:hAnsiTheme="majorHAnsi"/>
            <w:noProof/>
            <w:webHidden/>
            <w:sz w:val="20"/>
            <w:szCs w:val="20"/>
          </w:rPr>
          <w:fldChar w:fldCharType="begin"/>
        </w:r>
        <w:r w:rsidR="00207C3A" w:rsidRPr="00207C3A">
          <w:rPr>
            <w:rFonts w:asciiTheme="majorHAnsi" w:hAnsiTheme="majorHAnsi"/>
            <w:noProof/>
            <w:webHidden/>
            <w:sz w:val="20"/>
            <w:szCs w:val="20"/>
          </w:rPr>
          <w:instrText xml:space="preserve"> PAGEREF _Toc484623841 \h </w:instrText>
        </w:r>
        <w:r w:rsidR="00207C3A" w:rsidRPr="00207C3A">
          <w:rPr>
            <w:rFonts w:asciiTheme="majorHAnsi" w:hAnsiTheme="majorHAnsi"/>
            <w:noProof/>
            <w:webHidden/>
            <w:sz w:val="20"/>
            <w:szCs w:val="20"/>
          </w:rPr>
        </w:r>
        <w:r w:rsidR="00207C3A" w:rsidRPr="00207C3A">
          <w:rPr>
            <w:rFonts w:asciiTheme="majorHAnsi" w:hAnsiTheme="majorHAnsi"/>
            <w:noProof/>
            <w:webHidden/>
            <w:sz w:val="20"/>
            <w:szCs w:val="20"/>
          </w:rPr>
          <w:fldChar w:fldCharType="separate"/>
        </w:r>
        <w:r w:rsidR="00162484">
          <w:rPr>
            <w:rFonts w:asciiTheme="majorHAnsi" w:hAnsiTheme="majorHAnsi"/>
            <w:noProof/>
            <w:webHidden/>
            <w:sz w:val="20"/>
            <w:szCs w:val="20"/>
          </w:rPr>
          <w:t>11</w:t>
        </w:r>
        <w:r w:rsidR="00207C3A" w:rsidRPr="00207C3A">
          <w:rPr>
            <w:rFonts w:asciiTheme="majorHAnsi" w:hAnsiTheme="majorHAnsi"/>
            <w:noProof/>
            <w:webHidden/>
            <w:sz w:val="20"/>
            <w:szCs w:val="20"/>
          </w:rPr>
          <w:fldChar w:fldCharType="end"/>
        </w:r>
      </w:hyperlink>
    </w:p>
    <w:p w14:paraId="09C4AAFB" w14:textId="77777777" w:rsidR="00207C3A" w:rsidRPr="00207C3A" w:rsidRDefault="00213F94" w:rsidP="00207C3A">
      <w:pPr>
        <w:pStyle w:val="TOC3"/>
        <w:rPr>
          <w:rFonts w:eastAsiaTheme="minorEastAsia" w:cstheme="minorBidi"/>
          <w:b/>
          <w:lang w:val="en-US"/>
        </w:rPr>
      </w:pPr>
      <w:hyperlink w:anchor="_Toc484623842" w:history="1">
        <w:r w:rsidR="00207C3A" w:rsidRPr="00207C3A">
          <w:rPr>
            <w:rStyle w:val="Hyperlink"/>
          </w:rPr>
          <w:t>1.</w:t>
        </w:r>
        <w:r w:rsidR="00207C3A" w:rsidRPr="00207C3A">
          <w:rPr>
            <w:rFonts w:eastAsiaTheme="minorEastAsia" w:cstheme="minorBidi"/>
            <w:b/>
            <w:lang w:val="en-US"/>
          </w:rPr>
          <w:tab/>
        </w:r>
        <w:r w:rsidR="00207C3A" w:rsidRPr="00207C3A">
          <w:rPr>
            <w:rStyle w:val="Hyperlink"/>
          </w:rPr>
          <w:t>El principio de independencia judicial</w:t>
        </w:r>
        <w:r w:rsidR="00207C3A" w:rsidRPr="00207C3A">
          <w:rPr>
            <w:webHidden/>
          </w:rPr>
          <w:tab/>
        </w:r>
        <w:r w:rsidR="00207C3A" w:rsidRPr="00207C3A">
          <w:rPr>
            <w:webHidden/>
          </w:rPr>
          <w:fldChar w:fldCharType="begin"/>
        </w:r>
        <w:r w:rsidR="00207C3A" w:rsidRPr="00207C3A">
          <w:rPr>
            <w:webHidden/>
          </w:rPr>
          <w:instrText xml:space="preserve"> PAGEREF _Toc484623842 \h </w:instrText>
        </w:r>
        <w:r w:rsidR="00207C3A" w:rsidRPr="00207C3A">
          <w:rPr>
            <w:webHidden/>
          </w:rPr>
        </w:r>
        <w:r w:rsidR="00207C3A" w:rsidRPr="00207C3A">
          <w:rPr>
            <w:webHidden/>
          </w:rPr>
          <w:fldChar w:fldCharType="separate"/>
        </w:r>
        <w:r w:rsidR="00162484">
          <w:rPr>
            <w:webHidden/>
          </w:rPr>
          <w:t>12</w:t>
        </w:r>
        <w:r w:rsidR="00207C3A" w:rsidRPr="00207C3A">
          <w:rPr>
            <w:webHidden/>
          </w:rPr>
          <w:fldChar w:fldCharType="end"/>
        </w:r>
      </w:hyperlink>
    </w:p>
    <w:p w14:paraId="58E02457" w14:textId="2336DCB3" w:rsidR="00207C3A" w:rsidRPr="00207C3A" w:rsidRDefault="00213F94" w:rsidP="00207C3A">
      <w:pPr>
        <w:pStyle w:val="TOC3"/>
        <w:rPr>
          <w:rFonts w:eastAsiaTheme="minorEastAsia" w:cstheme="minorBidi"/>
          <w:b/>
          <w:lang w:val="en-US"/>
        </w:rPr>
      </w:pPr>
      <w:hyperlink w:anchor="_Toc484623843" w:history="1">
        <w:r w:rsidR="00207C3A" w:rsidRPr="00207C3A">
          <w:rPr>
            <w:rStyle w:val="Hyperlink"/>
          </w:rPr>
          <w:t>2.</w:t>
        </w:r>
        <w:r w:rsidR="00207C3A" w:rsidRPr="00207C3A">
          <w:rPr>
            <w:rFonts w:eastAsiaTheme="minorEastAsia" w:cstheme="minorBidi"/>
            <w:b/>
            <w:lang w:val="en-US"/>
          </w:rPr>
          <w:tab/>
        </w:r>
        <w:r w:rsidR="00207C3A" w:rsidRPr="00207C3A">
          <w:rPr>
            <w:rStyle w:val="Hyperlink"/>
          </w:rPr>
          <w:t>Derecho a las garantías judiciales (artículos 8 de la Convención Americana en relación con los artículos  1.1 y 2 de la Convención Americana); principio de legalidad (artículo 9 en relación con los artículos 1 y 2 de  la Convención Americana); protección ju</w:t>
        </w:r>
        <w:r w:rsidR="00207C3A">
          <w:rPr>
            <w:rStyle w:val="Hyperlink"/>
          </w:rPr>
          <w:t>dicial (artículos 25.1 y 25.2 c</w:t>
        </w:r>
        <w:r w:rsidR="00207C3A" w:rsidRPr="00207C3A">
          <w:rPr>
            <w:rStyle w:val="Hyperlink"/>
          </w:rPr>
          <w:t>)</w:t>
        </w:r>
        <w:r w:rsidR="00207C3A" w:rsidRPr="00207C3A">
          <w:rPr>
            <w:webHidden/>
          </w:rPr>
          <w:tab/>
        </w:r>
        <w:r w:rsidR="00207C3A" w:rsidRPr="00207C3A">
          <w:rPr>
            <w:webHidden/>
          </w:rPr>
          <w:fldChar w:fldCharType="begin"/>
        </w:r>
        <w:r w:rsidR="00207C3A" w:rsidRPr="00207C3A">
          <w:rPr>
            <w:webHidden/>
          </w:rPr>
          <w:instrText xml:space="preserve"> PAGEREF _Toc484623843 \h </w:instrText>
        </w:r>
        <w:r w:rsidR="00207C3A" w:rsidRPr="00207C3A">
          <w:rPr>
            <w:webHidden/>
          </w:rPr>
        </w:r>
        <w:r w:rsidR="00207C3A" w:rsidRPr="00207C3A">
          <w:rPr>
            <w:webHidden/>
          </w:rPr>
          <w:fldChar w:fldCharType="separate"/>
        </w:r>
        <w:r w:rsidR="00162484">
          <w:rPr>
            <w:webHidden/>
          </w:rPr>
          <w:t>12</w:t>
        </w:r>
        <w:r w:rsidR="00207C3A" w:rsidRPr="00207C3A">
          <w:rPr>
            <w:webHidden/>
          </w:rPr>
          <w:fldChar w:fldCharType="end"/>
        </w:r>
      </w:hyperlink>
    </w:p>
    <w:p w14:paraId="3DCF2F26" w14:textId="77777777" w:rsidR="00207C3A" w:rsidRPr="00207C3A" w:rsidRDefault="00213F94" w:rsidP="00207C3A">
      <w:pPr>
        <w:pStyle w:val="TOC3"/>
        <w:rPr>
          <w:rFonts w:eastAsiaTheme="minorEastAsia" w:cstheme="minorBidi"/>
          <w:b/>
          <w:lang w:val="en-US"/>
        </w:rPr>
      </w:pPr>
      <w:hyperlink w:anchor="_Toc484623849" w:history="1">
        <w:r w:rsidR="00207C3A" w:rsidRPr="00207C3A">
          <w:rPr>
            <w:rStyle w:val="Hyperlink"/>
          </w:rPr>
          <w:t>3.</w:t>
        </w:r>
        <w:r w:rsidR="00207C3A" w:rsidRPr="00207C3A">
          <w:rPr>
            <w:rFonts w:eastAsiaTheme="minorEastAsia" w:cstheme="minorBidi"/>
            <w:b/>
            <w:lang w:val="en-US"/>
          </w:rPr>
          <w:tab/>
        </w:r>
        <w:r w:rsidR="00207C3A" w:rsidRPr="00207C3A">
          <w:rPr>
            <w:rStyle w:val="Hyperlink"/>
          </w:rPr>
          <w:t>Derechos al acceso a la función pública</w:t>
        </w:r>
        <w:r w:rsidR="00207C3A" w:rsidRPr="00207C3A">
          <w:rPr>
            <w:webHidden/>
          </w:rPr>
          <w:tab/>
        </w:r>
        <w:r w:rsidR="00207C3A" w:rsidRPr="00207C3A">
          <w:rPr>
            <w:webHidden/>
          </w:rPr>
          <w:fldChar w:fldCharType="begin"/>
        </w:r>
        <w:r w:rsidR="00207C3A" w:rsidRPr="00207C3A">
          <w:rPr>
            <w:webHidden/>
          </w:rPr>
          <w:instrText xml:space="preserve"> PAGEREF _Toc484623849 \h </w:instrText>
        </w:r>
        <w:r w:rsidR="00207C3A" w:rsidRPr="00207C3A">
          <w:rPr>
            <w:webHidden/>
          </w:rPr>
        </w:r>
        <w:r w:rsidR="00207C3A" w:rsidRPr="00207C3A">
          <w:rPr>
            <w:webHidden/>
          </w:rPr>
          <w:fldChar w:fldCharType="separate"/>
        </w:r>
        <w:r w:rsidR="00162484">
          <w:rPr>
            <w:webHidden/>
          </w:rPr>
          <w:t>21</w:t>
        </w:r>
        <w:r w:rsidR="00207C3A" w:rsidRPr="00207C3A">
          <w:rPr>
            <w:webHidden/>
          </w:rPr>
          <w:fldChar w:fldCharType="end"/>
        </w:r>
      </w:hyperlink>
    </w:p>
    <w:p w14:paraId="50508FE2" w14:textId="77777777" w:rsidR="00207C3A" w:rsidRPr="00207C3A" w:rsidRDefault="00213F94">
      <w:pPr>
        <w:pStyle w:val="TOC1"/>
        <w:rPr>
          <w:rFonts w:asciiTheme="majorHAnsi" w:eastAsiaTheme="minorEastAsia" w:hAnsiTheme="majorHAnsi" w:cstheme="minorBidi"/>
          <w:noProof/>
          <w:sz w:val="20"/>
          <w:szCs w:val="20"/>
        </w:rPr>
      </w:pPr>
      <w:hyperlink w:anchor="_Toc484623850" w:history="1">
        <w:r w:rsidR="00207C3A" w:rsidRPr="00207C3A">
          <w:rPr>
            <w:rStyle w:val="Hyperlink"/>
            <w:rFonts w:asciiTheme="majorHAnsi" w:hAnsiTheme="majorHAnsi"/>
            <w:b/>
            <w:noProof/>
            <w:sz w:val="20"/>
            <w:szCs w:val="20"/>
          </w:rPr>
          <w:t>VI.</w:t>
        </w:r>
        <w:r w:rsidR="00207C3A" w:rsidRPr="00207C3A">
          <w:rPr>
            <w:rFonts w:asciiTheme="majorHAnsi" w:eastAsiaTheme="minorEastAsia" w:hAnsiTheme="majorHAnsi" w:cstheme="minorBidi"/>
            <w:b/>
            <w:noProof/>
            <w:sz w:val="20"/>
            <w:szCs w:val="20"/>
          </w:rPr>
          <w:tab/>
        </w:r>
        <w:r w:rsidR="00207C3A" w:rsidRPr="00207C3A">
          <w:rPr>
            <w:rStyle w:val="Hyperlink"/>
            <w:rFonts w:asciiTheme="majorHAnsi" w:hAnsiTheme="majorHAnsi"/>
            <w:b/>
            <w:noProof/>
            <w:sz w:val="20"/>
            <w:szCs w:val="20"/>
          </w:rPr>
          <w:t>CONCLUSIONES</w:t>
        </w:r>
        <w:r w:rsidR="00207C3A" w:rsidRPr="00207C3A">
          <w:rPr>
            <w:rFonts w:asciiTheme="majorHAnsi" w:hAnsiTheme="majorHAnsi"/>
            <w:noProof/>
            <w:webHidden/>
            <w:sz w:val="20"/>
            <w:szCs w:val="20"/>
          </w:rPr>
          <w:tab/>
        </w:r>
        <w:r w:rsidR="00207C3A" w:rsidRPr="00207C3A">
          <w:rPr>
            <w:rFonts w:asciiTheme="majorHAnsi" w:hAnsiTheme="majorHAnsi"/>
            <w:noProof/>
            <w:webHidden/>
            <w:sz w:val="20"/>
            <w:szCs w:val="20"/>
          </w:rPr>
          <w:fldChar w:fldCharType="begin"/>
        </w:r>
        <w:r w:rsidR="00207C3A" w:rsidRPr="00207C3A">
          <w:rPr>
            <w:rFonts w:asciiTheme="majorHAnsi" w:hAnsiTheme="majorHAnsi"/>
            <w:noProof/>
            <w:webHidden/>
            <w:sz w:val="20"/>
            <w:szCs w:val="20"/>
          </w:rPr>
          <w:instrText xml:space="preserve"> PAGEREF _Toc484623850 \h </w:instrText>
        </w:r>
        <w:r w:rsidR="00207C3A" w:rsidRPr="00207C3A">
          <w:rPr>
            <w:rFonts w:asciiTheme="majorHAnsi" w:hAnsiTheme="majorHAnsi"/>
            <w:noProof/>
            <w:webHidden/>
            <w:sz w:val="20"/>
            <w:szCs w:val="20"/>
          </w:rPr>
        </w:r>
        <w:r w:rsidR="00207C3A" w:rsidRPr="00207C3A">
          <w:rPr>
            <w:rFonts w:asciiTheme="majorHAnsi" w:hAnsiTheme="majorHAnsi"/>
            <w:noProof/>
            <w:webHidden/>
            <w:sz w:val="20"/>
            <w:szCs w:val="20"/>
          </w:rPr>
          <w:fldChar w:fldCharType="separate"/>
        </w:r>
        <w:r w:rsidR="00162484">
          <w:rPr>
            <w:rFonts w:asciiTheme="majorHAnsi" w:hAnsiTheme="majorHAnsi"/>
            <w:noProof/>
            <w:webHidden/>
            <w:sz w:val="20"/>
            <w:szCs w:val="20"/>
          </w:rPr>
          <w:t>22</w:t>
        </w:r>
        <w:r w:rsidR="00207C3A" w:rsidRPr="00207C3A">
          <w:rPr>
            <w:rFonts w:asciiTheme="majorHAnsi" w:hAnsiTheme="majorHAnsi"/>
            <w:noProof/>
            <w:webHidden/>
            <w:sz w:val="20"/>
            <w:szCs w:val="20"/>
          </w:rPr>
          <w:fldChar w:fldCharType="end"/>
        </w:r>
      </w:hyperlink>
    </w:p>
    <w:p w14:paraId="3DACAB17" w14:textId="77777777" w:rsidR="00207C3A" w:rsidRPr="00207C3A" w:rsidRDefault="00213F94">
      <w:pPr>
        <w:pStyle w:val="TOC1"/>
        <w:rPr>
          <w:rFonts w:asciiTheme="majorHAnsi" w:eastAsiaTheme="minorEastAsia" w:hAnsiTheme="majorHAnsi" w:cstheme="minorBidi"/>
          <w:noProof/>
          <w:sz w:val="20"/>
          <w:szCs w:val="20"/>
        </w:rPr>
      </w:pPr>
      <w:hyperlink w:anchor="_Toc484623851" w:history="1">
        <w:r w:rsidR="00207C3A" w:rsidRPr="00207C3A">
          <w:rPr>
            <w:rStyle w:val="Hyperlink"/>
            <w:rFonts w:asciiTheme="majorHAnsi" w:hAnsiTheme="majorHAnsi"/>
            <w:b/>
            <w:noProof/>
            <w:sz w:val="20"/>
            <w:szCs w:val="20"/>
          </w:rPr>
          <w:t>VII.</w:t>
        </w:r>
        <w:r w:rsidR="00207C3A" w:rsidRPr="00207C3A">
          <w:rPr>
            <w:rFonts w:asciiTheme="majorHAnsi" w:eastAsiaTheme="minorEastAsia" w:hAnsiTheme="majorHAnsi" w:cstheme="minorBidi"/>
            <w:b/>
            <w:noProof/>
            <w:sz w:val="20"/>
            <w:szCs w:val="20"/>
          </w:rPr>
          <w:tab/>
        </w:r>
        <w:r w:rsidR="00207C3A" w:rsidRPr="00207C3A">
          <w:rPr>
            <w:rStyle w:val="Hyperlink"/>
            <w:rFonts w:asciiTheme="majorHAnsi" w:hAnsiTheme="majorHAnsi"/>
            <w:b/>
            <w:noProof/>
            <w:sz w:val="20"/>
            <w:szCs w:val="20"/>
          </w:rPr>
          <w:t>RECOMENDACIONES</w:t>
        </w:r>
        <w:r w:rsidR="00207C3A" w:rsidRPr="00207C3A">
          <w:rPr>
            <w:rFonts w:asciiTheme="majorHAnsi" w:hAnsiTheme="majorHAnsi"/>
            <w:noProof/>
            <w:webHidden/>
            <w:sz w:val="20"/>
            <w:szCs w:val="20"/>
          </w:rPr>
          <w:tab/>
        </w:r>
        <w:r w:rsidR="00207C3A" w:rsidRPr="00207C3A">
          <w:rPr>
            <w:rFonts w:asciiTheme="majorHAnsi" w:hAnsiTheme="majorHAnsi"/>
            <w:noProof/>
            <w:webHidden/>
            <w:sz w:val="20"/>
            <w:szCs w:val="20"/>
          </w:rPr>
          <w:fldChar w:fldCharType="begin"/>
        </w:r>
        <w:r w:rsidR="00207C3A" w:rsidRPr="00207C3A">
          <w:rPr>
            <w:rFonts w:asciiTheme="majorHAnsi" w:hAnsiTheme="majorHAnsi"/>
            <w:noProof/>
            <w:webHidden/>
            <w:sz w:val="20"/>
            <w:szCs w:val="20"/>
          </w:rPr>
          <w:instrText xml:space="preserve"> PAGEREF _Toc484623851 \h </w:instrText>
        </w:r>
        <w:r w:rsidR="00207C3A" w:rsidRPr="00207C3A">
          <w:rPr>
            <w:rFonts w:asciiTheme="majorHAnsi" w:hAnsiTheme="majorHAnsi"/>
            <w:noProof/>
            <w:webHidden/>
            <w:sz w:val="20"/>
            <w:szCs w:val="20"/>
          </w:rPr>
        </w:r>
        <w:r w:rsidR="00207C3A" w:rsidRPr="00207C3A">
          <w:rPr>
            <w:rFonts w:asciiTheme="majorHAnsi" w:hAnsiTheme="majorHAnsi"/>
            <w:noProof/>
            <w:webHidden/>
            <w:sz w:val="20"/>
            <w:szCs w:val="20"/>
          </w:rPr>
          <w:fldChar w:fldCharType="separate"/>
        </w:r>
        <w:r w:rsidR="00162484">
          <w:rPr>
            <w:rFonts w:asciiTheme="majorHAnsi" w:hAnsiTheme="majorHAnsi"/>
            <w:noProof/>
            <w:webHidden/>
            <w:sz w:val="20"/>
            <w:szCs w:val="20"/>
          </w:rPr>
          <w:t>22</w:t>
        </w:r>
        <w:r w:rsidR="00207C3A" w:rsidRPr="00207C3A">
          <w:rPr>
            <w:rFonts w:asciiTheme="majorHAnsi" w:hAnsiTheme="majorHAnsi"/>
            <w:noProof/>
            <w:webHidden/>
            <w:sz w:val="20"/>
            <w:szCs w:val="20"/>
          </w:rPr>
          <w:fldChar w:fldCharType="end"/>
        </w:r>
      </w:hyperlink>
    </w:p>
    <w:p w14:paraId="43F7D53A" w14:textId="77777777" w:rsidR="009D7F32" w:rsidRPr="00207C3A" w:rsidRDefault="00207C3A" w:rsidP="00207C3A">
      <w:pPr>
        <w:pStyle w:val="Heading2"/>
        <w:numPr>
          <w:ilvl w:val="0"/>
          <w:numId w:val="0"/>
        </w:numPr>
        <w:ind w:left="720"/>
        <w:sectPr w:rsidR="009D7F32" w:rsidRPr="00207C3A" w:rsidSect="009D7F32">
          <w:headerReference w:type="default" r:id="rId17"/>
          <w:footerReference w:type="even" r:id="rId18"/>
          <w:headerReference w:type="first" r:id="rId19"/>
          <w:pgSz w:w="12240" w:h="15840"/>
          <w:pgMar w:top="1440" w:right="1440" w:bottom="1440" w:left="1440" w:header="720" w:footer="720" w:gutter="0"/>
          <w:pgNumType w:start="1"/>
          <w:cols w:space="720"/>
          <w:titlePg/>
          <w:docGrid w:linePitch="360"/>
        </w:sectPr>
      </w:pPr>
      <w:r w:rsidRPr="00207C3A">
        <w:fldChar w:fldCharType="end"/>
      </w:r>
    </w:p>
    <w:p w14:paraId="15BBEDEF" w14:textId="28085B35" w:rsidR="009D7F32" w:rsidRPr="0045657E" w:rsidRDefault="009D20F0" w:rsidP="009D7F32">
      <w:pPr>
        <w:jc w:val="center"/>
        <w:rPr>
          <w:rFonts w:asciiTheme="majorHAnsi" w:hAnsiTheme="majorHAnsi"/>
          <w:b/>
          <w:sz w:val="18"/>
          <w:szCs w:val="18"/>
          <w:lang w:val="es-ES"/>
        </w:rPr>
      </w:pPr>
      <w:r w:rsidRPr="0045657E">
        <w:rPr>
          <w:rFonts w:asciiTheme="majorHAnsi" w:hAnsiTheme="majorHAnsi"/>
          <w:b/>
          <w:sz w:val="18"/>
          <w:szCs w:val="18"/>
          <w:lang w:val="es-ES"/>
        </w:rPr>
        <w:lastRenderedPageBreak/>
        <w:t>INFORME N</w:t>
      </w:r>
      <w:r w:rsidR="006264C8" w:rsidRPr="0045657E">
        <w:rPr>
          <w:rFonts w:asciiTheme="majorHAnsi" w:hAnsiTheme="majorHAnsi"/>
          <w:b/>
          <w:sz w:val="18"/>
          <w:szCs w:val="18"/>
          <w:lang w:val="es-ES"/>
        </w:rPr>
        <w:t>o</w:t>
      </w:r>
      <w:r w:rsidRPr="0045657E">
        <w:rPr>
          <w:rFonts w:asciiTheme="majorHAnsi" w:hAnsiTheme="majorHAnsi"/>
          <w:b/>
          <w:sz w:val="18"/>
          <w:szCs w:val="18"/>
          <w:lang w:val="es-ES"/>
        </w:rPr>
        <w:t xml:space="preserve">. </w:t>
      </w:r>
      <w:r w:rsidR="00C65ACD">
        <w:rPr>
          <w:rFonts w:asciiTheme="majorHAnsi" w:hAnsiTheme="majorHAnsi"/>
          <w:b/>
          <w:sz w:val="18"/>
          <w:szCs w:val="18"/>
          <w:lang w:val="es-ES"/>
        </w:rPr>
        <w:t>23</w:t>
      </w:r>
      <w:r w:rsidR="00E170C7" w:rsidRPr="0045657E">
        <w:rPr>
          <w:rFonts w:asciiTheme="majorHAnsi" w:hAnsiTheme="majorHAnsi"/>
          <w:b/>
          <w:sz w:val="18"/>
          <w:szCs w:val="18"/>
          <w:lang w:val="es-ES"/>
        </w:rPr>
        <w:t>/</w:t>
      </w:r>
      <w:r w:rsidR="002A23A4" w:rsidRPr="0045657E">
        <w:rPr>
          <w:rFonts w:asciiTheme="majorHAnsi" w:hAnsiTheme="majorHAnsi"/>
          <w:b/>
          <w:sz w:val="18"/>
          <w:szCs w:val="18"/>
          <w:lang w:val="es-ES"/>
        </w:rPr>
        <w:t>17</w:t>
      </w:r>
    </w:p>
    <w:p w14:paraId="65A3B7D3" w14:textId="77777777" w:rsidR="009D7F32" w:rsidRPr="0045657E" w:rsidRDefault="00E170C7" w:rsidP="009D7F32">
      <w:pPr>
        <w:jc w:val="center"/>
        <w:rPr>
          <w:rFonts w:asciiTheme="majorHAnsi" w:hAnsiTheme="majorHAnsi"/>
          <w:sz w:val="18"/>
          <w:szCs w:val="18"/>
          <w:lang w:val="es-ES"/>
        </w:rPr>
      </w:pPr>
      <w:r w:rsidRPr="0045657E">
        <w:rPr>
          <w:rFonts w:asciiTheme="majorHAnsi" w:hAnsiTheme="majorHAnsi"/>
          <w:sz w:val="18"/>
          <w:szCs w:val="18"/>
          <w:lang w:val="es-ES"/>
        </w:rPr>
        <w:t>CASO 12.311</w:t>
      </w:r>
    </w:p>
    <w:p w14:paraId="54CFF6DD" w14:textId="77777777" w:rsidR="009D7F32" w:rsidRPr="0045657E" w:rsidRDefault="009D20F0" w:rsidP="009D7F32">
      <w:pPr>
        <w:jc w:val="center"/>
        <w:rPr>
          <w:rFonts w:asciiTheme="majorHAnsi" w:hAnsiTheme="majorHAnsi"/>
          <w:sz w:val="18"/>
          <w:szCs w:val="18"/>
          <w:lang w:val="es-ES"/>
        </w:rPr>
      </w:pPr>
      <w:r w:rsidRPr="0045657E">
        <w:rPr>
          <w:rFonts w:asciiTheme="majorHAnsi" w:hAnsiTheme="majorHAnsi"/>
          <w:sz w:val="18"/>
          <w:szCs w:val="18"/>
          <w:lang w:val="es-ES"/>
        </w:rPr>
        <w:t>FONDO</w:t>
      </w:r>
    </w:p>
    <w:p w14:paraId="493E54A0" w14:textId="77777777" w:rsidR="009D7F32" w:rsidRPr="0045657E" w:rsidRDefault="00E170C7" w:rsidP="009D7F32">
      <w:pPr>
        <w:jc w:val="center"/>
        <w:rPr>
          <w:rFonts w:asciiTheme="majorHAnsi" w:hAnsiTheme="majorHAnsi"/>
          <w:sz w:val="18"/>
          <w:szCs w:val="18"/>
          <w:lang w:val="es-ES"/>
        </w:rPr>
      </w:pPr>
      <w:r w:rsidRPr="0045657E">
        <w:rPr>
          <w:rFonts w:asciiTheme="majorHAnsi" w:hAnsiTheme="majorHAnsi"/>
          <w:sz w:val="18"/>
          <w:szCs w:val="18"/>
          <w:lang w:val="es-ES"/>
        </w:rPr>
        <w:t>EDUARDO BENJAMIN COLINDRE</w:t>
      </w:r>
      <w:r w:rsidR="009D20F0" w:rsidRPr="0045657E">
        <w:rPr>
          <w:rFonts w:asciiTheme="majorHAnsi" w:hAnsiTheme="majorHAnsi"/>
          <w:sz w:val="18"/>
          <w:szCs w:val="18"/>
          <w:lang w:val="es-ES"/>
        </w:rPr>
        <w:t>S</w:t>
      </w:r>
    </w:p>
    <w:p w14:paraId="77415DE1" w14:textId="77777777" w:rsidR="009D7F32" w:rsidRPr="0045657E" w:rsidRDefault="00E170C7" w:rsidP="009D7F32">
      <w:pPr>
        <w:jc w:val="center"/>
        <w:rPr>
          <w:rFonts w:asciiTheme="majorHAnsi" w:hAnsiTheme="majorHAnsi"/>
          <w:sz w:val="18"/>
          <w:szCs w:val="18"/>
          <w:lang w:val="es-ES"/>
        </w:rPr>
      </w:pPr>
      <w:r w:rsidRPr="0045657E">
        <w:rPr>
          <w:rFonts w:asciiTheme="majorHAnsi" w:hAnsiTheme="majorHAnsi"/>
          <w:sz w:val="18"/>
          <w:szCs w:val="18"/>
          <w:lang w:val="es-ES"/>
        </w:rPr>
        <w:t>EL SALVADOR</w:t>
      </w:r>
    </w:p>
    <w:p w14:paraId="21BB8630" w14:textId="3DAB4F84" w:rsidR="009D7F32" w:rsidRPr="0045657E" w:rsidRDefault="00C65ACD" w:rsidP="009D7F32">
      <w:pPr>
        <w:jc w:val="center"/>
        <w:rPr>
          <w:rFonts w:asciiTheme="majorHAnsi" w:hAnsiTheme="majorHAnsi"/>
          <w:sz w:val="18"/>
          <w:szCs w:val="18"/>
          <w:lang w:val="es-ES"/>
        </w:rPr>
      </w:pPr>
      <w:r>
        <w:rPr>
          <w:rFonts w:asciiTheme="majorHAnsi" w:hAnsiTheme="majorHAnsi"/>
          <w:sz w:val="18"/>
          <w:szCs w:val="18"/>
          <w:lang w:val="es-ES"/>
        </w:rPr>
        <w:t>18</w:t>
      </w:r>
      <w:r w:rsidR="009D20F0" w:rsidRPr="0045657E">
        <w:rPr>
          <w:rFonts w:asciiTheme="majorHAnsi" w:hAnsiTheme="majorHAnsi"/>
          <w:sz w:val="18"/>
          <w:szCs w:val="18"/>
          <w:lang w:val="es-ES"/>
        </w:rPr>
        <w:t xml:space="preserve"> DE </w:t>
      </w:r>
      <w:r>
        <w:rPr>
          <w:rFonts w:asciiTheme="majorHAnsi" w:hAnsiTheme="majorHAnsi"/>
          <w:sz w:val="18"/>
          <w:szCs w:val="18"/>
          <w:lang w:val="es-ES"/>
        </w:rPr>
        <w:t>MARZO</w:t>
      </w:r>
      <w:r w:rsidR="00E170C7" w:rsidRPr="0045657E">
        <w:rPr>
          <w:rFonts w:asciiTheme="majorHAnsi" w:hAnsiTheme="majorHAnsi"/>
          <w:sz w:val="18"/>
          <w:szCs w:val="18"/>
          <w:lang w:val="es-ES"/>
        </w:rPr>
        <w:t xml:space="preserve"> </w:t>
      </w:r>
      <w:r w:rsidR="009D20F0" w:rsidRPr="0045657E">
        <w:rPr>
          <w:rFonts w:asciiTheme="majorHAnsi" w:hAnsiTheme="majorHAnsi"/>
          <w:sz w:val="18"/>
          <w:szCs w:val="18"/>
          <w:lang w:val="es-ES"/>
        </w:rPr>
        <w:t xml:space="preserve">DE </w:t>
      </w:r>
      <w:r w:rsidR="004749EE">
        <w:rPr>
          <w:rFonts w:asciiTheme="majorHAnsi" w:hAnsiTheme="majorHAnsi"/>
          <w:sz w:val="18"/>
          <w:szCs w:val="18"/>
          <w:lang w:val="es-ES"/>
        </w:rPr>
        <w:t>20</w:t>
      </w:r>
      <w:r w:rsidR="002A23A4" w:rsidRPr="0045657E">
        <w:rPr>
          <w:rFonts w:asciiTheme="majorHAnsi" w:hAnsiTheme="majorHAnsi"/>
          <w:sz w:val="18"/>
          <w:szCs w:val="18"/>
          <w:lang w:val="es-ES"/>
        </w:rPr>
        <w:t>17</w:t>
      </w:r>
    </w:p>
    <w:p w14:paraId="3217A63F" w14:textId="77777777" w:rsidR="009D7F32" w:rsidRPr="00640517" w:rsidRDefault="009D7F32" w:rsidP="009D7F32">
      <w:pPr>
        <w:jc w:val="both"/>
        <w:rPr>
          <w:rFonts w:asciiTheme="majorHAnsi" w:hAnsiTheme="majorHAnsi"/>
          <w:sz w:val="20"/>
          <w:szCs w:val="20"/>
          <w:lang w:val="es-ES"/>
        </w:rPr>
      </w:pPr>
    </w:p>
    <w:p w14:paraId="50518B50" w14:textId="77777777" w:rsidR="009D20F0" w:rsidRPr="00640517" w:rsidRDefault="009D20F0" w:rsidP="009D7F32">
      <w:pPr>
        <w:jc w:val="both"/>
        <w:rPr>
          <w:rFonts w:asciiTheme="majorHAnsi" w:hAnsiTheme="majorHAnsi"/>
          <w:sz w:val="20"/>
          <w:szCs w:val="20"/>
          <w:lang w:val="es-ES"/>
        </w:rPr>
      </w:pPr>
    </w:p>
    <w:p w14:paraId="635A6064" w14:textId="77777777" w:rsidR="009D7F32" w:rsidRPr="007B378B" w:rsidRDefault="009D7F32" w:rsidP="00207C3A">
      <w:pPr>
        <w:pStyle w:val="Heading1"/>
        <w:rPr>
          <w:b/>
        </w:rPr>
      </w:pPr>
      <w:bookmarkStart w:id="1" w:name="_Toc388448128"/>
      <w:bookmarkStart w:id="2" w:name="_Toc412647963"/>
      <w:bookmarkStart w:id="3" w:name="_Toc412648009"/>
      <w:bookmarkStart w:id="4" w:name="_Toc414177387"/>
      <w:bookmarkStart w:id="5" w:name="_Toc414177709"/>
      <w:bookmarkStart w:id="6" w:name="_Toc476579035"/>
      <w:bookmarkStart w:id="7" w:name="_Toc484623828"/>
      <w:r w:rsidRPr="007B378B">
        <w:rPr>
          <w:b/>
        </w:rPr>
        <w:t>I.</w:t>
      </w:r>
      <w:r w:rsidRPr="007B378B">
        <w:rPr>
          <w:b/>
        </w:rPr>
        <w:tab/>
        <w:t>RESUMEN</w:t>
      </w:r>
      <w:bookmarkEnd w:id="1"/>
      <w:bookmarkEnd w:id="2"/>
      <w:bookmarkEnd w:id="3"/>
      <w:bookmarkEnd w:id="4"/>
      <w:bookmarkEnd w:id="5"/>
      <w:bookmarkEnd w:id="6"/>
      <w:bookmarkEnd w:id="7"/>
    </w:p>
    <w:p w14:paraId="1D30BE7D" w14:textId="77777777" w:rsidR="009D7F32" w:rsidRPr="00640517" w:rsidRDefault="009D7F32" w:rsidP="005A7982">
      <w:pPr>
        <w:tabs>
          <w:tab w:val="left" w:pos="1530"/>
          <w:tab w:val="left" w:pos="1620"/>
        </w:tabs>
        <w:rPr>
          <w:rFonts w:asciiTheme="majorHAnsi" w:hAnsiTheme="majorHAnsi"/>
          <w:sz w:val="20"/>
          <w:szCs w:val="20"/>
          <w:lang w:val="es-MX"/>
        </w:rPr>
      </w:pPr>
    </w:p>
    <w:p w14:paraId="720872EF" w14:textId="77777777" w:rsidR="000E05ED" w:rsidRPr="00640517" w:rsidRDefault="00C37061" w:rsidP="000E05ED">
      <w:pPr>
        <w:numPr>
          <w:ilvl w:val="0"/>
          <w:numId w:val="1"/>
        </w:numPr>
        <w:tabs>
          <w:tab w:val="clear" w:pos="1440"/>
          <w:tab w:val="left" w:pos="1530"/>
          <w:tab w:val="left" w:pos="1620"/>
        </w:tabs>
        <w:ind w:left="0" w:firstLine="720"/>
        <w:jc w:val="both"/>
        <w:rPr>
          <w:rFonts w:asciiTheme="majorHAnsi" w:hAnsiTheme="majorHAnsi"/>
          <w:sz w:val="20"/>
          <w:szCs w:val="20"/>
          <w:lang w:val="es-ES"/>
        </w:rPr>
      </w:pPr>
      <w:r w:rsidRPr="00640517">
        <w:rPr>
          <w:rFonts w:asciiTheme="majorHAnsi" w:hAnsiTheme="majorHAnsi"/>
          <w:sz w:val="20"/>
          <w:szCs w:val="20"/>
          <w:lang w:val="es-ES"/>
        </w:rPr>
        <w:t xml:space="preserve">El 4 de mayo de 2000 la Comisión Interamericana de Derechos Humanos (en adelante "la Comisión Interamericana", "la Comisión" o "la CIDH"), recibió una petición presentada por </w:t>
      </w:r>
      <w:r w:rsidR="00AF3BA0" w:rsidRPr="00640517">
        <w:rPr>
          <w:rFonts w:asciiTheme="majorHAnsi" w:hAnsiTheme="majorHAnsi"/>
          <w:sz w:val="20"/>
          <w:szCs w:val="20"/>
          <w:lang w:val="es-ES"/>
        </w:rPr>
        <w:t xml:space="preserve">el </w:t>
      </w:r>
      <w:r w:rsidRPr="00640517">
        <w:rPr>
          <w:rFonts w:asciiTheme="majorHAnsi" w:hAnsiTheme="majorHAnsi"/>
          <w:sz w:val="20"/>
          <w:szCs w:val="20"/>
          <w:lang w:val="es-ES"/>
        </w:rPr>
        <w:t xml:space="preserve">Instituto de Derechos Humanos de la Universidad </w:t>
      </w:r>
      <w:r w:rsidR="0002696B" w:rsidRPr="00640517">
        <w:rPr>
          <w:rFonts w:asciiTheme="majorHAnsi" w:hAnsiTheme="majorHAnsi"/>
          <w:sz w:val="20"/>
          <w:szCs w:val="20"/>
          <w:lang w:val="es-ES"/>
        </w:rPr>
        <w:t>Centroamericana</w:t>
      </w:r>
      <w:r w:rsidRPr="00640517">
        <w:rPr>
          <w:rFonts w:asciiTheme="majorHAnsi" w:hAnsiTheme="majorHAnsi"/>
          <w:sz w:val="20"/>
          <w:szCs w:val="20"/>
          <w:lang w:val="es-ES"/>
        </w:rPr>
        <w:t xml:space="preserve"> “José Simeón Cañas”</w:t>
      </w:r>
      <w:r w:rsidR="00AF3BA0" w:rsidRPr="00640517">
        <w:rPr>
          <w:rStyle w:val="FootnoteReference"/>
          <w:rFonts w:asciiTheme="majorHAnsi" w:hAnsiTheme="majorHAnsi"/>
          <w:sz w:val="20"/>
          <w:szCs w:val="20"/>
          <w:lang w:val="es-CO"/>
        </w:rPr>
        <w:t xml:space="preserve"> </w:t>
      </w:r>
      <w:r w:rsidRPr="00640517">
        <w:rPr>
          <w:rFonts w:asciiTheme="majorHAnsi" w:hAnsiTheme="majorHAnsi"/>
          <w:sz w:val="20"/>
          <w:szCs w:val="20"/>
          <w:lang w:val="es-ES"/>
        </w:rPr>
        <w:t xml:space="preserve">(en adelante “los peticionarios”), en la cual se alegó la responsabilidad internacional de la República de El Salvador (en adelante “el Estado salvadoreño”, “El Salvador” o “el Estado”), </w:t>
      </w:r>
      <w:r w:rsidR="00F14002" w:rsidRPr="00640517">
        <w:rPr>
          <w:rFonts w:asciiTheme="majorHAnsi" w:hAnsiTheme="majorHAnsi"/>
          <w:sz w:val="20"/>
          <w:szCs w:val="20"/>
          <w:lang w:val="es-ES"/>
        </w:rPr>
        <w:t xml:space="preserve">con motivo de los procedimientos disciplinarios que culminaron en la separación del cargo </w:t>
      </w:r>
      <w:r w:rsidRPr="00640517">
        <w:rPr>
          <w:rFonts w:asciiTheme="majorHAnsi" w:hAnsiTheme="majorHAnsi"/>
          <w:sz w:val="20"/>
          <w:szCs w:val="20"/>
          <w:lang w:val="es-ES"/>
        </w:rPr>
        <w:t xml:space="preserve">del magistrado Eduardo </w:t>
      </w:r>
      <w:proofErr w:type="spellStart"/>
      <w:r w:rsidRPr="00640517">
        <w:rPr>
          <w:rFonts w:asciiTheme="majorHAnsi" w:hAnsiTheme="majorHAnsi"/>
          <w:sz w:val="20"/>
          <w:szCs w:val="20"/>
          <w:lang w:val="es-ES"/>
        </w:rPr>
        <w:t>Benjamin</w:t>
      </w:r>
      <w:proofErr w:type="spellEnd"/>
      <w:r w:rsidRPr="00640517">
        <w:rPr>
          <w:rFonts w:asciiTheme="majorHAnsi" w:hAnsiTheme="majorHAnsi"/>
          <w:sz w:val="20"/>
          <w:szCs w:val="20"/>
          <w:lang w:val="es-ES"/>
        </w:rPr>
        <w:t xml:space="preserve"> Colindres</w:t>
      </w:r>
      <w:r w:rsidR="00853E48" w:rsidRPr="00640517">
        <w:rPr>
          <w:rFonts w:asciiTheme="majorHAnsi" w:hAnsiTheme="majorHAnsi"/>
          <w:sz w:val="20"/>
          <w:szCs w:val="20"/>
          <w:lang w:val="es-ES"/>
        </w:rPr>
        <w:t xml:space="preserve">, así como por </w:t>
      </w:r>
      <w:r w:rsidR="00016712" w:rsidRPr="00640517">
        <w:rPr>
          <w:rFonts w:asciiTheme="majorHAnsi" w:hAnsiTheme="majorHAnsi"/>
          <w:sz w:val="20"/>
          <w:szCs w:val="20"/>
          <w:lang w:val="es-ES"/>
        </w:rPr>
        <w:t>la falta de protección judicial</w:t>
      </w:r>
      <w:r w:rsidR="00853E48" w:rsidRPr="00640517">
        <w:rPr>
          <w:rFonts w:asciiTheme="majorHAnsi" w:hAnsiTheme="majorHAnsi"/>
          <w:sz w:val="20"/>
          <w:szCs w:val="20"/>
          <w:lang w:val="es-ES"/>
        </w:rPr>
        <w:t xml:space="preserve"> en relación con los hechos</w:t>
      </w:r>
      <w:r w:rsidRPr="00640517">
        <w:rPr>
          <w:rFonts w:asciiTheme="majorHAnsi" w:hAnsiTheme="majorHAnsi"/>
          <w:sz w:val="20"/>
          <w:szCs w:val="20"/>
          <w:lang w:val="es-ES"/>
        </w:rPr>
        <w:t>.</w:t>
      </w:r>
    </w:p>
    <w:p w14:paraId="492E3D80" w14:textId="77777777" w:rsidR="00330C6A" w:rsidRPr="00640517" w:rsidRDefault="00330C6A" w:rsidP="006B1085">
      <w:pPr>
        <w:tabs>
          <w:tab w:val="left" w:pos="1530"/>
          <w:tab w:val="left" w:pos="1620"/>
        </w:tabs>
        <w:ind w:left="720"/>
        <w:jc w:val="both"/>
        <w:rPr>
          <w:rFonts w:asciiTheme="majorHAnsi" w:hAnsiTheme="majorHAnsi"/>
          <w:sz w:val="20"/>
          <w:szCs w:val="20"/>
          <w:lang w:val="es-ES"/>
        </w:rPr>
      </w:pPr>
    </w:p>
    <w:p w14:paraId="0DFA28F3" w14:textId="77777777" w:rsidR="00330C6A" w:rsidRPr="00640517" w:rsidRDefault="00330C6A" w:rsidP="00330C6A">
      <w:pPr>
        <w:numPr>
          <w:ilvl w:val="0"/>
          <w:numId w:val="1"/>
        </w:numPr>
        <w:tabs>
          <w:tab w:val="clear" w:pos="1440"/>
          <w:tab w:val="left" w:pos="1530"/>
          <w:tab w:val="left" w:pos="1620"/>
        </w:tabs>
        <w:ind w:left="0" w:firstLine="720"/>
        <w:jc w:val="both"/>
        <w:rPr>
          <w:rFonts w:asciiTheme="majorHAnsi" w:hAnsiTheme="majorHAnsi"/>
          <w:sz w:val="20"/>
          <w:szCs w:val="20"/>
          <w:lang w:val="es-ES"/>
        </w:rPr>
      </w:pPr>
      <w:r w:rsidRPr="00640517">
        <w:rPr>
          <w:rFonts w:asciiTheme="majorHAnsi" w:hAnsiTheme="majorHAnsi"/>
          <w:sz w:val="20"/>
          <w:szCs w:val="20"/>
          <w:lang w:val="es-ES"/>
        </w:rPr>
        <w:t xml:space="preserve">El Estado  de El Salvador indicó </w:t>
      </w:r>
      <w:r w:rsidRPr="00BC0700">
        <w:rPr>
          <w:rFonts w:asciiTheme="majorHAnsi" w:hAnsiTheme="majorHAnsi"/>
          <w:sz w:val="20"/>
          <w:szCs w:val="20"/>
          <w:lang w:val="es-ES"/>
        </w:rPr>
        <w:t>que la decisión que cesó</w:t>
      </w:r>
      <w:r w:rsidRPr="00640517">
        <w:rPr>
          <w:rFonts w:asciiTheme="majorHAnsi" w:hAnsiTheme="majorHAnsi"/>
          <w:sz w:val="20"/>
          <w:szCs w:val="20"/>
          <w:lang w:val="es-ES"/>
        </w:rPr>
        <w:t xml:space="preserve"> al magistrado Colindres de su cargo no violó ninguna norma contenida en la Convención Americana, pues el procedimiento se verificó de acuerdo con lo establecido por la Constitución, por una autoridad competente y garantizando su derecho de audiencia. El Estado asimismo sostuvo que la presunta víctima ha tenido acceso a los recursos internos adecuados y efectivos.  </w:t>
      </w:r>
    </w:p>
    <w:p w14:paraId="5101B6C3" w14:textId="77777777" w:rsidR="00330C6A" w:rsidRPr="00640517" w:rsidRDefault="00330C6A" w:rsidP="00AF3BA0">
      <w:pPr>
        <w:tabs>
          <w:tab w:val="left" w:pos="1530"/>
          <w:tab w:val="left" w:pos="1620"/>
        </w:tabs>
        <w:jc w:val="both"/>
        <w:rPr>
          <w:rFonts w:asciiTheme="majorHAnsi" w:hAnsiTheme="majorHAnsi"/>
          <w:sz w:val="20"/>
          <w:szCs w:val="20"/>
          <w:lang w:val="es-ES"/>
        </w:rPr>
      </w:pPr>
    </w:p>
    <w:p w14:paraId="49CD316E" w14:textId="77777777" w:rsidR="00C37061" w:rsidRPr="00640517" w:rsidRDefault="00C37061" w:rsidP="00BD1901">
      <w:pPr>
        <w:numPr>
          <w:ilvl w:val="0"/>
          <w:numId w:val="1"/>
        </w:numPr>
        <w:tabs>
          <w:tab w:val="clear" w:pos="1440"/>
          <w:tab w:val="left" w:pos="1530"/>
          <w:tab w:val="left" w:pos="1620"/>
        </w:tabs>
        <w:ind w:left="0" w:firstLine="720"/>
        <w:jc w:val="both"/>
        <w:rPr>
          <w:rFonts w:asciiTheme="majorHAnsi" w:hAnsiTheme="majorHAnsi"/>
          <w:sz w:val="20"/>
          <w:szCs w:val="20"/>
          <w:lang w:val="es-ES"/>
        </w:rPr>
      </w:pPr>
      <w:r w:rsidRPr="00640517">
        <w:rPr>
          <w:rFonts w:asciiTheme="majorHAnsi" w:hAnsiTheme="majorHAnsi"/>
          <w:sz w:val="20"/>
          <w:szCs w:val="20"/>
          <w:lang w:val="es-ES"/>
        </w:rPr>
        <w:t xml:space="preserve">Tras analizar la posición de las partes, la Comisión Interamericana concluyó que el Estado </w:t>
      </w:r>
      <w:r w:rsidR="000E05ED" w:rsidRPr="00640517">
        <w:rPr>
          <w:rFonts w:asciiTheme="majorHAnsi" w:hAnsiTheme="majorHAnsi"/>
          <w:sz w:val="20"/>
          <w:szCs w:val="20"/>
          <w:lang w:val="es-ES"/>
        </w:rPr>
        <w:t>salvadoreñ</w:t>
      </w:r>
      <w:r w:rsidRPr="00640517">
        <w:rPr>
          <w:rFonts w:asciiTheme="majorHAnsi" w:hAnsiTheme="majorHAnsi"/>
          <w:sz w:val="20"/>
          <w:szCs w:val="20"/>
          <w:lang w:val="es-ES"/>
        </w:rPr>
        <w:t>o es responsable por la violación de</w:t>
      </w:r>
      <w:r w:rsidR="00DE66CE" w:rsidRPr="00640517">
        <w:rPr>
          <w:rFonts w:asciiTheme="majorHAnsi" w:hAnsiTheme="majorHAnsi"/>
          <w:sz w:val="20"/>
          <w:szCs w:val="20"/>
          <w:lang w:val="es-ES"/>
        </w:rPr>
        <w:t xml:space="preserve">l derecho a las garantías judiciales, </w:t>
      </w:r>
      <w:r w:rsidR="00C6240D" w:rsidRPr="00640517">
        <w:rPr>
          <w:rFonts w:asciiTheme="majorHAnsi" w:hAnsiTheme="majorHAnsi"/>
          <w:sz w:val="20"/>
          <w:szCs w:val="20"/>
          <w:lang w:val="es-ES"/>
        </w:rPr>
        <w:t>legalidad, derechos polític</w:t>
      </w:r>
      <w:r w:rsidR="00DE66CE" w:rsidRPr="00640517">
        <w:rPr>
          <w:rFonts w:asciiTheme="majorHAnsi" w:hAnsiTheme="majorHAnsi"/>
          <w:sz w:val="20"/>
          <w:szCs w:val="20"/>
          <w:lang w:val="es-ES"/>
        </w:rPr>
        <w:t xml:space="preserve">os y protección judicial </w:t>
      </w:r>
      <w:r w:rsidRPr="00640517">
        <w:rPr>
          <w:rFonts w:asciiTheme="majorHAnsi" w:hAnsiTheme="majorHAnsi"/>
          <w:sz w:val="20"/>
          <w:szCs w:val="20"/>
          <w:lang w:val="es-ES"/>
        </w:rPr>
        <w:t>establecidos en los artículos 8</w:t>
      </w:r>
      <w:r w:rsidR="0032581D" w:rsidRPr="00640517">
        <w:rPr>
          <w:rFonts w:asciiTheme="majorHAnsi" w:hAnsiTheme="majorHAnsi"/>
          <w:sz w:val="20"/>
          <w:szCs w:val="20"/>
          <w:lang w:val="es-ES"/>
        </w:rPr>
        <w:t>.1, 8.2 b), 8.2 c), 8.2 h)</w:t>
      </w:r>
      <w:r w:rsidR="00DE66CE" w:rsidRPr="00640517">
        <w:rPr>
          <w:rFonts w:asciiTheme="majorHAnsi" w:hAnsiTheme="majorHAnsi"/>
          <w:sz w:val="20"/>
          <w:szCs w:val="20"/>
          <w:lang w:val="es-ES"/>
        </w:rPr>
        <w:t>, 9, 23</w:t>
      </w:r>
      <w:r w:rsidR="0032581D" w:rsidRPr="00640517">
        <w:rPr>
          <w:rFonts w:asciiTheme="majorHAnsi" w:hAnsiTheme="majorHAnsi"/>
          <w:sz w:val="20"/>
          <w:szCs w:val="20"/>
          <w:lang w:val="es-ES"/>
        </w:rPr>
        <w:t>.1 c),</w:t>
      </w:r>
      <w:r w:rsidR="00DE66CE" w:rsidRPr="00640517">
        <w:rPr>
          <w:rFonts w:asciiTheme="majorHAnsi" w:hAnsiTheme="majorHAnsi"/>
          <w:sz w:val="20"/>
          <w:szCs w:val="20"/>
          <w:lang w:val="es-ES"/>
        </w:rPr>
        <w:t xml:space="preserve"> 25.1</w:t>
      </w:r>
      <w:r w:rsidR="0032581D" w:rsidRPr="00640517">
        <w:rPr>
          <w:rFonts w:asciiTheme="majorHAnsi" w:hAnsiTheme="majorHAnsi"/>
          <w:sz w:val="20"/>
          <w:szCs w:val="20"/>
          <w:lang w:val="es-ES"/>
        </w:rPr>
        <w:t xml:space="preserve"> y 25.2 c)</w:t>
      </w:r>
      <w:r w:rsidR="00DE66CE" w:rsidRPr="00640517">
        <w:rPr>
          <w:rFonts w:asciiTheme="majorHAnsi" w:hAnsiTheme="majorHAnsi"/>
          <w:sz w:val="20"/>
          <w:szCs w:val="20"/>
          <w:lang w:val="es-ES"/>
        </w:rPr>
        <w:t xml:space="preserve"> </w:t>
      </w:r>
      <w:r w:rsidRPr="00640517">
        <w:rPr>
          <w:rFonts w:asciiTheme="majorHAnsi" w:hAnsiTheme="majorHAnsi"/>
          <w:sz w:val="20"/>
          <w:szCs w:val="20"/>
          <w:lang w:val="es-ES"/>
        </w:rPr>
        <w:t xml:space="preserve">de la Convención Americana sobre Derechos Humanos (en adelante “la Convención” o “la Convención Americana”) en relación con </w:t>
      </w:r>
      <w:r w:rsidR="00DE70C2" w:rsidRPr="00640517">
        <w:rPr>
          <w:rFonts w:asciiTheme="majorHAnsi" w:hAnsiTheme="majorHAnsi"/>
          <w:sz w:val="20"/>
          <w:szCs w:val="20"/>
          <w:lang w:val="es-ES"/>
        </w:rPr>
        <w:t xml:space="preserve">los </w:t>
      </w:r>
      <w:r w:rsidRPr="00640517">
        <w:rPr>
          <w:rFonts w:asciiTheme="majorHAnsi" w:hAnsiTheme="majorHAnsi"/>
          <w:sz w:val="20"/>
          <w:szCs w:val="20"/>
          <w:lang w:val="es-ES"/>
        </w:rPr>
        <w:t xml:space="preserve">artículos 1 y 2 del </w:t>
      </w:r>
      <w:r w:rsidR="00DE5B7D" w:rsidRPr="00640517">
        <w:rPr>
          <w:rFonts w:asciiTheme="majorHAnsi" w:hAnsiTheme="majorHAnsi"/>
          <w:sz w:val="20"/>
          <w:szCs w:val="20"/>
          <w:lang w:val="es-ES"/>
        </w:rPr>
        <w:t xml:space="preserve">mismo instrumento. </w:t>
      </w:r>
      <w:r w:rsidRPr="00640517">
        <w:rPr>
          <w:rFonts w:asciiTheme="majorHAnsi" w:hAnsiTheme="majorHAnsi"/>
          <w:sz w:val="20"/>
          <w:szCs w:val="20"/>
          <w:lang w:val="es-ES"/>
        </w:rPr>
        <w:t xml:space="preserve">En virtud de </w:t>
      </w:r>
      <w:r w:rsidR="00016712" w:rsidRPr="00640517">
        <w:rPr>
          <w:rFonts w:asciiTheme="majorHAnsi" w:hAnsiTheme="majorHAnsi"/>
          <w:sz w:val="20"/>
          <w:szCs w:val="20"/>
          <w:lang w:val="es-ES"/>
        </w:rPr>
        <w:t>lo anterior</w:t>
      </w:r>
      <w:r w:rsidRPr="00640517">
        <w:rPr>
          <w:rFonts w:asciiTheme="majorHAnsi" w:hAnsiTheme="majorHAnsi"/>
          <w:sz w:val="20"/>
          <w:szCs w:val="20"/>
          <w:lang w:val="es-ES"/>
        </w:rPr>
        <w:t xml:space="preserve">, la </w:t>
      </w:r>
      <w:r w:rsidR="00016712" w:rsidRPr="00640517">
        <w:rPr>
          <w:rFonts w:asciiTheme="majorHAnsi" w:hAnsiTheme="majorHAnsi"/>
          <w:sz w:val="20"/>
          <w:szCs w:val="20"/>
          <w:lang w:val="es-ES"/>
        </w:rPr>
        <w:br/>
        <w:t xml:space="preserve">Comisión </w:t>
      </w:r>
      <w:r w:rsidRPr="00640517">
        <w:rPr>
          <w:rFonts w:asciiTheme="majorHAnsi" w:hAnsiTheme="majorHAnsi"/>
          <w:sz w:val="20"/>
          <w:szCs w:val="20"/>
          <w:lang w:val="es-ES"/>
        </w:rPr>
        <w:t xml:space="preserve">formuló las recomendaciones respectivas. </w:t>
      </w:r>
    </w:p>
    <w:p w14:paraId="5FEE1397" w14:textId="77777777" w:rsidR="009D7F32" w:rsidRPr="00640517" w:rsidRDefault="009D7F32" w:rsidP="005A7982">
      <w:pPr>
        <w:pStyle w:val="ListParagraph1"/>
        <w:tabs>
          <w:tab w:val="left" w:pos="1530"/>
          <w:tab w:val="left" w:pos="1620"/>
        </w:tabs>
        <w:rPr>
          <w:rFonts w:asciiTheme="majorHAnsi" w:hAnsiTheme="majorHAnsi"/>
          <w:sz w:val="20"/>
          <w:szCs w:val="20"/>
          <w:lang w:val="es-ES"/>
        </w:rPr>
      </w:pPr>
    </w:p>
    <w:p w14:paraId="4B725E66" w14:textId="77777777" w:rsidR="009D7F32" w:rsidRPr="007B378B" w:rsidRDefault="009D7F32" w:rsidP="00207C3A">
      <w:pPr>
        <w:pStyle w:val="Heading1"/>
        <w:rPr>
          <w:b/>
        </w:rPr>
      </w:pPr>
      <w:bookmarkStart w:id="8" w:name="_Toc388448129"/>
      <w:bookmarkStart w:id="9" w:name="_Toc412647964"/>
      <w:bookmarkStart w:id="10" w:name="_Toc412648010"/>
      <w:bookmarkStart w:id="11" w:name="_Toc414177388"/>
      <w:bookmarkStart w:id="12" w:name="_Toc414177710"/>
      <w:bookmarkStart w:id="13" w:name="_Toc476579036"/>
      <w:bookmarkStart w:id="14" w:name="_Toc484623829"/>
      <w:r w:rsidRPr="007B378B">
        <w:rPr>
          <w:b/>
        </w:rPr>
        <w:t xml:space="preserve">II. </w:t>
      </w:r>
      <w:r w:rsidRPr="007B378B">
        <w:rPr>
          <w:b/>
        </w:rPr>
        <w:tab/>
        <w:t>TRÁMITE ANTE LA COMISIÓN POSTERIOR A LA APROBACIÓN DEL INFORME DE ADMISIBILIDAD</w:t>
      </w:r>
      <w:r w:rsidR="00DC7D40" w:rsidRPr="007B378B">
        <w:rPr>
          <w:b/>
        </w:rPr>
        <w:t xml:space="preserve"> No.</w:t>
      </w:r>
      <w:r w:rsidRPr="007B378B">
        <w:rPr>
          <w:b/>
        </w:rPr>
        <w:t xml:space="preserve"> </w:t>
      </w:r>
      <w:r w:rsidR="00F41020" w:rsidRPr="007B378B">
        <w:rPr>
          <w:b/>
        </w:rPr>
        <w:t>25</w:t>
      </w:r>
      <w:r w:rsidRPr="007B378B">
        <w:rPr>
          <w:b/>
        </w:rPr>
        <w:t>/0</w:t>
      </w:r>
      <w:bookmarkEnd w:id="8"/>
      <w:bookmarkEnd w:id="9"/>
      <w:bookmarkEnd w:id="10"/>
      <w:bookmarkEnd w:id="11"/>
      <w:bookmarkEnd w:id="12"/>
      <w:r w:rsidR="00F41020" w:rsidRPr="007B378B">
        <w:rPr>
          <w:b/>
        </w:rPr>
        <w:t>6</w:t>
      </w:r>
      <w:bookmarkEnd w:id="13"/>
      <w:bookmarkEnd w:id="14"/>
    </w:p>
    <w:p w14:paraId="7D9C4106" w14:textId="77777777" w:rsidR="009D7F32" w:rsidRPr="00640517" w:rsidRDefault="009D7F32" w:rsidP="005A7982">
      <w:pPr>
        <w:tabs>
          <w:tab w:val="left" w:pos="1530"/>
          <w:tab w:val="left" w:pos="1620"/>
        </w:tabs>
        <w:rPr>
          <w:rFonts w:asciiTheme="majorHAnsi" w:hAnsiTheme="majorHAnsi"/>
          <w:sz w:val="20"/>
          <w:szCs w:val="20"/>
          <w:lang w:val="es-ES"/>
        </w:rPr>
      </w:pPr>
    </w:p>
    <w:p w14:paraId="6E777871" w14:textId="77777777" w:rsidR="007017EF" w:rsidRPr="00640517" w:rsidRDefault="007017EF" w:rsidP="007017EF">
      <w:pPr>
        <w:numPr>
          <w:ilvl w:val="0"/>
          <w:numId w:val="1"/>
        </w:numPr>
        <w:tabs>
          <w:tab w:val="clear" w:pos="1440"/>
          <w:tab w:val="left" w:pos="1530"/>
          <w:tab w:val="left" w:pos="1620"/>
        </w:tabs>
        <w:ind w:left="0" w:firstLine="720"/>
        <w:jc w:val="both"/>
        <w:rPr>
          <w:rFonts w:asciiTheme="majorHAnsi" w:hAnsiTheme="majorHAnsi"/>
          <w:sz w:val="20"/>
          <w:szCs w:val="20"/>
          <w:lang w:val="es-ES"/>
        </w:rPr>
      </w:pPr>
      <w:r w:rsidRPr="00640517">
        <w:rPr>
          <w:rFonts w:asciiTheme="majorHAnsi" w:hAnsiTheme="majorHAnsi"/>
          <w:sz w:val="20"/>
          <w:szCs w:val="20"/>
          <w:lang w:val="es-ES"/>
        </w:rPr>
        <w:t xml:space="preserve">El trámite desde la presentación de la petición hasta la decisión sobre admisibilidad se encuentra explicado en detalle en el informe de admisibilidad </w:t>
      </w:r>
      <w:r w:rsidR="0024029E" w:rsidRPr="00640517">
        <w:rPr>
          <w:rFonts w:asciiTheme="majorHAnsi" w:hAnsiTheme="majorHAnsi"/>
          <w:sz w:val="20"/>
          <w:szCs w:val="20"/>
          <w:lang w:val="es-ES"/>
        </w:rPr>
        <w:t>25</w:t>
      </w:r>
      <w:r w:rsidRPr="00640517">
        <w:rPr>
          <w:rFonts w:asciiTheme="majorHAnsi" w:hAnsiTheme="majorHAnsi"/>
          <w:sz w:val="20"/>
          <w:szCs w:val="20"/>
          <w:lang w:val="es-ES"/>
        </w:rPr>
        <w:t>/</w:t>
      </w:r>
      <w:r w:rsidR="0024029E" w:rsidRPr="00640517">
        <w:rPr>
          <w:rFonts w:asciiTheme="majorHAnsi" w:hAnsiTheme="majorHAnsi"/>
          <w:sz w:val="20"/>
          <w:szCs w:val="20"/>
          <w:lang w:val="es-ES"/>
        </w:rPr>
        <w:t>06</w:t>
      </w:r>
      <w:r w:rsidRPr="00640517">
        <w:rPr>
          <w:rFonts w:asciiTheme="majorHAnsi" w:hAnsiTheme="majorHAnsi"/>
          <w:sz w:val="20"/>
          <w:szCs w:val="20"/>
          <w:vertAlign w:val="superscript"/>
          <w:lang w:val="es-ES"/>
        </w:rPr>
        <w:footnoteReference w:id="1"/>
      </w:r>
      <w:r w:rsidRPr="00640517">
        <w:rPr>
          <w:rFonts w:asciiTheme="majorHAnsi" w:hAnsiTheme="majorHAnsi"/>
          <w:sz w:val="20"/>
          <w:szCs w:val="20"/>
          <w:lang w:val="es-ES"/>
        </w:rPr>
        <w:t xml:space="preserve">. El </w:t>
      </w:r>
      <w:r w:rsidR="004E2700" w:rsidRPr="00640517">
        <w:rPr>
          <w:rFonts w:asciiTheme="majorHAnsi" w:hAnsiTheme="majorHAnsi"/>
          <w:sz w:val="20"/>
          <w:szCs w:val="20"/>
          <w:lang w:val="es-ES"/>
        </w:rPr>
        <w:t>22</w:t>
      </w:r>
      <w:r w:rsidRPr="00640517">
        <w:rPr>
          <w:rFonts w:asciiTheme="majorHAnsi" w:hAnsiTheme="majorHAnsi"/>
          <w:sz w:val="20"/>
          <w:szCs w:val="20"/>
          <w:lang w:val="es-ES"/>
        </w:rPr>
        <w:t xml:space="preserve"> de </w:t>
      </w:r>
      <w:r w:rsidR="004E2700" w:rsidRPr="00640517">
        <w:rPr>
          <w:rFonts w:asciiTheme="majorHAnsi" w:hAnsiTheme="majorHAnsi"/>
          <w:sz w:val="20"/>
          <w:szCs w:val="20"/>
          <w:lang w:val="es-ES"/>
        </w:rPr>
        <w:t>marzo</w:t>
      </w:r>
      <w:r w:rsidRPr="00640517">
        <w:rPr>
          <w:rFonts w:asciiTheme="majorHAnsi" w:hAnsiTheme="majorHAnsi"/>
          <w:sz w:val="20"/>
          <w:szCs w:val="20"/>
          <w:lang w:val="es-ES"/>
        </w:rPr>
        <w:t xml:space="preserve"> de 20</w:t>
      </w:r>
      <w:r w:rsidR="004E2700" w:rsidRPr="00640517">
        <w:rPr>
          <w:rFonts w:asciiTheme="majorHAnsi" w:hAnsiTheme="majorHAnsi"/>
          <w:sz w:val="20"/>
          <w:szCs w:val="20"/>
          <w:lang w:val="es-ES"/>
        </w:rPr>
        <w:t>06</w:t>
      </w:r>
      <w:r w:rsidRPr="00640517">
        <w:rPr>
          <w:rFonts w:asciiTheme="majorHAnsi" w:hAnsiTheme="majorHAnsi"/>
          <w:sz w:val="20"/>
          <w:szCs w:val="20"/>
          <w:lang w:val="es-ES"/>
        </w:rPr>
        <w:t xml:space="preserve"> la Comisión notificó a las partes el referido informe y en virtud del artículo 3</w:t>
      </w:r>
      <w:r w:rsidR="004E2700" w:rsidRPr="00640517">
        <w:rPr>
          <w:rFonts w:asciiTheme="majorHAnsi" w:hAnsiTheme="majorHAnsi"/>
          <w:sz w:val="20"/>
          <w:szCs w:val="20"/>
          <w:lang w:val="es-ES"/>
        </w:rPr>
        <w:t>8</w:t>
      </w:r>
      <w:r w:rsidRPr="00640517">
        <w:rPr>
          <w:rFonts w:asciiTheme="majorHAnsi" w:hAnsiTheme="majorHAnsi"/>
          <w:sz w:val="20"/>
          <w:szCs w:val="20"/>
          <w:lang w:val="es-ES"/>
        </w:rPr>
        <w:t>.</w:t>
      </w:r>
      <w:r w:rsidR="004E2700" w:rsidRPr="00640517">
        <w:rPr>
          <w:rFonts w:asciiTheme="majorHAnsi" w:hAnsiTheme="majorHAnsi"/>
          <w:sz w:val="20"/>
          <w:szCs w:val="20"/>
          <w:lang w:val="es-ES"/>
        </w:rPr>
        <w:t>2</w:t>
      </w:r>
      <w:r w:rsidRPr="00640517">
        <w:rPr>
          <w:rFonts w:asciiTheme="majorHAnsi" w:hAnsiTheme="majorHAnsi"/>
          <w:sz w:val="20"/>
          <w:szCs w:val="20"/>
          <w:lang w:val="es-ES"/>
        </w:rPr>
        <w:t xml:space="preserve"> del Reglamento entonces vigente, fijó un plazo de </w:t>
      </w:r>
      <w:r w:rsidR="004E2700" w:rsidRPr="00640517">
        <w:rPr>
          <w:rFonts w:asciiTheme="majorHAnsi" w:hAnsiTheme="majorHAnsi"/>
          <w:sz w:val="20"/>
          <w:szCs w:val="20"/>
          <w:lang w:val="es-ES"/>
        </w:rPr>
        <w:t>dos</w:t>
      </w:r>
      <w:r w:rsidRPr="00640517">
        <w:rPr>
          <w:rFonts w:asciiTheme="majorHAnsi" w:hAnsiTheme="majorHAnsi"/>
          <w:sz w:val="20"/>
          <w:szCs w:val="20"/>
          <w:lang w:val="es-ES"/>
        </w:rPr>
        <w:t xml:space="preserve"> meses para que los peticionarios presentaran sus observaciones adicionales sobre el fondo. Asimismo, la CIDH se puso a disposición de las partes para llegar a una solución amistosa. </w:t>
      </w:r>
    </w:p>
    <w:p w14:paraId="78546B3A" w14:textId="77777777" w:rsidR="007017EF" w:rsidRPr="00640517" w:rsidRDefault="007017EF" w:rsidP="007017EF">
      <w:pPr>
        <w:tabs>
          <w:tab w:val="left" w:pos="1530"/>
          <w:tab w:val="left" w:pos="1620"/>
        </w:tabs>
        <w:ind w:left="720"/>
        <w:jc w:val="both"/>
        <w:rPr>
          <w:rFonts w:asciiTheme="majorHAnsi" w:hAnsiTheme="majorHAnsi"/>
          <w:sz w:val="20"/>
          <w:szCs w:val="20"/>
          <w:lang w:val="es-ES"/>
        </w:rPr>
      </w:pPr>
    </w:p>
    <w:p w14:paraId="59A28ABA" w14:textId="61B5B44C" w:rsidR="007017EF" w:rsidRPr="00640517" w:rsidRDefault="007017EF" w:rsidP="00F14002">
      <w:pPr>
        <w:numPr>
          <w:ilvl w:val="0"/>
          <w:numId w:val="1"/>
        </w:numPr>
        <w:tabs>
          <w:tab w:val="clear" w:pos="1440"/>
          <w:tab w:val="left" w:pos="1530"/>
          <w:tab w:val="left" w:pos="1620"/>
        </w:tabs>
        <w:ind w:left="0" w:firstLine="720"/>
        <w:jc w:val="both"/>
        <w:rPr>
          <w:rFonts w:asciiTheme="majorHAnsi" w:hAnsiTheme="majorHAnsi"/>
          <w:sz w:val="20"/>
          <w:szCs w:val="20"/>
          <w:lang w:val="es-ES"/>
        </w:rPr>
      </w:pPr>
      <w:r w:rsidRPr="00640517">
        <w:rPr>
          <w:rFonts w:asciiTheme="majorHAnsi" w:hAnsiTheme="majorHAnsi"/>
          <w:sz w:val="20"/>
          <w:szCs w:val="20"/>
          <w:lang w:val="es-ES"/>
        </w:rPr>
        <w:t xml:space="preserve">El </w:t>
      </w:r>
      <w:r w:rsidR="00CB1EBA" w:rsidRPr="00640517">
        <w:rPr>
          <w:rFonts w:asciiTheme="majorHAnsi" w:hAnsiTheme="majorHAnsi"/>
          <w:sz w:val="20"/>
          <w:szCs w:val="20"/>
          <w:lang w:val="es-ES"/>
        </w:rPr>
        <w:t xml:space="preserve">23 </w:t>
      </w:r>
      <w:r w:rsidR="002305B6" w:rsidRPr="00640517">
        <w:rPr>
          <w:rFonts w:asciiTheme="majorHAnsi" w:hAnsiTheme="majorHAnsi"/>
          <w:sz w:val="20"/>
          <w:szCs w:val="20"/>
          <w:lang w:val="es-ES"/>
        </w:rPr>
        <w:t>de mayo de 2006 los peticionarios manifestaron su disposición de resolver el caso por la vía amistosa</w:t>
      </w:r>
      <w:r w:rsidR="00A6043D" w:rsidRPr="00640517">
        <w:rPr>
          <w:rFonts w:asciiTheme="majorHAnsi" w:hAnsiTheme="majorHAnsi"/>
          <w:sz w:val="20"/>
          <w:szCs w:val="20"/>
          <w:lang w:val="es-ES"/>
        </w:rPr>
        <w:t xml:space="preserve"> y el 21 de agosto de 2006 presentaron su propuesta de acuerdo</w:t>
      </w:r>
      <w:r w:rsidR="002305B6" w:rsidRPr="00640517">
        <w:rPr>
          <w:rFonts w:asciiTheme="majorHAnsi" w:hAnsiTheme="majorHAnsi"/>
          <w:sz w:val="20"/>
          <w:szCs w:val="20"/>
          <w:lang w:val="es-ES"/>
        </w:rPr>
        <w:t xml:space="preserve">. </w:t>
      </w:r>
      <w:r w:rsidRPr="00640517">
        <w:rPr>
          <w:rFonts w:asciiTheme="majorHAnsi" w:hAnsiTheme="majorHAnsi"/>
          <w:sz w:val="20"/>
          <w:szCs w:val="20"/>
          <w:lang w:val="es-ES"/>
        </w:rPr>
        <w:t xml:space="preserve">El Estado presentó sus observaciones </w:t>
      </w:r>
      <w:r w:rsidR="002305B6" w:rsidRPr="00640517">
        <w:rPr>
          <w:rFonts w:asciiTheme="majorHAnsi" w:hAnsiTheme="majorHAnsi"/>
          <w:sz w:val="20"/>
          <w:szCs w:val="20"/>
          <w:lang w:val="es-ES"/>
        </w:rPr>
        <w:t xml:space="preserve">sobre el fondo </w:t>
      </w:r>
      <w:r w:rsidRPr="00640517">
        <w:rPr>
          <w:rFonts w:asciiTheme="majorHAnsi" w:hAnsiTheme="majorHAnsi"/>
          <w:sz w:val="20"/>
          <w:szCs w:val="20"/>
          <w:lang w:val="es-ES"/>
        </w:rPr>
        <w:t xml:space="preserve">el </w:t>
      </w:r>
      <w:r w:rsidR="002305B6" w:rsidRPr="00640517">
        <w:rPr>
          <w:rFonts w:asciiTheme="majorHAnsi" w:hAnsiTheme="majorHAnsi"/>
          <w:sz w:val="20"/>
          <w:szCs w:val="20"/>
          <w:lang w:val="es-ES"/>
        </w:rPr>
        <w:t>2</w:t>
      </w:r>
      <w:r w:rsidR="00A6043D" w:rsidRPr="00640517">
        <w:rPr>
          <w:rFonts w:asciiTheme="majorHAnsi" w:hAnsiTheme="majorHAnsi"/>
          <w:sz w:val="20"/>
          <w:szCs w:val="20"/>
          <w:lang w:val="es-ES"/>
        </w:rPr>
        <w:t>3</w:t>
      </w:r>
      <w:r w:rsidR="002305B6" w:rsidRPr="00640517">
        <w:rPr>
          <w:rFonts w:asciiTheme="majorHAnsi" w:hAnsiTheme="majorHAnsi"/>
          <w:sz w:val="20"/>
          <w:szCs w:val="20"/>
          <w:lang w:val="es-ES"/>
        </w:rPr>
        <w:t xml:space="preserve"> de mayo</w:t>
      </w:r>
      <w:r w:rsidRPr="00640517">
        <w:rPr>
          <w:rFonts w:asciiTheme="majorHAnsi" w:hAnsiTheme="majorHAnsi"/>
          <w:sz w:val="20"/>
          <w:szCs w:val="20"/>
          <w:lang w:val="es-ES"/>
        </w:rPr>
        <w:t xml:space="preserve"> de 20</w:t>
      </w:r>
      <w:r w:rsidR="002305B6" w:rsidRPr="00640517">
        <w:rPr>
          <w:rFonts w:asciiTheme="majorHAnsi" w:hAnsiTheme="majorHAnsi"/>
          <w:sz w:val="20"/>
          <w:szCs w:val="20"/>
          <w:lang w:val="es-ES"/>
        </w:rPr>
        <w:t>06</w:t>
      </w:r>
      <w:r w:rsidR="00A6043D" w:rsidRPr="00640517">
        <w:rPr>
          <w:rFonts w:asciiTheme="majorHAnsi" w:hAnsiTheme="majorHAnsi"/>
          <w:sz w:val="20"/>
          <w:szCs w:val="20"/>
          <w:lang w:val="es-ES"/>
        </w:rPr>
        <w:t xml:space="preserve"> y el 2 de noviembre de 2007 manifestó su intención de dar seguimiento al proceso de solución amistosa.</w:t>
      </w:r>
      <w:r w:rsidRPr="00640517">
        <w:rPr>
          <w:rFonts w:asciiTheme="majorHAnsi" w:hAnsiTheme="majorHAnsi"/>
          <w:sz w:val="20"/>
          <w:szCs w:val="20"/>
          <w:lang w:val="es-ES"/>
        </w:rPr>
        <w:t xml:space="preserve"> </w:t>
      </w:r>
      <w:r w:rsidR="00C22BB1" w:rsidRPr="00640517">
        <w:rPr>
          <w:rFonts w:asciiTheme="majorHAnsi" w:hAnsiTheme="majorHAnsi"/>
          <w:sz w:val="20"/>
          <w:szCs w:val="20"/>
          <w:lang w:val="es-ES"/>
        </w:rPr>
        <w:t>Tras una serie de reuniones de trabajo, mediante escrito de</w:t>
      </w:r>
      <w:r w:rsidR="00D52B86" w:rsidRPr="00640517">
        <w:rPr>
          <w:rFonts w:asciiTheme="majorHAnsi" w:hAnsiTheme="majorHAnsi"/>
          <w:sz w:val="20"/>
          <w:szCs w:val="20"/>
          <w:lang w:val="es-ES"/>
        </w:rPr>
        <w:t xml:space="preserve"> </w:t>
      </w:r>
      <w:r w:rsidR="00C22BB1" w:rsidRPr="00640517">
        <w:rPr>
          <w:rFonts w:asciiTheme="majorHAnsi" w:hAnsiTheme="majorHAnsi"/>
          <w:sz w:val="20"/>
          <w:szCs w:val="20"/>
          <w:lang w:val="es-ES"/>
        </w:rPr>
        <w:t>l</w:t>
      </w:r>
      <w:r w:rsidR="00D52B86" w:rsidRPr="00640517">
        <w:rPr>
          <w:rFonts w:asciiTheme="majorHAnsi" w:hAnsiTheme="majorHAnsi"/>
          <w:sz w:val="20"/>
          <w:szCs w:val="20"/>
          <w:lang w:val="es-ES"/>
        </w:rPr>
        <w:t>os</w:t>
      </w:r>
      <w:r w:rsidR="00C22BB1" w:rsidRPr="00640517">
        <w:rPr>
          <w:rFonts w:asciiTheme="majorHAnsi" w:hAnsiTheme="majorHAnsi"/>
          <w:sz w:val="20"/>
          <w:szCs w:val="20"/>
          <w:lang w:val="es-ES"/>
        </w:rPr>
        <w:t xml:space="preserve"> </w:t>
      </w:r>
      <w:r w:rsidR="00D15DBD" w:rsidRPr="00640517">
        <w:rPr>
          <w:rFonts w:asciiTheme="majorHAnsi" w:hAnsiTheme="majorHAnsi"/>
          <w:sz w:val="20"/>
          <w:szCs w:val="20"/>
          <w:lang w:val="es-ES"/>
        </w:rPr>
        <w:t>p</w:t>
      </w:r>
      <w:r w:rsidR="00C22BB1" w:rsidRPr="00640517">
        <w:rPr>
          <w:rFonts w:asciiTheme="majorHAnsi" w:hAnsiTheme="majorHAnsi"/>
          <w:sz w:val="20"/>
          <w:szCs w:val="20"/>
          <w:lang w:val="es-ES"/>
        </w:rPr>
        <w:t>eticionario</w:t>
      </w:r>
      <w:r w:rsidR="00D52B86" w:rsidRPr="00640517">
        <w:rPr>
          <w:rFonts w:asciiTheme="majorHAnsi" w:hAnsiTheme="majorHAnsi"/>
          <w:sz w:val="20"/>
          <w:szCs w:val="20"/>
          <w:lang w:val="es-ES"/>
        </w:rPr>
        <w:t>s</w:t>
      </w:r>
      <w:r w:rsidR="00C22BB1" w:rsidRPr="00640517">
        <w:rPr>
          <w:rFonts w:asciiTheme="majorHAnsi" w:hAnsiTheme="majorHAnsi"/>
          <w:sz w:val="20"/>
          <w:szCs w:val="20"/>
          <w:lang w:val="es-ES"/>
        </w:rPr>
        <w:t xml:space="preserve"> de</w:t>
      </w:r>
      <w:r w:rsidR="00D15DBD" w:rsidRPr="00640517">
        <w:rPr>
          <w:rFonts w:asciiTheme="majorHAnsi" w:hAnsiTheme="majorHAnsi"/>
          <w:sz w:val="20"/>
          <w:szCs w:val="20"/>
          <w:lang w:val="es-ES"/>
        </w:rPr>
        <w:t xml:space="preserve"> </w:t>
      </w:r>
      <w:r w:rsidR="00561F78" w:rsidRPr="00640517">
        <w:rPr>
          <w:rFonts w:asciiTheme="majorHAnsi" w:hAnsiTheme="majorHAnsi"/>
          <w:sz w:val="20"/>
          <w:szCs w:val="20"/>
          <w:lang w:val="es-ES"/>
        </w:rPr>
        <w:t xml:space="preserve"> </w:t>
      </w:r>
      <w:r w:rsidR="00D15DBD" w:rsidRPr="00640517">
        <w:rPr>
          <w:rFonts w:asciiTheme="majorHAnsi" w:hAnsiTheme="majorHAnsi"/>
          <w:sz w:val="20"/>
          <w:szCs w:val="20"/>
          <w:lang w:val="es-ES"/>
        </w:rPr>
        <w:t xml:space="preserve">22 de marzo de 2010 </w:t>
      </w:r>
      <w:r w:rsidR="00C22BB1" w:rsidRPr="00640517">
        <w:rPr>
          <w:rFonts w:asciiTheme="majorHAnsi" w:hAnsiTheme="majorHAnsi"/>
          <w:sz w:val="20"/>
          <w:szCs w:val="20"/>
          <w:lang w:val="es-ES"/>
        </w:rPr>
        <w:t xml:space="preserve">se </w:t>
      </w:r>
      <w:r w:rsidR="00AD68B1" w:rsidRPr="00640517">
        <w:rPr>
          <w:rFonts w:asciiTheme="majorHAnsi" w:hAnsiTheme="majorHAnsi"/>
          <w:sz w:val="20"/>
          <w:szCs w:val="20"/>
          <w:lang w:val="es-ES"/>
        </w:rPr>
        <w:t xml:space="preserve">solicitó </w:t>
      </w:r>
      <w:r w:rsidR="00C22BB1" w:rsidRPr="00640517">
        <w:rPr>
          <w:rFonts w:asciiTheme="majorHAnsi" w:hAnsiTheme="majorHAnsi"/>
          <w:sz w:val="20"/>
          <w:szCs w:val="20"/>
          <w:lang w:val="es-ES"/>
        </w:rPr>
        <w:t xml:space="preserve">a la Comisión </w:t>
      </w:r>
      <w:r w:rsidR="00EF1052" w:rsidRPr="00640517">
        <w:rPr>
          <w:rFonts w:asciiTheme="majorHAnsi" w:hAnsiTheme="majorHAnsi"/>
          <w:sz w:val="20"/>
          <w:szCs w:val="20"/>
          <w:lang w:val="es-ES"/>
        </w:rPr>
        <w:t>que se diera por finalizad</w:t>
      </w:r>
      <w:r w:rsidR="00AD68B1" w:rsidRPr="00640517">
        <w:rPr>
          <w:rFonts w:asciiTheme="majorHAnsi" w:hAnsiTheme="majorHAnsi"/>
          <w:sz w:val="20"/>
          <w:szCs w:val="20"/>
          <w:lang w:val="es-ES"/>
        </w:rPr>
        <w:t>a la etapa de solución amistosa y se continuara con el trámite del caso.</w:t>
      </w:r>
      <w:r w:rsidR="00F14002" w:rsidRPr="00640517">
        <w:rPr>
          <w:rFonts w:asciiTheme="majorHAnsi" w:hAnsiTheme="majorHAnsi"/>
          <w:sz w:val="20"/>
          <w:szCs w:val="20"/>
          <w:lang w:val="es-ES"/>
        </w:rPr>
        <w:t xml:space="preserve"> </w:t>
      </w:r>
      <w:r w:rsidRPr="00640517">
        <w:rPr>
          <w:rFonts w:asciiTheme="majorHAnsi" w:hAnsiTheme="majorHAnsi"/>
          <w:sz w:val="20"/>
          <w:szCs w:val="20"/>
          <w:lang w:val="es-ES"/>
        </w:rPr>
        <w:t xml:space="preserve">La CIDH recibió comunicaciones adicionales de los peticionarios el </w:t>
      </w:r>
      <w:r w:rsidR="00C038BF" w:rsidRPr="00640517">
        <w:rPr>
          <w:rFonts w:asciiTheme="majorHAnsi" w:hAnsiTheme="majorHAnsi"/>
          <w:sz w:val="20"/>
          <w:szCs w:val="20"/>
          <w:lang w:val="es-ES"/>
        </w:rPr>
        <w:t>14</w:t>
      </w:r>
      <w:r w:rsidR="00EF1052" w:rsidRPr="00640517">
        <w:rPr>
          <w:rFonts w:asciiTheme="majorHAnsi" w:hAnsiTheme="majorHAnsi"/>
          <w:sz w:val="20"/>
          <w:szCs w:val="20"/>
          <w:lang w:val="es-ES"/>
        </w:rPr>
        <w:t xml:space="preserve"> de </w:t>
      </w:r>
      <w:r w:rsidR="00C038BF" w:rsidRPr="00640517">
        <w:rPr>
          <w:rFonts w:asciiTheme="majorHAnsi" w:hAnsiTheme="majorHAnsi"/>
          <w:sz w:val="20"/>
          <w:szCs w:val="20"/>
          <w:lang w:val="es-ES"/>
        </w:rPr>
        <w:t>julio</w:t>
      </w:r>
      <w:r w:rsidRPr="00640517">
        <w:rPr>
          <w:rFonts w:asciiTheme="majorHAnsi" w:hAnsiTheme="majorHAnsi"/>
          <w:sz w:val="20"/>
          <w:szCs w:val="20"/>
          <w:lang w:val="es-ES"/>
        </w:rPr>
        <w:t xml:space="preserve">, </w:t>
      </w:r>
      <w:r w:rsidR="00C038BF" w:rsidRPr="00640517">
        <w:rPr>
          <w:rFonts w:asciiTheme="majorHAnsi" w:hAnsiTheme="majorHAnsi"/>
          <w:sz w:val="20"/>
          <w:szCs w:val="20"/>
          <w:lang w:val="es-ES"/>
        </w:rPr>
        <w:t>26 de agosto</w:t>
      </w:r>
      <w:r w:rsidR="003C7177">
        <w:rPr>
          <w:rFonts w:asciiTheme="majorHAnsi" w:hAnsiTheme="majorHAnsi"/>
          <w:sz w:val="20"/>
          <w:szCs w:val="20"/>
          <w:lang w:val="es-ES"/>
        </w:rPr>
        <w:t xml:space="preserve">; </w:t>
      </w:r>
      <w:r w:rsidR="00C038BF" w:rsidRPr="00640517">
        <w:rPr>
          <w:rFonts w:asciiTheme="majorHAnsi" w:hAnsiTheme="majorHAnsi"/>
          <w:sz w:val="20"/>
          <w:szCs w:val="20"/>
          <w:lang w:val="es-ES"/>
        </w:rPr>
        <w:t>24 de octubre de 2008</w:t>
      </w:r>
      <w:r w:rsidRPr="00640517">
        <w:rPr>
          <w:rFonts w:asciiTheme="majorHAnsi" w:hAnsiTheme="majorHAnsi"/>
          <w:sz w:val="20"/>
          <w:szCs w:val="20"/>
          <w:lang w:val="es-ES"/>
        </w:rPr>
        <w:t xml:space="preserve">; </w:t>
      </w:r>
      <w:r w:rsidR="00C038BF" w:rsidRPr="00640517">
        <w:rPr>
          <w:rFonts w:asciiTheme="majorHAnsi" w:hAnsiTheme="majorHAnsi"/>
          <w:sz w:val="20"/>
          <w:szCs w:val="20"/>
          <w:lang w:val="es-ES"/>
        </w:rPr>
        <w:t>26</w:t>
      </w:r>
      <w:r w:rsidRPr="00640517">
        <w:rPr>
          <w:rFonts w:asciiTheme="majorHAnsi" w:hAnsiTheme="majorHAnsi"/>
          <w:sz w:val="20"/>
          <w:szCs w:val="20"/>
          <w:lang w:val="es-ES"/>
        </w:rPr>
        <w:t xml:space="preserve"> de </w:t>
      </w:r>
      <w:r w:rsidR="00C038BF" w:rsidRPr="00640517">
        <w:rPr>
          <w:rFonts w:asciiTheme="majorHAnsi" w:hAnsiTheme="majorHAnsi"/>
          <w:sz w:val="20"/>
          <w:szCs w:val="20"/>
          <w:lang w:val="es-ES"/>
        </w:rPr>
        <w:t>febrero de 2009;</w:t>
      </w:r>
      <w:r w:rsidRPr="00640517">
        <w:rPr>
          <w:rFonts w:asciiTheme="majorHAnsi" w:hAnsiTheme="majorHAnsi"/>
          <w:sz w:val="20"/>
          <w:szCs w:val="20"/>
          <w:lang w:val="es-ES"/>
        </w:rPr>
        <w:t xml:space="preserve"> </w:t>
      </w:r>
      <w:r w:rsidR="0007573B" w:rsidRPr="00640517">
        <w:rPr>
          <w:rFonts w:asciiTheme="majorHAnsi" w:hAnsiTheme="majorHAnsi"/>
          <w:sz w:val="20"/>
          <w:szCs w:val="20"/>
          <w:lang w:val="es-ES"/>
        </w:rPr>
        <w:t xml:space="preserve">22 de marzo </w:t>
      </w:r>
      <w:r w:rsidRPr="00640517">
        <w:rPr>
          <w:rFonts w:asciiTheme="majorHAnsi" w:hAnsiTheme="majorHAnsi"/>
          <w:sz w:val="20"/>
          <w:szCs w:val="20"/>
          <w:lang w:val="es-ES"/>
        </w:rPr>
        <w:t>de 201</w:t>
      </w:r>
      <w:r w:rsidR="0007573B" w:rsidRPr="00640517">
        <w:rPr>
          <w:rFonts w:asciiTheme="majorHAnsi" w:hAnsiTheme="majorHAnsi"/>
          <w:sz w:val="20"/>
          <w:szCs w:val="20"/>
          <w:lang w:val="es-ES"/>
        </w:rPr>
        <w:t>0</w:t>
      </w:r>
      <w:r w:rsidRPr="00640517">
        <w:rPr>
          <w:rFonts w:asciiTheme="majorHAnsi" w:hAnsiTheme="majorHAnsi"/>
          <w:sz w:val="20"/>
          <w:szCs w:val="20"/>
          <w:lang w:val="es-ES"/>
        </w:rPr>
        <w:t>;</w:t>
      </w:r>
      <w:r w:rsidR="00E43983" w:rsidRPr="00640517">
        <w:rPr>
          <w:rFonts w:asciiTheme="majorHAnsi" w:hAnsiTheme="majorHAnsi"/>
          <w:sz w:val="20"/>
          <w:szCs w:val="20"/>
          <w:lang w:val="es-ES"/>
        </w:rPr>
        <w:t xml:space="preserve"> 14 de marzo de 2012; </w:t>
      </w:r>
      <w:r w:rsidR="00F25E5F" w:rsidRPr="00640517">
        <w:rPr>
          <w:rFonts w:asciiTheme="majorHAnsi" w:hAnsiTheme="majorHAnsi"/>
          <w:sz w:val="20"/>
          <w:szCs w:val="20"/>
          <w:lang w:val="es-ES"/>
        </w:rPr>
        <w:t>22</w:t>
      </w:r>
      <w:r w:rsidRPr="00640517">
        <w:rPr>
          <w:rFonts w:asciiTheme="majorHAnsi" w:hAnsiTheme="majorHAnsi"/>
          <w:sz w:val="20"/>
          <w:szCs w:val="20"/>
          <w:lang w:val="es-ES"/>
        </w:rPr>
        <w:t xml:space="preserve"> de </w:t>
      </w:r>
      <w:r w:rsidR="0007573B" w:rsidRPr="00640517">
        <w:rPr>
          <w:rFonts w:asciiTheme="majorHAnsi" w:hAnsiTheme="majorHAnsi"/>
          <w:sz w:val="20"/>
          <w:szCs w:val="20"/>
          <w:lang w:val="es-ES"/>
        </w:rPr>
        <w:t>mayo</w:t>
      </w:r>
      <w:r w:rsidRPr="00640517">
        <w:rPr>
          <w:rFonts w:asciiTheme="majorHAnsi" w:hAnsiTheme="majorHAnsi"/>
          <w:sz w:val="20"/>
          <w:szCs w:val="20"/>
          <w:lang w:val="es-ES"/>
        </w:rPr>
        <w:t xml:space="preserve"> de 201</w:t>
      </w:r>
      <w:r w:rsidR="0007573B" w:rsidRPr="00640517">
        <w:rPr>
          <w:rFonts w:asciiTheme="majorHAnsi" w:hAnsiTheme="majorHAnsi"/>
          <w:sz w:val="20"/>
          <w:szCs w:val="20"/>
          <w:lang w:val="es-ES"/>
        </w:rPr>
        <w:t>2</w:t>
      </w:r>
      <w:r w:rsidR="00F25E5F" w:rsidRPr="003C7177">
        <w:rPr>
          <w:rFonts w:asciiTheme="majorHAnsi" w:hAnsiTheme="majorHAnsi"/>
          <w:sz w:val="20"/>
          <w:szCs w:val="20"/>
          <w:lang w:val="es-ES"/>
        </w:rPr>
        <w:t>;</w:t>
      </w:r>
      <w:r w:rsidR="003C7177" w:rsidRPr="003C7177">
        <w:rPr>
          <w:rFonts w:asciiTheme="majorHAnsi" w:hAnsiTheme="majorHAnsi"/>
          <w:sz w:val="20"/>
          <w:szCs w:val="20"/>
          <w:lang w:val="es-ES"/>
        </w:rPr>
        <w:t xml:space="preserve"> y</w:t>
      </w:r>
      <w:r w:rsidR="00F25E5F" w:rsidRPr="00640517">
        <w:rPr>
          <w:rFonts w:asciiTheme="majorHAnsi" w:hAnsiTheme="majorHAnsi"/>
          <w:sz w:val="20"/>
          <w:szCs w:val="20"/>
          <w:lang w:val="es-ES"/>
        </w:rPr>
        <w:t xml:space="preserve"> 6 de noviembre 2013</w:t>
      </w:r>
      <w:r w:rsidRPr="00640517">
        <w:rPr>
          <w:rFonts w:asciiTheme="majorHAnsi" w:hAnsiTheme="majorHAnsi"/>
          <w:sz w:val="20"/>
          <w:szCs w:val="20"/>
          <w:lang w:val="es-ES"/>
        </w:rPr>
        <w:t xml:space="preserve">. La CIDH recibió comunicaciones adicionales del Estado el </w:t>
      </w:r>
      <w:r w:rsidR="007E6C5D" w:rsidRPr="00640517">
        <w:rPr>
          <w:rFonts w:asciiTheme="majorHAnsi" w:hAnsiTheme="majorHAnsi"/>
          <w:sz w:val="20"/>
          <w:szCs w:val="20"/>
          <w:lang w:val="es-ES"/>
        </w:rPr>
        <w:t>28 de agosto de 2008</w:t>
      </w:r>
      <w:r w:rsidRPr="00640517">
        <w:rPr>
          <w:rFonts w:asciiTheme="majorHAnsi" w:hAnsiTheme="majorHAnsi"/>
          <w:sz w:val="20"/>
          <w:szCs w:val="20"/>
          <w:lang w:val="es-ES"/>
        </w:rPr>
        <w:t>,</w:t>
      </w:r>
      <w:r w:rsidR="0039146A" w:rsidRPr="00640517">
        <w:rPr>
          <w:rFonts w:asciiTheme="majorHAnsi" w:hAnsiTheme="majorHAnsi"/>
          <w:sz w:val="20"/>
          <w:szCs w:val="20"/>
          <w:lang w:val="es-ES"/>
        </w:rPr>
        <w:t xml:space="preserve"> </w:t>
      </w:r>
      <w:r w:rsidR="007E6C5D" w:rsidRPr="00640517">
        <w:rPr>
          <w:rFonts w:asciiTheme="majorHAnsi" w:hAnsiTheme="majorHAnsi"/>
          <w:sz w:val="20"/>
          <w:szCs w:val="20"/>
          <w:lang w:val="es-ES"/>
        </w:rPr>
        <w:t>14</w:t>
      </w:r>
      <w:r w:rsidRPr="00640517">
        <w:rPr>
          <w:rFonts w:asciiTheme="majorHAnsi" w:hAnsiTheme="majorHAnsi"/>
          <w:sz w:val="20"/>
          <w:szCs w:val="20"/>
          <w:lang w:val="es-ES"/>
        </w:rPr>
        <w:t xml:space="preserve"> </w:t>
      </w:r>
      <w:r w:rsidR="007E6C5D" w:rsidRPr="00640517">
        <w:rPr>
          <w:rFonts w:asciiTheme="majorHAnsi" w:hAnsiTheme="majorHAnsi"/>
          <w:sz w:val="20"/>
          <w:szCs w:val="20"/>
          <w:lang w:val="es-ES"/>
        </w:rPr>
        <w:t>de febrero y 19 de julio de 2012</w:t>
      </w:r>
      <w:r w:rsidRPr="00640517">
        <w:rPr>
          <w:rFonts w:asciiTheme="majorHAnsi" w:hAnsiTheme="majorHAnsi"/>
          <w:sz w:val="20"/>
          <w:szCs w:val="20"/>
          <w:lang w:val="es-ES"/>
        </w:rPr>
        <w:t>. Dichas comunicaciones fue</w:t>
      </w:r>
      <w:r w:rsidR="002B58CF" w:rsidRPr="00640517">
        <w:rPr>
          <w:rFonts w:asciiTheme="majorHAnsi" w:hAnsiTheme="majorHAnsi"/>
          <w:sz w:val="20"/>
          <w:szCs w:val="20"/>
          <w:lang w:val="es-ES"/>
        </w:rPr>
        <w:t xml:space="preserve">ron debidamente trasladadas </w:t>
      </w:r>
      <w:r w:rsidR="00DC19B7" w:rsidRPr="00640517">
        <w:rPr>
          <w:rFonts w:asciiTheme="majorHAnsi" w:hAnsiTheme="majorHAnsi"/>
          <w:sz w:val="20"/>
          <w:szCs w:val="20"/>
          <w:lang w:val="es-ES"/>
        </w:rPr>
        <w:t>entre</w:t>
      </w:r>
      <w:r w:rsidR="002B58CF" w:rsidRPr="00640517">
        <w:rPr>
          <w:rFonts w:asciiTheme="majorHAnsi" w:hAnsiTheme="majorHAnsi"/>
          <w:sz w:val="20"/>
          <w:szCs w:val="20"/>
          <w:lang w:val="es-ES"/>
        </w:rPr>
        <w:t xml:space="preserve"> la</w:t>
      </w:r>
      <w:r w:rsidRPr="00640517">
        <w:rPr>
          <w:rFonts w:asciiTheme="majorHAnsi" w:hAnsiTheme="majorHAnsi"/>
          <w:sz w:val="20"/>
          <w:szCs w:val="20"/>
          <w:lang w:val="es-ES"/>
        </w:rPr>
        <w:t xml:space="preserve">s partes. </w:t>
      </w:r>
    </w:p>
    <w:p w14:paraId="4BB0E8BF" w14:textId="77777777" w:rsidR="00120BBD" w:rsidRPr="00640517" w:rsidRDefault="00120BBD" w:rsidP="005A7982">
      <w:pPr>
        <w:tabs>
          <w:tab w:val="left" w:pos="1530"/>
          <w:tab w:val="left" w:pos="1620"/>
        </w:tabs>
        <w:ind w:left="720"/>
        <w:jc w:val="both"/>
        <w:rPr>
          <w:rFonts w:asciiTheme="majorHAnsi" w:hAnsiTheme="majorHAnsi"/>
          <w:sz w:val="20"/>
          <w:szCs w:val="20"/>
          <w:lang w:val="es-ES"/>
        </w:rPr>
      </w:pPr>
    </w:p>
    <w:p w14:paraId="5CDDC5CC" w14:textId="77777777" w:rsidR="0045657E" w:rsidRDefault="0045657E">
      <w:pPr>
        <w:rPr>
          <w:rFonts w:asciiTheme="majorHAnsi" w:hAnsiTheme="majorHAnsi"/>
          <w:b/>
          <w:sz w:val="20"/>
          <w:szCs w:val="20"/>
          <w:lang w:val="es-MX"/>
        </w:rPr>
      </w:pPr>
      <w:bookmarkStart w:id="15" w:name="_Toc412647965"/>
      <w:bookmarkStart w:id="16" w:name="_Toc412648011"/>
      <w:bookmarkStart w:id="17" w:name="_Toc414177389"/>
      <w:bookmarkStart w:id="18" w:name="_Toc414177711"/>
      <w:bookmarkStart w:id="19" w:name="_Toc476579037"/>
      <w:bookmarkStart w:id="20" w:name="_Toc388448130"/>
      <w:r>
        <w:rPr>
          <w:rFonts w:asciiTheme="majorHAnsi" w:hAnsiTheme="majorHAnsi"/>
          <w:sz w:val="20"/>
          <w:szCs w:val="20"/>
        </w:rPr>
        <w:br w:type="page"/>
      </w:r>
    </w:p>
    <w:p w14:paraId="42F9F7DA" w14:textId="77777777" w:rsidR="00120BBD" w:rsidRPr="007B378B" w:rsidRDefault="00120BBD" w:rsidP="00207C3A">
      <w:pPr>
        <w:pStyle w:val="Heading1"/>
        <w:rPr>
          <w:b/>
        </w:rPr>
      </w:pPr>
      <w:bookmarkStart w:id="21" w:name="_Toc484623830"/>
      <w:r w:rsidRPr="007B378B">
        <w:rPr>
          <w:b/>
        </w:rPr>
        <w:lastRenderedPageBreak/>
        <w:t>III.</w:t>
      </w:r>
      <w:r w:rsidRPr="007B378B">
        <w:rPr>
          <w:b/>
        </w:rPr>
        <w:tab/>
        <w:t>POSICIONES DE LAS PARTES</w:t>
      </w:r>
      <w:bookmarkEnd w:id="15"/>
      <w:bookmarkEnd w:id="16"/>
      <w:bookmarkEnd w:id="17"/>
      <w:bookmarkEnd w:id="18"/>
      <w:bookmarkEnd w:id="19"/>
      <w:bookmarkEnd w:id="21"/>
      <w:r w:rsidRPr="007B378B">
        <w:rPr>
          <w:b/>
        </w:rPr>
        <w:t xml:space="preserve"> </w:t>
      </w:r>
      <w:bookmarkEnd w:id="20"/>
    </w:p>
    <w:p w14:paraId="0AA650BF" w14:textId="77777777" w:rsidR="009D7F32" w:rsidRPr="00640517" w:rsidRDefault="009D7F32" w:rsidP="007017EF">
      <w:pPr>
        <w:tabs>
          <w:tab w:val="left" w:pos="1530"/>
          <w:tab w:val="left" w:pos="1620"/>
        </w:tabs>
        <w:ind w:left="720"/>
        <w:jc w:val="both"/>
        <w:rPr>
          <w:rFonts w:asciiTheme="majorHAnsi" w:hAnsiTheme="majorHAnsi"/>
          <w:sz w:val="20"/>
          <w:szCs w:val="20"/>
          <w:lang w:val="es-CO"/>
        </w:rPr>
      </w:pPr>
      <w:r w:rsidRPr="00640517">
        <w:rPr>
          <w:rFonts w:asciiTheme="majorHAnsi" w:hAnsiTheme="majorHAnsi"/>
          <w:sz w:val="20"/>
          <w:szCs w:val="20"/>
          <w:lang w:val="es-ES"/>
        </w:rPr>
        <w:t xml:space="preserve"> </w:t>
      </w:r>
    </w:p>
    <w:p w14:paraId="29746E1A" w14:textId="77777777" w:rsidR="009D7F32" w:rsidRPr="0045657E" w:rsidRDefault="009D7F32" w:rsidP="00880B2A">
      <w:pPr>
        <w:pStyle w:val="Heading2"/>
      </w:pPr>
      <w:bookmarkStart w:id="22" w:name="_Toc388448131"/>
      <w:bookmarkStart w:id="23" w:name="_Toc412647966"/>
      <w:bookmarkStart w:id="24" w:name="_Toc412648012"/>
      <w:bookmarkStart w:id="25" w:name="_Toc414177390"/>
      <w:bookmarkStart w:id="26" w:name="_Toc414177712"/>
      <w:bookmarkStart w:id="27" w:name="_Toc476579038"/>
      <w:bookmarkStart w:id="28" w:name="_Toc484623831"/>
      <w:r w:rsidRPr="0045657E">
        <w:t>Posición de los peticionarios</w:t>
      </w:r>
      <w:bookmarkEnd w:id="22"/>
      <w:bookmarkEnd w:id="23"/>
      <w:bookmarkEnd w:id="24"/>
      <w:bookmarkEnd w:id="25"/>
      <w:bookmarkEnd w:id="26"/>
      <w:bookmarkEnd w:id="27"/>
      <w:bookmarkEnd w:id="28"/>
      <w:r w:rsidRPr="0045657E">
        <w:t xml:space="preserve"> </w:t>
      </w:r>
    </w:p>
    <w:p w14:paraId="72B0B68E" w14:textId="77777777" w:rsidR="00120BBD" w:rsidRPr="00640517" w:rsidRDefault="00120BBD" w:rsidP="00120BBD">
      <w:pPr>
        <w:ind w:left="720"/>
        <w:jc w:val="both"/>
        <w:rPr>
          <w:rFonts w:asciiTheme="majorHAnsi" w:hAnsiTheme="majorHAnsi"/>
          <w:sz w:val="20"/>
          <w:szCs w:val="20"/>
          <w:lang w:val="es-ES"/>
        </w:rPr>
      </w:pPr>
    </w:p>
    <w:p w14:paraId="005860FF" w14:textId="077513DF" w:rsidR="00A5523D" w:rsidRPr="00640517" w:rsidRDefault="00F14002" w:rsidP="006D42F2">
      <w:pPr>
        <w:numPr>
          <w:ilvl w:val="0"/>
          <w:numId w:val="1"/>
        </w:numPr>
        <w:ind w:left="0" w:firstLine="720"/>
        <w:jc w:val="both"/>
        <w:rPr>
          <w:rFonts w:asciiTheme="majorHAnsi" w:hAnsiTheme="majorHAnsi"/>
          <w:sz w:val="20"/>
          <w:szCs w:val="20"/>
          <w:lang w:val="es-ES"/>
        </w:rPr>
      </w:pPr>
      <w:r w:rsidRPr="00640517">
        <w:rPr>
          <w:rFonts w:asciiTheme="majorHAnsi" w:hAnsiTheme="majorHAnsi"/>
          <w:sz w:val="20"/>
          <w:szCs w:val="20"/>
          <w:lang w:val="es-ES"/>
        </w:rPr>
        <w:t>S</w:t>
      </w:r>
      <w:r w:rsidR="00A5523D" w:rsidRPr="00640517">
        <w:rPr>
          <w:rFonts w:asciiTheme="majorHAnsi" w:hAnsiTheme="majorHAnsi"/>
          <w:sz w:val="20"/>
          <w:szCs w:val="20"/>
          <w:lang w:val="es-ES"/>
        </w:rPr>
        <w:t xml:space="preserve">eñalaron que el 11 de agosto de 1994 la Asamblea Legislativa nombró al señor Eduardo Benjamín Colindres para el cargo público de </w:t>
      </w:r>
      <w:r w:rsidR="007C25B3">
        <w:rPr>
          <w:rFonts w:asciiTheme="majorHAnsi" w:hAnsiTheme="majorHAnsi"/>
          <w:sz w:val="20"/>
          <w:szCs w:val="20"/>
          <w:lang w:val="es-ES"/>
        </w:rPr>
        <w:t>m</w:t>
      </w:r>
      <w:r w:rsidR="00A5523D" w:rsidRPr="00640517">
        <w:rPr>
          <w:rFonts w:asciiTheme="majorHAnsi" w:hAnsiTheme="majorHAnsi"/>
          <w:sz w:val="20"/>
          <w:szCs w:val="20"/>
          <w:lang w:val="es-ES"/>
        </w:rPr>
        <w:t xml:space="preserve">agistrado </w:t>
      </w:r>
      <w:r w:rsidR="007C25B3" w:rsidRPr="009F310D">
        <w:rPr>
          <w:rFonts w:asciiTheme="majorHAnsi" w:hAnsiTheme="majorHAnsi"/>
          <w:sz w:val="20"/>
          <w:szCs w:val="20"/>
          <w:lang w:val="es-ES"/>
        </w:rPr>
        <w:t>p</w:t>
      </w:r>
      <w:r w:rsidR="00A5523D" w:rsidRPr="00640517">
        <w:rPr>
          <w:rFonts w:asciiTheme="majorHAnsi" w:hAnsiTheme="majorHAnsi"/>
          <w:sz w:val="20"/>
          <w:szCs w:val="20"/>
          <w:lang w:val="es-ES"/>
        </w:rPr>
        <w:t xml:space="preserve">ropietario del Tribunal Supremo Electoral (en adelante “TSE”). </w:t>
      </w:r>
      <w:r w:rsidR="00FF0DE6" w:rsidRPr="00640517">
        <w:rPr>
          <w:rFonts w:asciiTheme="majorHAnsi" w:hAnsiTheme="majorHAnsi"/>
          <w:sz w:val="20"/>
          <w:szCs w:val="20"/>
          <w:lang w:val="es-ES"/>
        </w:rPr>
        <w:t>Indicaron que t</w:t>
      </w:r>
      <w:r w:rsidR="00A5523D" w:rsidRPr="00640517">
        <w:rPr>
          <w:rFonts w:asciiTheme="majorHAnsi" w:hAnsiTheme="majorHAnsi"/>
          <w:sz w:val="20"/>
          <w:szCs w:val="20"/>
          <w:lang w:val="es-ES"/>
        </w:rPr>
        <w:t xml:space="preserve">ras </w:t>
      </w:r>
      <w:r w:rsidR="00886DC0" w:rsidRPr="00640517">
        <w:rPr>
          <w:rFonts w:asciiTheme="majorHAnsi" w:hAnsiTheme="majorHAnsi"/>
          <w:sz w:val="20"/>
          <w:szCs w:val="20"/>
          <w:lang w:val="es-ES"/>
        </w:rPr>
        <w:t xml:space="preserve">un contexto de conflicto interno </w:t>
      </w:r>
      <w:r w:rsidR="00A5523D" w:rsidRPr="00640517">
        <w:rPr>
          <w:rFonts w:asciiTheme="majorHAnsi" w:hAnsiTheme="majorHAnsi"/>
          <w:sz w:val="20"/>
          <w:szCs w:val="20"/>
          <w:lang w:val="es-ES"/>
        </w:rPr>
        <w:t>del Partido Demócrata Cristiano (en adelante “PDC”) – al que la presunta víctima estaba vinculado –</w:t>
      </w:r>
      <w:r w:rsidR="00D26B35" w:rsidRPr="00640517">
        <w:rPr>
          <w:rFonts w:asciiTheme="majorHAnsi" w:hAnsiTheme="majorHAnsi"/>
          <w:sz w:val="20"/>
          <w:szCs w:val="20"/>
          <w:lang w:val="es-ES"/>
        </w:rPr>
        <w:t xml:space="preserve"> y</w:t>
      </w:r>
      <w:r w:rsidR="00D5139F" w:rsidRPr="00640517">
        <w:rPr>
          <w:rFonts w:asciiTheme="majorHAnsi" w:hAnsiTheme="majorHAnsi"/>
          <w:sz w:val="20"/>
          <w:szCs w:val="20"/>
          <w:lang w:val="es-ES"/>
        </w:rPr>
        <w:t xml:space="preserve"> a solicitud de dicho partido, </w:t>
      </w:r>
      <w:r w:rsidR="00A5523D" w:rsidRPr="00640517">
        <w:rPr>
          <w:rFonts w:asciiTheme="majorHAnsi" w:hAnsiTheme="majorHAnsi"/>
          <w:sz w:val="20"/>
          <w:szCs w:val="20"/>
          <w:lang w:val="es-ES"/>
        </w:rPr>
        <w:t xml:space="preserve">el señor Colindres fue destituido de su cargo </w:t>
      </w:r>
      <w:r w:rsidR="00FF0DE6" w:rsidRPr="00640517">
        <w:rPr>
          <w:rFonts w:asciiTheme="majorHAnsi" w:hAnsiTheme="majorHAnsi"/>
          <w:sz w:val="20"/>
          <w:szCs w:val="20"/>
          <w:lang w:val="es-ES"/>
        </w:rPr>
        <w:t xml:space="preserve">por la Asamblea Legislativa </w:t>
      </w:r>
      <w:r w:rsidR="00A5523D" w:rsidRPr="00640517">
        <w:rPr>
          <w:rFonts w:asciiTheme="majorHAnsi" w:hAnsiTheme="majorHAnsi"/>
          <w:sz w:val="20"/>
          <w:szCs w:val="20"/>
          <w:lang w:val="es-ES"/>
        </w:rPr>
        <w:t xml:space="preserve">el 22 de noviembre de 1996. Indicaron que tal destitución estuvo motivada en la actuación del señor Colindres como Magistrado Propietario del Tribunal Supremo Electoral. Señalaron que </w:t>
      </w:r>
      <w:r w:rsidR="006D42F2" w:rsidRPr="00640517">
        <w:rPr>
          <w:rFonts w:asciiTheme="majorHAnsi" w:hAnsiTheme="majorHAnsi"/>
          <w:sz w:val="20"/>
          <w:szCs w:val="20"/>
          <w:lang w:val="es-ES"/>
        </w:rPr>
        <w:t>t</w:t>
      </w:r>
      <w:r w:rsidR="00FF0DE6" w:rsidRPr="00640517">
        <w:rPr>
          <w:rFonts w:asciiTheme="majorHAnsi" w:hAnsiTheme="majorHAnsi"/>
          <w:sz w:val="20"/>
          <w:szCs w:val="20"/>
          <w:lang w:val="es-ES"/>
        </w:rPr>
        <w:t>r</w:t>
      </w:r>
      <w:r w:rsidR="006D42F2" w:rsidRPr="00640517">
        <w:rPr>
          <w:rFonts w:asciiTheme="majorHAnsi" w:hAnsiTheme="majorHAnsi"/>
          <w:sz w:val="20"/>
          <w:szCs w:val="20"/>
          <w:lang w:val="es-ES"/>
        </w:rPr>
        <w:t xml:space="preserve">as la presentación de un </w:t>
      </w:r>
      <w:r w:rsidR="00A5523D" w:rsidRPr="00640517">
        <w:rPr>
          <w:rFonts w:asciiTheme="majorHAnsi" w:hAnsiTheme="majorHAnsi"/>
          <w:sz w:val="20"/>
          <w:szCs w:val="20"/>
          <w:lang w:val="es-ES"/>
        </w:rPr>
        <w:t xml:space="preserve">recurso de amparo ante la Sala </w:t>
      </w:r>
      <w:r w:rsidR="0039146A" w:rsidRPr="00640517">
        <w:rPr>
          <w:rFonts w:asciiTheme="majorHAnsi" w:hAnsiTheme="majorHAnsi"/>
          <w:sz w:val="20"/>
          <w:szCs w:val="20"/>
          <w:lang w:val="es-ES"/>
        </w:rPr>
        <w:t xml:space="preserve">de lo </w:t>
      </w:r>
      <w:r w:rsidR="00A5523D" w:rsidRPr="00640517">
        <w:rPr>
          <w:rFonts w:asciiTheme="majorHAnsi" w:hAnsiTheme="majorHAnsi"/>
          <w:sz w:val="20"/>
          <w:szCs w:val="20"/>
          <w:lang w:val="es-ES"/>
        </w:rPr>
        <w:t>Constitucional de la Corte Suprema</w:t>
      </w:r>
      <w:r w:rsidR="003E713F" w:rsidRPr="00640517">
        <w:rPr>
          <w:rFonts w:asciiTheme="majorHAnsi" w:hAnsiTheme="majorHAnsi"/>
          <w:sz w:val="20"/>
          <w:szCs w:val="20"/>
          <w:lang w:val="es-ES"/>
        </w:rPr>
        <w:t xml:space="preserve"> </w:t>
      </w:r>
      <w:r w:rsidR="008458FB" w:rsidRPr="00640517">
        <w:rPr>
          <w:rFonts w:asciiTheme="majorHAnsi" w:hAnsiTheme="majorHAnsi"/>
          <w:sz w:val="20"/>
          <w:szCs w:val="20"/>
          <w:lang w:val="es-CO"/>
        </w:rPr>
        <w:t>(en adelante</w:t>
      </w:r>
      <w:r w:rsidR="003E713F" w:rsidRPr="00640517">
        <w:rPr>
          <w:rFonts w:asciiTheme="majorHAnsi" w:hAnsiTheme="majorHAnsi"/>
          <w:sz w:val="20"/>
          <w:szCs w:val="20"/>
          <w:lang w:val="es-CO"/>
        </w:rPr>
        <w:t xml:space="preserve"> “</w:t>
      </w:r>
      <w:r w:rsidR="008458FB" w:rsidRPr="00640517">
        <w:rPr>
          <w:rFonts w:asciiTheme="majorHAnsi" w:hAnsiTheme="majorHAnsi"/>
          <w:sz w:val="20"/>
          <w:szCs w:val="20"/>
          <w:lang w:val="es-CO"/>
        </w:rPr>
        <w:t xml:space="preserve">la </w:t>
      </w:r>
      <w:r w:rsidR="003E713F" w:rsidRPr="00640517">
        <w:rPr>
          <w:rFonts w:asciiTheme="majorHAnsi" w:hAnsiTheme="majorHAnsi"/>
          <w:sz w:val="20"/>
          <w:szCs w:val="20"/>
          <w:lang w:val="es-CO"/>
        </w:rPr>
        <w:t>Sala de lo Constitucional” o “la Sala”), ésta</w:t>
      </w:r>
      <w:r w:rsidR="00A5523D" w:rsidRPr="00640517">
        <w:rPr>
          <w:rFonts w:asciiTheme="majorHAnsi" w:hAnsiTheme="majorHAnsi"/>
          <w:sz w:val="20"/>
          <w:szCs w:val="20"/>
          <w:lang w:val="es-ES"/>
        </w:rPr>
        <w:t xml:space="preserve"> </w:t>
      </w:r>
      <w:r w:rsidR="00FF0DE6" w:rsidRPr="00640517">
        <w:rPr>
          <w:rFonts w:asciiTheme="majorHAnsi" w:hAnsiTheme="majorHAnsi"/>
          <w:sz w:val="20"/>
          <w:szCs w:val="20"/>
          <w:lang w:val="es-ES"/>
        </w:rPr>
        <w:t>señaló que no existía procedimiento expreso en la Constitución para destituir a un magistrado del TSE, sin embargo, debería entenderse que al ser la Asamblea Legislativa el órgano calificador de los requisitos para nombrarle, también estaría facultada para separarlos de su cargo</w:t>
      </w:r>
      <w:r w:rsidR="00FF0DE6" w:rsidRPr="00554548">
        <w:rPr>
          <w:rFonts w:asciiTheme="majorHAnsi" w:hAnsiTheme="majorHAnsi"/>
          <w:sz w:val="20"/>
          <w:szCs w:val="20"/>
          <w:lang w:val="es-ES"/>
        </w:rPr>
        <w:t>,</w:t>
      </w:r>
      <w:r w:rsidR="00FF0DE6" w:rsidRPr="00640517">
        <w:rPr>
          <w:rFonts w:asciiTheme="majorHAnsi" w:hAnsiTheme="majorHAnsi"/>
          <w:sz w:val="20"/>
          <w:szCs w:val="20"/>
          <w:lang w:val="es-ES"/>
        </w:rPr>
        <w:t xml:space="preserve"> cuando dejaran de cumplir tales calificaciones</w:t>
      </w:r>
      <w:r w:rsidR="00D5139F" w:rsidRPr="00640517">
        <w:rPr>
          <w:rFonts w:asciiTheme="majorHAnsi" w:hAnsiTheme="majorHAnsi"/>
          <w:sz w:val="20"/>
          <w:szCs w:val="20"/>
          <w:lang w:val="es-ES"/>
        </w:rPr>
        <w:t xml:space="preserve">. </w:t>
      </w:r>
      <w:r w:rsidR="00C053D7" w:rsidRPr="00640517">
        <w:rPr>
          <w:rFonts w:asciiTheme="majorHAnsi" w:hAnsiTheme="majorHAnsi"/>
          <w:sz w:val="20"/>
          <w:szCs w:val="20"/>
          <w:lang w:val="es-ES"/>
        </w:rPr>
        <w:t>In</w:t>
      </w:r>
      <w:r w:rsidR="00760A96" w:rsidRPr="00640517">
        <w:rPr>
          <w:rFonts w:asciiTheme="majorHAnsi" w:hAnsiTheme="majorHAnsi"/>
          <w:sz w:val="20"/>
          <w:szCs w:val="20"/>
          <w:lang w:val="es-ES"/>
        </w:rPr>
        <w:t>di</w:t>
      </w:r>
      <w:r w:rsidR="00C053D7" w:rsidRPr="00640517">
        <w:rPr>
          <w:rFonts w:asciiTheme="majorHAnsi" w:hAnsiTheme="majorHAnsi"/>
          <w:sz w:val="20"/>
          <w:szCs w:val="20"/>
          <w:lang w:val="es-ES"/>
        </w:rPr>
        <w:t>caron que en la misma decisión se precisó que, s</w:t>
      </w:r>
      <w:r w:rsidR="00FF0DE6" w:rsidRPr="00640517">
        <w:rPr>
          <w:rFonts w:asciiTheme="majorHAnsi" w:hAnsiTheme="majorHAnsi"/>
          <w:sz w:val="20"/>
          <w:szCs w:val="20"/>
          <w:lang w:val="es-ES"/>
        </w:rPr>
        <w:t xml:space="preserve">in embargo, tal procedimiento debía hacerse en respeto de la garantía de audiencia establecida en la Constitución. En este sentido, señalaron </w:t>
      </w:r>
      <w:r w:rsidR="00D5139F" w:rsidRPr="00640517">
        <w:rPr>
          <w:rFonts w:asciiTheme="majorHAnsi" w:hAnsiTheme="majorHAnsi"/>
          <w:sz w:val="20"/>
          <w:szCs w:val="20"/>
          <w:lang w:val="es-ES"/>
        </w:rPr>
        <w:t xml:space="preserve">que la Sala </w:t>
      </w:r>
      <w:r w:rsidR="00E9455C" w:rsidRPr="00640517">
        <w:rPr>
          <w:rFonts w:asciiTheme="majorHAnsi" w:hAnsiTheme="majorHAnsi"/>
          <w:sz w:val="20"/>
          <w:szCs w:val="20"/>
          <w:lang w:val="es-ES"/>
        </w:rPr>
        <w:t xml:space="preserve">de lo </w:t>
      </w:r>
      <w:r w:rsidR="00D5139F" w:rsidRPr="00640517">
        <w:rPr>
          <w:rFonts w:asciiTheme="majorHAnsi" w:hAnsiTheme="majorHAnsi"/>
          <w:sz w:val="20"/>
          <w:szCs w:val="20"/>
          <w:lang w:val="es-ES"/>
        </w:rPr>
        <w:t>Constitucional decid</w:t>
      </w:r>
      <w:r w:rsidR="00FF0DE6" w:rsidRPr="00640517">
        <w:rPr>
          <w:rFonts w:asciiTheme="majorHAnsi" w:hAnsiTheme="majorHAnsi"/>
          <w:sz w:val="20"/>
          <w:szCs w:val="20"/>
          <w:lang w:val="es-ES"/>
        </w:rPr>
        <w:t xml:space="preserve">ió </w:t>
      </w:r>
      <w:r w:rsidR="00A5523D" w:rsidRPr="00640517">
        <w:rPr>
          <w:rFonts w:asciiTheme="majorHAnsi" w:hAnsiTheme="majorHAnsi"/>
          <w:sz w:val="20"/>
          <w:szCs w:val="20"/>
          <w:lang w:val="es-ES"/>
        </w:rPr>
        <w:t xml:space="preserve">favorablemente </w:t>
      </w:r>
      <w:r w:rsidR="00FF0DE6" w:rsidRPr="00640517">
        <w:rPr>
          <w:rFonts w:asciiTheme="majorHAnsi" w:hAnsiTheme="majorHAnsi"/>
          <w:sz w:val="20"/>
          <w:szCs w:val="20"/>
          <w:lang w:val="es-ES"/>
        </w:rPr>
        <w:t>el recurso</w:t>
      </w:r>
      <w:r w:rsidR="00A325D5">
        <w:rPr>
          <w:rFonts w:asciiTheme="majorHAnsi" w:hAnsiTheme="majorHAnsi"/>
          <w:sz w:val="20"/>
          <w:szCs w:val="20"/>
          <w:lang w:val="es-ES"/>
        </w:rPr>
        <w:t xml:space="preserve"> </w:t>
      </w:r>
      <w:r w:rsidR="00A5523D" w:rsidRPr="00640517">
        <w:rPr>
          <w:rFonts w:asciiTheme="majorHAnsi" w:hAnsiTheme="majorHAnsi"/>
          <w:sz w:val="20"/>
          <w:szCs w:val="20"/>
          <w:lang w:val="es-ES"/>
        </w:rPr>
        <w:t>indicando que se le habían violado sus derechos a la garantía de audiencia y a la estabilidad en el cargo,  y determinó su reintegración y el pago de</w:t>
      </w:r>
      <w:r w:rsidR="00D5139F" w:rsidRPr="00640517">
        <w:rPr>
          <w:rFonts w:asciiTheme="majorHAnsi" w:hAnsiTheme="majorHAnsi"/>
          <w:sz w:val="20"/>
          <w:szCs w:val="20"/>
          <w:lang w:val="es-ES"/>
        </w:rPr>
        <w:t xml:space="preserve"> salarios</w:t>
      </w:r>
      <w:r w:rsidR="00A5523D" w:rsidRPr="00640517">
        <w:rPr>
          <w:rFonts w:asciiTheme="majorHAnsi" w:hAnsiTheme="majorHAnsi"/>
          <w:sz w:val="20"/>
          <w:szCs w:val="20"/>
          <w:lang w:val="es-ES"/>
        </w:rPr>
        <w:t>.</w:t>
      </w:r>
    </w:p>
    <w:p w14:paraId="598DD068" w14:textId="77777777" w:rsidR="00A5523D" w:rsidRPr="00640517" w:rsidRDefault="00A5523D" w:rsidP="00BC4D84">
      <w:pPr>
        <w:tabs>
          <w:tab w:val="num" w:pos="1440"/>
        </w:tabs>
        <w:ind w:left="720"/>
        <w:jc w:val="both"/>
        <w:rPr>
          <w:rFonts w:asciiTheme="majorHAnsi" w:hAnsiTheme="majorHAnsi"/>
          <w:sz w:val="20"/>
          <w:szCs w:val="20"/>
          <w:lang w:val="es-ES"/>
        </w:rPr>
      </w:pPr>
    </w:p>
    <w:p w14:paraId="30810159" w14:textId="77777777" w:rsidR="00A5523D" w:rsidRPr="00640517" w:rsidRDefault="00A5523D" w:rsidP="00C72E71">
      <w:pPr>
        <w:numPr>
          <w:ilvl w:val="0"/>
          <w:numId w:val="1"/>
        </w:numPr>
        <w:ind w:left="0" w:firstLine="720"/>
        <w:jc w:val="both"/>
        <w:rPr>
          <w:rFonts w:asciiTheme="majorHAnsi" w:hAnsiTheme="majorHAnsi"/>
          <w:sz w:val="20"/>
          <w:szCs w:val="20"/>
          <w:lang w:val="es-ES"/>
        </w:rPr>
      </w:pPr>
      <w:r w:rsidRPr="00640517">
        <w:rPr>
          <w:rFonts w:asciiTheme="majorHAnsi" w:hAnsiTheme="majorHAnsi"/>
          <w:sz w:val="20"/>
          <w:szCs w:val="20"/>
          <w:lang w:val="es-ES"/>
        </w:rPr>
        <w:t xml:space="preserve">Indicaron que poco tiempo después de la reinstalación del señor Colindres al cargo, diputados del </w:t>
      </w:r>
      <w:r w:rsidR="00853E48" w:rsidRPr="00640517">
        <w:rPr>
          <w:rFonts w:asciiTheme="majorHAnsi" w:hAnsiTheme="majorHAnsi"/>
          <w:sz w:val="20"/>
          <w:szCs w:val="20"/>
          <w:lang w:val="es-ES"/>
        </w:rPr>
        <w:t xml:space="preserve">PDC </w:t>
      </w:r>
      <w:r w:rsidRPr="00640517">
        <w:rPr>
          <w:rFonts w:asciiTheme="majorHAnsi" w:hAnsiTheme="majorHAnsi"/>
          <w:sz w:val="20"/>
          <w:szCs w:val="20"/>
          <w:lang w:val="es-ES"/>
        </w:rPr>
        <w:t>solicitaron al Pleno Legislativo la creación de una Comisión Especial para asegurar al magistrado su derecho a la garantía de audiencia.</w:t>
      </w:r>
      <w:r w:rsidR="00FD3310" w:rsidRPr="00640517">
        <w:rPr>
          <w:rFonts w:asciiTheme="majorHAnsi" w:hAnsiTheme="majorHAnsi"/>
          <w:sz w:val="20"/>
          <w:szCs w:val="20"/>
          <w:lang w:val="es-ES"/>
        </w:rPr>
        <w:t xml:space="preserve"> Señalaron que los recursos que</w:t>
      </w:r>
      <w:r w:rsidR="00D5139F" w:rsidRPr="00640517">
        <w:rPr>
          <w:rFonts w:asciiTheme="majorHAnsi" w:hAnsiTheme="majorHAnsi"/>
          <w:sz w:val="20"/>
          <w:szCs w:val="20"/>
          <w:lang w:val="es-ES"/>
        </w:rPr>
        <w:t xml:space="preserve"> el magistrado Colindres </w:t>
      </w:r>
      <w:r w:rsidR="00FD3310" w:rsidRPr="00640517">
        <w:rPr>
          <w:rFonts w:asciiTheme="majorHAnsi" w:hAnsiTheme="majorHAnsi"/>
          <w:sz w:val="20"/>
          <w:szCs w:val="20"/>
          <w:lang w:val="es-ES"/>
        </w:rPr>
        <w:t xml:space="preserve">interpuso en contra del acto de creación de la Comisión Especial fueron declarados improcedentes por la Sala </w:t>
      </w:r>
      <w:r w:rsidR="00325494" w:rsidRPr="00640517">
        <w:rPr>
          <w:rFonts w:asciiTheme="majorHAnsi" w:hAnsiTheme="majorHAnsi"/>
          <w:sz w:val="20"/>
          <w:szCs w:val="20"/>
          <w:lang w:val="es-ES"/>
        </w:rPr>
        <w:t xml:space="preserve">de lo </w:t>
      </w:r>
      <w:r w:rsidR="00FD3310" w:rsidRPr="00640517">
        <w:rPr>
          <w:rFonts w:asciiTheme="majorHAnsi" w:hAnsiTheme="majorHAnsi"/>
          <w:sz w:val="20"/>
          <w:szCs w:val="20"/>
          <w:lang w:val="es-ES"/>
        </w:rPr>
        <w:t xml:space="preserve">Constitucional. </w:t>
      </w:r>
      <w:r w:rsidR="00D5139F" w:rsidRPr="00640517">
        <w:rPr>
          <w:rFonts w:asciiTheme="majorHAnsi" w:hAnsiTheme="majorHAnsi"/>
          <w:sz w:val="20"/>
          <w:szCs w:val="20"/>
          <w:lang w:val="es-ES"/>
        </w:rPr>
        <w:t xml:space="preserve">Indicaron </w:t>
      </w:r>
      <w:r w:rsidR="00FD3310" w:rsidRPr="00640517">
        <w:rPr>
          <w:rFonts w:asciiTheme="majorHAnsi" w:hAnsiTheme="majorHAnsi"/>
          <w:sz w:val="20"/>
          <w:szCs w:val="20"/>
          <w:lang w:val="es-ES"/>
        </w:rPr>
        <w:t>que si bien en un inicio la Sala</w:t>
      </w:r>
      <w:r w:rsidR="00325494" w:rsidRPr="00640517">
        <w:rPr>
          <w:rFonts w:asciiTheme="majorHAnsi" w:hAnsiTheme="majorHAnsi"/>
          <w:sz w:val="20"/>
          <w:szCs w:val="20"/>
          <w:lang w:val="es-ES"/>
        </w:rPr>
        <w:t xml:space="preserve"> de lo </w:t>
      </w:r>
      <w:r w:rsidR="00FD3310" w:rsidRPr="00640517">
        <w:rPr>
          <w:rFonts w:asciiTheme="majorHAnsi" w:hAnsiTheme="majorHAnsi"/>
          <w:sz w:val="20"/>
          <w:szCs w:val="20"/>
          <w:lang w:val="es-ES"/>
        </w:rPr>
        <w:t xml:space="preserve">Constitucional decretó la suspensión del acuerdo que creó dicha comisión, tal </w:t>
      </w:r>
      <w:r w:rsidRPr="00640517">
        <w:rPr>
          <w:rFonts w:asciiTheme="majorHAnsi" w:hAnsiTheme="majorHAnsi"/>
          <w:sz w:val="20"/>
          <w:szCs w:val="20"/>
          <w:lang w:val="es-ES"/>
        </w:rPr>
        <w:t xml:space="preserve">suspensión causó presiones por parte de la Asamblea Legislativa en la Corte Suprema, lo que resultó en </w:t>
      </w:r>
      <w:r w:rsidR="00FD3310" w:rsidRPr="00640517">
        <w:rPr>
          <w:rFonts w:asciiTheme="majorHAnsi" w:hAnsiTheme="majorHAnsi"/>
          <w:sz w:val="20"/>
          <w:szCs w:val="20"/>
          <w:lang w:val="es-ES"/>
        </w:rPr>
        <w:t xml:space="preserve">las decisiones </w:t>
      </w:r>
      <w:r w:rsidR="00D5139F" w:rsidRPr="00640517">
        <w:rPr>
          <w:rFonts w:asciiTheme="majorHAnsi" w:hAnsiTheme="majorHAnsi"/>
          <w:sz w:val="20"/>
          <w:szCs w:val="20"/>
          <w:lang w:val="es-ES"/>
        </w:rPr>
        <w:t xml:space="preserve">posteriores </w:t>
      </w:r>
      <w:r w:rsidR="00FD3310" w:rsidRPr="00640517">
        <w:rPr>
          <w:rFonts w:asciiTheme="majorHAnsi" w:hAnsiTheme="majorHAnsi"/>
          <w:sz w:val="20"/>
          <w:szCs w:val="20"/>
          <w:lang w:val="es-ES"/>
        </w:rPr>
        <w:t xml:space="preserve">desfavorables. </w:t>
      </w:r>
    </w:p>
    <w:p w14:paraId="601D73D8" w14:textId="77777777" w:rsidR="00370E57" w:rsidRPr="00640517" w:rsidRDefault="00370E57" w:rsidP="00370E57">
      <w:pPr>
        <w:ind w:left="720"/>
        <w:jc w:val="both"/>
        <w:rPr>
          <w:rFonts w:asciiTheme="majorHAnsi" w:hAnsiTheme="majorHAnsi"/>
          <w:sz w:val="20"/>
          <w:szCs w:val="20"/>
          <w:lang w:val="es-ES"/>
        </w:rPr>
      </w:pPr>
    </w:p>
    <w:p w14:paraId="64F20E5E" w14:textId="77777777" w:rsidR="00A5523D" w:rsidRPr="00640517" w:rsidRDefault="00BC4D84" w:rsidP="00FD3310">
      <w:pPr>
        <w:numPr>
          <w:ilvl w:val="0"/>
          <w:numId w:val="1"/>
        </w:numPr>
        <w:ind w:left="0" w:firstLine="720"/>
        <w:jc w:val="both"/>
        <w:rPr>
          <w:rFonts w:asciiTheme="majorHAnsi" w:hAnsiTheme="majorHAnsi"/>
          <w:sz w:val="20"/>
          <w:szCs w:val="20"/>
          <w:lang w:val="es-ES"/>
        </w:rPr>
      </w:pPr>
      <w:r w:rsidRPr="00640517">
        <w:rPr>
          <w:rFonts w:asciiTheme="majorHAnsi" w:hAnsiTheme="majorHAnsi"/>
          <w:sz w:val="20"/>
          <w:szCs w:val="20"/>
          <w:lang w:val="es-ES"/>
        </w:rPr>
        <w:t xml:space="preserve"> </w:t>
      </w:r>
      <w:r w:rsidR="00A5523D" w:rsidRPr="00640517">
        <w:rPr>
          <w:rFonts w:asciiTheme="majorHAnsi" w:hAnsiTheme="majorHAnsi"/>
          <w:sz w:val="20"/>
          <w:szCs w:val="20"/>
          <w:lang w:val="es-ES"/>
        </w:rPr>
        <w:t>Señalaron que la Comisión Especial</w:t>
      </w:r>
      <w:r w:rsidR="00D5139F" w:rsidRPr="00640517">
        <w:rPr>
          <w:rFonts w:asciiTheme="majorHAnsi" w:hAnsiTheme="majorHAnsi"/>
          <w:sz w:val="20"/>
          <w:szCs w:val="20"/>
          <w:lang w:val="es-ES"/>
        </w:rPr>
        <w:t>,</w:t>
      </w:r>
      <w:r w:rsidR="00A5523D" w:rsidRPr="00640517">
        <w:rPr>
          <w:rFonts w:asciiTheme="majorHAnsi" w:hAnsiTheme="majorHAnsi"/>
          <w:sz w:val="20"/>
          <w:szCs w:val="20"/>
          <w:lang w:val="es-ES"/>
        </w:rPr>
        <w:t xml:space="preserve"> </w:t>
      </w:r>
      <w:r w:rsidR="00FD3310" w:rsidRPr="00640517">
        <w:rPr>
          <w:rFonts w:asciiTheme="majorHAnsi" w:hAnsiTheme="majorHAnsi"/>
          <w:sz w:val="20"/>
          <w:szCs w:val="20"/>
          <w:lang w:val="es-ES"/>
        </w:rPr>
        <w:t>además de no tener fundamento normativo para realizar tales funciones, no garantizó el derecho de defensa del señor Colindres, y al emitir su informe omitió presentar información con la que contaba</w:t>
      </w:r>
      <w:r w:rsidR="00D5139F" w:rsidRPr="00640517">
        <w:rPr>
          <w:rFonts w:asciiTheme="majorHAnsi" w:hAnsiTheme="majorHAnsi"/>
          <w:sz w:val="20"/>
          <w:szCs w:val="20"/>
          <w:lang w:val="es-ES"/>
        </w:rPr>
        <w:t>.</w:t>
      </w:r>
      <w:r w:rsidRPr="00640517">
        <w:rPr>
          <w:rFonts w:asciiTheme="majorHAnsi" w:hAnsiTheme="majorHAnsi"/>
          <w:sz w:val="20"/>
          <w:szCs w:val="20"/>
          <w:lang w:val="es-ES"/>
        </w:rPr>
        <w:t xml:space="preserve"> </w:t>
      </w:r>
      <w:r w:rsidR="00A5523D" w:rsidRPr="00640517">
        <w:rPr>
          <w:rFonts w:asciiTheme="majorHAnsi" w:hAnsiTheme="majorHAnsi"/>
          <w:sz w:val="20"/>
          <w:szCs w:val="20"/>
          <w:lang w:val="es-ES"/>
        </w:rPr>
        <w:t>Señalaron que el 2 de julio de 1998, la Asamblea Legislativa</w:t>
      </w:r>
      <w:r w:rsidR="00853E48" w:rsidRPr="00640517">
        <w:rPr>
          <w:rFonts w:asciiTheme="majorHAnsi" w:hAnsiTheme="majorHAnsi"/>
          <w:sz w:val="20"/>
          <w:szCs w:val="20"/>
          <w:lang w:val="es-ES"/>
        </w:rPr>
        <w:t xml:space="preserve"> mediante el Decreto 348 </w:t>
      </w:r>
      <w:r w:rsidR="00A5523D" w:rsidRPr="00640517">
        <w:rPr>
          <w:rFonts w:asciiTheme="majorHAnsi" w:hAnsiTheme="majorHAnsi"/>
          <w:sz w:val="20"/>
          <w:szCs w:val="20"/>
          <w:lang w:val="es-ES"/>
        </w:rPr>
        <w:t xml:space="preserve">resolvió </w:t>
      </w:r>
      <w:r w:rsidR="00853E48" w:rsidRPr="00640517">
        <w:rPr>
          <w:rFonts w:asciiTheme="majorHAnsi" w:hAnsiTheme="majorHAnsi"/>
          <w:sz w:val="20"/>
          <w:szCs w:val="20"/>
          <w:lang w:val="es-ES"/>
        </w:rPr>
        <w:t xml:space="preserve">el cese </w:t>
      </w:r>
      <w:r w:rsidR="00A5523D" w:rsidRPr="00640517">
        <w:rPr>
          <w:rFonts w:asciiTheme="majorHAnsi" w:hAnsiTheme="majorHAnsi"/>
          <w:sz w:val="20"/>
          <w:szCs w:val="20"/>
          <w:lang w:val="es-ES"/>
        </w:rPr>
        <w:t xml:space="preserve">del cargo del </w:t>
      </w:r>
      <w:r w:rsidR="00853E48" w:rsidRPr="00640517">
        <w:rPr>
          <w:rFonts w:asciiTheme="majorHAnsi" w:hAnsiTheme="majorHAnsi"/>
          <w:sz w:val="20"/>
          <w:szCs w:val="20"/>
          <w:lang w:val="es-ES"/>
        </w:rPr>
        <w:t xml:space="preserve">magistrado </w:t>
      </w:r>
      <w:r w:rsidR="00A5523D" w:rsidRPr="00640517">
        <w:rPr>
          <w:rFonts w:asciiTheme="majorHAnsi" w:hAnsiTheme="majorHAnsi"/>
          <w:sz w:val="20"/>
          <w:szCs w:val="20"/>
          <w:lang w:val="es-ES"/>
        </w:rPr>
        <w:t>Colindres.</w:t>
      </w:r>
    </w:p>
    <w:p w14:paraId="351E1161" w14:textId="77777777" w:rsidR="00A5523D" w:rsidRPr="00640517" w:rsidRDefault="00A5523D" w:rsidP="00BC4D84">
      <w:pPr>
        <w:tabs>
          <w:tab w:val="num" w:pos="1440"/>
        </w:tabs>
        <w:ind w:left="720"/>
        <w:jc w:val="both"/>
        <w:rPr>
          <w:rFonts w:asciiTheme="majorHAnsi" w:hAnsiTheme="majorHAnsi"/>
          <w:sz w:val="20"/>
          <w:szCs w:val="20"/>
          <w:lang w:val="es-ES"/>
        </w:rPr>
      </w:pPr>
    </w:p>
    <w:p w14:paraId="5D8D78EC" w14:textId="4DC53E51" w:rsidR="00A5523D" w:rsidRPr="00640517" w:rsidRDefault="00BC4D84" w:rsidP="00C72E71">
      <w:pPr>
        <w:numPr>
          <w:ilvl w:val="0"/>
          <w:numId w:val="1"/>
        </w:numPr>
        <w:ind w:left="0" w:firstLine="720"/>
        <w:jc w:val="both"/>
        <w:rPr>
          <w:rFonts w:asciiTheme="majorHAnsi" w:hAnsiTheme="majorHAnsi"/>
          <w:sz w:val="20"/>
          <w:szCs w:val="20"/>
          <w:lang w:val="es-ES"/>
        </w:rPr>
      </w:pPr>
      <w:r w:rsidRPr="00640517">
        <w:rPr>
          <w:rFonts w:asciiTheme="majorHAnsi" w:hAnsiTheme="majorHAnsi"/>
          <w:sz w:val="20"/>
          <w:szCs w:val="20"/>
          <w:lang w:val="es-ES"/>
        </w:rPr>
        <w:t xml:space="preserve"> </w:t>
      </w:r>
      <w:r w:rsidR="00A5523D" w:rsidRPr="00640517">
        <w:rPr>
          <w:rFonts w:asciiTheme="majorHAnsi" w:hAnsiTheme="majorHAnsi"/>
          <w:sz w:val="20"/>
          <w:szCs w:val="20"/>
          <w:lang w:val="es-ES"/>
        </w:rPr>
        <w:t xml:space="preserve">Señalaron que el señor Colindres interpuso </w:t>
      </w:r>
      <w:r w:rsidR="00C72E71" w:rsidRPr="00640517">
        <w:rPr>
          <w:rFonts w:asciiTheme="majorHAnsi" w:hAnsiTheme="majorHAnsi"/>
          <w:sz w:val="20"/>
          <w:szCs w:val="20"/>
          <w:lang w:val="es-ES"/>
        </w:rPr>
        <w:t xml:space="preserve">dos amparos contra la decisión de destitución cuestionando entre otros aspectos, las atribuciones de la Asamblea Legislativa para destituir a los </w:t>
      </w:r>
      <w:r w:rsidR="00D5139F" w:rsidRPr="00640517">
        <w:rPr>
          <w:rFonts w:asciiTheme="majorHAnsi" w:hAnsiTheme="majorHAnsi"/>
          <w:sz w:val="20"/>
          <w:szCs w:val="20"/>
          <w:lang w:val="es-ES"/>
        </w:rPr>
        <w:t xml:space="preserve">magistrados </w:t>
      </w:r>
      <w:r w:rsidR="00C72E71" w:rsidRPr="00640517">
        <w:rPr>
          <w:rFonts w:asciiTheme="majorHAnsi" w:hAnsiTheme="majorHAnsi"/>
          <w:sz w:val="20"/>
          <w:szCs w:val="20"/>
          <w:lang w:val="es-ES"/>
        </w:rPr>
        <w:t>del TSE, violaciones al debido proceso y al principio de legalidad, así como el hecho de que había sido juzgado dos veces por los mismos hechos. Sin embargo, tales recursos habrían sido</w:t>
      </w:r>
      <w:r w:rsidR="000E32B5" w:rsidRPr="00640517">
        <w:rPr>
          <w:rFonts w:asciiTheme="majorHAnsi" w:hAnsiTheme="majorHAnsi"/>
          <w:sz w:val="20"/>
          <w:szCs w:val="20"/>
          <w:lang w:val="es-ES"/>
        </w:rPr>
        <w:t xml:space="preserve"> declarados</w:t>
      </w:r>
      <w:r w:rsidR="00C72E71" w:rsidRPr="00640517">
        <w:rPr>
          <w:rFonts w:asciiTheme="majorHAnsi" w:hAnsiTheme="majorHAnsi"/>
          <w:sz w:val="20"/>
          <w:szCs w:val="20"/>
          <w:lang w:val="es-ES"/>
        </w:rPr>
        <w:t xml:space="preserve"> improcedentes legitimando la actuación de la Asamblea Legislativa y</w:t>
      </w:r>
      <w:r w:rsidR="009F310D">
        <w:rPr>
          <w:rFonts w:asciiTheme="majorHAnsi" w:hAnsiTheme="majorHAnsi"/>
          <w:sz w:val="20"/>
          <w:szCs w:val="20"/>
          <w:lang w:val="es-ES"/>
        </w:rPr>
        <w:t xml:space="preserve"> de </w:t>
      </w:r>
      <w:r w:rsidR="00C72E71" w:rsidRPr="00640517">
        <w:rPr>
          <w:rFonts w:asciiTheme="majorHAnsi" w:hAnsiTheme="majorHAnsi"/>
          <w:sz w:val="20"/>
          <w:szCs w:val="20"/>
          <w:lang w:val="es-ES"/>
        </w:rPr>
        <w:t>la Comisión Especial.</w:t>
      </w:r>
    </w:p>
    <w:p w14:paraId="1764E8E7" w14:textId="77777777" w:rsidR="00875D1D" w:rsidRPr="00640517" w:rsidRDefault="00875D1D" w:rsidP="00875D1D">
      <w:pPr>
        <w:ind w:left="720"/>
        <w:jc w:val="both"/>
        <w:rPr>
          <w:rFonts w:asciiTheme="majorHAnsi" w:hAnsiTheme="majorHAnsi"/>
          <w:sz w:val="20"/>
          <w:szCs w:val="20"/>
          <w:lang w:val="es-ES"/>
        </w:rPr>
      </w:pPr>
    </w:p>
    <w:p w14:paraId="1547A05D" w14:textId="26E6FB87" w:rsidR="00A5523D" w:rsidRPr="00640517" w:rsidRDefault="00FD3310" w:rsidP="00BC4D84">
      <w:pPr>
        <w:numPr>
          <w:ilvl w:val="0"/>
          <w:numId w:val="1"/>
        </w:numPr>
        <w:ind w:left="0" w:firstLine="720"/>
        <w:jc w:val="both"/>
        <w:rPr>
          <w:rFonts w:asciiTheme="majorHAnsi" w:hAnsiTheme="majorHAnsi"/>
          <w:sz w:val="20"/>
          <w:szCs w:val="20"/>
          <w:lang w:val="es-ES"/>
        </w:rPr>
      </w:pPr>
      <w:r w:rsidRPr="00640517">
        <w:rPr>
          <w:rFonts w:asciiTheme="majorHAnsi" w:hAnsiTheme="majorHAnsi"/>
          <w:sz w:val="20"/>
          <w:szCs w:val="20"/>
          <w:lang w:val="es-ES"/>
        </w:rPr>
        <w:t xml:space="preserve">Indicaron </w:t>
      </w:r>
      <w:r w:rsidR="00A5523D" w:rsidRPr="00640517">
        <w:rPr>
          <w:rFonts w:asciiTheme="majorHAnsi" w:hAnsiTheme="majorHAnsi"/>
          <w:sz w:val="20"/>
          <w:szCs w:val="20"/>
          <w:lang w:val="es-ES"/>
        </w:rPr>
        <w:t xml:space="preserve">que el Estado fue condenado el 23 de diciembre de 1999 por la Corte Suprema en la demanda presentada por el señor Colindres por daños y prejuicios por su primera destitución, e informaron que la Sala de lo Civil confirmó el 13 de junio de 2001 la condena. </w:t>
      </w:r>
      <w:r w:rsidR="00FA0CED">
        <w:rPr>
          <w:rFonts w:asciiTheme="majorHAnsi" w:hAnsiTheme="majorHAnsi"/>
          <w:sz w:val="20"/>
          <w:szCs w:val="20"/>
          <w:lang w:val="es-ES"/>
        </w:rPr>
        <w:t xml:space="preserve">Señalaron </w:t>
      </w:r>
      <w:r w:rsidR="00A5523D" w:rsidRPr="00640517">
        <w:rPr>
          <w:rFonts w:asciiTheme="majorHAnsi" w:hAnsiTheme="majorHAnsi"/>
          <w:sz w:val="20"/>
          <w:szCs w:val="20"/>
          <w:lang w:val="es-ES"/>
        </w:rPr>
        <w:t xml:space="preserve">que la Fiscalía interpuso recurso de casación que quedó pendiente de decisión desde agosto de 2001 hasta diciembre de 2009, cuando se decidió a favor del </w:t>
      </w:r>
      <w:r w:rsidR="002B7661" w:rsidRPr="00640517">
        <w:rPr>
          <w:rFonts w:asciiTheme="majorHAnsi" w:hAnsiTheme="majorHAnsi"/>
          <w:sz w:val="20"/>
          <w:szCs w:val="20"/>
          <w:lang w:val="es-ES"/>
        </w:rPr>
        <w:t>señor</w:t>
      </w:r>
      <w:r w:rsidR="00A5523D" w:rsidRPr="00640517">
        <w:rPr>
          <w:rFonts w:asciiTheme="majorHAnsi" w:hAnsiTheme="majorHAnsi"/>
          <w:sz w:val="20"/>
          <w:szCs w:val="20"/>
          <w:lang w:val="es-ES"/>
        </w:rPr>
        <w:t xml:space="preserve"> Colindres. Los peticionarios indicaron que aunque existe sentencia definitiva</w:t>
      </w:r>
      <w:r w:rsidR="0040272D">
        <w:rPr>
          <w:rFonts w:asciiTheme="majorHAnsi" w:hAnsiTheme="majorHAnsi"/>
          <w:sz w:val="20"/>
          <w:szCs w:val="20"/>
          <w:lang w:val="es-ES"/>
        </w:rPr>
        <w:t xml:space="preserve">, </w:t>
      </w:r>
      <w:r w:rsidR="00A5523D" w:rsidRPr="00640517">
        <w:rPr>
          <w:rFonts w:asciiTheme="majorHAnsi" w:hAnsiTheme="majorHAnsi"/>
          <w:sz w:val="20"/>
          <w:szCs w:val="20"/>
          <w:lang w:val="es-ES"/>
        </w:rPr>
        <w:t>el  Estado se ha negado a darle cumplimiento.</w:t>
      </w:r>
    </w:p>
    <w:p w14:paraId="77DFDD55" w14:textId="77777777" w:rsidR="00A5523D" w:rsidRPr="00640517" w:rsidRDefault="00A5523D" w:rsidP="00BC4D84">
      <w:pPr>
        <w:tabs>
          <w:tab w:val="num" w:pos="1440"/>
        </w:tabs>
        <w:ind w:left="720"/>
        <w:jc w:val="both"/>
        <w:rPr>
          <w:rFonts w:asciiTheme="majorHAnsi" w:hAnsiTheme="majorHAnsi"/>
          <w:sz w:val="20"/>
          <w:szCs w:val="20"/>
          <w:lang w:val="es-ES"/>
        </w:rPr>
      </w:pPr>
    </w:p>
    <w:p w14:paraId="623B0601" w14:textId="77777777" w:rsidR="00A5523D" w:rsidRPr="00640517" w:rsidRDefault="00BC4D84" w:rsidP="00FD3310">
      <w:pPr>
        <w:numPr>
          <w:ilvl w:val="0"/>
          <w:numId w:val="1"/>
        </w:numPr>
        <w:ind w:left="0" w:firstLine="720"/>
        <w:jc w:val="both"/>
        <w:rPr>
          <w:rFonts w:asciiTheme="majorHAnsi" w:hAnsiTheme="majorHAnsi"/>
          <w:sz w:val="20"/>
          <w:szCs w:val="20"/>
          <w:lang w:val="es-ES"/>
        </w:rPr>
      </w:pPr>
      <w:r w:rsidRPr="00640517">
        <w:rPr>
          <w:rFonts w:asciiTheme="majorHAnsi" w:hAnsiTheme="majorHAnsi"/>
          <w:sz w:val="20"/>
          <w:szCs w:val="20"/>
          <w:lang w:val="es-ES"/>
        </w:rPr>
        <w:t xml:space="preserve"> </w:t>
      </w:r>
      <w:r w:rsidR="00FD3310" w:rsidRPr="00640517">
        <w:rPr>
          <w:rFonts w:asciiTheme="majorHAnsi" w:hAnsiTheme="majorHAnsi"/>
          <w:sz w:val="20"/>
          <w:szCs w:val="20"/>
          <w:lang w:val="es-ES"/>
        </w:rPr>
        <w:t xml:space="preserve">Señalaron que </w:t>
      </w:r>
      <w:r w:rsidR="00A5523D" w:rsidRPr="00640517">
        <w:rPr>
          <w:rFonts w:asciiTheme="majorHAnsi" w:hAnsiTheme="majorHAnsi"/>
          <w:sz w:val="20"/>
          <w:szCs w:val="20"/>
          <w:lang w:val="es-ES"/>
        </w:rPr>
        <w:t xml:space="preserve">el Estado es responsable por </w:t>
      </w:r>
      <w:r w:rsidR="00095AAA" w:rsidRPr="00640517">
        <w:rPr>
          <w:rFonts w:asciiTheme="majorHAnsi" w:hAnsiTheme="majorHAnsi"/>
          <w:sz w:val="20"/>
          <w:szCs w:val="20"/>
          <w:lang w:val="es-ES"/>
        </w:rPr>
        <w:t xml:space="preserve">la </w:t>
      </w:r>
      <w:r w:rsidR="00A5523D" w:rsidRPr="00640517">
        <w:rPr>
          <w:rFonts w:asciiTheme="majorHAnsi" w:hAnsiTheme="majorHAnsi"/>
          <w:sz w:val="20"/>
          <w:szCs w:val="20"/>
          <w:lang w:val="es-ES"/>
        </w:rPr>
        <w:t>violaci</w:t>
      </w:r>
      <w:r w:rsidR="00095AAA" w:rsidRPr="00640517">
        <w:rPr>
          <w:rFonts w:asciiTheme="majorHAnsi" w:hAnsiTheme="majorHAnsi"/>
          <w:sz w:val="20"/>
          <w:szCs w:val="20"/>
          <w:lang w:val="es-ES"/>
        </w:rPr>
        <w:t>ón</w:t>
      </w:r>
      <w:r w:rsidR="00A5523D" w:rsidRPr="00640517">
        <w:rPr>
          <w:rFonts w:asciiTheme="majorHAnsi" w:hAnsiTheme="majorHAnsi"/>
          <w:sz w:val="20"/>
          <w:szCs w:val="20"/>
          <w:lang w:val="es-ES"/>
        </w:rPr>
        <w:t xml:space="preserve"> </w:t>
      </w:r>
      <w:r w:rsidR="00095AAA" w:rsidRPr="00640517">
        <w:rPr>
          <w:rFonts w:asciiTheme="majorHAnsi" w:hAnsiTheme="majorHAnsi"/>
          <w:sz w:val="20"/>
          <w:szCs w:val="20"/>
          <w:lang w:val="es-ES"/>
        </w:rPr>
        <w:t>de</w:t>
      </w:r>
      <w:r w:rsidR="00A5523D" w:rsidRPr="00640517">
        <w:rPr>
          <w:rFonts w:asciiTheme="majorHAnsi" w:hAnsiTheme="majorHAnsi"/>
          <w:sz w:val="20"/>
          <w:szCs w:val="20"/>
          <w:lang w:val="es-ES"/>
        </w:rPr>
        <w:t xml:space="preserve"> los derechos a las garantías judiciales y a la protección judicial e</w:t>
      </w:r>
      <w:r w:rsidR="001801E1" w:rsidRPr="00640517">
        <w:rPr>
          <w:rFonts w:asciiTheme="majorHAnsi" w:hAnsiTheme="majorHAnsi"/>
          <w:sz w:val="20"/>
          <w:szCs w:val="20"/>
          <w:lang w:val="es-ES"/>
        </w:rPr>
        <w:t>stablecidos en los artículos 8</w:t>
      </w:r>
      <w:r w:rsidR="00A5523D" w:rsidRPr="00640517">
        <w:rPr>
          <w:rFonts w:asciiTheme="majorHAnsi" w:hAnsiTheme="majorHAnsi"/>
          <w:sz w:val="20"/>
          <w:szCs w:val="20"/>
          <w:lang w:val="es-ES"/>
        </w:rPr>
        <w:t>, 9 y 25 de la Convención, relacionados con los artículos 1.1 y 2 de la misma, en virtud de los hechos que resultaron en transgresiones al debido proceso, a la estabilidad laboral, al principio del juez natural predeterminado y a la seguridad jurídica, dado que según los peticionarios, se habría condenado al magistrado dos veces por los mismos hechos.</w:t>
      </w:r>
      <w:r w:rsidR="001801E1" w:rsidRPr="00640517">
        <w:rPr>
          <w:rFonts w:asciiTheme="majorHAnsi" w:hAnsiTheme="majorHAnsi"/>
          <w:sz w:val="20"/>
          <w:szCs w:val="20"/>
          <w:lang w:val="es-ES"/>
        </w:rPr>
        <w:t xml:space="preserve"> </w:t>
      </w:r>
      <w:r w:rsidR="00A5523D" w:rsidRPr="00640517">
        <w:rPr>
          <w:rFonts w:asciiTheme="majorHAnsi" w:hAnsiTheme="majorHAnsi"/>
          <w:sz w:val="20"/>
          <w:szCs w:val="20"/>
          <w:lang w:val="es-ES"/>
        </w:rPr>
        <w:t>Particularmente, en cuanto al principio de legalidad indicaron que los miembros de la Asamblea Legislativa no tie</w:t>
      </w:r>
      <w:r w:rsidR="001801E1" w:rsidRPr="00640517">
        <w:rPr>
          <w:rFonts w:asciiTheme="majorHAnsi" w:hAnsiTheme="majorHAnsi"/>
          <w:sz w:val="20"/>
          <w:szCs w:val="20"/>
          <w:lang w:val="es-ES"/>
        </w:rPr>
        <w:t>nen la facultad para destituir</w:t>
      </w:r>
      <w:r w:rsidR="00A5523D" w:rsidRPr="00640517">
        <w:rPr>
          <w:rFonts w:asciiTheme="majorHAnsi" w:hAnsiTheme="majorHAnsi"/>
          <w:sz w:val="20"/>
          <w:szCs w:val="20"/>
          <w:lang w:val="es-ES"/>
        </w:rPr>
        <w:t xml:space="preserve"> magistrados </w:t>
      </w:r>
      <w:r w:rsidR="001801E1" w:rsidRPr="00640517">
        <w:rPr>
          <w:rFonts w:asciiTheme="majorHAnsi" w:hAnsiTheme="majorHAnsi"/>
          <w:sz w:val="20"/>
          <w:szCs w:val="20"/>
          <w:lang w:val="es-ES"/>
        </w:rPr>
        <w:t xml:space="preserve">del TSE </w:t>
      </w:r>
      <w:r w:rsidR="00A5523D" w:rsidRPr="00640517">
        <w:rPr>
          <w:rFonts w:asciiTheme="majorHAnsi" w:hAnsiTheme="majorHAnsi"/>
          <w:sz w:val="20"/>
          <w:szCs w:val="20"/>
          <w:lang w:val="es-ES"/>
        </w:rPr>
        <w:t xml:space="preserve">de sus cargos, de tal forma que el acto de la destitución del señor Colindres </w:t>
      </w:r>
      <w:r w:rsidR="00A5523D" w:rsidRPr="00640517">
        <w:rPr>
          <w:rFonts w:asciiTheme="majorHAnsi" w:hAnsiTheme="majorHAnsi"/>
          <w:sz w:val="20"/>
          <w:szCs w:val="20"/>
          <w:lang w:val="es-ES"/>
        </w:rPr>
        <w:lastRenderedPageBreak/>
        <w:t>fue ilegal y arbitrario.</w:t>
      </w:r>
      <w:r w:rsidR="00FD3310" w:rsidRPr="00640517">
        <w:rPr>
          <w:rFonts w:asciiTheme="majorHAnsi" w:hAnsiTheme="majorHAnsi"/>
          <w:sz w:val="20"/>
          <w:szCs w:val="20"/>
          <w:lang w:val="es-ES"/>
        </w:rPr>
        <w:t xml:space="preserve"> </w:t>
      </w:r>
      <w:r w:rsidR="00A5523D" w:rsidRPr="00640517">
        <w:rPr>
          <w:rFonts w:asciiTheme="majorHAnsi" w:hAnsiTheme="majorHAnsi"/>
          <w:sz w:val="20"/>
          <w:szCs w:val="20"/>
          <w:lang w:val="es-ES"/>
        </w:rPr>
        <w:t xml:space="preserve">Finalmente, sostuvieron que </w:t>
      </w:r>
      <w:r w:rsidR="00FD3310" w:rsidRPr="00640517">
        <w:rPr>
          <w:rFonts w:asciiTheme="majorHAnsi" w:hAnsiTheme="majorHAnsi"/>
          <w:sz w:val="20"/>
          <w:szCs w:val="20"/>
          <w:lang w:val="es-ES"/>
        </w:rPr>
        <w:t xml:space="preserve">como resultado de la arbitrariedad del proceso </w:t>
      </w:r>
      <w:r w:rsidR="00A5523D" w:rsidRPr="00640517">
        <w:rPr>
          <w:rFonts w:asciiTheme="majorHAnsi" w:hAnsiTheme="majorHAnsi"/>
          <w:sz w:val="20"/>
          <w:szCs w:val="20"/>
          <w:lang w:val="es-ES"/>
        </w:rPr>
        <w:t>el Estado violó el derecho político de acceso a funciones públicas consagrado en el artículo 23 de la Convención.</w:t>
      </w:r>
    </w:p>
    <w:p w14:paraId="0D624595" w14:textId="77777777" w:rsidR="009D7F32" w:rsidRPr="00640517" w:rsidRDefault="009D7F32" w:rsidP="009D7F32">
      <w:pPr>
        <w:rPr>
          <w:rFonts w:asciiTheme="majorHAnsi" w:hAnsiTheme="majorHAnsi"/>
          <w:sz w:val="20"/>
          <w:szCs w:val="20"/>
          <w:lang w:val="es-ES"/>
        </w:rPr>
      </w:pPr>
    </w:p>
    <w:p w14:paraId="0E142A37" w14:textId="77777777" w:rsidR="009D7F32" w:rsidRPr="00640517" w:rsidRDefault="009D7F32" w:rsidP="00880B2A">
      <w:pPr>
        <w:pStyle w:val="Heading2"/>
      </w:pPr>
      <w:bookmarkStart w:id="29" w:name="_Toc388448132"/>
      <w:bookmarkStart w:id="30" w:name="_Toc412647967"/>
      <w:bookmarkStart w:id="31" w:name="_Toc412648013"/>
      <w:bookmarkStart w:id="32" w:name="_Toc414177391"/>
      <w:bookmarkStart w:id="33" w:name="_Toc414177713"/>
      <w:bookmarkStart w:id="34" w:name="_Toc476579039"/>
      <w:bookmarkStart w:id="35" w:name="_Toc484623832"/>
      <w:r w:rsidRPr="00640517">
        <w:t>Posición del Estado</w:t>
      </w:r>
      <w:bookmarkEnd w:id="29"/>
      <w:bookmarkEnd w:id="30"/>
      <w:bookmarkEnd w:id="31"/>
      <w:bookmarkEnd w:id="32"/>
      <w:bookmarkEnd w:id="33"/>
      <w:bookmarkEnd w:id="34"/>
      <w:bookmarkEnd w:id="35"/>
    </w:p>
    <w:p w14:paraId="36A44597" w14:textId="77777777" w:rsidR="00120BBD" w:rsidRPr="00640517" w:rsidRDefault="00120BBD" w:rsidP="00120BBD">
      <w:pPr>
        <w:ind w:left="720"/>
        <w:jc w:val="both"/>
        <w:rPr>
          <w:rFonts w:asciiTheme="majorHAnsi" w:hAnsiTheme="majorHAnsi"/>
          <w:sz w:val="20"/>
          <w:szCs w:val="20"/>
          <w:lang w:val="es-ES"/>
        </w:rPr>
      </w:pPr>
      <w:bookmarkStart w:id="36" w:name="_Toc388448133"/>
      <w:bookmarkStart w:id="37" w:name="_Toc412647968"/>
      <w:bookmarkStart w:id="38" w:name="_Toc412648014"/>
    </w:p>
    <w:p w14:paraId="570E81E1" w14:textId="7BFCB4F9" w:rsidR="00A5523D" w:rsidRPr="00640517" w:rsidRDefault="00A5523D" w:rsidP="005A7982">
      <w:pPr>
        <w:numPr>
          <w:ilvl w:val="0"/>
          <w:numId w:val="1"/>
        </w:numPr>
        <w:ind w:left="0" w:firstLine="720"/>
        <w:jc w:val="both"/>
        <w:rPr>
          <w:rFonts w:asciiTheme="majorHAnsi" w:hAnsiTheme="majorHAnsi"/>
          <w:sz w:val="20"/>
          <w:szCs w:val="20"/>
          <w:lang w:val="es-ES"/>
        </w:rPr>
      </w:pPr>
      <w:r w:rsidRPr="00640517">
        <w:rPr>
          <w:rFonts w:asciiTheme="majorHAnsi" w:hAnsiTheme="majorHAnsi"/>
          <w:sz w:val="20"/>
          <w:szCs w:val="20"/>
          <w:lang w:val="es-ES"/>
        </w:rPr>
        <w:t xml:space="preserve">El Estado señaló que la destitución del magistrado Colindres ocurrió por el mal desempeño de sus funciones. </w:t>
      </w:r>
      <w:r w:rsidR="00FD3310" w:rsidRPr="00640517">
        <w:rPr>
          <w:rFonts w:asciiTheme="majorHAnsi" w:hAnsiTheme="majorHAnsi"/>
          <w:sz w:val="20"/>
          <w:szCs w:val="20"/>
          <w:lang w:val="es-ES"/>
        </w:rPr>
        <w:t>Señaló que p</w:t>
      </w:r>
      <w:r w:rsidRPr="00640517">
        <w:rPr>
          <w:rFonts w:asciiTheme="majorHAnsi" w:hAnsiTheme="majorHAnsi"/>
          <w:sz w:val="20"/>
          <w:szCs w:val="20"/>
          <w:lang w:val="es-ES"/>
        </w:rPr>
        <w:t xml:space="preserve">or dicha razón, </w:t>
      </w:r>
      <w:r w:rsidR="00875D1D" w:rsidRPr="00640517">
        <w:rPr>
          <w:rFonts w:asciiTheme="majorHAnsi" w:hAnsiTheme="majorHAnsi"/>
          <w:sz w:val="20"/>
          <w:szCs w:val="20"/>
          <w:lang w:val="es-ES"/>
        </w:rPr>
        <w:t xml:space="preserve">el </w:t>
      </w:r>
      <w:r w:rsidR="00CD696A" w:rsidRPr="00640517">
        <w:rPr>
          <w:rFonts w:asciiTheme="majorHAnsi" w:hAnsiTheme="majorHAnsi"/>
          <w:sz w:val="20"/>
          <w:szCs w:val="20"/>
          <w:lang w:val="es-ES"/>
        </w:rPr>
        <w:t>p</w:t>
      </w:r>
      <w:r w:rsidRPr="00640517">
        <w:rPr>
          <w:rFonts w:asciiTheme="majorHAnsi" w:hAnsiTheme="majorHAnsi"/>
          <w:sz w:val="20"/>
          <w:szCs w:val="20"/>
          <w:lang w:val="es-ES"/>
        </w:rPr>
        <w:t xml:space="preserve">artido </w:t>
      </w:r>
      <w:r w:rsidR="00CD696A" w:rsidRPr="00640517">
        <w:rPr>
          <w:rFonts w:asciiTheme="majorHAnsi" w:hAnsiTheme="majorHAnsi"/>
          <w:sz w:val="20"/>
          <w:szCs w:val="20"/>
          <w:lang w:val="es-ES"/>
        </w:rPr>
        <w:t>p</w:t>
      </w:r>
      <w:r w:rsidRPr="00640517">
        <w:rPr>
          <w:rFonts w:asciiTheme="majorHAnsi" w:hAnsiTheme="majorHAnsi"/>
          <w:sz w:val="20"/>
          <w:szCs w:val="20"/>
          <w:lang w:val="es-ES"/>
        </w:rPr>
        <w:t xml:space="preserve">olítico </w:t>
      </w:r>
      <w:r w:rsidR="00875D1D" w:rsidRPr="00640517">
        <w:rPr>
          <w:rFonts w:asciiTheme="majorHAnsi" w:hAnsiTheme="majorHAnsi"/>
          <w:sz w:val="20"/>
          <w:szCs w:val="20"/>
          <w:lang w:val="es-ES"/>
        </w:rPr>
        <w:t xml:space="preserve">PDC </w:t>
      </w:r>
      <w:r w:rsidRPr="00640517">
        <w:rPr>
          <w:rFonts w:asciiTheme="majorHAnsi" w:hAnsiTheme="majorHAnsi"/>
          <w:sz w:val="20"/>
          <w:szCs w:val="20"/>
          <w:lang w:val="es-ES"/>
        </w:rPr>
        <w:t>present</w:t>
      </w:r>
      <w:r w:rsidR="00CD696A" w:rsidRPr="00640517">
        <w:rPr>
          <w:rFonts w:asciiTheme="majorHAnsi" w:hAnsiTheme="majorHAnsi"/>
          <w:sz w:val="20"/>
          <w:szCs w:val="20"/>
          <w:lang w:val="es-ES"/>
        </w:rPr>
        <w:t>ó</w:t>
      </w:r>
      <w:r w:rsidRPr="00640517">
        <w:rPr>
          <w:rFonts w:asciiTheme="majorHAnsi" w:hAnsiTheme="majorHAnsi"/>
          <w:sz w:val="20"/>
          <w:szCs w:val="20"/>
          <w:lang w:val="es-ES"/>
        </w:rPr>
        <w:t xml:space="preserve"> una petición a la Asamblea Legislativa que resultó en la </w:t>
      </w:r>
      <w:r w:rsidR="00C70A85" w:rsidRPr="00640517">
        <w:rPr>
          <w:rFonts w:asciiTheme="majorHAnsi" w:hAnsiTheme="majorHAnsi"/>
          <w:sz w:val="20"/>
          <w:szCs w:val="20"/>
          <w:lang w:val="es-ES"/>
        </w:rPr>
        <w:t xml:space="preserve">separación </w:t>
      </w:r>
      <w:r w:rsidRPr="00640517">
        <w:rPr>
          <w:rFonts w:asciiTheme="majorHAnsi" w:hAnsiTheme="majorHAnsi"/>
          <w:sz w:val="20"/>
          <w:szCs w:val="20"/>
          <w:lang w:val="es-ES"/>
        </w:rPr>
        <w:t xml:space="preserve">del señor </w:t>
      </w:r>
      <w:r w:rsidRPr="0096755A">
        <w:rPr>
          <w:rFonts w:asciiTheme="majorHAnsi" w:hAnsiTheme="majorHAnsi"/>
          <w:sz w:val="20"/>
          <w:szCs w:val="20"/>
          <w:lang w:val="es-ES"/>
        </w:rPr>
        <w:t xml:space="preserve">Colindres del cargo </w:t>
      </w:r>
      <w:r w:rsidR="00531976" w:rsidRPr="0096755A">
        <w:rPr>
          <w:rFonts w:asciiTheme="majorHAnsi" w:hAnsiTheme="majorHAnsi"/>
          <w:sz w:val="20"/>
          <w:szCs w:val="20"/>
          <w:lang w:val="es-ES"/>
        </w:rPr>
        <w:t xml:space="preserve">en el que había sido nombrado. </w:t>
      </w:r>
    </w:p>
    <w:p w14:paraId="62996E47" w14:textId="77777777" w:rsidR="00A5523D" w:rsidRPr="00640517" w:rsidRDefault="00A5523D" w:rsidP="005A7982">
      <w:pPr>
        <w:tabs>
          <w:tab w:val="num" w:pos="1440"/>
          <w:tab w:val="left" w:pos="2143"/>
        </w:tabs>
        <w:ind w:firstLine="720"/>
        <w:jc w:val="both"/>
        <w:rPr>
          <w:rFonts w:asciiTheme="majorHAnsi" w:hAnsiTheme="majorHAnsi"/>
          <w:sz w:val="20"/>
          <w:szCs w:val="20"/>
          <w:lang w:val="es-ES"/>
        </w:rPr>
      </w:pPr>
      <w:r w:rsidRPr="00640517">
        <w:rPr>
          <w:rFonts w:asciiTheme="majorHAnsi" w:hAnsiTheme="majorHAnsi"/>
          <w:sz w:val="20"/>
          <w:szCs w:val="20"/>
          <w:lang w:val="es-ES"/>
        </w:rPr>
        <w:tab/>
      </w:r>
    </w:p>
    <w:p w14:paraId="332875F5" w14:textId="21A6913E" w:rsidR="00A5523D" w:rsidRPr="00640517" w:rsidRDefault="00A5523D" w:rsidP="00875D1D">
      <w:pPr>
        <w:numPr>
          <w:ilvl w:val="0"/>
          <w:numId w:val="1"/>
        </w:numPr>
        <w:ind w:left="0" w:firstLine="720"/>
        <w:jc w:val="both"/>
        <w:rPr>
          <w:rFonts w:asciiTheme="majorHAnsi" w:hAnsiTheme="majorHAnsi"/>
          <w:sz w:val="20"/>
          <w:szCs w:val="20"/>
          <w:lang w:val="es-ES"/>
        </w:rPr>
      </w:pPr>
      <w:r w:rsidRPr="00640517">
        <w:rPr>
          <w:rFonts w:asciiTheme="majorHAnsi" w:hAnsiTheme="majorHAnsi"/>
          <w:sz w:val="20"/>
          <w:szCs w:val="20"/>
          <w:lang w:val="es-ES"/>
        </w:rPr>
        <w:t xml:space="preserve">Señaló </w:t>
      </w:r>
      <w:r w:rsidR="007A5CA8" w:rsidRPr="00640517">
        <w:rPr>
          <w:rFonts w:asciiTheme="majorHAnsi" w:hAnsiTheme="majorHAnsi"/>
          <w:sz w:val="20"/>
          <w:szCs w:val="20"/>
          <w:lang w:val="es-ES"/>
        </w:rPr>
        <w:t xml:space="preserve">en relación con la primera separación del cargo, que el recurso de amparo interpuesto fue efectivo pues </w:t>
      </w:r>
      <w:r w:rsidR="004658F0" w:rsidRPr="00640517">
        <w:rPr>
          <w:rFonts w:asciiTheme="majorHAnsi" w:hAnsiTheme="majorHAnsi"/>
          <w:sz w:val="20"/>
          <w:szCs w:val="20"/>
          <w:lang w:val="es-ES"/>
        </w:rPr>
        <w:t xml:space="preserve">se restituyó </w:t>
      </w:r>
      <w:r w:rsidR="00C70A85" w:rsidRPr="00640517">
        <w:rPr>
          <w:rFonts w:asciiTheme="majorHAnsi" w:hAnsiTheme="majorHAnsi"/>
          <w:sz w:val="20"/>
          <w:szCs w:val="20"/>
          <w:lang w:val="es-ES"/>
        </w:rPr>
        <w:t xml:space="preserve">al magistrado Colindres </w:t>
      </w:r>
      <w:r w:rsidRPr="00640517">
        <w:rPr>
          <w:rFonts w:asciiTheme="majorHAnsi" w:hAnsiTheme="majorHAnsi"/>
          <w:sz w:val="20"/>
          <w:szCs w:val="20"/>
          <w:lang w:val="es-ES"/>
        </w:rPr>
        <w:t xml:space="preserve">al cargo, además de habérsele indemnizado por los perjuicios causados. </w:t>
      </w:r>
      <w:r w:rsidR="0000148B" w:rsidRPr="005365A6">
        <w:rPr>
          <w:rFonts w:asciiTheme="majorHAnsi" w:hAnsiTheme="majorHAnsi"/>
          <w:sz w:val="20"/>
          <w:szCs w:val="20"/>
          <w:lang w:val="es-ES"/>
        </w:rPr>
        <w:t>Agregó que, s</w:t>
      </w:r>
      <w:r w:rsidR="00875D1D" w:rsidRPr="005365A6">
        <w:rPr>
          <w:rFonts w:asciiTheme="majorHAnsi" w:hAnsiTheme="majorHAnsi"/>
          <w:sz w:val="20"/>
          <w:szCs w:val="20"/>
          <w:lang w:val="es-ES"/>
        </w:rPr>
        <w:t>in embargo</w:t>
      </w:r>
      <w:r w:rsidR="005365A6" w:rsidRPr="005365A6">
        <w:rPr>
          <w:rFonts w:asciiTheme="majorHAnsi" w:hAnsiTheme="majorHAnsi"/>
          <w:sz w:val="20"/>
          <w:szCs w:val="20"/>
          <w:lang w:val="es-ES"/>
        </w:rPr>
        <w:t xml:space="preserve">, </w:t>
      </w:r>
      <w:r w:rsidRPr="005365A6">
        <w:rPr>
          <w:rFonts w:asciiTheme="majorHAnsi" w:hAnsiTheme="majorHAnsi"/>
          <w:sz w:val="20"/>
          <w:szCs w:val="20"/>
          <w:lang w:val="es-ES"/>
        </w:rPr>
        <w:t>por persistir</w:t>
      </w:r>
      <w:r w:rsidRPr="00640517">
        <w:rPr>
          <w:rFonts w:asciiTheme="majorHAnsi" w:hAnsiTheme="majorHAnsi"/>
          <w:sz w:val="20"/>
          <w:szCs w:val="20"/>
          <w:lang w:val="es-ES"/>
        </w:rPr>
        <w:t xml:space="preserve"> las causas en que se basaba el pedido de destitución, la Asamblea Legislativa </w:t>
      </w:r>
      <w:r w:rsidR="007A5CA8" w:rsidRPr="00640517">
        <w:rPr>
          <w:rFonts w:asciiTheme="majorHAnsi" w:hAnsiTheme="majorHAnsi"/>
          <w:sz w:val="20"/>
          <w:szCs w:val="20"/>
          <w:lang w:val="es-ES"/>
        </w:rPr>
        <w:t>en uso de sus atribuciones</w:t>
      </w:r>
      <w:r w:rsidR="00D5139F" w:rsidRPr="00640517">
        <w:rPr>
          <w:rFonts w:asciiTheme="majorHAnsi" w:hAnsiTheme="majorHAnsi"/>
          <w:sz w:val="20"/>
          <w:szCs w:val="20"/>
          <w:lang w:val="es-ES"/>
        </w:rPr>
        <w:t xml:space="preserve"> </w:t>
      </w:r>
      <w:r w:rsidR="007A5CA8" w:rsidRPr="00640517">
        <w:rPr>
          <w:rFonts w:asciiTheme="majorHAnsi" w:hAnsiTheme="majorHAnsi"/>
          <w:sz w:val="20"/>
          <w:szCs w:val="20"/>
          <w:lang w:val="es-ES"/>
        </w:rPr>
        <w:t>reconocidas por la Sala de lo Constitucional, inició un nuevo procedimiento que respetó las garantías del debido proceso durante todo el trámite, sin que existieran presiones exter</w:t>
      </w:r>
      <w:r w:rsidR="00577E21" w:rsidRPr="00640517">
        <w:rPr>
          <w:rFonts w:asciiTheme="majorHAnsi" w:hAnsiTheme="majorHAnsi"/>
          <w:sz w:val="20"/>
          <w:szCs w:val="20"/>
          <w:lang w:val="es-ES"/>
        </w:rPr>
        <w:t>nas</w:t>
      </w:r>
      <w:r w:rsidR="007A5CA8" w:rsidRPr="00640517">
        <w:rPr>
          <w:rFonts w:asciiTheme="majorHAnsi" w:hAnsiTheme="majorHAnsi"/>
          <w:sz w:val="20"/>
          <w:szCs w:val="20"/>
          <w:lang w:val="es-ES"/>
        </w:rPr>
        <w:t xml:space="preserve"> de ninguna naturaleza. </w:t>
      </w:r>
    </w:p>
    <w:p w14:paraId="3241FB84" w14:textId="77777777" w:rsidR="00A5523D" w:rsidRPr="00640517" w:rsidRDefault="00A5523D" w:rsidP="005A7982">
      <w:pPr>
        <w:tabs>
          <w:tab w:val="num" w:pos="1440"/>
        </w:tabs>
        <w:ind w:firstLine="720"/>
        <w:jc w:val="both"/>
        <w:rPr>
          <w:rFonts w:asciiTheme="majorHAnsi" w:hAnsiTheme="majorHAnsi"/>
          <w:sz w:val="20"/>
          <w:szCs w:val="20"/>
          <w:lang w:val="es-ES"/>
        </w:rPr>
      </w:pPr>
    </w:p>
    <w:p w14:paraId="285AC3AE" w14:textId="12BC1260" w:rsidR="00A5523D" w:rsidRPr="00640517" w:rsidRDefault="00A5523D" w:rsidP="00D5139F">
      <w:pPr>
        <w:numPr>
          <w:ilvl w:val="0"/>
          <w:numId w:val="1"/>
        </w:numPr>
        <w:ind w:left="0" w:firstLine="720"/>
        <w:jc w:val="both"/>
        <w:rPr>
          <w:rFonts w:asciiTheme="majorHAnsi" w:hAnsiTheme="majorHAnsi"/>
          <w:sz w:val="20"/>
          <w:szCs w:val="20"/>
          <w:lang w:val="es-ES"/>
        </w:rPr>
      </w:pPr>
      <w:r w:rsidRPr="00640517">
        <w:rPr>
          <w:rFonts w:asciiTheme="majorHAnsi" w:hAnsiTheme="majorHAnsi"/>
          <w:sz w:val="20"/>
          <w:szCs w:val="20"/>
          <w:lang w:val="es-ES"/>
        </w:rPr>
        <w:t>Respecto del proceso por daños y perjuicios el Estado informó que el 22 de diciembre de 2009 se decidió el recurso de casación civil –</w:t>
      </w:r>
      <w:r w:rsidR="005E0E5B" w:rsidRPr="00640517">
        <w:rPr>
          <w:rFonts w:asciiTheme="majorHAnsi" w:hAnsiTheme="majorHAnsi"/>
          <w:sz w:val="20"/>
          <w:szCs w:val="20"/>
          <w:lang w:val="es-ES"/>
        </w:rPr>
        <w:t xml:space="preserve"> </w:t>
      </w:r>
      <w:r w:rsidRPr="00640517">
        <w:rPr>
          <w:rFonts w:asciiTheme="majorHAnsi" w:hAnsiTheme="majorHAnsi"/>
          <w:sz w:val="20"/>
          <w:szCs w:val="20"/>
          <w:lang w:val="es-ES"/>
        </w:rPr>
        <w:t xml:space="preserve">decisión ejecutoriada el día 23 de febrero de 2010.  Según el Estado, dicha resolución confirmó la sentencia </w:t>
      </w:r>
      <w:r w:rsidR="00C1511E">
        <w:rPr>
          <w:rFonts w:asciiTheme="majorHAnsi" w:hAnsiTheme="majorHAnsi"/>
          <w:sz w:val="20"/>
          <w:szCs w:val="20"/>
          <w:lang w:val="es-ES"/>
        </w:rPr>
        <w:t xml:space="preserve">del </w:t>
      </w:r>
      <w:r w:rsidRPr="00640517">
        <w:rPr>
          <w:rFonts w:asciiTheme="majorHAnsi" w:hAnsiTheme="majorHAnsi"/>
          <w:sz w:val="20"/>
          <w:szCs w:val="20"/>
          <w:lang w:val="es-ES"/>
        </w:rPr>
        <w:t xml:space="preserve">primer amparo dictaminada por la Primera Sección del Centro, condenando el Estado por haber destituido al </w:t>
      </w:r>
      <w:r w:rsidR="00853E48" w:rsidRPr="00640517">
        <w:rPr>
          <w:rFonts w:asciiTheme="majorHAnsi" w:hAnsiTheme="majorHAnsi"/>
          <w:sz w:val="20"/>
          <w:szCs w:val="20"/>
          <w:lang w:val="es-ES"/>
        </w:rPr>
        <w:t xml:space="preserve">magistrado </w:t>
      </w:r>
      <w:r w:rsidRPr="00640517">
        <w:rPr>
          <w:rFonts w:asciiTheme="majorHAnsi" w:hAnsiTheme="majorHAnsi"/>
          <w:sz w:val="20"/>
          <w:szCs w:val="20"/>
          <w:lang w:val="es-ES"/>
        </w:rPr>
        <w:t xml:space="preserve">Colindres. El Estado informó que ya se habían empezado las gestiones para posibilitar que en el próximo ejercicio fiscal  se pudiera realizar el pago ordenado a favor del señor Colindres en concepto de indemnización. </w:t>
      </w:r>
      <w:r w:rsidR="00853E48" w:rsidRPr="00640517">
        <w:rPr>
          <w:rFonts w:asciiTheme="majorHAnsi" w:hAnsiTheme="majorHAnsi"/>
          <w:sz w:val="20"/>
          <w:szCs w:val="20"/>
          <w:lang w:val="es-ES"/>
        </w:rPr>
        <w:t xml:space="preserve">Señaló </w:t>
      </w:r>
      <w:r w:rsidRPr="00640517">
        <w:rPr>
          <w:rFonts w:asciiTheme="majorHAnsi" w:hAnsiTheme="majorHAnsi"/>
          <w:sz w:val="20"/>
          <w:szCs w:val="20"/>
          <w:lang w:val="es-ES"/>
        </w:rPr>
        <w:t xml:space="preserve">que las proyecciones presupuestarias institucionales concluirían con su presentación al Órgano Legislativo para su estudio y aprobación, lo que informó que ocurriría a finales de septiembre de 2012. Con posterioridad, el Estado señaló que se aprobó la política presupuestaria de 2013 en abril de 2012. En ese contexto, informó que el Ministerio de las Relaciones Exteriores solicitó verificar y gestionar que se incluyeran los fondos suficientes en el presupuesto correspondiente del TSE o de la Asamblea Legislativa, para que así se pudiera realizar el pago de la indemnización a favor del </w:t>
      </w:r>
      <w:r w:rsidR="00661F75" w:rsidRPr="00640517">
        <w:rPr>
          <w:rFonts w:asciiTheme="majorHAnsi" w:hAnsiTheme="majorHAnsi"/>
          <w:sz w:val="20"/>
          <w:szCs w:val="20"/>
          <w:lang w:val="es-ES"/>
        </w:rPr>
        <w:t xml:space="preserve">señor </w:t>
      </w:r>
      <w:r w:rsidRPr="00640517">
        <w:rPr>
          <w:rFonts w:asciiTheme="majorHAnsi" w:hAnsiTheme="majorHAnsi"/>
          <w:sz w:val="20"/>
          <w:szCs w:val="20"/>
          <w:lang w:val="es-ES"/>
        </w:rPr>
        <w:t>Colindres.</w:t>
      </w:r>
    </w:p>
    <w:p w14:paraId="3D11C40D" w14:textId="77777777" w:rsidR="00A5523D" w:rsidRPr="00640517" w:rsidRDefault="00A5523D" w:rsidP="005A7982">
      <w:pPr>
        <w:tabs>
          <w:tab w:val="num" w:pos="1440"/>
        </w:tabs>
        <w:ind w:firstLine="720"/>
        <w:jc w:val="both"/>
        <w:rPr>
          <w:rFonts w:asciiTheme="majorHAnsi" w:hAnsiTheme="majorHAnsi"/>
          <w:sz w:val="20"/>
          <w:szCs w:val="20"/>
          <w:lang w:val="es-ES"/>
        </w:rPr>
      </w:pPr>
    </w:p>
    <w:p w14:paraId="6D9AF864" w14:textId="7423516F" w:rsidR="00597A3B" w:rsidRPr="00640517" w:rsidRDefault="00A5523D" w:rsidP="00032804">
      <w:pPr>
        <w:numPr>
          <w:ilvl w:val="0"/>
          <w:numId w:val="1"/>
        </w:numPr>
        <w:ind w:left="0" w:firstLine="720"/>
        <w:jc w:val="both"/>
        <w:rPr>
          <w:rFonts w:asciiTheme="majorHAnsi" w:hAnsiTheme="majorHAnsi"/>
          <w:sz w:val="20"/>
          <w:szCs w:val="20"/>
          <w:lang w:val="es-ES"/>
        </w:rPr>
      </w:pPr>
      <w:r w:rsidRPr="00640517">
        <w:rPr>
          <w:rFonts w:asciiTheme="majorHAnsi" w:hAnsiTheme="majorHAnsi"/>
          <w:sz w:val="20"/>
          <w:szCs w:val="20"/>
          <w:lang w:val="es-ES"/>
        </w:rPr>
        <w:t xml:space="preserve">Sostuvo que no violó </w:t>
      </w:r>
      <w:r w:rsidR="007A5CA8" w:rsidRPr="00640517">
        <w:rPr>
          <w:rFonts w:asciiTheme="majorHAnsi" w:hAnsiTheme="majorHAnsi"/>
          <w:sz w:val="20"/>
          <w:szCs w:val="20"/>
          <w:lang w:val="es-ES"/>
        </w:rPr>
        <w:t xml:space="preserve">los </w:t>
      </w:r>
      <w:r w:rsidR="00C70A85" w:rsidRPr="00640517">
        <w:rPr>
          <w:rFonts w:asciiTheme="majorHAnsi" w:hAnsiTheme="majorHAnsi"/>
          <w:sz w:val="20"/>
          <w:szCs w:val="20"/>
          <w:lang w:val="es-ES"/>
        </w:rPr>
        <w:t xml:space="preserve">derechos a las garantías judiciales </w:t>
      </w:r>
      <w:r w:rsidR="00A134B2" w:rsidRPr="00640517">
        <w:rPr>
          <w:rFonts w:asciiTheme="majorHAnsi" w:hAnsiTheme="majorHAnsi"/>
          <w:sz w:val="20"/>
          <w:szCs w:val="20"/>
          <w:lang w:val="es-ES"/>
        </w:rPr>
        <w:t xml:space="preserve">ni </w:t>
      </w:r>
      <w:r w:rsidR="00C70A85" w:rsidRPr="00640517">
        <w:rPr>
          <w:rFonts w:asciiTheme="majorHAnsi" w:hAnsiTheme="majorHAnsi"/>
          <w:sz w:val="20"/>
          <w:szCs w:val="20"/>
          <w:lang w:val="es-ES"/>
        </w:rPr>
        <w:t xml:space="preserve">el </w:t>
      </w:r>
      <w:r w:rsidRPr="00640517">
        <w:rPr>
          <w:rFonts w:asciiTheme="majorHAnsi" w:hAnsiTheme="majorHAnsi"/>
          <w:sz w:val="20"/>
          <w:szCs w:val="20"/>
          <w:lang w:val="es-ES"/>
        </w:rPr>
        <w:t>principio de legalidad</w:t>
      </w:r>
      <w:r w:rsidR="00032804" w:rsidRPr="00640517">
        <w:rPr>
          <w:rFonts w:asciiTheme="majorHAnsi" w:hAnsiTheme="majorHAnsi"/>
          <w:sz w:val="20"/>
          <w:szCs w:val="20"/>
          <w:lang w:val="es-ES"/>
        </w:rPr>
        <w:t xml:space="preserve">, </w:t>
      </w:r>
      <w:r w:rsidRPr="00640517">
        <w:rPr>
          <w:rFonts w:asciiTheme="majorHAnsi" w:hAnsiTheme="majorHAnsi"/>
          <w:sz w:val="20"/>
          <w:szCs w:val="20"/>
          <w:lang w:val="es-ES"/>
        </w:rPr>
        <w:t xml:space="preserve">puesto que la Asamblea Legislativa </w:t>
      </w:r>
      <w:r w:rsidR="00C70A85" w:rsidRPr="00640517">
        <w:rPr>
          <w:rFonts w:asciiTheme="majorHAnsi" w:hAnsiTheme="majorHAnsi"/>
          <w:sz w:val="20"/>
          <w:szCs w:val="20"/>
          <w:lang w:val="es-ES"/>
        </w:rPr>
        <w:t xml:space="preserve">tenía </w:t>
      </w:r>
      <w:r w:rsidRPr="00640517">
        <w:rPr>
          <w:rFonts w:asciiTheme="majorHAnsi" w:hAnsiTheme="majorHAnsi"/>
          <w:sz w:val="20"/>
          <w:szCs w:val="20"/>
          <w:lang w:val="es-ES"/>
        </w:rPr>
        <w:t xml:space="preserve">poderes para destituir el magistrado del cargo, toda vez que si bien el ordenamiento jurídico interno no </w:t>
      </w:r>
      <w:r w:rsidR="00A134B2" w:rsidRPr="00640517">
        <w:rPr>
          <w:rFonts w:asciiTheme="majorHAnsi" w:hAnsiTheme="majorHAnsi"/>
          <w:sz w:val="20"/>
          <w:szCs w:val="20"/>
          <w:lang w:val="es-ES"/>
        </w:rPr>
        <w:t xml:space="preserve">regula </w:t>
      </w:r>
      <w:r w:rsidRPr="00640517">
        <w:rPr>
          <w:rFonts w:asciiTheme="majorHAnsi" w:hAnsiTheme="majorHAnsi"/>
          <w:sz w:val="20"/>
          <w:szCs w:val="20"/>
          <w:lang w:val="es-ES"/>
        </w:rPr>
        <w:t xml:space="preserve">dicha hipótesis de forma expresa, </w:t>
      </w:r>
      <w:r w:rsidR="00C70A85" w:rsidRPr="00640517">
        <w:rPr>
          <w:rFonts w:asciiTheme="majorHAnsi" w:hAnsiTheme="majorHAnsi"/>
          <w:sz w:val="20"/>
          <w:szCs w:val="20"/>
          <w:lang w:val="es-ES"/>
        </w:rPr>
        <w:t xml:space="preserve">al ser </w:t>
      </w:r>
      <w:r w:rsidRPr="00640517">
        <w:rPr>
          <w:rFonts w:asciiTheme="majorHAnsi" w:hAnsiTheme="majorHAnsi"/>
          <w:sz w:val="20"/>
          <w:szCs w:val="20"/>
          <w:lang w:val="es-ES"/>
        </w:rPr>
        <w:t>la Asamblea Legislativa la responsable de</w:t>
      </w:r>
      <w:r w:rsidR="00C70A85" w:rsidRPr="00640517">
        <w:rPr>
          <w:rFonts w:asciiTheme="majorHAnsi" w:hAnsiTheme="majorHAnsi"/>
          <w:sz w:val="20"/>
          <w:szCs w:val="20"/>
          <w:lang w:val="es-ES"/>
        </w:rPr>
        <w:t>l</w:t>
      </w:r>
      <w:r w:rsidRPr="00640517">
        <w:rPr>
          <w:rFonts w:asciiTheme="majorHAnsi" w:hAnsiTheme="majorHAnsi"/>
          <w:sz w:val="20"/>
          <w:szCs w:val="20"/>
          <w:lang w:val="es-ES"/>
        </w:rPr>
        <w:t xml:space="preserve"> nombramiento, también debería ser la encargada de eventuales </w:t>
      </w:r>
      <w:r w:rsidR="00853E48" w:rsidRPr="00640517">
        <w:rPr>
          <w:rFonts w:asciiTheme="majorHAnsi" w:hAnsiTheme="majorHAnsi"/>
          <w:sz w:val="20"/>
          <w:szCs w:val="20"/>
          <w:lang w:val="es-ES"/>
        </w:rPr>
        <w:t xml:space="preserve">solicitudes </w:t>
      </w:r>
      <w:r w:rsidRPr="00640517">
        <w:rPr>
          <w:rFonts w:asciiTheme="majorHAnsi" w:hAnsiTheme="majorHAnsi"/>
          <w:sz w:val="20"/>
          <w:szCs w:val="20"/>
          <w:lang w:val="es-ES"/>
        </w:rPr>
        <w:t>de destitución</w:t>
      </w:r>
      <w:r w:rsidR="00597A3B" w:rsidRPr="00640517">
        <w:rPr>
          <w:rFonts w:asciiTheme="majorHAnsi" w:hAnsiTheme="majorHAnsi"/>
          <w:sz w:val="20"/>
          <w:szCs w:val="20"/>
          <w:lang w:val="es-ES"/>
        </w:rPr>
        <w:t xml:space="preserve"> cuando los magistrados dejaren de cumplir con tales requisitos</w:t>
      </w:r>
      <w:r w:rsidRPr="00640517">
        <w:rPr>
          <w:rFonts w:asciiTheme="majorHAnsi" w:hAnsiTheme="majorHAnsi"/>
          <w:sz w:val="20"/>
          <w:szCs w:val="20"/>
          <w:lang w:val="es-ES"/>
        </w:rPr>
        <w:t>.</w:t>
      </w:r>
      <w:r w:rsidR="00C70A85" w:rsidRPr="00640517">
        <w:rPr>
          <w:rFonts w:asciiTheme="majorHAnsi" w:hAnsiTheme="majorHAnsi"/>
          <w:sz w:val="20"/>
          <w:szCs w:val="20"/>
          <w:lang w:val="es-ES"/>
        </w:rPr>
        <w:t xml:space="preserve"> En este sentido</w:t>
      </w:r>
      <w:r w:rsidR="00A134B2" w:rsidRPr="00640517">
        <w:rPr>
          <w:rFonts w:asciiTheme="majorHAnsi" w:hAnsiTheme="majorHAnsi"/>
          <w:sz w:val="20"/>
          <w:szCs w:val="20"/>
          <w:lang w:val="es-ES"/>
        </w:rPr>
        <w:t>,</w:t>
      </w:r>
      <w:r w:rsidR="00C70A85" w:rsidRPr="00640517">
        <w:rPr>
          <w:rFonts w:asciiTheme="majorHAnsi" w:hAnsiTheme="majorHAnsi"/>
          <w:sz w:val="20"/>
          <w:szCs w:val="20"/>
          <w:lang w:val="es-ES"/>
        </w:rPr>
        <w:t xml:space="preserve"> señaló que </w:t>
      </w:r>
      <w:r w:rsidR="00597A3B" w:rsidRPr="00640517">
        <w:rPr>
          <w:rFonts w:asciiTheme="majorHAnsi" w:hAnsiTheme="majorHAnsi"/>
          <w:sz w:val="20"/>
          <w:szCs w:val="20"/>
          <w:lang w:val="es-ES"/>
        </w:rPr>
        <w:t xml:space="preserve">tampoco </w:t>
      </w:r>
      <w:r w:rsidR="00C70A85" w:rsidRPr="00640517">
        <w:rPr>
          <w:rFonts w:asciiTheme="majorHAnsi" w:hAnsiTheme="majorHAnsi"/>
          <w:sz w:val="20"/>
          <w:szCs w:val="20"/>
          <w:lang w:val="es-ES"/>
        </w:rPr>
        <w:t xml:space="preserve">incurrió </w:t>
      </w:r>
      <w:r w:rsidR="00432B2C">
        <w:rPr>
          <w:rFonts w:asciiTheme="majorHAnsi" w:hAnsiTheme="majorHAnsi"/>
          <w:sz w:val="20"/>
          <w:szCs w:val="20"/>
          <w:lang w:val="es-ES"/>
        </w:rPr>
        <w:t xml:space="preserve">en </w:t>
      </w:r>
      <w:r w:rsidR="00C70A85" w:rsidRPr="00640517">
        <w:rPr>
          <w:rFonts w:asciiTheme="majorHAnsi" w:hAnsiTheme="majorHAnsi"/>
          <w:sz w:val="20"/>
          <w:szCs w:val="20"/>
          <w:lang w:val="es-ES"/>
        </w:rPr>
        <w:t>la violación de los derechos políticos del señor Colindres.</w:t>
      </w:r>
      <w:r w:rsidR="00032804" w:rsidRPr="00640517">
        <w:rPr>
          <w:rFonts w:asciiTheme="majorHAnsi" w:hAnsiTheme="majorHAnsi"/>
          <w:sz w:val="20"/>
          <w:szCs w:val="20"/>
          <w:lang w:val="es-ES"/>
        </w:rPr>
        <w:t xml:space="preserve">  </w:t>
      </w:r>
    </w:p>
    <w:p w14:paraId="6D381414" w14:textId="77777777" w:rsidR="00597A3B" w:rsidRPr="00640517" w:rsidRDefault="00597A3B" w:rsidP="00597A3B">
      <w:pPr>
        <w:pStyle w:val="ListParagraph"/>
        <w:rPr>
          <w:rFonts w:asciiTheme="majorHAnsi" w:hAnsiTheme="majorHAnsi"/>
          <w:sz w:val="20"/>
          <w:szCs w:val="20"/>
          <w:lang w:val="es-ES"/>
        </w:rPr>
      </w:pPr>
    </w:p>
    <w:p w14:paraId="1B6737EE" w14:textId="5211892A" w:rsidR="00FB6B63" w:rsidRPr="00640517" w:rsidRDefault="00032804" w:rsidP="00FB6B63">
      <w:pPr>
        <w:numPr>
          <w:ilvl w:val="0"/>
          <w:numId w:val="1"/>
        </w:numPr>
        <w:ind w:left="0" w:firstLine="720"/>
        <w:jc w:val="both"/>
        <w:rPr>
          <w:rFonts w:asciiTheme="majorHAnsi" w:hAnsiTheme="majorHAnsi"/>
          <w:bCs/>
          <w:sz w:val="20"/>
          <w:szCs w:val="20"/>
          <w:lang w:val="es-ES"/>
        </w:rPr>
      </w:pPr>
      <w:r w:rsidRPr="00640517">
        <w:rPr>
          <w:rFonts w:asciiTheme="majorHAnsi" w:hAnsiTheme="majorHAnsi"/>
          <w:sz w:val="20"/>
          <w:szCs w:val="20"/>
          <w:lang w:val="es-ES"/>
        </w:rPr>
        <w:t>En relación con el derecho a la protección judicial, el Estado señaló que los recursos interpuestos por el señor Colindres durante el proceso disciplinario y una vez</w:t>
      </w:r>
      <w:r w:rsidR="00D5139F" w:rsidRPr="00640517">
        <w:rPr>
          <w:rFonts w:asciiTheme="majorHAnsi" w:hAnsiTheme="majorHAnsi"/>
          <w:sz w:val="20"/>
          <w:szCs w:val="20"/>
          <w:lang w:val="es-ES"/>
        </w:rPr>
        <w:t xml:space="preserve"> finalizado </w:t>
      </w:r>
      <w:r w:rsidR="0003015A">
        <w:rPr>
          <w:rFonts w:asciiTheme="majorHAnsi" w:hAnsiTheme="majorHAnsi"/>
          <w:sz w:val="20"/>
          <w:szCs w:val="20"/>
          <w:lang w:val="es-ES"/>
        </w:rPr>
        <w:t>é</w:t>
      </w:r>
      <w:r w:rsidR="00D5139F" w:rsidRPr="00640517">
        <w:rPr>
          <w:rFonts w:asciiTheme="majorHAnsi" w:hAnsiTheme="majorHAnsi"/>
          <w:sz w:val="20"/>
          <w:szCs w:val="20"/>
          <w:lang w:val="es-ES"/>
        </w:rPr>
        <w:t>ste fueron decidido</w:t>
      </w:r>
      <w:r w:rsidRPr="00640517">
        <w:rPr>
          <w:rFonts w:asciiTheme="majorHAnsi" w:hAnsiTheme="majorHAnsi"/>
          <w:sz w:val="20"/>
          <w:szCs w:val="20"/>
          <w:lang w:val="es-ES"/>
        </w:rPr>
        <w:t xml:space="preserve">s por la Sala de lo Constitucional en apego a la Constitución y la legislación, siendo declarados improcedentes en algunos casos por no ser bien interpuestos, no tener fundamento </w:t>
      </w:r>
      <w:r w:rsidR="00597A3B" w:rsidRPr="00640517">
        <w:rPr>
          <w:rFonts w:asciiTheme="majorHAnsi" w:hAnsiTheme="majorHAnsi"/>
          <w:sz w:val="20"/>
          <w:szCs w:val="20"/>
          <w:lang w:val="es-ES"/>
        </w:rPr>
        <w:t xml:space="preserve">constitucional, </w:t>
      </w:r>
      <w:r w:rsidRPr="00640517">
        <w:rPr>
          <w:rFonts w:asciiTheme="majorHAnsi" w:hAnsiTheme="majorHAnsi"/>
          <w:sz w:val="20"/>
          <w:szCs w:val="20"/>
          <w:lang w:val="es-ES"/>
        </w:rPr>
        <w:t>o bien</w:t>
      </w:r>
      <w:r w:rsidR="00597A3B" w:rsidRPr="00640517">
        <w:rPr>
          <w:rFonts w:asciiTheme="majorHAnsi" w:hAnsiTheme="majorHAnsi"/>
          <w:sz w:val="20"/>
          <w:szCs w:val="20"/>
          <w:lang w:val="es-ES"/>
        </w:rPr>
        <w:t>,</w:t>
      </w:r>
      <w:r w:rsidRPr="00640517">
        <w:rPr>
          <w:rFonts w:asciiTheme="majorHAnsi" w:hAnsiTheme="majorHAnsi"/>
          <w:sz w:val="20"/>
          <w:szCs w:val="20"/>
          <w:lang w:val="es-ES"/>
        </w:rPr>
        <w:t xml:space="preserve"> porque el señor Colindres alegaba cuestiones de mera legalidad.</w:t>
      </w:r>
    </w:p>
    <w:p w14:paraId="61D97841" w14:textId="77777777" w:rsidR="00FB6B63" w:rsidRPr="00640517" w:rsidRDefault="00FB6B63" w:rsidP="00FB6B63">
      <w:pPr>
        <w:jc w:val="both"/>
        <w:rPr>
          <w:rFonts w:asciiTheme="majorHAnsi" w:hAnsiTheme="majorHAnsi"/>
          <w:sz w:val="20"/>
          <w:szCs w:val="20"/>
          <w:lang w:val="es-MX"/>
        </w:rPr>
      </w:pPr>
    </w:p>
    <w:p w14:paraId="6EE74ACC" w14:textId="29A7BE74" w:rsidR="009D7F32" w:rsidRPr="007B378B" w:rsidRDefault="009D7F32" w:rsidP="00207C3A">
      <w:pPr>
        <w:pStyle w:val="Heading1"/>
        <w:rPr>
          <w:b/>
        </w:rPr>
      </w:pPr>
      <w:bookmarkStart w:id="39" w:name="_Toc414177392"/>
      <w:bookmarkStart w:id="40" w:name="_Toc414177714"/>
      <w:bookmarkStart w:id="41" w:name="_Toc476579040"/>
      <w:bookmarkStart w:id="42" w:name="_Toc484623833"/>
      <w:r w:rsidRPr="007B378B">
        <w:rPr>
          <w:b/>
        </w:rPr>
        <w:t>IV.</w:t>
      </w:r>
      <w:r w:rsidR="00FE625F" w:rsidRPr="007B378B">
        <w:rPr>
          <w:b/>
        </w:rPr>
        <w:tab/>
      </w:r>
      <w:r w:rsidRPr="007B378B">
        <w:rPr>
          <w:b/>
        </w:rPr>
        <w:t>ANÁLISIS DE FONDO</w:t>
      </w:r>
      <w:bookmarkEnd w:id="36"/>
      <w:bookmarkEnd w:id="37"/>
      <w:bookmarkEnd w:id="38"/>
      <w:bookmarkEnd w:id="39"/>
      <w:bookmarkEnd w:id="40"/>
      <w:bookmarkEnd w:id="41"/>
      <w:bookmarkEnd w:id="42"/>
    </w:p>
    <w:p w14:paraId="3A2D779C" w14:textId="77777777" w:rsidR="009D7F32" w:rsidRPr="00880B2A" w:rsidRDefault="009D7F32" w:rsidP="005A7982">
      <w:pPr>
        <w:tabs>
          <w:tab w:val="left" w:pos="1440"/>
        </w:tabs>
        <w:rPr>
          <w:rFonts w:asciiTheme="majorHAnsi" w:hAnsiTheme="majorHAnsi"/>
          <w:b/>
          <w:sz w:val="18"/>
          <w:szCs w:val="20"/>
          <w:lang w:val="es-ES"/>
        </w:rPr>
      </w:pPr>
    </w:p>
    <w:p w14:paraId="7D526D1E" w14:textId="77777777" w:rsidR="009D7F32" w:rsidRPr="00880B2A" w:rsidRDefault="009D20F0" w:rsidP="00880B2A">
      <w:pPr>
        <w:pStyle w:val="Heading2"/>
        <w:numPr>
          <w:ilvl w:val="0"/>
          <w:numId w:val="26"/>
        </w:numPr>
        <w:ind w:left="1440" w:hanging="720"/>
      </w:pPr>
      <w:bookmarkStart w:id="43" w:name="_Toc414177393"/>
      <w:bookmarkStart w:id="44" w:name="_Toc414177715"/>
      <w:bookmarkStart w:id="45" w:name="_Toc476579041"/>
      <w:bookmarkStart w:id="46" w:name="_Toc484623834"/>
      <w:r w:rsidRPr="00880B2A">
        <w:t>Hechos probados</w:t>
      </w:r>
      <w:bookmarkEnd w:id="43"/>
      <w:bookmarkEnd w:id="44"/>
      <w:bookmarkEnd w:id="45"/>
      <w:bookmarkEnd w:id="46"/>
    </w:p>
    <w:p w14:paraId="5E3102BF" w14:textId="77777777" w:rsidR="00120BBD" w:rsidRPr="00640517" w:rsidRDefault="00120BBD" w:rsidP="00120BBD">
      <w:pPr>
        <w:jc w:val="both"/>
        <w:rPr>
          <w:rFonts w:asciiTheme="majorHAnsi" w:hAnsiTheme="majorHAnsi"/>
          <w:sz w:val="20"/>
          <w:szCs w:val="20"/>
          <w:lang w:val="es-ES"/>
        </w:rPr>
      </w:pPr>
    </w:p>
    <w:p w14:paraId="19433421" w14:textId="117255E9" w:rsidR="00C438AF" w:rsidRPr="00640517" w:rsidRDefault="005154DB" w:rsidP="00543E97">
      <w:pPr>
        <w:numPr>
          <w:ilvl w:val="0"/>
          <w:numId w:val="1"/>
        </w:numPr>
        <w:ind w:left="0" w:firstLine="720"/>
        <w:jc w:val="both"/>
        <w:rPr>
          <w:rFonts w:asciiTheme="majorHAnsi" w:hAnsiTheme="majorHAnsi"/>
          <w:sz w:val="20"/>
          <w:szCs w:val="20"/>
          <w:lang w:val="es-ES"/>
        </w:rPr>
      </w:pPr>
      <w:r w:rsidRPr="00640517">
        <w:rPr>
          <w:rFonts w:asciiTheme="majorHAnsi" w:hAnsiTheme="majorHAnsi"/>
          <w:sz w:val="20"/>
          <w:szCs w:val="20"/>
          <w:lang w:val="es-ES"/>
        </w:rPr>
        <w:t>E</w:t>
      </w:r>
      <w:r w:rsidR="00A41241" w:rsidRPr="00640517">
        <w:rPr>
          <w:rFonts w:asciiTheme="majorHAnsi" w:hAnsiTheme="majorHAnsi"/>
          <w:sz w:val="20"/>
          <w:szCs w:val="20"/>
          <w:lang w:val="es-ES"/>
        </w:rPr>
        <w:t xml:space="preserve">l señor </w:t>
      </w:r>
      <w:r w:rsidR="00120BBD" w:rsidRPr="00640517">
        <w:rPr>
          <w:rFonts w:asciiTheme="majorHAnsi" w:hAnsiTheme="majorHAnsi"/>
          <w:sz w:val="20"/>
          <w:szCs w:val="20"/>
          <w:lang w:val="es-CO"/>
        </w:rPr>
        <w:t>Eduardo Benjamín Colindres</w:t>
      </w:r>
      <w:r w:rsidR="00A41241" w:rsidRPr="00640517">
        <w:rPr>
          <w:rFonts w:asciiTheme="majorHAnsi" w:hAnsiTheme="majorHAnsi"/>
          <w:sz w:val="20"/>
          <w:szCs w:val="20"/>
          <w:lang w:val="es-CO"/>
        </w:rPr>
        <w:t xml:space="preserve"> a la fecha de los hechos </w:t>
      </w:r>
      <w:r w:rsidR="00AA328E" w:rsidRPr="00640517">
        <w:rPr>
          <w:rFonts w:asciiTheme="majorHAnsi" w:hAnsiTheme="majorHAnsi"/>
          <w:sz w:val="20"/>
          <w:szCs w:val="20"/>
          <w:lang w:val="es-CO"/>
        </w:rPr>
        <w:t xml:space="preserve">era </w:t>
      </w:r>
      <w:r w:rsidR="00120BBD" w:rsidRPr="00640517">
        <w:rPr>
          <w:rFonts w:asciiTheme="majorHAnsi" w:hAnsiTheme="majorHAnsi"/>
          <w:sz w:val="20"/>
          <w:szCs w:val="20"/>
          <w:lang w:val="es-CO"/>
        </w:rPr>
        <w:t>abogado</w:t>
      </w:r>
      <w:r w:rsidR="0033683C" w:rsidRPr="00640517">
        <w:rPr>
          <w:rFonts w:asciiTheme="majorHAnsi" w:hAnsiTheme="majorHAnsi"/>
          <w:sz w:val="20"/>
          <w:szCs w:val="20"/>
          <w:lang w:val="es-CO"/>
        </w:rPr>
        <w:t xml:space="preserve">, </w:t>
      </w:r>
      <w:r w:rsidR="00120BBD" w:rsidRPr="00640517">
        <w:rPr>
          <w:rFonts w:asciiTheme="majorHAnsi" w:hAnsiTheme="majorHAnsi"/>
          <w:sz w:val="20"/>
          <w:szCs w:val="20"/>
          <w:lang w:val="es-CO"/>
        </w:rPr>
        <w:t>licenciado en Sociología y Doctor en Historia</w:t>
      </w:r>
      <w:r w:rsidR="00120BBD" w:rsidRPr="00640517">
        <w:rPr>
          <w:rStyle w:val="FootnoteReference"/>
          <w:rFonts w:asciiTheme="majorHAnsi" w:hAnsiTheme="majorHAnsi"/>
          <w:sz w:val="20"/>
          <w:szCs w:val="20"/>
          <w:lang w:val="es-CO"/>
        </w:rPr>
        <w:footnoteReference w:id="2"/>
      </w:r>
      <w:r w:rsidR="00120BBD" w:rsidRPr="00640517">
        <w:rPr>
          <w:rFonts w:asciiTheme="majorHAnsi" w:hAnsiTheme="majorHAnsi"/>
          <w:sz w:val="20"/>
          <w:szCs w:val="20"/>
          <w:lang w:val="es-CO"/>
        </w:rPr>
        <w:t>.</w:t>
      </w:r>
      <w:r w:rsidR="00543E97" w:rsidRPr="00640517">
        <w:rPr>
          <w:rFonts w:asciiTheme="majorHAnsi" w:hAnsiTheme="majorHAnsi"/>
          <w:sz w:val="20"/>
          <w:szCs w:val="20"/>
          <w:lang w:val="es-ES"/>
        </w:rPr>
        <w:t xml:space="preserve"> </w:t>
      </w:r>
      <w:r w:rsidR="00322CBA" w:rsidRPr="00640517">
        <w:rPr>
          <w:rFonts w:asciiTheme="majorHAnsi" w:hAnsiTheme="majorHAnsi"/>
          <w:sz w:val="20"/>
          <w:szCs w:val="20"/>
          <w:lang w:val="es-ES"/>
        </w:rPr>
        <w:t>F</w:t>
      </w:r>
      <w:r w:rsidR="00886DC0" w:rsidRPr="00640517">
        <w:rPr>
          <w:rFonts w:asciiTheme="majorHAnsi" w:hAnsiTheme="majorHAnsi"/>
          <w:sz w:val="20"/>
          <w:szCs w:val="20"/>
          <w:lang w:val="es-ES"/>
        </w:rPr>
        <w:t xml:space="preserve">ue </w:t>
      </w:r>
      <w:r w:rsidR="00890322" w:rsidRPr="00640517">
        <w:rPr>
          <w:rFonts w:asciiTheme="majorHAnsi" w:hAnsiTheme="majorHAnsi"/>
          <w:sz w:val="20"/>
          <w:szCs w:val="20"/>
          <w:lang w:val="es-ES"/>
        </w:rPr>
        <w:t xml:space="preserve">nombrado como Magistrado Propietario del Tribunal Supremo Electoral mediante </w:t>
      </w:r>
      <w:r w:rsidR="006315D3" w:rsidRPr="00640517">
        <w:rPr>
          <w:rFonts w:asciiTheme="majorHAnsi" w:hAnsiTheme="majorHAnsi"/>
          <w:sz w:val="20"/>
          <w:szCs w:val="20"/>
          <w:lang w:val="es-CO"/>
        </w:rPr>
        <w:t>D</w:t>
      </w:r>
      <w:r w:rsidR="00120BBD" w:rsidRPr="00640517">
        <w:rPr>
          <w:rFonts w:asciiTheme="majorHAnsi" w:hAnsiTheme="majorHAnsi"/>
          <w:sz w:val="20"/>
          <w:szCs w:val="20"/>
          <w:lang w:val="es-CO"/>
        </w:rPr>
        <w:t>ecreto 102 de la Asamblea Legislativa</w:t>
      </w:r>
      <w:r w:rsidR="00A41241" w:rsidRPr="00640517">
        <w:rPr>
          <w:rFonts w:asciiTheme="majorHAnsi" w:hAnsiTheme="majorHAnsi"/>
          <w:sz w:val="20"/>
          <w:szCs w:val="20"/>
          <w:lang w:val="es-CO"/>
        </w:rPr>
        <w:t xml:space="preserve"> de 11 de agosto de 1994</w:t>
      </w:r>
      <w:r w:rsidR="00120BBD" w:rsidRPr="00640517">
        <w:rPr>
          <w:rFonts w:asciiTheme="majorHAnsi" w:hAnsiTheme="majorHAnsi"/>
          <w:sz w:val="20"/>
          <w:szCs w:val="20"/>
          <w:lang w:val="es-CO"/>
        </w:rPr>
        <w:t xml:space="preserve"> por un período de 5 años</w:t>
      </w:r>
      <w:r w:rsidR="00120BBD" w:rsidRPr="00640517">
        <w:rPr>
          <w:rStyle w:val="FootnoteReference"/>
          <w:rFonts w:asciiTheme="majorHAnsi" w:hAnsiTheme="majorHAnsi"/>
          <w:sz w:val="20"/>
          <w:szCs w:val="20"/>
          <w:lang w:val="es-CO"/>
        </w:rPr>
        <w:footnoteReference w:id="3"/>
      </w:r>
      <w:r w:rsidR="00890322" w:rsidRPr="00640517">
        <w:rPr>
          <w:rFonts w:asciiTheme="majorHAnsi" w:hAnsiTheme="majorHAnsi"/>
          <w:sz w:val="20"/>
          <w:szCs w:val="20"/>
          <w:lang w:val="es-CO"/>
        </w:rPr>
        <w:t xml:space="preserve">, de </w:t>
      </w:r>
      <w:r w:rsidR="00890322" w:rsidRPr="00640517">
        <w:rPr>
          <w:rFonts w:asciiTheme="majorHAnsi" w:hAnsiTheme="majorHAnsi"/>
          <w:sz w:val="20"/>
          <w:szCs w:val="20"/>
          <w:lang w:val="es-CO"/>
        </w:rPr>
        <w:lastRenderedPageBreak/>
        <w:t xml:space="preserve">conformidad </w:t>
      </w:r>
      <w:r w:rsidR="006315D3" w:rsidRPr="001B66FF">
        <w:rPr>
          <w:rFonts w:asciiTheme="majorHAnsi" w:hAnsiTheme="majorHAnsi"/>
          <w:sz w:val="20"/>
          <w:szCs w:val="20"/>
          <w:lang w:val="es-CO"/>
        </w:rPr>
        <w:t>con e</w:t>
      </w:r>
      <w:r w:rsidR="006315D3" w:rsidRPr="00640517">
        <w:rPr>
          <w:rFonts w:asciiTheme="majorHAnsi" w:hAnsiTheme="majorHAnsi"/>
          <w:sz w:val="20"/>
          <w:szCs w:val="20"/>
          <w:lang w:val="es-CO"/>
        </w:rPr>
        <w:t xml:space="preserve">l procedimiento </w:t>
      </w:r>
      <w:r w:rsidR="00890322" w:rsidRPr="00640517">
        <w:rPr>
          <w:rFonts w:asciiTheme="majorHAnsi" w:hAnsiTheme="majorHAnsi"/>
          <w:sz w:val="20"/>
          <w:szCs w:val="20"/>
          <w:lang w:val="es-CO"/>
        </w:rPr>
        <w:t>establecido en el artículo 208 de la Constitución</w:t>
      </w:r>
      <w:r w:rsidR="00203C23" w:rsidRPr="00640517">
        <w:rPr>
          <w:rStyle w:val="FootnoteReference"/>
          <w:rFonts w:asciiTheme="majorHAnsi" w:hAnsiTheme="majorHAnsi"/>
          <w:sz w:val="20"/>
          <w:szCs w:val="20"/>
          <w:lang w:val="es-CO"/>
        </w:rPr>
        <w:footnoteReference w:id="4"/>
      </w:r>
      <w:r w:rsidR="00203C23" w:rsidRPr="00640517">
        <w:rPr>
          <w:rFonts w:asciiTheme="majorHAnsi" w:hAnsiTheme="majorHAnsi"/>
          <w:sz w:val="20"/>
          <w:szCs w:val="20"/>
          <w:lang w:val="es-CO"/>
        </w:rPr>
        <w:t>.</w:t>
      </w:r>
      <w:r w:rsidR="004901A5" w:rsidRPr="00640517">
        <w:rPr>
          <w:rFonts w:asciiTheme="majorHAnsi" w:hAnsiTheme="majorHAnsi"/>
          <w:sz w:val="20"/>
          <w:szCs w:val="20"/>
          <w:lang w:val="es-CO"/>
        </w:rPr>
        <w:t xml:space="preserve"> El señor Colindres fue uno de los tres magistrados que, conforme al procedimiento constitucional, debía ser elegido con ternas de los partidos políticos o coaliciones legales que hubieran obtenido mayor número de votos en la última elección presidencial. El señor Colindres fue elegido de terna presentada por el Partido Demócrata Cristiano. </w:t>
      </w:r>
    </w:p>
    <w:p w14:paraId="42338831" w14:textId="77777777" w:rsidR="00D51092" w:rsidRPr="00640517" w:rsidRDefault="00D51092" w:rsidP="00D51092">
      <w:pPr>
        <w:ind w:left="720"/>
        <w:jc w:val="both"/>
        <w:rPr>
          <w:rFonts w:asciiTheme="majorHAnsi" w:hAnsiTheme="majorHAnsi"/>
          <w:sz w:val="20"/>
          <w:szCs w:val="20"/>
          <w:lang w:val="es-ES"/>
        </w:rPr>
      </w:pPr>
    </w:p>
    <w:p w14:paraId="4DFC8E1A" w14:textId="77777777" w:rsidR="00D51092" w:rsidRPr="00640517" w:rsidRDefault="00D51092" w:rsidP="00543E97">
      <w:pPr>
        <w:numPr>
          <w:ilvl w:val="0"/>
          <w:numId w:val="1"/>
        </w:numPr>
        <w:ind w:left="0" w:firstLine="720"/>
        <w:jc w:val="both"/>
        <w:rPr>
          <w:rFonts w:asciiTheme="majorHAnsi" w:hAnsiTheme="majorHAnsi"/>
          <w:sz w:val="20"/>
          <w:szCs w:val="20"/>
          <w:lang w:val="es-ES"/>
        </w:rPr>
      </w:pPr>
      <w:r w:rsidRPr="00640517">
        <w:rPr>
          <w:rFonts w:asciiTheme="majorHAnsi" w:hAnsiTheme="majorHAnsi"/>
          <w:sz w:val="20"/>
          <w:szCs w:val="20"/>
          <w:lang w:val="es-CO"/>
        </w:rPr>
        <w:t xml:space="preserve">A continuación se narran los procedimientos de cese seguidos por la Asamblea Legislativa en contra </w:t>
      </w:r>
      <w:r w:rsidR="00E75197" w:rsidRPr="00640517">
        <w:rPr>
          <w:rFonts w:asciiTheme="majorHAnsi" w:hAnsiTheme="majorHAnsi"/>
          <w:sz w:val="20"/>
          <w:szCs w:val="20"/>
          <w:lang w:val="es-CO"/>
        </w:rPr>
        <w:t>d</w:t>
      </w:r>
      <w:r w:rsidRPr="00640517">
        <w:rPr>
          <w:rFonts w:asciiTheme="majorHAnsi" w:hAnsiTheme="majorHAnsi"/>
          <w:sz w:val="20"/>
          <w:szCs w:val="20"/>
          <w:lang w:val="es-CO"/>
        </w:rPr>
        <w:t xml:space="preserve">el magistrado Colindres que culminaron en la separación de su cargo, así como los recursos interpuestos en contra de tales decisiones. </w:t>
      </w:r>
    </w:p>
    <w:p w14:paraId="6CE44E2A" w14:textId="77777777" w:rsidR="006315D3" w:rsidRPr="00640517" w:rsidRDefault="006315D3" w:rsidP="005A7982">
      <w:pPr>
        <w:pStyle w:val="ListParagraph"/>
        <w:tabs>
          <w:tab w:val="num" w:pos="1440"/>
        </w:tabs>
        <w:ind w:left="0" w:firstLine="720"/>
        <w:rPr>
          <w:rFonts w:asciiTheme="majorHAnsi" w:hAnsiTheme="majorHAnsi"/>
          <w:sz w:val="20"/>
          <w:szCs w:val="20"/>
          <w:lang w:val="es-ES"/>
        </w:rPr>
      </w:pPr>
    </w:p>
    <w:p w14:paraId="0D978F7B" w14:textId="77777777" w:rsidR="00D17115" w:rsidRPr="00640517" w:rsidRDefault="00D17115" w:rsidP="0045657E">
      <w:pPr>
        <w:pStyle w:val="Heading3"/>
      </w:pPr>
      <w:bookmarkStart w:id="47" w:name="_Toc484623835"/>
      <w:r w:rsidRPr="00640517">
        <w:t>La destitución del señor Colindres como magistrado del Tribunal Supremo Electo</w:t>
      </w:r>
      <w:r w:rsidR="00525963" w:rsidRPr="00640517">
        <w:t>ral  el 22 de noviembre de 1996</w:t>
      </w:r>
      <w:bookmarkEnd w:id="47"/>
    </w:p>
    <w:p w14:paraId="0A681CA8" w14:textId="77777777" w:rsidR="00D17115" w:rsidRPr="00640517" w:rsidRDefault="00D17115" w:rsidP="00D17115">
      <w:pPr>
        <w:pStyle w:val="ListParagraph"/>
        <w:rPr>
          <w:rFonts w:asciiTheme="majorHAnsi" w:hAnsiTheme="majorHAnsi"/>
          <w:sz w:val="20"/>
          <w:szCs w:val="20"/>
          <w:lang w:val="es-ES"/>
        </w:rPr>
      </w:pPr>
    </w:p>
    <w:p w14:paraId="57200AA2" w14:textId="77777777" w:rsidR="000E5C81" w:rsidRPr="00640517" w:rsidRDefault="008859AD" w:rsidP="002E5EAA">
      <w:pPr>
        <w:numPr>
          <w:ilvl w:val="0"/>
          <w:numId w:val="1"/>
        </w:numPr>
        <w:ind w:left="0" w:firstLine="720"/>
        <w:jc w:val="both"/>
        <w:rPr>
          <w:rFonts w:asciiTheme="majorHAnsi" w:hAnsiTheme="majorHAnsi"/>
          <w:sz w:val="20"/>
          <w:szCs w:val="20"/>
          <w:lang w:val="es-ES"/>
        </w:rPr>
      </w:pPr>
      <w:r w:rsidRPr="00640517">
        <w:rPr>
          <w:rFonts w:asciiTheme="majorHAnsi" w:hAnsiTheme="majorHAnsi"/>
          <w:sz w:val="20"/>
          <w:szCs w:val="20"/>
          <w:lang w:val="es-CO"/>
        </w:rPr>
        <w:t>En 1996 se presentaron diversos conflictos dentro del Partido Demócrata Cristiano (PDC) relacionado</w:t>
      </w:r>
      <w:r w:rsidR="004901A5" w:rsidRPr="00640517">
        <w:rPr>
          <w:rFonts w:asciiTheme="majorHAnsi" w:hAnsiTheme="majorHAnsi"/>
          <w:sz w:val="20"/>
          <w:szCs w:val="20"/>
          <w:lang w:val="es-CO"/>
        </w:rPr>
        <w:t>s</w:t>
      </w:r>
      <w:r w:rsidRPr="00640517">
        <w:rPr>
          <w:rFonts w:asciiTheme="majorHAnsi" w:hAnsiTheme="majorHAnsi"/>
          <w:sz w:val="20"/>
          <w:szCs w:val="20"/>
          <w:lang w:val="es-CO"/>
        </w:rPr>
        <w:t xml:space="preserve"> con la selección de la dirigencia del partido que fueron del conocimiento del TSE</w:t>
      </w:r>
      <w:r w:rsidRPr="00640517">
        <w:rPr>
          <w:rStyle w:val="FootnoteReference"/>
          <w:rFonts w:asciiTheme="majorHAnsi" w:hAnsiTheme="majorHAnsi"/>
          <w:sz w:val="20"/>
          <w:szCs w:val="20"/>
          <w:lang w:val="es-CO"/>
        </w:rPr>
        <w:footnoteReference w:id="5"/>
      </w:r>
      <w:r w:rsidRPr="00640517">
        <w:rPr>
          <w:rFonts w:asciiTheme="majorHAnsi" w:hAnsiTheme="majorHAnsi"/>
          <w:sz w:val="20"/>
          <w:szCs w:val="20"/>
          <w:lang w:val="es-CO"/>
        </w:rPr>
        <w:t>.</w:t>
      </w:r>
      <w:r w:rsidRPr="00640517">
        <w:rPr>
          <w:rFonts w:asciiTheme="majorHAnsi" w:hAnsiTheme="majorHAnsi"/>
          <w:sz w:val="20"/>
          <w:szCs w:val="20"/>
          <w:lang w:val="es-ES"/>
        </w:rPr>
        <w:t xml:space="preserve"> Consta en diversas actas del año 1996 que el señor Colindres se abstuvo de participar en</w:t>
      </w:r>
      <w:r w:rsidR="00DB5DD0" w:rsidRPr="00640517">
        <w:rPr>
          <w:rFonts w:asciiTheme="majorHAnsi" w:hAnsiTheme="majorHAnsi"/>
          <w:sz w:val="20"/>
          <w:szCs w:val="20"/>
          <w:lang w:val="es-ES"/>
        </w:rPr>
        <w:t xml:space="preserve"> ciertas</w:t>
      </w:r>
      <w:r w:rsidRPr="00640517">
        <w:rPr>
          <w:rFonts w:asciiTheme="majorHAnsi" w:hAnsiTheme="majorHAnsi"/>
          <w:sz w:val="20"/>
          <w:szCs w:val="20"/>
          <w:lang w:val="es-ES"/>
        </w:rPr>
        <w:t xml:space="preserve"> decisiones que tuvieran relación con el PDC</w:t>
      </w:r>
      <w:r w:rsidRPr="00640517">
        <w:rPr>
          <w:rStyle w:val="FootnoteReference"/>
          <w:rFonts w:asciiTheme="majorHAnsi" w:hAnsiTheme="majorHAnsi"/>
          <w:sz w:val="20"/>
          <w:szCs w:val="20"/>
          <w:lang w:val="es-CO"/>
        </w:rPr>
        <w:footnoteReference w:id="6"/>
      </w:r>
      <w:r w:rsidR="00BA3F85" w:rsidRPr="00640517">
        <w:rPr>
          <w:rFonts w:asciiTheme="majorHAnsi" w:hAnsiTheme="majorHAnsi"/>
          <w:sz w:val="20"/>
          <w:szCs w:val="20"/>
          <w:lang w:val="es-ES"/>
        </w:rPr>
        <w:t>. También consta que</w:t>
      </w:r>
      <w:r w:rsidR="00A03EB1" w:rsidRPr="00640517">
        <w:rPr>
          <w:rFonts w:asciiTheme="majorHAnsi" w:hAnsiTheme="majorHAnsi"/>
          <w:sz w:val="20"/>
          <w:szCs w:val="20"/>
          <w:lang w:val="es-ES"/>
        </w:rPr>
        <w:t xml:space="preserve"> tuvo participación en </w:t>
      </w:r>
      <w:r w:rsidR="00BA3F85" w:rsidRPr="00640517">
        <w:rPr>
          <w:rFonts w:asciiTheme="majorHAnsi" w:hAnsiTheme="majorHAnsi"/>
          <w:sz w:val="20"/>
          <w:szCs w:val="20"/>
          <w:lang w:val="es-ES"/>
        </w:rPr>
        <w:t>decisi</w:t>
      </w:r>
      <w:r w:rsidR="00A03EB1" w:rsidRPr="00640517">
        <w:rPr>
          <w:rFonts w:asciiTheme="majorHAnsi" w:hAnsiTheme="majorHAnsi"/>
          <w:sz w:val="20"/>
          <w:szCs w:val="20"/>
          <w:lang w:val="es-ES"/>
        </w:rPr>
        <w:t>ones</w:t>
      </w:r>
      <w:r w:rsidR="00486F6F" w:rsidRPr="00640517">
        <w:rPr>
          <w:rFonts w:asciiTheme="majorHAnsi" w:hAnsiTheme="majorHAnsi"/>
          <w:sz w:val="20"/>
          <w:szCs w:val="20"/>
          <w:lang w:val="es-ES"/>
        </w:rPr>
        <w:t xml:space="preserve"> relacion</w:t>
      </w:r>
      <w:r w:rsidR="00BA3F85" w:rsidRPr="00640517">
        <w:rPr>
          <w:rFonts w:asciiTheme="majorHAnsi" w:hAnsiTheme="majorHAnsi"/>
          <w:sz w:val="20"/>
          <w:szCs w:val="20"/>
          <w:lang w:val="es-ES"/>
        </w:rPr>
        <w:t>ada</w:t>
      </w:r>
      <w:r w:rsidR="00A03EB1" w:rsidRPr="00640517">
        <w:rPr>
          <w:rFonts w:asciiTheme="majorHAnsi" w:hAnsiTheme="majorHAnsi"/>
          <w:sz w:val="20"/>
          <w:szCs w:val="20"/>
          <w:lang w:val="es-ES"/>
        </w:rPr>
        <w:t>s</w:t>
      </w:r>
      <w:r w:rsidR="00BA3F85" w:rsidRPr="00640517">
        <w:rPr>
          <w:rFonts w:asciiTheme="majorHAnsi" w:hAnsiTheme="majorHAnsi"/>
          <w:sz w:val="20"/>
          <w:szCs w:val="20"/>
          <w:lang w:val="es-ES"/>
        </w:rPr>
        <w:t xml:space="preserve"> con el partido</w:t>
      </w:r>
      <w:r w:rsidR="00A03EB1" w:rsidRPr="00640517">
        <w:rPr>
          <w:rStyle w:val="FootnoteReference"/>
          <w:rFonts w:asciiTheme="majorHAnsi" w:hAnsiTheme="majorHAnsi"/>
          <w:sz w:val="20"/>
          <w:szCs w:val="20"/>
          <w:lang w:val="es-ES"/>
        </w:rPr>
        <w:footnoteReference w:id="7"/>
      </w:r>
      <w:r w:rsidR="00BA3F85" w:rsidRPr="00640517">
        <w:rPr>
          <w:rFonts w:asciiTheme="majorHAnsi" w:hAnsiTheme="majorHAnsi"/>
          <w:sz w:val="20"/>
          <w:szCs w:val="20"/>
          <w:lang w:val="es-ES"/>
        </w:rPr>
        <w:t>.</w:t>
      </w:r>
      <w:r w:rsidR="00A078C2" w:rsidRPr="00640517">
        <w:rPr>
          <w:rFonts w:asciiTheme="majorHAnsi" w:hAnsiTheme="majorHAnsi"/>
          <w:sz w:val="20"/>
          <w:szCs w:val="20"/>
          <w:lang w:val="es-ES"/>
        </w:rPr>
        <w:t xml:space="preserve"> </w:t>
      </w:r>
      <w:r w:rsidR="00C33706" w:rsidRPr="00640517">
        <w:rPr>
          <w:rFonts w:asciiTheme="majorHAnsi" w:hAnsiTheme="majorHAnsi"/>
          <w:sz w:val="20"/>
          <w:szCs w:val="20"/>
          <w:lang w:val="es-CO"/>
        </w:rPr>
        <w:t>Según notas de prensa, el dirigente del partido habría indicado que no había suficiente comunicación de la dirigencia con el magistrado y</w:t>
      </w:r>
      <w:r w:rsidR="00DD0A45" w:rsidRPr="00640517">
        <w:rPr>
          <w:rFonts w:asciiTheme="majorHAnsi" w:hAnsiTheme="majorHAnsi"/>
          <w:sz w:val="20"/>
          <w:szCs w:val="20"/>
          <w:lang w:val="es-CO"/>
        </w:rPr>
        <w:t>,</w:t>
      </w:r>
      <w:r w:rsidR="00C33706" w:rsidRPr="00640517">
        <w:rPr>
          <w:rFonts w:asciiTheme="majorHAnsi" w:hAnsiTheme="majorHAnsi"/>
          <w:sz w:val="20"/>
          <w:szCs w:val="20"/>
          <w:lang w:val="es-CO"/>
        </w:rPr>
        <w:t xml:space="preserve"> por lo tanto, “no estamos excelentemente representados”</w:t>
      </w:r>
      <w:r w:rsidR="00C33706" w:rsidRPr="00640517">
        <w:rPr>
          <w:rStyle w:val="FootnoteReference"/>
          <w:rFonts w:asciiTheme="majorHAnsi" w:hAnsiTheme="majorHAnsi"/>
          <w:sz w:val="20"/>
          <w:szCs w:val="20"/>
          <w:lang w:val="es-CO"/>
        </w:rPr>
        <w:t xml:space="preserve"> </w:t>
      </w:r>
      <w:r w:rsidR="00C33706" w:rsidRPr="00640517">
        <w:rPr>
          <w:rStyle w:val="FootnoteReference"/>
          <w:rFonts w:asciiTheme="majorHAnsi" w:hAnsiTheme="majorHAnsi"/>
          <w:sz w:val="20"/>
          <w:szCs w:val="20"/>
          <w:lang w:val="es-CO"/>
        </w:rPr>
        <w:footnoteReference w:id="8"/>
      </w:r>
      <w:r w:rsidR="00C33706" w:rsidRPr="00640517">
        <w:rPr>
          <w:rFonts w:asciiTheme="majorHAnsi" w:hAnsiTheme="majorHAnsi"/>
          <w:sz w:val="20"/>
          <w:szCs w:val="20"/>
          <w:lang w:val="es-CO"/>
        </w:rPr>
        <w:t>.</w:t>
      </w:r>
    </w:p>
    <w:p w14:paraId="015801AF" w14:textId="5DA2D5A1" w:rsidR="00880B2A" w:rsidRDefault="00880B2A">
      <w:pPr>
        <w:rPr>
          <w:rFonts w:asciiTheme="majorHAnsi" w:hAnsiTheme="majorHAnsi"/>
          <w:sz w:val="20"/>
          <w:szCs w:val="20"/>
          <w:lang w:val="es-CO"/>
        </w:rPr>
      </w:pPr>
    </w:p>
    <w:p w14:paraId="28453513" w14:textId="77777777" w:rsidR="00343BAE" w:rsidRPr="00640517" w:rsidRDefault="00886DC0" w:rsidP="002E5EAA">
      <w:pPr>
        <w:numPr>
          <w:ilvl w:val="0"/>
          <w:numId w:val="1"/>
        </w:numPr>
        <w:ind w:left="0" w:firstLine="720"/>
        <w:jc w:val="both"/>
        <w:rPr>
          <w:rFonts w:asciiTheme="majorHAnsi" w:hAnsiTheme="majorHAnsi"/>
          <w:sz w:val="20"/>
          <w:szCs w:val="20"/>
          <w:lang w:val="es-ES"/>
        </w:rPr>
      </w:pPr>
      <w:r w:rsidRPr="00640517">
        <w:rPr>
          <w:rFonts w:asciiTheme="majorHAnsi" w:hAnsiTheme="majorHAnsi"/>
          <w:sz w:val="20"/>
          <w:szCs w:val="20"/>
          <w:lang w:val="es-CO"/>
        </w:rPr>
        <w:t>Previa solicitud de destitución</w:t>
      </w:r>
      <w:r w:rsidRPr="00640517">
        <w:rPr>
          <w:rStyle w:val="FootnoteReference"/>
          <w:rFonts w:asciiTheme="majorHAnsi" w:hAnsiTheme="majorHAnsi"/>
          <w:sz w:val="20"/>
          <w:szCs w:val="20"/>
          <w:lang w:val="es-CO"/>
        </w:rPr>
        <w:footnoteReference w:id="9"/>
      </w:r>
      <w:r w:rsidR="00D92583" w:rsidRPr="00640517">
        <w:rPr>
          <w:rFonts w:asciiTheme="majorHAnsi" w:hAnsiTheme="majorHAnsi"/>
          <w:sz w:val="20"/>
          <w:szCs w:val="20"/>
          <w:lang w:val="es-CO"/>
        </w:rPr>
        <w:t xml:space="preserve"> a instancias de miembros del PDC,</w:t>
      </w:r>
      <w:r w:rsidRPr="00640517">
        <w:rPr>
          <w:rFonts w:asciiTheme="majorHAnsi" w:hAnsiTheme="majorHAnsi"/>
          <w:sz w:val="20"/>
          <w:szCs w:val="20"/>
          <w:lang w:val="es-CO"/>
        </w:rPr>
        <w:t xml:space="preserve"> </w:t>
      </w:r>
      <w:r w:rsidR="00322CBA" w:rsidRPr="00640517">
        <w:rPr>
          <w:rFonts w:asciiTheme="majorHAnsi" w:hAnsiTheme="majorHAnsi"/>
          <w:sz w:val="20"/>
          <w:szCs w:val="20"/>
          <w:lang w:val="es-CO"/>
        </w:rPr>
        <w:t>e</w:t>
      </w:r>
      <w:r w:rsidR="00120BBD" w:rsidRPr="00640517">
        <w:rPr>
          <w:rFonts w:asciiTheme="majorHAnsi" w:hAnsiTheme="majorHAnsi"/>
          <w:sz w:val="20"/>
          <w:szCs w:val="20"/>
          <w:lang w:val="es-CO"/>
        </w:rPr>
        <w:t>l 22 de noviembre de 1996, la Asamblea</w:t>
      </w:r>
      <w:r w:rsidR="0095241C" w:rsidRPr="00640517">
        <w:rPr>
          <w:rFonts w:asciiTheme="majorHAnsi" w:hAnsiTheme="majorHAnsi"/>
          <w:sz w:val="20"/>
          <w:szCs w:val="20"/>
          <w:lang w:val="es-CO"/>
        </w:rPr>
        <w:t xml:space="preserve"> Legislativa</w:t>
      </w:r>
      <w:r w:rsidR="00120BBD" w:rsidRPr="00640517">
        <w:rPr>
          <w:rFonts w:asciiTheme="majorHAnsi" w:hAnsiTheme="majorHAnsi"/>
          <w:sz w:val="20"/>
          <w:szCs w:val="20"/>
          <w:lang w:val="es-CO"/>
        </w:rPr>
        <w:t xml:space="preserve"> resolvió por medio del Decr</w:t>
      </w:r>
      <w:r w:rsidR="00343BAE" w:rsidRPr="00640517">
        <w:rPr>
          <w:rFonts w:asciiTheme="majorHAnsi" w:hAnsiTheme="majorHAnsi"/>
          <w:sz w:val="20"/>
          <w:szCs w:val="20"/>
          <w:lang w:val="es-CO"/>
        </w:rPr>
        <w:t xml:space="preserve">eto Legislativo 899 </w:t>
      </w:r>
      <w:r w:rsidR="00F56ADF" w:rsidRPr="00640517">
        <w:rPr>
          <w:rFonts w:asciiTheme="majorHAnsi" w:hAnsiTheme="majorHAnsi"/>
          <w:sz w:val="20"/>
          <w:szCs w:val="20"/>
          <w:lang w:val="es-CO"/>
        </w:rPr>
        <w:t xml:space="preserve">hacer </w:t>
      </w:r>
      <w:r w:rsidR="003947A4" w:rsidRPr="00640517">
        <w:rPr>
          <w:rFonts w:asciiTheme="majorHAnsi" w:hAnsiTheme="majorHAnsi"/>
          <w:sz w:val="20"/>
          <w:szCs w:val="20"/>
          <w:lang w:val="es-CO"/>
        </w:rPr>
        <w:t xml:space="preserve">cesar como </w:t>
      </w:r>
      <w:r w:rsidR="00343BAE" w:rsidRPr="00640517">
        <w:rPr>
          <w:rFonts w:asciiTheme="majorHAnsi" w:hAnsiTheme="majorHAnsi"/>
          <w:sz w:val="20"/>
          <w:szCs w:val="20"/>
          <w:lang w:val="es-CO"/>
        </w:rPr>
        <w:t xml:space="preserve">magistrado </w:t>
      </w:r>
      <w:r w:rsidR="003947A4" w:rsidRPr="00640517">
        <w:rPr>
          <w:rFonts w:asciiTheme="majorHAnsi" w:hAnsiTheme="majorHAnsi"/>
          <w:sz w:val="20"/>
          <w:szCs w:val="20"/>
          <w:lang w:val="es-CO"/>
        </w:rPr>
        <w:t>propiet</w:t>
      </w:r>
      <w:r w:rsidR="000C3452" w:rsidRPr="00640517">
        <w:rPr>
          <w:rFonts w:asciiTheme="majorHAnsi" w:hAnsiTheme="majorHAnsi"/>
          <w:sz w:val="20"/>
          <w:szCs w:val="20"/>
          <w:lang w:val="es-CO"/>
        </w:rPr>
        <w:t>a</w:t>
      </w:r>
      <w:r w:rsidR="003947A4" w:rsidRPr="00640517">
        <w:rPr>
          <w:rFonts w:asciiTheme="majorHAnsi" w:hAnsiTheme="majorHAnsi"/>
          <w:sz w:val="20"/>
          <w:szCs w:val="20"/>
          <w:lang w:val="es-CO"/>
        </w:rPr>
        <w:t xml:space="preserve">rio del TSE al señor </w:t>
      </w:r>
      <w:r w:rsidR="00343BAE" w:rsidRPr="00640517">
        <w:rPr>
          <w:rFonts w:asciiTheme="majorHAnsi" w:hAnsiTheme="majorHAnsi"/>
          <w:sz w:val="20"/>
          <w:szCs w:val="20"/>
          <w:lang w:val="es-CO"/>
        </w:rPr>
        <w:t xml:space="preserve">Colindres </w:t>
      </w:r>
      <w:r w:rsidR="00120BBD" w:rsidRPr="00640517">
        <w:rPr>
          <w:rFonts w:asciiTheme="majorHAnsi" w:hAnsiTheme="majorHAnsi"/>
          <w:sz w:val="20"/>
          <w:szCs w:val="20"/>
          <w:lang w:val="es-CO"/>
        </w:rPr>
        <w:t xml:space="preserve">bajo </w:t>
      </w:r>
      <w:r w:rsidR="00343BAE" w:rsidRPr="00640517">
        <w:rPr>
          <w:rFonts w:asciiTheme="majorHAnsi" w:hAnsiTheme="majorHAnsi"/>
          <w:sz w:val="20"/>
          <w:szCs w:val="20"/>
          <w:lang w:val="es-CO"/>
        </w:rPr>
        <w:t xml:space="preserve">el argumento </w:t>
      </w:r>
      <w:r w:rsidR="00120BBD" w:rsidRPr="00640517">
        <w:rPr>
          <w:rFonts w:asciiTheme="majorHAnsi" w:hAnsiTheme="majorHAnsi"/>
          <w:sz w:val="20"/>
          <w:szCs w:val="20"/>
          <w:lang w:val="es-CO"/>
        </w:rPr>
        <w:t>de que</w:t>
      </w:r>
      <w:r w:rsidR="00343BAE" w:rsidRPr="00640517">
        <w:rPr>
          <w:rFonts w:asciiTheme="majorHAnsi" w:hAnsiTheme="majorHAnsi"/>
          <w:sz w:val="20"/>
          <w:szCs w:val="20"/>
          <w:lang w:val="es-CO"/>
        </w:rPr>
        <w:t>:</w:t>
      </w:r>
    </w:p>
    <w:p w14:paraId="0211E19B" w14:textId="77777777" w:rsidR="00343BAE" w:rsidRPr="00640517" w:rsidRDefault="00343BAE" w:rsidP="002E5EAA">
      <w:pPr>
        <w:pStyle w:val="ListParagraph"/>
        <w:tabs>
          <w:tab w:val="num" w:pos="1440"/>
        </w:tabs>
        <w:rPr>
          <w:rFonts w:asciiTheme="majorHAnsi" w:hAnsiTheme="majorHAnsi"/>
          <w:sz w:val="20"/>
          <w:szCs w:val="20"/>
          <w:lang w:val="es-ES"/>
        </w:rPr>
      </w:pPr>
    </w:p>
    <w:p w14:paraId="0308B77D" w14:textId="77777777" w:rsidR="00120BBD" w:rsidRPr="00640517" w:rsidRDefault="0095241C" w:rsidP="003947A4">
      <w:pPr>
        <w:ind w:left="720" w:right="720"/>
        <w:jc w:val="both"/>
        <w:rPr>
          <w:rFonts w:asciiTheme="majorHAnsi" w:hAnsiTheme="majorHAnsi"/>
          <w:sz w:val="20"/>
          <w:szCs w:val="20"/>
          <w:lang w:val="es-CO"/>
        </w:rPr>
      </w:pPr>
      <w:r w:rsidRPr="00640517">
        <w:rPr>
          <w:rFonts w:asciiTheme="majorHAnsi" w:hAnsiTheme="majorHAnsi"/>
          <w:sz w:val="20"/>
          <w:szCs w:val="20"/>
          <w:lang w:val="es-CO"/>
        </w:rPr>
        <w:t>(…) l</w:t>
      </w:r>
      <w:r w:rsidR="00343BAE" w:rsidRPr="00640517">
        <w:rPr>
          <w:rFonts w:asciiTheme="majorHAnsi" w:hAnsiTheme="majorHAnsi"/>
          <w:sz w:val="20"/>
          <w:szCs w:val="20"/>
          <w:lang w:val="es-CO"/>
        </w:rPr>
        <w:t xml:space="preserve">a actuación del doctor Eduardo Benjamín Colindres como </w:t>
      </w:r>
      <w:r w:rsidR="00120BBD" w:rsidRPr="00640517">
        <w:rPr>
          <w:rFonts w:asciiTheme="majorHAnsi" w:hAnsiTheme="majorHAnsi"/>
          <w:sz w:val="20"/>
          <w:szCs w:val="20"/>
          <w:lang w:val="es-CO"/>
        </w:rPr>
        <w:t>Magi</w:t>
      </w:r>
      <w:r w:rsidR="00343BAE" w:rsidRPr="00640517">
        <w:rPr>
          <w:rFonts w:asciiTheme="majorHAnsi" w:hAnsiTheme="majorHAnsi"/>
          <w:sz w:val="20"/>
          <w:szCs w:val="20"/>
          <w:lang w:val="es-CO"/>
        </w:rPr>
        <w:t>strado Propietario del TSE ha</w:t>
      </w:r>
      <w:r w:rsidR="00120BBD" w:rsidRPr="00640517">
        <w:rPr>
          <w:rFonts w:asciiTheme="majorHAnsi" w:hAnsiTheme="majorHAnsi"/>
          <w:sz w:val="20"/>
          <w:szCs w:val="20"/>
          <w:lang w:val="es-CO"/>
        </w:rPr>
        <w:t xml:space="preserve"> causado malestar general en los organismos de la Administración Pública obstaculizando la buena marcha del mismo</w:t>
      </w:r>
      <w:r w:rsidR="00343BAE" w:rsidRPr="00640517">
        <w:rPr>
          <w:rFonts w:asciiTheme="majorHAnsi" w:hAnsiTheme="majorHAnsi"/>
          <w:sz w:val="20"/>
          <w:szCs w:val="20"/>
          <w:lang w:val="es-CO"/>
        </w:rPr>
        <w:t xml:space="preserve"> no respondiendo </w:t>
      </w:r>
      <w:r w:rsidR="00120BBD" w:rsidRPr="00640517">
        <w:rPr>
          <w:rFonts w:asciiTheme="majorHAnsi" w:hAnsiTheme="majorHAnsi"/>
          <w:sz w:val="20"/>
          <w:szCs w:val="20"/>
          <w:lang w:val="es-CO"/>
        </w:rPr>
        <w:t>a las necesidades y exigencias que la d</w:t>
      </w:r>
      <w:r w:rsidR="00343BAE" w:rsidRPr="00640517">
        <w:rPr>
          <w:rFonts w:asciiTheme="majorHAnsi" w:hAnsiTheme="majorHAnsi"/>
          <w:sz w:val="20"/>
          <w:szCs w:val="20"/>
          <w:lang w:val="es-CO"/>
        </w:rPr>
        <w:t>inámica administrativa demanda</w:t>
      </w:r>
      <w:r w:rsidR="00120BBD" w:rsidRPr="00640517">
        <w:rPr>
          <w:rFonts w:asciiTheme="majorHAnsi" w:hAnsiTheme="majorHAnsi"/>
          <w:sz w:val="20"/>
          <w:szCs w:val="20"/>
          <w:lang w:val="es-CO"/>
        </w:rPr>
        <w:t xml:space="preserve"> de ese </w:t>
      </w:r>
      <w:r w:rsidR="00733119" w:rsidRPr="00640517">
        <w:rPr>
          <w:rFonts w:asciiTheme="majorHAnsi" w:hAnsiTheme="majorHAnsi"/>
          <w:sz w:val="20"/>
          <w:szCs w:val="20"/>
          <w:lang w:val="es-CO"/>
        </w:rPr>
        <w:t>T</w:t>
      </w:r>
      <w:r w:rsidR="00120BBD" w:rsidRPr="00640517">
        <w:rPr>
          <w:rFonts w:asciiTheme="majorHAnsi" w:hAnsiTheme="majorHAnsi"/>
          <w:sz w:val="20"/>
          <w:szCs w:val="20"/>
          <w:lang w:val="es-CO"/>
        </w:rPr>
        <w:t>ribunal, agravándose al carecer de instrucción notoria y honradez en el desempeño de su cargo, al parcializar su actuac</w:t>
      </w:r>
      <w:r w:rsidR="00343BAE" w:rsidRPr="00640517">
        <w:rPr>
          <w:rFonts w:asciiTheme="majorHAnsi" w:hAnsiTheme="majorHAnsi"/>
          <w:sz w:val="20"/>
          <w:szCs w:val="20"/>
          <w:lang w:val="es-CO"/>
        </w:rPr>
        <w:t xml:space="preserve">ión en su calidad de juzgador, en la problemática interna del partido demócrata cristiano y no excusarse de conocer en la referida crisis; </w:t>
      </w:r>
      <w:r w:rsidR="00120BBD" w:rsidRPr="00640517">
        <w:rPr>
          <w:rFonts w:asciiTheme="majorHAnsi" w:hAnsiTheme="majorHAnsi"/>
          <w:sz w:val="20"/>
          <w:szCs w:val="20"/>
          <w:lang w:val="es-CO"/>
        </w:rPr>
        <w:t>perdiendo la objetividad e imparcialidad que imponía su investidura</w:t>
      </w:r>
      <w:r w:rsidR="00120BBD" w:rsidRPr="00640517">
        <w:rPr>
          <w:rStyle w:val="FootnoteReference"/>
          <w:rFonts w:asciiTheme="majorHAnsi" w:hAnsiTheme="majorHAnsi"/>
          <w:sz w:val="20"/>
          <w:szCs w:val="20"/>
          <w:lang w:val="es-CO"/>
        </w:rPr>
        <w:footnoteReference w:id="10"/>
      </w:r>
      <w:r w:rsidR="00120BBD" w:rsidRPr="00640517">
        <w:rPr>
          <w:rFonts w:asciiTheme="majorHAnsi" w:hAnsiTheme="majorHAnsi"/>
          <w:sz w:val="20"/>
          <w:szCs w:val="20"/>
          <w:lang w:val="es-CO"/>
        </w:rPr>
        <w:t>.</w:t>
      </w:r>
    </w:p>
    <w:p w14:paraId="0073ECC7" w14:textId="77777777" w:rsidR="003947A4" w:rsidRPr="00640517" w:rsidRDefault="003947A4" w:rsidP="003947A4">
      <w:pPr>
        <w:rPr>
          <w:rFonts w:asciiTheme="majorHAnsi" w:hAnsiTheme="majorHAnsi"/>
          <w:sz w:val="20"/>
          <w:szCs w:val="20"/>
          <w:lang w:val="es-ES"/>
        </w:rPr>
      </w:pPr>
    </w:p>
    <w:p w14:paraId="7A4F3D27" w14:textId="77777777" w:rsidR="003947A4" w:rsidRPr="00640517" w:rsidRDefault="003B4D00" w:rsidP="002E5EAA">
      <w:pPr>
        <w:numPr>
          <w:ilvl w:val="0"/>
          <w:numId w:val="1"/>
        </w:numPr>
        <w:ind w:left="0" w:firstLine="720"/>
        <w:jc w:val="both"/>
        <w:rPr>
          <w:rFonts w:asciiTheme="majorHAnsi" w:hAnsiTheme="majorHAnsi"/>
          <w:sz w:val="20"/>
          <w:szCs w:val="20"/>
          <w:lang w:val="es-ES"/>
        </w:rPr>
      </w:pPr>
      <w:r w:rsidRPr="00640517">
        <w:rPr>
          <w:rFonts w:asciiTheme="majorHAnsi" w:hAnsiTheme="majorHAnsi"/>
          <w:sz w:val="20"/>
          <w:szCs w:val="20"/>
          <w:lang w:val="es-CO"/>
        </w:rPr>
        <w:t xml:space="preserve">El referido decreto </w:t>
      </w:r>
      <w:r w:rsidR="00F56ADF" w:rsidRPr="00640517">
        <w:rPr>
          <w:rFonts w:asciiTheme="majorHAnsi" w:hAnsiTheme="majorHAnsi"/>
          <w:sz w:val="20"/>
          <w:szCs w:val="20"/>
          <w:lang w:val="es-CO"/>
        </w:rPr>
        <w:t xml:space="preserve">fue adoptado bajo la vicepresidencia </w:t>
      </w:r>
      <w:r w:rsidR="00322CBA" w:rsidRPr="00640517">
        <w:rPr>
          <w:rFonts w:asciiTheme="majorHAnsi" w:hAnsiTheme="majorHAnsi"/>
          <w:sz w:val="20"/>
          <w:szCs w:val="20"/>
          <w:lang w:val="es-CO"/>
        </w:rPr>
        <w:t xml:space="preserve">de un </w:t>
      </w:r>
      <w:r w:rsidR="00546A5F" w:rsidRPr="00640517">
        <w:rPr>
          <w:rFonts w:asciiTheme="majorHAnsi" w:hAnsiTheme="majorHAnsi"/>
          <w:sz w:val="20"/>
          <w:szCs w:val="20"/>
          <w:lang w:val="es-CO"/>
        </w:rPr>
        <w:t>diputado</w:t>
      </w:r>
      <w:r w:rsidR="00C239B8" w:rsidRPr="00640517">
        <w:rPr>
          <w:rFonts w:asciiTheme="majorHAnsi" w:hAnsiTheme="majorHAnsi"/>
          <w:sz w:val="20"/>
          <w:szCs w:val="20"/>
          <w:lang w:val="es-CO"/>
        </w:rPr>
        <w:t xml:space="preserve"> que habría sido</w:t>
      </w:r>
      <w:r w:rsidR="00F56ADF" w:rsidRPr="00640517">
        <w:rPr>
          <w:rFonts w:asciiTheme="majorHAnsi" w:hAnsiTheme="majorHAnsi"/>
          <w:sz w:val="20"/>
          <w:szCs w:val="20"/>
          <w:lang w:val="es-CO"/>
        </w:rPr>
        <w:t xml:space="preserve"> </w:t>
      </w:r>
      <w:r w:rsidR="00546A5F" w:rsidRPr="00640517">
        <w:rPr>
          <w:rFonts w:asciiTheme="majorHAnsi" w:hAnsiTheme="majorHAnsi"/>
          <w:sz w:val="20"/>
          <w:szCs w:val="20"/>
          <w:lang w:val="es-CO"/>
        </w:rPr>
        <w:t>miembro del PDC</w:t>
      </w:r>
      <w:r w:rsidR="00546A5F" w:rsidRPr="00640517">
        <w:rPr>
          <w:rStyle w:val="FootnoteReference"/>
          <w:rFonts w:asciiTheme="majorHAnsi" w:hAnsiTheme="majorHAnsi"/>
          <w:sz w:val="20"/>
          <w:szCs w:val="20"/>
          <w:lang w:val="es-CO"/>
        </w:rPr>
        <w:footnoteReference w:id="11"/>
      </w:r>
      <w:r w:rsidR="00546A5F" w:rsidRPr="00640517">
        <w:rPr>
          <w:rFonts w:asciiTheme="majorHAnsi" w:hAnsiTheme="majorHAnsi"/>
          <w:sz w:val="20"/>
          <w:szCs w:val="20"/>
          <w:lang w:val="es-CO"/>
        </w:rPr>
        <w:t>.</w:t>
      </w:r>
    </w:p>
    <w:p w14:paraId="4CE9FE33" w14:textId="77777777" w:rsidR="003947A4" w:rsidRPr="00640517" w:rsidRDefault="003947A4" w:rsidP="002E5EAA">
      <w:pPr>
        <w:tabs>
          <w:tab w:val="num" w:pos="1440"/>
        </w:tabs>
        <w:ind w:left="720"/>
        <w:jc w:val="both"/>
        <w:rPr>
          <w:rFonts w:asciiTheme="majorHAnsi" w:hAnsiTheme="majorHAnsi"/>
          <w:sz w:val="20"/>
          <w:szCs w:val="20"/>
          <w:lang w:val="es-ES"/>
        </w:rPr>
      </w:pPr>
    </w:p>
    <w:p w14:paraId="47C9D633" w14:textId="77777777" w:rsidR="004F2684" w:rsidRPr="00640517" w:rsidRDefault="004F2684" w:rsidP="0045657E">
      <w:pPr>
        <w:pStyle w:val="Heading3"/>
      </w:pPr>
      <w:bookmarkStart w:id="48" w:name="_Toc484623836"/>
      <w:r w:rsidRPr="00640517">
        <w:t>La restitución del señor Colindres como magistrado del Tribunal Supremo Electoral</w:t>
      </w:r>
      <w:bookmarkEnd w:id="48"/>
    </w:p>
    <w:p w14:paraId="252B3D0B" w14:textId="77777777" w:rsidR="004F2684" w:rsidRPr="00640517" w:rsidRDefault="004F2684" w:rsidP="004F2684">
      <w:pPr>
        <w:rPr>
          <w:rFonts w:asciiTheme="majorHAnsi" w:hAnsiTheme="majorHAnsi"/>
          <w:sz w:val="20"/>
          <w:szCs w:val="20"/>
          <w:lang w:val="es-ES"/>
        </w:rPr>
      </w:pPr>
    </w:p>
    <w:p w14:paraId="06D192A9" w14:textId="48136601" w:rsidR="00120BBD" w:rsidRPr="00640517" w:rsidRDefault="004F2684" w:rsidP="00A078C2">
      <w:pPr>
        <w:numPr>
          <w:ilvl w:val="0"/>
          <w:numId w:val="1"/>
        </w:numPr>
        <w:ind w:left="0" w:firstLine="720"/>
        <w:jc w:val="both"/>
        <w:rPr>
          <w:rFonts w:asciiTheme="majorHAnsi" w:hAnsiTheme="majorHAnsi"/>
          <w:sz w:val="20"/>
          <w:szCs w:val="20"/>
          <w:lang w:val="es-ES"/>
        </w:rPr>
      </w:pPr>
      <w:r w:rsidRPr="00640517">
        <w:rPr>
          <w:rFonts w:asciiTheme="majorHAnsi" w:hAnsiTheme="majorHAnsi"/>
          <w:sz w:val="20"/>
          <w:szCs w:val="20"/>
          <w:lang w:val="es-ES"/>
        </w:rPr>
        <w:t>El 2 de diciembre de 1996 el señor Colindres interpuso u</w:t>
      </w:r>
      <w:r w:rsidRPr="00640517">
        <w:rPr>
          <w:rFonts w:asciiTheme="majorHAnsi" w:hAnsiTheme="majorHAnsi"/>
          <w:sz w:val="20"/>
          <w:szCs w:val="20"/>
          <w:lang w:val="es-CO"/>
        </w:rPr>
        <w:t>n</w:t>
      </w:r>
      <w:r w:rsidR="00120BBD" w:rsidRPr="00640517">
        <w:rPr>
          <w:rFonts w:asciiTheme="majorHAnsi" w:hAnsiTheme="majorHAnsi"/>
          <w:sz w:val="20"/>
          <w:szCs w:val="20"/>
          <w:lang w:val="es-CO"/>
        </w:rPr>
        <w:t xml:space="preserve"> recurso de amparo (44-C-96) ante la Sala de lo Constitucional de la Corte Suprema </w:t>
      </w:r>
      <w:r w:rsidR="00120BBD" w:rsidRPr="00094354">
        <w:rPr>
          <w:rFonts w:asciiTheme="majorHAnsi" w:hAnsiTheme="majorHAnsi"/>
          <w:sz w:val="20"/>
          <w:szCs w:val="20"/>
          <w:lang w:val="es-CO"/>
        </w:rPr>
        <w:t>de Justicia</w:t>
      </w:r>
      <w:r w:rsidRPr="00094354">
        <w:rPr>
          <w:rFonts w:asciiTheme="majorHAnsi" w:hAnsiTheme="majorHAnsi"/>
          <w:sz w:val="20"/>
          <w:szCs w:val="20"/>
          <w:lang w:val="es-CO"/>
        </w:rPr>
        <w:t xml:space="preserve"> </w:t>
      </w:r>
      <w:r w:rsidR="00A078C2" w:rsidRPr="00094354">
        <w:rPr>
          <w:rFonts w:asciiTheme="majorHAnsi" w:hAnsiTheme="majorHAnsi"/>
          <w:sz w:val="20"/>
          <w:szCs w:val="20"/>
          <w:lang w:val="es-CO"/>
        </w:rPr>
        <w:t xml:space="preserve">en </w:t>
      </w:r>
      <w:r w:rsidRPr="00094354">
        <w:rPr>
          <w:rFonts w:asciiTheme="majorHAnsi" w:hAnsiTheme="majorHAnsi"/>
          <w:sz w:val="20"/>
          <w:szCs w:val="20"/>
          <w:lang w:val="es-CO"/>
        </w:rPr>
        <w:t>contra d</w:t>
      </w:r>
      <w:r w:rsidR="00120BBD" w:rsidRPr="00094354">
        <w:rPr>
          <w:rFonts w:asciiTheme="majorHAnsi" w:hAnsiTheme="majorHAnsi"/>
          <w:sz w:val="20"/>
          <w:szCs w:val="20"/>
          <w:lang w:val="es-CO"/>
        </w:rPr>
        <w:t>el Decreto 899</w:t>
      </w:r>
      <w:r w:rsidR="00120BBD" w:rsidRPr="00094354">
        <w:rPr>
          <w:rStyle w:val="FootnoteReference"/>
          <w:rFonts w:asciiTheme="majorHAnsi" w:hAnsiTheme="majorHAnsi"/>
          <w:sz w:val="20"/>
          <w:szCs w:val="20"/>
          <w:lang w:val="es-CO"/>
        </w:rPr>
        <w:footnoteReference w:id="12"/>
      </w:r>
      <w:r w:rsidR="00120BBD" w:rsidRPr="00094354">
        <w:rPr>
          <w:rFonts w:asciiTheme="majorHAnsi" w:hAnsiTheme="majorHAnsi"/>
          <w:sz w:val="20"/>
          <w:szCs w:val="20"/>
          <w:lang w:val="es-CO"/>
        </w:rPr>
        <w:t>.</w:t>
      </w:r>
      <w:r w:rsidR="00A078C2" w:rsidRPr="00094354">
        <w:rPr>
          <w:rFonts w:asciiTheme="majorHAnsi" w:hAnsiTheme="majorHAnsi"/>
          <w:sz w:val="20"/>
          <w:szCs w:val="20"/>
          <w:lang w:val="es-ES"/>
        </w:rPr>
        <w:t xml:space="preserve"> </w:t>
      </w:r>
      <w:r w:rsidR="00F734F5" w:rsidRPr="00094354">
        <w:rPr>
          <w:rFonts w:asciiTheme="majorHAnsi" w:hAnsiTheme="majorHAnsi"/>
          <w:sz w:val="20"/>
          <w:szCs w:val="20"/>
          <w:lang w:val="es-CO"/>
        </w:rPr>
        <w:t xml:space="preserve">El </w:t>
      </w:r>
      <w:r w:rsidR="00120BBD" w:rsidRPr="00094354">
        <w:rPr>
          <w:rFonts w:asciiTheme="majorHAnsi" w:hAnsiTheme="majorHAnsi"/>
          <w:sz w:val="20"/>
          <w:szCs w:val="20"/>
          <w:lang w:val="es-CO"/>
        </w:rPr>
        <w:t>4 de noviembre de 1997</w:t>
      </w:r>
      <w:r w:rsidR="00F734F5" w:rsidRPr="00094354">
        <w:rPr>
          <w:rFonts w:asciiTheme="majorHAnsi" w:hAnsiTheme="majorHAnsi"/>
          <w:sz w:val="20"/>
          <w:szCs w:val="20"/>
          <w:lang w:val="es-CO"/>
        </w:rPr>
        <w:t xml:space="preserve"> la Sala </w:t>
      </w:r>
      <w:r w:rsidR="000E5C81" w:rsidRPr="00094354">
        <w:rPr>
          <w:rFonts w:asciiTheme="majorHAnsi" w:hAnsiTheme="majorHAnsi"/>
          <w:sz w:val="20"/>
          <w:szCs w:val="20"/>
          <w:lang w:val="es-CO"/>
        </w:rPr>
        <w:t xml:space="preserve">restituyó </w:t>
      </w:r>
      <w:r w:rsidR="00F734F5" w:rsidRPr="00094354">
        <w:rPr>
          <w:rFonts w:asciiTheme="majorHAnsi" w:hAnsiTheme="majorHAnsi"/>
          <w:sz w:val="20"/>
          <w:szCs w:val="20"/>
          <w:lang w:val="es-CO"/>
        </w:rPr>
        <w:t>al señor Colindres como magistrado del TSE</w:t>
      </w:r>
      <w:r w:rsidR="00AA328E" w:rsidRPr="00094354">
        <w:rPr>
          <w:rFonts w:asciiTheme="majorHAnsi" w:hAnsiTheme="majorHAnsi"/>
          <w:sz w:val="20"/>
          <w:szCs w:val="20"/>
          <w:lang w:val="es-CO"/>
        </w:rPr>
        <w:t xml:space="preserve">. </w:t>
      </w:r>
      <w:r w:rsidR="003B4D00" w:rsidRPr="00094354">
        <w:rPr>
          <w:rFonts w:asciiTheme="majorHAnsi" w:hAnsiTheme="majorHAnsi"/>
          <w:sz w:val="20"/>
          <w:szCs w:val="20"/>
          <w:lang w:val="es-CO"/>
        </w:rPr>
        <w:t>La</w:t>
      </w:r>
      <w:r w:rsidR="003B4D00" w:rsidRPr="00640517">
        <w:rPr>
          <w:rFonts w:asciiTheme="majorHAnsi" w:hAnsiTheme="majorHAnsi"/>
          <w:sz w:val="20"/>
          <w:szCs w:val="20"/>
          <w:lang w:val="es-CO"/>
        </w:rPr>
        <w:t xml:space="preserve"> Sala </w:t>
      </w:r>
      <w:r w:rsidR="000E5C81" w:rsidRPr="00640517">
        <w:rPr>
          <w:rFonts w:asciiTheme="majorHAnsi" w:hAnsiTheme="majorHAnsi"/>
          <w:sz w:val="20"/>
          <w:szCs w:val="20"/>
          <w:lang w:val="es-CO"/>
        </w:rPr>
        <w:t xml:space="preserve">reconoció que </w:t>
      </w:r>
      <w:r w:rsidR="00EA1489" w:rsidRPr="00640517">
        <w:rPr>
          <w:rFonts w:asciiTheme="majorHAnsi" w:hAnsiTheme="majorHAnsi"/>
          <w:sz w:val="20"/>
          <w:szCs w:val="20"/>
          <w:lang w:val="es-CO"/>
        </w:rPr>
        <w:t>“</w:t>
      </w:r>
      <w:r w:rsidR="00120BBD" w:rsidRPr="00640517">
        <w:rPr>
          <w:rFonts w:asciiTheme="majorHAnsi" w:hAnsiTheme="majorHAnsi"/>
          <w:sz w:val="20"/>
          <w:szCs w:val="20"/>
          <w:lang w:val="es-CO"/>
        </w:rPr>
        <w:t xml:space="preserve">la normativa constitucional e infra constitucional no </w:t>
      </w:r>
      <w:r w:rsidR="00EA1489" w:rsidRPr="00640517">
        <w:rPr>
          <w:rFonts w:asciiTheme="majorHAnsi" w:hAnsiTheme="majorHAnsi"/>
          <w:sz w:val="20"/>
          <w:szCs w:val="20"/>
          <w:lang w:val="es-CO"/>
        </w:rPr>
        <w:t xml:space="preserve">establecen </w:t>
      </w:r>
      <w:r w:rsidR="00120BBD" w:rsidRPr="00640517">
        <w:rPr>
          <w:rFonts w:asciiTheme="majorHAnsi" w:hAnsiTheme="majorHAnsi"/>
          <w:sz w:val="20"/>
          <w:szCs w:val="20"/>
          <w:lang w:val="es-CO"/>
        </w:rPr>
        <w:t>procedimiento expreso</w:t>
      </w:r>
      <w:r w:rsidR="00EA1489" w:rsidRPr="00640517">
        <w:rPr>
          <w:rFonts w:asciiTheme="majorHAnsi" w:hAnsiTheme="majorHAnsi"/>
          <w:sz w:val="20"/>
          <w:szCs w:val="20"/>
          <w:lang w:val="es-CO"/>
        </w:rPr>
        <w:t xml:space="preserve"> para la destitución de los magistrados” del TSE</w:t>
      </w:r>
      <w:r w:rsidR="00EA1489" w:rsidRPr="00640517">
        <w:rPr>
          <w:rStyle w:val="FootnoteReference"/>
          <w:rFonts w:asciiTheme="majorHAnsi" w:hAnsiTheme="majorHAnsi"/>
          <w:sz w:val="20"/>
          <w:szCs w:val="20"/>
          <w:lang w:val="es-CO"/>
        </w:rPr>
        <w:footnoteReference w:id="13"/>
      </w:r>
      <w:r w:rsidR="000E5C81" w:rsidRPr="00640517">
        <w:rPr>
          <w:rFonts w:asciiTheme="majorHAnsi" w:hAnsiTheme="majorHAnsi"/>
          <w:sz w:val="20"/>
          <w:szCs w:val="20"/>
          <w:lang w:val="es-CO"/>
        </w:rPr>
        <w:t>. Sin embargo, indicó que</w:t>
      </w:r>
      <w:r w:rsidR="00AA328E" w:rsidRPr="00640517">
        <w:rPr>
          <w:rFonts w:asciiTheme="majorHAnsi" w:hAnsiTheme="majorHAnsi"/>
          <w:sz w:val="20"/>
          <w:szCs w:val="20"/>
          <w:lang w:val="es-CO"/>
        </w:rPr>
        <w:t xml:space="preserve"> </w:t>
      </w:r>
      <w:r w:rsidR="001D4A96" w:rsidRPr="00640517">
        <w:rPr>
          <w:rFonts w:asciiTheme="majorHAnsi" w:hAnsiTheme="majorHAnsi"/>
          <w:sz w:val="20"/>
          <w:szCs w:val="20"/>
          <w:lang w:val="es-ES"/>
        </w:rPr>
        <w:t xml:space="preserve">si </w:t>
      </w:r>
      <w:r w:rsidR="00543E97" w:rsidRPr="00640517">
        <w:rPr>
          <w:rFonts w:asciiTheme="majorHAnsi" w:hAnsiTheme="majorHAnsi"/>
          <w:sz w:val="20"/>
          <w:szCs w:val="20"/>
          <w:lang w:val="es-ES"/>
        </w:rPr>
        <w:t xml:space="preserve">la Asamblea Legislativa era el órgano competente para nombrar a los magistrados del TSE </w:t>
      </w:r>
      <w:r w:rsidR="00EA1489" w:rsidRPr="00640517">
        <w:rPr>
          <w:rFonts w:asciiTheme="majorHAnsi" w:hAnsiTheme="majorHAnsi"/>
          <w:sz w:val="20"/>
          <w:szCs w:val="20"/>
          <w:lang w:val="es-CO"/>
        </w:rPr>
        <w:t xml:space="preserve"> “</w:t>
      </w:r>
      <w:r w:rsidR="00E75DF6" w:rsidRPr="00640517">
        <w:rPr>
          <w:rFonts w:asciiTheme="majorHAnsi" w:hAnsiTheme="majorHAnsi"/>
          <w:sz w:val="20"/>
          <w:szCs w:val="20"/>
          <w:lang w:val="es-CO"/>
        </w:rPr>
        <w:t>puede perfectamente interpretarse –en atención al origen político del nombramiento</w:t>
      </w:r>
      <w:r w:rsidR="00FA05E1" w:rsidRPr="00640517">
        <w:rPr>
          <w:rFonts w:asciiTheme="majorHAnsi" w:hAnsiTheme="majorHAnsi"/>
          <w:sz w:val="20"/>
          <w:szCs w:val="20"/>
          <w:lang w:val="es-CO"/>
        </w:rPr>
        <w:t>”</w:t>
      </w:r>
      <w:r w:rsidR="00E75DF6" w:rsidRPr="00640517">
        <w:rPr>
          <w:rFonts w:asciiTheme="majorHAnsi" w:hAnsiTheme="majorHAnsi"/>
          <w:sz w:val="20"/>
          <w:szCs w:val="20"/>
          <w:lang w:val="es-CO"/>
        </w:rPr>
        <w:t xml:space="preserve"> que </w:t>
      </w:r>
      <w:r w:rsidR="003B4D00" w:rsidRPr="00640517">
        <w:rPr>
          <w:rFonts w:asciiTheme="majorHAnsi" w:hAnsiTheme="majorHAnsi"/>
          <w:sz w:val="20"/>
          <w:szCs w:val="20"/>
          <w:lang w:val="es-CO"/>
        </w:rPr>
        <w:t xml:space="preserve">era también </w:t>
      </w:r>
      <w:r w:rsidR="000E5C81" w:rsidRPr="00640517">
        <w:rPr>
          <w:rFonts w:asciiTheme="majorHAnsi" w:hAnsiTheme="majorHAnsi"/>
          <w:sz w:val="20"/>
          <w:szCs w:val="20"/>
          <w:lang w:val="es-CO"/>
        </w:rPr>
        <w:t xml:space="preserve">competente </w:t>
      </w:r>
      <w:r w:rsidR="003B4D00" w:rsidRPr="00640517">
        <w:rPr>
          <w:rFonts w:asciiTheme="majorHAnsi" w:hAnsiTheme="majorHAnsi"/>
          <w:sz w:val="20"/>
          <w:szCs w:val="20"/>
          <w:lang w:val="es-CO"/>
        </w:rPr>
        <w:t xml:space="preserve">para decidir </w:t>
      </w:r>
      <w:r w:rsidR="00120BBD" w:rsidRPr="00640517">
        <w:rPr>
          <w:rFonts w:asciiTheme="majorHAnsi" w:hAnsiTheme="majorHAnsi"/>
          <w:sz w:val="20"/>
          <w:szCs w:val="20"/>
          <w:lang w:val="es-CO"/>
        </w:rPr>
        <w:t>sobre su destitución.</w:t>
      </w:r>
      <w:r w:rsidR="00543E97" w:rsidRPr="00640517">
        <w:rPr>
          <w:rFonts w:asciiTheme="majorHAnsi" w:hAnsiTheme="majorHAnsi"/>
          <w:sz w:val="20"/>
          <w:szCs w:val="20"/>
          <w:lang w:val="es-CO"/>
        </w:rPr>
        <w:t xml:space="preserve"> </w:t>
      </w:r>
      <w:r w:rsidR="00D5139F" w:rsidRPr="00640517">
        <w:rPr>
          <w:rFonts w:asciiTheme="majorHAnsi" w:hAnsiTheme="majorHAnsi"/>
          <w:sz w:val="20"/>
          <w:szCs w:val="20"/>
          <w:lang w:val="es-CO"/>
        </w:rPr>
        <w:t>Sin embargo, para ello deb</w:t>
      </w:r>
      <w:r w:rsidR="000E5C81" w:rsidRPr="00640517">
        <w:rPr>
          <w:rFonts w:asciiTheme="majorHAnsi" w:hAnsiTheme="majorHAnsi"/>
          <w:sz w:val="20"/>
          <w:szCs w:val="20"/>
          <w:lang w:val="es-CO"/>
        </w:rPr>
        <w:t xml:space="preserve">ía </w:t>
      </w:r>
      <w:r w:rsidR="00D5139F" w:rsidRPr="00640517">
        <w:rPr>
          <w:rFonts w:asciiTheme="majorHAnsi" w:hAnsiTheme="majorHAnsi"/>
          <w:sz w:val="20"/>
          <w:szCs w:val="20"/>
          <w:lang w:val="es-CO"/>
        </w:rPr>
        <w:t xml:space="preserve">garantizar </w:t>
      </w:r>
      <w:r w:rsidR="00543E97" w:rsidRPr="00640517">
        <w:rPr>
          <w:rFonts w:asciiTheme="majorHAnsi" w:hAnsiTheme="majorHAnsi"/>
          <w:sz w:val="20"/>
          <w:szCs w:val="20"/>
          <w:lang w:val="es-CO"/>
        </w:rPr>
        <w:t>el “derecho de audiencia”</w:t>
      </w:r>
      <w:r w:rsidR="00543E97" w:rsidRPr="00640517">
        <w:rPr>
          <w:rStyle w:val="FootnoteReference"/>
          <w:rFonts w:asciiTheme="majorHAnsi" w:hAnsiTheme="majorHAnsi"/>
          <w:sz w:val="20"/>
          <w:szCs w:val="20"/>
          <w:lang w:val="es-CO"/>
        </w:rPr>
        <w:footnoteReference w:id="14"/>
      </w:r>
      <w:r w:rsidR="00543E97" w:rsidRPr="00640517">
        <w:rPr>
          <w:rFonts w:asciiTheme="majorHAnsi" w:hAnsiTheme="majorHAnsi"/>
          <w:sz w:val="20"/>
          <w:szCs w:val="20"/>
          <w:lang w:val="es-CO"/>
        </w:rPr>
        <w:t>.</w:t>
      </w:r>
      <w:r w:rsidR="00322CBA" w:rsidRPr="00640517">
        <w:rPr>
          <w:rFonts w:asciiTheme="majorHAnsi" w:hAnsiTheme="majorHAnsi"/>
          <w:sz w:val="20"/>
          <w:szCs w:val="20"/>
          <w:lang w:val="es-CO"/>
        </w:rPr>
        <w:t xml:space="preserve"> </w:t>
      </w:r>
      <w:r w:rsidR="000E5C81" w:rsidRPr="00640517">
        <w:rPr>
          <w:rFonts w:asciiTheme="majorHAnsi" w:hAnsiTheme="majorHAnsi"/>
          <w:sz w:val="20"/>
          <w:szCs w:val="20"/>
          <w:lang w:val="es-CO"/>
        </w:rPr>
        <w:t>La Sala ordenó reinstalar al magistrado Colindres en vista de que en el proceso no tuvo tal garantía</w:t>
      </w:r>
      <w:r w:rsidR="00120BBD" w:rsidRPr="00640517">
        <w:rPr>
          <w:rStyle w:val="FootnoteReference"/>
          <w:rFonts w:asciiTheme="majorHAnsi" w:hAnsiTheme="majorHAnsi"/>
          <w:sz w:val="20"/>
          <w:szCs w:val="20"/>
          <w:lang w:val="es-CO"/>
        </w:rPr>
        <w:footnoteReference w:id="15"/>
      </w:r>
      <w:r w:rsidR="00120BBD" w:rsidRPr="00640517">
        <w:rPr>
          <w:rFonts w:asciiTheme="majorHAnsi" w:hAnsiTheme="majorHAnsi"/>
          <w:sz w:val="20"/>
          <w:szCs w:val="20"/>
          <w:lang w:val="es-CO"/>
        </w:rPr>
        <w:t>.</w:t>
      </w:r>
      <w:r w:rsidR="000E5C81" w:rsidRPr="00640517">
        <w:rPr>
          <w:rFonts w:asciiTheme="majorHAnsi" w:hAnsiTheme="majorHAnsi"/>
          <w:sz w:val="20"/>
          <w:szCs w:val="20"/>
          <w:lang w:val="es-CO"/>
        </w:rPr>
        <w:t xml:space="preserve"> </w:t>
      </w:r>
    </w:p>
    <w:p w14:paraId="30F411B2" w14:textId="77777777" w:rsidR="00920C45" w:rsidRPr="00640517" w:rsidRDefault="00920C45" w:rsidP="002E5EAA">
      <w:pPr>
        <w:pStyle w:val="ListParagraph"/>
        <w:tabs>
          <w:tab w:val="num" w:pos="1440"/>
        </w:tabs>
        <w:rPr>
          <w:rFonts w:asciiTheme="majorHAnsi" w:hAnsiTheme="majorHAnsi"/>
          <w:sz w:val="20"/>
          <w:szCs w:val="20"/>
          <w:lang w:val="es-ES"/>
        </w:rPr>
      </w:pPr>
    </w:p>
    <w:p w14:paraId="1E57AB43" w14:textId="77777777" w:rsidR="00880B2A" w:rsidRDefault="00880B2A">
      <w:pPr>
        <w:rPr>
          <w:rFonts w:ascii="Cambria" w:eastAsia="Times New Roman" w:hAnsi="Cambria"/>
          <w:b/>
          <w:bCs/>
          <w:sz w:val="20"/>
          <w:szCs w:val="20"/>
          <w:lang w:val="es-ES_tradnl"/>
        </w:rPr>
      </w:pPr>
      <w:r w:rsidRPr="006F52BE">
        <w:rPr>
          <w:lang w:val="es-CO"/>
        </w:rPr>
        <w:br w:type="page"/>
      </w:r>
    </w:p>
    <w:p w14:paraId="2451FBC3" w14:textId="77777777" w:rsidR="00CD1C53" w:rsidRPr="00640517" w:rsidRDefault="00CD1C53" w:rsidP="0045657E">
      <w:pPr>
        <w:pStyle w:val="Heading3"/>
      </w:pPr>
      <w:bookmarkStart w:id="49" w:name="_Toc484623837"/>
      <w:r w:rsidRPr="00640517">
        <w:lastRenderedPageBreak/>
        <w:t xml:space="preserve">La segunda destitución del señor Colindres </w:t>
      </w:r>
      <w:r w:rsidR="00A7749B" w:rsidRPr="00640517">
        <w:t>el</w:t>
      </w:r>
      <w:r w:rsidRPr="00640517">
        <w:t xml:space="preserve"> 2 de julio de 1998</w:t>
      </w:r>
      <w:bookmarkEnd w:id="49"/>
      <w:r w:rsidRPr="00640517">
        <w:t xml:space="preserve"> </w:t>
      </w:r>
    </w:p>
    <w:p w14:paraId="78343A2F" w14:textId="77777777" w:rsidR="0052520E" w:rsidRPr="00640517" w:rsidRDefault="0052520E" w:rsidP="0052520E">
      <w:pPr>
        <w:pStyle w:val="ListParagraph"/>
        <w:ind w:left="1440"/>
        <w:jc w:val="both"/>
        <w:rPr>
          <w:rFonts w:asciiTheme="majorHAnsi" w:hAnsiTheme="majorHAnsi"/>
          <w:b/>
          <w:sz w:val="20"/>
          <w:szCs w:val="20"/>
          <w:lang w:val="es-ES"/>
        </w:rPr>
      </w:pPr>
    </w:p>
    <w:p w14:paraId="06A90ED2" w14:textId="77777777" w:rsidR="00120BBD" w:rsidRPr="00640517" w:rsidRDefault="00CD1C53" w:rsidP="003B4D00">
      <w:pPr>
        <w:numPr>
          <w:ilvl w:val="0"/>
          <w:numId w:val="1"/>
        </w:numPr>
        <w:ind w:left="0" w:firstLine="720"/>
        <w:jc w:val="both"/>
        <w:rPr>
          <w:rFonts w:asciiTheme="majorHAnsi" w:hAnsiTheme="majorHAnsi"/>
          <w:sz w:val="20"/>
          <w:szCs w:val="20"/>
          <w:lang w:val="es-UY"/>
        </w:rPr>
      </w:pPr>
      <w:r w:rsidRPr="00640517">
        <w:rPr>
          <w:rFonts w:asciiTheme="majorHAnsi" w:hAnsiTheme="majorHAnsi"/>
          <w:sz w:val="20"/>
          <w:szCs w:val="20"/>
          <w:lang w:val="es-CO"/>
        </w:rPr>
        <w:t xml:space="preserve">El </w:t>
      </w:r>
      <w:r w:rsidR="000634D3" w:rsidRPr="00640517">
        <w:rPr>
          <w:rFonts w:asciiTheme="majorHAnsi" w:hAnsiTheme="majorHAnsi"/>
          <w:sz w:val="20"/>
          <w:szCs w:val="20"/>
          <w:lang w:val="es-CO"/>
        </w:rPr>
        <w:t>17</w:t>
      </w:r>
      <w:r w:rsidRPr="00640517">
        <w:rPr>
          <w:rFonts w:asciiTheme="majorHAnsi" w:hAnsiTheme="majorHAnsi"/>
          <w:sz w:val="20"/>
          <w:szCs w:val="20"/>
          <w:lang w:val="es-CO"/>
        </w:rPr>
        <w:t xml:space="preserve"> de marzo de 1998 diputados</w:t>
      </w:r>
      <w:r w:rsidR="000634D3" w:rsidRPr="00640517">
        <w:rPr>
          <w:rFonts w:asciiTheme="majorHAnsi" w:hAnsiTheme="majorHAnsi"/>
          <w:sz w:val="20"/>
          <w:szCs w:val="20"/>
          <w:lang w:val="es-CO"/>
        </w:rPr>
        <w:t xml:space="preserve"> del PDC</w:t>
      </w:r>
      <w:r w:rsidRPr="00640517">
        <w:rPr>
          <w:rStyle w:val="FootnoteReference"/>
          <w:rFonts w:asciiTheme="majorHAnsi" w:hAnsiTheme="majorHAnsi"/>
          <w:sz w:val="20"/>
          <w:szCs w:val="20"/>
          <w:lang w:val="es-CO"/>
        </w:rPr>
        <w:footnoteReference w:id="16"/>
      </w:r>
      <w:r w:rsidR="000634D3" w:rsidRPr="00640517">
        <w:rPr>
          <w:rFonts w:asciiTheme="majorHAnsi" w:hAnsiTheme="majorHAnsi"/>
          <w:sz w:val="20"/>
          <w:szCs w:val="20"/>
          <w:lang w:val="es-CO"/>
        </w:rPr>
        <w:t xml:space="preserve"> presentaron a </w:t>
      </w:r>
      <w:r w:rsidRPr="00640517">
        <w:rPr>
          <w:rFonts w:asciiTheme="majorHAnsi" w:hAnsiTheme="majorHAnsi"/>
          <w:sz w:val="20"/>
          <w:szCs w:val="20"/>
          <w:lang w:val="es-CO"/>
        </w:rPr>
        <w:t xml:space="preserve">la Asamblea Legislativa una </w:t>
      </w:r>
      <w:r w:rsidR="000634D3" w:rsidRPr="00640517">
        <w:rPr>
          <w:rFonts w:asciiTheme="majorHAnsi" w:hAnsiTheme="majorHAnsi"/>
          <w:sz w:val="20"/>
          <w:szCs w:val="20"/>
          <w:lang w:val="es-CO"/>
        </w:rPr>
        <w:t>“</w:t>
      </w:r>
      <w:r w:rsidRPr="00640517">
        <w:rPr>
          <w:rFonts w:asciiTheme="majorHAnsi" w:hAnsiTheme="majorHAnsi"/>
          <w:sz w:val="20"/>
          <w:szCs w:val="20"/>
          <w:lang w:val="es-CO"/>
        </w:rPr>
        <w:t>solicitud de moción</w:t>
      </w:r>
      <w:r w:rsidR="000634D3" w:rsidRPr="00640517">
        <w:rPr>
          <w:rFonts w:asciiTheme="majorHAnsi" w:hAnsiTheme="majorHAnsi"/>
          <w:sz w:val="20"/>
          <w:szCs w:val="20"/>
          <w:lang w:val="es-CO"/>
        </w:rPr>
        <w:t>”</w:t>
      </w:r>
      <w:r w:rsidRPr="00640517">
        <w:rPr>
          <w:rFonts w:asciiTheme="majorHAnsi" w:hAnsiTheme="majorHAnsi"/>
          <w:sz w:val="20"/>
          <w:szCs w:val="20"/>
          <w:lang w:val="es-CO"/>
        </w:rPr>
        <w:t xml:space="preserve"> para </w:t>
      </w:r>
      <w:r w:rsidR="00261B3F" w:rsidRPr="00640517">
        <w:rPr>
          <w:rFonts w:asciiTheme="majorHAnsi" w:hAnsiTheme="majorHAnsi"/>
          <w:sz w:val="20"/>
          <w:szCs w:val="20"/>
          <w:lang w:val="es-CO"/>
        </w:rPr>
        <w:t xml:space="preserve">cesar </w:t>
      </w:r>
      <w:r w:rsidRPr="00640517">
        <w:rPr>
          <w:rFonts w:asciiTheme="majorHAnsi" w:hAnsiTheme="majorHAnsi"/>
          <w:sz w:val="20"/>
          <w:szCs w:val="20"/>
          <w:lang w:val="es-CO"/>
        </w:rPr>
        <w:t xml:space="preserve">al </w:t>
      </w:r>
      <w:r w:rsidR="000E5C81" w:rsidRPr="00640517">
        <w:rPr>
          <w:rFonts w:asciiTheme="majorHAnsi" w:hAnsiTheme="majorHAnsi"/>
          <w:sz w:val="20"/>
          <w:szCs w:val="20"/>
          <w:lang w:val="es-CO"/>
        </w:rPr>
        <w:t xml:space="preserve">magistrado </w:t>
      </w:r>
      <w:r w:rsidRPr="00640517">
        <w:rPr>
          <w:rFonts w:asciiTheme="majorHAnsi" w:hAnsiTheme="majorHAnsi"/>
          <w:sz w:val="20"/>
          <w:szCs w:val="20"/>
          <w:lang w:val="es-CO"/>
        </w:rPr>
        <w:t>Colindres</w:t>
      </w:r>
      <w:r w:rsidRPr="00640517">
        <w:rPr>
          <w:rStyle w:val="FootnoteReference"/>
          <w:rFonts w:asciiTheme="majorHAnsi" w:hAnsiTheme="majorHAnsi"/>
          <w:sz w:val="20"/>
          <w:szCs w:val="20"/>
          <w:lang w:val="es-CO"/>
        </w:rPr>
        <w:footnoteReference w:id="17"/>
      </w:r>
      <w:r w:rsidR="00261B3F" w:rsidRPr="00640517">
        <w:rPr>
          <w:rFonts w:asciiTheme="majorHAnsi" w:hAnsiTheme="majorHAnsi"/>
          <w:sz w:val="20"/>
          <w:szCs w:val="20"/>
          <w:lang w:val="es-CO"/>
        </w:rPr>
        <w:t xml:space="preserve">, teniendo en cuenta los motivos establecidos en el </w:t>
      </w:r>
      <w:r w:rsidR="000634D3" w:rsidRPr="00640517">
        <w:rPr>
          <w:rFonts w:asciiTheme="majorHAnsi" w:hAnsiTheme="majorHAnsi"/>
          <w:sz w:val="20"/>
          <w:szCs w:val="20"/>
          <w:lang w:val="es-CO"/>
        </w:rPr>
        <w:t>Decreto 899</w:t>
      </w:r>
      <w:r w:rsidR="00322CBA" w:rsidRPr="00640517">
        <w:rPr>
          <w:rFonts w:asciiTheme="majorHAnsi" w:hAnsiTheme="majorHAnsi"/>
          <w:sz w:val="20"/>
          <w:szCs w:val="20"/>
          <w:lang w:val="es-CO"/>
        </w:rPr>
        <w:t>,</w:t>
      </w:r>
      <w:r w:rsidR="00EB27D3" w:rsidRPr="00640517">
        <w:rPr>
          <w:rFonts w:asciiTheme="majorHAnsi" w:hAnsiTheme="majorHAnsi"/>
          <w:sz w:val="20"/>
          <w:szCs w:val="20"/>
          <w:lang w:val="es-CO"/>
        </w:rPr>
        <w:t xml:space="preserve"> reiterando que había parcializado su actuación en su calidad de juzgador en la problemática interna del Partido Demócrata Cristiano</w:t>
      </w:r>
      <w:r w:rsidR="000634D3" w:rsidRPr="00640517">
        <w:rPr>
          <w:rStyle w:val="FootnoteReference"/>
          <w:rFonts w:asciiTheme="majorHAnsi" w:hAnsiTheme="majorHAnsi"/>
          <w:sz w:val="20"/>
          <w:szCs w:val="20"/>
          <w:lang w:val="es-CO"/>
        </w:rPr>
        <w:footnoteReference w:id="18"/>
      </w:r>
      <w:r w:rsidR="00FB3532" w:rsidRPr="00640517">
        <w:rPr>
          <w:rFonts w:asciiTheme="majorHAnsi" w:hAnsiTheme="majorHAnsi"/>
          <w:sz w:val="20"/>
          <w:szCs w:val="20"/>
          <w:lang w:val="es-CO"/>
        </w:rPr>
        <w:t>.</w:t>
      </w:r>
      <w:r w:rsidR="000634D3" w:rsidRPr="00640517">
        <w:rPr>
          <w:rFonts w:asciiTheme="majorHAnsi" w:hAnsiTheme="majorHAnsi"/>
          <w:sz w:val="20"/>
          <w:szCs w:val="20"/>
          <w:lang w:val="es-CO"/>
        </w:rPr>
        <w:t xml:space="preserve"> </w:t>
      </w:r>
      <w:r w:rsidR="003B4D00" w:rsidRPr="00640517">
        <w:rPr>
          <w:rFonts w:asciiTheme="majorHAnsi" w:hAnsiTheme="majorHAnsi"/>
          <w:sz w:val="20"/>
          <w:szCs w:val="20"/>
          <w:lang w:val="es-UY"/>
        </w:rPr>
        <w:t xml:space="preserve"> </w:t>
      </w:r>
      <w:r w:rsidR="00EA1218" w:rsidRPr="00640517">
        <w:rPr>
          <w:rFonts w:asciiTheme="majorHAnsi" w:hAnsiTheme="majorHAnsi"/>
          <w:sz w:val="20"/>
          <w:szCs w:val="20"/>
          <w:lang w:val="es-CO"/>
        </w:rPr>
        <w:t>E</w:t>
      </w:r>
      <w:r w:rsidR="00120BBD" w:rsidRPr="00640517">
        <w:rPr>
          <w:rFonts w:asciiTheme="majorHAnsi" w:hAnsiTheme="majorHAnsi"/>
          <w:sz w:val="20"/>
          <w:szCs w:val="20"/>
          <w:lang w:val="es-CO"/>
        </w:rPr>
        <w:t xml:space="preserve">l 24 de marzo de 1998,  </w:t>
      </w:r>
      <w:r w:rsidR="00EA1218" w:rsidRPr="00640517">
        <w:rPr>
          <w:rFonts w:asciiTheme="majorHAnsi" w:hAnsiTheme="majorHAnsi"/>
          <w:sz w:val="20"/>
          <w:szCs w:val="20"/>
          <w:lang w:val="es-CO"/>
        </w:rPr>
        <w:t xml:space="preserve">mediante </w:t>
      </w:r>
      <w:r w:rsidR="00120BBD" w:rsidRPr="00640517">
        <w:rPr>
          <w:rFonts w:asciiTheme="majorHAnsi" w:hAnsiTheme="majorHAnsi"/>
          <w:sz w:val="20"/>
          <w:szCs w:val="20"/>
          <w:lang w:val="es-CO"/>
        </w:rPr>
        <w:t xml:space="preserve">Acuerdo Legislativo 281 se creó </w:t>
      </w:r>
      <w:r w:rsidR="00EA1218" w:rsidRPr="00640517">
        <w:rPr>
          <w:rFonts w:asciiTheme="majorHAnsi" w:hAnsiTheme="majorHAnsi"/>
          <w:sz w:val="20"/>
          <w:szCs w:val="20"/>
          <w:lang w:val="es-CO"/>
        </w:rPr>
        <w:t xml:space="preserve">una </w:t>
      </w:r>
      <w:r w:rsidR="00120BBD" w:rsidRPr="00640517">
        <w:rPr>
          <w:rFonts w:asciiTheme="majorHAnsi" w:hAnsiTheme="majorHAnsi"/>
          <w:sz w:val="20"/>
          <w:szCs w:val="20"/>
          <w:lang w:val="es-CO"/>
        </w:rPr>
        <w:t xml:space="preserve">Comisión Especial </w:t>
      </w:r>
      <w:r w:rsidR="000E5C81" w:rsidRPr="00640517">
        <w:rPr>
          <w:rFonts w:asciiTheme="majorHAnsi" w:hAnsiTheme="majorHAnsi"/>
          <w:sz w:val="20"/>
          <w:szCs w:val="20"/>
          <w:lang w:val="es-CO"/>
        </w:rPr>
        <w:t xml:space="preserve">para garantizar </w:t>
      </w:r>
      <w:r w:rsidR="00120BBD" w:rsidRPr="00640517">
        <w:rPr>
          <w:rFonts w:asciiTheme="majorHAnsi" w:hAnsiTheme="majorHAnsi"/>
          <w:sz w:val="20"/>
          <w:szCs w:val="20"/>
          <w:lang w:val="es-CO"/>
        </w:rPr>
        <w:t>el derecho de audiencia</w:t>
      </w:r>
      <w:r w:rsidR="000E5C81" w:rsidRPr="00640517">
        <w:rPr>
          <w:rFonts w:asciiTheme="majorHAnsi" w:hAnsiTheme="majorHAnsi"/>
          <w:sz w:val="20"/>
          <w:szCs w:val="20"/>
          <w:lang w:val="es-CO"/>
        </w:rPr>
        <w:t xml:space="preserve"> al magistrado Colindres</w:t>
      </w:r>
      <w:r w:rsidR="00120BBD" w:rsidRPr="00640517">
        <w:rPr>
          <w:rStyle w:val="FootnoteReference"/>
          <w:rFonts w:asciiTheme="majorHAnsi" w:hAnsiTheme="majorHAnsi"/>
          <w:sz w:val="20"/>
          <w:szCs w:val="20"/>
          <w:lang w:val="es-CO"/>
        </w:rPr>
        <w:footnoteReference w:id="19"/>
      </w:r>
      <w:r w:rsidR="00120BBD" w:rsidRPr="00640517">
        <w:rPr>
          <w:rFonts w:asciiTheme="majorHAnsi" w:hAnsiTheme="majorHAnsi"/>
          <w:sz w:val="20"/>
          <w:szCs w:val="20"/>
          <w:lang w:val="es-CO"/>
        </w:rPr>
        <w:t>.</w:t>
      </w:r>
    </w:p>
    <w:p w14:paraId="1EAA3794" w14:textId="77777777" w:rsidR="00704999" w:rsidRPr="00640517" w:rsidRDefault="00704999" w:rsidP="002E5EAA">
      <w:pPr>
        <w:pStyle w:val="ListParagraph"/>
        <w:tabs>
          <w:tab w:val="num" w:pos="1440"/>
        </w:tabs>
        <w:rPr>
          <w:rFonts w:asciiTheme="majorHAnsi" w:hAnsiTheme="majorHAnsi"/>
          <w:sz w:val="20"/>
          <w:szCs w:val="20"/>
          <w:lang w:val="es-CO"/>
        </w:rPr>
      </w:pPr>
    </w:p>
    <w:p w14:paraId="0322DF78" w14:textId="77777777" w:rsidR="00EA1A31" w:rsidRPr="00640517" w:rsidRDefault="00704999" w:rsidP="00C26257">
      <w:pPr>
        <w:numPr>
          <w:ilvl w:val="0"/>
          <w:numId w:val="1"/>
        </w:numPr>
        <w:ind w:left="0" w:firstLine="720"/>
        <w:jc w:val="both"/>
        <w:rPr>
          <w:rFonts w:asciiTheme="majorHAnsi" w:hAnsiTheme="majorHAnsi"/>
          <w:sz w:val="20"/>
          <w:szCs w:val="20"/>
          <w:lang w:val="es-CO"/>
        </w:rPr>
      </w:pPr>
      <w:r w:rsidRPr="00640517">
        <w:rPr>
          <w:rFonts w:asciiTheme="majorHAnsi" w:hAnsiTheme="majorHAnsi"/>
          <w:sz w:val="20"/>
          <w:szCs w:val="20"/>
          <w:lang w:val="es-CO"/>
        </w:rPr>
        <w:t xml:space="preserve">El 15 de abril de 1998 los diputados </w:t>
      </w:r>
      <w:r w:rsidR="000E5C81" w:rsidRPr="00640517">
        <w:rPr>
          <w:rFonts w:asciiTheme="majorHAnsi" w:hAnsiTheme="majorHAnsi"/>
          <w:sz w:val="20"/>
          <w:szCs w:val="20"/>
          <w:lang w:val="es-CO"/>
        </w:rPr>
        <w:t xml:space="preserve">del PDC </w:t>
      </w:r>
      <w:r w:rsidRPr="00640517">
        <w:rPr>
          <w:rFonts w:asciiTheme="majorHAnsi" w:hAnsiTheme="majorHAnsi"/>
          <w:sz w:val="20"/>
          <w:szCs w:val="20"/>
          <w:lang w:val="es-CO"/>
        </w:rPr>
        <w:t xml:space="preserve">presentaron </w:t>
      </w:r>
      <w:r w:rsidR="00261B3F" w:rsidRPr="00640517">
        <w:rPr>
          <w:rFonts w:asciiTheme="majorHAnsi" w:hAnsiTheme="majorHAnsi"/>
          <w:sz w:val="20"/>
          <w:szCs w:val="20"/>
          <w:lang w:val="es-CO"/>
        </w:rPr>
        <w:t xml:space="preserve">una </w:t>
      </w:r>
      <w:r w:rsidRPr="00640517">
        <w:rPr>
          <w:rFonts w:asciiTheme="majorHAnsi" w:hAnsiTheme="majorHAnsi"/>
          <w:sz w:val="20"/>
          <w:szCs w:val="20"/>
          <w:lang w:val="es-CO"/>
        </w:rPr>
        <w:t>ampliación ante la Comisión Especial</w:t>
      </w:r>
      <w:r w:rsidRPr="00640517">
        <w:rPr>
          <w:rStyle w:val="FootnoteReference"/>
          <w:rFonts w:asciiTheme="majorHAnsi" w:hAnsiTheme="majorHAnsi"/>
          <w:sz w:val="20"/>
          <w:szCs w:val="20"/>
          <w:lang w:val="es-CO"/>
        </w:rPr>
        <w:footnoteReference w:id="20"/>
      </w:r>
      <w:r w:rsidRPr="00640517">
        <w:rPr>
          <w:rFonts w:asciiTheme="majorHAnsi" w:hAnsiTheme="majorHAnsi"/>
          <w:sz w:val="20"/>
          <w:szCs w:val="20"/>
          <w:lang w:val="es-CO"/>
        </w:rPr>
        <w:t xml:space="preserve">. </w:t>
      </w:r>
      <w:r w:rsidR="000E5C81" w:rsidRPr="00640517">
        <w:rPr>
          <w:rFonts w:asciiTheme="majorHAnsi" w:hAnsiTheme="majorHAnsi"/>
          <w:sz w:val="20"/>
          <w:szCs w:val="20"/>
          <w:lang w:val="es-CO"/>
        </w:rPr>
        <w:t xml:space="preserve">Indicaron que </w:t>
      </w:r>
      <w:r w:rsidRPr="00640517">
        <w:rPr>
          <w:rFonts w:asciiTheme="majorHAnsi" w:hAnsiTheme="majorHAnsi"/>
          <w:sz w:val="20"/>
          <w:szCs w:val="20"/>
          <w:lang w:val="es-CO"/>
        </w:rPr>
        <w:t>teniendo en cuenta que el PDC fue quien lo propuso como magistrado ante el TSE,</w:t>
      </w:r>
      <w:r w:rsidR="00C26257" w:rsidRPr="00640517">
        <w:rPr>
          <w:rFonts w:asciiTheme="majorHAnsi" w:hAnsiTheme="majorHAnsi"/>
          <w:sz w:val="20"/>
          <w:szCs w:val="20"/>
          <w:lang w:val="es-CO"/>
        </w:rPr>
        <w:t xml:space="preserve"> la “</w:t>
      </w:r>
      <w:r w:rsidR="002E2B5A" w:rsidRPr="00640517">
        <w:rPr>
          <w:rFonts w:asciiTheme="majorHAnsi" w:hAnsiTheme="majorHAnsi"/>
          <w:sz w:val="20"/>
          <w:szCs w:val="20"/>
          <w:lang w:val="es-CO"/>
        </w:rPr>
        <w:t>conducta mostrada por el señor</w:t>
      </w:r>
      <w:r w:rsidR="00C26257" w:rsidRPr="00640517">
        <w:rPr>
          <w:rFonts w:asciiTheme="majorHAnsi" w:hAnsiTheme="majorHAnsi"/>
          <w:sz w:val="20"/>
          <w:szCs w:val="20"/>
          <w:lang w:val="es-CO"/>
        </w:rPr>
        <w:t xml:space="preserve"> Colindres rompe con el principio constitucional que plantea de que</w:t>
      </w:r>
      <w:r w:rsidR="008C3634" w:rsidRPr="00640517">
        <w:rPr>
          <w:rFonts w:asciiTheme="majorHAnsi" w:hAnsiTheme="majorHAnsi"/>
          <w:sz w:val="20"/>
          <w:szCs w:val="20"/>
          <w:lang w:val="es-CO"/>
        </w:rPr>
        <w:t xml:space="preserve"> (sic)</w:t>
      </w:r>
      <w:r w:rsidR="00C26257" w:rsidRPr="00640517">
        <w:rPr>
          <w:rFonts w:asciiTheme="majorHAnsi" w:hAnsiTheme="majorHAnsi"/>
          <w:sz w:val="20"/>
          <w:szCs w:val="20"/>
          <w:lang w:val="es-CO"/>
        </w:rPr>
        <w:t xml:space="preserve"> los tres partidos </w:t>
      </w:r>
      <w:proofErr w:type="spellStart"/>
      <w:r w:rsidR="00C26257" w:rsidRPr="00640517">
        <w:rPr>
          <w:rFonts w:asciiTheme="majorHAnsi" w:hAnsiTheme="majorHAnsi"/>
          <w:sz w:val="20"/>
          <w:szCs w:val="20"/>
          <w:lang w:val="es-CO"/>
        </w:rPr>
        <w:t>politicos</w:t>
      </w:r>
      <w:proofErr w:type="spellEnd"/>
      <w:r w:rsidR="00C26257" w:rsidRPr="00640517">
        <w:rPr>
          <w:rFonts w:asciiTheme="majorHAnsi" w:hAnsiTheme="majorHAnsi"/>
          <w:sz w:val="20"/>
          <w:szCs w:val="20"/>
          <w:lang w:val="es-CO"/>
        </w:rPr>
        <w:t xml:space="preserve"> o coaliciones legales que hayan obtenido mayor número de votos en la última elección presidencial</w:t>
      </w:r>
      <w:r w:rsidR="002157CB" w:rsidRPr="00640517">
        <w:rPr>
          <w:rFonts w:asciiTheme="majorHAnsi" w:hAnsiTheme="majorHAnsi"/>
          <w:sz w:val="20"/>
          <w:szCs w:val="20"/>
          <w:lang w:val="es-CO"/>
        </w:rPr>
        <w:t>”</w:t>
      </w:r>
      <w:r w:rsidRPr="00640517">
        <w:rPr>
          <w:rStyle w:val="FootnoteReference"/>
          <w:rFonts w:asciiTheme="majorHAnsi" w:hAnsiTheme="majorHAnsi"/>
          <w:sz w:val="20"/>
          <w:szCs w:val="20"/>
          <w:lang w:val="es-CO"/>
        </w:rPr>
        <w:footnoteReference w:id="21"/>
      </w:r>
      <w:r w:rsidRPr="00640517">
        <w:rPr>
          <w:rFonts w:asciiTheme="majorHAnsi" w:hAnsiTheme="majorHAnsi"/>
          <w:sz w:val="20"/>
          <w:szCs w:val="20"/>
          <w:lang w:val="es-CO"/>
        </w:rPr>
        <w:t>.</w:t>
      </w:r>
      <w:r w:rsidR="00EB07D6" w:rsidRPr="00640517">
        <w:rPr>
          <w:rFonts w:asciiTheme="majorHAnsi" w:hAnsiTheme="majorHAnsi"/>
          <w:sz w:val="20"/>
          <w:szCs w:val="20"/>
          <w:lang w:val="es-CO"/>
        </w:rPr>
        <w:t xml:space="preserve"> </w:t>
      </w:r>
      <w:r w:rsidR="00C26257" w:rsidRPr="00640517">
        <w:rPr>
          <w:rFonts w:asciiTheme="majorHAnsi" w:hAnsiTheme="majorHAnsi"/>
          <w:sz w:val="20"/>
          <w:szCs w:val="20"/>
          <w:lang w:val="es-CO"/>
        </w:rPr>
        <w:t xml:space="preserve">Los diputados </w:t>
      </w:r>
      <w:r w:rsidR="00261B3F" w:rsidRPr="00640517">
        <w:rPr>
          <w:rFonts w:asciiTheme="majorHAnsi" w:hAnsiTheme="majorHAnsi"/>
          <w:sz w:val="20"/>
          <w:szCs w:val="20"/>
          <w:lang w:val="es-CO"/>
        </w:rPr>
        <w:t xml:space="preserve">refirieron </w:t>
      </w:r>
      <w:r w:rsidR="00C26257" w:rsidRPr="00640517">
        <w:rPr>
          <w:rFonts w:asciiTheme="majorHAnsi" w:hAnsiTheme="majorHAnsi"/>
          <w:sz w:val="20"/>
          <w:szCs w:val="20"/>
          <w:lang w:val="es-CO"/>
        </w:rPr>
        <w:t xml:space="preserve">una serie de actuaciones </w:t>
      </w:r>
      <w:r w:rsidR="00261B3F" w:rsidRPr="00640517">
        <w:rPr>
          <w:rFonts w:asciiTheme="majorHAnsi" w:hAnsiTheme="majorHAnsi"/>
          <w:sz w:val="20"/>
          <w:szCs w:val="20"/>
          <w:lang w:val="es-CO"/>
        </w:rPr>
        <w:t>con las cuales el señor Colindres habría intervenido en los asuntos del PDC</w:t>
      </w:r>
      <w:r w:rsidR="00261B3F" w:rsidRPr="00640517">
        <w:rPr>
          <w:rStyle w:val="FootnoteReference"/>
          <w:rFonts w:asciiTheme="majorHAnsi" w:hAnsiTheme="majorHAnsi"/>
          <w:sz w:val="20"/>
          <w:szCs w:val="20"/>
          <w:lang w:val="es-CO"/>
        </w:rPr>
        <w:footnoteReference w:id="22"/>
      </w:r>
      <w:r w:rsidR="00261B3F" w:rsidRPr="00640517">
        <w:rPr>
          <w:rFonts w:asciiTheme="majorHAnsi" w:hAnsiTheme="majorHAnsi"/>
          <w:sz w:val="20"/>
          <w:szCs w:val="20"/>
          <w:lang w:val="es-CO"/>
        </w:rPr>
        <w:t>.</w:t>
      </w:r>
    </w:p>
    <w:p w14:paraId="6BE3A2A2" w14:textId="77777777" w:rsidR="00EA1A31" w:rsidRPr="00640517" w:rsidRDefault="00EA1A31" w:rsidP="002E5EAA">
      <w:pPr>
        <w:pStyle w:val="ListParagraph"/>
        <w:tabs>
          <w:tab w:val="num" w:pos="1440"/>
        </w:tabs>
        <w:rPr>
          <w:rFonts w:asciiTheme="majorHAnsi" w:hAnsiTheme="majorHAnsi"/>
          <w:sz w:val="20"/>
          <w:szCs w:val="20"/>
          <w:lang w:val="es-CO"/>
        </w:rPr>
      </w:pPr>
    </w:p>
    <w:p w14:paraId="16E308DB" w14:textId="576CC0BE" w:rsidR="00197DB2" w:rsidRPr="00640517" w:rsidRDefault="00B55302" w:rsidP="006C5F36">
      <w:pPr>
        <w:numPr>
          <w:ilvl w:val="0"/>
          <w:numId w:val="1"/>
        </w:numPr>
        <w:ind w:left="0" w:firstLine="720"/>
        <w:jc w:val="both"/>
        <w:rPr>
          <w:rFonts w:asciiTheme="majorHAnsi" w:hAnsiTheme="majorHAnsi"/>
          <w:sz w:val="20"/>
          <w:szCs w:val="20"/>
          <w:lang w:val="es-CO"/>
        </w:rPr>
      </w:pPr>
      <w:r w:rsidRPr="00640517">
        <w:rPr>
          <w:rFonts w:asciiTheme="majorHAnsi" w:hAnsiTheme="majorHAnsi"/>
          <w:sz w:val="20"/>
          <w:szCs w:val="20"/>
          <w:lang w:val="es-UY"/>
        </w:rPr>
        <w:t>El 15 de abril de 1998 l</w:t>
      </w:r>
      <w:r w:rsidR="00704999" w:rsidRPr="00640517">
        <w:rPr>
          <w:rFonts w:asciiTheme="majorHAnsi" w:hAnsiTheme="majorHAnsi"/>
          <w:sz w:val="20"/>
          <w:szCs w:val="20"/>
          <w:lang w:val="es-CO"/>
        </w:rPr>
        <w:t>a Comisión Especial acordó</w:t>
      </w:r>
      <w:r w:rsidR="006C5F36" w:rsidRPr="00640517">
        <w:rPr>
          <w:rFonts w:asciiTheme="majorHAnsi" w:hAnsiTheme="majorHAnsi"/>
          <w:sz w:val="20"/>
          <w:szCs w:val="20"/>
          <w:lang w:val="es-CO"/>
        </w:rPr>
        <w:t xml:space="preserve"> </w:t>
      </w:r>
      <w:r w:rsidRPr="00640517">
        <w:rPr>
          <w:rFonts w:asciiTheme="majorHAnsi" w:hAnsiTheme="majorHAnsi"/>
          <w:sz w:val="20"/>
          <w:szCs w:val="20"/>
          <w:lang w:val="es-CO"/>
        </w:rPr>
        <w:t>“</w:t>
      </w:r>
      <w:r w:rsidR="00704999" w:rsidRPr="00640517">
        <w:rPr>
          <w:rFonts w:asciiTheme="majorHAnsi" w:hAnsiTheme="majorHAnsi"/>
          <w:sz w:val="20"/>
          <w:szCs w:val="20"/>
          <w:lang w:val="es-CO"/>
        </w:rPr>
        <w:t>dar audiencia, por te</w:t>
      </w:r>
      <w:r w:rsidR="00704999" w:rsidRPr="008526D9">
        <w:rPr>
          <w:rFonts w:asciiTheme="majorHAnsi" w:hAnsiTheme="majorHAnsi"/>
          <w:sz w:val="20"/>
          <w:szCs w:val="20"/>
          <w:lang w:val="es-CO"/>
        </w:rPr>
        <w:t>rcero</w:t>
      </w:r>
      <w:r w:rsidR="00704999" w:rsidRPr="00640517">
        <w:rPr>
          <w:rFonts w:asciiTheme="majorHAnsi" w:hAnsiTheme="majorHAnsi"/>
          <w:sz w:val="20"/>
          <w:szCs w:val="20"/>
          <w:lang w:val="es-CO"/>
        </w:rPr>
        <w:t xml:space="preserve"> día</w:t>
      </w:r>
      <w:r w:rsidRPr="00640517">
        <w:rPr>
          <w:rFonts w:asciiTheme="majorHAnsi" w:hAnsiTheme="majorHAnsi"/>
          <w:sz w:val="20"/>
          <w:szCs w:val="20"/>
          <w:lang w:val="es-CO"/>
        </w:rPr>
        <w:t>”</w:t>
      </w:r>
      <w:r w:rsidR="00704999" w:rsidRPr="00640517">
        <w:rPr>
          <w:rFonts w:asciiTheme="majorHAnsi" w:hAnsiTheme="majorHAnsi"/>
          <w:sz w:val="20"/>
          <w:szCs w:val="20"/>
          <w:lang w:val="es-CO"/>
        </w:rPr>
        <w:t xml:space="preserve">, al </w:t>
      </w:r>
      <w:r w:rsidRPr="00640517">
        <w:rPr>
          <w:rFonts w:asciiTheme="majorHAnsi" w:hAnsiTheme="majorHAnsi"/>
          <w:sz w:val="20"/>
          <w:szCs w:val="20"/>
          <w:lang w:val="es-CO"/>
        </w:rPr>
        <w:t xml:space="preserve">magistrado </w:t>
      </w:r>
      <w:r w:rsidR="00704999" w:rsidRPr="00640517">
        <w:rPr>
          <w:rFonts w:asciiTheme="majorHAnsi" w:hAnsiTheme="majorHAnsi"/>
          <w:sz w:val="20"/>
          <w:szCs w:val="20"/>
          <w:lang w:val="es-CO"/>
        </w:rPr>
        <w:t>Colindres</w:t>
      </w:r>
      <w:r w:rsidR="00704999" w:rsidRPr="00640517">
        <w:rPr>
          <w:rStyle w:val="FootnoteReference"/>
          <w:rFonts w:asciiTheme="majorHAnsi" w:hAnsiTheme="majorHAnsi"/>
          <w:sz w:val="20"/>
          <w:szCs w:val="20"/>
          <w:lang w:val="es-CO"/>
        </w:rPr>
        <w:footnoteReference w:id="23"/>
      </w:r>
      <w:r w:rsidR="00704999" w:rsidRPr="00640517">
        <w:rPr>
          <w:rFonts w:asciiTheme="majorHAnsi" w:hAnsiTheme="majorHAnsi"/>
          <w:sz w:val="20"/>
          <w:szCs w:val="20"/>
          <w:lang w:val="es-CO"/>
        </w:rPr>
        <w:t>.</w:t>
      </w:r>
      <w:r w:rsidR="00C47B5D" w:rsidRPr="00640517">
        <w:rPr>
          <w:rFonts w:asciiTheme="majorHAnsi" w:hAnsiTheme="majorHAnsi"/>
          <w:sz w:val="20"/>
          <w:szCs w:val="20"/>
          <w:lang w:val="es-CO"/>
        </w:rPr>
        <w:t xml:space="preserve"> </w:t>
      </w:r>
      <w:r w:rsidR="0054737B" w:rsidRPr="00640517">
        <w:rPr>
          <w:rFonts w:asciiTheme="majorHAnsi" w:hAnsiTheme="majorHAnsi"/>
          <w:sz w:val="20"/>
          <w:szCs w:val="20"/>
          <w:lang w:val="es-CO"/>
        </w:rPr>
        <w:t>E</w:t>
      </w:r>
      <w:r w:rsidR="00261B3F" w:rsidRPr="00640517">
        <w:rPr>
          <w:rFonts w:asciiTheme="majorHAnsi" w:hAnsiTheme="majorHAnsi"/>
          <w:sz w:val="20"/>
          <w:szCs w:val="20"/>
          <w:lang w:val="es-CO"/>
        </w:rPr>
        <w:t xml:space="preserve">l </w:t>
      </w:r>
      <w:r w:rsidR="00120BBD" w:rsidRPr="00640517">
        <w:rPr>
          <w:rFonts w:asciiTheme="majorHAnsi" w:hAnsiTheme="majorHAnsi"/>
          <w:sz w:val="20"/>
          <w:szCs w:val="20"/>
          <w:lang w:val="es-CO"/>
        </w:rPr>
        <w:t xml:space="preserve">20 de abril de 1998 el señor Colindres presentó </w:t>
      </w:r>
      <w:r w:rsidR="0054737B" w:rsidRPr="00640517">
        <w:rPr>
          <w:rFonts w:asciiTheme="majorHAnsi" w:hAnsiTheme="majorHAnsi"/>
          <w:sz w:val="20"/>
          <w:szCs w:val="20"/>
          <w:lang w:val="es-CO"/>
        </w:rPr>
        <w:t xml:space="preserve">un </w:t>
      </w:r>
      <w:r w:rsidR="00120BBD" w:rsidRPr="00640517">
        <w:rPr>
          <w:rFonts w:asciiTheme="majorHAnsi" w:hAnsiTheme="majorHAnsi"/>
          <w:sz w:val="20"/>
          <w:szCs w:val="20"/>
          <w:lang w:val="es-CO"/>
        </w:rPr>
        <w:t>escrito dirigido a la Comisión Especial</w:t>
      </w:r>
      <w:r w:rsidR="00C47B5D" w:rsidRPr="00640517">
        <w:rPr>
          <w:rFonts w:asciiTheme="majorHAnsi" w:hAnsiTheme="majorHAnsi"/>
          <w:sz w:val="20"/>
          <w:szCs w:val="20"/>
          <w:lang w:val="es-CO"/>
        </w:rPr>
        <w:t xml:space="preserve"> cuestionando sus atribuciones en dicho procedimiento</w:t>
      </w:r>
      <w:r w:rsidR="00042A41" w:rsidRPr="00640517">
        <w:rPr>
          <w:rFonts w:asciiTheme="majorHAnsi" w:hAnsiTheme="majorHAnsi"/>
          <w:sz w:val="20"/>
          <w:szCs w:val="20"/>
          <w:lang w:val="es-CO"/>
        </w:rPr>
        <w:t xml:space="preserve"> e indicando </w:t>
      </w:r>
      <w:r w:rsidR="0054737B" w:rsidRPr="00640517">
        <w:rPr>
          <w:rFonts w:asciiTheme="majorHAnsi" w:hAnsiTheme="majorHAnsi"/>
          <w:sz w:val="20"/>
          <w:szCs w:val="20"/>
          <w:lang w:val="es-CO"/>
        </w:rPr>
        <w:t xml:space="preserve">que las causales formuladas en su </w:t>
      </w:r>
      <w:r w:rsidR="0054737B" w:rsidRPr="00640517">
        <w:rPr>
          <w:rFonts w:asciiTheme="majorHAnsi" w:hAnsiTheme="majorHAnsi"/>
          <w:sz w:val="20"/>
          <w:szCs w:val="20"/>
          <w:lang w:val="es-CO"/>
        </w:rPr>
        <w:lastRenderedPageBreak/>
        <w:t>contra</w:t>
      </w:r>
      <w:r w:rsidR="00424E01" w:rsidRPr="00640517">
        <w:rPr>
          <w:rFonts w:asciiTheme="majorHAnsi" w:hAnsiTheme="majorHAnsi"/>
          <w:sz w:val="20"/>
          <w:szCs w:val="20"/>
          <w:lang w:val="es-CO"/>
        </w:rPr>
        <w:t xml:space="preserve"> </w:t>
      </w:r>
      <w:r w:rsidR="00120BBD" w:rsidRPr="00640517">
        <w:rPr>
          <w:rFonts w:asciiTheme="majorHAnsi" w:hAnsiTheme="majorHAnsi"/>
          <w:sz w:val="20"/>
          <w:szCs w:val="20"/>
          <w:lang w:val="es-CO"/>
        </w:rPr>
        <w:t>deberían ser probadas y que él debería tener la posibilidad real de</w:t>
      </w:r>
      <w:r w:rsidR="00424E01" w:rsidRPr="00640517">
        <w:rPr>
          <w:rFonts w:asciiTheme="majorHAnsi" w:hAnsiTheme="majorHAnsi"/>
          <w:sz w:val="20"/>
          <w:szCs w:val="20"/>
          <w:lang w:val="es-CO"/>
        </w:rPr>
        <w:t xml:space="preserve"> defenderse</w:t>
      </w:r>
      <w:r w:rsidR="00120BBD" w:rsidRPr="00640517">
        <w:rPr>
          <w:rStyle w:val="FootnoteReference"/>
          <w:rFonts w:asciiTheme="majorHAnsi" w:hAnsiTheme="majorHAnsi"/>
          <w:sz w:val="20"/>
          <w:szCs w:val="20"/>
          <w:lang w:val="es-CO"/>
        </w:rPr>
        <w:footnoteReference w:id="24"/>
      </w:r>
      <w:r w:rsidR="00120BBD" w:rsidRPr="00640517">
        <w:rPr>
          <w:rFonts w:asciiTheme="majorHAnsi" w:hAnsiTheme="majorHAnsi"/>
          <w:sz w:val="20"/>
          <w:szCs w:val="20"/>
          <w:lang w:val="es-CO"/>
        </w:rPr>
        <w:t>.</w:t>
      </w:r>
      <w:r w:rsidR="006C5F36" w:rsidRPr="00640517">
        <w:rPr>
          <w:rFonts w:asciiTheme="majorHAnsi" w:hAnsiTheme="majorHAnsi"/>
          <w:sz w:val="20"/>
          <w:szCs w:val="20"/>
          <w:lang w:val="es-CO"/>
        </w:rPr>
        <w:t xml:space="preserve"> </w:t>
      </w:r>
      <w:r w:rsidR="00424E01" w:rsidRPr="00640517">
        <w:rPr>
          <w:rFonts w:asciiTheme="majorHAnsi" w:hAnsiTheme="majorHAnsi"/>
          <w:sz w:val="20"/>
          <w:szCs w:val="20"/>
          <w:lang w:val="es-CO"/>
        </w:rPr>
        <w:t xml:space="preserve">El 21 de abril de 1998 la Comisión </w:t>
      </w:r>
      <w:r w:rsidR="00A55112" w:rsidRPr="00A55112">
        <w:rPr>
          <w:rFonts w:asciiTheme="majorHAnsi" w:hAnsiTheme="majorHAnsi"/>
          <w:sz w:val="20"/>
          <w:szCs w:val="20"/>
          <w:lang w:val="es-CO"/>
        </w:rPr>
        <w:t>E</w:t>
      </w:r>
      <w:r w:rsidR="00424E01" w:rsidRPr="00640517">
        <w:rPr>
          <w:rFonts w:asciiTheme="majorHAnsi" w:hAnsiTheme="majorHAnsi"/>
          <w:sz w:val="20"/>
          <w:szCs w:val="20"/>
          <w:lang w:val="es-CO"/>
        </w:rPr>
        <w:t xml:space="preserve">special </w:t>
      </w:r>
      <w:r w:rsidR="00120BBD" w:rsidRPr="00640517">
        <w:rPr>
          <w:rFonts w:asciiTheme="majorHAnsi" w:hAnsiTheme="majorHAnsi"/>
          <w:sz w:val="20"/>
          <w:szCs w:val="20"/>
          <w:lang w:val="es-CO"/>
        </w:rPr>
        <w:t xml:space="preserve">dio por evacuada la audiencia </w:t>
      </w:r>
      <w:r w:rsidR="000467EF" w:rsidRPr="00640517">
        <w:rPr>
          <w:rFonts w:asciiTheme="majorHAnsi" w:hAnsiTheme="majorHAnsi"/>
          <w:sz w:val="20"/>
          <w:szCs w:val="20"/>
          <w:lang w:val="es-CO"/>
        </w:rPr>
        <w:t>y requirió diversa información al TSE</w:t>
      </w:r>
      <w:r w:rsidR="00D2354A" w:rsidRPr="00640517">
        <w:rPr>
          <w:rStyle w:val="FootnoteReference"/>
          <w:rFonts w:asciiTheme="majorHAnsi" w:hAnsiTheme="majorHAnsi"/>
          <w:sz w:val="20"/>
          <w:szCs w:val="20"/>
          <w:lang w:val="es-CO"/>
        </w:rPr>
        <w:footnoteReference w:id="25"/>
      </w:r>
      <w:r w:rsidR="00120BBD" w:rsidRPr="00640517">
        <w:rPr>
          <w:rFonts w:asciiTheme="majorHAnsi" w:hAnsiTheme="majorHAnsi"/>
          <w:sz w:val="20"/>
          <w:szCs w:val="20"/>
          <w:lang w:val="es-CO"/>
        </w:rPr>
        <w:t>.</w:t>
      </w:r>
      <w:r w:rsidR="00C47B5D" w:rsidRPr="00640517">
        <w:rPr>
          <w:rFonts w:asciiTheme="majorHAnsi" w:hAnsiTheme="majorHAnsi"/>
          <w:sz w:val="20"/>
          <w:szCs w:val="20"/>
          <w:lang w:val="es-CO"/>
        </w:rPr>
        <w:t xml:space="preserve"> Esta información fue enviada por el TSE e</w:t>
      </w:r>
      <w:r w:rsidR="00197DB2" w:rsidRPr="00640517">
        <w:rPr>
          <w:rFonts w:asciiTheme="majorHAnsi" w:hAnsiTheme="majorHAnsi"/>
          <w:sz w:val="20"/>
          <w:szCs w:val="20"/>
          <w:lang w:val="es-CO"/>
        </w:rPr>
        <w:t>l 28 de abril de 1998</w:t>
      </w:r>
      <w:r w:rsidR="00197DB2" w:rsidRPr="00640517">
        <w:rPr>
          <w:rStyle w:val="FootnoteReference"/>
          <w:rFonts w:asciiTheme="majorHAnsi" w:hAnsiTheme="majorHAnsi"/>
          <w:sz w:val="20"/>
          <w:szCs w:val="20"/>
          <w:lang w:val="es-CO"/>
        </w:rPr>
        <w:footnoteReference w:id="26"/>
      </w:r>
      <w:r w:rsidR="00197DB2" w:rsidRPr="00640517">
        <w:rPr>
          <w:rFonts w:asciiTheme="majorHAnsi" w:hAnsiTheme="majorHAnsi"/>
          <w:sz w:val="20"/>
          <w:szCs w:val="20"/>
          <w:lang w:val="es-CO"/>
        </w:rPr>
        <w:t>.</w:t>
      </w:r>
    </w:p>
    <w:p w14:paraId="1ED7889C" w14:textId="77777777" w:rsidR="00197DB2" w:rsidRPr="00640517" w:rsidRDefault="00197DB2" w:rsidP="002E5EAA">
      <w:pPr>
        <w:pStyle w:val="ListParagraph"/>
        <w:tabs>
          <w:tab w:val="num" w:pos="1440"/>
        </w:tabs>
        <w:rPr>
          <w:rFonts w:asciiTheme="majorHAnsi" w:hAnsiTheme="majorHAnsi"/>
          <w:sz w:val="20"/>
          <w:szCs w:val="20"/>
          <w:lang w:val="es-CO"/>
        </w:rPr>
      </w:pPr>
    </w:p>
    <w:p w14:paraId="4DA09459" w14:textId="77777777" w:rsidR="00197DB2" w:rsidRPr="00640517" w:rsidRDefault="00120BBD" w:rsidP="006C5F36">
      <w:pPr>
        <w:numPr>
          <w:ilvl w:val="0"/>
          <w:numId w:val="1"/>
        </w:numPr>
        <w:ind w:left="0" w:firstLine="720"/>
        <w:jc w:val="both"/>
        <w:rPr>
          <w:rFonts w:asciiTheme="majorHAnsi" w:hAnsiTheme="majorHAnsi"/>
          <w:sz w:val="20"/>
          <w:szCs w:val="20"/>
          <w:lang w:val="es-CO"/>
        </w:rPr>
      </w:pPr>
      <w:r w:rsidRPr="00640517">
        <w:rPr>
          <w:rFonts w:asciiTheme="majorHAnsi" w:hAnsiTheme="majorHAnsi"/>
          <w:sz w:val="20"/>
          <w:szCs w:val="20"/>
          <w:lang w:val="es-CO"/>
        </w:rPr>
        <w:t>El 21 de mayo de 1998, la Comisión Especial pr</w:t>
      </w:r>
      <w:r w:rsidR="008E64EA" w:rsidRPr="00640517">
        <w:rPr>
          <w:rFonts w:asciiTheme="majorHAnsi" w:hAnsiTheme="majorHAnsi"/>
          <w:sz w:val="20"/>
          <w:szCs w:val="20"/>
          <w:lang w:val="es-CO"/>
        </w:rPr>
        <w:t>esentó su informe</w:t>
      </w:r>
      <w:r w:rsidR="00042A41" w:rsidRPr="00640517">
        <w:rPr>
          <w:rFonts w:asciiTheme="majorHAnsi" w:hAnsiTheme="majorHAnsi"/>
          <w:sz w:val="20"/>
          <w:szCs w:val="20"/>
          <w:lang w:val="es-CO"/>
        </w:rPr>
        <w:t xml:space="preserve"> </w:t>
      </w:r>
      <w:r w:rsidRPr="00640517">
        <w:rPr>
          <w:rFonts w:asciiTheme="majorHAnsi" w:hAnsiTheme="majorHAnsi"/>
          <w:sz w:val="20"/>
          <w:szCs w:val="20"/>
          <w:lang w:val="es-CO"/>
        </w:rPr>
        <w:t>para conocimiento de la Comisión Política</w:t>
      </w:r>
      <w:r w:rsidRPr="00640517">
        <w:rPr>
          <w:rStyle w:val="FootnoteReference"/>
          <w:rFonts w:asciiTheme="majorHAnsi" w:hAnsiTheme="majorHAnsi"/>
          <w:sz w:val="20"/>
          <w:szCs w:val="20"/>
          <w:lang w:val="es-CO"/>
        </w:rPr>
        <w:footnoteReference w:id="27"/>
      </w:r>
      <w:r w:rsidR="008E64EA" w:rsidRPr="00640517">
        <w:rPr>
          <w:rFonts w:asciiTheme="majorHAnsi" w:hAnsiTheme="majorHAnsi"/>
          <w:sz w:val="20"/>
          <w:szCs w:val="20"/>
          <w:lang w:val="es-CO"/>
        </w:rPr>
        <w:t xml:space="preserve"> e indicó que no había </w:t>
      </w:r>
      <w:r w:rsidRPr="00640517">
        <w:rPr>
          <w:rFonts w:asciiTheme="majorHAnsi" w:hAnsiTheme="majorHAnsi"/>
          <w:sz w:val="20"/>
          <w:szCs w:val="20"/>
          <w:lang w:val="es-CO"/>
        </w:rPr>
        <w:t xml:space="preserve">recibido la documentación </w:t>
      </w:r>
      <w:r w:rsidR="00042A41" w:rsidRPr="00640517">
        <w:rPr>
          <w:rFonts w:asciiTheme="majorHAnsi" w:hAnsiTheme="majorHAnsi"/>
          <w:sz w:val="20"/>
          <w:szCs w:val="20"/>
          <w:lang w:val="es-CO"/>
        </w:rPr>
        <w:t>solicitada a</w:t>
      </w:r>
      <w:r w:rsidRPr="00640517">
        <w:rPr>
          <w:rFonts w:asciiTheme="majorHAnsi" w:hAnsiTheme="majorHAnsi"/>
          <w:sz w:val="20"/>
          <w:szCs w:val="20"/>
          <w:lang w:val="es-CO"/>
        </w:rPr>
        <w:t>l TSE</w:t>
      </w:r>
      <w:r w:rsidRPr="00640517">
        <w:rPr>
          <w:rStyle w:val="FootnoteReference"/>
          <w:rFonts w:asciiTheme="majorHAnsi" w:hAnsiTheme="majorHAnsi"/>
          <w:sz w:val="20"/>
          <w:szCs w:val="20"/>
          <w:lang w:val="es-CO"/>
        </w:rPr>
        <w:footnoteReference w:id="28"/>
      </w:r>
      <w:r w:rsidRPr="00640517">
        <w:rPr>
          <w:rFonts w:asciiTheme="majorHAnsi" w:hAnsiTheme="majorHAnsi"/>
          <w:sz w:val="20"/>
          <w:szCs w:val="20"/>
          <w:lang w:val="es-CO"/>
        </w:rPr>
        <w:t>.</w:t>
      </w:r>
      <w:r w:rsidR="006C5F36" w:rsidRPr="00640517">
        <w:rPr>
          <w:rFonts w:asciiTheme="majorHAnsi" w:hAnsiTheme="majorHAnsi"/>
          <w:sz w:val="20"/>
          <w:szCs w:val="20"/>
          <w:lang w:val="es-CO"/>
        </w:rPr>
        <w:t xml:space="preserve"> </w:t>
      </w:r>
      <w:r w:rsidR="00197DB2" w:rsidRPr="00640517">
        <w:rPr>
          <w:rFonts w:asciiTheme="majorHAnsi" w:hAnsiTheme="majorHAnsi"/>
          <w:sz w:val="20"/>
          <w:szCs w:val="20"/>
          <w:lang w:val="es-CO"/>
        </w:rPr>
        <w:t>Previa solicitud d</w:t>
      </w:r>
      <w:r w:rsidR="00C4489B" w:rsidRPr="00640517">
        <w:rPr>
          <w:rFonts w:asciiTheme="majorHAnsi" w:hAnsiTheme="majorHAnsi"/>
          <w:sz w:val="20"/>
          <w:szCs w:val="20"/>
          <w:lang w:val="es-CO"/>
        </w:rPr>
        <w:t>el magistrado Colindres</w:t>
      </w:r>
      <w:r w:rsidR="00197DB2" w:rsidRPr="00640517">
        <w:rPr>
          <w:rFonts w:asciiTheme="majorHAnsi" w:hAnsiTheme="majorHAnsi"/>
          <w:sz w:val="20"/>
          <w:szCs w:val="20"/>
          <w:lang w:val="es-CO"/>
        </w:rPr>
        <w:t xml:space="preserve">, el 25 de mayo de 1998 el </w:t>
      </w:r>
      <w:r w:rsidR="00C4489B" w:rsidRPr="00640517">
        <w:rPr>
          <w:rFonts w:asciiTheme="majorHAnsi" w:hAnsiTheme="majorHAnsi"/>
          <w:sz w:val="20"/>
          <w:szCs w:val="20"/>
          <w:lang w:val="es-CO"/>
        </w:rPr>
        <w:t xml:space="preserve">TSE </w:t>
      </w:r>
      <w:r w:rsidR="00197DB2" w:rsidRPr="00640517">
        <w:rPr>
          <w:rFonts w:asciiTheme="majorHAnsi" w:hAnsiTheme="majorHAnsi"/>
          <w:sz w:val="20"/>
          <w:szCs w:val="20"/>
          <w:lang w:val="es-CO"/>
        </w:rPr>
        <w:t xml:space="preserve">remitió </w:t>
      </w:r>
      <w:r w:rsidR="00C4489B" w:rsidRPr="00640517">
        <w:rPr>
          <w:rFonts w:asciiTheme="majorHAnsi" w:hAnsiTheme="majorHAnsi"/>
          <w:sz w:val="20"/>
          <w:szCs w:val="20"/>
          <w:lang w:val="es-CO"/>
        </w:rPr>
        <w:t xml:space="preserve">a la Comisión Política </w:t>
      </w:r>
      <w:r w:rsidR="00197DB2" w:rsidRPr="00640517">
        <w:rPr>
          <w:rFonts w:asciiTheme="majorHAnsi" w:hAnsiTheme="majorHAnsi"/>
          <w:sz w:val="20"/>
          <w:szCs w:val="20"/>
          <w:lang w:val="es-CO"/>
        </w:rPr>
        <w:t>la información que previamente había</w:t>
      </w:r>
      <w:r w:rsidR="00C4489B" w:rsidRPr="00640517">
        <w:rPr>
          <w:rFonts w:asciiTheme="majorHAnsi" w:hAnsiTheme="majorHAnsi"/>
          <w:sz w:val="20"/>
          <w:szCs w:val="20"/>
          <w:lang w:val="es-CO"/>
        </w:rPr>
        <w:t xml:space="preserve"> enviado a la  Comisión Especial</w:t>
      </w:r>
      <w:r w:rsidR="00197DB2" w:rsidRPr="00640517">
        <w:rPr>
          <w:rStyle w:val="FootnoteReference"/>
          <w:rFonts w:asciiTheme="majorHAnsi" w:hAnsiTheme="majorHAnsi"/>
          <w:sz w:val="20"/>
          <w:szCs w:val="20"/>
          <w:lang w:val="es-CO"/>
        </w:rPr>
        <w:footnoteReference w:id="29"/>
      </w:r>
      <w:r w:rsidR="00C4489B" w:rsidRPr="00640517">
        <w:rPr>
          <w:rFonts w:asciiTheme="majorHAnsi" w:hAnsiTheme="majorHAnsi"/>
          <w:sz w:val="20"/>
          <w:szCs w:val="20"/>
          <w:lang w:val="es-CO"/>
        </w:rPr>
        <w:t xml:space="preserve">. </w:t>
      </w:r>
      <w:r w:rsidR="00AA1620" w:rsidRPr="00640517">
        <w:rPr>
          <w:rFonts w:asciiTheme="majorHAnsi" w:hAnsiTheme="majorHAnsi"/>
          <w:sz w:val="20"/>
          <w:szCs w:val="20"/>
          <w:lang w:val="es-CO"/>
        </w:rPr>
        <w:t xml:space="preserve"> No consta que </w:t>
      </w:r>
      <w:r w:rsidR="00042A41" w:rsidRPr="00640517">
        <w:rPr>
          <w:rFonts w:asciiTheme="majorHAnsi" w:hAnsiTheme="majorHAnsi"/>
          <w:sz w:val="20"/>
          <w:szCs w:val="20"/>
          <w:lang w:val="es-CO"/>
        </w:rPr>
        <w:t>e</w:t>
      </w:r>
      <w:r w:rsidR="00AA1620" w:rsidRPr="00640517">
        <w:rPr>
          <w:rFonts w:asciiTheme="majorHAnsi" w:hAnsiTheme="majorHAnsi"/>
          <w:sz w:val="20"/>
          <w:szCs w:val="20"/>
          <w:lang w:val="es-CO"/>
        </w:rPr>
        <w:t xml:space="preserve">l señor Colindres </w:t>
      </w:r>
      <w:r w:rsidR="00042A41" w:rsidRPr="00640517">
        <w:rPr>
          <w:rFonts w:asciiTheme="majorHAnsi" w:hAnsiTheme="majorHAnsi"/>
          <w:sz w:val="20"/>
          <w:szCs w:val="20"/>
          <w:lang w:val="es-CO"/>
        </w:rPr>
        <w:t xml:space="preserve">hubiese tenido una oportunidad formal </w:t>
      </w:r>
      <w:r w:rsidR="00AA1620" w:rsidRPr="00640517">
        <w:rPr>
          <w:rFonts w:asciiTheme="majorHAnsi" w:hAnsiTheme="majorHAnsi"/>
          <w:sz w:val="20"/>
          <w:szCs w:val="20"/>
          <w:lang w:val="es-CO"/>
        </w:rPr>
        <w:t xml:space="preserve">para presentar sus observaciones en relación con tal documentación. </w:t>
      </w:r>
    </w:p>
    <w:p w14:paraId="246805B5" w14:textId="77777777" w:rsidR="00C4489B" w:rsidRPr="00640517" w:rsidRDefault="00C4489B" w:rsidP="002E5EAA">
      <w:pPr>
        <w:tabs>
          <w:tab w:val="num" w:pos="1440"/>
        </w:tabs>
        <w:rPr>
          <w:rFonts w:asciiTheme="majorHAnsi" w:hAnsiTheme="majorHAnsi"/>
          <w:sz w:val="20"/>
          <w:szCs w:val="20"/>
          <w:lang w:val="es-CO"/>
        </w:rPr>
      </w:pPr>
    </w:p>
    <w:p w14:paraId="45AFAF65" w14:textId="751550D8" w:rsidR="00120BBD" w:rsidRPr="00640517" w:rsidRDefault="000A7B62" w:rsidP="006C5F36">
      <w:pPr>
        <w:numPr>
          <w:ilvl w:val="0"/>
          <w:numId w:val="1"/>
        </w:numPr>
        <w:ind w:left="0" w:firstLine="720"/>
        <w:jc w:val="both"/>
        <w:rPr>
          <w:rFonts w:asciiTheme="majorHAnsi" w:hAnsiTheme="majorHAnsi"/>
          <w:sz w:val="20"/>
          <w:szCs w:val="20"/>
          <w:lang w:val="es-CO"/>
        </w:rPr>
      </w:pPr>
      <w:r w:rsidRPr="00640517">
        <w:rPr>
          <w:rFonts w:asciiTheme="majorHAnsi" w:hAnsiTheme="majorHAnsi"/>
          <w:sz w:val="20"/>
          <w:szCs w:val="20"/>
          <w:lang w:val="es-CO"/>
        </w:rPr>
        <w:t xml:space="preserve">Mediante escrito de </w:t>
      </w:r>
      <w:r w:rsidR="008E64EA" w:rsidRPr="00640517">
        <w:rPr>
          <w:rFonts w:asciiTheme="majorHAnsi" w:hAnsiTheme="majorHAnsi"/>
          <w:sz w:val="20"/>
          <w:szCs w:val="20"/>
          <w:lang w:val="es-CO"/>
        </w:rPr>
        <w:t xml:space="preserve">26 de mayo de 1998 </w:t>
      </w:r>
      <w:r w:rsidRPr="00640517">
        <w:rPr>
          <w:rFonts w:asciiTheme="majorHAnsi" w:hAnsiTheme="majorHAnsi"/>
          <w:sz w:val="20"/>
          <w:szCs w:val="20"/>
          <w:lang w:val="es-CO"/>
        </w:rPr>
        <w:t xml:space="preserve">el magistrado </w:t>
      </w:r>
      <w:r w:rsidR="00120BBD" w:rsidRPr="00640517">
        <w:rPr>
          <w:rFonts w:asciiTheme="majorHAnsi" w:hAnsiTheme="majorHAnsi"/>
          <w:sz w:val="20"/>
          <w:szCs w:val="20"/>
          <w:lang w:val="es-CO"/>
        </w:rPr>
        <w:t xml:space="preserve">Colindres </w:t>
      </w:r>
      <w:r w:rsidR="000E5C81" w:rsidRPr="00640517">
        <w:rPr>
          <w:rFonts w:asciiTheme="majorHAnsi" w:hAnsiTheme="majorHAnsi"/>
          <w:sz w:val="20"/>
          <w:szCs w:val="20"/>
          <w:lang w:val="es-CO"/>
        </w:rPr>
        <w:t xml:space="preserve">manifestó </w:t>
      </w:r>
      <w:r w:rsidR="00120BBD" w:rsidRPr="00640517">
        <w:rPr>
          <w:rFonts w:asciiTheme="majorHAnsi" w:hAnsiTheme="majorHAnsi"/>
          <w:sz w:val="20"/>
          <w:szCs w:val="20"/>
          <w:lang w:val="es-CO"/>
        </w:rPr>
        <w:t xml:space="preserve">a la Comisión Política </w:t>
      </w:r>
      <w:r w:rsidR="00545127" w:rsidRPr="00640517">
        <w:rPr>
          <w:rFonts w:asciiTheme="majorHAnsi" w:hAnsiTheme="majorHAnsi"/>
          <w:sz w:val="20"/>
          <w:szCs w:val="20"/>
          <w:lang w:val="es-CO"/>
        </w:rPr>
        <w:t>que</w:t>
      </w:r>
      <w:r w:rsidRPr="00640517">
        <w:rPr>
          <w:rFonts w:asciiTheme="majorHAnsi" w:hAnsiTheme="majorHAnsi"/>
          <w:sz w:val="20"/>
          <w:szCs w:val="20"/>
          <w:lang w:val="es-CO"/>
        </w:rPr>
        <w:t xml:space="preserve"> </w:t>
      </w:r>
      <w:r w:rsidR="001429B5" w:rsidRPr="00640517">
        <w:rPr>
          <w:rFonts w:asciiTheme="majorHAnsi" w:hAnsiTheme="majorHAnsi"/>
          <w:sz w:val="20"/>
          <w:szCs w:val="20"/>
          <w:lang w:val="es-CO"/>
        </w:rPr>
        <w:t xml:space="preserve">había tenido conocimiento </w:t>
      </w:r>
      <w:r w:rsidR="001429B5" w:rsidRPr="00A55112">
        <w:rPr>
          <w:rFonts w:asciiTheme="majorHAnsi" w:hAnsiTheme="majorHAnsi"/>
          <w:sz w:val="20"/>
          <w:szCs w:val="20"/>
          <w:lang w:val="es-CO"/>
        </w:rPr>
        <w:t xml:space="preserve">a través de los medios de comunicación </w:t>
      </w:r>
      <w:r w:rsidR="00AA328E" w:rsidRPr="00A55112">
        <w:rPr>
          <w:rFonts w:asciiTheme="majorHAnsi" w:hAnsiTheme="majorHAnsi"/>
          <w:sz w:val="20"/>
          <w:szCs w:val="20"/>
          <w:lang w:val="es-CO"/>
        </w:rPr>
        <w:t xml:space="preserve">de </w:t>
      </w:r>
      <w:r w:rsidR="001429B5" w:rsidRPr="00A55112">
        <w:rPr>
          <w:rFonts w:asciiTheme="majorHAnsi" w:hAnsiTheme="majorHAnsi"/>
          <w:sz w:val="20"/>
          <w:szCs w:val="20"/>
          <w:lang w:val="es-CO"/>
        </w:rPr>
        <w:t xml:space="preserve">que la Comisión Especial había presentado un informe al </w:t>
      </w:r>
      <w:r w:rsidR="00A55112" w:rsidRPr="00A55112">
        <w:rPr>
          <w:rFonts w:asciiTheme="majorHAnsi" w:hAnsiTheme="majorHAnsi"/>
          <w:sz w:val="20"/>
          <w:szCs w:val="20"/>
          <w:lang w:val="es-CO"/>
        </w:rPr>
        <w:t>P</w:t>
      </w:r>
      <w:r w:rsidR="001429B5" w:rsidRPr="00A55112">
        <w:rPr>
          <w:rFonts w:asciiTheme="majorHAnsi" w:hAnsiTheme="majorHAnsi"/>
          <w:sz w:val="20"/>
          <w:szCs w:val="20"/>
          <w:lang w:val="es-CO"/>
        </w:rPr>
        <w:t xml:space="preserve">leno </w:t>
      </w:r>
      <w:r w:rsidR="00A55112" w:rsidRPr="00A55112">
        <w:rPr>
          <w:rFonts w:asciiTheme="majorHAnsi" w:hAnsiTheme="majorHAnsi"/>
          <w:sz w:val="20"/>
          <w:szCs w:val="20"/>
          <w:lang w:val="es-CO"/>
        </w:rPr>
        <w:t>L</w:t>
      </w:r>
      <w:r w:rsidR="001429B5" w:rsidRPr="00640517">
        <w:rPr>
          <w:rFonts w:asciiTheme="majorHAnsi" w:hAnsiTheme="majorHAnsi"/>
          <w:sz w:val="20"/>
          <w:szCs w:val="20"/>
          <w:lang w:val="es-CO"/>
        </w:rPr>
        <w:t xml:space="preserve">egislativo. En su escrito, </w:t>
      </w:r>
      <w:r w:rsidR="00AA328E" w:rsidRPr="00640517">
        <w:rPr>
          <w:rFonts w:asciiTheme="majorHAnsi" w:hAnsiTheme="majorHAnsi"/>
          <w:sz w:val="20"/>
          <w:szCs w:val="20"/>
          <w:lang w:val="es-CO"/>
        </w:rPr>
        <w:t>cues</w:t>
      </w:r>
      <w:r w:rsidR="00816B24" w:rsidRPr="00640517">
        <w:rPr>
          <w:rFonts w:asciiTheme="majorHAnsi" w:hAnsiTheme="majorHAnsi"/>
          <w:sz w:val="20"/>
          <w:szCs w:val="20"/>
          <w:lang w:val="es-CO"/>
        </w:rPr>
        <w:t>t</w:t>
      </w:r>
      <w:r w:rsidR="00AA328E" w:rsidRPr="00640517">
        <w:rPr>
          <w:rFonts w:asciiTheme="majorHAnsi" w:hAnsiTheme="majorHAnsi"/>
          <w:sz w:val="20"/>
          <w:szCs w:val="20"/>
          <w:lang w:val="es-CO"/>
        </w:rPr>
        <w:t>i</w:t>
      </w:r>
      <w:r w:rsidR="00816B24" w:rsidRPr="00640517">
        <w:rPr>
          <w:rFonts w:asciiTheme="majorHAnsi" w:hAnsiTheme="majorHAnsi"/>
          <w:sz w:val="20"/>
          <w:szCs w:val="20"/>
          <w:lang w:val="es-CO"/>
        </w:rPr>
        <w:t>onó el procedimiento e indicó</w:t>
      </w:r>
      <w:r w:rsidR="00042A41" w:rsidRPr="00640517">
        <w:rPr>
          <w:rFonts w:asciiTheme="majorHAnsi" w:hAnsiTheme="majorHAnsi"/>
          <w:sz w:val="20"/>
          <w:szCs w:val="20"/>
          <w:lang w:val="es-CO"/>
        </w:rPr>
        <w:t xml:space="preserve"> que no se le había garantizado</w:t>
      </w:r>
      <w:r w:rsidR="00816B24" w:rsidRPr="00640517">
        <w:rPr>
          <w:rFonts w:asciiTheme="majorHAnsi" w:hAnsiTheme="majorHAnsi"/>
          <w:sz w:val="20"/>
          <w:szCs w:val="20"/>
          <w:lang w:val="es-CO"/>
        </w:rPr>
        <w:t xml:space="preserve"> el derecho a audiencia</w:t>
      </w:r>
      <w:r w:rsidRPr="00640517">
        <w:rPr>
          <w:rStyle w:val="FootnoteReference"/>
          <w:rFonts w:asciiTheme="majorHAnsi" w:hAnsiTheme="majorHAnsi"/>
          <w:sz w:val="20"/>
          <w:szCs w:val="20"/>
          <w:lang w:val="es-CO"/>
        </w:rPr>
        <w:footnoteReference w:id="30"/>
      </w:r>
      <w:r w:rsidRPr="00640517">
        <w:rPr>
          <w:rFonts w:asciiTheme="majorHAnsi" w:hAnsiTheme="majorHAnsi"/>
          <w:sz w:val="20"/>
          <w:szCs w:val="20"/>
          <w:lang w:val="es-CO"/>
        </w:rPr>
        <w:t xml:space="preserve">. </w:t>
      </w:r>
      <w:r w:rsidR="006C5F36" w:rsidRPr="00640517">
        <w:rPr>
          <w:rFonts w:asciiTheme="majorHAnsi" w:hAnsiTheme="majorHAnsi"/>
          <w:sz w:val="20"/>
          <w:szCs w:val="20"/>
          <w:lang w:val="es-CO"/>
        </w:rPr>
        <w:t xml:space="preserve"> </w:t>
      </w:r>
      <w:r w:rsidR="00120BBD" w:rsidRPr="00640517">
        <w:rPr>
          <w:rFonts w:asciiTheme="majorHAnsi" w:hAnsiTheme="majorHAnsi"/>
          <w:sz w:val="20"/>
          <w:szCs w:val="20"/>
          <w:lang w:val="es-CO"/>
        </w:rPr>
        <w:t xml:space="preserve">El 24 de junio de 1998 la Comisión Política </w:t>
      </w:r>
      <w:r w:rsidR="002157CB" w:rsidRPr="00640517">
        <w:rPr>
          <w:rFonts w:asciiTheme="majorHAnsi" w:hAnsiTheme="majorHAnsi"/>
          <w:sz w:val="20"/>
          <w:szCs w:val="20"/>
          <w:lang w:val="es-CO"/>
        </w:rPr>
        <w:t xml:space="preserve">señaló </w:t>
      </w:r>
      <w:r w:rsidR="00813BF6" w:rsidRPr="00640517">
        <w:rPr>
          <w:rFonts w:asciiTheme="majorHAnsi" w:hAnsiTheme="majorHAnsi"/>
          <w:sz w:val="20"/>
          <w:szCs w:val="20"/>
          <w:lang w:val="es-CO"/>
        </w:rPr>
        <w:t xml:space="preserve">que “es únicamente </w:t>
      </w:r>
      <w:r w:rsidR="00120BBD" w:rsidRPr="00640517">
        <w:rPr>
          <w:rFonts w:asciiTheme="majorHAnsi" w:hAnsiTheme="majorHAnsi"/>
          <w:sz w:val="20"/>
          <w:szCs w:val="20"/>
          <w:lang w:val="es-CO"/>
        </w:rPr>
        <w:t xml:space="preserve">el Pleno Legislativo </w:t>
      </w:r>
      <w:r w:rsidR="00813BF6" w:rsidRPr="00640517">
        <w:rPr>
          <w:rFonts w:asciiTheme="majorHAnsi" w:hAnsiTheme="majorHAnsi"/>
          <w:sz w:val="20"/>
          <w:szCs w:val="20"/>
          <w:lang w:val="es-CO"/>
        </w:rPr>
        <w:t xml:space="preserve">quien puede </w:t>
      </w:r>
      <w:r w:rsidR="00120BBD" w:rsidRPr="00640517">
        <w:rPr>
          <w:rFonts w:asciiTheme="majorHAnsi" w:hAnsiTheme="majorHAnsi"/>
          <w:sz w:val="20"/>
          <w:szCs w:val="20"/>
          <w:lang w:val="es-CO"/>
        </w:rPr>
        <w:t xml:space="preserve">resolver o aceptar el </w:t>
      </w:r>
      <w:r w:rsidR="00813BF6" w:rsidRPr="00640517">
        <w:rPr>
          <w:rFonts w:asciiTheme="majorHAnsi" w:hAnsiTheme="majorHAnsi"/>
          <w:sz w:val="20"/>
          <w:szCs w:val="20"/>
          <w:lang w:val="es-CO"/>
        </w:rPr>
        <w:t xml:space="preserve">referido </w:t>
      </w:r>
      <w:r w:rsidR="00120BBD" w:rsidRPr="00640517">
        <w:rPr>
          <w:rFonts w:asciiTheme="majorHAnsi" w:hAnsiTheme="majorHAnsi"/>
          <w:sz w:val="20"/>
          <w:szCs w:val="20"/>
          <w:lang w:val="es-CO"/>
        </w:rPr>
        <w:t>informe</w:t>
      </w:r>
      <w:r w:rsidR="00813BF6" w:rsidRPr="00640517">
        <w:rPr>
          <w:rFonts w:asciiTheme="majorHAnsi" w:hAnsiTheme="majorHAnsi"/>
          <w:sz w:val="20"/>
          <w:szCs w:val="20"/>
          <w:lang w:val="es-CO"/>
        </w:rPr>
        <w:t xml:space="preserve">, por lo que lo devuelve a </w:t>
      </w:r>
      <w:r w:rsidR="00120BBD" w:rsidRPr="00640517">
        <w:rPr>
          <w:rFonts w:asciiTheme="majorHAnsi" w:hAnsiTheme="majorHAnsi"/>
          <w:sz w:val="20"/>
          <w:szCs w:val="20"/>
          <w:lang w:val="es-CO"/>
        </w:rPr>
        <w:t>su consideración</w:t>
      </w:r>
      <w:r w:rsidR="00813BF6" w:rsidRPr="00640517">
        <w:rPr>
          <w:rFonts w:asciiTheme="majorHAnsi" w:hAnsiTheme="majorHAnsi"/>
          <w:sz w:val="20"/>
          <w:szCs w:val="20"/>
          <w:lang w:val="es-CO"/>
        </w:rPr>
        <w:t>”</w:t>
      </w:r>
      <w:r w:rsidR="00120BBD" w:rsidRPr="00640517">
        <w:rPr>
          <w:rStyle w:val="FootnoteReference"/>
          <w:rFonts w:asciiTheme="majorHAnsi" w:hAnsiTheme="majorHAnsi"/>
          <w:sz w:val="20"/>
          <w:szCs w:val="20"/>
          <w:lang w:val="es-CO"/>
        </w:rPr>
        <w:footnoteReference w:id="31"/>
      </w:r>
      <w:r w:rsidR="00120BBD" w:rsidRPr="00640517">
        <w:rPr>
          <w:rFonts w:asciiTheme="majorHAnsi" w:hAnsiTheme="majorHAnsi"/>
          <w:sz w:val="20"/>
          <w:szCs w:val="20"/>
          <w:lang w:val="es-CO"/>
        </w:rPr>
        <w:t>.</w:t>
      </w:r>
      <w:r w:rsidR="00AA1620" w:rsidRPr="00640517">
        <w:rPr>
          <w:rFonts w:asciiTheme="majorHAnsi" w:hAnsiTheme="majorHAnsi"/>
          <w:sz w:val="20"/>
          <w:szCs w:val="20"/>
          <w:lang w:val="es-CO"/>
        </w:rPr>
        <w:t xml:space="preserve"> No consta que la Comisión Política hubiese remitido el escrito que le presentó el señor Colindres a la Asamblea Legislativa.</w:t>
      </w:r>
    </w:p>
    <w:p w14:paraId="7FE889D5" w14:textId="77777777" w:rsidR="00813BF6" w:rsidRPr="00640517" w:rsidRDefault="00813BF6" w:rsidP="002E5EAA">
      <w:pPr>
        <w:tabs>
          <w:tab w:val="num" w:pos="1440"/>
        </w:tabs>
        <w:ind w:left="720"/>
        <w:jc w:val="both"/>
        <w:rPr>
          <w:rFonts w:asciiTheme="majorHAnsi" w:hAnsiTheme="majorHAnsi"/>
          <w:sz w:val="20"/>
          <w:szCs w:val="20"/>
          <w:lang w:val="es-CO"/>
        </w:rPr>
      </w:pPr>
    </w:p>
    <w:p w14:paraId="16FCAFE9" w14:textId="77777777" w:rsidR="00BC54DD" w:rsidRPr="00640517" w:rsidRDefault="00120BBD" w:rsidP="002E5EAA">
      <w:pPr>
        <w:numPr>
          <w:ilvl w:val="0"/>
          <w:numId w:val="1"/>
        </w:numPr>
        <w:ind w:left="0" w:firstLine="720"/>
        <w:jc w:val="both"/>
        <w:rPr>
          <w:rFonts w:asciiTheme="majorHAnsi" w:hAnsiTheme="majorHAnsi"/>
          <w:sz w:val="20"/>
          <w:szCs w:val="20"/>
          <w:lang w:val="es-CO"/>
        </w:rPr>
      </w:pPr>
      <w:r w:rsidRPr="00640517">
        <w:rPr>
          <w:rFonts w:asciiTheme="majorHAnsi" w:hAnsiTheme="majorHAnsi"/>
          <w:sz w:val="20"/>
          <w:szCs w:val="20"/>
          <w:lang w:val="es-CO"/>
        </w:rPr>
        <w:t xml:space="preserve">El 29 de junio de 1998 los diputados que solicitaron la destitución presentaron </w:t>
      </w:r>
      <w:r w:rsidR="00813BF6" w:rsidRPr="00640517">
        <w:rPr>
          <w:rFonts w:asciiTheme="majorHAnsi" w:hAnsiTheme="majorHAnsi"/>
          <w:sz w:val="20"/>
          <w:szCs w:val="20"/>
          <w:lang w:val="es-CO"/>
        </w:rPr>
        <w:t xml:space="preserve">un </w:t>
      </w:r>
      <w:r w:rsidRPr="00640517">
        <w:rPr>
          <w:rFonts w:asciiTheme="majorHAnsi" w:hAnsiTheme="majorHAnsi"/>
          <w:sz w:val="20"/>
          <w:szCs w:val="20"/>
          <w:lang w:val="es-CO"/>
        </w:rPr>
        <w:t xml:space="preserve">escrito a la Junta </w:t>
      </w:r>
      <w:r w:rsidR="00B87BA4" w:rsidRPr="00640517">
        <w:rPr>
          <w:rFonts w:asciiTheme="majorHAnsi" w:hAnsiTheme="majorHAnsi"/>
          <w:sz w:val="20"/>
          <w:szCs w:val="20"/>
          <w:lang w:val="es-CO"/>
        </w:rPr>
        <w:t>D</w:t>
      </w:r>
      <w:r w:rsidRPr="00640517">
        <w:rPr>
          <w:rFonts w:asciiTheme="majorHAnsi" w:hAnsiTheme="majorHAnsi"/>
          <w:sz w:val="20"/>
          <w:szCs w:val="20"/>
          <w:lang w:val="es-CO"/>
        </w:rPr>
        <w:t>irectiva de la Asamblea Legislativa</w:t>
      </w:r>
      <w:r w:rsidRPr="00640517">
        <w:rPr>
          <w:rStyle w:val="FootnoteReference"/>
          <w:rFonts w:asciiTheme="majorHAnsi" w:hAnsiTheme="majorHAnsi"/>
          <w:sz w:val="20"/>
          <w:szCs w:val="20"/>
          <w:lang w:val="es-CO"/>
        </w:rPr>
        <w:footnoteReference w:id="32"/>
      </w:r>
      <w:r w:rsidRPr="00640517">
        <w:rPr>
          <w:rFonts w:asciiTheme="majorHAnsi" w:hAnsiTheme="majorHAnsi"/>
          <w:sz w:val="20"/>
          <w:szCs w:val="20"/>
          <w:lang w:val="es-CO"/>
        </w:rPr>
        <w:t>.</w:t>
      </w:r>
      <w:r w:rsidR="00816B24" w:rsidRPr="00640517">
        <w:rPr>
          <w:rFonts w:asciiTheme="majorHAnsi" w:hAnsiTheme="majorHAnsi"/>
          <w:bCs/>
          <w:sz w:val="20"/>
          <w:szCs w:val="20"/>
          <w:lang w:val="es-CO"/>
        </w:rPr>
        <w:t xml:space="preserve"> Entre otros aspectos</w:t>
      </w:r>
      <w:r w:rsidR="00816B24" w:rsidRPr="00640517">
        <w:rPr>
          <w:rStyle w:val="FootnoteReference"/>
          <w:rFonts w:asciiTheme="majorHAnsi" w:hAnsiTheme="majorHAnsi"/>
          <w:bCs/>
          <w:sz w:val="20"/>
          <w:szCs w:val="20"/>
          <w:lang w:val="es-CO"/>
        </w:rPr>
        <w:footnoteReference w:id="33"/>
      </w:r>
      <w:r w:rsidR="00816B24" w:rsidRPr="00640517">
        <w:rPr>
          <w:rFonts w:asciiTheme="majorHAnsi" w:hAnsiTheme="majorHAnsi"/>
          <w:bCs/>
          <w:sz w:val="20"/>
          <w:szCs w:val="20"/>
          <w:lang w:val="es-CO"/>
        </w:rPr>
        <w:t xml:space="preserve"> </w:t>
      </w:r>
      <w:r w:rsidR="00BC54DD" w:rsidRPr="00640517">
        <w:rPr>
          <w:rFonts w:asciiTheme="majorHAnsi" w:hAnsiTheme="majorHAnsi"/>
          <w:bCs/>
          <w:sz w:val="20"/>
          <w:szCs w:val="20"/>
          <w:lang w:val="es-CO"/>
        </w:rPr>
        <w:t xml:space="preserve">indicaron que “el magistrado deja de ser </w:t>
      </w:r>
      <w:r w:rsidR="00BC54DD" w:rsidRPr="00640517">
        <w:rPr>
          <w:rFonts w:asciiTheme="majorHAnsi" w:hAnsiTheme="majorHAnsi"/>
          <w:bCs/>
          <w:sz w:val="20"/>
          <w:szCs w:val="20"/>
          <w:lang w:val="es-CO"/>
        </w:rPr>
        <w:lastRenderedPageBreak/>
        <w:t>confiable para el futuro democrático” en razón de que “se ha vue</w:t>
      </w:r>
      <w:r w:rsidR="00F223D5" w:rsidRPr="00640517">
        <w:rPr>
          <w:rFonts w:asciiTheme="majorHAnsi" w:hAnsiTheme="majorHAnsi"/>
          <w:bCs/>
          <w:sz w:val="20"/>
          <w:szCs w:val="20"/>
          <w:lang w:val="es-CO"/>
        </w:rPr>
        <w:t>lto proclive a resolver con insi</w:t>
      </w:r>
      <w:r w:rsidR="00BC54DD" w:rsidRPr="00640517">
        <w:rPr>
          <w:rFonts w:asciiTheme="majorHAnsi" w:hAnsiTheme="majorHAnsi"/>
          <w:bCs/>
          <w:sz w:val="20"/>
          <w:szCs w:val="20"/>
          <w:lang w:val="es-CO"/>
        </w:rPr>
        <w:t>dia en contra del Parti</w:t>
      </w:r>
      <w:r w:rsidR="00F223D5" w:rsidRPr="00640517">
        <w:rPr>
          <w:rFonts w:asciiTheme="majorHAnsi" w:hAnsiTheme="majorHAnsi"/>
          <w:bCs/>
          <w:sz w:val="20"/>
          <w:szCs w:val="20"/>
          <w:lang w:val="es-CO"/>
        </w:rPr>
        <w:t>d</w:t>
      </w:r>
      <w:r w:rsidR="00BC54DD" w:rsidRPr="00640517">
        <w:rPr>
          <w:rFonts w:asciiTheme="majorHAnsi" w:hAnsiTheme="majorHAnsi"/>
          <w:bCs/>
          <w:sz w:val="20"/>
          <w:szCs w:val="20"/>
          <w:lang w:val="es-CO"/>
        </w:rPr>
        <w:t>o Demócrata Cristiano que lo propuso en el cargo que actualmente ostenta”</w:t>
      </w:r>
      <w:r w:rsidR="00233FAE" w:rsidRPr="00640517">
        <w:rPr>
          <w:rStyle w:val="FootnoteReference"/>
          <w:rFonts w:asciiTheme="majorHAnsi" w:hAnsiTheme="majorHAnsi"/>
          <w:sz w:val="20"/>
          <w:szCs w:val="20"/>
          <w:lang w:val="es-CO"/>
        </w:rPr>
        <w:footnoteReference w:id="34"/>
      </w:r>
      <w:r w:rsidR="00233FAE" w:rsidRPr="00640517">
        <w:rPr>
          <w:rFonts w:asciiTheme="majorHAnsi" w:hAnsiTheme="majorHAnsi"/>
          <w:bCs/>
          <w:sz w:val="20"/>
          <w:szCs w:val="20"/>
          <w:lang w:val="es-CO"/>
        </w:rPr>
        <w:t>.</w:t>
      </w:r>
      <w:r w:rsidR="003668D6" w:rsidRPr="00640517">
        <w:rPr>
          <w:rFonts w:asciiTheme="majorHAnsi" w:hAnsiTheme="majorHAnsi"/>
          <w:bCs/>
          <w:sz w:val="20"/>
          <w:szCs w:val="20"/>
          <w:lang w:val="es-CO"/>
        </w:rPr>
        <w:t xml:space="preserve"> No consta que el señor Colindres hubiere tenido oportunidad de controvertir lo indicado en tal escrito.</w:t>
      </w:r>
    </w:p>
    <w:p w14:paraId="76F5371D" w14:textId="77777777" w:rsidR="00BC54DD" w:rsidRPr="00640517" w:rsidRDefault="00BC54DD" w:rsidP="002E5EAA">
      <w:pPr>
        <w:tabs>
          <w:tab w:val="num" w:pos="1440"/>
        </w:tabs>
        <w:rPr>
          <w:rFonts w:asciiTheme="majorHAnsi" w:hAnsiTheme="majorHAnsi"/>
          <w:sz w:val="20"/>
          <w:szCs w:val="20"/>
          <w:lang w:val="es-CO"/>
        </w:rPr>
      </w:pPr>
    </w:p>
    <w:p w14:paraId="38503997" w14:textId="77777777" w:rsidR="002E2C75" w:rsidRPr="00640517" w:rsidRDefault="00905DE6" w:rsidP="00AA328E">
      <w:pPr>
        <w:numPr>
          <w:ilvl w:val="0"/>
          <w:numId w:val="1"/>
        </w:numPr>
        <w:ind w:left="0" w:firstLine="720"/>
        <w:jc w:val="both"/>
        <w:rPr>
          <w:rFonts w:asciiTheme="majorHAnsi" w:hAnsiTheme="majorHAnsi"/>
          <w:sz w:val="20"/>
          <w:szCs w:val="20"/>
          <w:lang w:val="es-CO"/>
        </w:rPr>
      </w:pPr>
      <w:r w:rsidRPr="00640517">
        <w:rPr>
          <w:rFonts w:asciiTheme="majorHAnsi" w:hAnsiTheme="majorHAnsi"/>
          <w:sz w:val="20"/>
          <w:szCs w:val="20"/>
          <w:lang w:val="es-CO"/>
        </w:rPr>
        <w:t xml:space="preserve">El 2 de julio de 1998 </w:t>
      </w:r>
      <w:r w:rsidR="00120BBD" w:rsidRPr="00640517">
        <w:rPr>
          <w:rFonts w:asciiTheme="majorHAnsi" w:hAnsiTheme="majorHAnsi"/>
          <w:sz w:val="20"/>
          <w:szCs w:val="20"/>
          <w:lang w:val="es-CO"/>
        </w:rPr>
        <w:t xml:space="preserve">la Asamblea Legislativa </w:t>
      </w:r>
      <w:r w:rsidR="00D54995" w:rsidRPr="00640517">
        <w:rPr>
          <w:rFonts w:asciiTheme="majorHAnsi" w:hAnsiTheme="majorHAnsi"/>
          <w:sz w:val="20"/>
          <w:szCs w:val="20"/>
          <w:lang w:val="es-CO"/>
        </w:rPr>
        <w:t xml:space="preserve">mediante Decreto 348 </w:t>
      </w:r>
      <w:r w:rsidR="00816B24" w:rsidRPr="00640517">
        <w:rPr>
          <w:rFonts w:asciiTheme="majorHAnsi" w:hAnsiTheme="majorHAnsi"/>
          <w:sz w:val="20"/>
          <w:szCs w:val="20"/>
          <w:lang w:val="es-CO"/>
        </w:rPr>
        <w:t xml:space="preserve">cesó al magistrado Colindres indicando </w:t>
      </w:r>
      <w:r w:rsidR="00F223D5" w:rsidRPr="00640517">
        <w:rPr>
          <w:rFonts w:asciiTheme="majorHAnsi" w:hAnsiTheme="majorHAnsi"/>
          <w:sz w:val="20"/>
          <w:szCs w:val="20"/>
          <w:lang w:val="es-CO"/>
        </w:rPr>
        <w:t>“que aú</w:t>
      </w:r>
      <w:r w:rsidR="00D54995" w:rsidRPr="00640517">
        <w:rPr>
          <w:rFonts w:asciiTheme="majorHAnsi" w:hAnsiTheme="majorHAnsi"/>
          <w:sz w:val="20"/>
          <w:szCs w:val="20"/>
          <w:lang w:val="es-CO"/>
        </w:rPr>
        <w:t>n persisten las causas que motivaron la emisión del Decreto 899</w:t>
      </w:r>
      <w:r w:rsidR="00816B24" w:rsidRPr="00640517">
        <w:rPr>
          <w:rFonts w:asciiTheme="majorHAnsi" w:hAnsiTheme="majorHAnsi"/>
          <w:sz w:val="20"/>
          <w:szCs w:val="20"/>
          <w:lang w:val="es-CO"/>
        </w:rPr>
        <w:t>”</w:t>
      </w:r>
      <w:r w:rsidR="00D54995" w:rsidRPr="00640517">
        <w:rPr>
          <w:rStyle w:val="FootnoteReference"/>
          <w:rFonts w:asciiTheme="majorHAnsi" w:hAnsiTheme="majorHAnsi"/>
          <w:sz w:val="20"/>
          <w:szCs w:val="20"/>
          <w:lang w:val="es-CO"/>
        </w:rPr>
        <w:footnoteReference w:id="35"/>
      </w:r>
      <w:r w:rsidR="00120BBD" w:rsidRPr="00640517">
        <w:rPr>
          <w:rFonts w:asciiTheme="majorHAnsi" w:hAnsiTheme="majorHAnsi"/>
          <w:sz w:val="20"/>
          <w:szCs w:val="20"/>
          <w:lang w:val="es-CO"/>
        </w:rPr>
        <w:t>.</w:t>
      </w:r>
      <w:r w:rsidR="00CC6386" w:rsidRPr="00640517">
        <w:rPr>
          <w:rFonts w:asciiTheme="majorHAnsi" w:hAnsiTheme="majorHAnsi"/>
          <w:sz w:val="20"/>
          <w:szCs w:val="20"/>
          <w:lang w:val="es-CO"/>
        </w:rPr>
        <w:t xml:space="preserve"> </w:t>
      </w:r>
      <w:r w:rsidR="00D5139F" w:rsidRPr="00640517">
        <w:rPr>
          <w:rFonts w:asciiTheme="majorHAnsi" w:hAnsiTheme="majorHAnsi"/>
          <w:sz w:val="20"/>
          <w:szCs w:val="20"/>
          <w:lang w:val="es-CO"/>
        </w:rPr>
        <w:t>En</w:t>
      </w:r>
      <w:r w:rsidR="00C22D8B" w:rsidRPr="00640517">
        <w:rPr>
          <w:rFonts w:asciiTheme="majorHAnsi" w:hAnsiTheme="majorHAnsi"/>
          <w:sz w:val="20"/>
          <w:szCs w:val="20"/>
          <w:lang w:val="es-CO"/>
        </w:rPr>
        <w:t xml:space="preserve"> el acta de la Plenaria en la que se emitió la decisión </w:t>
      </w:r>
      <w:r w:rsidR="00C779A2" w:rsidRPr="00640517">
        <w:rPr>
          <w:rFonts w:asciiTheme="majorHAnsi" w:hAnsiTheme="majorHAnsi"/>
          <w:sz w:val="20"/>
          <w:szCs w:val="20"/>
          <w:lang w:val="es-CO"/>
        </w:rPr>
        <w:t xml:space="preserve">de destitución </w:t>
      </w:r>
      <w:r w:rsidR="00C22D8B" w:rsidRPr="00640517">
        <w:rPr>
          <w:rFonts w:asciiTheme="majorHAnsi" w:hAnsiTheme="majorHAnsi"/>
          <w:sz w:val="20"/>
          <w:szCs w:val="20"/>
          <w:lang w:val="es-CO"/>
        </w:rPr>
        <w:t>quedaron plas</w:t>
      </w:r>
      <w:r w:rsidR="00C779A2" w:rsidRPr="00640517">
        <w:rPr>
          <w:rFonts w:asciiTheme="majorHAnsi" w:hAnsiTheme="majorHAnsi"/>
          <w:sz w:val="20"/>
          <w:szCs w:val="20"/>
          <w:lang w:val="es-CO"/>
        </w:rPr>
        <w:t xml:space="preserve">madas las opiniones de </w:t>
      </w:r>
      <w:r w:rsidR="00035F3D" w:rsidRPr="00640517">
        <w:rPr>
          <w:rFonts w:asciiTheme="majorHAnsi" w:hAnsiTheme="majorHAnsi"/>
          <w:sz w:val="20"/>
          <w:szCs w:val="20"/>
          <w:lang w:val="es-CO"/>
        </w:rPr>
        <w:t xml:space="preserve">algunos </w:t>
      </w:r>
      <w:r w:rsidR="001554E1" w:rsidRPr="00640517">
        <w:rPr>
          <w:rFonts w:asciiTheme="majorHAnsi" w:hAnsiTheme="majorHAnsi"/>
          <w:sz w:val="20"/>
          <w:szCs w:val="20"/>
          <w:lang w:val="es-CO"/>
        </w:rPr>
        <w:t xml:space="preserve"> diputados</w:t>
      </w:r>
      <w:r w:rsidR="00035F3D" w:rsidRPr="00640517">
        <w:rPr>
          <w:rFonts w:asciiTheme="majorHAnsi" w:hAnsiTheme="majorHAnsi"/>
          <w:sz w:val="20"/>
          <w:szCs w:val="20"/>
          <w:lang w:val="es-CO"/>
        </w:rPr>
        <w:t xml:space="preserve"> que cuestionaron </w:t>
      </w:r>
      <w:r w:rsidR="00C779A2" w:rsidRPr="00640517">
        <w:rPr>
          <w:rFonts w:asciiTheme="majorHAnsi" w:hAnsiTheme="majorHAnsi"/>
          <w:sz w:val="20"/>
          <w:szCs w:val="20"/>
          <w:lang w:val="es-CO"/>
        </w:rPr>
        <w:t xml:space="preserve">la competencia de </w:t>
      </w:r>
      <w:r w:rsidR="00FB6B63" w:rsidRPr="00640517">
        <w:rPr>
          <w:rFonts w:asciiTheme="majorHAnsi" w:hAnsiTheme="majorHAnsi"/>
          <w:sz w:val="20"/>
          <w:szCs w:val="20"/>
          <w:lang w:val="es-CO"/>
        </w:rPr>
        <w:t>la Asamblea</w:t>
      </w:r>
      <w:r w:rsidR="00C779A2" w:rsidRPr="00640517">
        <w:rPr>
          <w:rFonts w:asciiTheme="majorHAnsi" w:hAnsiTheme="majorHAnsi"/>
          <w:sz w:val="20"/>
          <w:szCs w:val="20"/>
          <w:lang w:val="es-CO"/>
        </w:rPr>
        <w:t xml:space="preserve"> para destituir al magistrado</w:t>
      </w:r>
      <w:r w:rsidR="00120BBD" w:rsidRPr="00640517">
        <w:rPr>
          <w:rStyle w:val="FootnoteReference"/>
          <w:rFonts w:asciiTheme="majorHAnsi" w:hAnsiTheme="majorHAnsi"/>
          <w:sz w:val="20"/>
          <w:szCs w:val="20"/>
          <w:lang w:val="es-CO"/>
        </w:rPr>
        <w:footnoteReference w:id="36"/>
      </w:r>
      <w:r w:rsidR="00FB6B63" w:rsidRPr="00640517">
        <w:rPr>
          <w:rFonts w:asciiTheme="majorHAnsi" w:hAnsiTheme="majorHAnsi"/>
          <w:sz w:val="20"/>
          <w:szCs w:val="20"/>
          <w:lang w:val="es-CO"/>
        </w:rPr>
        <w:t>.</w:t>
      </w:r>
      <w:r w:rsidR="00744D7E" w:rsidRPr="00640517">
        <w:rPr>
          <w:rFonts w:asciiTheme="majorHAnsi" w:hAnsiTheme="majorHAnsi"/>
          <w:sz w:val="20"/>
          <w:szCs w:val="20"/>
          <w:lang w:val="es-CO"/>
        </w:rPr>
        <w:t xml:space="preserve"> La decisión fue adoptada por 47 diputados a favor, 3 en contra y dos abstenciones.</w:t>
      </w:r>
      <w:r w:rsidR="00FB6B63" w:rsidRPr="00640517">
        <w:rPr>
          <w:rFonts w:asciiTheme="majorHAnsi" w:hAnsiTheme="majorHAnsi"/>
          <w:sz w:val="20"/>
          <w:szCs w:val="20"/>
          <w:lang w:val="es-CO"/>
        </w:rPr>
        <w:t xml:space="preserve"> En la </w:t>
      </w:r>
      <w:r w:rsidR="00B32466" w:rsidRPr="00640517">
        <w:rPr>
          <w:rFonts w:asciiTheme="majorHAnsi" w:hAnsiTheme="majorHAnsi"/>
          <w:sz w:val="20"/>
          <w:szCs w:val="20"/>
          <w:lang w:val="es-CO"/>
        </w:rPr>
        <w:t>misma</w:t>
      </w:r>
      <w:r w:rsidR="00FB6B63" w:rsidRPr="00640517">
        <w:rPr>
          <w:rFonts w:asciiTheme="majorHAnsi" w:hAnsiTheme="majorHAnsi"/>
          <w:sz w:val="20"/>
          <w:szCs w:val="20"/>
          <w:lang w:val="es-CO"/>
        </w:rPr>
        <w:t xml:space="preserve"> participaron diputados miembros del PDC</w:t>
      </w:r>
      <w:r w:rsidR="00FB6B63" w:rsidRPr="00640517">
        <w:rPr>
          <w:rStyle w:val="FootnoteReference"/>
          <w:rFonts w:asciiTheme="majorHAnsi" w:hAnsiTheme="majorHAnsi"/>
          <w:sz w:val="20"/>
          <w:szCs w:val="20"/>
          <w:lang w:val="es-CO"/>
        </w:rPr>
        <w:footnoteReference w:id="37"/>
      </w:r>
      <w:r w:rsidR="00FB6B63" w:rsidRPr="00640517">
        <w:rPr>
          <w:rFonts w:asciiTheme="majorHAnsi" w:hAnsiTheme="majorHAnsi"/>
          <w:sz w:val="20"/>
          <w:szCs w:val="20"/>
          <w:lang w:val="es-CO"/>
        </w:rPr>
        <w:t>.</w:t>
      </w:r>
    </w:p>
    <w:p w14:paraId="78BE189D" w14:textId="77777777" w:rsidR="00C85CFF" w:rsidRPr="00640517" w:rsidRDefault="00C85CFF" w:rsidP="00C85CFF">
      <w:pPr>
        <w:pStyle w:val="ListParagraph"/>
        <w:rPr>
          <w:rFonts w:asciiTheme="majorHAnsi" w:hAnsiTheme="majorHAnsi"/>
          <w:sz w:val="20"/>
          <w:szCs w:val="20"/>
          <w:lang w:val="es-CO"/>
        </w:rPr>
      </w:pPr>
    </w:p>
    <w:p w14:paraId="2FC3392B" w14:textId="77777777" w:rsidR="00905DE6" w:rsidRPr="00640517" w:rsidRDefault="00D817E1" w:rsidP="0045657E">
      <w:pPr>
        <w:pStyle w:val="Heading3"/>
        <w:rPr>
          <w:lang w:val="es-ES"/>
        </w:rPr>
      </w:pPr>
      <w:bookmarkStart w:id="50" w:name="_Toc484623838"/>
      <w:r w:rsidRPr="00640517">
        <w:t xml:space="preserve">Recursos interpuestos por el </w:t>
      </w:r>
      <w:r w:rsidR="00DB7747" w:rsidRPr="00640517">
        <w:t xml:space="preserve">magistrado </w:t>
      </w:r>
      <w:r w:rsidRPr="00640517">
        <w:t xml:space="preserve">Colindres antes de </w:t>
      </w:r>
      <w:r w:rsidR="00DB7747" w:rsidRPr="00640517">
        <w:t xml:space="preserve">su </w:t>
      </w:r>
      <w:r w:rsidRPr="00640517">
        <w:t xml:space="preserve">destitución </w:t>
      </w:r>
      <w:r w:rsidR="00DB7747" w:rsidRPr="00640517">
        <w:t xml:space="preserve">el </w:t>
      </w:r>
      <w:r w:rsidRPr="00640517">
        <w:t>2 de julio de 1998</w:t>
      </w:r>
      <w:bookmarkEnd w:id="50"/>
    </w:p>
    <w:p w14:paraId="6F750374" w14:textId="77777777" w:rsidR="00542183" w:rsidRPr="00640517" w:rsidRDefault="00542183" w:rsidP="00542183">
      <w:pPr>
        <w:pStyle w:val="ListParagraph"/>
        <w:ind w:left="1440"/>
        <w:jc w:val="both"/>
        <w:rPr>
          <w:rFonts w:asciiTheme="majorHAnsi" w:hAnsiTheme="majorHAnsi"/>
          <w:b/>
          <w:sz w:val="20"/>
          <w:szCs w:val="20"/>
          <w:lang w:val="es-ES"/>
        </w:rPr>
      </w:pPr>
    </w:p>
    <w:p w14:paraId="77127B5D" w14:textId="4A4FBFBC" w:rsidR="00BD25F4" w:rsidRPr="00640517" w:rsidRDefault="00D817E1" w:rsidP="004776E4">
      <w:pPr>
        <w:numPr>
          <w:ilvl w:val="0"/>
          <w:numId w:val="1"/>
        </w:numPr>
        <w:ind w:left="0" w:firstLine="720"/>
        <w:jc w:val="both"/>
        <w:rPr>
          <w:rFonts w:asciiTheme="majorHAnsi" w:hAnsiTheme="majorHAnsi"/>
          <w:sz w:val="20"/>
          <w:szCs w:val="20"/>
          <w:lang w:val="es-CO"/>
        </w:rPr>
      </w:pPr>
      <w:r w:rsidRPr="00640517">
        <w:rPr>
          <w:rFonts w:asciiTheme="majorHAnsi" w:hAnsiTheme="majorHAnsi"/>
          <w:sz w:val="20"/>
          <w:szCs w:val="20"/>
          <w:lang w:val="es-CO"/>
        </w:rPr>
        <w:t>E</w:t>
      </w:r>
      <w:r w:rsidR="00905DE6" w:rsidRPr="00640517">
        <w:rPr>
          <w:rFonts w:asciiTheme="majorHAnsi" w:hAnsiTheme="majorHAnsi"/>
          <w:sz w:val="20"/>
          <w:szCs w:val="20"/>
          <w:lang w:val="es-CO"/>
        </w:rPr>
        <w:t xml:space="preserve">l 20 de abril de 1998 </w:t>
      </w:r>
      <w:r w:rsidRPr="00640517">
        <w:rPr>
          <w:rFonts w:asciiTheme="majorHAnsi" w:hAnsiTheme="majorHAnsi"/>
          <w:sz w:val="20"/>
          <w:szCs w:val="20"/>
          <w:lang w:val="es-CO"/>
        </w:rPr>
        <w:t xml:space="preserve">el magistrado Colindres interpuso un </w:t>
      </w:r>
      <w:r w:rsidR="00905DE6" w:rsidRPr="00640517">
        <w:rPr>
          <w:rFonts w:asciiTheme="majorHAnsi" w:hAnsiTheme="majorHAnsi"/>
          <w:sz w:val="20"/>
          <w:szCs w:val="20"/>
          <w:lang w:val="es-CO"/>
        </w:rPr>
        <w:t>recurso de amparo (</w:t>
      </w:r>
      <w:r w:rsidR="00905DE6" w:rsidRPr="00765BCA">
        <w:rPr>
          <w:rFonts w:asciiTheme="majorHAnsi" w:hAnsiTheme="majorHAnsi"/>
          <w:sz w:val="20"/>
          <w:szCs w:val="20"/>
          <w:lang w:val="es-CO"/>
        </w:rPr>
        <w:t>bajo n</w:t>
      </w:r>
      <w:r w:rsidR="00F817C4" w:rsidRPr="00640517">
        <w:rPr>
          <w:rFonts w:asciiTheme="majorHAnsi" w:hAnsiTheme="majorHAnsi"/>
          <w:sz w:val="20"/>
          <w:szCs w:val="20"/>
          <w:lang w:val="es-CO"/>
        </w:rPr>
        <w:t>o</w:t>
      </w:r>
      <w:r w:rsidR="00905DE6" w:rsidRPr="00640517">
        <w:rPr>
          <w:rFonts w:asciiTheme="majorHAnsi" w:hAnsiTheme="majorHAnsi"/>
          <w:sz w:val="20"/>
          <w:szCs w:val="20"/>
          <w:lang w:val="es-CO"/>
        </w:rPr>
        <w:t xml:space="preserve">. de referencia 130-98) ante la Sala de lo Constitucional </w:t>
      </w:r>
      <w:r w:rsidR="00B91EAC" w:rsidRPr="00640517">
        <w:rPr>
          <w:rFonts w:asciiTheme="majorHAnsi" w:hAnsiTheme="majorHAnsi"/>
          <w:sz w:val="20"/>
          <w:szCs w:val="20"/>
          <w:lang w:val="es-CO"/>
        </w:rPr>
        <w:t>en contra del</w:t>
      </w:r>
      <w:r w:rsidR="00542183" w:rsidRPr="00640517">
        <w:rPr>
          <w:rFonts w:asciiTheme="majorHAnsi" w:hAnsiTheme="majorHAnsi"/>
          <w:sz w:val="20"/>
          <w:szCs w:val="20"/>
          <w:lang w:val="es-CO"/>
        </w:rPr>
        <w:t xml:space="preserve"> Decreto 281 </w:t>
      </w:r>
      <w:r w:rsidR="00B91EAC" w:rsidRPr="00640517">
        <w:rPr>
          <w:rFonts w:asciiTheme="majorHAnsi" w:hAnsiTheme="majorHAnsi"/>
          <w:sz w:val="20"/>
          <w:szCs w:val="20"/>
          <w:lang w:val="es-CO"/>
        </w:rPr>
        <w:t>que creó la Comisión Especial</w:t>
      </w:r>
      <w:r w:rsidR="00DB1A13" w:rsidRPr="00640517">
        <w:rPr>
          <w:rStyle w:val="FootnoteReference"/>
          <w:rFonts w:asciiTheme="majorHAnsi" w:hAnsiTheme="majorHAnsi"/>
          <w:sz w:val="20"/>
          <w:szCs w:val="20"/>
          <w:lang w:val="es-CO"/>
        </w:rPr>
        <w:footnoteReference w:id="38"/>
      </w:r>
      <w:r w:rsidR="00DB1A13" w:rsidRPr="00640517">
        <w:rPr>
          <w:rFonts w:asciiTheme="majorHAnsi" w:hAnsiTheme="majorHAnsi"/>
          <w:sz w:val="20"/>
          <w:szCs w:val="20"/>
          <w:lang w:val="es-CO"/>
        </w:rPr>
        <w:t>.</w:t>
      </w:r>
      <w:r w:rsidR="002157CB" w:rsidRPr="00640517">
        <w:rPr>
          <w:rFonts w:asciiTheme="majorHAnsi" w:hAnsiTheme="majorHAnsi"/>
          <w:sz w:val="20"/>
          <w:szCs w:val="20"/>
          <w:lang w:val="es-CO"/>
        </w:rPr>
        <w:t xml:space="preserve"> </w:t>
      </w:r>
      <w:r w:rsidR="00905DE6" w:rsidRPr="00640517">
        <w:rPr>
          <w:rFonts w:asciiTheme="majorHAnsi" w:hAnsiTheme="majorHAnsi"/>
          <w:sz w:val="20"/>
          <w:szCs w:val="20"/>
          <w:lang w:val="es-CO"/>
        </w:rPr>
        <w:t xml:space="preserve">La </w:t>
      </w:r>
      <w:r w:rsidR="00DB1A13" w:rsidRPr="00640517">
        <w:rPr>
          <w:rFonts w:asciiTheme="majorHAnsi" w:hAnsiTheme="majorHAnsi"/>
          <w:sz w:val="20"/>
          <w:szCs w:val="20"/>
          <w:lang w:val="es-CO"/>
        </w:rPr>
        <w:t xml:space="preserve">Sala </w:t>
      </w:r>
      <w:r w:rsidR="00E53D9B" w:rsidRPr="00640517">
        <w:rPr>
          <w:rFonts w:asciiTheme="majorHAnsi" w:hAnsiTheme="majorHAnsi"/>
          <w:sz w:val="20"/>
          <w:szCs w:val="20"/>
          <w:lang w:val="es-CO"/>
        </w:rPr>
        <w:t xml:space="preserve">suspendió </w:t>
      </w:r>
      <w:r w:rsidR="00B91EAC" w:rsidRPr="00640517">
        <w:rPr>
          <w:rFonts w:asciiTheme="majorHAnsi" w:hAnsiTheme="majorHAnsi"/>
          <w:sz w:val="20"/>
          <w:szCs w:val="20"/>
          <w:lang w:val="es-CO"/>
        </w:rPr>
        <w:t xml:space="preserve">provisionalmente </w:t>
      </w:r>
      <w:r w:rsidR="00905DE6" w:rsidRPr="00640517">
        <w:rPr>
          <w:rFonts w:asciiTheme="majorHAnsi" w:hAnsiTheme="majorHAnsi"/>
          <w:sz w:val="20"/>
          <w:szCs w:val="20"/>
          <w:lang w:val="es-CO"/>
        </w:rPr>
        <w:t>el acto reclamado</w:t>
      </w:r>
      <w:r w:rsidR="00905DE6" w:rsidRPr="00640517">
        <w:rPr>
          <w:rStyle w:val="FootnoteReference"/>
          <w:rFonts w:asciiTheme="majorHAnsi" w:hAnsiTheme="majorHAnsi"/>
          <w:sz w:val="20"/>
          <w:szCs w:val="20"/>
          <w:lang w:val="es-CO"/>
        </w:rPr>
        <w:footnoteReference w:id="39"/>
      </w:r>
      <w:r w:rsidR="00C85CFF" w:rsidRPr="00640517">
        <w:rPr>
          <w:rFonts w:asciiTheme="majorHAnsi" w:hAnsiTheme="majorHAnsi"/>
          <w:sz w:val="20"/>
          <w:szCs w:val="20"/>
          <w:lang w:val="es-CO"/>
        </w:rPr>
        <w:t>, sin embargo, e</w:t>
      </w:r>
      <w:r w:rsidR="00905DE6" w:rsidRPr="00640517">
        <w:rPr>
          <w:rFonts w:asciiTheme="majorHAnsi" w:hAnsiTheme="majorHAnsi"/>
          <w:sz w:val="20"/>
          <w:szCs w:val="20"/>
          <w:lang w:val="es-CO"/>
        </w:rPr>
        <w:t xml:space="preserve">l 30 de abril de 1998, </w:t>
      </w:r>
      <w:r w:rsidR="00E53D9B" w:rsidRPr="00640517">
        <w:rPr>
          <w:rFonts w:asciiTheme="majorHAnsi" w:hAnsiTheme="majorHAnsi"/>
          <w:sz w:val="20"/>
          <w:szCs w:val="20"/>
          <w:lang w:val="es-CO"/>
        </w:rPr>
        <w:t xml:space="preserve">emitió decisión </w:t>
      </w:r>
      <w:r w:rsidR="000E5C81" w:rsidRPr="00640517">
        <w:rPr>
          <w:rFonts w:asciiTheme="majorHAnsi" w:hAnsiTheme="majorHAnsi"/>
          <w:sz w:val="20"/>
          <w:szCs w:val="20"/>
          <w:lang w:val="es-CO"/>
        </w:rPr>
        <w:t xml:space="preserve">de </w:t>
      </w:r>
      <w:r w:rsidR="00EC2D51" w:rsidRPr="00640517">
        <w:rPr>
          <w:rFonts w:asciiTheme="majorHAnsi" w:hAnsiTheme="majorHAnsi"/>
          <w:sz w:val="20"/>
          <w:szCs w:val="20"/>
          <w:lang w:val="es-CO"/>
        </w:rPr>
        <w:t>sobreseimiento</w:t>
      </w:r>
      <w:r w:rsidR="00E53D9B" w:rsidRPr="00640517">
        <w:rPr>
          <w:rStyle w:val="FootnoteReference"/>
          <w:rFonts w:asciiTheme="majorHAnsi" w:hAnsiTheme="majorHAnsi"/>
          <w:sz w:val="20"/>
          <w:szCs w:val="20"/>
          <w:lang w:val="es-CO"/>
        </w:rPr>
        <w:footnoteReference w:id="40"/>
      </w:r>
      <w:r w:rsidR="00E53D9B" w:rsidRPr="00640517">
        <w:rPr>
          <w:rFonts w:asciiTheme="majorHAnsi" w:hAnsiTheme="majorHAnsi"/>
          <w:sz w:val="20"/>
          <w:szCs w:val="20"/>
          <w:lang w:val="es-CO"/>
        </w:rPr>
        <w:t>.</w:t>
      </w:r>
      <w:r w:rsidR="00C85CFF" w:rsidRPr="00640517">
        <w:rPr>
          <w:rFonts w:asciiTheme="majorHAnsi" w:hAnsiTheme="majorHAnsi"/>
          <w:sz w:val="20"/>
          <w:szCs w:val="20"/>
          <w:lang w:val="es-CO"/>
        </w:rPr>
        <w:t xml:space="preserve"> </w:t>
      </w:r>
      <w:r w:rsidR="00BD25F4" w:rsidRPr="00640517">
        <w:rPr>
          <w:rFonts w:asciiTheme="majorHAnsi" w:hAnsiTheme="majorHAnsi"/>
          <w:sz w:val="20"/>
          <w:szCs w:val="20"/>
          <w:lang w:val="es-CO"/>
        </w:rPr>
        <w:t xml:space="preserve">Esta decisión se basó en que en la demanda </w:t>
      </w:r>
      <w:r w:rsidR="00BD25F4" w:rsidRPr="0046661A">
        <w:rPr>
          <w:rFonts w:asciiTheme="majorHAnsi" w:hAnsiTheme="majorHAnsi"/>
          <w:sz w:val="20"/>
          <w:szCs w:val="20"/>
          <w:lang w:val="es-CO"/>
        </w:rPr>
        <w:t>presentada “</w:t>
      </w:r>
      <w:r w:rsidR="0046661A" w:rsidRPr="0046661A">
        <w:rPr>
          <w:rFonts w:asciiTheme="majorHAnsi" w:hAnsiTheme="majorHAnsi"/>
          <w:sz w:val="20"/>
          <w:szCs w:val="20"/>
          <w:lang w:val="es-CO"/>
        </w:rPr>
        <w:t xml:space="preserve">(…) </w:t>
      </w:r>
      <w:r w:rsidR="00BD25F4" w:rsidRPr="0046661A">
        <w:rPr>
          <w:rFonts w:asciiTheme="majorHAnsi" w:hAnsiTheme="majorHAnsi"/>
          <w:sz w:val="20"/>
          <w:szCs w:val="20"/>
          <w:lang w:val="es-CO"/>
        </w:rPr>
        <w:t>concurren</w:t>
      </w:r>
      <w:r w:rsidR="00BD25F4" w:rsidRPr="00640517">
        <w:rPr>
          <w:rFonts w:asciiTheme="majorHAnsi" w:hAnsiTheme="majorHAnsi"/>
          <w:sz w:val="20"/>
          <w:szCs w:val="20"/>
          <w:lang w:val="es-CO"/>
        </w:rPr>
        <w:t xml:space="preserve"> ciertos vicios que impiden el conocimiento de la pretensión contenida en la misma”, indicando</w:t>
      </w:r>
      <w:r w:rsidR="00FB3BC8">
        <w:rPr>
          <w:rFonts w:asciiTheme="majorHAnsi" w:hAnsiTheme="majorHAnsi"/>
          <w:sz w:val="20"/>
          <w:szCs w:val="20"/>
          <w:lang w:val="es-CO"/>
        </w:rPr>
        <w:t xml:space="preserve"> que </w:t>
      </w:r>
      <w:r w:rsidR="00BD25F4" w:rsidRPr="00640517">
        <w:rPr>
          <w:rFonts w:asciiTheme="majorHAnsi" w:hAnsiTheme="majorHAnsi"/>
          <w:sz w:val="20"/>
          <w:szCs w:val="20"/>
          <w:lang w:val="es-CO"/>
        </w:rPr>
        <w:t xml:space="preserve">existía “indeterminación objetiva del acto de autoridad contra el cual reclamaba”  e “indeterminación subjetiva en relación al sujeto que sufre el agravio”, ya que, en su demanda, afirmó que </w:t>
      </w:r>
      <w:r w:rsidR="00C6708B" w:rsidRPr="00640517">
        <w:rPr>
          <w:rFonts w:asciiTheme="majorHAnsi" w:hAnsiTheme="majorHAnsi"/>
          <w:sz w:val="20"/>
          <w:szCs w:val="20"/>
          <w:lang w:val="es-CO"/>
        </w:rPr>
        <w:t xml:space="preserve">se trataba de una </w:t>
      </w:r>
      <w:r w:rsidR="00BD25F4" w:rsidRPr="00640517">
        <w:rPr>
          <w:rFonts w:asciiTheme="majorHAnsi" w:hAnsiTheme="majorHAnsi"/>
          <w:sz w:val="20"/>
          <w:szCs w:val="20"/>
          <w:lang w:val="es-CO"/>
        </w:rPr>
        <w:t>persecución para crear inseguridad jurídica a los magistrados del TSE.</w:t>
      </w:r>
    </w:p>
    <w:p w14:paraId="1B13934D" w14:textId="77777777" w:rsidR="00BD25F4" w:rsidRPr="00640517" w:rsidRDefault="00BD25F4" w:rsidP="006B1085">
      <w:pPr>
        <w:ind w:left="720"/>
        <w:jc w:val="both"/>
        <w:rPr>
          <w:rFonts w:asciiTheme="majorHAnsi" w:hAnsiTheme="majorHAnsi"/>
          <w:sz w:val="20"/>
          <w:szCs w:val="20"/>
          <w:lang w:val="es-CO"/>
        </w:rPr>
      </w:pPr>
    </w:p>
    <w:p w14:paraId="5906B5D5" w14:textId="77777777" w:rsidR="004776E4" w:rsidRPr="00640517" w:rsidRDefault="00EC2D51" w:rsidP="004776E4">
      <w:pPr>
        <w:numPr>
          <w:ilvl w:val="0"/>
          <w:numId w:val="1"/>
        </w:numPr>
        <w:ind w:left="0" w:firstLine="720"/>
        <w:jc w:val="both"/>
        <w:rPr>
          <w:rFonts w:asciiTheme="majorHAnsi" w:hAnsiTheme="majorHAnsi"/>
          <w:sz w:val="20"/>
          <w:szCs w:val="20"/>
          <w:lang w:val="es-CO"/>
        </w:rPr>
      </w:pPr>
      <w:r w:rsidRPr="00640517">
        <w:rPr>
          <w:rFonts w:asciiTheme="majorHAnsi" w:hAnsiTheme="majorHAnsi"/>
          <w:sz w:val="20"/>
          <w:szCs w:val="20"/>
          <w:lang w:val="es-CO"/>
        </w:rPr>
        <w:t>M</w:t>
      </w:r>
      <w:r w:rsidR="00DB1A13" w:rsidRPr="00640517">
        <w:rPr>
          <w:rFonts w:asciiTheme="majorHAnsi" w:hAnsiTheme="majorHAnsi"/>
          <w:sz w:val="20"/>
          <w:szCs w:val="20"/>
          <w:lang w:val="es-CO"/>
        </w:rPr>
        <w:t xml:space="preserve">ientras se tramitaba el amparo, en la </w:t>
      </w:r>
      <w:r w:rsidR="00905DE6" w:rsidRPr="00640517">
        <w:rPr>
          <w:rFonts w:asciiTheme="majorHAnsi" w:hAnsiTheme="majorHAnsi"/>
          <w:sz w:val="20"/>
          <w:szCs w:val="20"/>
          <w:lang w:val="es-CO"/>
        </w:rPr>
        <w:t>Sesión Plenaria del 30 d</w:t>
      </w:r>
      <w:r w:rsidR="00DB1A13" w:rsidRPr="00640517">
        <w:rPr>
          <w:rFonts w:asciiTheme="majorHAnsi" w:hAnsiTheme="majorHAnsi"/>
          <w:sz w:val="20"/>
          <w:szCs w:val="20"/>
          <w:lang w:val="es-CO"/>
        </w:rPr>
        <w:t xml:space="preserve">e abril de 1998, </w:t>
      </w:r>
      <w:r w:rsidR="00905DE6" w:rsidRPr="00640517">
        <w:rPr>
          <w:rFonts w:asciiTheme="majorHAnsi" w:hAnsiTheme="majorHAnsi"/>
          <w:sz w:val="20"/>
          <w:szCs w:val="20"/>
          <w:lang w:val="es-CO"/>
        </w:rPr>
        <w:t xml:space="preserve">la Asamblea </w:t>
      </w:r>
      <w:r w:rsidR="00231469" w:rsidRPr="00640517">
        <w:rPr>
          <w:rFonts w:asciiTheme="majorHAnsi" w:hAnsiTheme="majorHAnsi"/>
          <w:sz w:val="20"/>
          <w:szCs w:val="20"/>
          <w:lang w:val="es-CO"/>
        </w:rPr>
        <w:t xml:space="preserve">aprobó la “conformación” de una comisión especial para </w:t>
      </w:r>
      <w:r w:rsidR="00601E8B" w:rsidRPr="00640517">
        <w:rPr>
          <w:rFonts w:asciiTheme="majorHAnsi" w:hAnsiTheme="majorHAnsi"/>
          <w:sz w:val="20"/>
          <w:szCs w:val="20"/>
          <w:lang w:val="es-CO"/>
        </w:rPr>
        <w:t>in</w:t>
      </w:r>
      <w:r w:rsidRPr="00640517">
        <w:rPr>
          <w:rFonts w:asciiTheme="majorHAnsi" w:hAnsiTheme="majorHAnsi"/>
          <w:sz w:val="20"/>
          <w:szCs w:val="20"/>
          <w:lang w:val="es-CO"/>
        </w:rPr>
        <w:t>v</w:t>
      </w:r>
      <w:r w:rsidR="00601E8B" w:rsidRPr="00640517">
        <w:rPr>
          <w:rFonts w:asciiTheme="majorHAnsi" w:hAnsiTheme="majorHAnsi"/>
          <w:sz w:val="20"/>
          <w:szCs w:val="20"/>
          <w:lang w:val="es-CO"/>
        </w:rPr>
        <w:t xml:space="preserve">estigar </w:t>
      </w:r>
      <w:r w:rsidR="00231469" w:rsidRPr="00640517">
        <w:rPr>
          <w:rFonts w:asciiTheme="majorHAnsi" w:hAnsiTheme="majorHAnsi"/>
          <w:sz w:val="20"/>
          <w:szCs w:val="20"/>
          <w:lang w:val="es-CO"/>
        </w:rPr>
        <w:t>la</w:t>
      </w:r>
      <w:r w:rsidR="00F223D5" w:rsidRPr="00640517">
        <w:rPr>
          <w:rFonts w:asciiTheme="majorHAnsi" w:hAnsiTheme="majorHAnsi"/>
          <w:sz w:val="20"/>
          <w:szCs w:val="20"/>
          <w:lang w:val="es-CO"/>
        </w:rPr>
        <w:t>s</w:t>
      </w:r>
      <w:r w:rsidR="00231469" w:rsidRPr="00640517">
        <w:rPr>
          <w:rFonts w:asciiTheme="majorHAnsi" w:hAnsiTheme="majorHAnsi"/>
          <w:sz w:val="20"/>
          <w:szCs w:val="20"/>
          <w:lang w:val="es-CO"/>
        </w:rPr>
        <w:t xml:space="preserve"> implicaciones institucionales generadas por el fallo de la Corte Suprema de Justicia</w:t>
      </w:r>
      <w:r w:rsidRPr="00640517">
        <w:rPr>
          <w:rFonts w:asciiTheme="majorHAnsi" w:hAnsiTheme="majorHAnsi"/>
          <w:sz w:val="20"/>
          <w:szCs w:val="20"/>
          <w:lang w:val="es-CO"/>
        </w:rPr>
        <w:t xml:space="preserve"> relacionado con la suspensión inicialmente ordenada</w:t>
      </w:r>
      <w:r w:rsidR="00231469" w:rsidRPr="00640517">
        <w:rPr>
          <w:rStyle w:val="FootnoteReference"/>
          <w:rFonts w:asciiTheme="majorHAnsi" w:hAnsiTheme="majorHAnsi"/>
          <w:sz w:val="20"/>
          <w:szCs w:val="20"/>
          <w:lang w:val="es-CO"/>
        </w:rPr>
        <w:footnoteReference w:id="41"/>
      </w:r>
      <w:r w:rsidR="00231469" w:rsidRPr="00640517">
        <w:rPr>
          <w:rFonts w:asciiTheme="majorHAnsi" w:hAnsiTheme="majorHAnsi"/>
          <w:sz w:val="20"/>
          <w:szCs w:val="20"/>
          <w:lang w:val="es-CO"/>
        </w:rPr>
        <w:t>.</w:t>
      </w:r>
    </w:p>
    <w:p w14:paraId="717A8371" w14:textId="77777777" w:rsidR="00A75FDB" w:rsidRPr="00640517" w:rsidRDefault="00A75FDB" w:rsidP="00A75FDB">
      <w:pPr>
        <w:ind w:left="720"/>
        <w:jc w:val="both"/>
        <w:rPr>
          <w:rFonts w:asciiTheme="majorHAnsi" w:hAnsiTheme="majorHAnsi"/>
          <w:sz w:val="20"/>
          <w:szCs w:val="20"/>
          <w:lang w:val="es-CO"/>
        </w:rPr>
      </w:pPr>
    </w:p>
    <w:p w14:paraId="041188CE" w14:textId="77777777" w:rsidR="006D349B" w:rsidRPr="00640517" w:rsidRDefault="00DB1A13" w:rsidP="002E5EAA">
      <w:pPr>
        <w:numPr>
          <w:ilvl w:val="0"/>
          <w:numId w:val="1"/>
        </w:numPr>
        <w:ind w:left="0" w:firstLine="720"/>
        <w:jc w:val="both"/>
        <w:rPr>
          <w:rFonts w:asciiTheme="majorHAnsi" w:hAnsiTheme="majorHAnsi"/>
          <w:sz w:val="20"/>
          <w:szCs w:val="20"/>
          <w:lang w:val="es-CO"/>
        </w:rPr>
      </w:pPr>
      <w:r w:rsidRPr="00640517">
        <w:rPr>
          <w:rFonts w:asciiTheme="majorHAnsi" w:hAnsiTheme="majorHAnsi"/>
          <w:sz w:val="20"/>
          <w:szCs w:val="20"/>
          <w:lang w:val="es-CO"/>
        </w:rPr>
        <w:t xml:space="preserve">El </w:t>
      </w:r>
      <w:r w:rsidR="00905DE6" w:rsidRPr="00640517">
        <w:rPr>
          <w:rFonts w:asciiTheme="majorHAnsi" w:hAnsiTheme="majorHAnsi"/>
          <w:sz w:val="20"/>
          <w:szCs w:val="20"/>
          <w:lang w:val="es-CO"/>
        </w:rPr>
        <w:t xml:space="preserve">21 de abril de 1998 </w:t>
      </w:r>
      <w:r w:rsidRPr="00640517">
        <w:rPr>
          <w:rFonts w:asciiTheme="majorHAnsi" w:hAnsiTheme="majorHAnsi"/>
          <w:sz w:val="20"/>
          <w:szCs w:val="20"/>
          <w:lang w:val="es-CO"/>
        </w:rPr>
        <w:t xml:space="preserve">el </w:t>
      </w:r>
      <w:r w:rsidR="00231469" w:rsidRPr="00640517">
        <w:rPr>
          <w:rFonts w:asciiTheme="majorHAnsi" w:hAnsiTheme="majorHAnsi"/>
          <w:sz w:val="20"/>
          <w:szCs w:val="20"/>
          <w:lang w:val="es-CO"/>
        </w:rPr>
        <w:t xml:space="preserve">magistrado </w:t>
      </w:r>
      <w:r w:rsidRPr="00640517">
        <w:rPr>
          <w:rFonts w:asciiTheme="majorHAnsi" w:hAnsiTheme="majorHAnsi"/>
          <w:sz w:val="20"/>
          <w:szCs w:val="20"/>
          <w:lang w:val="es-CO"/>
        </w:rPr>
        <w:t xml:space="preserve">Colindres presentó </w:t>
      </w:r>
      <w:r w:rsidR="00905DE6" w:rsidRPr="00640517">
        <w:rPr>
          <w:rFonts w:asciiTheme="majorHAnsi" w:hAnsiTheme="majorHAnsi"/>
          <w:sz w:val="20"/>
          <w:szCs w:val="20"/>
          <w:lang w:val="es-CO"/>
        </w:rPr>
        <w:t xml:space="preserve">ante la </w:t>
      </w:r>
      <w:r w:rsidR="00DB7747" w:rsidRPr="00640517">
        <w:rPr>
          <w:rFonts w:asciiTheme="majorHAnsi" w:hAnsiTheme="majorHAnsi"/>
          <w:sz w:val="20"/>
          <w:szCs w:val="20"/>
          <w:lang w:val="es-CO"/>
        </w:rPr>
        <w:t xml:space="preserve">Sala de lo Constitucional un </w:t>
      </w:r>
      <w:r w:rsidR="00905DE6" w:rsidRPr="00640517">
        <w:rPr>
          <w:rFonts w:asciiTheme="majorHAnsi" w:hAnsiTheme="majorHAnsi"/>
          <w:sz w:val="20"/>
          <w:szCs w:val="20"/>
          <w:lang w:val="es-CO"/>
        </w:rPr>
        <w:t xml:space="preserve">recurso de </w:t>
      </w:r>
      <w:r w:rsidR="00231469" w:rsidRPr="00640517">
        <w:rPr>
          <w:rFonts w:asciiTheme="majorHAnsi" w:hAnsiTheme="majorHAnsi"/>
          <w:sz w:val="20"/>
          <w:szCs w:val="20"/>
          <w:lang w:val="es-CO"/>
        </w:rPr>
        <w:t>“</w:t>
      </w:r>
      <w:r w:rsidR="00905DE6" w:rsidRPr="00640517">
        <w:rPr>
          <w:rFonts w:asciiTheme="majorHAnsi" w:hAnsiTheme="majorHAnsi"/>
          <w:sz w:val="20"/>
          <w:szCs w:val="20"/>
          <w:lang w:val="es-CO"/>
        </w:rPr>
        <w:t>exhibición personal</w:t>
      </w:r>
      <w:r w:rsidR="00231469" w:rsidRPr="00640517">
        <w:rPr>
          <w:rFonts w:asciiTheme="majorHAnsi" w:hAnsiTheme="majorHAnsi"/>
          <w:sz w:val="20"/>
          <w:szCs w:val="20"/>
          <w:lang w:val="es-CO"/>
        </w:rPr>
        <w:t>”</w:t>
      </w:r>
      <w:r w:rsidR="00905DE6" w:rsidRPr="00640517">
        <w:rPr>
          <w:rStyle w:val="FootnoteReference"/>
          <w:rFonts w:asciiTheme="majorHAnsi" w:hAnsiTheme="majorHAnsi"/>
          <w:sz w:val="20"/>
          <w:szCs w:val="20"/>
          <w:lang w:val="es-CO"/>
        </w:rPr>
        <w:footnoteReference w:id="42"/>
      </w:r>
      <w:r w:rsidR="00EC2D51" w:rsidRPr="00640517">
        <w:rPr>
          <w:rFonts w:asciiTheme="majorHAnsi" w:hAnsiTheme="majorHAnsi"/>
          <w:sz w:val="20"/>
          <w:szCs w:val="20"/>
          <w:lang w:val="es-CO"/>
        </w:rPr>
        <w:t xml:space="preserve">, que se declaró </w:t>
      </w:r>
      <w:r w:rsidR="00DB7747" w:rsidRPr="00640517">
        <w:rPr>
          <w:rFonts w:asciiTheme="majorHAnsi" w:hAnsiTheme="majorHAnsi"/>
          <w:sz w:val="20"/>
          <w:szCs w:val="20"/>
          <w:lang w:val="es-CO"/>
        </w:rPr>
        <w:t>improcedente</w:t>
      </w:r>
      <w:r w:rsidR="002955D2" w:rsidRPr="00640517">
        <w:rPr>
          <w:rFonts w:asciiTheme="majorHAnsi" w:hAnsiTheme="majorHAnsi"/>
          <w:sz w:val="20"/>
          <w:szCs w:val="20"/>
          <w:lang w:val="es-CO"/>
        </w:rPr>
        <w:t xml:space="preserve"> al no constituir la vía adecuada</w:t>
      </w:r>
      <w:r w:rsidR="00DB7747" w:rsidRPr="00640517">
        <w:rPr>
          <w:rStyle w:val="FootnoteReference"/>
          <w:rFonts w:asciiTheme="majorHAnsi" w:hAnsiTheme="majorHAnsi"/>
          <w:sz w:val="20"/>
          <w:szCs w:val="20"/>
          <w:lang w:val="es-CO"/>
        </w:rPr>
        <w:footnoteReference w:id="43"/>
      </w:r>
      <w:r w:rsidR="00DB7747" w:rsidRPr="00640517">
        <w:rPr>
          <w:rFonts w:asciiTheme="majorHAnsi" w:hAnsiTheme="majorHAnsi"/>
          <w:sz w:val="20"/>
          <w:szCs w:val="20"/>
          <w:lang w:val="es-CO"/>
        </w:rPr>
        <w:t>.</w:t>
      </w:r>
      <w:r w:rsidR="00EC2D51" w:rsidRPr="00640517">
        <w:rPr>
          <w:rFonts w:asciiTheme="majorHAnsi" w:hAnsiTheme="majorHAnsi"/>
          <w:sz w:val="20"/>
          <w:szCs w:val="20"/>
          <w:lang w:val="es-CO"/>
        </w:rPr>
        <w:t xml:space="preserve"> </w:t>
      </w:r>
      <w:r w:rsidR="00A75FDB" w:rsidRPr="00640517">
        <w:rPr>
          <w:rFonts w:asciiTheme="majorHAnsi" w:hAnsiTheme="majorHAnsi"/>
          <w:sz w:val="20"/>
          <w:szCs w:val="20"/>
          <w:lang w:val="es-CO"/>
        </w:rPr>
        <w:lastRenderedPageBreak/>
        <w:t>Finalmente, e</w:t>
      </w:r>
      <w:r w:rsidR="00905DE6" w:rsidRPr="00640517">
        <w:rPr>
          <w:rFonts w:asciiTheme="majorHAnsi" w:hAnsiTheme="majorHAnsi"/>
          <w:sz w:val="20"/>
          <w:szCs w:val="20"/>
          <w:lang w:val="es-CO"/>
        </w:rPr>
        <w:t xml:space="preserve">l 5 de mayo de 1998 el </w:t>
      </w:r>
      <w:r w:rsidR="00DB7747" w:rsidRPr="00640517">
        <w:rPr>
          <w:rFonts w:asciiTheme="majorHAnsi" w:hAnsiTheme="majorHAnsi"/>
          <w:sz w:val="20"/>
          <w:szCs w:val="20"/>
          <w:lang w:val="es-CO"/>
        </w:rPr>
        <w:t xml:space="preserve">magistrado </w:t>
      </w:r>
      <w:r w:rsidR="00905DE6" w:rsidRPr="00640517">
        <w:rPr>
          <w:rFonts w:asciiTheme="majorHAnsi" w:hAnsiTheme="majorHAnsi"/>
          <w:sz w:val="20"/>
          <w:szCs w:val="20"/>
          <w:lang w:val="es-CO"/>
        </w:rPr>
        <w:t xml:space="preserve">Colindres presentó </w:t>
      </w:r>
      <w:r w:rsidR="00995949" w:rsidRPr="00640517">
        <w:rPr>
          <w:rFonts w:asciiTheme="majorHAnsi" w:hAnsiTheme="majorHAnsi"/>
          <w:sz w:val="20"/>
          <w:szCs w:val="20"/>
          <w:lang w:val="es-CO"/>
        </w:rPr>
        <w:t>otro</w:t>
      </w:r>
      <w:r w:rsidR="00DB7747" w:rsidRPr="00640517">
        <w:rPr>
          <w:rFonts w:asciiTheme="majorHAnsi" w:hAnsiTheme="majorHAnsi"/>
          <w:sz w:val="20"/>
          <w:szCs w:val="20"/>
          <w:lang w:val="es-CO"/>
        </w:rPr>
        <w:t xml:space="preserve"> </w:t>
      </w:r>
      <w:r w:rsidR="00905DE6" w:rsidRPr="00640517">
        <w:rPr>
          <w:rFonts w:asciiTheme="majorHAnsi" w:hAnsiTheme="majorHAnsi"/>
          <w:sz w:val="20"/>
          <w:szCs w:val="20"/>
          <w:lang w:val="es-CO"/>
        </w:rPr>
        <w:t xml:space="preserve">recurso de amparo (147-98) </w:t>
      </w:r>
      <w:r w:rsidR="00995949" w:rsidRPr="00640517">
        <w:rPr>
          <w:rFonts w:asciiTheme="majorHAnsi" w:hAnsiTheme="majorHAnsi"/>
          <w:sz w:val="20"/>
          <w:szCs w:val="20"/>
          <w:lang w:val="es-CO"/>
        </w:rPr>
        <w:t xml:space="preserve">en </w:t>
      </w:r>
      <w:r w:rsidR="00905DE6" w:rsidRPr="00640517">
        <w:rPr>
          <w:rFonts w:asciiTheme="majorHAnsi" w:hAnsiTheme="majorHAnsi"/>
          <w:sz w:val="20"/>
          <w:szCs w:val="20"/>
          <w:lang w:val="es-CO"/>
        </w:rPr>
        <w:t>contra del Acuerdo 281</w:t>
      </w:r>
      <w:r w:rsidR="00995949" w:rsidRPr="00640517">
        <w:rPr>
          <w:rFonts w:asciiTheme="majorHAnsi" w:hAnsiTheme="majorHAnsi"/>
          <w:sz w:val="20"/>
          <w:szCs w:val="20"/>
          <w:lang w:val="es-CO"/>
        </w:rPr>
        <w:t xml:space="preserve"> (mediante el cual se creó la Comisión Especial)</w:t>
      </w:r>
      <w:r w:rsidR="00905DE6" w:rsidRPr="00640517">
        <w:rPr>
          <w:rStyle w:val="FootnoteReference"/>
          <w:rFonts w:asciiTheme="majorHAnsi" w:hAnsiTheme="majorHAnsi"/>
          <w:sz w:val="20"/>
          <w:szCs w:val="20"/>
          <w:lang w:val="es-CO"/>
        </w:rPr>
        <w:footnoteReference w:id="44"/>
      </w:r>
      <w:r w:rsidR="00905DE6" w:rsidRPr="00640517">
        <w:rPr>
          <w:rFonts w:asciiTheme="majorHAnsi" w:hAnsiTheme="majorHAnsi"/>
          <w:sz w:val="20"/>
          <w:szCs w:val="20"/>
          <w:lang w:val="es-CO"/>
        </w:rPr>
        <w:t>.</w:t>
      </w:r>
      <w:r w:rsidR="002E2B9C" w:rsidRPr="00640517">
        <w:rPr>
          <w:rFonts w:asciiTheme="majorHAnsi" w:hAnsiTheme="majorHAnsi"/>
          <w:sz w:val="20"/>
          <w:szCs w:val="20"/>
          <w:lang w:val="es-CO"/>
        </w:rPr>
        <w:t xml:space="preserve"> </w:t>
      </w:r>
    </w:p>
    <w:p w14:paraId="2FB9F8F7" w14:textId="77777777" w:rsidR="006D349B" w:rsidRPr="00640517" w:rsidRDefault="006D349B" w:rsidP="006B1085">
      <w:pPr>
        <w:jc w:val="both"/>
        <w:rPr>
          <w:rFonts w:asciiTheme="majorHAnsi" w:hAnsiTheme="majorHAnsi"/>
          <w:sz w:val="20"/>
          <w:szCs w:val="20"/>
          <w:lang w:val="es-CO"/>
        </w:rPr>
      </w:pPr>
    </w:p>
    <w:p w14:paraId="0C90E311" w14:textId="77777777" w:rsidR="006D349B" w:rsidRPr="00640517" w:rsidRDefault="006D349B" w:rsidP="006B1085">
      <w:pPr>
        <w:numPr>
          <w:ilvl w:val="0"/>
          <w:numId w:val="1"/>
        </w:numPr>
        <w:ind w:left="0" w:firstLine="720"/>
        <w:jc w:val="both"/>
        <w:rPr>
          <w:rFonts w:asciiTheme="majorHAnsi" w:hAnsiTheme="majorHAnsi"/>
          <w:sz w:val="20"/>
          <w:szCs w:val="20"/>
          <w:lang w:val="es-CO"/>
        </w:rPr>
      </w:pPr>
      <w:r w:rsidRPr="00640517">
        <w:rPr>
          <w:rFonts w:asciiTheme="majorHAnsi" w:hAnsiTheme="majorHAnsi"/>
          <w:sz w:val="20"/>
          <w:szCs w:val="20"/>
          <w:lang w:val="es-CO"/>
        </w:rPr>
        <w:t xml:space="preserve">En esta oportunidad, el señor Colindres </w:t>
      </w:r>
      <w:r w:rsidR="0080399F" w:rsidRPr="00640517">
        <w:rPr>
          <w:rFonts w:asciiTheme="majorHAnsi" w:hAnsiTheme="majorHAnsi"/>
          <w:sz w:val="20"/>
          <w:szCs w:val="20"/>
          <w:lang w:val="es-CO"/>
        </w:rPr>
        <w:t xml:space="preserve">indicó </w:t>
      </w:r>
      <w:r w:rsidRPr="00640517">
        <w:rPr>
          <w:rFonts w:asciiTheme="majorHAnsi" w:hAnsiTheme="majorHAnsi"/>
          <w:sz w:val="20"/>
          <w:szCs w:val="20"/>
          <w:lang w:val="es-CO"/>
        </w:rPr>
        <w:t>que el nuevo proceso ante la Asamblea constituía una violación del principio de cosa juzgada que había adquirido la resolución dictada por la propia Sala en 1996. Asimismo, indicó que sufría acoso y persecución por parte de la Asamblea, quien tenía facultades para “investigar hechos de intereses nacional” y no para delegar a una comisión la competencia para ejercer su derecho de audiencia. El magistrado Colindres indicó que las acciones de la Asamblea atentaban contra su “libertad personal que la restringe derivada en violaciones al debido proceso para el ejercicio de mi cargo”. Finalmente en la demanda solicitó que se nombrara juez ejecutor y se intimara a la Asamblea legislativa y a la Comisión Especial para que se abstengan “de continuar restringiendo mi libertad personal en el ejercicio de mi cargo”</w:t>
      </w:r>
      <w:r w:rsidR="00EC078A" w:rsidRPr="00640517">
        <w:rPr>
          <w:rStyle w:val="FootnoteReference"/>
          <w:rFonts w:asciiTheme="majorHAnsi" w:hAnsiTheme="majorHAnsi"/>
          <w:sz w:val="20"/>
          <w:szCs w:val="20"/>
          <w:lang w:val="es-CO"/>
        </w:rPr>
        <w:t xml:space="preserve"> </w:t>
      </w:r>
      <w:r w:rsidR="00EC078A" w:rsidRPr="00640517">
        <w:rPr>
          <w:rStyle w:val="FootnoteReference"/>
          <w:rFonts w:asciiTheme="majorHAnsi" w:hAnsiTheme="majorHAnsi"/>
          <w:sz w:val="20"/>
          <w:szCs w:val="20"/>
          <w:lang w:val="es-CO"/>
        </w:rPr>
        <w:footnoteReference w:id="45"/>
      </w:r>
      <w:r w:rsidRPr="00640517">
        <w:rPr>
          <w:rFonts w:asciiTheme="majorHAnsi" w:hAnsiTheme="majorHAnsi"/>
          <w:sz w:val="20"/>
          <w:szCs w:val="20"/>
          <w:lang w:val="es-CO"/>
        </w:rPr>
        <w:t>.</w:t>
      </w:r>
    </w:p>
    <w:p w14:paraId="2D63B3A8" w14:textId="77777777" w:rsidR="006D349B" w:rsidRPr="00640517" w:rsidRDefault="006D349B" w:rsidP="006B1085">
      <w:pPr>
        <w:jc w:val="both"/>
        <w:rPr>
          <w:rFonts w:asciiTheme="majorHAnsi" w:hAnsiTheme="majorHAnsi"/>
          <w:sz w:val="20"/>
          <w:szCs w:val="20"/>
          <w:lang w:val="es-CO"/>
        </w:rPr>
      </w:pPr>
    </w:p>
    <w:p w14:paraId="64EFFB83" w14:textId="77777777" w:rsidR="00905DE6" w:rsidRPr="00640517" w:rsidRDefault="00905DE6" w:rsidP="002E5EAA">
      <w:pPr>
        <w:numPr>
          <w:ilvl w:val="0"/>
          <w:numId w:val="1"/>
        </w:numPr>
        <w:ind w:left="0" w:firstLine="720"/>
        <w:jc w:val="both"/>
        <w:rPr>
          <w:rFonts w:asciiTheme="majorHAnsi" w:hAnsiTheme="majorHAnsi"/>
          <w:sz w:val="20"/>
          <w:szCs w:val="20"/>
          <w:lang w:val="es-CO"/>
        </w:rPr>
      </w:pPr>
      <w:r w:rsidRPr="00640517">
        <w:rPr>
          <w:rFonts w:asciiTheme="majorHAnsi" w:hAnsiTheme="majorHAnsi"/>
          <w:sz w:val="20"/>
          <w:szCs w:val="20"/>
          <w:lang w:val="es-CO"/>
        </w:rPr>
        <w:t xml:space="preserve">El 11 de junio de 1998 la </w:t>
      </w:r>
      <w:r w:rsidR="00032E99" w:rsidRPr="00640517">
        <w:rPr>
          <w:rFonts w:asciiTheme="majorHAnsi" w:hAnsiTheme="majorHAnsi"/>
          <w:sz w:val="20"/>
          <w:szCs w:val="20"/>
          <w:lang w:val="es-CO"/>
        </w:rPr>
        <w:t xml:space="preserve">Sala </w:t>
      </w:r>
      <w:r w:rsidR="002955D2" w:rsidRPr="00640517">
        <w:rPr>
          <w:rFonts w:asciiTheme="majorHAnsi" w:hAnsiTheme="majorHAnsi"/>
          <w:sz w:val="20"/>
          <w:szCs w:val="20"/>
          <w:lang w:val="es-CO"/>
        </w:rPr>
        <w:t xml:space="preserve">lo </w:t>
      </w:r>
      <w:r w:rsidRPr="00640517">
        <w:rPr>
          <w:rFonts w:asciiTheme="majorHAnsi" w:hAnsiTheme="majorHAnsi"/>
          <w:sz w:val="20"/>
          <w:szCs w:val="20"/>
          <w:lang w:val="es-CO"/>
        </w:rPr>
        <w:t xml:space="preserve">declaró improcedente </w:t>
      </w:r>
      <w:r w:rsidR="00032E99" w:rsidRPr="00640517">
        <w:rPr>
          <w:rFonts w:asciiTheme="majorHAnsi" w:hAnsiTheme="majorHAnsi"/>
          <w:sz w:val="20"/>
          <w:szCs w:val="20"/>
          <w:lang w:val="es-CO"/>
        </w:rPr>
        <w:t>indicando que no se verificaba</w:t>
      </w:r>
      <w:r w:rsidRPr="00640517">
        <w:rPr>
          <w:rFonts w:asciiTheme="majorHAnsi" w:hAnsiTheme="majorHAnsi"/>
          <w:sz w:val="20"/>
          <w:szCs w:val="20"/>
          <w:lang w:val="es-CO"/>
        </w:rPr>
        <w:t xml:space="preserve"> un agravio </w:t>
      </w:r>
      <w:r w:rsidR="00EC2D51" w:rsidRPr="00640517">
        <w:rPr>
          <w:rFonts w:asciiTheme="majorHAnsi" w:hAnsiTheme="majorHAnsi"/>
          <w:sz w:val="20"/>
          <w:szCs w:val="20"/>
          <w:lang w:val="es-CO"/>
        </w:rPr>
        <w:t>por el “</w:t>
      </w:r>
      <w:r w:rsidR="00032E99" w:rsidRPr="00640517">
        <w:rPr>
          <w:rFonts w:asciiTheme="majorHAnsi" w:hAnsiTheme="majorHAnsi"/>
          <w:sz w:val="20"/>
          <w:szCs w:val="20"/>
          <w:lang w:val="es-CO"/>
        </w:rPr>
        <w:t>mero hecho de haberse iniciado el trámite de un procedimiento</w:t>
      </w:r>
      <w:r w:rsidR="00EC2D51" w:rsidRPr="00640517">
        <w:rPr>
          <w:rFonts w:asciiTheme="majorHAnsi" w:hAnsiTheme="majorHAnsi"/>
          <w:sz w:val="20"/>
          <w:szCs w:val="20"/>
          <w:lang w:val="es-CO"/>
        </w:rPr>
        <w:t>”</w:t>
      </w:r>
      <w:r w:rsidRPr="00640517">
        <w:rPr>
          <w:rStyle w:val="FootnoteReference"/>
          <w:rFonts w:asciiTheme="majorHAnsi" w:hAnsiTheme="majorHAnsi"/>
          <w:sz w:val="20"/>
          <w:szCs w:val="20"/>
          <w:lang w:val="es-CO"/>
        </w:rPr>
        <w:footnoteReference w:id="46"/>
      </w:r>
      <w:r w:rsidRPr="00640517">
        <w:rPr>
          <w:rFonts w:asciiTheme="majorHAnsi" w:hAnsiTheme="majorHAnsi"/>
          <w:sz w:val="20"/>
          <w:szCs w:val="20"/>
          <w:lang w:val="es-CO"/>
        </w:rPr>
        <w:t>.</w:t>
      </w:r>
    </w:p>
    <w:p w14:paraId="6590B55E" w14:textId="77777777" w:rsidR="00032E99" w:rsidRPr="00640517" w:rsidRDefault="00032E99" w:rsidP="002E5EAA">
      <w:pPr>
        <w:tabs>
          <w:tab w:val="num" w:pos="1440"/>
        </w:tabs>
        <w:rPr>
          <w:rFonts w:asciiTheme="majorHAnsi" w:hAnsiTheme="majorHAnsi"/>
          <w:sz w:val="20"/>
          <w:szCs w:val="20"/>
          <w:lang w:val="es-CO"/>
        </w:rPr>
      </w:pPr>
    </w:p>
    <w:p w14:paraId="7B8ABCBF" w14:textId="77777777" w:rsidR="00032E99" w:rsidRPr="00640517" w:rsidRDefault="00032E99" w:rsidP="0045657E">
      <w:pPr>
        <w:pStyle w:val="Heading3"/>
      </w:pPr>
      <w:bookmarkStart w:id="51" w:name="_Toc484623839"/>
      <w:r w:rsidRPr="00640517">
        <w:t>Recursos interpuestos por el señor Colindres después de su destitución el 2 de julio de 1998</w:t>
      </w:r>
      <w:bookmarkEnd w:id="51"/>
    </w:p>
    <w:p w14:paraId="1477F748" w14:textId="77777777" w:rsidR="00032E99" w:rsidRPr="00640517" w:rsidRDefault="002E5EAA" w:rsidP="002E5EAA">
      <w:pPr>
        <w:pStyle w:val="ListParagraph"/>
        <w:tabs>
          <w:tab w:val="left" w:pos="2295"/>
        </w:tabs>
        <w:rPr>
          <w:rFonts w:asciiTheme="majorHAnsi" w:hAnsiTheme="majorHAnsi"/>
          <w:sz w:val="20"/>
          <w:szCs w:val="20"/>
          <w:lang w:val="es-ES"/>
        </w:rPr>
      </w:pPr>
      <w:r w:rsidRPr="00640517">
        <w:rPr>
          <w:rFonts w:asciiTheme="majorHAnsi" w:hAnsiTheme="majorHAnsi"/>
          <w:sz w:val="20"/>
          <w:szCs w:val="20"/>
          <w:lang w:val="es-ES"/>
        </w:rPr>
        <w:tab/>
      </w:r>
    </w:p>
    <w:p w14:paraId="59563D6D" w14:textId="77777777" w:rsidR="00120BBD" w:rsidRPr="00640517" w:rsidRDefault="00032E99" w:rsidP="006C5F36">
      <w:pPr>
        <w:numPr>
          <w:ilvl w:val="0"/>
          <w:numId w:val="1"/>
        </w:numPr>
        <w:ind w:left="0" w:firstLine="720"/>
        <w:jc w:val="both"/>
        <w:rPr>
          <w:rFonts w:asciiTheme="majorHAnsi" w:hAnsiTheme="majorHAnsi"/>
          <w:sz w:val="20"/>
          <w:szCs w:val="20"/>
          <w:lang w:val="es-CO"/>
        </w:rPr>
      </w:pPr>
      <w:r w:rsidRPr="00640517">
        <w:rPr>
          <w:rFonts w:asciiTheme="majorHAnsi" w:hAnsiTheme="majorHAnsi"/>
          <w:sz w:val="20"/>
          <w:szCs w:val="20"/>
          <w:lang w:val="es-CO"/>
        </w:rPr>
        <w:t xml:space="preserve">El 15 de julio de 1998 </w:t>
      </w:r>
      <w:r w:rsidR="00120BBD" w:rsidRPr="00640517">
        <w:rPr>
          <w:rFonts w:asciiTheme="majorHAnsi" w:hAnsiTheme="majorHAnsi"/>
          <w:sz w:val="20"/>
          <w:szCs w:val="20"/>
          <w:lang w:val="es-CO"/>
        </w:rPr>
        <w:t xml:space="preserve">el </w:t>
      </w:r>
      <w:r w:rsidRPr="00640517">
        <w:rPr>
          <w:rFonts w:asciiTheme="majorHAnsi" w:hAnsiTheme="majorHAnsi"/>
          <w:sz w:val="20"/>
          <w:szCs w:val="20"/>
          <w:lang w:val="es-CO"/>
        </w:rPr>
        <w:t xml:space="preserve">señor Colindres </w:t>
      </w:r>
      <w:r w:rsidR="00120BBD" w:rsidRPr="00640517">
        <w:rPr>
          <w:rFonts w:asciiTheme="majorHAnsi" w:hAnsiTheme="majorHAnsi"/>
          <w:sz w:val="20"/>
          <w:szCs w:val="20"/>
          <w:lang w:val="es-CO"/>
        </w:rPr>
        <w:t xml:space="preserve">presentó </w:t>
      </w:r>
      <w:r w:rsidR="00DE5734" w:rsidRPr="00640517">
        <w:rPr>
          <w:rFonts w:asciiTheme="majorHAnsi" w:hAnsiTheme="majorHAnsi"/>
          <w:sz w:val="20"/>
          <w:szCs w:val="20"/>
          <w:lang w:val="es-CO"/>
        </w:rPr>
        <w:t xml:space="preserve">un nuevo </w:t>
      </w:r>
      <w:r w:rsidR="00120BBD" w:rsidRPr="00640517">
        <w:rPr>
          <w:rFonts w:asciiTheme="majorHAnsi" w:hAnsiTheme="majorHAnsi"/>
          <w:sz w:val="20"/>
          <w:szCs w:val="20"/>
          <w:lang w:val="es-CO"/>
        </w:rPr>
        <w:t xml:space="preserve">recurso de amparo (231-98) ante la Sala de lo Constitucional, en contra </w:t>
      </w:r>
      <w:r w:rsidRPr="00640517">
        <w:rPr>
          <w:rFonts w:asciiTheme="majorHAnsi" w:hAnsiTheme="majorHAnsi"/>
          <w:sz w:val="20"/>
          <w:szCs w:val="20"/>
          <w:lang w:val="es-CO"/>
        </w:rPr>
        <w:t>d</w:t>
      </w:r>
      <w:r w:rsidR="00120BBD" w:rsidRPr="00640517">
        <w:rPr>
          <w:rFonts w:asciiTheme="majorHAnsi" w:hAnsiTheme="majorHAnsi"/>
          <w:sz w:val="20"/>
          <w:szCs w:val="20"/>
          <w:lang w:val="es-CO"/>
        </w:rPr>
        <w:t>el Decreto 348</w:t>
      </w:r>
      <w:r w:rsidR="00DE5734" w:rsidRPr="00640517">
        <w:rPr>
          <w:rFonts w:asciiTheme="majorHAnsi" w:hAnsiTheme="majorHAnsi"/>
          <w:sz w:val="20"/>
          <w:szCs w:val="20"/>
          <w:lang w:val="es-CO"/>
        </w:rPr>
        <w:t xml:space="preserve"> mediante el cual fue destituido</w:t>
      </w:r>
      <w:r w:rsidRPr="00640517">
        <w:rPr>
          <w:rFonts w:asciiTheme="majorHAnsi" w:hAnsiTheme="majorHAnsi"/>
          <w:sz w:val="20"/>
          <w:szCs w:val="20"/>
          <w:lang w:val="es-CO"/>
        </w:rPr>
        <w:t xml:space="preserve"> </w:t>
      </w:r>
      <w:r w:rsidR="003A0ADD" w:rsidRPr="00640517">
        <w:rPr>
          <w:rFonts w:asciiTheme="majorHAnsi" w:hAnsiTheme="majorHAnsi"/>
          <w:sz w:val="20"/>
          <w:szCs w:val="20"/>
          <w:lang w:val="es-CO"/>
        </w:rPr>
        <w:t>cuestionando, entre otros aspectos</w:t>
      </w:r>
      <w:r w:rsidR="00DE5734" w:rsidRPr="00640517">
        <w:rPr>
          <w:rFonts w:asciiTheme="majorHAnsi" w:hAnsiTheme="majorHAnsi"/>
          <w:sz w:val="20"/>
          <w:szCs w:val="20"/>
          <w:lang w:val="es-CO"/>
        </w:rPr>
        <w:t>,</w:t>
      </w:r>
      <w:r w:rsidR="003A0ADD" w:rsidRPr="00640517">
        <w:rPr>
          <w:rFonts w:asciiTheme="majorHAnsi" w:hAnsiTheme="majorHAnsi"/>
          <w:sz w:val="20"/>
          <w:szCs w:val="20"/>
          <w:lang w:val="es-CO"/>
        </w:rPr>
        <w:t xml:space="preserve"> la</w:t>
      </w:r>
      <w:r w:rsidR="006971F9" w:rsidRPr="00640517">
        <w:rPr>
          <w:rFonts w:asciiTheme="majorHAnsi" w:hAnsiTheme="majorHAnsi"/>
          <w:sz w:val="20"/>
          <w:szCs w:val="20"/>
          <w:lang w:val="es-CO"/>
        </w:rPr>
        <w:t xml:space="preserve"> ausencia de</w:t>
      </w:r>
      <w:r w:rsidR="003A0ADD" w:rsidRPr="00640517">
        <w:rPr>
          <w:rFonts w:asciiTheme="majorHAnsi" w:hAnsiTheme="majorHAnsi"/>
          <w:sz w:val="20"/>
          <w:szCs w:val="20"/>
          <w:lang w:val="es-CO"/>
        </w:rPr>
        <w:t xml:space="preserve"> atribuciones de la Asamblea para cesarlo</w:t>
      </w:r>
      <w:r w:rsidR="006971F9" w:rsidRPr="00640517">
        <w:rPr>
          <w:rStyle w:val="FootnoteReference"/>
          <w:rFonts w:asciiTheme="majorHAnsi" w:hAnsiTheme="majorHAnsi"/>
          <w:sz w:val="20"/>
          <w:szCs w:val="20"/>
          <w:lang w:val="es-CO"/>
        </w:rPr>
        <w:footnoteReference w:id="47"/>
      </w:r>
      <w:r w:rsidR="003A0ADD" w:rsidRPr="00640517">
        <w:rPr>
          <w:rFonts w:asciiTheme="majorHAnsi" w:hAnsiTheme="majorHAnsi"/>
          <w:sz w:val="20"/>
          <w:szCs w:val="20"/>
          <w:lang w:val="es-CO"/>
        </w:rPr>
        <w:t>, la falta de una oportunidad real para ejercer su defensa</w:t>
      </w:r>
      <w:r w:rsidR="00642A48" w:rsidRPr="00640517">
        <w:rPr>
          <w:rFonts w:asciiTheme="majorHAnsi" w:hAnsiTheme="majorHAnsi"/>
          <w:sz w:val="20"/>
          <w:szCs w:val="20"/>
          <w:lang w:val="es-CO"/>
        </w:rPr>
        <w:t xml:space="preserve"> en vista de las irregularidades cometidas por la Comisión Especial</w:t>
      </w:r>
      <w:r w:rsidR="00642A48" w:rsidRPr="00640517">
        <w:rPr>
          <w:rStyle w:val="FootnoteReference"/>
          <w:rFonts w:asciiTheme="majorHAnsi" w:hAnsiTheme="majorHAnsi"/>
          <w:sz w:val="20"/>
          <w:szCs w:val="20"/>
          <w:lang w:val="es-CO"/>
        </w:rPr>
        <w:footnoteReference w:id="48"/>
      </w:r>
      <w:r w:rsidR="00D64A0E" w:rsidRPr="00640517">
        <w:rPr>
          <w:rFonts w:asciiTheme="majorHAnsi" w:hAnsiTheme="majorHAnsi"/>
          <w:sz w:val="20"/>
          <w:szCs w:val="20"/>
          <w:lang w:val="es-CO"/>
        </w:rPr>
        <w:t xml:space="preserve"> y</w:t>
      </w:r>
      <w:r w:rsidR="003A0ADD" w:rsidRPr="00640517">
        <w:rPr>
          <w:rFonts w:asciiTheme="majorHAnsi" w:hAnsiTheme="majorHAnsi"/>
          <w:sz w:val="20"/>
          <w:szCs w:val="20"/>
          <w:lang w:val="es-CO"/>
        </w:rPr>
        <w:t xml:space="preserve"> la incorporación de la causal de “desacato” entre las usadas para destituirle</w:t>
      </w:r>
      <w:r w:rsidR="00120BBD" w:rsidRPr="00640517">
        <w:rPr>
          <w:rStyle w:val="FootnoteReference"/>
          <w:rFonts w:asciiTheme="majorHAnsi" w:hAnsiTheme="majorHAnsi"/>
          <w:sz w:val="20"/>
          <w:szCs w:val="20"/>
          <w:lang w:val="es-CO"/>
        </w:rPr>
        <w:footnoteReference w:id="49"/>
      </w:r>
      <w:r w:rsidR="00120BBD" w:rsidRPr="00640517">
        <w:rPr>
          <w:rFonts w:asciiTheme="majorHAnsi" w:hAnsiTheme="majorHAnsi"/>
          <w:sz w:val="20"/>
          <w:szCs w:val="20"/>
          <w:lang w:val="es-CO"/>
        </w:rPr>
        <w:t>.</w:t>
      </w:r>
      <w:r w:rsidR="006C5F36" w:rsidRPr="00640517">
        <w:rPr>
          <w:rFonts w:asciiTheme="majorHAnsi" w:hAnsiTheme="majorHAnsi"/>
          <w:sz w:val="20"/>
          <w:szCs w:val="20"/>
          <w:lang w:val="es-CO"/>
        </w:rPr>
        <w:t xml:space="preserve"> </w:t>
      </w:r>
      <w:r w:rsidR="00120BBD" w:rsidRPr="00640517">
        <w:rPr>
          <w:rFonts w:asciiTheme="majorHAnsi" w:hAnsiTheme="majorHAnsi"/>
          <w:sz w:val="20"/>
          <w:szCs w:val="20"/>
          <w:lang w:val="es-CO"/>
        </w:rPr>
        <w:t xml:space="preserve">El 11 de enero de 1999 el </w:t>
      </w:r>
      <w:r w:rsidR="0016654D" w:rsidRPr="00640517">
        <w:rPr>
          <w:rFonts w:asciiTheme="majorHAnsi" w:hAnsiTheme="majorHAnsi"/>
          <w:sz w:val="20"/>
          <w:szCs w:val="20"/>
          <w:lang w:val="es-CO"/>
        </w:rPr>
        <w:t>“</w:t>
      </w:r>
      <w:r w:rsidR="00120BBD" w:rsidRPr="00640517">
        <w:rPr>
          <w:rFonts w:asciiTheme="majorHAnsi" w:hAnsiTheme="majorHAnsi"/>
          <w:sz w:val="20"/>
          <w:szCs w:val="20"/>
          <w:lang w:val="es-CO"/>
        </w:rPr>
        <w:t>Fiscal de Corte</w:t>
      </w:r>
      <w:r w:rsidR="0016654D" w:rsidRPr="00640517">
        <w:rPr>
          <w:rFonts w:asciiTheme="majorHAnsi" w:hAnsiTheme="majorHAnsi"/>
          <w:sz w:val="20"/>
          <w:szCs w:val="20"/>
          <w:lang w:val="es-CO"/>
        </w:rPr>
        <w:t>”</w:t>
      </w:r>
      <w:r w:rsidR="00120BBD" w:rsidRPr="00640517">
        <w:rPr>
          <w:rFonts w:asciiTheme="majorHAnsi" w:hAnsiTheme="majorHAnsi"/>
          <w:sz w:val="20"/>
          <w:szCs w:val="20"/>
          <w:lang w:val="es-CO"/>
        </w:rPr>
        <w:t xml:space="preserve"> presentó </w:t>
      </w:r>
      <w:r w:rsidR="0016654D" w:rsidRPr="00640517">
        <w:rPr>
          <w:rFonts w:asciiTheme="majorHAnsi" w:hAnsiTheme="majorHAnsi"/>
          <w:sz w:val="20"/>
          <w:szCs w:val="20"/>
          <w:lang w:val="es-CO"/>
        </w:rPr>
        <w:t xml:space="preserve">un escrito en </w:t>
      </w:r>
      <w:r w:rsidR="00120BBD" w:rsidRPr="00640517">
        <w:rPr>
          <w:rFonts w:asciiTheme="majorHAnsi" w:hAnsiTheme="majorHAnsi"/>
          <w:sz w:val="20"/>
          <w:szCs w:val="20"/>
          <w:lang w:val="es-CO"/>
        </w:rPr>
        <w:t xml:space="preserve">el que señaló que la Comisión Especial carecía de competencia para conocer </w:t>
      </w:r>
      <w:r w:rsidR="00120BBD" w:rsidRPr="00640517">
        <w:rPr>
          <w:rFonts w:asciiTheme="majorHAnsi" w:hAnsiTheme="majorHAnsi"/>
          <w:sz w:val="20"/>
          <w:szCs w:val="20"/>
          <w:lang w:val="es-CO"/>
        </w:rPr>
        <w:lastRenderedPageBreak/>
        <w:t>en el presente caso</w:t>
      </w:r>
      <w:r w:rsidR="00120BBD" w:rsidRPr="00640517">
        <w:rPr>
          <w:rStyle w:val="FootnoteReference"/>
          <w:rFonts w:asciiTheme="majorHAnsi" w:hAnsiTheme="majorHAnsi"/>
          <w:sz w:val="20"/>
          <w:szCs w:val="20"/>
          <w:lang w:val="es-CO"/>
        </w:rPr>
        <w:footnoteReference w:id="50"/>
      </w:r>
      <w:r w:rsidR="00120BBD" w:rsidRPr="00640517">
        <w:rPr>
          <w:rFonts w:asciiTheme="majorHAnsi" w:hAnsiTheme="majorHAnsi"/>
          <w:sz w:val="20"/>
          <w:szCs w:val="20"/>
          <w:lang w:val="es-CO"/>
        </w:rPr>
        <w:t>.</w:t>
      </w:r>
      <w:r w:rsidR="00095A00" w:rsidRPr="00640517">
        <w:rPr>
          <w:rFonts w:asciiTheme="majorHAnsi" w:hAnsiTheme="majorHAnsi"/>
          <w:sz w:val="20"/>
          <w:szCs w:val="20"/>
          <w:lang w:val="es-CO"/>
        </w:rPr>
        <w:t xml:space="preserve"> </w:t>
      </w:r>
      <w:r w:rsidR="00095A00" w:rsidRPr="00640517">
        <w:rPr>
          <w:rFonts w:asciiTheme="majorHAnsi" w:hAnsiTheme="majorHAnsi"/>
          <w:sz w:val="20"/>
          <w:szCs w:val="20"/>
          <w:lang w:val="es-UY"/>
        </w:rPr>
        <w:t xml:space="preserve">A ese respecto, explicó </w:t>
      </w:r>
      <w:r w:rsidR="00095A00" w:rsidRPr="00640517">
        <w:rPr>
          <w:rFonts w:asciiTheme="majorHAnsi" w:hAnsiTheme="majorHAnsi"/>
          <w:sz w:val="20"/>
          <w:szCs w:val="20"/>
          <w:lang w:val="es-CO"/>
        </w:rPr>
        <w:t>que las comisiones especiales de la Asamblea Legislativa no serían competentes para garantizar el derecho de audiencia ya que tienen como atribución expresa la que les otorga el art. 131, 32º de la Constitución de investigar “asuntos de interés nacional”. Indicó que la Constitución establecía en el art. 86</w:t>
      </w:r>
      <w:r w:rsidR="00095A00" w:rsidRPr="00640517">
        <w:rPr>
          <w:rStyle w:val="FootnoteReference"/>
          <w:rFonts w:asciiTheme="majorHAnsi" w:hAnsiTheme="majorHAnsi"/>
          <w:sz w:val="20"/>
          <w:szCs w:val="20"/>
          <w:lang w:val="es-CO"/>
        </w:rPr>
        <w:footnoteRef/>
      </w:r>
      <w:r w:rsidR="00095A00" w:rsidRPr="00640517">
        <w:rPr>
          <w:rFonts w:asciiTheme="majorHAnsi" w:hAnsiTheme="majorHAnsi"/>
          <w:sz w:val="20"/>
          <w:szCs w:val="20"/>
          <w:lang w:val="es-CO"/>
        </w:rPr>
        <w:t xml:space="preserve"> que los funcionarios de gobierno no tenían más facultades que las que expresamente les daba la ley y no las que se atribuían arbitrariamente</w:t>
      </w:r>
      <w:r w:rsidR="00095A00" w:rsidRPr="00640517">
        <w:rPr>
          <w:rStyle w:val="FootnoteReference"/>
          <w:rFonts w:asciiTheme="majorHAnsi" w:hAnsiTheme="majorHAnsi"/>
          <w:sz w:val="20"/>
          <w:szCs w:val="20"/>
          <w:lang w:val="es-CO"/>
        </w:rPr>
        <w:footnoteReference w:id="51"/>
      </w:r>
      <w:r w:rsidR="00095A00" w:rsidRPr="00640517">
        <w:rPr>
          <w:rFonts w:asciiTheme="majorHAnsi" w:hAnsiTheme="majorHAnsi"/>
          <w:sz w:val="20"/>
          <w:szCs w:val="20"/>
          <w:lang w:val="es-CO"/>
        </w:rPr>
        <w:t>.</w:t>
      </w:r>
    </w:p>
    <w:p w14:paraId="5C7F683F" w14:textId="77777777" w:rsidR="0016654D" w:rsidRPr="00640517" w:rsidRDefault="0016654D" w:rsidP="002E5EAA">
      <w:pPr>
        <w:pStyle w:val="ListParagraph"/>
        <w:tabs>
          <w:tab w:val="num" w:pos="1440"/>
        </w:tabs>
        <w:rPr>
          <w:rFonts w:asciiTheme="majorHAnsi" w:hAnsiTheme="majorHAnsi"/>
          <w:sz w:val="20"/>
          <w:szCs w:val="20"/>
          <w:lang w:val="es-UY"/>
        </w:rPr>
      </w:pPr>
    </w:p>
    <w:p w14:paraId="1ECF1713" w14:textId="76F83F03" w:rsidR="00BF1CFC" w:rsidRPr="00640517" w:rsidRDefault="00120BBD" w:rsidP="00AA328E">
      <w:pPr>
        <w:numPr>
          <w:ilvl w:val="0"/>
          <w:numId w:val="1"/>
        </w:numPr>
        <w:ind w:left="0" w:firstLine="720"/>
        <w:jc w:val="both"/>
        <w:rPr>
          <w:rFonts w:asciiTheme="majorHAnsi" w:hAnsiTheme="majorHAnsi"/>
          <w:sz w:val="20"/>
          <w:szCs w:val="20"/>
          <w:lang w:val="es-UY"/>
        </w:rPr>
      </w:pPr>
      <w:r w:rsidRPr="00640517">
        <w:rPr>
          <w:rFonts w:asciiTheme="majorHAnsi" w:hAnsiTheme="majorHAnsi"/>
          <w:sz w:val="20"/>
          <w:szCs w:val="20"/>
          <w:lang w:val="es-CO"/>
        </w:rPr>
        <w:t xml:space="preserve">El 4 de mayo de 1999 la </w:t>
      </w:r>
      <w:r w:rsidR="00EA0435" w:rsidRPr="00640517">
        <w:rPr>
          <w:rFonts w:asciiTheme="majorHAnsi" w:hAnsiTheme="majorHAnsi"/>
          <w:sz w:val="20"/>
          <w:szCs w:val="20"/>
          <w:lang w:val="es-CO"/>
        </w:rPr>
        <w:t>may</w:t>
      </w:r>
      <w:r w:rsidR="007C2730" w:rsidRPr="00640517">
        <w:rPr>
          <w:rFonts w:asciiTheme="majorHAnsi" w:hAnsiTheme="majorHAnsi"/>
          <w:sz w:val="20"/>
          <w:szCs w:val="20"/>
          <w:lang w:val="es-CO"/>
        </w:rPr>
        <w:t xml:space="preserve">oría de la </w:t>
      </w:r>
      <w:r w:rsidRPr="00640517">
        <w:rPr>
          <w:rFonts w:asciiTheme="majorHAnsi" w:hAnsiTheme="majorHAnsi"/>
          <w:sz w:val="20"/>
          <w:szCs w:val="20"/>
          <w:lang w:val="es-CO"/>
        </w:rPr>
        <w:t xml:space="preserve">Sala </w:t>
      </w:r>
      <w:r w:rsidR="0036335B" w:rsidRPr="00640517">
        <w:rPr>
          <w:rFonts w:asciiTheme="majorHAnsi" w:hAnsiTheme="majorHAnsi"/>
          <w:sz w:val="20"/>
          <w:szCs w:val="20"/>
          <w:lang w:val="es-CO"/>
        </w:rPr>
        <w:t xml:space="preserve">de lo Constitucional </w:t>
      </w:r>
      <w:r w:rsidRPr="00640517">
        <w:rPr>
          <w:rFonts w:asciiTheme="majorHAnsi" w:hAnsiTheme="majorHAnsi"/>
          <w:sz w:val="20"/>
          <w:szCs w:val="20"/>
          <w:lang w:val="es-CO"/>
        </w:rPr>
        <w:t>emitió su resolución</w:t>
      </w:r>
      <w:r w:rsidR="0016654D" w:rsidRPr="00640517">
        <w:rPr>
          <w:rFonts w:asciiTheme="majorHAnsi" w:hAnsiTheme="majorHAnsi"/>
          <w:sz w:val="20"/>
          <w:szCs w:val="20"/>
          <w:lang w:val="es-CO"/>
        </w:rPr>
        <w:t xml:space="preserve"> declarando “no h</w:t>
      </w:r>
      <w:r w:rsidR="00AA328E" w:rsidRPr="00640517">
        <w:rPr>
          <w:rFonts w:asciiTheme="majorHAnsi" w:hAnsiTheme="majorHAnsi"/>
          <w:sz w:val="20"/>
          <w:szCs w:val="20"/>
          <w:lang w:val="es-CO"/>
        </w:rPr>
        <w:t>a lugar” al recurso.</w:t>
      </w:r>
      <w:r w:rsidRPr="00640517">
        <w:rPr>
          <w:rFonts w:asciiTheme="majorHAnsi" w:hAnsiTheme="majorHAnsi"/>
          <w:sz w:val="20"/>
          <w:szCs w:val="20"/>
          <w:lang w:val="es-CO"/>
        </w:rPr>
        <w:t xml:space="preserve"> </w:t>
      </w:r>
      <w:r w:rsidR="002E2518" w:rsidRPr="00640517">
        <w:rPr>
          <w:rFonts w:asciiTheme="majorHAnsi" w:hAnsiTheme="majorHAnsi"/>
          <w:sz w:val="20"/>
          <w:szCs w:val="20"/>
          <w:lang w:val="es-CO"/>
        </w:rPr>
        <w:t xml:space="preserve">La Sala reiteró que ni </w:t>
      </w:r>
      <w:r w:rsidR="0016654D" w:rsidRPr="00640517">
        <w:rPr>
          <w:rFonts w:asciiTheme="majorHAnsi" w:hAnsiTheme="majorHAnsi"/>
          <w:sz w:val="20"/>
          <w:szCs w:val="20"/>
          <w:lang w:val="es-CO"/>
        </w:rPr>
        <w:t xml:space="preserve">la Constitución </w:t>
      </w:r>
      <w:r w:rsidR="002E2518" w:rsidRPr="00640517">
        <w:rPr>
          <w:rFonts w:asciiTheme="majorHAnsi" w:hAnsiTheme="majorHAnsi"/>
          <w:sz w:val="20"/>
          <w:szCs w:val="20"/>
          <w:lang w:val="es-CO"/>
        </w:rPr>
        <w:t xml:space="preserve">ni </w:t>
      </w:r>
      <w:r w:rsidRPr="00640517">
        <w:rPr>
          <w:rFonts w:asciiTheme="majorHAnsi" w:hAnsiTheme="majorHAnsi"/>
          <w:sz w:val="20"/>
          <w:szCs w:val="20"/>
          <w:lang w:val="es-CO"/>
        </w:rPr>
        <w:t>el Código Electoral contemplaban quien sería la autoridad competente para destituir a un magistrado del TSE</w:t>
      </w:r>
      <w:r w:rsidR="00B31896" w:rsidRPr="00640517">
        <w:rPr>
          <w:rStyle w:val="FootnoteReference"/>
          <w:rFonts w:asciiTheme="majorHAnsi" w:hAnsiTheme="majorHAnsi"/>
          <w:sz w:val="20"/>
          <w:szCs w:val="20"/>
          <w:lang w:val="es-CO"/>
        </w:rPr>
        <w:footnoteReference w:id="52"/>
      </w:r>
      <w:r w:rsidR="00C85CFF" w:rsidRPr="00640517">
        <w:rPr>
          <w:rFonts w:asciiTheme="majorHAnsi" w:hAnsiTheme="majorHAnsi"/>
          <w:sz w:val="20"/>
          <w:szCs w:val="20"/>
          <w:lang w:val="es-CO"/>
        </w:rPr>
        <w:t>. S</w:t>
      </w:r>
      <w:r w:rsidR="002E2518" w:rsidRPr="00640517">
        <w:rPr>
          <w:rFonts w:asciiTheme="majorHAnsi" w:hAnsiTheme="majorHAnsi"/>
          <w:sz w:val="20"/>
          <w:szCs w:val="20"/>
          <w:lang w:val="es-CO"/>
        </w:rPr>
        <w:t>in embargo, “</w:t>
      </w:r>
      <w:r w:rsidR="002C1E48" w:rsidRPr="00640517">
        <w:rPr>
          <w:rFonts w:asciiTheme="majorHAnsi" w:hAnsiTheme="majorHAnsi"/>
          <w:sz w:val="20"/>
          <w:szCs w:val="20"/>
          <w:lang w:val="es-CO"/>
        </w:rPr>
        <w:t>es</w:t>
      </w:r>
      <w:r w:rsidRPr="00640517">
        <w:rPr>
          <w:rFonts w:asciiTheme="majorHAnsi" w:hAnsiTheme="majorHAnsi"/>
          <w:sz w:val="20"/>
          <w:szCs w:val="20"/>
          <w:lang w:val="es-CO"/>
        </w:rPr>
        <w:t xml:space="preserve"> dable entender que la atribución </w:t>
      </w:r>
      <w:r w:rsidR="002C1E48" w:rsidRPr="00640517">
        <w:rPr>
          <w:rFonts w:asciiTheme="majorHAnsi" w:hAnsiTheme="majorHAnsi"/>
          <w:sz w:val="20"/>
          <w:szCs w:val="20"/>
          <w:lang w:val="es-CO"/>
        </w:rPr>
        <w:t>ahora en comento está</w:t>
      </w:r>
      <w:r w:rsidRPr="00640517">
        <w:rPr>
          <w:rFonts w:asciiTheme="majorHAnsi" w:hAnsiTheme="majorHAnsi"/>
          <w:sz w:val="20"/>
          <w:szCs w:val="20"/>
          <w:lang w:val="es-CO"/>
        </w:rPr>
        <w:t xml:space="preserve"> en manos del mismo órgano que </w:t>
      </w:r>
      <w:r w:rsidR="002C1E48" w:rsidRPr="00640517">
        <w:rPr>
          <w:rFonts w:asciiTheme="majorHAnsi" w:hAnsiTheme="majorHAnsi"/>
          <w:sz w:val="20"/>
          <w:szCs w:val="20"/>
          <w:lang w:val="es-CO"/>
        </w:rPr>
        <w:t xml:space="preserve">decidió </w:t>
      </w:r>
      <w:r w:rsidRPr="00640517">
        <w:rPr>
          <w:rFonts w:asciiTheme="majorHAnsi" w:hAnsiTheme="majorHAnsi"/>
          <w:sz w:val="20"/>
          <w:szCs w:val="20"/>
          <w:lang w:val="es-CO"/>
        </w:rPr>
        <w:t>el nombramiento</w:t>
      </w:r>
      <w:r w:rsidR="002E2518" w:rsidRPr="00640517">
        <w:rPr>
          <w:rFonts w:asciiTheme="majorHAnsi" w:hAnsiTheme="majorHAnsi"/>
          <w:sz w:val="20"/>
          <w:szCs w:val="20"/>
          <w:lang w:val="es-CO"/>
        </w:rPr>
        <w:t>”</w:t>
      </w:r>
      <w:r w:rsidRPr="00640517">
        <w:rPr>
          <w:rFonts w:asciiTheme="majorHAnsi" w:hAnsiTheme="majorHAnsi"/>
          <w:sz w:val="20"/>
          <w:szCs w:val="20"/>
          <w:lang w:val="es-CO"/>
        </w:rPr>
        <w:t>.</w:t>
      </w:r>
      <w:r w:rsidR="002E2518" w:rsidRPr="00640517">
        <w:rPr>
          <w:rFonts w:asciiTheme="majorHAnsi" w:hAnsiTheme="majorHAnsi"/>
          <w:sz w:val="20"/>
          <w:szCs w:val="20"/>
          <w:lang w:val="es-UY"/>
        </w:rPr>
        <w:t xml:space="preserve"> Asimismo, declaró improcedente el argumento de </w:t>
      </w:r>
      <w:r w:rsidR="006C5F36" w:rsidRPr="00640517">
        <w:rPr>
          <w:rFonts w:asciiTheme="majorHAnsi" w:hAnsiTheme="majorHAnsi"/>
          <w:sz w:val="20"/>
          <w:szCs w:val="20"/>
          <w:lang w:val="es-UY"/>
        </w:rPr>
        <w:t xml:space="preserve">que el señor Colindres era juzgado </w:t>
      </w:r>
      <w:r w:rsidR="002E2518" w:rsidRPr="00640517">
        <w:rPr>
          <w:rFonts w:asciiTheme="majorHAnsi" w:hAnsiTheme="majorHAnsi"/>
          <w:sz w:val="20"/>
          <w:szCs w:val="20"/>
          <w:lang w:val="es-UY"/>
        </w:rPr>
        <w:t>dos veces por los mismos hechos</w:t>
      </w:r>
      <w:r w:rsidR="00DE23DF" w:rsidRPr="00640517">
        <w:rPr>
          <w:rStyle w:val="FootnoteReference"/>
          <w:rFonts w:asciiTheme="majorHAnsi" w:hAnsiTheme="majorHAnsi"/>
          <w:sz w:val="20"/>
          <w:szCs w:val="20"/>
          <w:lang w:val="es-CO"/>
        </w:rPr>
        <w:footnoteReference w:id="53"/>
      </w:r>
      <w:r w:rsidR="00DE23DF" w:rsidRPr="00640517">
        <w:rPr>
          <w:rFonts w:asciiTheme="majorHAnsi" w:hAnsiTheme="majorHAnsi"/>
          <w:sz w:val="20"/>
          <w:szCs w:val="20"/>
          <w:lang w:val="es-CO"/>
        </w:rPr>
        <w:t>.</w:t>
      </w:r>
      <w:r w:rsidR="007C2730" w:rsidRPr="00640517">
        <w:rPr>
          <w:rFonts w:asciiTheme="majorHAnsi" w:hAnsiTheme="majorHAnsi"/>
          <w:sz w:val="20"/>
          <w:szCs w:val="20"/>
          <w:lang w:val="es-CO"/>
        </w:rPr>
        <w:t xml:space="preserve"> </w:t>
      </w:r>
    </w:p>
    <w:p w14:paraId="09B4F3BF" w14:textId="77777777" w:rsidR="00BF1CFC" w:rsidRPr="00640517" w:rsidRDefault="00BF1CFC" w:rsidP="006B1085">
      <w:pPr>
        <w:jc w:val="both"/>
        <w:rPr>
          <w:rFonts w:asciiTheme="majorHAnsi" w:hAnsiTheme="majorHAnsi"/>
          <w:sz w:val="20"/>
          <w:szCs w:val="20"/>
          <w:lang w:val="es-CO"/>
        </w:rPr>
      </w:pPr>
    </w:p>
    <w:p w14:paraId="7DF79091" w14:textId="77777777" w:rsidR="00DE23DF" w:rsidRPr="00640517" w:rsidRDefault="007C2730" w:rsidP="00AA328E">
      <w:pPr>
        <w:numPr>
          <w:ilvl w:val="0"/>
          <w:numId w:val="1"/>
        </w:numPr>
        <w:ind w:left="0" w:firstLine="720"/>
        <w:jc w:val="both"/>
        <w:rPr>
          <w:rFonts w:asciiTheme="majorHAnsi" w:hAnsiTheme="majorHAnsi"/>
          <w:sz w:val="20"/>
          <w:szCs w:val="20"/>
          <w:lang w:val="es-UY"/>
        </w:rPr>
      </w:pPr>
      <w:r w:rsidRPr="00640517">
        <w:rPr>
          <w:rFonts w:asciiTheme="majorHAnsi" w:hAnsiTheme="majorHAnsi"/>
          <w:sz w:val="20"/>
          <w:szCs w:val="20"/>
          <w:lang w:val="es-CO"/>
        </w:rPr>
        <w:t xml:space="preserve">Se acompañó </w:t>
      </w:r>
      <w:r w:rsidR="00BF1CFC" w:rsidRPr="00640517">
        <w:rPr>
          <w:rFonts w:asciiTheme="majorHAnsi" w:hAnsiTheme="majorHAnsi"/>
          <w:sz w:val="20"/>
          <w:szCs w:val="20"/>
          <w:lang w:val="es-CO"/>
        </w:rPr>
        <w:t>el</w:t>
      </w:r>
      <w:r w:rsidRPr="00640517">
        <w:rPr>
          <w:rFonts w:asciiTheme="majorHAnsi" w:hAnsiTheme="majorHAnsi"/>
          <w:sz w:val="20"/>
          <w:szCs w:val="20"/>
          <w:lang w:val="es-CO"/>
        </w:rPr>
        <w:t xml:space="preserve"> voto disidente</w:t>
      </w:r>
      <w:r w:rsidR="00BF1CFC" w:rsidRPr="00640517">
        <w:rPr>
          <w:rFonts w:asciiTheme="majorHAnsi" w:hAnsiTheme="majorHAnsi"/>
          <w:sz w:val="20"/>
          <w:szCs w:val="20"/>
          <w:lang w:val="es-CO"/>
        </w:rPr>
        <w:t xml:space="preserve"> del magistrado José Henrique </w:t>
      </w:r>
      <w:proofErr w:type="spellStart"/>
      <w:r w:rsidR="00BF1CFC" w:rsidRPr="00640517">
        <w:rPr>
          <w:rFonts w:asciiTheme="majorHAnsi" w:hAnsiTheme="majorHAnsi"/>
          <w:sz w:val="20"/>
          <w:szCs w:val="20"/>
          <w:lang w:val="es-CO"/>
        </w:rPr>
        <w:t>Argumedo</w:t>
      </w:r>
      <w:proofErr w:type="spellEnd"/>
      <w:r w:rsidR="00BF1CFC" w:rsidRPr="00640517">
        <w:rPr>
          <w:rFonts w:asciiTheme="majorHAnsi" w:hAnsiTheme="majorHAnsi"/>
          <w:sz w:val="20"/>
          <w:szCs w:val="20"/>
          <w:lang w:val="es-CO"/>
        </w:rPr>
        <w:t xml:space="preserve"> quien</w:t>
      </w:r>
      <w:r w:rsidRPr="00640517">
        <w:rPr>
          <w:rFonts w:asciiTheme="majorHAnsi" w:hAnsiTheme="majorHAnsi"/>
          <w:sz w:val="20"/>
          <w:szCs w:val="20"/>
          <w:lang w:val="es-CO"/>
        </w:rPr>
        <w:t xml:space="preserve"> consideró que la Asamblea no tenía facultades disciplinarias</w:t>
      </w:r>
      <w:r w:rsidRPr="00640517">
        <w:rPr>
          <w:rStyle w:val="FootnoteReference"/>
          <w:rFonts w:asciiTheme="majorHAnsi" w:hAnsiTheme="majorHAnsi"/>
          <w:sz w:val="20"/>
          <w:szCs w:val="20"/>
          <w:lang w:val="es-CO"/>
        </w:rPr>
        <w:footnoteReference w:id="54"/>
      </w:r>
      <w:r w:rsidRPr="00640517">
        <w:rPr>
          <w:rFonts w:asciiTheme="majorHAnsi" w:hAnsiTheme="majorHAnsi"/>
          <w:sz w:val="20"/>
          <w:szCs w:val="20"/>
          <w:lang w:val="es-CO"/>
        </w:rPr>
        <w:t>.</w:t>
      </w:r>
      <w:r w:rsidR="00BF1CFC" w:rsidRPr="00640517">
        <w:rPr>
          <w:rFonts w:asciiTheme="majorHAnsi" w:hAnsiTheme="majorHAnsi"/>
          <w:sz w:val="20"/>
          <w:szCs w:val="20"/>
          <w:lang w:val="es-CO"/>
        </w:rPr>
        <w:t xml:space="preserve"> Específicamente, consideró que la Asamblea no tenía más atribuciones que las que le señalaba la Constitución según los artículos 131, 38º. </w:t>
      </w:r>
      <w:r w:rsidR="00B55A14" w:rsidRPr="00640517">
        <w:rPr>
          <w:rFonts w:asciiTheme="majorHAnsi" w:hAnsiTheme="majorHAnsi"/>
          <w:sz w:val="20"/>
          <w:szCs w:val="20"/>
          <w:lang w:val="es-CO"/>
        </w:rPr>
        <w:t>Agregó que, a</w:t>
      </w:r>
      <w:r w:rsidR="00BF1CFC" w:rsidRPr="00640517">
        <w:rPr>
          <w:rFonts w:asciiTheme="majorHAnsi" w:hAnsiTheme="majorHAnsi"/>
          <w:sz w:val="20"/>
          <w:szCs w:val="20"/>
          <w:lang w:val="es-CO"/>
        </w:rPr>
        <w:t xml:space="preserve"> falta de regulación, la aplicación del art. 236 de la Constitución –relativo a la responsabilidad de los funcionarios públicos por la comisión de delitos</w:t>
      </w:r>
      <w:r w:rsidR="009B58CA" w:rsidRPr="00640517">
        <w:rPr>
          <w:rFonts w:asciiTheme="majorHAnsi" w:hAnsiTheme="majorHAnsi"/>
          <w:sz w:val="20"/>
          <w:szCs w:val="20"/>
          <w:lang w:val="es-CO"/>
        </w:rPr>
        <w:t>–</w:t>
      </w:r>
      <w:r w:rsidR="00BF1CFC" w:rsidRPr="00640517">
        <w:rPr>
          <w:rFonts w:asciiTheme="majorHAnsi" w:hAnsiTheme="majorHAnsi"/>
          <w:sz w:val="20"/>
          <w:szCs w:val="20"/>
          <w:lang w:val="es-CO"/>
        </w:rPr>
        <w:t xml:space="preserve"> era la única vía para separar del cargo a un miembro del TSE</w:t>
      </w:r>
      <w:r w:rsidR="0019656F" w:rsidRPr="00640517">
        <w:rPr>
          <w:rStyle w:val="FootnoteReference"/>
          <w:rFonts w:asciiTheme="majorHAnsi" w:hAnsiTheme="majorHAnsi"/>
          <w:sz w:val="20"/>
          <w:szCs w:val="20"/>
          <w:lang w:val="es-CO"/>
        </w:rPr>
        <w:footnoteReference w:id="55"/>
      </w:r>
      <w:r w:rsidR="00BF1CFC" w:rsidRPr="00640517">
        <w:rPr>
          <w:rFonts w:asciiTheme="majorHAnsi" w:hAnsiTheme="majorHAnsi"/>
          <w:sz w:val="20"/>
          <w:szCs w:val="20"/>
          <w:lang w:val="es-CO"/>
        </w:rPr>
        <w:t>.</w:t>
      </w:r>
    </w:p>
    <w:p w14:paraId="1D7214FF" w14:textId="77777777" w:rsidR="00DE23DF" w:rsidRPr="00640517" w:rsidRDefault="00DE23DF" w:rsidP="002E5EAA">
      <w:pPr>
        <w:tabs>
          <w:tab w:val="num" w:pos="1440"/>
        </w:tabs>
        <w:rPr>
          <w:rFonts w:asciiTheme="majorHAnsi" w:hAnsiTheme="majorHAnsi"/>
          <w:sz w:val="20"/>
          <w:szCs w:val="20"/>
          <w:lang w:val="es-CO"/>
        </w:rPr>
      </w:pPr>
    </w:p>
    <w:p w14:paraId="3C9C3A1A" w14:textId="0393F0E5" w:rsidR="00120BBD" w:rsidRPr="00640517" w:rsidRDefault="00120BBD" w:rsidP="0033683C">
      <w:pPr>
        <w:numPr>
          <w:ilvl w:val="0"/>
          <w:numId w:val="1"/>
        </w:numPr>
        <w:ind w:left="0" w:firstLine="720"/>
        <w:jc w:val="both"/>
        <w:rPr>
          <w:rFonts w:asciiTheme="majorHAnsi" w:hAnsiTheme="majorHAnsi"/>
          <w:sz w:val="20"/>
          <w:szCs w:val="20"/>
          <w:lang w:val="es-CO"/>
        </w:rPr>
      </w:pPr>
      <w:r w:rsidRPr="00640517">
        <w:rPr>
          <w:rFonts w:asciiTheme="majorHAnsi" w:hAnsiTheme="majorHAnsi"/>
          <w:sz w:val="20"/>
          <w:szCs w:val="20"/>
          <w:lang w:val="es-CO"/>
        </w:rPr>
        <w:t xml:space="preserve">El 27 de julio de 1999 el señor Colindres presentó </w:t>
      </w:r>
      <w:r w:rsidR="002E2518" w:rsidRPr="00640517">
        <w:rPr>
          <w:rFonts w:asciiTheme="majorHAnsi" w:hAnsiTheme="majorHAnsi"/>
          <w:sz w:val="20"/>
          <w:szCs w:val="20"/>
          <w:lang w:val="es-CO"/>
        </w:rPr>
        <w:t xml:space="preserve">un </w:t>
      </w:r>
      <w:r w:rsidRPr="00640517">
        <w:rPr>
          <w:rFonts w:asciiTheme="majorHAnsi" w:hAnsiTheme="majorHAnsi"/>
          <w:sz w:val="20"/>
          <w:szCs w:val="20"/>
          <w:lang w:val="es-CO"/>
        </w:rPr>
        <w:t>nuevo recurso de amparo (588-99)</w:t>
      </w:r>
      <w:r w:rsidR="00EA2344" w:rsidRPr="00640517">
        <w:rPr>
          <w:rFonts w:asciiTheme="majorHAnsi" w:hAnsiTheme="majorHAnsi"/>
          <w:sz w:val="20"/>
          <w:szCs w:val="20"/>
          <w:lang w:val="es-CO"/>
        </w:rPr>
        <w:t xml:space="preserve"> </w:t>
      </w:r>
      <w:r w:rsidRPr="00640517">
        <w:rPr>
          <w:rFonts w:asciiTheme="majorHAnsi" w:hAnsiTheme="majorHAnsi"/>
          <w:sz w:val="20"/>
          <w:szCs w:val="20"/>
          <w:lang w:val="es-CO"/>
        </w:rPr>
        <w:t xml:space="preserve"> en contra del Decreto 348</w:t>
      </w:r>
      <w:r w:rsidR="00EA2344" w:rsidRPr="00640517">
        <w:rPr>
          <w:rFonts w:asciiTheme="majorHAnsi" w:hAnsiTheme="majorHAnsi"/>
          <w:sz w:val="20"/>
          <w:szCs w:val="20"/>
          <w:lang w:val="es-CO"/>
        </w:rPr>
        <w:t xml:space="preserve"> </w:t>
      </w:r>
      <w:r w:rsidR="002E2518" w:rsidRPr="00640517">
        <w:rPr>
          <w:rFonts w:asciiTheme="majorHAnsi" w:hAnsiTheme="majorHAnsi"/>
          <w:sz w:val="20"/>
          <w:szCs w:val="20"/>
          <w:lang w:val="es-CO"/>
        </w:rPr>
        <w:t>en el que indicó</w:t>
      </w:r>
      <w:r w:rsidR="009956F7" w:rsidRPr="00640517">
        <w:rPr>
          <w:rFonts w:asciiTheme="majorHAnsi" w:hAnsiTheme="majorHAnsi"/>
          <w:sz w:val="20"/>
          <w:szCs w:val="20"/>
          <w:lang w:val="es-CO"/>
        </w:rPr>
        <w:t>,</w:t>
      </w:r>
      <w:r w:rsidR="002E2518" w:rsidRPr="00640517">
        <w:rPr>
          <w:rFonts w:asciiTheme="majorHAnsi" w:hAnsiTheme="majorHAnsi"/>
          <w:sz w:val="20"/>
          <w:szCs w:val="20"/>
          <w:lang w:val="es-CO"/>
        </w:rPr>
        <w:t xml:space="preserve"> ent</w:t>
      </w:r>
      <w:r w:rsidR="006C5F36" w:rsidRPr="00640517">
        <w:rPr>
          <w:rFonts w:asciiTheme="majorHAnsi" w:hAnsiTheme="majorHAnsi"/>
          <w:sz w:val="20"/>
          <w:szCs w:val="20"/>
          <w:lang w:val="es-CO"/>
        </w:rPr>
        <w:t>r</w:t>
      </w:r>
      <w:r w:rsidR="002E2518" w:rsidRPr="00640517">
        <w:rPr>
          <w:rFonts w:asciiTheme="majorHAnsi" w:hAnsiTheme="majorHAnsi"/>
          <w:sz w:val="20"/>
          <w:szCs w:val="20"/>
          <w:lang w:val="es-CO"/>
        </w:rPr>
        <w:t xml:space="preserve">e otros argumentos, que la Sala </w:t>
      </w:r>
      <w:r w:rsidR="009956F7" w:rsidRPr="00640517">
        <w:rPr>
          <w:rFonts w:asciiTheme="majorHAnsi" w:hAnsiTheme="majorHAnsi"/>
          <w:sz w:val="20"/>
          <w:szCs w:val="20"/>
          <w:lang w:val="es-CO"/>
        </w:rPr>
        <w:t xml:space="preserve">de lo </w:t>
      </w:r>
      <w:r w:rsidR="002E2518" w:rsidRPr="00640517">
        <w:rPr>
          <w:rFonts w:asciiTheme="majorHAnsi" w:hAnsiTheme="majorHAnsi"/>
          <w:sz w:val="20"/>
          <w:szCs w:val="20"/>
          <w:lang w:val="es-CO"/>
        </w:rPr>
        <w:t>Constitucional no se había pronunciado sobre la violación al debido proceso y la garantía de audiencia, además de la incorporación</w:t>
      </w:r>
      <w:r w:rsidR="002129B6">
        <w:rPr>
          <w:rFonts w:asciiTheme="majorHAnsi" w:hAnsiTheme="majorHAnsi"/>
          <w:sz w:val="20"/>
          <w:szCs w:val="20"/>
          <w:lang w:val="es-CO"/>
        </w:rPr>
        <w:t xml:space="preserve"> de</w:t>
      </w:r>
      <w:r w:rsidR="00311F7C">
        <w:rPr>
          <w:rFonts w:asciiTheme="majorHAnsi" w:hAnsiTheme="majorHAnsi"/>
          <w:sz w:val="20"/>
          <w:szCs w:val="20"/>
          <w:lang w:val="es-CO"/>
        </w:rPr>
        <w:t xml:space="preserve"> </w:t>
      </w:r>
      <w:r w:rsidR="002E2518" w:rsidRPr="00640517">
        <w:rPr>
          <w:rFonts w:asciiTheme="majorHAnsi" w:hAnsiTheme="majorHAnsi"/>
          <w:sz w:val="20"/>
          <w:szCs w:val="20"/>
          <w:lang w:val="es-CO"/>
        </w:rPr>
        <w:t>la causal de “desacato”</w:t>
      </w:r>
      <w:r w:rsidR="00D64A0E" w:rsidRPr="00640517">
        <w:rPr>
          <w:rStyle w:val="FootnoteReference"/>
          <w:rFonts w:asciiTheme="majorHAnsi" w:hAnsiTheme="majorHAnsi"/>
          <w:sz w:val="20"/>
          <w:szCs w:val="20"/>
          <w:lang w:val="es-CO"/>
        </w:rPr>
        <w:footnoteReference w:id="56"/>
      </w:r>
      <w:r w:rsidR="002E2518" w:rsidRPr="00640517">
        <w:rPr>
          <w:rFonts w:asciiTheme="majorHAnsi" w:hAnsiTheme="majorHAnsi"/>
          <w:sz w:val="20"/>
          <w:szCs w:val="20"/>
          <w:lang w:val="es-CO"/>
        </w:rPr>
        <w:t>.</w:t>
      </w:r>
      <w:r w:rsidR="006C5F36" w:rsidRPr="00640517">
        <w:rPr>
          <w:rFonts w:asciiTheme="majorHAnsi" w:hAnsiTheme="majorHAnsi"/>
          <w:sz w:val="20"/>
          <w:szCs w:val="20"/>
          <w:lang w:val="es-CO"/>
        </w:rPr>
        <w:t xml:space="preserve"> </w:t>
      </w:r>
      <w:r w:rsidRPr="00640517">
        <w:rPr>
          <w:rFonts w:asciiTheme="majorHAnsi" w:hAnsiTheme="majorHAnsi"/>
          <w:sz w:val="20"/>
          <w:szCs w:val="20"/>
          <w:lang w:val="es-CO"/>
        </w:rPr>
        <w:t xml:space="preserve">El 5 de noviembre de 1999 </w:t>
      </w:r>
      <w:r w:rsidR="00EA0435" w:rsidRPr="00640517">
        <w:rPr>
          <w:rFonts w:asciiTheme="majorHAnsi" w:hAnsiTheme="majorHAnsi"/>
          <w:sz w:val="20"/>
          <w:szCs w:val="20"/>
          <w:lang w:val="es-CO"/>
        </w:rPr>
        <w:t xml:space="preserve">se </w:t>
      </w:r>
      <w:r w:rsidRPr="00640517">
        <w:rPr>
          <w:rFonts w:asciiTheme="majorHAnsi" w:hAnsiTheme="majorHAnsi"/>
          <w:sz w:val="20"/>
          <w:szCs w:val="20"/>
          <w:lang w:val="es-CO"/>
        </w:rPr>
        <w:t xml:space="preserve">declaró </w:t>
      </w:r>
      <w:r w:rsidR="00BC71CC" w:rsidRPr="00640517">
        <w:rPr>
          <w:rFonts w:asciiTheme="majorHAnsi" w:hAnsiTheme="majorHAnsi"/>
          <w:sz w:val="20"/>
          <w:szCs w:val="20"/>
          <w:lang w:val="es-CO"/>
        </w:rPr>
        <w:t xml:space="preserve">improcedente la </w:t>
      </w:r>
      <w:r w:rsidRPr="00640517">
        <w:rPr>
          <w:rFonts w:asciiTheme="majorHAnsi" w:hAnsiTheme="majorHAnsi"/>
          <w:sz w:val="20"/>
          <w:szCs w:val="20"/>
          <w:lang w:val="es-CO"/>
        </w:rPr>
        <w:t>demanda</w:t>
      </w:r>
      <w:r w:rsidR="00253F72" w:rsidRPr="00640517">
        <w:rPr>
          <w:rStyle w:val="FootnoteReference"/>
          <w:rFonts w:asciiTheme="majorHAnsi" w:hAnsiTheme="majorHAnsi"/>
          <w:sz w:val="20"/>
          <w:szCs w:val="20"/>
          <w:lang w:val="es-CO"/>
        </w:rPr>
        <w:footnoteReference w:id="57"/>
      </w:r>
      <w:r w:rsidR="00253F72" w:rsidRPr="00640517">
        <w:rPr>
          <w:rFonts w:asciiTheme="majorHAnsi" w:hAnsiTheme="majorHAnsi"/>
          <w:sz w:val="20"/>
          <w:szCs w:val="20"/>
          <w:lang w:val="es-CO"/>
        </w:rPr>
        <w:t xml:space="preserve">. </w:t>
      </w:r>
      <w:r w:rsidR="00BC71CC" w:rsidRPr="00640517">
        <w:rPr>
          <w:rFonts w:asciiTheme="majorHAnsi" w:hAnsiTheme="majorHAnsi"/>
          <w:sz w:val="20"/>
          <w:szCs w:val="20"/>
          <w:lang w:val="es-CO"/>
        </w:rPr>
        <w:t xml:space="preserve">La Sala indicó que el </w:t>
      </w:r>
      <w:r w:rsidR="0065743B" w:rsidRPr="00640517">
        <w:rPr>
          <w:rFonts w:asciiTheme="majorHAnsi" w:hAnsiTheme="majorHAnsi"/>
          <w:sz w:val="20"/>
          <w:szCs w:val="20"/>
          <w:lang w:val="es-CO"/>
        </w:rPr>
        <w:t>“</w:t>
      </w:r>
      <w:r w:rsidR="00BC71CC" w:rsidRPr="00640517">
        <w:rPr>
          <w:rFonts w:asciiTheme="majorHAnsi" w:hAnsiTheme="majorHAnsi"/>
          <w:sz w:val="20"/>
          <w:szCs w:val="20"/>
          <w:lang w:val="es-CO"/>
        </w:rPr>
        <w:t>sustrato</w:t>
      </w:r>
      <w:r w:rsidR="0065743B" w:rsidRPr="00640517">
        <w:rPr>
          <w:rFonts w:asciiTheme="majorHAnsi" w:hAnsiTheme="majorHAnsi"/>
          <w:sz w:val="20"/>
          <w:szCs w:val="20"/>
          <w:lang w:val="es-CO"/>
        </w:rPr>
        <w:t>”</w:t>
      </w:r>
      <w:r w:rsidR="00BC71CC" w:rsidRPr="00640517">
        <w:rPr>
          <w:rFonts w:asciiTheme="majorHAnsi" w:hAnsiTheme="majorHAnsi"/>
          <w:sz w:val="20"/>
          <w:szCs w:val="20"/>
          <w:lang w:val="es-CO"/>
        </w:rPr>
        <w:t xml:space="preserve"> de la </w:t>
      </w:r>
      <w:r w:rsidRPr="00640517">
        <w:rPr>
          <w:rFonts w:asciiTheme="majorHAnsi" w:hAnsiTheme="majorHAnsi"/>
          <w:sz w:val="20"/>
          <w:szCs w:val="20"/>
          <w:lang w:val="es-CO"/>
        </w:rPr>
        <w:t xml:space="preserve">pretensión </w:t>
      </w:r>
      <w:r w:rsidR="0033683C" w:rsidRPr="00640517">
        <w:rPr>
          <w:rFonts w:asciiTheme="majorHAnsi" w:hAnsiTheme="majorHAnsi"/>
          <w:sz w:val="20"/>
          <w:szCs w:val="20"/>
          <w:lang w:val="es-CO"/>
        </w:rPr>
        <w:t>“</w:t>
      </w:r>
      <w:r w:rsidR="00BC71CC" w:rsidRPr="00640517">
        <w:rPr>
          <w:rFonts w:asciiTheme="majorHAnsi" w:hAnsiTheme="majorHAnsi"/>
          <w:sz w:val="20"/>
          <w:szCs w:val="20"/>
          <w:lang w:val="es-CO"/>
        </w:rPr>
        <w:t>estaba basado en una simple</w:t>
      </w:r>
      <w:r w:rsidRPr="00640517">
        <w:rPr>
          <w:rFonts w:asciiTheme="majorHAnsi" w:hAnsiTheme="majorHAnsi"/>
          <w:sz w:val="20"/>
          <w:szCs w:val="20"/>
          <w:lang w:val="es-CO"/>
        </w:rPr>
        <w:t xml:space="preserve"> inconformidad con el procedimiento seguido por la Asamblea Legislativa</w:t>
      </w:r>
      <w:proofErr w:type="gramStart"/>
      <w:r w:rsidR="0033683C" w:rsidRPr="00640517">
        <w:rPr>
          <w:rFonts w:asciiTheme="majorHAnsi" w:hAnsiTheme="majorHAnsi"/>
          <w:sz w:val="20"/>
          <w:szCs w:val="20"/>
          <w:lang w:val="es-CO"/>
        </w:rPr>
        <w:t>” ,</w:t>
      </w:r>
      <w:proofErr w:type="gramEnd"/>
      <w:r w:rsidR="0033683C" w:rsidRPr="00640517">
        <w:rPr>
          <w:rFonts w:asciiTheme="majorHAnsi" w:hAnsiTheme="majorHAnsi"/>
          <w:sz w:val="20"/>
          <w:szCs w:val="20"/>
          <w:lang w:val="es-CO"/>
        </w:rPr>
        <w:t xml:space="preserve"> puntualizando que “</w:t>
      </w:r>
      <w:r w:rsidRPr="00640517">
        <w:rPr>
          <w:rFonts w:asciiTheme="majorHAnsi" w:hAnsiTheme="majorHAnsi"/>
          <w:sz w:val="20"/>
          <w:szCs w:val="20"/>
          <w:lang w:val="es-CO"/>
        </w:rPr>
        <w:t xml:space="preserve">la Sala no </w:t>
      </w:r>
      <w:r w:rsidR="00BC71CC" w:rsidRPr="00640517">
        <w:rPr>
          <w:rFonts w:asciiTheme="majorHAnsi" w:hAnsiTheme="majorHAnsi"/>
          <w:sz w:val="20"/>
          <w:szCs w:val="20"/>
          <w:lang w:val="es-CO"/>
        </w:rPr>
        <w:t xml:space="preserve">es </w:t>
      </w:r>
      <w:r w:rsidRPr="00640517">
        <w:rPr>
          <w:rFonts w:asciiTheme="majorHAnsi" w:hAnsiTheme="majorHAnsi"/>
          <w:sz w:val="20"/>
          <w:szCs w:val="20"/>
          <w:lang w:val="es-CO"/>
        </w:rPr>
        <w:t xml:space="preserve">una instancia para revisar el criterio vertido por la Asamblea </w:t>
      </w:r>
      <w:r w:rsidR="00BC71CC" w:rsidRPr="00640517">
        <w:rPr>
          <w:rFonts w:asciiTheme="majorHAnsi" w:hAnsiTheme="majorHAnsi"/>
          <w:sz w:val="20"/>
          <w:szCs w:val="20"/>
          <w:lang w:val="es-CO"/>
        </w:rPr>
        <w:t xml:space="preserve">Legislativa </w:t>
      </w:r>
      <w:r w:rsidRPr="00640517">
        <w:rPr>
          <w:rFonts w:asciiTheme="majorHAnsi" w:hAnsiTheme="majorHAnsi"/>
          <w:sz w:val="20"/>
          <w:szCs w:val="20"/>
          <w:lang w:val="es-CO"/>
        </w:rPr>
        <w:t>en el Decreto Legislativo 348, ni las valoraciones materiales o actuaciones procedimentales en aplicación directa del art. 11 de la Constitución</w:t>
      </w:r>
      <w:r w:rsidR="0033683C" w:rsidRPr="00640517">
        <w:rPr>
          <w:rFonts w:asciiTheme="majorHAnsi" w:hAnsiTheme="majorHAnsi"/>
          <w:sz w:val="20"/>
          <w:szCs w:val="20"/>
          <w:lang w:val="es-CO"/>
        </w:rPr>
        <w:t>”</w:t>
      </w:r>
      <w:r w:rsidRPr="00640517">
        <w:rPr>
          <w:rStyle w:val="FootnoteReference"/>
          <w:rFonts w:asciiTheme="majorHAnsi" w:hAnsiTheme="majorHAnsi"/>
          <w:sz w:val="20"/>
          <w:szCs w:val="20"/>
          <w:lang w:val="es-CO"/>
        </w:rPr>
        <w:footnoteReference w:id="58"/>
      </w:r>
      <w:r w:rsidRPr="00640517">
        <w:rPr>
          <w:rFonts w:asciiTheme="majorHAnsi" w:hAnsiTheme="majorHAnsi"/>
          <w:b/>
          <w:sz w:val="20"/>
          <w:szCs w:val="20"/>
          <w:lang w:val="es-CO"/>
        </w:rPr>
        <w:t>.</w:t>
      </w:r>
      <w:r w:rsidR="0033683C" w:rsidRPr="00640517">
        <w:rPr>
          <w:rFonts w:asciiTheme="majorHAnsi" w:hAnsiTheme="majorHAnsi"/>
          <w:sz w:val="20"/>
          <w:szCs w:val="20"/>
          <w:lang w:val="es-CO"/>
        </w:rPr>
        <w:t xml:space="preserve"> </w:t>
      </w:r>
    </w:p>
    <w:p w14:paraId="506DCB84" w14:textId="77777777" w:rsidR="00253F72" w:rsidRPr="00640517" w:rsidRDefault="00253F72" w:rsidP="002E5EAA">
      <w:pPr>
        <w:tabs>
          <w:tab w:val="num" w:pos="1440"/>
        </w:tabs>
        <w:ind w:left="720"/>
        <w:jc w:val="both"/>
        <w:rPr>
          <w:rFonts w:asciiTheme="majorHAnsi" w:hAnsiTheme="majorHAnsi"/>
          <w:sz w:val="20"/>
          <w:szCs w:val="20"/>
          <w:lang w:val="es-CO"/>
        </w:rPr>
      </w:pPr>
    </w:p>
    <w:p w14:paraId="1F255927" w14:textId="77777777" w:rsidR="00253F72" w:rsidRDefault="00253F72" w:rsidP="0045657E">
      <w:pPr>
        <w:pStyle w:val="Heading3"/>
      </w:pPr>
      <w:bookmarkStart w:id="52" w:name="_Toc484623840"/>
      <w:r w:rsidRPr="00640517">
        <w:t>Demanda de daños y perjuicios</w:t>
      </w:r>
      <w:r w:rsidR="004B75EC" w:rsidRPr="00640517">
        <w:t xml:space="preserve"> respecto de la primera destitución</w:t>
      </w:r>
      <w:bookmarkEnd w:id="52"/>
    </w:p>
    <w:p w14:paraId="76D9EA9B" w14:textId="77777777" w:rsidR="0045657E" w:rsidRPr="0045657E" w:rsidRDefault="0045657E" w:rsidP="0045657E">
      <w:pPr>
        <w:rPr>
          <w:lang w:val="es-ES_tradnl"/>
        </w:rPr>
      </w:pPr>
    </w:p>
    <w:p w14:paraId="210A3A6A" w14:textId="77777777" w:rsidR="00BD6EDB" w:rsidRPr="00640517" w:rsidRDefault="00120BBD" w:rsidP="00802728">
      <w:pPr>
        <w:numPr>
          <w:ilvl w:val="0"/>
          <w:numId w:val="1"/>
        </w:numPr>
        <w:tabs>
          <w:tab w:val="left" w:pos="1440"/>
        </w:tabs>
        <w:ind w:left="0" w:firstLine="720"/>
        <w:jc w:val="both"/>
        <w:rPr>
          <w:rFonts w:asciiTheme="majorHAnsi" w:hAnsiTheme="majorHAnsi"/>
          <w:sz w:val="20"/>
          <w:szCs w:val="20"/>
          <w:lang w:val="es-CO"/>
        </w:rPr>
      </w:pPr>
      <w:r w:rsidRPr="00640517">
        <w:rPr>
          <w:rFonts w:asciiTheme="majorHAnsi" w:hAnsiTheme="majorHAnsi"/>
          <w:sz w:val="20"/>
          <w:szCs w:val="20"/>
          <w:lang w:val="es-ES"/>
        </w:rPr>
        <w:t xml:space="preserve">El 12 de enero de 1999 el señor Colindres presentó demanda de </w:t>
      </w:r>
      <w:r w:rsidR="00253F72" w:rsidRPr="00640517">
        <w:rPr>
          <w:rFonts w:asciiTheme="majorHAnsi" w:hAnsiTheme="majorHAnsi"/>
          <w:sz w:val="20"/>
          <w:szCs w:val="20"/>
          <w:lang w:val="es-ES"/>
        </w:rPr>
        <w:t>“</w:t>
      </w:r>
      <w:r w:rsidRPr="00640517">
        <w:rPr>
          <w:rFonts w:asciiTheme="majorHAnsi" w:hAnsiTheme="majorHAnsi"/>
          <w:sz w:val="20"/>
          <w:szCs w:val="20"/>
          <w:lang w:val="es-ES"/>
        </w:rPr>
        <w:t>daños y perjuicios</w:t>
      </w:r>
      <w:r w:rsidR="00253F72" w:rsidRPr="00640517">
        <w:rPr>
          <w:rFonts w:asciiTheme="majorHAnsi" w:hAnsiTheme="majorHAnsi"/>
          <w:sz w:val="20"/>
          <w:szCs w:val="20"/>
          <w:lang w:val="es-ES"/>
        </w:rPr>
        <w:t>”</w:t>
      </w:r>
      <w:r w:rsidRPr="00640517">
        <w:rPr>
          <w:rFonts w:asciiTheme="majorHAnsi" w:hAnsiTheme="majorHAnsi"/>
          <w:sz w:val="20"/>
          <w:szCs w:val="20"/>
          <w:lang w:val="es-ES"/>
        </w:rPr>
        <w:t xml:space="preserve"> ante la Cámara Primera de lo Civil de la Primera Sección del Centro</w:t>
      </w:r>
      <w:r w:rsidRPr="00640517">
        <w:rPr>
          <w:rStyle w:val="FootnoteReference"/>
          <w:rFonts w:asciiTheme="majorHAnsi" w:hAnsiTheme="majorHAnsi"/>
          <w:sz w:val="20"/>
          <w:szCs w:val="20"/>
          <w:lang w:val="es-ES"/>
        </w:rPr>
        <w:footnoteReference w:id="59"/>
      </w:r>
      <w:r w:rsidR="0073314C" w:rsidRPr="00640517">
        <w:rPr>
          <w:rFonts w:asciiTheme="majorHAnsi" w:hAnsiTheme="majorHAnsi"/>
          <w:sz w:val="20"/>
          <w:szCs w:val="20"/>
          <w:lang w:val="es-ES"/>
        </w:rPr>
        <w:t xml:space="preserve"> solicitando el pago </w:t>
      </w:r>
      <w:r w:rsidR="007476C9" w:rsidRPr="00640517">
        <w:rPr>
          <w:rFonts w:asciiTheme="majorHAnsi" w:hAnsiTheme="majorHAnsi"/>
          <w:sz w:val="20"/>
          <w:szCs w:val="20"/>
          <w:lang w:val="es-CO"/>
        </w:rPr>
        <w:t>de</w:t>
      </w:r>
      <w:r w:rsidR="00214C1E" w:rsidRPr="00640517">
        <w:rPr>
          <w:rFonts w:asciiTheme="majorHAnsi" w:hAnsiTheme="majorHAnsi"/>
          <w:sz w:val="20"/>
          <w:szCs w:val="20"/>
          <w:lang w:val="es-CO"/>
        </w:rPr>
        <w:t>l</w:t>
      </w:r>
      <w:r w:rsidR="007476C9" w:rsidRPr="00640517">
        <w:rPr>
          <w:rFonts w:asciiTheme="majorHAnsi" w:hAnsiTheme="majorHAnsi"/>
          <w:sz w:val="20"/>
          <w:szCs w:val="20"/>
          <w:lang w:val="es-CO"/>
        </w:rPr>
        <w:t xml:space="preserve"> </w:t>
      </w:r>
      <w:r w:rsidR="00093DBA" w:rsidRPr="00640517">
        <w:rPr>
          <w:rFonts w:asciiTheme="majorHAnsi" w:hAnsiTheme="majorHAnsi"/>
          <w:sz w:val="20"/>
          <w:szCs w:val="20"/>
          <w:lang w:val="es-CO"/>
        </w:rPr>
        <w:t xml:space="preserve">daño </w:t>
      </w:r>
      <w:r w:rsidR="007476C9" w:rsidRPr="00640517">
        <w:rPr>
          <w:rFonts w:asciiTheme="majorHAnsi" w:hAnsiTheme="majorHAnsi"/>
          <w:sz w:val="20"/>
          <w:szCs w:val="20"/>
          <w:lang w:val="es-CO"/>
        </w:rPr>
        <w:t xml:space="preserve">moral, daño emergente y lucro cesante producido durante los meses de 22 de noviembre de 1996 – fecha de su </w:t>
      </w:r>
      <w:r w:rsidR="00380B86" w:rsidRPr="00640517">
        <w:rPr>
          <w:rFonts w:asciiTheme="majorHAnsi" w:hAnsiTheme="majorHAnsi"/>
          <w:sz w:val="20"/>
          <w:szCs w:val="20"/>
          <w:lang w:val="es-CO"/>
        </w:rPr>
        <w:t xml:space="preserve">primera </w:t>
      </w:r>
      <w:r w:rsidR="007476C9" w:rsidRPr="00640517">
        <w:rPr>
          <w:rFonts w:asciiTheme="majorHAnsi" w:hAnsiTheme="majorHAnsi"/>
          <w:sz w:val="20"/>
          <w:szCs w:val="20"/>
          <w:lang w:val="es-CO"/>
        </w:rPr>
        <w:t>destitución</w:t>
      </w:r>
      <w:r w:rsidR="00380B86" w:rsidRPr="00640517">
        <w:rPr>
          <w:rFonts w:asciiTheme="majorHAnsi" w:hAnsiTheme="majorHAnsi"/>
          <w:sz w:val="20"/>
          <w:szCs w:val="20"/>
          <w:lang w:val="es-CO"/>
        </w:rPr>
        <w:t xml:space="preserve"> –</w:t>
      </w:r>
      <w:r w:rsidR="007476C9" w:rsidRPr="00640517">
        <w:rPr>
          <w:rFonts w:asciiTheme="majorHAnsi" w:hAnsiTheme="majorHAnsi"/>
          <w:sz w:val="20"/>
          <w:szCs w:val="20"/>
          <w:lang w:val="es-CO"/>
        </w:rPr>
        <w:t xml:space="preserve"> y el 4 de noviembre de 1997, fecha de la sentencia de la Sala de lo Constitucional</w:t>
      </w:r>
      <w:r w:rsidR="007476C9" w:rsidRPr="00640517">
        <w:rPr>
          <w:rStyle w:val="FootnoteReference"/>
          <w:rFonts w:asciiTheme="majorHAnsi" w:hAnsiTheme="majorHAnsi"/>
          <w:sz w:val="20"/>
          <w:szCs w:val="20"/>
          <w:lang w:val="es-CO"/>
        </w:rPr>
        <w:footnoteReference w:id="60"/>
      </w:r>
      <w:r w:rsidR="007476C9" w:rsidRPr="00640517">
        <w:rPr>
          <w:rFonts w:asciiTheme="majorHAnsi" w:hAnsiTheme="majorHAnsi"/>
          <w:sz w:val="20"/>
          <w:szCs w:val="20"/>
          <w:lang w:val="es-CO"/>
        </w:rPr>
        <w:t xml:space="preserve">. </w:t>
      </w:r>
      <w:r w:rsidR="00FF6485" w:rsidRPr="00640517">
        <w:rPr>
          <w:rFonts w:asciiTheme="majorHAnsi" w:hAnsiTheme="majorHAnsi"/>
          <w:sz w:val="20"/>
          <w:szCs w:val="20"/>
          <w:lang w:val="es-CO"/>
        </w:rPr>
        <w:t xml:space="preserve"> </w:t>
      </w:r>
      <w:r w:rsidR="00AA328E" w:rsidRPr="00640517">
        <w:rPr>
          <w:rFonts w:asciiTheme="majorHAnsi" w:hAnsiTheme="majorHAnsi"/>
          <w:sz w:val="20"/>
          <w:szCs w:val="20"/>
          <w:lang w:val="es-CO"/>
        </w:rPr>
        <w:t>Tras una serie de recursos interpuestos</w:t>
      </w:r>
      <w:r w:rsidRPr="00640517">
        <w:rPr>
          <w:rFonts w:asciiTheme="majorHAnsi" w:hAnsiTheme="majorHAnsi"/>
          <w:sz w:val="20"/>
          <w:szCs w:val="20"/>
          <w:lang w:val="es-CO"/>
        </w:rPr>
        <w:t xml:space="preserve">, el 22 de diciembre de 2009 </w:t>
      </w:r>
      <w:r w:rsidR="00633CC9" w:rsidRPr="00640517">
        <w:rPr>
          <w:rFonts w:asciiTheme="majorHAnsi" w:hAnsiTheme="majorHAnsi"/>
          <w:sz w:val="20"/>
          <w:szCs w:val="20"/>
          <w:lang w:val="es-CO"/>
        </w:rPr>
        <w:t xml:space="preserve">la Corte Suprema </w:t>
      </w:r>
      <w:r w:rsidR="00AA328E" w:rsidRPr="00640517">
        <w:rPr>
          <w:rFonts w:asciiTheme="majorHAnsi" w:hAnsiTheme="majorHAnsi"/>
          <w:sz w:val="20"/>
          <w:szCs w:val="20"/>
          <w:lang w:val="es-CO"/>
        </w:rPr>
        <w:t xml:space="preserve">resolvió dejar </w:t>
      </w:r>
      <w:r w:rsidR="00633CC9" w:rsidRPr="00640517">
        <w:rPr>
          <w:rFonts w:asciiTheme="majorHAnsi" w:hAnsiTheme="majorHAnsi"/>
          <w:sz w:val="20"/>
          <w:szCs w:val="20"/>
          <w:lang w:val="es-CO"/>
        </w:rPr>
        <w:t xml:space="preserve">en </w:t>
      </w:r>
      <w:r w:rsidRPr="00640517">
        <w:rPr>
          <w:rFonts w:asciiTheme="majorHAnsi" w:hAnsiTheme="majorHAnsi"/>
          <w:sz w:val="20"/>
          <w:szCs w:val="20"/>
          <w:lang w:val="es-CO"/>
        </w:rPr>
        <w:t xml:space="preserve">firme la </w:t>
      </w:r>
      <w:r w:rsidR="00D80718" w:rsidRPr="00640517">
        <w:rPr>
          <w:rFonts w:asciiTheme="majorHAnsi" w:hAnsiTheme="majorHAnsi"/>
          <w:sz w:val="20"/>
          <w:szCs w:val="20"/>
          <w:lang w:val="es-CO"/>
        </w:rPr>
        <w:t xml:space="preserve">decisión de </w:t>
      </w:r>
      <w:r w:rsidRPr="00640517">
        <w:rPr>
          <w:rFonts w:asciiTheme="majorHAnsi" w:hAnsiTheme="majorHAnsi"/>
          <w:sz w:val="20"/>
          <w:szCs w:val="20"/>
          <w:lang w:val="es-CO"/>
        </w:rPr>
        <w:t>la Cámara Primera de lo Civil de la Primera Sección del Centro</w:t>
      </w:r>
      <w:r w:rsidR="00FF6485" w:rsidRPr="00640517">
        <w:rPr>
          <w:rFonts w:asciiTheme="majorHAnsi" w:hAnsiTheme="majorHAnsi"/>
          <w:sz w:val="20"/>
          <w:szCs w:val="20"/>
          <w:lang w:val="es-CO"/>
        </w:rPr>
        <w:t xml:space="preserve"> la cual resolvió el pago de una suma a favor del señor Colindres</w:t>
      </w:r>
      <w:r w:rsidRPr="00640517">
        <w:rPr>
          <w:rStyle w:val="FootnoteReference"/>
          <w:rFonts w:asciiTheme="majorHAnsi" w:hAnsiTheme="majorHAnsi"/>
          <w:sz w:val="20"/>
          <w:szCs w:val="20"/>
          <w:lang w:val="es-CO"/>
        </w:rPr>
        <w:footnoteReference w:id="61"/>
      </w:r>
      <w:r w:rsidRPr="00640517">
        <w:rPr>
          <w:rFonts w:asciiTheme="majorHAnsi" w:hAnsiTheme="majorHAnsi"/>
          <w:sz w:val="20"/>
          <w:szCs w:val="20"/>
          <w:lang w:val="es-CO"/>
        </w:rPr>
        <w:t>.</w:t>
      </w:r>
      <w:r w:rsidR="00AA328E" w:rsidRPr="00640517">
        <w:rPr>
          <w:rFonts w:asciiTheme="majorHAnsi" w:hAnsiTheme="majorHAnsi"/>
          <w:sz w:val="20"/>
          <w:szCs w:val="20"/>
          <w:lang w:val="es-CO"/>
        </w:rPr>
        <w:t xml:space="preserve"> </w:t>
      </w:r>
      <w:r w:rsidR="00BD6EDB" w:rsidRPr="00640517">
        <w:rPr>
          <w:rFonts w:asciiTheme="majorHAnsi" w:hAnsiTheme="majorHAnsi"/>
          <w:sz w:val="20"/>
          <w:szCs w:val="20"/>
          <w:lang w:val="es-CO"/>
        </w:rPr>
        <w:t>Esta sente</w:t>
      </w:r>
      <w:r w:rsidR="00B979BC" w:rsidRPr="00640517">
        <w:rPr>
          <w:rFonts w:asciiTheme="majorHAnsi" w:hAnsiTheme="majorHAnsi"/>
          <w:sz w:val="20"/>
          <w:szCs w:val="20"/>
          <w:lang w:val="es-CO"/>
        </w:rPr>
        <w:t>ncia había sido emitida en 2001 y contra ella se interpuso un recurso de casación.</w:t>
      </w:r>
      <w:r w:rsidR="00BD6EDB" w:rsidRPr="00640517">
        <w:rPr>
          <w:rFonts w:asciiTheme="majorHAnsi" w:hAnsiTheme="majorHAnsi"/>
          <w:sz w:val="20"/>
          <w:szCs w:val="20"/>
          <w:lang w:val="es-CO"/>
        </w:rPr>
        <w:t xml:space="preserve"> En ese sentido, la decisión del recurso de casación tardó</w:t>
      </w:r>
      <w:r w:rsidR="006B2447" w:rsidRPr="00640517">
        <w:rPr>
          <w:rFonts w:asciiTheme="majorHAnsi" w:hAnsiTheme="majorHAnsi"/>
          <w:sz w:val="20"/>
          <w:szCs w:val="20"/>
          <w:lang w:val="es-CO"/>
        </w:rPr>
        <w:t xml:space="preserve"> más de</w:t>
      </w:r>
      <w:r w:rsidR="00BD6EDB" w:rsidRPr="00640517">
        <w:rPr>
          <w:rFonts w:asciiTheme="majorHAnsi" w:hAnsiTheme="majorHAnsi"/>
          <w:sz w:val="20"/>
          <w:szCs w:val="20"/>
          <w:lang w:val="es-CO"/>
        </w:rPr>
        <w:t xml:space="preserve"> ocho años. No consta información en el expediente sobre trámites o diligencias durante dicho lapso.</w:t>
      </w:r>
    </w:p>
    <w:p w14:paraId="206FC2F6" w14:textId="77777777" w:rsidR="00BD6EDB" w:rsidRPr="00640517" w:rsidRDefault="00BD6EDB" w:rsidP="006B1085">
      <w:pPr>
        <w:ind w:left="720"/>
        <w:jc w:val="both"/>
        <w:rPr>
          <w:rFonts w:asciiTheme="majorHAnsi" w:hAnsiTheme="majorHAnsi"/>
          <w:sz w:val="20"/>
          <w:szCs w:val="20"/>
          <w:lang w:val="es-CO"/>
        </w:rPr>
      </w:pPr>
    </w:p>
    <w:p w14:paraId="7A9711A8" w14:textId="77777777" w:rsidR="00120BBD" w:rsidRPr="00640517" w:rsidRDefault="00802728" w:rsidP="00802728">
      <w:pPr>
        <w:numPr>
          <w:ilvl w:val="0"/>
          <w:numId w:val="1"/>
        </w:numPr>
        <w:tabs>
          <w:tab w:val="left" w:pos="1440"/>
        </w:tabs>
        <w:ind w:left="0" w:firstLine="720"/>
        <w:jc w:val="both"/>
        <w:rPr>
          <w:rFonts w:asciiTheme="majorHAnsi" w:hAnsiTheme="majorHAnsi"/>
          <w:sz w:val="20"/>
          <w:szCs w:val="20"/>
          <w:lang w:val="es-CO"/>
        </w:rPr>
      </w:pPr>
      <w:r w:rsidRPr="00640517">
        <w:rPr>
          <w:rFonts w:asciiTheme="majorHAnsi" w:hAnsiTheme="majorHAnsi"/>
          <w:sz w:val="20"/>
          <w:szCs w:val="20"/>
          <w:lang w:val="es-CO"/>
        </w:rPr>
        <w:t xml:space="preserve">Según </w:t>
      </w:r>
      <w:r w:rsidR="00D80718" w:rsidRPr="00640517">
        <w:rPr>
          <w:rFonts w:asciiTheme="majorHAnsi" w:hAnsiTheme="majorHAnsi"/>
          <w:sz w:val="20"/>
          <w:szCs w:val="20"/>
          <w:lang w:val="es-CO"/>
        </w:rPr>
        <w:t xml:space="preserve">reconoció el </w:t>
      </w:r>
      <w:r w:rsidRPr="00640517">
        <w:rPr>
          <w:rFonts w:asciiTheme="majorHAnsi" w:hAnsiTheme="majorHAnsi"/>
          <w:sz w:val="20"/>
          <w:szCs w:val="20"/>
          <w:lang w:val="es-CO"/>
        </w:rPr>
        <w:t xml:space="preserve">Estado </w:t>
      </w:r>
      <w:r w:rsidR="00D80718" w:rsidRPr="00640517">
        <w:rPr>
          <w:rFonts w:asciiTheme="majorHAnsi" w:hAnsiTheme="majorHAnsi"/>
          <w:sz w:val="20"/>
          <w:szCs w:val="20"/>
          <w:lang w:val="es-CO"/>
        </w:rPr>
        <w:t xml:space="preserve">la </w:t>
      </w:r>
      <w:r w:rsidRPr="00640517">
        <w:rPr>
          <w:rFonts w:asciiTheme="majorHAnsi" w:hAnsiTheme="majorHAnsi"/>
          <w:sz w:val="20"/>
          <w:szCs w:val="20"/>
          <w:lang w:val="es-CO"/>
        </w:rPr>
        <w:t>resolución</w:t>
      </w:r>
      <w:r w:rsidR="00496A44" w:rsidRPr="00640517">
        <w:rPr>
          <w:rFonts w:asciiTheme="majorHAnsi" w:hAnsiTheme="majorHAnsi"/>
          <w:sz w:val="20"/>
          <w:szCs w:val="20"/>
          <w:lang w:val="es-CO"/>
        </w:rPr>
        <w:t xml:space="preserve"> final</w:t>
      </w:r>
      <w:r w:rsidRPr="00640517">
        <w:rPr>
          <w:rFonts w:asciiTheme="majorHAnsi" w:hAnsiTheme="majorHAnsi"/>
          <w:sz w:val="20"/>
          <w:szCs w:val="20"/>
          <w:lang w:val="es-CO"/>
        </w:rPr>
        <w:t xml:space="preserve"> </w:t>
      </w:r>
      <w:r w:rsidR="00D80718" w:rsidRPr="00640517">
        <w:rPr>
          <w:rFonts w:asciiTheme="majorHAnsi" w:hAnsiTheme="majorHAnsi"/>
          <w:sz w:val="20"/>
          <w:szCs w:val="20"/>
          <w:lang w:val="es-CO"/>
        </w:rPr>
        <w:t xml:space="preserve">fue </w:t>
      </w:r>
      <w:r w:rsidRPr="00640517">
        <w:rPr>
          <w:rFonts w:asciiTheme="majorHAnsi" w:hAnsiTheme="majorHAnsi"/>
          <w:sz w:val="20"/>
          <w:szCs w:val="20"/>
          <w:lang w:val="es-CO"/>
        </w:rPr>
        <w:t>ejecutoriada el 23 de febrero de 2010</w:t>
      </w:r>
      <w:r w:rsidR="00120BBD" w:rsidRPr="00640517">
        <w:rPr>
          <w:rStyle w:val="FootnoteReference"/>
          <w:rFonts w:asciiTheme="majorHAnsi" w:hAnsiTheme="majorHAnsi"/>
          <w:sz w:val="20"/>
          <w:szCs w:val="20"/>
          <w:lang w:val="es-CO"/>
        </w:rPr>
        <w:footnoteReference w:id="62"/>
      </w:r>
      <w:r w:rsidR="00120BBD" w:rsidRPr="00640517">
        <w:rPr>
          <w:rFonts w:asciiTheme="majorHAnsi" w:hAnsiTheme="majorHAnsi"/>
          <w:sz w:val="20"/>
          <w:szCs w:val="20"/>
          <w:lang w:val="es-CO"/>
        </w:rPr>
        <w:t>.</w:t>
      </w:r>
      <w:r w:rsidRPr="00640517">
        <w:rPr>
          <w:rFonts w:asciiTheme="majorHAnsi" w:hAnsiTheme="majorHAnsi"/>
          <w:sz w:val="20"/>
          <w:szCs w:val="20"/>
          <w:lang w:val="es-CO"/>
        </w:rPr>
        <w:t xml:space="preserve"> </w:t>
      </w:r>
      <w:r w:rsidR="00EA0435" w:rsidRPr="00640517">
        <w:rPr>
          <w:rFonts w:asciiTheme="majorHAnsi" w:hAnsiTheme="majorHAnsi"/>
          <w:sz w:val="20"/>
          <w:szCs w:val="20"/>
          <w:lang w:val="es-CO"/>
        </w:rPr>
        <w:t xml:space="preserve"> </w:t>
      </w:r>
      <w:r w:rsidR="00AD77E5" w:rsidRPr="00640517">
        <w:rPr>
          <w:rFonts w:asciiTheme="majorHAnsi" w:hAnsiTheme="majorHAnsi"/>
          <w:sz w:val="20"/>
          <w:szCs w:val="20"/>
          <w:lang w:val="es-CO"/>
        </w:rPr>
        <w:t>Aunque el Estado en sus escritos informó que se había avanzado con los pasos necesarios para disponer la partida presupuestaria, l</w:t>
      </w:r>
      <w:r w:rsidR="00633CC9" w:rsidRPr="00640517">
        <w:rPr>
          <w:rFonts w:asciiTheme="majorHAnsi" w:hAnsiTheme="majorHAnsi"/>
          <w:sz w:val="20"/>
          <w:szCs w:val="20"/>
          <w:lang w:val="es-CO"/>
        </w:rPr>
        <w:t xml:space="preserve">a Comisión no cuenta con información a la fecha sobre si dicho pago fue efectivamente </w:t>
      </w:r>
      <w:r w:rsidR="0022567F" w:rsidRPr="00640517">
        <w:rPr>
          <w:rFonts w:asciiTheme="majorHAnsi" w:hAnsiTheme="majorHAnsi"/>
          <w:sz w:val="20"/>
          <w:szCs w:val="20"/>
          <w:lang w:val="es-CO"/>
        </w:rPr>
        <w:t>realizado</w:t>
      </w:r>
      <w:r w:rsidR="00633CC9" w:rsidRPr="00640517">
        <w:rPr>
          <w:rFonts w:asciiTheme="majorHAnsi" w:hAnsiTheme="majorHAnsi"/>
          <w:sz w:val="20"/>
          <w:szCs w:val="20"/>
          <w:lang w:val="es-CO"/>
        </w:rPr>
        <w:t>.</w:t>
      </w:r>
    </w:p>
    <w:p w14:paraId="108D6660" w14:textId="77777777" w:rsidR="00120BBD" w:rsidRPr="00640517" w:rsidRDefault="00120BBD" w:rsidP="002E5EAA">
      <w:pPr>
        <w:tabs>
          <w:tab w:val="left" w:pos="1440"/>
        </w:tabs>
        <w:jc w:val="both"/>
        <w:rPr>
          <w:rFonts w:asciiTheme="majorHAnsi" w:hAnsiTheme="majorHAnsi"/>
          <w:sz w:val="20"/>
          <w:szCs w:val="20"/>
          <w:lang w:val="es-CO"/>
        </w:rPr>
      </w:pPr>
    </w:p>
    <w:p w14:paraId="1B9D2C98" w14:textId="77777777" w:rsidR="00380B14" w:rsidRPr="00640517" w:rsidRDefault="00B17E32" w:rsidP="00880B2A">
      <w:pPr>
        <w:pStyle w:val="Heading2"/>
      </w:pPr>
      <w:bookmarkStart w:id="53" w:name="_Toc476579042"/>
      <w:bookmarkStart w:id="54" w:name="_Toc484623841"/>
      <w:r w:rsidRPr="00640517">
        <w:t>ANÁLISIS DE DERECHO</w:t>
      </w:r>
      <w:bookmarkEnd w:id="53"/>
      <w:bookmarkEnd w:id="54"/>
    </w:p>
    <w:p w14:paraId="77C49423" w14:textId="77777777" w:rsidR="00B17E32" w:rsidRPr="00640517" w:rsidRDefault="00B17E32" w:rsidP="00B17E32">
      <w:pPr>
        <w:ind w:firstLine="720"/>
        <w:rPr>
          <w:rFonts w:asciiTheme="majorHAnsi" w:hAnsiTheme="majorHAnsi"/>
          <w:b/>
          <w:sz w:val="20"/>
          <w:szCs w:val="20"/>
          <w:lang w:val="es-ES"/>
        </w:rPr>
      </w:pPr>
    </w:p>
    <w:p w14:paraId="4B740983" w14:textId="77777777" w:rsidR="00380B14" w:rsidRPr="00640517" w:rsidRDefault="00EA0435" w:rsidP="002E5EAA">
      <w:pPr>
        <w:numPr>
          <w:ilvl w:val="0"/>
          <w:numId w:val="1"/>
        </w:numPr>
        <w:ind w:left="0" w:firstLine="720"/>
        <w:jc w:val="both"/>
        <w:rPr>
          <w:rFonts w:asciiTheme="majorHAnsi" w:hAnsiTheme="majorHAnsi"/>
          <w:sz w:val="20"/>
          <w:szCs w:val="20"/>
          <w:lang w:val="es-CO"/>
        </w:rPr>
      </w:pPr>
      <w:r w:rsidRPr="00640517">
        <w:rPr>
          <w:rFonts w:asciiTheme="majorHAnsi" w:hAnsiTheme="majorHAnsi"/>
          <w:sz w:val="20"/>
          <w:szCs w:val="20"/>
          <w:lang w:val="es-CO"/>
        </w:rPr>
        <w:t>L</w:t>
      </w:r>
      <w:r w:rsidR="00380B14" w:rsidRPr="00640517">
        <w:rPr>
          <w:rFonts w:asciiTheme="majorHAnsi" w:hAnsiTheme="majorHAnsi"/>
          <w:sz w:val="20"/>
          <w:szCs w:val="20"/>
          <w:lang w:val="es-CO"/>
        </w:rPr>
        <w:t>a Comisión se pronunciará sobre si el Estado incurrió en la violación de los derechos establecidos en los artículos 8.1</w:t>
      </w:r>
      <w:r w:rsidR="00E3080C" w:rsidRPr="00640517">
        <w:rPr>
          <w:rStyle w:val="FootnoteReference"/>
          <w:rFonts w:asciiTheme="majorHAnsi" w:hAnsiTheme="majorHAnsi"/>
          <w:sz w:val="20"/>
          <w:szCs w:val="20"/>
          <w:lang w:val="es-CO"/>
        </w:rPr>
        <w:footnoteReference w:id="63"/>
      </w:r>
      <w:r w:rsidR="00380B14" w:rsidRPr="00640517">
        <w:rPr>
          <w:rFonts w:asciiTheme="majorHAnsi" w:hAnsiTheme="majorHAnsi"/>
          <w:sz w:val="20"/>
          <w:szCs w:val="20"/>
          <w:lang w:val="es-CO"/>
        </w:rPr>
        <w:t>,</w:t>
      </w:r>
      <w:r w:rsidR="002B58CF" w:rsidRPr="00640517">
        <w:rPr>
          <w:rFonts w:asciiTheme="majorHAnsi" w:hAnsiTheme="majorHAnsi"/>
          <w:sz w:val="20"/>
          <w:szCs w:val="20"/>
          <w:lang w:val="es-CO"/>
        </w:rPr>
        <w:t xml:space="preserve"> 8.2</w:t>
      </w:r>
      <w:r w:rsidR="00E3080C" w:rsidRPr="00640517">
        <w:rPr>
          <w:rStyle w:val="FootnoteReference"/>
          <w:rFonts w:asciiTheme="majorHAnsi" w:hAnsiTheme="majorHAnsi"/>
          <w:sz w:val="20"/>
          <w:szCs w:val="20"/>
          <w:lang w:val="es-CO"/>
        </w:rPr>
        <w:footnoteReference w:id="64"/>
      </w:r>
      <w:r w:rsidR="002B58CF" w:rsidRPr="00640517">
        <w:rPr>
          <w:rFonts w:asciiTheme="majorHAnsi" w:hAnsiTheme="majorHAnsi"/>
          <w:sz w:val="20"/>
          <w:szCs w:val="20"/>
          <w:lang w:val="es-CO"/>
        </w:rPr>
        <w:t>,</w:t>
      </w:r>
      <w:r w:rsidR="00380B14" w:rsidRPr="00640517">
        <w:rPr>
          <w:rFonts w:asciiTheme="majorHAnsi" w:hAnsiTheme="majorHAnsi"/>
          <w:sz w:val="20"/>
          <w:szCs w:val="20"/>
          <w:lang w:val="es-CO"/>
        </w:rPr>
        <w:t xml:space="preserve"> 9</w:t>
      </w:r>
      <w:r w:rsidR="00E3080C" w:rsidRPr="00640517">
        <w:rPr>
          <w:rStyle w:val="FootnoteReference"/>
          <w:rFonts w:asciiTheme="majorHAnsi" w:hAnsiTheme="majorHAnsi"/>
          <w:sz w:val="20"/>
          <w:szCs w:val="20"/>
          <w:lang w:val="es-CO"/>
        </w:rPr>
        <w:footnoteReference w:id="65"/>
      </w:r>
      <w:r w:rsidR="00380B14" w:rsidRPr="00640517">
        <w:rPr>
          <w:rFonts w:asciiTheme="majorHAnsi" w:hAnsiTheme="majorHAnsi"/>
          <w:sz w:val="20"/>
          <w:szCs w:val="20"/>
          <w:lang w:val="es-CO"/>
        </w:rPr>
        <w:t>, 23</w:t>
      </w:r>
      <w:r w:rsidR="00E3080C" w:rsidRPr="00640517">
        <w:rPr>
          <w:rFonts w:asciiTheme="majorHAnsi" w:hAnsiTheme="majorHAnsi"/>
          <w:sz w:val="20"/>
          <w:szCs w:val="20"/>
          <w:lang w:val="es-CO"/>
        </w:rPr>
        <w:t>.1c)</w:t>
      </w:r>
      <w:r w:rsidR="00E3080C" w:rsidRPr="00640517">
        <w:rPr>
          <w:rStyle w:val="FootnoteReference"/>
          <w:rFonts w:asciiTheme="majorHAnsi" w:hAnsiTheme="majorHAnsi"/>
          <w:sz w:val="20"/>
          <w:szCs w:val="20"/>
          <w:lang w:val="es-CO"/>
        </w:rPr>
        <w:footnoteReference w:id="66"/>
      </w:r>
      <w:r w:rsidR="00380B14" w:rsidRPr="00640517">
        <w:rPr>
          <w:rFonts w:asciiTheme="majorHAnsi" w:hAnsiTheme="majorHAnsi"/>
          <w:sz w:val="20"/>
          <w:szCs w:val="20"/>
          <w:lang w:val="es-CO"/>
        </w:rPr>
        <w:t xml:space="preserve"> y 25</w:t>
      </w:r>
      <w:r w:rsidR="00611B80" w:rsidRPr="00640517">
        <w:rPr>
          <w:rFonts w:asciiTheme="majorHAnsi" w:hAnsiTheme="majorHAnsi"/>
          <w:sz w:val="20"/>
          <w:szCs w:val="20"/>
          <w:lang w:val="es-CO"/>
        </w:rPr>
        <w:t>.1</w:t>
      </w:r>
      <w:r w:rsidR="00E3080C" w:rsidRPr="00640517">
        <w:rPr>
          <w:rStyle w:val="FootnoteReference"/>
          <w:rFonts w:asciiTheme="majorHAnsi" w:hAnsiTheme="majorHAnsi"/>
          <w:sz w:val="20"/>
          <w:szCs w:val="20"/>
          <w:lang w:val="es-CO"/>
        </w:rPr>
        <w:footnoteReference w:id="67"/>
      </w:r>
      <w:r w:rsidR="00380B14" w:rsidRPr="00640517">
        <w:rPr>
          <w:rFonts w:asciiTheme="majorHAnsi" w:hAnsiTheme="majorHAnsi"/>
          <w:sz w:val="20"/>
          <w:szCs w:val="20"/>
          <w:lang w:val="es-CO"/>
        </w:rPr>
        <w:t xml:space="preserve"> de la Convención</w:t>
      </w:r>
      <w:r w:rsidRPr="00640517">
        <w:rPr>
          <w:rFonts w:asciiTheme="majorHAnsi" w:hAnsiTheme="majorHAnsi"/>
          <w:sz w:val="20"/>
          <w:szCs w:val="20"/>
          <w:lang w:val="es-CO"/>
        </w:rPr>
        <w:t>, t</w:t>
      </w:r>
      <w:r w:rsidR="00FF6485" w:rsidRPr="00640517">
        <w:rPr>
          <w:rFonts w:asciiTheme="majorHAnsi" w:hAnsiTheme="majorHAnsi"/>
          <w:sz w:val="20"/>
          <w:szCs w:val="20"/>
          <w:lang w:val="es-CO"/>
        </w:rPr>
        <w:t>eniendo en</w:t>
      </w:r>
      <w:r w:rsidRPr="00640517">
        <w:rPr>
          <w:rFonts w:asciiTheme="majorHAnsi" w:hAnsiTheme="majorHAnsi"/>
          <w:sz w:val="20"/>
          <w:szCs w:val="20"/>
          <w:lang w:val="es-CO"/>
        </w:rPr>
        <w:t xml:space="preserve"> cuenta las </w:t>
      </w:r>
      <w:r w:rsidR="00FF6485" w:rsidRPr="00640517">
        <w:rPr>
          <w:rFonts w:asciiTheme="majorHAnsi" w:hAnsiTheme="majorHAnsi"/>
          <w:sz w:val="20"/>
          <w:szCs w:val="20"/>
          <w:lang w:val="es-CO"/>
        </w:rPr>
        <w:t xml:space="preserve">implicaciones que derivan del principio de independencia judicial y su protección bajo la Convención Americana. </w:t>
      </w:r>
    </w:p>
    <w:p w14:paraId="669E9CA2" w14:textId="025903BD" w:rsidR="00E31003" w:rsidRDefault="00E31003">
      <w:pPr>
        <w:rPr>
          <w:rFonts w:ascii="Cambria" w:eastAsia="Times New Roman" w:hAnsi="Cambria"/>
          <w:b/>
          <w:bCs/>
          <w:sz w:val="20"/>
          <w:szCs w:val="20"/>
          <w:lang w:val="es-ES_tradnl"/>
        </w:rPr>
      </w:pPr>
      <w:bookmarkStart w:id="55" w:name="_Toc476579043"/>
    </w:p>
    <w:p w14:paraId="479AE00A" w14:textId="77777777" w:rsidR="00C65ACD" w:rsidRDefault="00C65ACD">
      <w:pPr>
        <w:rPr>
          <w:rFonts w:ascii="Cambria" w:eastAsia="Times New Roman" w:hAnsi="Cambria"/>
          <w:b/>
          <w:bCs/>
          <w:sz w:val="20"/>
          <w:szCs w:val="20"/>
          <w:lang w:val="es-ES_tradnl"/>
        </w:rPr>
      </w:pPr>
    </w:p>
    <w:p w14:paraId="1B91CC35" w14:textId="77777777" w:rsidR="00C65ACD" w:rsidRDefault="00C65ACD">
      <w:pPr>
        <w:rPr>
          <w:rFonts w:ascii="Cambria" w:eastAsia="Times New Roman" w:hAnsi="Cambria"/>
          <w:b/>
          <w:bCs/>
          <w:sz w:val="20"/>
          <w:szCs w:val="20"/>
          <w:lang w:val="es-ES_tradnl"/>
        </w:rPr>
      </w:pPr>
    </w:p>
    <w:p w14:paraId="6DEBDDEC" w14:textId="77777777" w:rsidR="00380B14" w:rsidRPr="00640517" w:rsidRDefault="00380B14" w:rsidP="0045657E">
      <w:pPr>
        <w:pStyle w:val="Heading3"/>
        <w:numPr>
          <w:ilvl w:val="0"/>
          <w:numId w:val="27"/>
        </w:numPr>
        <w:ind w:left="1440" w:hanging="720"/>
      </w:pPr>
      <w:bookmarkStart w:id="56" w:name="_Toc484623842"/>
      <w:r w:rsidRPr="00640517">
        <w:lastRenderedPageBreak/>
        <w:t>El principio de independencia judicial</w:t>
      </w:r>
      <w:bookmarkEnd w:id="55"/>
      <w:bookmarkEnd w:id="56"/>
      <w:r w:rsidRPr="00640517">
        <w:t xml:space="preserve"> </w:t>
      </w:r>
    </w:p>
    <w:p w14:paraId="0CAD963B" w14:textId="77777777" w:rsidR="00380B14" w:rsidRPr="00640517" w:rsidRDefault="00380B14" w:rsidP="00380B14">
      <w:pPr>
        <w:ind w:left="720"/>
        <w:jc w:val="both"/>
        <w:rPr>
          <w:rFonts w:asciiTheme="majorHAnsi" w:hAnsiTheme="majorHAnsi"/>
          <w:sz w:val="20"/>
          <w:szCs w:val="20"/>
          <w:lang w:val="es-CO"/>
        </w:rPr>
      </w:pPr>
    </w:p>
    <w:p w14:paraId="7A6913B2" w14:textId="77777777" w:rsidR="00DD1AAA" w:rsidRPr="00640517" w:rsidRDefault="004365F8" w:rsidP="00DD1AAA">
      <w:pPr>
        <w:numPr>
          <w:ilvl w:val="0"/>
          <w:numId w:val="1"/>
        </w:numPr>
        <w:ind w:left="0" w:firstLine="720"/>
        <w:jc w:val="both"/>
        <w:rPr>
          <w:rFonts w:ascii="Cambria" w:hAnsi="Cambria"/>
          <w:sz w:val="20"/>
          <w:szCs w:val="20"/>
          <w:lang w:val="es-CO"/>
        </w:rPr>
      </w:pPr>
      <w:r w:rsidRPr="00640517">
        <w:rPr>
          <w:rFonts w:asciiTheme="majorHAnsi" w:hAnsiTheme="majorHAnsi"/>
          <w:sz w:val="20"/>
          <w:szCs w:val="20"/>
          <w:lang w:val="es-CO"/>
        </w:rPr>
        <w:t>E</w:t>
      </w:r>
      <w:r w:rsidR="0074107E" w:rsidRPr="00640517">
        <w:rPr>
          <w:rFonts w:asciiTheme="majorHAnsi" w:hAnsiTheme="majorHAnsi"/>
          <w:sz w:val="20"/>
          <w:szCs w:val="20"/>
          <w:lang w:val="es-CO"/>
        </w:rPr>
        <w:t xml:space="preserve">l principio de independencia judicial </w:t>
      </w:r>
      <w:r w:rsidRPr="00640517">
        <w:rPr>
          <w:rFonts w:asciiTheme="majorHAnsi" w:hAnsiTheme="majorHAnsi"/>
          <w:sz w:val="20"/>
          <w:szCs w:val="20"/>
          <w:lang w:val="es-CO"/>
        </w:rPr>
        <w:t xml:space="preserve">es </w:t>
      </w:r>
      <w:r w:rsidR="00380B14" w:rsidRPr="00640517">
        <w:rPr>
          <w:rFonts w:asciiTheme="majorHAnsi" w:hAnsiTheme="majorHAnsi"/>
          <w:sz w:val="20"/>
          <w:szCs w:val="20"/>
          <w:lang w:val="es-CO"/>
        </w:rPr>
        <w:t>un requisito inherente a un sistema democrático y un prerrequisito fundamental para la protección de los derechos humanos</w:t>
      </w:r>
      <w:r w:rsidR="002E410A" w:rsidRPr="00640517">
        <w:rPr>
          <w:rStyle w:val="FootnoteReference"/>
          <w:rFonts w:asciiTheme="majorHAnsi" w:hAnsiTheme="majorHAnsi"/>
          <w:sz w:val="20"/>
          <w:szCs w:val="20"/>
          <w:lang w:val="es-CO"/>
        </w:rPr>
        <w:footnoteReference w:id="68"/>
      </w:r>
      <w:r w:rsidR="00380B14" w:rsidRPr="00640517">
        <w:rPr>
          <w:rFonts w:asciiTheme="majorHAnsi" w:hAnsiTheme="majorHAnsi"/>
          <w:sz w:val="20"/>
          <w:szCs w:val="20"/>
          <w:lang w:val="es-CO"/>
        </w:rPr>
        <w:t>.</w:t>
      </w:r>
      <w:r w:rsidR="0074107E" w:rsidRPr="00640517">
        <w:rPr>
          <w:rFonts w:asciiTheme="majorHAnsi" w:hAnsiTheme="majorHAnsi"/>
          <w:sz w:val="20"/>
          <w:szCs w:val="20"/>
          <w:lang w:val="es-CO"/>
        </w:rPr>
        <w:t xml:space="preserve"> </w:t>
      </w:r>
      <w:r w:rsidRPr="00640517">
        <w:rPr>
          <w:rFonts w:asciiTheme="majorHAnsi" w:hAnsiTheme="majorHAnsi"/>
          <w:sz w:val="20"/>
          <w:szCs w:val="20"/>
          <w:lang w:val="es-CO"/>
        </w:rPr>
        <w:t>S</w:t>
      </w:r>
      <w:r w:rsidR="00B34539" w:rsidRPr="00640517">
        <w:rPr>
          <w:rFonts w:asciiTheme="majorHAnsi" w:hAnsiTheme="majorHAnsi"/>
          <w:sz w:val="20"/>
          <w:szCs w:val="20"/>
          <w:lang w:val="es-CO"/>
        </w:rPr>
        <w:t xml:space="preserve">e encuentra consagrado como una de las garantías del debido proceso protegida por el </w:t>
      </w:r>
      <w:r w:rsidR="00B34539" w:rsidRPr="00640517">
        <w:rPr>
          <w:rFonts w:ascii="Cambria" w:hAnsi="Cambria"/>
          <w:sz w:val="20"/>
          <w:szCs w:val="20"/>
          <w:lang w:val="es-CO"/>
        </w:rPr>
        <w:t>artículo 8.1 de la Convención Americana</w:t>
      </w:r>
      <w:r w:rsidR="00B23F69" w:rsidRPr="00640517">
        <w:rPr>
          <w:rFonts w:ascii="Cambria" w:hAnsi="Cambria"/>
          <w:sz w:val="20"/>
          <w:szCs w:val="20"/>
          <w:lang w:val="es-CO"/>
        </w:rPr>
        <w:t xml:space="preserve"> y, además,</w:t>
      </w:r>
      <w:r w:rsidR="002E2B5A" w:rsidRPr="00640517">
        <w:rPr>
          <w:rFonts w:ascii="Cambria" w:hAnsi="Cambria"/>
          <w:sz w:val="20"/>
          <w:szCs w:val="20"/>
          <w:lang w:val="es-CO"/>
        </w:rPr>
        <w:t xml:space="preserve"> de dicho</w:t>
      </w:r>
      <w:r w:rsidR="00B23F69" w:rsidRPr="00640517">
        <w:rPr>
          <w:rFonts w:ascii="Cambria" w:hAnsi="Cambria"/>
          <w:sz w:val="20"/>
          <w:szCs w:val="20"/>
          <w:lang w:val="es-CO"/>
        </w:rPr>
        <w:t xml:space="preserve"> principio </w:t>
      </w:r>
      <w:r w:rsidR="00B34539" w:rsidRPr="00640517">
        <w:rPr>
          <w:rFonts w:ascii="Cambria" w:hAnsi="Cambria"/>
          <w:sz w:val="20"/>
          <w:szCs w:val="20"/>
          <w:lang w:val="es-CO"/>
        </w:rPr>
        <w:t xml:space="preserve">se desprenden </w:t>
      </w:r>
      <w:r w:rsidR="00EA0435" w:rsidRPr="00640517">
        <w:rPr>
          <w:rFonts w:ascii="Cambria" w:hAnsi="Cambria"/>
          <w:sz w:val="20"/>
          <w:szCs w:val="20"/>
          <w:lang w:val="es-CO"/>
        </w:rPr>
        <w:t xml:space="preserve"> </w:t>
      </w:r>
      <w:r w:rsidR="002E2B5A" w:rsidRPr="00640517">
        <w:rPr>
          <w:rFonts w:ascii="Cambria" w:hAnsi="Cambria"/>
          <w:sz w:val="20"/>
          <w:szCs w:val="20"/>
          <w:lang w:val="es-CO"/>
        </w:rPr>
        <w:t xml:space="preserve">a su vez </w:t>
      </w:r>
      <w:r w:rsidR="00B34539" w:rsidRPr="00640517">
        <w:rPr>
          <w:rFonts w:ascii="Cambria" w:hAnsi="Cambria"/>
          <w:sz w:val="20"/>
          <w:szCs w:val="20"/>
          <w:lang w:val="es-CO"/>
        </w:rPr>
        <w:t xml:space="preserve">garantías </w:t>
      </w:r>
      <w:r w:rsidR="002955D2" w:rsidRPr="00640517">
        <w:rPr>
          <w:rFonts w:ascii="Cambria" w:hAnsi="Cambria"/>
          <w:sz w:val="20"/>
          <w:szCs w:val="20"/>
          <w:lang w:val="es-CO"/>
        </w:rPr>
        <w:t>“reforzadas”</w:t>
      </w:r>
      <w:r w:rsidR="002955D2" w:rsidRPr="00640517">
        <w:rPr>
          <w:rStyle w:val="FootnoteReference"/>
          <w:rFonts w:ascii="Cambria" w:hAnsi="Cambria"/>
          <w:sz w:val="20"/>
          <w:szCs w:val="20"/>
          <w:lang w:val="es-CO"/>
        </w:rPr>
        <w:footnoteReference w:id="69"/>
      </w:r>
      <w:r w:rsidR="002955D2" w:rsidRPr="00640517">
        <w:rPr>
          <w:rFonts w:ascii="Cambria" w:hAnsi="Cambria"/>
          <w:sz w:val="20"/>
          <w:szCs w:val="20"/>
          <w:lang w:val="es-CO"/>
        </w:rPr>
        <w:t xml:space="preserve"> </w:t>
      </w:r>
      <w:r w:rsidR="00B34539" w:rsidRPr="00640517">
        <w:rPr>
          <w:rFonts w:ascii="Cambria" w:hAnsi="Cambria"/>
          <w:sz w:val="20"/>
          <w:szCs w:val="20"/>
          <w:lang w:val="es-CO"/>
        </w:rPr>
        <w:t xml:space="preserve">que los Estados deben brindar a los jueces y juezas a fin de </w:t>
      </w:r>
      <w:r w:rsidR="002955D2" w:rsidRPr="00640517">
        <w:rPr>
          <w:rFonts w:ascii="Cambria" w:hAnsi="Cambria"/>
          <w:sz w:val="20"/>
          <w:szCs w:val="20"/>
          <w:lang w:val="es-CO"/>
        </w:rPr>
        <w:t xml:space="preserve">asegurar </w:t>
      </w:r>
      <w:r w:rsidR="00B34539" w:rsidRPr="00640517">
        <w:rPr>
          <w:rFonts w:ascii="Cambria" w:hAnsi="Cambria"/>
          <w:sz w:val="20"/>
          <w:szCs w:val="20"/>
          <w:lang w:val="es-CO"/>
        </w:rPr>
        <w:t>su independencia</w:t>
      </w:r>
      <w:r w:rsidR="00B34539" w:rsidRPr="00640517">
        <w:rPr>
          <w:rStyle w:val="FootnoteReference"/>
          <w:rFonts w:ascii="Cambria" w:hAnsi="Cambria"/>
          <w:sz w:val="20"/>
          <w:szCs w:val="20"/>
          <w:lang w:val="es-CO"/>
        </w:rPr>
        <w:footnoteReference w:id="70"/>
      </w:r>
      <w:r w:rsidR="00B34539" w:rsidRPr="00640517">
        <w:rPr>
          <w:rFonts w:ascii="Cambria" w:hAnsi="Cambria"/>
          <w:sz w:val="20"/>
          <w:szCs w:val="20"/>
          <w:lang w:val="es-CO"/>
        </w:rPr>
        <w:t xml:space="preserve">. </w:t>
      </w:r>
      <w:r w:rsidRPr="00640517">
        <w:rPr>
          <w:rFonts w:ascii="Cambria" w:hAnsi="Cambria"/>
          <w:sz w:val="20"/>
          <w:szCs w:val="20"/>
          <w:lang w:val="es-CO"/>
        </w:rPr>
        <w:t>L</w:t>
      </w:r>
      <w:r w:rsidR="00B34539" w:rsidRPr="00640517">
        <w:rPr>
          <w:rFonts w:ascii="Cambria" w:hAnsi="Cambria"/>
          <w:sz w:val="20"/>
          <w:szCs w:val="20"/>
          <w:lang w:val="es-CO"/>
        </w:rPr>
        <w:t xml:space="preserve">os </w:t>
      </w:r>
      <w:r w:rsidR="00DD1AAA" w:rsidRPr="00640517">
        <w:rPr>
          <w:rFonts w:ascii="Cambria" w:hAnsi="Cambria"/>
          <w:sz w:val="20"/>
          <w:szCs w:val="20"/>
          <w:lang w:val="es-CO"/>
        </w:rPr>
        <w:t xml:space="preserve">órganos </w:t>
      </w:r>
      <w:r w:rsidR="00B34539" w:rsidRPr="00640517">
        <w:rPr>
          <w:rFonts w:ascii="Cambria" w:hAnsi="Cambria"/>
          <w:sz w:val="20"/>
          <w:szCs w:val="20"/>
          <w:lang w:val="es-CO"/>
        </w:rPr>
        <w:t>del sistema interamericano</w:t>
      </w:r>
      <w:r w:rsidR="00B23F69" w:rsidRPr="00640517">
        <w:rPr>
          <w:rFonts w:ascii="Cambria" w:hAnsi="Cambria"/>
          <w:sz w:val="20"/>
          <w:szCs w:val="20"/>
          <w:lang w:val="es-CO"/>
        </w:rPr>
        <w:t xml:space="preserve"> han interpretado el principio de independencia judicial en el sentido de incorporar </w:t>
      </w:r>
      <w:r w:rsidR="00B34539" w:rsidRPr="00640517">
        <w:rPr>
          <w:rFonts w:ascii="Cambria" w:hAnsi="Cambria"/>
          <w:sz w:val="20"/>
          <w:szCs w:val="20"/>
          <w:lang w:val="es-CO"/>
        </w:rPr>
        <w:t>las siguientes</w:t>
      </w:r>
      <w:r w:rsidR="00597A3B" w:rsidRPr="00640517">
        <w:rPr>
          <w:rFonts w:ascii="Cambria" w:hAnsi="Cambria"/>
          <w:sz w:val="20"/>
          <w:szCs w:val="20"/>
          <w:lang w:val="es-CO"/>
        </w:rPr>
        <w:t xml:space="preserve"> garantías</w:t>
      </w:r>
      <w:r w:rsidR="00B34539" w:rsidRPr="00640517">
        <w:rPr>
          <w:rFonts w:ascii="Cambria" w:hAnsi="Cambria"/>
          <w:sz w:val="20"/>
          <w:szCs w:val="20"/>
          <w:lang w:val="es-CO"/>
        </w:rPr>
        <w:t>: adecuado proceso de nombramiento, inamovilidad en el cargo y garantía contra presiones externas</w:t>
      </w:r>
      <w:r w:rsidR="00B34539" w:rsidRPr="00640517">
        <w:rPr>
          <w:rStyle w:val="FootnoteReference"/>
          <w:rFonts w:ascii="Cambria" w:hAnsi="Cambria"/>
          <w:sz w:val="20"/>
          <w:szCs w:val="20"/>
          <w:lang w:val="es-CO"/>
        </w:rPr>
        <w:footnoteReference w:id="71"/>
      </w:r>
      <w:r w:rsidR="00B34539" w:rsidRPr="00640517">
        <w:rPr>
          <w:rFonts w:ascii="Cambria" w:hAnsi="Cambria"/>
          <w:sz w:val="20"/>
          <w:szCs w:val="20"/>
          <w:lang w:val="es-CO"/>
        </w:rPr>
        <w:t>.</w:t>
      </w:r>
      <w:r w:rsidR="00DD1AAA" w:rsidRPr="00640517">
        <w:rPr>
          <w:rFonts w:ascii="Cambria" w:hAnsi="Cambria"/>
          <w:sz w:val="20"/>
          <w:szCs w:val="20"/>
          <w:lang w:val="es-CO"/>
        </w:rPr>
        <w:t xml:space="preserve"> </w:t>
      </w:r>
      <w:r w:rsidR="00597A3B" w:rsidRPr="00640517">
        <w:rPr>
          <w:rFonts w:ascii="Cambria" w:hAnsi="Cambria"/>
          <w:sz w:val="20"/>
          <w:szCs w:val="20"/>
          <w:lang w:val="es-CO"/>
        </w:rPr>
        <w:t>Específicamente</w:t>
      </w:r>
      <w:r w:rsidR="00ED6D01" w:rsidRPr="00640517">
        <w:rPr>
          <w:rFonts w:ascii="Cambria" w:hAnsi="Cambria"/>
          <w:sz w:val="20"/>
          <w:szCs w:val="20"/>
          <w:lang w:val="es-CO"/>
        </w:rPr>
        <w:t xml:space="preserve">, en lo relevante para el presente caso, </w:t>
      </w:r>
      <w:r w:rsidR="00597A3B" w:rsidRPr="00640517">
        <w:rPr>
          <w:rFonts w:ascii="Cambria" w:hAnsi="Cambria"/>
          <w:sz w:val="20"/>
          <w:szCs w:val="20"/>
          <w:lang w:val="es-CO"/>
        </w:rPr>
        <w:t>respecto</w:t>
      </w:r>
      <w:r w:rsidR="00ED6D01" w:rsidRPr="00640517">
        <w:rPr>
          <w:rFonts w:ascii="Cambria" w:hAnsi="Cambria"/>
          <w:sz w:val="20"/>
          <w:szCs w:val="20"/>
          <w:lang w:val="es-CO"/>
        </w:rPr>
        <w:t xml:space="preserve"> de</w:t>
      </w:r>
      <w:r w:rsidR="00597A3B" w:rsidRPr="00640517">
        <w:rPr>
          <w:rFonts w:ascii="Cambria" w:hAnsi="Cambria"/>
          <w:sz w:val="20"/>
          <w:szCs w:val="20"/>
          <w:lang w:val="es-CO"/>
        </w:rPr>
        <w:t xml:space="preserve"> </w:t>
      </w:r>
      <w:r w:rsidR="002955D2" w:rsidRPr="00640517">
        <w:rPr>
          <w:rFonts w:ascii="Cambria" w:hAnsi="Cambria"/>
          <w:sz w:val="20"/>
          <w:szCs w:val="20"/>
          <w:lang w:val="es-CO"/>
        </w:rPr>
        <w:t>l</w:t>
      </w:r>
      <w:r w:rsidR="00677CD1" w:rsidRPr="00640517">
        <w:rPr>
          <w:rFonts w:ascii="Cambria" w:hAnsi="Cambria"/>
          <w:sz w:val="20"/>
          <w:szCs w:val="20"/>
          <w:lang w:val="es-CO"/>
        </w:rPr>
        <w:t xml:space="preserve">as garantías para asegurar la </w:t>
      </w:r>
      <w:r w:rsidRPr="00640517">
        <w:rPr>
          <w:rFonts w:ascii="Cambria" w:hAnsi="Cambria"/>
          <w:sz w:val="20"/>
          <w:szCs w:val="20"/>
          <w:lang w:val="es-CO"/>
        </w:rPr>
        <w:t xml:space="preserve">inamovilidad, </w:t>
      </w:r>
      <w:r w:rsidR="002955D2" w:rsidRPr="00640517">
        <w:rPr>
          <w:rFonts w:ascii="Cambria" w:hAnsi="Cambria"/>
          <w:sz w:val="20"/>
          <w:szCs w:val="20"/>
          <w:lang w:val="es-CO"/>
        </w:rPr>
        <w:t xml:space="preserve">la Corte ha indicado que </w:t>
      </w:r>
      <w:r w:rsidR="00DD1AAA" w:rsidRPr="00640517">
        <w:rPr>
          <w:rFonts w:ascii="Cambria" w:hAnsi="Cambria"/>
          <w:sz w:val="20"/>
          <w:szCs w:val="20"/>
          <w:lang w:val="es-CO"/>
        </w:rPr>
        <w:t>“</w:t>
      </w:r>
      <w:r w:rsidR="00DD1AAA" w:rsidRPr="00640517">
        <w:rPr>
          <w:rFonts w:ascii="Cambria" w:eastAsia="Times New Roman" w:hAnsi="Cambria"/>
          <w:sz w:val="20"/>
          <w:szCs w:val="20"/>
          <w:lang w:val="es-MX"/>
        </w:rPr>
        <w:t>se traducen en el derecho subjetivo del juez a que su separación del cargo obedezca exclusivamente a las causales permitidas, ya sea por medio de un proceso que cumpla con las garantías judiciales o porque se ha cumplido el término o período de su mandato”</w:t>
      </w:r>
      <w:r w:rsidR="00DD1AAA" w:rsidRPr="00640517">
        <w:rPr>
          <w:rStyle w:val="FootnoteReference"/>
          <w:rFonts w:ascii="Cambria" w:hAnsi="Cambria"/>
          <w:sz w:val="20"/>
          <w:szCs w:val="20"/>
          <w:lang w:val="es-CO"/>
        </w:rPr>
        <w:footnoteReference w:id="72"/>
      </w:r>
      <w:r w:rsidR="00DD1AAA" w:rsidRPr="00640517">
        <w:rPr>
          <w:rFonts w:ascii="Cambria" w:eastAsia="Times New Roman" w:hAnsi="Cambria"/>
          <w:sz w:val="20"/>
          <w:szCs w:val="20"/>
          <w:lang w:val="es-MX"/>
        </w:rPr>
        <w:t>. Cuando se afecta en forma arbitraria la permanencia de los y las juezas en su cargo,</w:t>
      </w:r>
      <w:r w:rsidR="00EA0435" w:rsidRPr="00640517">
        <w:rPr>
          <w:rFonts w:ascii="Cambria" w:eastAsia="Times New Roman" w:hAnsi="Cambria"/>
          <w:sz w:val="20"/>
          <w:szCs w:val="20"/>
          <w:lang w:val="es-MX"/>
        </w:rPr>
        <w:t xml:space="preserve"> “</w:t>
      </w:r>
      <w:r w:rsidR="00DD1AAA" w:rsidRPr="00640517">
        <w:rPr>
          <w:rFonts w:ascii="Cambria" w:eastAsia="Times New Roman" w:hAnsi="Cambria"/>
          <w:sz w:val="20"/>
          <w:szCs w:val="20"/>
          <w:lang w:val="es-MX"/>
        </w:rPr>
        <w:t>se vulnera el derecho a la independencia judicial consagrado en el artículo 8.1 de la Convención</w:t>
      </w:r>
      <w:r w:rsidR="002955D2" w:rsidRPr="00640517">
        <w:rPr>
          <w:rFonts w:ascii="Cambria" w:eastAsia="Times New Roman" w:hAnsi="Cambria"/>
          <w:sz w:val="20"/>
          <w:szCs w:val="20"/>
          <w:lang w:val="es-MX"/>
        </w:rPr>
        <w:t>”</w:t>
      </w:r>
      <w:r w:rsidR="00DD1AAA" w:rsidRPr="00640517">
        <w:rPr>
          <w:rStyle w:val="FootnoteReference"/>
          <w:rFonts w:ascii="Cambria" w:hAnsi="Cambria"/>
          <w:sz w:val="20"/>
          <w:szCs w:val="20"/>
          <w:lang w:val="es-CO"/>
        </w:rPr>
        <w:t xml:space="preserve"> </w:t>
      </w:r>
      <w:r w:rsidR="00DD1AAA" w:rsidRPr="00640517">
        <w:rPr>
          <w:rStyle w:val="FootnoteReference"/>
          <w:rFonts w:ascii="Cambria" w:hAnsi="Cambria"/>
          <w:sz w:val="20"/>
          <w:szCs w:val="20"/>
          <w:lang w:val="es-CO"/>
        </w:rPr>
        <w:footnoteReference w:id="73"/>
      </w:r>
      <w:r w:rsidR="00DD1AAA" w:rsidRPr="00640517">
        <w:rPr>
          <w:rFonts w:ascii="Cambria" w:eastAsia="Times New Roman" w:hAnsi="Cambria"/>
          <w:sz w:val="20"/>
          <w:szCs w:val="20"/>
          <w:lang w:val="es-MX"/>
        </w:rPr>
        <w:t>.</w:t>
      </w:r>
    </w:p>
    <w:p w14:paraId="2C2591B2" w14:textId="77777777" w:rsidR="00663CD1" w:rsidRPr="00640517" w:rsidRDefault="00663CD1" w:rsidP="002E5EAA">
      <w:pPr>
        <w:tabs>
          <w:tab w:val="num" w:pos="1440"/>
        </w:tabs>
        <w:ind w:left="720"/>
        <w:jc w:val="both"/>
        <w:rPr>
          <w:rFonts w:asciiTheme="majorHAnsi" w:hAnsiTheme="majorHAnsi"/>
          <w:sz w:val="20"/>
          <w:szCs w:val="20"/>
          <w:lang w:val="es-CO"/>
        </w:rPr>
      </w:pPr>
    </w:p>
    <w:p w14:paraId="38532139" w14:textId="77777777" w:rsidR="00663CD1" w:rsidRPr="0045657E" w:rsidRDefault="00663CD1" w:rsidP="009A7B79">
      <w:pPr>
        <w:pStyle w:val="Heading3"/>
        <w:jc w:val="both"/>
      </w:pPr>
      <w:bookmarkStart w:id="57" w:name="_Toc476579044"/>
      <w:bookmarkStart w:id="58" w:name="_Toc484623843"/>
      <w:r w:rsidRPr="0045657E">
        <w:t>Derecho a las garantías judiciales (</w:t>
      </w:r>
      <w:r w:rsidR="00C8671D" w:rsidRPr="0045657E">
        <w:t>a</w:t>
      </w:r>
      <w:r w:rsidRPr="0045657E">
        <w:t>rtículos 8 de la Convención Americana en relación con los artículos  1.1 y 2 de la Convención Americana)</w:t>
      </w:r>
      <w:r w:rsidR="00955324" w:rsidRPr="0045657E">
        <w:t>;</w:t>
      </w:r>
      <w:r w:rsidR="00165672" w:rsidRPr="0045657E">
        <w:t xml:space="preserve"> </w:t>
      </w:r>
      <w:r w:rsidR="00E12670" w:rsidRPr="0045657E">
        <w:t>p</w:t>
      </w:r>
      <w:r w:rsidR="00165672" w:rsidRPr="0045657E">
        <w:t xml:space="preserve">rincipio de </w:t>
      </w:r>
      <w:r w:rsidR="00E12670" w:rsidRPr="0045657E">
        <w:t>l</w:t>
      </w:r>
      <w:r w:rsidR="00165672" w:rsidRPr="0045657E">
        <w:t>egalidad (artículo 9 en relación con los artículos 1 y 2 de  la Convención Americana)</w:t>
      </w:r>
      <w:r w:rsidR="00955324" w:rsidRPr="0045657E">
        <w:t>; protección judicial (artículos 25.1 y 25.2 c))</w:t>
      </w:r>
      <w:bookmarkEnd w:id="57"/>
      <w:bookmarkEnd w:id="58"/>
    </w:p>
    <w:p w14:paraId="682E4D17" w14:textId="77777777" w:rsidR="00663CD1" w:rsidRPr="00640517" w:rsidRDefault="00663CD1" w:rsidP="00663CD1">
      <w:pPr>
        <w:pStyle w:val="ListParagraph"/>
        <w:rPr>
          <w:rFonts w:asciiTheme="majorHAnsi" w:hAnsiTheme="majorHAnsi"/>
          <w:sz w:val="20"/>
          <w:szCs w:val="20"/>
          <w:lang w:val="es-UY"/>
        </w:rPr>
      </w:pPr>
      <w:r w:rsidRPr="00640517">
        <w:rPr>
          <w:rFonts w:asciiTheme="majorHAnsi" w:hAnsiTheme="majorHAnsi"/>
          <w:b/>
          <w:sz w:val="20"/>
          <w:szCs w:val="20"/>
          <w:lang w:val="es-UY"/>
        </w:rPr>
        <w:tab/>
      </w:r>
    </w:p>
    <w:p w14:paraId="53504CD6" w14:textId="77777777" w:rsidR="00994ABE" w:rsidRPr="00640517" w:rsidRDefault="008820A9" w:rsidP="00FF6485">
      <w:pPr>
        <w:numPr>
          <w:ilvl w:val="0"/>
          <w:numId w:val="1"/>
        </w:numPr>
        <w:ind w:left="0" w:firstLine="720"/>
        <w:jc w:val="both"/>
        <w:rPr>
          <w:rFonts w:asciiTheme="majorHAnsi" w:hAnsiTheme="majorHAnsi"/>
          <w:sz w:val="20"/>
          <w:szCs w:val="20"/>
          <w:lang w:val="es-UY"/>
        </w:rPr>
      </w:pPr>
      <w:r w:rsidRPr="00640517">
        <w:rPr>
          <w:rFonts w:asciiTheme="majorHAnsi" w:hAnsiTheme="majorHAnsi"/>
          <w:sz w:val="20"/>
          <w:szCs w:val="20"/>
          <w:lang w:val="es-UY"/>
        </w:rPr>
        <w:t>E</w:t>
      </w:r>
      <w:r w:rsidR="00E62E78" w:rsidRPr="00640517">
        <w:rPr>
          <w:rFonts w:asciiTheme="majorHAnsi" w:hAnsiTheme="majorHAnsi"/>
          <w:sz w:val="20"/>
          <w:szCs w:val="20"/>
          <w:lang w:val="es-UY"/>
        </w:rPr>
        <w:t>n los procesos que tienen naturaleza sancionatoria, además de las garantías contenidas en el artículo 8.1 de la Convención</w:t>
      </w:r>
      <w:r w:rsidR="00EA78C8" w:rsidRPr="00640517">
        <w:rPr>
          <w:rStyle w:val="FootnoteReference"/>
          <w:rFonts w:asciiTheme="majorHAnsi" w:hAnsiTheme="majorHAnsi"/>
          <w:sz w:val="20"/>
          <w:szCs w:val="20"/>
          <w:lang w:val="es-UY"/>
        </w:rPr>
        <w:footnoteReference w:id="74"/>
      </w:r>
      <w:r w:rsidR="00E62E78" w:rsidRPr="00640517">
        <w:rPr>
          <w:rFonts w:asciiTheme="majorHAnsi" w:hAnsiTheme="majorHAnsi"/>
          <w:sz w:val="20"/>
          <w:szCs w:val="20"/>
          <w:lang w:val="es-UY"/>
        </w:rPr>
        <w:t xml:space="preserve">, resultan aplicables las contenidas </w:t>
      </w:r>
      <w:r w:rsidR="00675B0F" w:rsidRPr="00640517">
        <w:rPr>
          <w:rFonts w:asciiTheme="majorHAnsi" w:hAnsiTheme="majorHAnsi"/>
          <w:sz w:val="20"/>
          <w:szCs w:val="20"/>
          <w:lang w:val="es-UY"/>
        </w:rPr>
        <w:t xml:space="preserve">en </w:t>
      </w:r>
      <w:r w:rsidR="00E62E78" w:rsidRPr="00640517">
        <w:rPr>
          <w:rFonts w:asciiTheme="majorHAnsi" w:hAnsiTheme="majorHAnsi"/>
          <w:sz w:val="20"/>
          <w:szCs w:val="20"/>
          <w:lang w:val="es-UY"/>
        </w:rPr>
        <w:t>el artíc</w:t>
      </w:r>
      <w:r w:rsidR="00D87DE9" w:rsidRPr="00640517">
        <w:rPr>
          <w:rFonts w:asciiTheme="majorHAnsi" w:hAnsiTheme="majorHAnsi"/>
          <w:sz w:val="20"/>
          <w:szCs w:val="20"/>
          <w:lang w:val="es-UY"/>
        </w:rPr>
        <w:t>u</w:t>
      </w:r>
      <w:r w:rsidR="00E62E78" w:rsidRPr="00640517">
        <w:rPr>
          <w:rFonts w:asciiTheme="majorHAnsi" w:hAnsiTheme="majorHAnsi"/>
          <w:sz w:val="20"/>
          <w:szCs w:val="20"/>
          <w:lang w:val="es-UY"/>
        </w:rPr>
        <w:t xml:space="preserve">lo 8.2 </w:t>
      </w:r>
      <w:r w:rsidR="00D87DE9" w:rsidRPr="00640517">
        <w:rPr>
          <w:rFonts w:asciiTheme="majorHAnsi" w:hAnsiTheme="majorHAnsi"/>
          <w:sz w:val="20"/>
          <w:szCs w:val="20"/>
          <w:lang w:val="es-UY"/>
        </w:rPr>
        <w:t xml:space="preserve">del mismo instrumento, </w:t>
      </w:r>
      <w:r w:rsidR="00E62E78" w:rsidRPr="00640517">
        <w:rPr>
          <w:rFonts w:asciiTheme="majorHAnsi" w:hAnsiTheme="majorHAnsi"/>
          <w:sz w:val="20"/>
          <w:szCs w:val="20"/>
          <w:lang w:val="es-UY"/>
        </w:rPr>
        <w:t xml:space="preserve">las cuales </w:t>
      </w:r>
      <w:r w:rsidR="006073DC" w:rsidRPr="00640517">
        <w:rPr>
          <w:rFonts w:asciiTheme="majorHAnsi" w:hAnsiTheme="majorHAnsi"/>
          <w:sz w:val="20"/>
          <w:szCs w:val="20"/>
          <w:lang w:val="es-UY"/>
        </w:rPr>
        <w:t>“no son exclusivas de los procesos penales, sino que además pueden ser aplicables a procesos de carácter sancionatorio”</w:t>
      </w:r>
      <w:r w:rsidR="00C21B51" w:rsidRPr="00640517">
        <w:rPr>
          <w:rStyle w:val="FootnoteReference"/>
          <w:rFonts w:asciiTheme="majorHAnsi" w:hAnsiTheme="majorHAnsi"/>
          <w:sz w:val="20"/>
          <w:szCs w:val="20"/>
          <w:lang w:val="es-UY"/>
        </w:rPr>
        <w:t xml:space="preserve"> </w:t>
      </w:r>
      <w:r w:rsidR="00C21B51" w:rsidRPr="00640517">
        <w:rPr>
          <w:rStyle w:val="FootnoteReference"/>
          <w:rFonts w:asciiTheme="majorHAnsi" w:hAnsiTheme="majorHAnsi"/>
          <w:sz w:val="20"/>
          <w:szCs w:val="20"/>
          <w:lang w:val="es-UY"/>
        </w:rPr>
        <w:footnoteReference w:id="75"/>
      </w:r>
      <w:r w:rsidR="001E36B1" w:rsidRPr="00640517">
        <w:rPr>
          <w:rFonts w:asciiTheme="majorHAnsi" w:hAnsiTheme="majorHAnsi"/>
          <w:sz w:val="20"/>
          <w:szCs w:val="20"/>
          <w:lang w:val="es-UY"/>
        </w:rPr>
        <w:t xml:space="preserve"> que constituyen, también, una expresión del poder punitivo de los Estados</w:t>
      </w:r>
      <w:r w:rsidR="006073DC" w:rsidRPr="00640517">
        <w:rPr>
          <w:rFonts w:asciiTheme="majorHAnsi" w:hAnsiTheme="majorHAnsi"/>
          <w:sz w:val="20"/>
          <w:szCs w:val="20"/>
          <w:lang w:val="es-UY"/>
        </w:rPr>
        <w:t>.</w:t>
      </w:r>
      <w:r w:rsidR="00E62E78" w:rsidRPr="00640517">
        <w:rPr>
          <w:rFonts w:asciiTheme="majorHAnsi" w:hAnsiTheme="majorHAnsi"/>
          <w:sz w:val="20"/>
          <w:szCs w:val="20"/>
          <w:lang w:val="es-UY"/>
        </w:rPr>
        <w:t xml:space="preserve"> </w:t>
      </w:r>
      <w:r w:rsidR="00994ABE" w:rsidRPr="00640517">
        <w:rPr>
          <w:rFonts w:asciiTheme="majorHAnsi" w:hAnsiTheme="majorHAnsi"/>
          <w:sz w:val="20"/>
          <w:szCs w:val="20"/>
          <w:lang w:val="es-UY"/>
        </w:rPr>
        <w:t xml:space="preserve">Como se indicó anteriormente, cuando se trata de procesos disciplinarios contra jueces o juezas, al estar vinculados con el principio de independencia judicial, estas garantías son reforzadas. Además, </w:t>
      </w:r>
      <w:r w:rsidR="00597A3B" w:rsidRPr="00640517">
        <w:rPr>
          <w:rFonts w:asciiTheme="majorHAnsi" w:hAnsiTheme="majorHAnsi"/>
          <w:sz w:val="20"/>
          <w:szCs w:val="20"/>
          <w:lang w:val="es-AR"/>
        </w:rPr>
        <w:t xml:space="preserve">debe </w:t>
      </w:r>
      <w:r w:rsidR="00E62E78" w:rsidRPr="00640517">
        <w:rPr>
          <w:rFonts w:asciiTheme="majorHAnsi" w:hAnsiTheme="majorHAnsi"/>
          <w:sz w:val="20"/>
          <w:szCs w:val="20"/>
          <w:lang w:val="es-AR"/>
        </w:rPr>
        <w:t xml:space="preserve">ofrecerse a los </w:t>
      </w:r>
      <w:r w:rsidR="00E62E78" w:rsidRPr="00640517">
        <w:rPr>
          <w:rFonts w:asciiTheme="majorHAnsi" w:hAnsiTheme="majorHAnsi"/>
          <w:sz w:val="20"/>
          <w:szCs w:val="20"/>
          <w:lang w:val="es-AR"/>
        </w:rPr>
        <w:lastRenderedPageBreak/>
        <w:t>perjudicados un recurso efectivo</w:t>
      </w:r>
      <w:r w:rsidR="00E62E78" w:rsidRPr="00640517">
        <w:rPr>
          <w:rStyle w:val="FootnoteReference"/>
          <w:rFonts w:asciiTheme="majorHAnsi" w:hAnsiTheme="majorHAnsi"/>
          <w:sz w:val="20"/>
          <w:szCs w:val="20"/>
          <w:lang w:val="es-AR"/>
        </w:rPr>
        <w:footnoteReference w:id="76"/>
      </w:r>
      <w:r w:rsidR="00994ABE" w:rsidRPr="00640517">
        <w:rPr>
          <w:rFonts w:asciiTheme="majorHAnsi" w:hAnsiTheme="majorHAnsi"/>
          <w:sz w:val="20"/>
          <w:szCs w:val="20"/>
          <w:lang w:val="es-AR"/>
        </w:rPr>
        <w:t xml:space="preserve"> para impugnar posibles violaciones de derechos humanos cometidas en el marco de tales procesos. </w:t>
      </w:r>
    </w:p>
    <w:p w14:paraId="4AA093A5" w14:textId="77777777" w:rsidR="00994ABE" w:rsidRPr="00640517" w:rsidRDefault="00994ABE" w:rsidP="006B1085">
      <w:pPr>
        <w:ind w:left="720"/>
        <w:jc w:val="both"/>
        <w:rPr>
          <w:rFonts w:asciiTheme="majorHAnsi" w:hAnsiTheme="majorHAnsi"/>
          <w:sz w:val="20"/>
          <w:szCs w:val="20"/>
          <w:lang w:val="es-UY"/>
        </w:rPr>
      </w:pPr>
    </w:p>
    <w:p w14:paraId="0D4CFBFC" w14:textId="77777777" w:rsidR="006073DC" w:rsidRPr="00640517" w:rsidRDefault="006073DC" w:rsidP="00FF6485">
      <w:pPr>
        <w:numPr>
          <w:ilvl w:val="0"/>
          <w:numId w:val="1"/>
        </w:numPr>
        <w:ind w:left="0" w:firstLine="720"/>
        <w:jc w:val="both"/>
        <w:rPr>
          <w:rFonts w:asciiTheme="majorHAnsi" w:hAnsiTheme="majorHAnsi"/>
          <w:sz w:val="20"/>
          <w:szCs w:val="20"/>
          <w:lang w:val="es-UY"/>
        </w:rPr>
      </w:pPr>
      <w:r w:rsidRPr="00640517">
        <w:rPr>
          <w:rFonts w:asciiTheme="majorHAnsi" w:hAnsiTheme="majorHAnsi" w:cs="Times"/>
          <w:sz w:val="20"/>
          <w:szCs w:val="20"/>
          <w:lang w:val="es-ES"/>
        </w:rPr>
        <w:t>En vista de lo anterior</w:t>
      </w:r>
      <w:r w:rsidR="00994ABE" w:rsidRPr="00640517">
        <w:rPr>
          <w:rFonts w:asciiTheme="majorHAnsi" w:hAnsiTheme="majorHAnsi" w:cs="Times"/>
          <w:sz w:val="20"/>
          <w:szCs w:val="20"/>
          <w:lang w:val="es-ES"/>
        </w:rPr>
        <w:t xml:space="preserve"> y tomando en cuenta los alegatos de las partes y los hechos establecidos,</w:t>
      </w:r>
      <w:r w:rsidRPr="00640517">
        <w:rPr>
          <w:rFonts w:asciiTheme="majorHAnsi" w:hAnsiTheme="majorHAnsi" w:cs="Times"/>
          <w:sz w:val="20"/>
          <w:szCs w:val="20"/>
          <w:lang w:val="es-ES"/>
        </w:rPr>
        <w:t xml:space="preserve"> </w:t>
      </w:r>
      <w:r w:rsidR="00380B14" w:rsidRPr="00640517">
        <w:rPr>
          <w:rFonts w:asciiTheme="majorHAnsi" w:hAnsiTheme="majorHAnsi" w:cs="Times"/>
          <w:sz w:val="20"/>
          <w:szCs w:val="20"/>
          <w:lang w:val="es-ES"/>
        </w:rPr>
        <w:t xml:space="preserve">la Comisión </w:t>
      </w:r>
      <w:r w:rsidR="006C0F2D" w:rsidRPr="00640517">
        <w:rPr>
          <w:rFonts w:asciiTheme="majorHAnsi" w:hAnsiTheme="majorHAnsi" w:cs="Times"/>
          <w:sz w:val="20"/>
          <w:szCs w:val="20"/>
          <w:lang w:val="es-ES"/>
        </w:rPr>
        <w:t xml:space="preserve">analizará los siguientes aspectos consagrados en los artículos 8.1 y 8.2 de la Convención: </w:t>
      </w:r>
      <w:r w:rsidR="00380B14" w:rsidRPr="00640517">
        <w:rPr>
          <w:rFonts w:asciiTheme="majorHAnsi" w:hAnsiTheme="majorHAnsi" w:cs="Times"/>
          <w:sz w:val="20"/>
          <w:szCs w:val="20"/>
          <w:lang w:val="es-ES"/>
        </w:rPr>
        <w:t xml:space="preserve">i) </w:t>
      </w:r>
      <w:r w:rsidRPr="00640517">
        <w:rPr>
          <w:rFonts w:asciiTheme="majorHAnsi" w:hAnsiTheme="majorHAnsi" w:cs="Times"/>
          <w:sz w:val="20"/>
          <w:szCs w:val="20"/>
          <w:lang w:val="es-ES"/>
        </w:rPr>
        <w:t>competencia</w:t>
      </w:r>
      <w:r w:rsidR="00932AE4" w:rsidRPr="00640517">
        <w:rPr>
          <w:rFonts w:asciiTheme="majorHAnsi" w:hAnsiTheme="majorHAnsi" w:cs="Times"/>
          <w:sz w:val="20"/>
          <w:szCs w:val="20"/>
          <w:lang w:val="es-ES"/>
        </w:rPr>
        <w:t>, independencia e imparcialidad de la autoridad disciplinaria</w:t>
      </w:r>
      <w:r w:rsidRPr="00640517">
        <w:rPr>
          <w:rFonts w:asciiTheme="majorHAnsi" w:hAnsiTheme="majorHAnsi" w:cs="Times"/>
          <w:sz w:val="20"/>
          <w:szCs w:val="20"/>
          <w:lang w:val="es-ES"/>
        </w:rPr>
        <w:t xml:space="preserve">; ii) </w:t>
      </w:r>
      <w:r w:rsidR="00932AE4" w:rsidRPr="00640517">
        <w:rPr>
          <w:rFonts w:asciiTheme="majorHAnsi" w:hAnsiTheme="majorHAnsi" w:cs="Times"/>
          <w:sz w:val="20"/>
          <w:szCs w:val="20"/>
          <w:lang w:val="es-ES"/>
        </w:rPr>
        <w:t xml:space="preserve">derecho de defensa y garantía de audiencia; </w:t>
      </w:r>
      <w:r w:rsidR="00165672" w:rsidRPr="00640517">
        <w:rPr>
          <w:rFonts w:asciiTheme="majorHAnsi" w:hAnsiTheme="majorHAnsi" w:cs="Times"/>
          <w:sz w:val="20"/>
          <w:szCs w:val="20"/>
          <w:lang w:val="es-ES"/>
        </w:rPr>
        <w:t xml:space="preserve">y </w:t>
      </w:r>
      <w:r w:rsidR="00932AE4" w:rsidRPr="00640517">
        <w:rPr>
          <w:rFonts w:asciiTheme="majorHAnsi" w:hAnsiTheme="majorHAnsi" w:cs="Times"/>
          <w:sz w:val="20"/>
          <w:szCs w:val="20"/>
          <w:lang w:val="es-ES"/>
        </w:rPr>
        <w:t>iii) derecho al recurrir el fallo sancionatorio.</w:t>
      </w:r>
      <w:r w:rsidR="00895675" w:rsidRPr="00640517">
        <w:rPr>
          <w:rFonts w:asciiTheme="majorHAnsi" w:hAnsiTheme="majorHAnsi" w:cs="Times"/>
          <w:sz w:val="20"/>
          <w:szCs w:val="20"/>
          <w:lang w:val="es-ES"/>
        </w:rPr>
        <w:t xml:space="preserve"> Asimismo, la Comisión analizará la acción civil interpuesta por el señor Colindres respecto de su primera destitución a la luz de la garantía de plazo </w:t>
      </w:r>
      <w:proofErr w:type="spellStart"/>
      <w:r w:rsidR="00895675" w:rsidRPr="00640517">
        <w:rPr>
          <w:rFonts w:asciiTheme="majorHAnsi" w:hAnsiTheme="majorHAnsi" w:cs="Times"/>
          <w:sz w:val="20"/>
          <w:szCs w:val="20"/>
          <w:lang w:val="es-ES"/>
        </w:rPr>
        <w:t>raoznable</w:t>
      </w:r>
      <w:proofErr w:type="spellEnd"/>
      <w:r w:rsidR="00895675" w:rsidRPr="00640517">
        <w:rPr>
          <w:rFonts w:asciiTheme="majorHAnsi" w:hAnsiTheme="majorHAnsi" w:cs="Times"/>
          <w:sz w:val="20"/>
          <w:szCs w:val="20"/>
          <w:lang w:val="es-ES"/>
        </w:rPr>
        <w:t xml:space="preserve"> y el deber de cumplir los fallos internos. </w:t>
      </w:r>
    </w:p>
    <w:p w14:paraId="5D6B9A42" w14:textId="77777777" w:rsidR="00932AE4" w:rsidRPr="00640517" w:rsidRDefault="00932AE4" w:rsidP="002E5EAA">
      <w:pPr>
        <w:pStyle w:val="ListParagraph"/>
        <w:tabs>
          <w:tab w:val="num" w:pos="1440"/>
        </w:tabs>
        <w:rPr>
          <w:rFonts w:asciiTheme="majorHAnsi" w:hAnsiTheme="majorHAnsi"/>
          <w:sz w:val="20"/>
          <w:szCs w:val="20"/>
          <w:lang w:val="es-UY"/>
        </w:rPr>
      </w:pPr>
    </w:p>
    <w:p w14:paraId="0409BA29" w14:textId="77777777" w:rsidR="00932AE4" w:rsidRPr="0045657E" w:rsidRDefault="00932AE4" w:rsidP="0045657E">
      <w:pPr>
        <w:pStyle w:val="Heading4"/>
      </w:pPr>
      <w:r w:rsidRPr="0045657E">
        <w:t>Competencia</w:t>
      </w:r>
      <w:r w:rsidR="00755D25" w:rsidRPr="0045657E">
        <w:t xml:space="preserve"> </w:t>
      </w:r>
      <w:r w:rsidRPr="0045657E">
        <w:t xml:space="preserve"> de la autoridad disciplinaria</w:t>
      </w:r>
      <w:r w:rsidR="00826A4E" w:rsidRPr="0045657E">
        <w:t xml:space="preserve"> y procedimientos respectivos</w:t>
      </w:r>
    </w:p>
    <w:p w14:paraId="043764C1" w14:textId="77777777" w:rsidR="00380B14" w:rsidRPr="00640517" w:rsidRDefault="00380B14" w:rsidP="00380B14">
      <w:pPr>
        <w:rPr>
          <w:rFonts w:asciiTheme="majorHAnsi" w:hAnsiTheme="majorHAnsi"/>
          <w:i/>
          <w:sz w:val="20"/>
          <w:szCs w:val="20"/>
          <w:lang w:val="es-UY"/>
        </w:rPr>
      </w:pPr>
    </w:p>
    <w:p w14:paraId="5C20F9E2" w14:textId="77777777" w:rsidR="00116D15" w:rsidRPr="00640517" w:rsidRDefault="00FF6485" w:rsidP="002E5EAA">
      <w:pPr>
        <w:numPr>
          <w:ilvl w:val="0"/>
          <w:numId w:val="1"/>
        </w:numPr>
        <w:ind w:left="0" w:firstLine="720"/>
        <w:jc w:val="both"/>
        <w:rPr>
          <w:rFonts w:asciiTheme="majorHAnsi" w:hAnsiTheme="majorHAnsi"/>
          <w:bCs/>
          <w:sz w:val="20"/>
          <w:szCs w:val="20"/>
          <w:lang w:val="es-CO"/>
        </w:rPr>
      </w:pPr>
      <w:r w:rsidRPr="00640517">
        <w:rPr>
          <w:rFonts w:asciiTheme="majorHAnsi" w:hAnsiTheme="majorHAnsi" w:cs="Verdana"/>
          <w:sz w:val="20"/>
          <w:szCs w:val="20"/>
          <w:lang w:val="es-UY"/>
        </w:rPr>
        <w:t>E</w:t>
      </w:r>
      <w:r w:rsidR="00116D15" w:rsidRPr="00640517">
        <w:rPr>
          <w:rFonts w:asciiTheme="majorHAnsi" w:hAnsiTheme="majorHAnsi" w:cs="Verdana"/>
          <w:sz w:val="20"/>
          <w:szCs w:val="20"/>
          <w:lang w:val="es-UY"/>
        </w:rPr>
        <w:t xml:space="preserve">l artículo 8.1 de la Convención </w:t>
      </w:r>
      <w:r w:rsidR="00947B82" w:rsidRPr="00640517">
        <w:rPr>
          <w:rFonts w:asciiTheme="majorHAnsi" w:hAnsiTheme="majorHAnsi" w:cs="Verdana"/>
          <w:sz w:val="20"/>
          <w:szCs w:val="20"/>
          <w:lang w:val="es-UY"/>
        </w:rPr>
        <w:t>consagra</w:t>
      </w:r>
      <w:r w:rsidR="00116D15" w:rsidRPr="00640517">
        <w:rPr>
          <w:rFonts w:asciiTheme="majorHAnsi" w:hAnsiTheme="majorHAnsi" w:cs="Verdana"/>
          <w:sz w:val="20"/>
          <w:szCs w:val="20"/>
          <w:lang w:val="es-UY"/>
        </w:rPr>
        <w:t xml:space="preserve"> el derecho a ser juzgado por “un</w:t>
      </w:r>
      <w:r w:rsidR="00116D15" w:rsidRPr="00640517">
        <w:rPr>
          <w:rFonts w:asciiTheme="majorHAnsi" w:hAnsiTheme="majorHAnsi"/>
          <w:bCs/>
          <w:sz w:val="20"/>
          <w:szCs w:val="20"/>
          <w:lang w:val="es-CO"/>
        </w:rPr>
        <w:t xml:space="preserve"> </w:t>
      </w:r>
      <w:r w:rsidR="00116D15" w:rsidRPr="00640517">
        <w:rPr>
          <w:rFonts w:asciiTheme="majorHAnsi" w:hAnsiTheme="majorHAnsi" w:cs="Verdana"/>
          <w:sz w:val="20"/>
          <w:szCs w:val="20"/>
          <w:lang w:val="es-UY"/>
        </w:rPr>
        <w:t>tribunal competente […] establecido con anterioridad a la ley</w:t>
      </w:r>
      <w:r w:rsidR="00116D15" w:rsidRPr="00640517">
        <w:rPr>
          <w:rFonts w:asciiTheme="majorHAnsi" w:hAnsiTheme="majorHAnsi"/>
          <w:bCs/>
          <w:sz w:val="20"/>
          <w:szCs w:val="20"/>
          <w:lang w:val="es-CO"/>
        </w:rPr>
        <w:t xml:space="preserve">. </w:t>
      </w:r>
      <w:r w:rsidR="008820A9" w:rsidRPr="00640517">
        <w:rPr>
          <w:rFonts w:asciiTheme="majorHAnsi" w:hAnsiTheme="majorHAnsi"/>
          <w:bCs/>
          <w:sz w:val="20"/>
          <w:szCs w:val="20"/>
          <w:lang w:val="es-CO"/>
        </w:rPr>
        <w:t xml:space="preserve">De esta forma, </w:t>
      </w:r>
      <w:r w:rsidR="00116D15" w:rsidRPr="00640517">
        <w:rPr>
          <w:rFonts w:asciiTheme="majorHAnsi" w:hAnsiTheme="majorHAnsi"/>
          <w:sz w:val="20"/>
          <w:szCs w:val="20"/>
          <w:lang w:val="es-UY"/>
        </w:rPr>
        <w:t>las personas “tienen derecho a ser juzgadas por tribunales de justicia ordinarios con arreglo a procedimientos legalmente establecidos”</w:t>
      </w:r>
      <w:r w:rsidR="001B5D43" w:rsidRPr="00640517">
        <w:rPr>
          <w:rFonts w:asciiTheme="majorHAnsi" w:hAnsiTheme="majorHAnsi"/>
          <w:sz w:val="20"/>
          <w:szCs w:val="20"/>
          <w:lang w:val="es-UY"/>
        </w:rPr>
        <w:t>. E</w:t>
      </w:r>
      <w:r w:rsidR="00116D15" w:rsidRPr="00640517">
        <w:rPr>
          <w:rFonts w:asciiTheme="majorHAnsi" w:hAnsiTheme="majorHAnsi"/>
          <w:sz w:val="20"/>
          <w:szCs w:val="20"/>
          <w:lang w:val="es-UY"/>
        </w:rPr>
        <w:t>l Estado no debe crear tribunales que no apliquen normas procesales debidamente establecidas para sustituir la jurisdicción que corresponda normalmente a los tribunales ordinarios</w:t>
      </w:r>
      <w:r w:rsidR="00AC5B75" w:rsidRPr="00640517">
        <w:rPr>
          <w:rFonts w:asciiTheme="majorHAnsi" w:hAnsiTheme="majorHAnsi"/>
          <w:sz w:val="20"/>
          <w:szCs w:val="20"/>
          <w:lang w:val="es-UY"/>
        </w:rPr>
        <w:t>”</w:t>
      </w:r>
      <w:r w:rsidR="00AC5B75" w:rsidRPr="00640517">
        <w:rPr>
          <w:rStyle w:val="FootnoteReference"/>
          <w:rFonts w:asciiTheme="majorHAnsi" w:hAnsiTheme="majorHAnsi"/>
          <w:sz w:val="20"/>
          <w:szCs w:val="20"/>
          <w:lang w:val="es-UY"/>
        </w:rPr>
        <w:footnoteReference w:id="77"/>
      </w:r>
      <w:r w:rsidR="00116D15" w:rsidRPr="00640517">
        <w:rPr>
          <w:rFonts w:asciiTheme="majorHAnsi" w:hAnsiTheme="majorHAnsi"/>
          <w:sz w:val="20"/>
          <w:szCs w:val="20"/>
          <w:lang w:val="es-UY"/>
        </w:rPr>
        <w:t xml:space="preserve">. </w:t>
      </w:r>
      <w:r w:rsidR="008820A9" w:rsidRPr="00640517">
        <w:rPr>
          <w:rFonts w:asciiTheme="majorHAnsi" w:hAnsiTheme="majorHAnsi"/>
          <w:sz w:val="20"/>
          <w:szCs w:val="20"/>
          <w:lang w:val="es-UY"/>
        </w:rPr>
        <w:t>C</w:t>
      </w:r>
      <w:r w:rsidR="00116D15" w:rsidRPr="00640517">
        <w:rPr>
          <w:rFonts w:asciiTheme="majorHAnsi" w:hAnsiTheme="majorHAnsi"/>
          <w:sz w:val="20"/>
          <w:szCs w:val="20"/>
          <w:lang w:val="es-UY"/>
        </w:rPr>
        <w:t>on esto se busca evitar que las personas sean juzg</w:t>
      </w:r>
      <w:r w:rsidR="00677CD1" w:rsidRPr="00640517">
        <w:rPr>
          <w:rFonts w:asciiTheme="majorHAnsi" w:hAnsiTheme="majorHAnsi"/>
          <w:sz w:val="20"/>
          <w:szCs w:val="20"/>
          <w:lang w:val="es-UY"/>
        </w:rPr>
        <w:t xml:space="preserve">adas por tribunales especiales </w:t>
      </w:r>
      <w:r w:rsidR="00116D15" w:rsidRPr="00640517">
        <w:rPr>
          <w:rFonts w:asciiTheme="majorHAnsi" w:hAnsiTheme="majorHAnsi"/>
          <w:sz w:val="20"/>
          <w:szCs w:val="20"/>
          <w:lang w:val="es-UY"/>
        </w:rPr>
        <w:t xml:space="preserve">o </w:t>
      </w:r>
      <w:r w:rsidR="00116D15" w:rsidRPr="00640517">
        <w:rPr>
          <w:rFonts w:asciiTheme="majorHAnsi" w:hAnsiTheme="majorHAnsi"/>
          <w:i/>
          <w:sz w:val="20"/>
          <w:szCs w:val="20"/>
          <w:lang w:val="es-UY"/>
        </w:rPr>
        <w:t>ad hoc</w:t>
      </w:r>
      <w:r w:rsidR="00AC5B75" w:rsidRPr="00640517">
        <w:rPr>
          <w:rStyle w:val="FootnoteReference"/>
          <w:rFonts w:asciiTheme="majorHAnsi" w:hAnsiTheme="majorHAnsi"/>
          <w:sz w:val="20"/>
          <w:szCs w:val="20"/>
          <w:lang w:val="es-UY"/>
        </w:rPr>
        <w:footnoteReference w:id="78"/>
      </w:r>
      <w:r w:rsidR="00116D15" w:rsidRPr="00640517">
        <w:rPr>
          <w:rFonts w:asciiTheme="majorHAnsi" w:hAnsiTheme="majorHAnsi"/>
          <w:sz w:val="20"/>
          <w:szCs w:val="20"/>
          <w:lang w:val="es-UY"/>
        </w:rPr>
        <w:t>.</w:t>
      </w:r>
    </w:p>
    <w:p w14:paraId="781F2EA9" w14:textId="77777777" w:rsidR="00AC5B75" w:rsidRPr="00640517" w:rsidRDefault="00AC5B75" w:rsidP="00E62E78">
      <w:pPr>
        <w:tabs>
          <w:tab w:val="num" w:pos="1440"/>
        </w:tabs>
        <w:jc w:val="both"/>
        <w:rPr>
          <w:rFonts w:asciiTheme="majorHAnsi" w:hAnsiTheme="majorHAnsi"/>
          <w:bCs/>
          <w:sz w:val="20"/>
          <w:szCs w:val="20"/>
          <w:lang w:val="es-CO"/>
        </w:rPr>
      </w:pPr>
    </w:p>
    <w:p w14:paraId="5F4E083F" w14:textId="77777777" w:rsidR="003361C6" w:rsidRPr="00640517" w:rsidRDefault="008820A9" w:rsidP="00E62E78">
      <w:pPr>
        <w:numPr>
          <w:ilvl w:val="0"/>
          <w:numId w:val="1"/>
        </w:numPr>
        <w:ind w:left="0" w:firstLine="720"/>
        <w:jc w:val="both"/>
        <w:rPr>
          <w:rFonts w:asciiTheme="majorHAnsi" w:hAnsiTheme="majorHAnsi"/>
          <w:bCs/>
          <w:sz w:val="20"/>
          <w:szCs w:val="20"/>
          <w:lang w:val="es-CO"/>
        </w:rPr>
      </w:pPr>
      <w:r w:rsidRPr="00640517">
        <w:rPr>
          <w:rFonts w:asciiTheme="majorHAnsi" w:hAnsiTheme="majorHAnsi"/>
          <w:sz w:val="20"/>
          <w:szCs w:val="20"/>
          <w:lang w:val="es-UY"/>
        </w:rPr>
        <w:t>L</w:t>
      </w:r>
      <w:r w:rsidR="00932AE4" w:rsidRPr="00640517">
        <w:rPr>
          <w:rFonts w:asciiTheme="majorHAnsi" w:hAnsiTheme="majorHAnsi"/>
          <w:sz w:val="20"/>
          <w:szCs w:val="20"/>
          <w:lang w:val="es-UY"/>
        </w:rPr>
        <w:t>os Estados tienen la facultad de diseñar y organizar los procedimientos disciplinarios al interior de éstos</w:t>
      </w:r>
      <w:r w:rsidRPr="00640517">
        <w:rPr>
          <w:rFonts w:asciiTheme="majorHAnsi" w:hAnsiTheme="majorHAnsi"/>
          <w:sz w:val="20"/>
          <w:szCs w:val="20"/>
          <w:lang w:val="es-UY"/>
        </w:rPr>
        <w:t xml:space="preserve">. </w:t>
      </w:r>
      <w:r w:rsidR="00677CD1" w:rsidRPr="00640517">
        <w:rPr>
          <w:rFonts w:asciiTheme="majorHAnsi" w:hAnsiTheme="majorHAnsi"/>
          <w:sz w:val="20"/>
          <w:szCs w:val="20"/>
          <w:lang w:val="es-UY"/>
        </w:rPr>
        <w:t>T</w:t>
      </w:r>
      <w:r w:rsidR="00677CD1" w:rsidRPr="00640517">
        <w:rPr>
          <w:rFonts w:asciiTheme="majorHAnsi" w:hAnsiTheme="majorHAnsi" w:cs="Calibri"/>
          <w:sz w:val="20"/>
          <w:szCs w:val="20"/>
          <w:lang w:val="es-UY"/>
        </w:rPr>
        <w:t xml:space="preserve">ales procesos deben </w:t>
      </w:r>
      <w:r w:rsidR="00947B82" w:rsidRPr="00640517">
        <w:rPr>
          <w:rFonts w:asciiTheme="majorHAnsi" w:hAnsiTheme="majorHAnsi" w:cs="Calibri"/>
          <w:sz w:val="20"/>
          <w:szCs w:val="20"/>
          <w:lang w:val="es-UY"/>
        </w:rPr>
        <w:t>aplicarse</w:t>
      </w:r>
      <w:r w:rsidR="00677CD1" w:rsidRPr="00640517">
        <w:rPr>
          <w:rFonts w:asciiTheme="majorHAnsi" w:hAnsiTheme="majorHAnsi" w:cs="Calibri"/>
          <w:sz w:val="20"/>
          <w:szCs w:val="20"/>
          <w:lang w:val="es-UY"/>
        </w:rPr>
        <w:t xml:space="preserve"> </w:t>
      </w:r>
      <w:r w:rsidR="00932AE4" w:rsidRPr="00640517">
        <w:rPr>
          <w:rFonts w:asciiTheme="majorHAnsi" w:hAnsiTheme="majorHAnsi" w:cs="Calibri"/>
          <w:sz w:val="20"/>
          <w:szCs w:val="20"/>
          <w:lang w:val="es-UY"/>
        </w:rPr>
        <w:t>con arreglo a procedimientos previamente establecidos</w:t>
      </w:r>
      <w:r w:rsidR="00677CD1" w:rsidRPr="00640517">
        <w:rPr>
          <w:rFonts w:asciiTheme="majorHAnsi" w:hAnsiTheme="majorHAnsi" w:cs="Calibri"/>
          <w:sz w:val="20"/>
          <w:szCs w:val="20"/>
          <w:lang w:val="es-UY"/>
        </w:rPr>
        <w:t xml:space="preserve"> que </w:t>
      </w:r>
      <w:r w:rsidR="001B5D43" w:rsidRPr="00640517">
        <w:rPr>
          <w:rFonts w:asciiTheme="majorHAnsi" w:hAnsiTheme="majorHAnsi" w:cs="Calibri"/>
          <w:sz w:val="20"/>
          <w:szCs w:val="20"/>
          <w:lang w:val="es-UY"/>
        </w:rPr>
        <w:t xml:space="preserve">indican </w:t>
      </w:r>
      <w:r w:rsidR="00AC5B75" w:rsidRPr="00640517">
        <w:rPr>
          <w:rFonts w:asciiTheme="majorHAnsi" w:hAnsiTheme="majorHAnsi" w:cs="Calibri"/>
          <w:sz w:val="20"/>
          <w:szCs w:val="20"/>
          <w:lang w:val="es-UY"/>
        </w:rPr>
        <w:t xml:space="preserve">las </w:t>
      </w:r>
      <w:r w:rsidR="00932AE4" w:rsidRPr="00640517">
        <w:rPr>
          <w:rFonts w:asciiTheme="majorHAnsi" w:hAnsiTheme="majorHAnsi" w:cs="Calibri"/>
          <w:sz w:val="20"/>
          <w:szCs w:val="20"/>
          <w:lang w:val="es-UY"/>
        </w:rPr>
        <w:t xml:space="preserve">autoridades </w:t>
      </w:r>
      <w:r w:rsidR="00DB09D5" w:rsidRPr="00640517">
        <w:rPr>
          <w:rFonts w:asciiTheme="majorHAnsi" w:hAnsiTheme="majorHAnsi" w:cs="Calibri"/>
          <w:sz w:val="20"/>
          <w:szCs w:val="20"/>
          <w:lang w:val="es-UY"/>
        </w:rPr>
        <w:t xml:space="preserve">y las </w:t>
      </w:r>
      <w:r w:rsidR="00932AE4" w:rsidRPr="00640517">
        <w:rPr>
          <w:rFonts w:asciiTheme="majorHAnsi" w:hAnsiTheme="majorHAnsi" w:cs="Calibri"/>
          <w:sz w:val="20"/>
          <w:szCs w:val="20"/>
          <w:lang w:val="es-UY"/>
        </w:rPr>
        <w:t>normas procesales</w:t>
      </w:r>
      <w:r w:rsidR="00DB09D5" w:rsidRPr="00640517">
        <w:rPr>
          <w:rFonts w:asciiTheme="majorHAnsi" w:hAnsiTheme="majorHAnsi" w:cs="Calibri"/>
          <w:sz w:val="20"/>
          <w:szCs w:val="20"/>
          <w:lang w:val="es-UY"/>
        </w:rPr>
        <w:t xml:space="preserve"> que correspondan</w:t>
      </w:r>
      <w:r w:rsidR="00932AE4" w:rsidRPr="00640517">
        <w:rPr>
          <w:rStyle w:val="FootnoteReference"/>
          <w:rFonts w:asciiTheme="majorHAnsi" w:hAnsiTheme="majorHAnsi"/>
          <w:sz w:val="20"/>
          <w:szCs w:val="20"/>
        </w:rPr>
        <w:footnoteReference w:id="79"/>
      </w:r>
      <w:r w:rsidR="00932AE4" w:rsidRPr="00640517">
        <w:rPr>
          <w:rFonts w:asciiTheme="majorHAnsi" w:hAnsiTheme="majorHAnsi" w:cs="Calibri"/>
          <w:sz w:val="20"/>
          <w:szCs w:val="20"/>
          <w:lang w:val="es-UY"/>
        </w:rPr>
        <w:t xml:space="preserve">. </w:t>
      </w:r>
      <w:r w:rsidR="00E62E78" w:rsidRPr="00640517">
        <w:rPr>
          <w:rFonts w:asciiTheme="majorHAnsi" w:hAnsiTheme="majorHAnsi"/>
          <w:sz w:val="20"/>
          <w:szCs w:val="20"/>
          <w:lang w:val="es-CO"/>
        </w:rPr>
        <w:t xml:space="preserve">Tal garantía se encuentra </w:t>
      </w:r>
      <w:r w:rsidR="00746174" w:rsidRPr="00640517">
        <w:rPr>
          <w:rFonts w:asciiTheme="majorHAnsi" w:hAnsiTheme="majorHAnsi"/>
          <w:sz w:val="20"/>
          <w:szCs w:val="20"/>
          <w:lang w:val="es-CO"/>
        </w:rPr>
        <w:t xml:space="preserve">satisfecha cuando la autoridad disciplinaria se origina en una norma </w:t>
      </w:r>
      <w:r w:rsidR="00671BEB" w:rsidRPr="00640517">
        <w:rPr>
          <w:rFonts w:asciiTheme="majorHAnsi" w:hAnsiTheme="majorHAnsi"/>
          <w:sz w:val="20"/>
          <w:szCs w:val="20"/>
          <w:lang w:val="es-CO"/>
        </w:rPr>
        <w:t>establecida con anterioridad a la causa</w:t>
      </w:r>
      <w:r w:rsidR="00671BEB" w:rsidRPr="00640517">
        <w:rPr>
          <w:rStyle w:val="FootnoteReference"/>
          <w:rFonts w:asciiTheme="majorHAnsi" w:hAnsiTheme="majorHAnsi"/>
          <w:sz w:val="20"/>
          <w:szCs w:val="20"/>
          <w:lang w:val="es-CO"/>
        </w:rPr>
        <w:footnoteReference w:id="80"/>
      </w:r>
      <w:r w:rsidR="003361C6" w:rsidRPr="00640517">
        <w:rPr>
          <w:rFonts w:asciiTheme="majorHAnsi" w:hAnsiTheme="majorHAnsi"/>
          <w:sz w:val="20"/>
          <w:szCs w:val="20"/>
          <w:lang w:val="es-CO"/>
        </w:rPr>
        <w:t xml:space="preserve"> y</w:t>
      </w:r>
      <w:r w:rsidRPr="00640517">
        <w:rPr>
          <w:rFonts w:asciiTheme="majorHAnsi" w:hAnsiTheme="majorHAnsi"/>
          <w:sz w:val="20"/>
          <w:szCs w:val="20"/>
          <w:lang w:val="es-CO"/>
        </w:rPr>
        <w:t>,</w:t>
      </w:r>
      <w:r w:rsidR="003361C6" w:rsidRPr="00640517">
        <w:rPr>
          <w:rFonts w:asciiTheme="majorHAnsi" w:hAnsiTheme="majorHAnsi"/>
          <w:sz w:val="20"/>
          <w:szCs w:val="20"/>
          <w:lang w:val="es-CO"/>
        </w:rPr>
        <w:t xml:space="preserve"> </w:t>
      </w:r>
      <w:r w:rsidR="00947B82" w:rsidRPr="00640517">
        <w:rPr>
          <w:rFonts w:asciiTheme="majorHAnsi" w:hAnsiTheme="majorHAnsi"/>
          <w:sz w:val="20"/>
          <w:szCs w:val="20"/>
          <w:lang w:val="es-CO"/>
        </w:rPr>
        <w:t xml:space="preserve">correlativamente, </w:t>
      </w:r>
      <w:r w:rsidR="00E62E78" w:rsidRPr="00640517">
        <w:rPr>
          <w:rFonts w:asciiTheme="majorHAnsi" w:hAnsiTheme="majorHAnsi"/>
          <w:sz w:val="20"/>
          <w:szCs w:val="20"/>
          <w:lang w:val="es-CO"/>
        </w:rPr>
        <w:t xml:space="preserve">dicha norma se viola cuando el </w:t>
      </w:r>
      <w:r w:rsidR="003361C6" w:rsidRPr="00640517">
        <w:rPr>
          <w:rFonts w:asciiTheme="majorHAnsi" w:hAnsiTheme="majorHAnsi"/>
          <w:bCs/>
          <w:sz w:val="20"/>
          <w:szCs w:val="20"/>
          <w:lang w:val="es-CO"/>
        </w:rPr>
        <w:t>órgano disciplinario</w:t>
      </w:r>
      <w:r w:rsidR="00E62E78" w:rsidRPr="00640517">
        <w:rPr>
          <w:rFonts w:asciiTheme="majorHAnsi" w:hAnsiTheme="majorHAnsi"/>
          <w:bCs/>
          <w:sz w:val="20"/>
          <w:szCs w:val="20"/>
          <w:lang w:val="es-CO"/>
        </w:rPr>
        <w:t xml:space="preserve"> carece </w:t>
      </w:r>
      <w:r w:rsidR="003361C6" w:rsidRPr="00640517">
        <w:rPr>
          <w:rFonts w:asciiTheme="majorHAnsi" w:hAnsiTheme="majorHAnsi"/>
          <w:sz w:val="20"/>
          <w:szCs w:val="20"/>
          <w:lang w:val="es-UY"/>
        </w:rPr>
        <w:t>de competencia, establecida por ley</w:t>
      </w:r>
      <w:r w:rsidR="003361C6" w:rsidRPr="00640517">
        <w:rPr>
          <w:rStyle w:val="FootnoteReference"/>
          <w:rFonts w:asciiTheme="majorHAnsi" w:hAnsiTheme="majorHAnsi"/>
          <w:sz w:val="20"/>
          <w:szCs w:val="20"/>
          <w:lang w:val="es-UY"/>
        </w:rPr>
        <w:footnoteReference w:id="81"/>
      </w:r>
      <w:r w:rsidR="003361C6" w:rsidRPr="00640517">
        <w:rPr>
          <w:lang w:val="es-UY"/>
        </w:rPr>
        <w:t>.</w:t>
      </w:r>
    </w:p>
    <w:p w14:paraId="4F9F46A8" w14:textId="77777777" w:rsidR="00CA2932" w:rsidRPr="00640517" w:rsidRDefault="00CA2932" w:rsidP="00CA2932">
      <w:pPr>
        <w:pStyle w:val="ListParagraph"/>
        <w:rPr>
          <w:rFonts w:asciiTheme="majorHAnsi" w:hAnsiTheme="majorHAnsi"/>
          <w:bCs/>
          <w:sz w:val="20"/>
          <w:szCs w:val="20"/>
          <w:lang w:val="es-CO"/>
        </w:rPr>
      </w:pPr>
    </w:p>
    <w:p w14:paraId="2C6678D8" w14:textId="77777777" w:rsidR="00CA2932" w:rsidRPr="00640517" w:rsidRDefault="00CA2932" w:rsidP="00CA2932">
      <w:pPr>
        <w:numPr>
          <w:ilvl w:val="0"/>
          <w:numId w:val="1"/>
        </w:numPr>
        <w:autoSpaceDE w:val="0"/>
        <w:autoSpaceDN w:val="0"/>
        <w:adjustRightInd w:val="0"/>
        <w:ind w:left="0" w:firstLine="720"/>
        <w:jc w:val="both"/>
        <w:rPr>
          <w:rFonts w:asciiTheme="majorHAnsi" w:hAnsiTheme="majorHAnsi"/>
          <w:bCs/>
          <w:sz w:val="20"/>
          <w:szCs w:val="20"/>
          <w:lang w:val="es-CO"/>
        </w:rPr>
      </w:pPr>
      <w:r w:rsidRPr="00640517">
        <w:rPr>
          <w:rFonts w:asciiTheme="majorHAnsi" w:hAnsiTheme="majorHAnsi"/>
          <w:bCs/>
          <w:sz w:val="20"/>
          <w:szCs w:val="20"/>
          <w:lang w:val="es-CO"/>
        </w:rPr>
        <w:t xml:space="preserve">La Comisión ha indicado que </w:t>
      </w:r>
      <w:r w:rsidR="00122516" w:rsidRPr="00640517">
        <w:rPr>
          <w:rFonts w:ascii="Cambria" w:hAnsi="Cambria" w:cs="Cambria"/>
          <w:sz w:val="20"/>
          <w:szCs w:val="20"/>
          <w:lang w:val="es-CO"/>
        </w:rPr>
        <w:t>ú</w:t>
      </w:r>
      <w:r w:rsidRPr="00640517">
        <w:rPr>
          <w:rFonts w:ascii="Cambria" w:hAnsi="Cambria" w:cs="Cambria"/>
          <w:sz w:val="20"/>
          <w:szCs w:val="20"/>
          <w:lang w:val="es-CO"/>
        </w:rPr>
        <w:t>nicamente un proceso de designación que sea transparente, basado en criterios</w:t>
      </w:r>
      <w:r w:rsidR="00122516" w:rsidRPr="00640517">
        <w:rPr>
          <w:rFonts w:asciiTheme="majorHAnsi" w:hAnsiTheme="majorHAnsi"/>
          <w:bCs/>
          <w:sz w:val="20"/>
          <w:szCs w:val="20"/>
          <w:lang w:val="es-CO"/>
        </w:rPr>
        <w:t xml:space="preserve"> </w:t>
      </w:r>
      <w:r w:rsidRPr="00640517">
        <w:rPr>
          <w:rFonts w:ascii="Cambria" w:hAnsi="Cambria" w:cs="Cambria"/>
          <w:sz w:val="20"/>
          <w:szCs w:val="20"/>
          <w:lang w:val="es-CO"/>
        </w:rPr>
        <w:t>objetivos y que garantice la igualdad de los candidatos y candidatas, es una</w:t>
      </w:r>
      <w:r w:rsidR="00122516" w:rsidRPr="00640517">
        <w:rPr>
          <w:rFonts w:asciiTheme="majorHAnsi" w:hAnsiTheme="majorHAnsi"/>
          <w:bCs/>
          <w:sz w:val="20"/>
          <w:szCs w:val="20"/>
          <w:lang w:val="es-CO"/>
        </w:rPr>
        <w:t xml:space="preserve"> </w:t>
      </w:r>
      <w:r w:rsidRPr="00640517">
        <w:rPr>
          <w:rFonts w:ascii="Cambria" w:hAnsi="Cambria" w:cs="Cambria"/>
          <w:sz w:val="20"/>
          <w:szCs w:val="20"/>
          <w:lang w:val="es-CO"/>
        </w:rPr>
        <w:t>garantía fundamental para la independencia del Poder Judicial</w:t>
      </w:r>
      <w:r w:rsidR="00122516" w:rsidRPr="00640517">
        <w:rPr>
          <w:rStyle w:val="FootnoteReference"/>
          <w:rFonts w:ascii="Cambria" w:hAnsi="Cambria" w:cs="Cambria"/>
          <w:sz w:val="20"/>
          <w:szCs w:val="20"/>
          <w:lang w:val="es-CO"/>
        </w:rPr>
        <w:footnoteReference w:id="82"/>
      </w:r>
      <w:r w:rsidRPr="00640517">
        <w:rPr>
          <w:rFonts w:ascii="Cambria" w:hAnsi="Cambria" w:cs="Cambria"/>
          <w:sz w:val="20"/>
          <w:szCs w:val="20"/>
          <w:lang w:val="es-CO"/>
        </w:rPr>
        <w:t>. Justamente en</w:t>
      </w:r>
      <w:r w:rsidR="00122516" w:rsidRPr="00640517">
        <w:rPr>
          <w:rFonts w:ascii="Cambria" w:hAnsi="Cambria" w:cs="Cambria"/>
          <w:sz w:val="20"/>
          <w:szCs w:val="20"/>
          <w:lang w:val="es-CO"/>
        </w:rPr>
        <w:t xml:space="preserve"> </w:t>
      </w:r>
      <w:r w:rsidRPr="00640517">
        <w:rPr>
          <w:rFonts w:ascii="Cambria" w:hAnsi="Cambria" w:cs="Cambria"/>
          <w:sz w:val="20"/>
          <w:szCs w:val="20"/>
          <w:lang w:val="es-CO"/>
        </w:rPr>
        <w:t>virtud de la importante función que realizan los órganos encargados de los</w:t>
      </w:r>
      <w:r w:rsidR="00122516" w:rsidRPr="00640517">
        <w:rPr>
          <w:rFonts w:ascii="Cambria" w:hAnsi="Cambria" w:cs="Cambria"/>
          <w:sz w:val="20"/>
          <w:szCs w:val="20"/>
          <w:lang w:val="es-CO"/>
        </w:rPr>
        <w:t xml:space="preserve"> </w:t>
      </w:r>
      <w:r w:rsidRPr="00640517">
        <w:rPr>
          <w:rFonts w:ascii="Cambria" w:hAnsi="Cambria" w:cs="Cambria"/>
          <w:sz w:val="20"/>
          <w:szCs w:val="20"/>
          <w:lang w:val="es-CO"/>
        </w:rPr>
        <w:t>procesos de nombramiento, ascensos y sanciones disciplinarias de jueces y juezas</w:t>
      </w:r>
      <w:r w:rsidR="00122516" w:rsidRPr="00640517">
        <w:rPr>
          <w:rFonts w:ascii="Cambria" w:hAnsi="Cambria" w:cs="Cambria"/>
          <w:sz w:val="20"/>
          <w:szCs w:val="20"/>
          <w:lang w:val="es-CO"/>
        </w:rPr>
        <w:t xml:space="preserve"> </w:t>
      </w:r>
      <w:r w:rsidRPr="00640517">
        <w:rPr>
          <w:rFonts w:ascii="Cambria" w:hAnsi="Cambria" w:cs="Cambria"/>
          <w:sz w:val="20"/>
          <w:szCs w:val="20"/>
          <w:lang w:val="es-CO"/>
        </w:rPr>
        <w:t>y la objetividad que requieren para su actuación, la Comisión ha considerado que es conveniente que los Estados establezcan un órgano independiente que tenga</w:t>
      </w:r>
      <w:r w:rsidR="00122516" w:rsidRPr="00640517">
        <w:rPr>
          <w:rFonts w:ascii="Cambria" w:hAnsi="Cambria" w:cs="Cambria"/>
          <w:sz w:val="20"/>
          <w:szCs w:val="20"/>
          <w:lang w:val="es-CO"/>
        </w:rPr>
        <w:t xml:space="preserve"> </w:t>
      </w:r>
      <w:r w:rsidRPr="00640517">
        <w:rPr>
          <w:rFonts w:ascii="Cambria" w:hAnsi="Cambria" w:cs="Cambria"/>
          <w:sz w:val="20"/>
          <w:szCs w:val="20"/>
          <w:lang w:val="es-CO"/>
        </w:rPr>
        <w:t>entre sus funciones el nombramiento, ascenso y destitución de los jueces</w:t>
      </w:r>
      <w:r w:rsidR="00122516" w:rsidRPr="00640517">
        <w:rPr>
          <w:rStyle w:val="FootnoteReference"/>
          <w:rFonts w:ascii="Cambria" w:hAnsi="Cambria" w:cs="Cambria"/>
          <w:sz w:val="20"/>
          <w:szCs w:val="20"/>
          <w:lang w:val="es-CO"/>
        </w:rPr>
        <w:footnoteReference w:id="83"/>
      </w:r>
      <w:r w:rsidRPr="00640517">
        <w:rPr>
          <w:rFonts w:ascii="Cambria" w:hAnsi="Cambria" w:cs="Cambria"/>
          <w:sz w:val="20"/>
          <w:szCs w:val="20"/>
          <w:lang w:val="es-CO"/>
        </w:rPr>
        <w:t>.</w:t>
      </w:r>
    </w:p>
    <w:p w14:paraId="7236B9D4" w14:textId="77777777" w:rsidR="00CA2932" w:rsidRPr="00640517" w:rsidRDefault="00CA2932" w:rsidP="008C494F">
      <w:pPr>
        <w:tabs>
          <w:tab w:val="num" w:pos="1440"/>
        </w:tabs>
        <w:jc w:val="both"/>
        <w:rPr>
          <w:rFonts w:asciiTheme="majorHAnsi" w:hAnsiTheme="majorHAnsi"/>
          <w:bCs/>
          <w:sz w:val="20"/>
          <w:szCs w:val="20"/>
          <w:lang w:val="es-CO"/>
        </w:rPr>
      </w:pPr>
    </w:p>
    <w:p w14:paraId="3883DF2B" w14:textId="77777777" w:rsidR="00EB6EF2" w:rsidRPr="00640517" w:rsidRDefault="00116D15" w:rsidP="00FF6485">
      <w:pPr>
        <w:numPr>
          <w:ilvl w:val="0"/>
          <w:numId w:val="1"/>
        </w:numPr>
        <w:ind w:left="0" w:firstLine="720"/>
        <w:jc w:val="both"/>
        <w:rPr>
          <w:rFonts w:asciiTheme="majorHAnsi" w:hAnsiTheme="majorHAnsi"/>
          <w:bCs/>
          <w:sz w:val="20"/>
          <w:szCs w:val="20"/>
          <w:lang w:val="es-CO"/>
        </w:rPr>
      </w:pPr>
      <w:r w:rsidRPr="00640517">
        <w:rPr>
          <w:rFonts w:asciiTheme="majorHAnsi" w:hAnsiTheme="majorHAnsi"/>
          <w:sz w:val="20"/>
          <w:szCs w:val="20"/>
          <w:lang w:val="es-CO"/>
        </w:rPr>
        <w:t xml:space="preserve">En </w:t>
      </w:r>
      <w:r w:rsidR="008C494F" w:rsidRPr="00640517">
        <w:rPr>
          <w:rFonts w:asciiTheme="majorHAnsi" w:hAnsiTheme="majorHAnsi"/>
          <w:sz w:val="20"/>
          <w:szCs w:val="20"/>
          <w:lang w:val="es-CO"/>
        </w:rPr>
        <w:t>el presente caso</w:t>
      </w:r>
      <w:r w:rsidR="00351AD9" w:rsidRPr="00640517">
        <w:rPr>
          <w:rFonts w:asciiTheme="majorHAnsi" w:hAnsiTheme="majorHAnsi"/>
          <w:bCs/>
          <w:sz w:val="20"/>
          <w:szCs w:val="20"/>
          <w:lang w:val="es-CO"/>
        </w:rPr>
        <w:t>,</w:t>
      </w:r>
      <w:r w:rsidR="0019063C" w:rsidRPr="00640517">
        <w:rPr>
          <w:rFonts w:asciiTheme="majorHAnsi" w:hAnsiTheme="majorHAnsi"/>
          <w:bCs/>
          <w:sz w:val="20"/>
          <w:szCs w:val="20"/>
          <w:lang w:val="es-CO"/>
        </w:rPr>
        <w:t xml:space="preserve"> </w:t>
      </w:r>
      <w:r w:rsidR="00FF6485" w:rsidRPr="00640517">
        <w:rPr>
          <w:rFonts w:asciiTheme="majorHAnsi" w:hAnsiTheme="majorHAnsi"/>
          <w:bCs/>
          <w:sz w:val="20"/>
          <w:szCs w:val="20"/>
          <w:lang w:val="es-CO"/>
        </w:rPr>
        <w:t>no está en controversia que</w:t>
      </w:r>
      <w:r w:rsidR="006E2DB1" w:rsidRPr="00640517">
        <w:rPr>
          <w:rFonts w:asciiTheme="majorHAnsi" w:hAnsiTheme="majorHAnsi"/>
          <w:bCs/>
          <w:sz w:val="20"/>
          <w:szCs w:val="20"/>
          <w:lang w:val="es-CO"/>
        </w:rPr>
        <w:t xml:space="preserve"> la</w:t>
      </w:r>
      <w:r w:rsidR="00947B82" w:rsidRPr="00640517">
        <w:rPr>
          <w:rFonts w:asciiTheme="majorHAnsi" w:hAnsiTheme="majorHAnsi"/>
          <w:bCs/>
          <w:sz w:val="20"/>
          <w:szCs w:val="20"/>
          <w:lang w:val="es-CO"/>
        </w:rPr>
        <w:t xml:space="preserve"> Constitución no atribuía expresamente a</w:t>
      </w:r>
      <w:r w:rsidR="00FF6485" w:rsidRPr="00640517">
        <w:rPr>
          <w:rFonts w:asciiTheme="majorHAnsi" w:hAnsiTheme="majorHAnsi"/>
          <w:bCs/>
          <w:sz w:val="20"/>
          <w:szCs w:val="20"/>
          <w:lang w:val="es-CO"/>
        </w:rPr>
        <w:t xml:space="preserve"> la Asamblea Legislativa la </w:t>
      </w:r>
      <w:r w:rsidR="002E2B5A" w:rsidRPr="00640517">
        <w:rPr>
          <w:rFonts w:asciiTheme="majorHAnsi" w:hAnsiTheme="majorHAnsi"/>
          <w:bCs/>
          <w:sz w:val="20"/>
          <w:szCs w:val="20"/>
          <w:lang w:val="es-CO"/>
        </w:rPr>
        <w:t xml:space="preserve">competencia </w:t>
      </w:r>
      <w:r w:rsidR="00FF6485" w:rsidRPr="00640517">
        <w:rPr>
          <w:rFonts w:asciiTheme="majorHAnsi" w:hAnsiTheme="majorHAnsi"/>
          <w:bCs/>
          <w:sz w:val="20"/>
          <w:szCs w:val="20"/>
          <w:lang w:val="es-CO"/>
        </w:rPr>
        <w:t xml:space="preserve">para cesar o destituir a los magistrados del TSE. </w:t>
      </w:r>
      <w:r w:rsidR="00EB6EF2" w:rsidRPr="00640517">
        <w:rPr>
          <w:rFonts w:asciiTheme="majorHAnsi" w:hAnsiTheme="majorHAnsi"/>
          <w:bCs/>
          <w:sz w:val="20"/>
          <w:szCs w:val="20"/>
          <w:lang w:val="es-CO"/>
        </w:rPr>
        <w:t xml:space="preserve">Tampoco está en </w:t>
      </w:r>
      <w:r w:rsidR="00EB6EF2" w:rsidRPr="00640517">
        <w:rPr>
          <w:rFonts w:asciiTheme="majorHAnsi" w:hAnsiTheme="majorHAnsi"/>
          <w:bCs/>
          <w:sz w:val="20"/>
          <w:szCs w:val="20"/>
          <w:lang w:val="es-CO"/>
        </w:rPr>
        <w:lastRenderedPageBreak/>
        <w:t>controversia que no existía regulación alguna sobre el procedimiento para ejercer la facultad disciplinaria contra los miembros de dich</w:t>
      </w:r>
      <w:r w:rsidR="006E2DB1" w:rsidRPr="00640517">
        <w:rPr>
          <w:rFonts w:asciiTheme="majorHAnsi" w:hAnsiTheme="majorHAnsi"/>
          <w:bCs/>
          <w:sz w:val="20"/>
          <w:szCs w:val="20"/>
          <w:lang w:val="es-CO"/>
        </w:rPr>
        <w:t>o</w:t>
      </w:r>
      <w:r w:rsidR="00EB6EF2" w:rsidRPr="00640517">
        <w:rPr>
          <w:rFonts w:asciiTheme="majorHAnsi" w:hAnsiTheme="majorHAnsi"/>
          <w:bCs/>
          <w:sz w:val="20"/>
          <w:szCs w:val="20"/>
          <w:lang w:val="es-CO"/>
        </w:rPr>
        <w:t xml:space="preserve"> Tribunal. </w:t>
      </w:r>
    </w:p>
    <w:p w14:paraId="361556DA" w14:textId="77777777" w:rsidR="00EB6EF2" w:rsidRPr="00640517" w:rsidRDefault="00EB6EF2" w:rsidP="006B1085">
      <w:pPr>
        <w:jc w:val="both"/>
        <w:rPr>
          <w:rFonts w:asciiTheme="majorHAnsi" w:hAnsiTheme="majorHAnsi"/>
          <w:sz w:val="20"/>
          <w:szCs w:val="20"/>
          <w:lang w:val="es-CO"/>
        </w:rPr>
      </w:pPr>
    </w:p>
    <w:p w14:paraId="6BB1C80D" w14:textId="77777777" w:rsidR="00EB6EF2" w:rsidRPr="00640517" w:rsidRDefault="008609CE" w:rsidP="00FF6485">
      <w:pPr>
        <w:numPr>
          <w:ilvl w:val="0"/>
          <w:numId w:val="1"/>
        </w:numPr>
        <w:ind w:left="0" w:firstLine="720"/>
        <w:jc w:val="both"/>
        <w:rPr>
          <w:rFonts w:asciiTheme="majorHAnsi" w:hAnsiTheme="majorHAnsi"/>
          <w:bCs/>
          <w:sz w:val="20"/>
          <w:szCs w:val="20"/>
          <w:lang w:val="es-CO"/>
        </w:rPr>
      </w:pPr>
      <w:r w:rsidRPr="00640517">
        <w:rPr>
          <w:rFonts w:asciiTheme="majorHAnsi" w:hAnsiTheme="majorHAnsi"/>
          <w:sz w:val="20"/>
          <w:szCs w:val="20"/>
          <w:lang w:val="es-CO"/>
        </w:rPr>
        <w:t>En primer lugar, l</w:t>
      </w:r>
      <w:r w:rsidR="008C494F" w:rsidRPr="00640517">
        <w:rPr>
          <w:rFonts w:asciiTheme="majorHAnsi" w:hAnsiTheme="majorHAnsi"/>
          <w:sz w:val="20"/>
          <w:szCs w:val="20"/>
          <w:lang w:val="es-CO"/>
        </w:rPr>
        <w:t>a Comisión considera que el pronunciamiento de la Sala</w:t>
      </w:r>
      <w:r w:rsidR="0000148B" w:rsidRPr="00640517">
        <w:rPr>
          <w:rFonts w:asciiTheme="majorHAnsi" w:hAnsiTheme="majorHAnsi"/>
          <w:sz w:val="20"/>
          <w:szCs w:val="20"/>
          <w:lang w:val="es-CO"/>
        </w:rPr>
        <w:t xml:space="preserve"> de lo</w:t>
      </w:r>
      <w:r w:rsidR="008C494F" w:rsidRPr="00640517">
        <w:rPr>
          <w:rFonts w:asciiTheme="majorHAnsi" w:hAnsiTheme="majorHAnsi"/>
          <w:sz w:val="20"/>
          <w:szCs w:val="20"/>
          <w:lang w:val="es-CO"/>
        </w:rPr>
        <w:t xml:space="preserve"> Constitucional </w:t>
      </w:r>
      <w:r w:rsidR="00FF6485" w:rsidRPr="00640517">
        <w:rPr>
          <w:rFonts w:asciiTheme="majorHAnsi" w:hAnsiTheme="majorHAnsi"/>
          <w:sz w:val="20"/>
          <w:szCs w:val="20"/>
          <w:lang w:val="es-CO"/>
        </w:rPr>
        <w:t xml:space="preserve">que consideró que esta atribución correspondía a la misma autoridad que los nombró, </w:t>
      </w:r>
      <w:r w:rsidR="008C494F" w:rsidRPr="00640517">
        <w:rPr>
          <w:rFonts w:asciiTheme="majorHAnsi" w:hAnsiTheme="majorHAnsi"/>
          <w:sz w:val="20"/>
          <w:szCs w:val="20"/>
          <w:lang w:val="es-CO"/>
        </w:rPr>
        <w:t>no</w:t>
      </w:r>
      <w:r w:rsidR="0019063C" w:rsidRPr="00640517">
        <w:rPr>
          <w:rFonts w:asciiTheme="majorHAnsi" w:hAnsiTheme="majorHAnsi"/>
          <w:sz w:val="20"/>
          <w:szCs w:val="20"/>
          <w:lang w:val="es-CO"/>
        </w:rPr>
        <w:t xml:space="preserve"> puede </w:t>
      </w:r>
      <w:r w:rsidR="001B5D43" w:rsidRPr="00640517">
        <w:rPr>
          <w:rFonts w:asciiTheme="majorHAnsi" w:hAnsiTheme="majorHAnsi"/>
          <w:sz w:val="20"/>
          <w:szCs w:val="20"/>
          <w:lang w:val="es-CO"/>
        </w:rPr>
        <w:t xml:space="preserve">en sí mismo, </w:t>
      </w:r>
      <w:r w:rsidR="00DB09D5" w:rsidRPr="00640517">
        <w:rPr>
          <w:rFonts w:asciiTheme="majorHAnsi" w:hAnsiTheme="majorHAnsi"/>
          <w:sz w:val="20"/>
          <w:szCs w:val="20"/>
          <w:lang w:val="es-CO"/>
        </w:rPr>
        <w:t xml:space="preserve">sustituir </w:t>
      </w:r>
      <w:r w:rsidR="0019063C" w:rsidRPr="00640517">
        <w:rPr>
          <w:rFonts w:asciiTheme="majorHAnsi" w:hAnsiTheme="majorHAnsi"/>
          <w:sz w:val="20"/>
          <w:szCs w:val="20"/>
          <w:lang w:val="es-CO"/>
        </w:rPr>
        <w:t>la función de la ley de ofrecer</w:t>
      </w:r>
      <w:r w:rsidR="004E1C7C" w:rsidRPr="00640517">
        <w:rPr>
          <w:rFonts w:asciiTheme="majorHAnsi" w:hAnsiTheme="majorHAnsi"/>
          <w:sz w:val="20"/>
          <w:szCs w:val="20"/>
          <w:lang w:val="es-CO"/>
        </w:rPr>
        <w:t>,</w:t>
      </w:r>
      <w:r w:rsidR="0019063C" w:rsidRPr="00640517">
        <w:rPr>
          <w:rFonts w:asciiTheme="majorHAnsi" w:hAnsiTheme="majorHAnsi"/>
          <w:sz w:val="20"/>
          <w:szCs w:val="20"/>
          <w:lang w:val="es-CO"/>
        </w:rPr>
        <w:t xml:space="preserve"> </w:t>
      </w:r>
      <w:r w:rsidR="004E1C7C" w:rsidRPr="00640517">
        <w:rPr>
          <w:rFonts w:asciiTheme="majorHAnsi" w:hAnsiTheme="majorHAnsi"/>
          <w:sz w:val="20"/>
          <w:szCs w:val="20"/>
          <w:lang w:val="es-CO"/>
        </w:rPr>
        <w:t xml:space="preserve">previamente al procedimiento en el caso concreto, la </w:t>
      </w:r>
      <w:r w:rsidR="00DB09D5" w:rsidRPr="00640517">
        <w:rPr>
          <w:rFonts w:asciiTheme="majorHAnsi" w:hAnsiTheme="majorHAnsi"/>
          <w:sz w:val="20"/>
          <w:szCs w:val="20"/>
          <w:lang w:val="es-CO"/>
        </w:rPr>
        <w:t>seguridad jurídica</w:t>
      </w:r>
      <w:r w:rsidR="004E1C7C" w:rsidRPr="00640517">
        <w:rPr>
          <w:rFonts w:asciiTheme="majorHAnsi" w:hAnsiTheme="majorHAnsi"/>
          <w:sz w:val="20"/>
          <w:szCs w:val="20"/>
          <w:lang w:val="es-CO"/>
        </w:rPr>
        <w:t xml:space="preserve"> necesaria</w:t>
      </w:r>
      <w:r w:rsidR="00DB09D5" w:rsidRPr="00640517">
        <w:rPr>
          <w:rFonts w:asciiTheme="majorHAnsi" w:hAnsiTheme="majorHAnsi"/>
          <w:sz w:val="20"/>
          <w:szCs w:val="20"/>
          <w:lang w:val="es-CO"/>
        </w:rPr>
        <w:t xml:space="preserve"> </w:t>
      </w:r>
      <w:r w:rsidR="0019063C" w:rsidRPr="00640517">
        <w:rPr>
          <w:rFonts w:asciiTheme="majorHAnsi" w:hAnsiTheme="majorHAnsi"/>
          <w:sz w:val="20"/>
          <w:szCs w:val="20"/>
          <w:lang w:val="es-CO"/>
        </w:rPr>
        <w:t xml:space="preserve">en cuanto a la </w:t>
      </w:r>
      <w:r w:rsidR="00DB09D5" w:rsidRPr="00640517">
        <w:rPr>
          <w:rFonts w:asciiTheme="majorHAnsi" w:hAnsiTheme="majorHAnsi"/>
          <w:sz w:val="20"/>
          <w:szCs w:val="20"/>
          <w:lang w:val="es-CO"/>
        </w:rPr>
        <w:t xml:space="preserve">previsibilidad de la </w:t>
      </w:r>
      <w:r w:rsidR="0019063C" w:rsidRPr="00640517">
        <w:rPr>
          <w:rFonts w:asciiTheme="majorHAnsi" w:hAnsiTheme="majorHAnsi"/>
          <w:sz w:val="20"/>
          <w:szCs w:val="20"/>
          <w:lang w:val="es-CO"/>
        </w:rPr>
        <w:t>autoridad competente</w:t>
      </w:r>
      <w:r w:rsidR="00DB09D5" w:rsidRPr="00640517">
        <w:rPr>
          <w:rFonts w:asciiTheme="majorHAnsi" w:hAnsiTheme="majorHAnsi"/>
          <w:sz w:val="20"/>
          <w:szCs w:val="20"/>
          <w:lang w:val="es-CO"/>
        </w:rPr>
        <w:t xml:space="preserve"> y el consecuente alcance de </w:t>
      </w:r>
      <w:r w:rsidR="004E1C7C" w:rsidRPr="00640517">
        <w:rPr>
          <w:rFonts w:asciiTheme="majorHAnsi" w:hAnsiTheme="majorHAnsi"/>
          <w:sz w:val="20"/>
          <w:szCs w:val="20"/>
          <w:lang w:val="es-CO"/>
        </w:rPr>
        <w:t xml:space="preserve">dicha competencia. </w:t>
      </w:r>
      <w:r w:rsidR="001B5D43" w:rsidRPr="00640517">
        <w:rPr>
          <w:rFonts w:asciiTheme="majorHAnsi" w:hAnsiTheme="majorHAnsi"/>
          <w:sz w:val="20"/>
          <w:szCs w:val="20"/>
          <w:lang w:val="es-CO"/>
        </w:rPr>
        <w:t>Lo anterior</w:t>
      </w:r>
      <w:r w:rsidR="004E1C7C" w:rsidRPr="00640517">
        <w:rPr>
          <w:rFonts w:asciiTheme="majorHAnsi" w:hAnsiTheme="majorHAnsi"/>
          <w:sz w:val="20"/>
          <w:szCs w:val="20"/>
          <w:lang w:val="es-CO"/>
        </w:rPr>
        <w:t xml:space="preserve"> resulta aún de mayor relevancia </w:t>
      </w:r>
      <w:r w:rsidR="0019063C" w:rsidRPr="00640517">
        <w:rPr>
          <w:rFonts w:asciiTheme="majorHAnsi" w:hAnsiTheme="majorHAnsi"/>
          <w:sz w:val="20"/>
          <w:szCs w:val="20"/>
          <w:lang w:val="es-CO"/>
        </w:rPr>
        <w:t>tratándose de un proceso de carácter sancionatorio</w:t>
      </w:r>
      <w:r w:rsidR="008C494F" w:rsidRPr="00640517">
        <w:rPr>
          <w:rFonts w:asciiTheme="majorHAnsi" w:hAnsiTheme="majorHAnsi"/>
          <w:sz w:val="20"/>
          <w:szCs w:val="20"/>
          <w:lang w:val="es-CO"/>
        </w:rPr>
        <w:t xml:space="preserve"> </w:t>
      </w:r>
      <w:r w:rsidR="004E1C7C" w:rsidRPr="00640517">
        <w:rPr>
          <w:rFonts w:asciiTheme="majorHAnsi" w:hAnsiTheme="majorHAnsi"/>
          <w:sz w:val="20"/>
          <w:szCs w:val="20"/>
          <w:lang w:val="es-CO"/>
        </w:rPr>
        <w:t xml:space="preserve">contra un juez, </w:t>
      </w:r>
      <w:r w:rsidR="008C494F" w:rsidRPr="00640517">
        <w:rPr>
          <w:rFonts w:asciiTheme="majorHAnsi" w:hAnsiTheme="majorHAnsi"/>
          <w:sz w:val="20"/>
          <w:szCs w:val="20"/>
          <w:lang w:val="es-CO"/>
        </w:rPr>
        <w:t xml:space="preserve">a la luz del carácter reforzado que tiene la inamovilidad de </w:t>
      </w:r>
      <w:r w:rsidR="004E1C7C" w:rsidRPr="00640517">
        <w:rPr>
          <w:rFonts w:asciiTheme="majorHAnsi" w:hAnsiTheme="majorHAnsi"/>
          <w:sz w:val="20"/>
          <w:szCs w:val="20"/>
          <w:lang w:val="es-CO"/>
        </w:rPr>
        <w:t xml:space="preserve">quienes ostentan tal función </w:t>
      </w:r>
      <w:r w:rsidR="00DB09D5" w:rsidRPr="00640517">
        <w:rPr>
          <w:rFonts w:asciiTheme="majorHAnsi" w:hAnsiTheme="majorHAnsi"/>
          <w:sz w:val="20"/>
          <w:szCs w:val="20"/>
          <w:lang w:val="es-CO"/>
        </w:rPr>
        <w:t xml:space="preserve">a </w:t>
      </w:r>
      <w:r w:rsidR="004E1C7C" w:rsidRPr="00640517">
        <w:rPr>
          <w:rFonts w:asciiTheme="majorHAnsi" w:hAnsiTheme="majorHAnsi"/>
          <w:sz w:val="20"/>
          <w:szCs w:val="20"/>
          <w:lang w:val="es-CO"/>
        </w:rPr>
        <w:t xml:space="preserve">fin </w:t>
      </w:r>
      <w:r w:rsidR="00DB09D5" w:rsidRPr="00640517">
        <w:rPr>
          <w:rFonts w:asciiTheme="majorHAnsi" w:hAnsiTheme="majorHAnsi"/>
          <w:sz w:val="20"/>
          <w:szCs w:val="20"/>
          <w:lang w:val="es-CO"/>
        </w:rPr>
        <w:t>de salvaguardar su independencia.</w:t>
      </w:r>
      <w:r w:rsidR="0019063C" w:rsidRPr="00640517">
        <w:rPr>
          <w:rFonts w:asciiTheme="majorHAnsi" w:hAnsiTheme="majorHAnsi"/>
          <w:sz w:val="20"/>
          <w:szCs w:val="20"/>
          <w:lang w:val="es-CO"/>
        </w:rPr>
        <w:t xml:space="preserve"> </w:t>
      </w:r>
    </w:p>
    <w:p w14:paraId="1E549947" w14:textId="77777777" w:rsidR="00C54ECB" w:rsidRPr="00640517" w:rsidRDefault="00C54ECB" w:rsidP="006B1085">
      <w:pPr>
        <w:jc w:val="both"/>
        <w:rPr>
          <w:rFonts w:asciiTheme="majorHAnsi" w:hAnsiTheme="majorHAnsi"/>
          <w:bCs/>
          <w:sz w:val="20"/>
          <w:szCs w:val="20"/>
          <w:lang w:val="es-CO"/>
        </w:rPr>
      </w:pPr>
    </w:p>
    <w:p w14:paraId="2E890AB1" w14:textId="77777777" w:rsidR="00A4112E" w:rsidRPr="00640517" w:rsidRDefault="00C54ECB" w:rsidP="00FF6485">
      <w:pPr>
        <w:numPr>
          <w:ilvl w:val="0"/>
          <w:numId w:val="1"/>
        </w:numPr>
        <w:ind w:left="0" w:firstLine="720"/>
        <w:jc w:val="both"/>
        <w:rPr>
          <w:rFonts w:asciiTheme="majorHAnsi" w:hAnsiTheme="majorHAnsi"/>
          <w:bCs/>
          <w:sz w:val="20"/>
          <w:szCs w:val="20"/>
          <w:lang w:val="es-CO"/>
        </w:rPr>
      </w:pPr>
      <w:r w:rsidRPr="00640517">
        <w:rPr>
          <w:rFonts w:asciiTheme="majorHAnsi" w:hAnsiTheme="majorHAnsi"/>
          <w:sz w:val="20"/>
          <w:szCs w:val="20"/>
          <w:lang w:val="es-CO"/>
        </w:rPr>
        <w:t xml:space="preserve">La Comisión considera que en el presente caso y a la luz del principio de independencia judicial, resulta aún más problemática la interpretación de la Sala </w:t>
      </w:r>
      <w:r w:rsidR="003E70F4" w:rsidRPr="00640517">
        <w:rPr>
          <w:rFonts w:asciiTheme="majorHAnsi" w:hAnsiTheme="majorHAnsi"/>
          <w:sz w:val="20"/>
          <w:szCs w:val="20"/>
          <w:lang w:val="es-CO"/>
        </w:rPr>
        <w:t xml:space="preserve">de lo </w:t>
      </w:r>
      <w:r w:rsidRPr="00640517">
        <w:rPr>
          <w:rFonts w:asciiTheme="majorHAnsi" w:hAnsiTheme="majorHAnsi"/>
          <w:sz w:val="20"/>
          <w:szCs w:val="20"/>
          <w:lang w:val="es-CO"/>
        </w:rPr>
        <w:t>Constitucional</w:t>
      </w:r>
      <w:r w:rsidR="003E70F4" w:rsidRPr="00640517">
        <w:rPr>
          <w:rFonts w:asciiTheme="majorHAnsi" w:hAnsiTheme="majorHAnsi"/>
          <w:sz w:val="20"/>
          <w:szCs w:val="20"/>
          <w:lang w:val="es-CO"/>
        </w:rPr>
        <w:t xml:space="preserve"> en el sentido de otorgar competencia a la autoridad </w:t>
      </w:r>
      <w:proofErr w:type="spellStart"/>
      <w:r w:rsidR="003E70F4" w:rsidRPr="00640517">
        <w:rPr>
          <w:rFonts w:asciiTheme="majorHAnsi" w:hAnsiTheme="majorHAnsi"/>
          <w:sz w:val="20"/>
          <w:szCs w:val="20"/>
          <w:lang w:val="es-CO"/>
        </w:rPr>
        <w:t>designadora</w:t>
      </w:r>
      <w:proofErr w:type="spellEnd"/>
      <w:r w:rsidR="003E70F4" w:rsidRPr="00640517">
        <w:rPr>
          <w:rFonts w:asciiTheme="majorHAnsi" w:hAnsiTheme="majorHAnsi"/>
          <w:sz w:val="20"/>
          <w:szCs w:val="20"/>
          <w:lang w:val="es-CO"/>
        </w:rPr>
        <w:t xml:space="preserve">, tomando en cuenta la manera como está contemplado el proceso de nombramiento de los magistrados del TSE. Si bien dicho proceso de nombramiento no está bajo análisis en el presente caso que se circunscribe al cese del señor Colindres, la Comisión no deja de notar la influencia </w:t>
      </w:r>
      <w:r w:rsidR="00D40A96" w:rsidRPr="00640517">
        <w:rPr>
          <w:rFonts w:asciiTheme="majorHAnsi" w:hAnsiTheme="majorHAnsi"/>
          <w:sz w:val="20"/>
          <w:szCs w:val="20"/>
          <w:lang w:val="es-CO"/>
        </w:rPr>
        <w:t xml:space="preserve">política y </w:t>
      </w:r>
      <w:r w:rsidR="003E70F4" w:rsidRPr="00640517">
        <w:rPr>
          <w:rFonts w:asciiTheme="majorHAnsi" w:hAnsiTheme="majorHAnsi"/>
          <w:sz w:val="20"/>
          <w:szCs w:val="20"/>
          <w:lang w:val="es-CO"/>
        </w:rPr>
        <w:t xml:space="preserve">partidista respecto de tres de los </w:t>
      </w:r>
      <w:r w:rsidR="00D40A96" w:rsidRPr="00640517">
        <w:rPr>
          <w:rFonts w:asciiTheme="majorHAnsi" w:hAnsiTheme="majorHAnsi"/>
          <w:sz w:val="20"/>
          <w:szCs w:val="20"/>
          <w:lang w:val="es-CO"/>
        </w:rPr>
        <w:t xml:space="preserve">cinco </w:t>
      </w:r>
      <w:r w:rsidR="003E70F4" w:rsidRPr="00640517">
        <w:rPr>
          <w:rFonts w:asciiTheme="majorHAnsi" w:hAnsiTheme="majorHAnsi"/>
          <w:sz w:val="20"/>
          <w:szCs w:val="20"/>
          <w:lang w:val="es-CO"/>
        </w:rPr>
        <w:t>miembros del TSE – uno de ellos, la presunta víctima</w:t>
      </w:r>
      <w:r w:rsidR="00D40A96" w:rsidRPr="00640517">
        <w:rPr>
          <w:rFonts w:asciiTheme="majorHAnsi" w:hAnsiTheme="majorHAnsi"/>
          <w:sz w:val="20"/>
          <w:szCs w:val="20"/>
          <w:lang w:val="es-CO"/>
        </w:rPr>
        <w:t xml:space="preserve">. </w:t>
      </w:r>
    </w:p>
    <w:p w14:paraId="5A6BF03B" w14:textId="77777777" w:rsidR="00A4112E" w:rsidRPr="00640517" w:rsidRDefault="00A4112E" w:rsidP="006B1085">
      <w:pPr>
        <w:jc w:val="both"/>
        <w:rPr>
          <w:rFonts w:asciiTheme="majorHAnsi" w:hAnsiTheme="majorHAnsi"/>
          <w:sz w:val="20"/>
          <w:szCs w:val="20"/>
          <w:lang w:val="es-CO"/>
        </w:rPr>
      </w:pPr>
    </w:p>
    <w:p w14:paraId="79EBEFA8" w14:textId="77777777" w:rsidR="00C54ECB" w:rsidRPr="00640517" w:rsidRDefault="00D40A96" w:rsidP="00FF6485">
      <w:pPr>
        <w:numPr>
          <w:ilvl w:val="0"/>
          <w:numId w:val="1"/>
        </w:numPr>
        <w:ind w:left="0" w:firstLine="720"/>
        <w:jc w:val="both"/>
        <w:rPr>
          <w:rFonts w:asciiTheme="majorHAnsi" w:hAnsiTheme="majorHAnsi"/>
          <w:bCs/>
          <w:sz w:val="20"/>
          <w:szCs w:val="20"/>
          <w:lang w:val="es-CO"/>
        </w:rPr>
      </w:pPr>
      <w:r w:rsidRPr="00640517">
        <w:rPr>
          <w:rFonts w:asciiTheme="majorHAnsi" w:hAnsiTheme="majorHAnsi"/>
          <w:sz w:val="20"/>
          <w:szCs w:val="20"/>
          <w:lang w:val="es-CO"/>
        </w:rPr>
        <w:t xml:space="preserve">Tomando en  cuenta el hecho de que el señor Colindres </w:t>
      </w:r>
      <w:r w:rsidR="00650382" w:rsidRPr="00640517">
        <w:rPr>
          <w:rFonts w:asciiTheme="majorHAnsi" w:hAnsiTheme="majorHAnsi"/>
          <w:sz w:val="20"/>
          <w:szCs w:val="20"/>
          <w:lang w:val="es-CO"/>
        </w:rPr>
        <w:t>f</w:t>
      </w:r>
      <w:r w:rsidRPr="00640517">
        <w:rPr>
          <w:rFonts w:asciiTheme="majorHAnsi" w:hAnsiTheme="majorHAnsi"/>
          <w:sz w:val="20"/>
          <w:szCs w:val="20"/>
          <w:lang w:val="es-CO"/>
        </w:rPr>
        <w:t xml:space="preserve">ue elegido por una terna </w:t>
      </w:r>
      <w:r w:rsidR="007174D6" w:rsidRPr="00640517">
        <w:rPr>
          <w:rFonts w:asciiTheme="majorHAnsi" w:hAnsiTheme="majorHAnsi"/>
          <w:sz w:val="20"/>
          <w:szCs w:val="20"/>
          <w:lang w:val="es-CO"/>
        </w:rPr>
        <w:t xml:space="preserve">de un partido político, al aplicarle análogamente al cese en sus funciones las competencias y causales relacionadas con su designación, se abrió una puerta a que lo que se debatiera en el proceso llevado a cabo por la Asamblea Legislativa fuera, esencialmente el contenido de las sentencias </w:t>
      </w:r>
      <w:r w:rsidR="0067283B" w:rsidRPr="00640517">
        <w:rPr>
          <w:rFonts w:asciiTheme="majorHAnsi" w:hAnsiTheme="majorHAnsi"/>
          <w:sz w:val="20"/>
          <w:szCs w:val="20"/>
          <w:lang w:val="es-CO"/>
        </w:rPr>
        <w:t>f</w:t>
      </w:r>
      <w:r w:rsidR="007174D6" w:rsidRPr="00640517">
        <w:rPr>
          <w:rFonts w:asciiTheme="majorHAnsi" w:hAnsiTheme="majorHAnsi"/>
          <w:sz w:val="20"/>
          <w:szCs w:val="20"/>
          <w:lang w:val="es-CO"/>
        </w:rPr>
        <w:t>irmadas por él y si las mismas resultaron favorables a los intereses de un sector de su partido que se encontraba en pleno conflicto.</w:t>
      </w:r>
      <w:r w:rsidRPr="00640517">
        <w:rPr>
          <w:rFonts w:asciiTheme="majorHAnsi" w:hAnsiTheme="majorHAnsi"/>
          <w:sz w:val="20"/>
          <w:szCs w:val="20"/>
          <w:lang w:val="es-CO"/>
        </w:rPr>
        <w:t xml:space="preserve"> </w:t>
      </w:r>
      <w:r w:rsidR="00A4112E" w:rsidRPr="00640517">
        <w:rPr>
          <w:rFonts w:asciiTheme="majorHAnsi" w:hAnsiTheme="majorHAnsi"/>
          <w:sz w:val="20"/>
          <w:szCs w:val="20"/>
          <w:lang w:val="es-CO"/>
        </w:rPr>
        <w:t xml:space="preserve">La Comisión destaca que el principio de independencia judicial implica que los jueces y juezas no sean separados del cargo por las decisiones que emiten – salvo supuestos de error inexcusable, que no fue invocado en el caso – cuyos criterios deben ser impugnados por medio de los recursos que procedan contra dichas decisiones.  </w:t>
      </w:r>
    </w:p>
    <w:p w14:paraId="6B55F345" w14:textId="77777777" w:rsidR="00EB6EF2" w:rsidRPr="00640517" w:rsidRDefault="00EB6EF2" w:rsidP="006B1085">
      <w:pPr>
        <w:jc w:val="both"/>
        <w:rPr>
          <w:rFonts w:asciiTheme="majorHAnsi" w:hAnsiTheme="majorHAnsi"/>
          <w:sz w:val="20"/>
          <w:szCs w:val="20"/>
          <w:lang w:val="es-CO"/>
        </w:rPr>
      </w:pPr>
    </w:p>
    <w:p w14:paraId="5B6285FE" w14:textId="0B5ED0E5" w:rsidR="008820A9" w:rsidRPr="00640517" w:rsidRDefault="00671BEB" w:rsidP="00FF6485">
      <w:pPr>
        <w:numPr>
          <w:ilvl w:val="0"/>
          <w:numId w:val="1"/>
        </w:numPr>
        <w:ind w:left="0" w:firstLine="720"/>
        <w:jc w:val="both"/>
        <w:rPr>
          <w:rFonts w:asciiTheme="majorHAnsi" w:hAnsiTheme="majorHAnsi"/>
          <w:bCs/>
          <w:sz w:val="20"/>
          <w:szCs w:val="20"/>
          <w:lang w:val="es-CO"/>
        </w:rPr>
      </w:pPr>
      <w:r w:rsidRPr="00640517">
        <w:rPr>
          <w:rFonts w:asciiTheme="majorHAnsi" w:hAnsiTheme="majorHAnsi"/>
          <w:sz w:val="20"/>
          <w:szCs w:val="20"/>
          <w:lang w:val="es-CO"/>
        </w:rPr>
        <w:t>La</w:t>
      </w:r>
      <w:r w:rsidR="008609CE" w:rsidRPr="00640517">
        <w:rPr>
          <w:rFonts w:asciiTheme="majorHAnsi" w:hAnsiTheme="majorHAnsi"/>
          <w:sz w:val="20"/>
          <w:szCs w:val="20"/>
          <w:lang w:val="es-CO"/>
        </w:rPr>
        <w:t xml:space="preserve"> Comisión destaca </w:t>
      </w:r>
      <w:r w:rsidR="006B2ED5">
        <w:rPr>
          <w:rFonts w:asciiTheme="majorHAnsi" w:hAnsiTheme="majorHAnsi"/>
          <w:sz w:val="20"/>
          <w:szCs w:val="20"/>
          <w:lang w:val="es-CO"/>
        </w:rPr>
        <w:t xml:space="preserve">también </w:t>
      </w:r>
      <w:r w:rsidR="002D7F2C" w:rsidRPr="00640517">
        <w:rPr>
          <w:rFonts w:asciiTheme="majorHAnsi" w:hAnsiTheme="majorHAnsi"/>
          <w:sz w:val="20"/>
          <w:szCs w:val="20"/>
          <w:lang w:val="es-CO"/>
        </w:rPr>
        <w:t xml:space="preserve">que la </w:t>
      </w:r>
      <w:r w:rsidR="008C494F" w:rsidRPr="00640517">
        <w:rPr>
          <w:rFonts w:asciiTheme="majorHAnsi" w:hAnsiTheme="majorHAnsi"/>
          <w:sz w:val="20"/>
          <w:szCs w:val="20"/>
          <w:lang w:val="es-CO"/>
        </w:rPr>
        <w:t xml:space="preserve">falta </w:t>
      </w:r>
      <w:r w:rsidR="008C494F" w:rsidRPr="006B2ED5">
        <w:rPr>
          <w:rFonts w:asciiTheme="majorHAnsi" w:hAnsiTheme="majorHAnsi"/>
          <w:sz w:val="20"/>
          <w:szCs w:val="20"/>
          <w:lang w:val="es-CO"/>
        </w:rPr>
        <w:t xml:space="preserve">de </w:t>
      </w:r>
      <w:r w:rsidR="00DB09D5" w:rsidRPr="006B2ED5">
        <w:rPr>
          <w:rFonts w:asciiTheme="majorHAnsi" w:hAnsiTheme="majorHAnsi"/>
          <w:sz w:val="20"/>
          <w:szCs w:val="20"/>
          <w:lang w:val="es-CO"/>
        </w:rPr>
        <w:t>c</w:t>
      </w:r>
      <w:r w:rsidR="002D7F2C" w:rsidRPr="006B2ED5">
        <w:rPr>
          <w:rFonts w:asciiTheme="majorHAnsi" w:hAnsiTheme="majorHAnsi"/>
          <w:sz w:val="20"/>
          <w:szCs w:val="20"/>
          <w:lang w:val="es-CO"/>
        </w:rPr>
        <w:t>laridad</w:t>
      </w:r>
      <w:r w:rsidR="00DB09D5" w:rsidRPr="006B2ED5">
        <w:rPr>
          <w:rFonts w:asciiTheme="majorHAnsi" w:hAnsiTheme="majorHAnsi"/>
          <w:sz w:val="20"/>
          <w:szCs w:val="20"/>
          <w:lang w:val="es-CO"/>
        </w:rPr>
        <w:t xml:space="preserve"> </w:t>
      </w:r>
      <w:r w:rsidR="00EA0435" w:rsidRPr="006B2ED5">
        <w:rPr>
          <w:rFonts w:asciiTheme="majorHAnsi" w:hAnsiTheme="majorHAnsi"/>
          <w:sz w:val="20"/>
          <w:szCs w:val="20"/>
          <w:lang w:val="es-CO"/>
        </w:rPr>
        <w:t>sobre la competencia de la Asamblea</w:t>
      </w:r>
      <w:r w:rsidR="00E529BE" w:rsidRPr="006B2ED5">
        <w:rPr>
          <w:rFonts w:asciiTheme="majorHAnsi" w:hAnsiTheme="majorHAnsi"/>
          <w:sz w:val="20"/>
          <w:szCs w:val="20"/>
          <w:lang w:val="es-CO"/>
        </w:rPr>
        <w:t xml:space="preserve"> para cesar a los miembros del TSE también se vio reflejada, además de</w:t>
      </w:r>
      <w:r w:rsidR="00E529BE" w:rsidRPr="00640517">
        <w:rPr>
          <w:rFonts w:asciiTheme="majorHAnsi" w:hAnsiTheme="majorHAnsi"/>
          <w:sz w:val="20"/>
          <w:szCs w:val="20"/>
          <w:lang w:val="es-CO"/>
        </w:rPr>
        <w:t xml:space="preserve"> la </w:t>
      </w:r>
      <w:r w:rsidR="001B5D43" w:rsidRPr="00640517">
        <w:rPr>
          <w:rFonts w:asciiTheme="majorHAnsi" w:hAnsiTheme="majorHAnsi"/>
          <w:sz w:val="20"/>
          <w:szCs w:val="20"/>
          <w:lang w:val="es-CO"/>
        </w:rPr>
        <w:t xml:space="preserve">ausencia de normativa, </w:t>
      </w:r>
      <w:r w:rsidR="00351AD9" w:rsidRPr="00640517">
        <w:rPr>
          <w:rFonts w:asciiTheme="majorHAnsi" w:hAnsiTheme="majorHAnsi"/>
          <w:sz w:val="20"/>
          <w:szCs w:val="20"/>
          <w:lang w:val="es-CO"/>
        </w:rPr>
        <w:t xml:space="preserve">en </w:t>
      </w:r>
      <w:r w:rsidRPr="00640517">
        <w:rPr>
          <w:rFonts w:asciiTheme="majorHAnsi" w:hAnsiTheme="majorHAnsi"/>
          <w:bCs/>
          <w:sz w:val="20"/>
          <w:szCs w:val="20"/>
          <w:lang w:val="es-CO"/>
        </w:rPr>
        <w:t xml:space="preserve">la información que aparece en los debates del pleno </w:t>
      </w:r>
      <w:r w:rsidR="00677CD1" w:rsidRPr="00640517">
        <w:rPr>
          <w:rFonts w:asciiTheme="majorHAnsi" w:hAnsiTheme="majorHAnsi"/>
          <w:bCs/>
          <w:sz w:val="20"/>
          <w:szCs w:val="20"/>
          <w:lang w:val="es-CO"/>
        </w:rPr>
        <w:t xml:space="preserve">de la Asamblea </w:t>
      </w:r>
      <w:r w:rsidR="00EB6EF2" w:rsidRPr="00640517">
        <w:rPr>
          <w:rFonts w:asciiTheme="majorHAnsi" w:hAnsiTheme="majorHAnsi"/>
          <w:bCs/>
          <w:sz w:val="20"/>
          <w:szCs w:val="20"/>
          <w:lang w:val="es-CO"/>
        </w:rPr>
        <w:t>L</w:t>
      </w:r>
      <w:r w:rsidR="00677CD1" w:rsidRPr="00640517">
        <w:rPr>
          <w:rFonts w:asciiTheme="majorHAnsi" w:hAnsiTheme="majorHAnsi"/>
          <w:bCs/>
          <w:sz w:val="20"/>
          <w:szCs w:val="20"/>
          <w:lang w:val="es-CO"/>
        </w:rPr>
        <w:t>egislativa</w:t>
      </w:r>
      <w:r w:rsidR="00E52EE7" w:rsidRPr="00640517">
        <w:rPr>
          <w:rFonts w:asciiTheme="majorHAnsi" w:hAnsiTheme="majorHAnsi"/>
          <w:bCs/>
          <w:sz w:val="20"/>
          <w:szCs w:val="20"/>
          <w:lang w:val="es-CO"/>
        </w:rPr>
        <w:t xml:space="preserve"> donde </w:t>
      </w:r>
      <w:r w:rsidRPr="00640517">
        <w:rPr>
          <w:rFonts w:asciiTheme="majorHAnsi" w:hAnsiTheme="majorHAnsi"/>
          <w:bCs/>
          <w:sz w:val="20"/>
          <w:szCs w:val="20"/>
          <w:lang w:val="es-CO"/>
        </w:rPr>
        <w:t xml:space="preserve">diputados explicaron que ante la falta de disposición normativa para la destitución de </w:t>
      </w:r>
      <w:r w:rsidR="007122DA" w:rsidRPr="00640517">
        <w:rPr>
          <w:rFonts w:asciiTheme="majorHAnsi" w:hAnsiTheme="majorHAnsi"/>
          <w:bCs/>
          <w:sz w:val="20"/>
          <w:szCs w:val="20"/>
          <w:lang w:val="es-CO"/>
        </w:rPr>
        <w:t xml:space="preserve">algunos </w:t>
      </w:r>
      <w:r w:rsidRPr="00640517">
        <w:rPr>
          <w:rFonts w:asciiTheme="majorHAnsi" w:hAnsiTheme="majorHAnsi"/>
          <w:bCs/>
          <w:sz w:val="20"/>
          <w:szCs w:val="20"/>
          <w:lang w:val="es-CO"/>
        </w:rPr>
        <w:t>funcionarios</w:t>
      </w:r>
      <w:r w:rsidR="007122DA" w:rsidRPr="00640517">
        <w:rPr>
          <w:rFonts w:asciiTheme="majorHAnsi" w:hAnsiTheme="majorHAnsi"/>
          <w:bCs/>
          <w:sz w:val="20"/>
          <w:szCs w:val="20"/>
          <w:lang w:val="es-CO"/>
        </w:rPr>
        <w:t xml:space="preserve"> </w:t>
      </w:r>
      <w:r w:rsidR="002E2B5A" w:rsidRPr="00640517">
        <w:rPr>
          <w:rFonts w:asciiTheme="majorHAnsi" w:hAnsiTheme="majorHAnsi"/>
          <w:bCs/>
          <w:sz w:val="20"/>
          <w:szCs w:val="20"/>
          <w:lang w:val="es-CO"/>
        </w:rPr>
        <w:t>-</w:t>
      </w:r>
      <w:r w:rsidR="007122DA" w:rsidRPr="00640517">
        <w:rPr>
          <w:rFonts w:asciiTheme="majorHAnsi" w:hAnsiTheme="majorHAnsi"/>
          <w:bCs/>
          <w:sz w:val="20"/>
          <w:szCs w:val="20"/>
          <w:lang w:val="es-CO"/>
        </w:rPr>
        <w:t>elegidos con base en la misma norma que los magistrados del TSE</w:t>
      </w:r>
      <w:r w:rsidR="002E2B5A" w:rsidRPr="00640517">
        <w:rPr>
          <w:rFonts w:asciiTheme="majorHAnsi" w:hAnsiTheme="majorHAnsi"/>
          <w:bCs/>
          <w:sz w:val="20"/>
          <w:szCs w:val="20"/>
          <w:lang w:val="es-CO"/>
        </w:rPr>
        <w:t>-</w:t>
      </w:r>
      <w:r w:rsidRPr="00640517">
        <w:rPr>
          <w:rFonts w:asciiTheme="majorHAnsi" w:hAnsiTheme="majorHAnsi"/>
          <w:bCs/>
          <w:sz w:val="20"/>
          <w:szCs w:val="20"/>
          <w:lang w:val="es-CO"/>
        </w:rPr>
        <w:t xml:space="preserve"> resultaba imposible su separación </w:t>
      </w:r>
      <w:r w:rsidR="002E2B5A" w:rsidRPr="00640517">
        <w:rPr>
          <w:rFonts w:asciiTheme="majorHAnsi" w:hAnsiTheme="majorHAnsi"/>
          <w:bCs/>
          <w:sz w:val="20"/>
          <w:szCs w:val="20"/>
          <w:lang w:val="es-CO"/>
        </w:rPr>
        <w:t>hasta adoptarse modificaciones legislativas, así como en</w:t>
      </w:r>
      <w:r w:rsidR="001B5D43" w:rsidRPr="00640517">
        <w:rPr>
          <w:rFonts w:asciiTheme="majorHAnsi" w:hAnsiTheme="majorHAnsi"/>
          <w:bCs/>
          <w:sz w:val="20"/>
          <w:szCs w:val="20"/>
          <w:lang w:val="es-CO"/>
        </w:rPr>
        <w:t xml:space="preserve"> </w:t>
      </w:r>
      <w:r w:rsidR="007C2730" w:rsidRPr="00640517">
        <w:rPr>
          <w:rFonts w:asciiTheme="majorHAnsi" w:hAnsiTheme="majorHAnsi"/>
          <w:bCs/>
          <w:sz w:val="20"/>
          <w:szCs w:val="20"/>
          <w:lang w:val="es-CO"/>
        </w:rPr>
        <w:t xml:space="preserve">el </w:t>
      </w:r>
      <w:r w:rsidR="001B5D43" w:rsidRPr="00640517">
        <w:rPr>
          <w:rFonts w:asciiTheme="majorHAnsi" w:hAnsiTheme="majorHAnsi"/>
          <w:bCs/>
          <w:sz w:val="20"/>
          <w:szCs w:val="20"/>
          <w:lang w:val="es-CO"/>
        </w:rPr>
        <w:t xml:space="preserve">voto disidente </w:t>
      </w:r>
      <w:r w:rsidR="007C2730" w:rsidRPr="00640517">
        <w:rPr>
          <w:rFonts w:asciiTheme="majorHAnsi" w:hAnsiTheme="majorHAnsi"/>
          <w:bCs/>
          <w:sz w:val="20"/>
          <w:szCs w:val="20"/>
          <w:lang w:val="es-CO"/>
        </w:rPr>
        <w:t xml:space="preserve">de un miembro de la Sala </w:t>
      </w:r>
      <w:r w:rsidR="00597A3B" w:rsidRPr="00640517">
        <w:rPr>
          <w:rFonts w:asciiTheme="majorHAnsi" w:hAnsiTheme="majorHAnsi"/>
          <w:bCs/>
          <w:sz w:val="20"/>
          <w:szCs w:val="20"/>
          <w:lang w:val="es-CO"/>
        </w:rPr>
        <w:t>de lo Constitucional</w:t>
      </w:r>
      <w:r w:rsidR="007C2730" w:rsidRPr="00640517">
        <w:rPr>
          <w:rFonts w:asciiTheme="majorHAnsi" w:hAnsiTheme="majorHAnsi"/>
          <w:bCs/>
          <w:sz w:val="20"/>
          <w:szCs w:val="20"/>
          <w:lang w:val="es-CO"/>
        </w:rPr>
        <w:t>.</w:t>
      </w:r>
    </w:p>
    <w:p w14:paraId="6DBB38B6" w14:textId="77777777" w:rsidR="00F5049C" w:rsidRPr="00640517" w:rsidRDefault="00F5049C" w:rsidP="006B1085">
      <w:pPr>
        <w:jc w:val="both"/>
        <w:rPr>
          <w:rFonts w:asciiTheme="majorHAnsi" w:hAnsiTheme="majorHAnsi"/>
          <w:bCs/>
          <w:sz w:val="20"/>
          <w:szCs w:val="20"/>
          <w:lang w:val="es-CO"/>
        </w:rPr>
      </w:pPr>
    </w:p>
    <w:p w14:paraId="427B9D58" w14:textId="77777777" w:rsidR="00E16516" w:rsidRPr="00640517" w:rsidRDefault="00E16516" w:rsidP="00FF6485">
      <w:pPr>
        <w:numPr>
          <w:ilvl w:val="0"/>
          <w:numId w:val="1"/>
        </w:numPr>
        <w:ind w:left="0" w:firstLine="720"/>
        <w:jc w:val="both"/>
        <w:rPr>
          <w:rFonts w:asciiTheme="majorHAnsi" w:hAnsiTheme="majorHAnsi"/>
          <w:bCs/>
          <w:sz w:val="20"/>
          <w:szCs w:val="20"/>
          <w:lang w:val="es-CO"/>
        </w:rPr>
      </w:pPr>
      <w:r w:rsidRPr="00640517">
        <w:rPr>
          <w:rFonts w:asciiTheme="majorHAnsi" w:hAnsiTheme="majorHAnsi"/>
          <w:bCs/>
          <w:sz w:val="20"/>
          <w:szCs w:val="20"/>
          <w:lang w:val="es-CO"/>
        </w:rPr>
        <w:t xml:space="preserve">En segundo lugar, la Comisión observa que además de la falta de regulación sobre la competencia de la Asamblea Legislativa, tampoco existía regulación alguna sobre el procedimiento a seguir, de manera que el señor Colindres contara con previsibilidad sobre sus pasos, formas de ejercer su defensa y recursos disponibles contra una eventual decisión desfavorable. </w:t>
      </w:r>
      <w:r w:rsidR="005F1100" w:rsidRPr="00640517">
        <w:rPr>
          <w:rFonts w:asciiTheme="majorHAnsi" w:hAnsiTheme="majorHAnsi"/>
          <w:bCs/>
          <w:sz w:val="20"/>
          <w:szCs w:val="20"/>
          <w:lang w:val="es-CO"/>
        </w:rPr>
        <w:t xml:space="preserve">Esta garantía también se encuentra contemplada en el artículo 8.1 de la Convención. </w:t>
      </w:r>
    </w:p>
    <w:p w14:paraId="1B50234B" w14:textId="77777777" w:rsidR="00E16516" w:rsidRPr="00640517" w:rsidRDefault="00E16516" w:rsidP="006B1085">
      <w:pPr>
        <w:jc w:val="both"/>
        <w:rPr>
          <w:rFonts w:asciiTheme="majorHAnsi" w:hAnsiTheme="majorHAnsi"/>
          <w:bCs/>
          <w:sz w:val="20"/>
          <w:szCs w:val="20"/>
          <w:lang w:val="es-CO"/>
        </w:rPr>
      </w:pPr>
    </w:p>
    <w:p w14:paraId="6C66C46B" w14:textId="47E936D6" w:rsidR="00F5049C" w:rsidRPr="00640517" w:rsidRDefault="00F5049C" w:rsidP="006B1085">
      <w:pPr>
        <w:numPr>
          <w:ilvl w:val="0"/>
          <w:numId w:val="1"/>
        </w:numPr>
        <w:ind w:left="0" w:firstLine="720"/>
        <w:jc w:val="both"/>
        <w:rPr>
          <w:rFonts w:asciiTheme="majorHAnsi" w:hAnsiTheme="majorHAnsi"/>
          <w:bCs/>
          <w:sz w:val="20"/>
          <w:szCs w:val="20"/>
          <w:lang w:val="es-CO"/>
        </w:rPr>
      </w:pPr>
      <w:r w:rsidRPr="00640517">
        <w:rPr>
          <w:rFonts w:asciiTheme="majorHAnsi" w:hAnsiTheme="majorHAnsi"/>
          <w:bCs/>
          <w:sz w:val="20"/>
          <w:szCs w:val="20"/>
          <w:lang w:val="es-CO"/>
        </w:rPr>
        <w:t>La Comisión considera que si bien el Estado se encuentra facultado para cesar a</w:t>
      </w:r>
      <w:r w:rsidR="00C54ECB" w:rsidRPr="00640517">
        <w:rPr>
          <w:rFonts w:asciiTheme="majorHAnsi" w:hAnsiTheme="majorHAnsi"/>
          <w:bCs/>
          <w:sz w:val="20"/>
          <w:szCs w:val="20"/>
          <w:lang w:val="es-CO"/>
        </w:rPr>
        <w:t xml:space="preserve"> funcionarios públicos, incluyendo</w:t>
      </w:r>
      <w:r w:rsidRPr="00640517">
        <w:rPr>
          <w:rFonts w:asciiTheme="majorHAnsi" w:hAnsiTheme="majorHAnsi"/>
          <w:bCs/>
          <w:sz w:val="20"/>
          <w:szCs w:val="20"/>
          <w:lang w:val="es-CO"/>
        </w:rPr>
        <w:t xml:space="preserve"> jueces y juezas que incurran en las causales disciplinarias previstas por la ley, es responsabilidad estatal crear la institucio</w:t>
      </w:r>
      <w:r w:rsidRPr="008A7234">
        <w:rPr>
          <w:rFonts w:asciiTheme="majorHAnsi" w:hAnsiTheme="majorHAnsi"/>
          <w:bCs/>
          <w:sz w:val="20"/>
          <w:szCs w:val="20"/>
          <w:lang w:val="es-CO"/>
        </w:rPr>
        <w:t xml:space="preserve">nalidad necesaria, incluyendo la regulación expresa sobre competencias y procedimientos, a fin </w:t>
      </w:r>
      <w:r w:rsidR="008A7234" w:rsidRPr="008A7234">
        <w:rPr>
          <w:rFonts w:asciiTheme="majorHAnsi" w:hAnsiTheme="majorHAnsi"/>
          <w:bCs/>
          <w:sz w:val="20"/>
          <w:szCs w:val="20"/>
          <w:lang w:val="es-CO"/>
        </w:rPr>
        <w:t xml:space="preserve">de </w:t>
      </w:r>
      <w:r w:rsidRPr="008A7234">
        <w:rPr>
          <w:rFonts w:asciiTheme="majorHAnsi" w:hAnsiTheme="majorHAnsi"/>
          <w:bCs/>
          <w:sz w:val="20"/>
          <w:szCs w:val="20"/>
          <w:lang w:val="es-CO"/>
        </w:rPr>
        <w:t>que</w:t>
      </w:r>
      <w:r w:rsidRPr="00640517">
        <w:rPr>
          <w:rFonts w:asciiTheme="majorHAnsi" w:hAnsiTheme="majorHAnsi"/>
          <w:bCs/>
          <w:sz w:val="20"/>
          <w:szCs w:val="20"/>
          <w:lang w:val="es-CO"/>
        </w:rPr>
        <w:t xml:space="preserve"> dicha facultad pueda ser ejercida con arreglo a sus obligaciones internacionales, en particular, la</w:t>
      </w:r>
      <w:r w:rsidR="00530B83" w:rsidRPr="00640517">
        <w:rPr>
          <w:rFonts w:asciiTheme="majorHAnsi" w:hAnsiTheme="majorHAnsi"/>
          <w:bCs/>
          <w:sz w:val="20"/>
          <w:szCs w:val="20"/>
          <w:lang w:val="es-CO"/>
        </w:rPr>
        <w:t>s</w:t>
      </w:r>
      <w:r w:rsidRPr="00640517">
        <w:rPr>
          <w:rFonts w:asciiTheme="majorHAnsi" w:hAnsiTheme="majorHAnsi"/>
          <w:bCs/>
          <w:sz w:val="20"/>
          <w:szCs w:val="20"/>
          <w:lang w:val="es-CO"/>
        </w:rPr>
        <w:t xml:space="preserve"> relativas al debido pr</w:t>
      </w:r>
      <w:r w:rsidR="00C54ECB" w:rsidRPr="00640517">
        <w:rPr>
          <w:rFonts w:asciiTheme="majorHAnsi" w:hAnsiTheme="majorHAnsi"/>
          <w:bCs/>
          <w:sz w:val="20"/>
          <w:szCs w:val="20"/>
          <w:lang w:val="es-CO"/>
        </w:rPr>
        <w:t xml:space="preserve">oceso que, como se indicó previamente, frente a autoridades judiciales son de carácter reforzado. </w:t>
      </w:r>
    </w:p>
    <w:p w14:paraId="3D8A2459" w14:textId="77777777" w:rsidR="008820A9" w:rsidRPr="00640517" w:rsidRDefault="008820A9" w:rsidP="008820A9">
      <w:pPr>
        <w:ind w:left="720"/>
        <w:jc w:val="both"/>
        <w:rPr>
          <w:rFonts w:asciiTheme="majorHAnsi" w:hAnsiTheme="majorHAnsi"/>
          <w:bCs/>
          <w:sz w:val="20"/>
          <w:szCs w:val="20"/>
          <w:lang w:val="es-CO"/>
        </w:rPr>
      </w:pPr>
    </w:p>
    <w:p w14:paraId="77A13E53" w14:textId="77777777" w:rsidR="008975D5" w:rsidRPr="00640517" w:rsidRDefault="00057D03" w:rsidP="008820A9">
      <w:pPr>
        <w:numPr>
          <w:ilvl w:val="0"/>
          <w:numId w:val="1"/>
        </w:numPr>
        <w:ind w:left="0" w:firstLine="720"/>
        <w:jc w:val="both"/>
        <w:rPr>
          <w:rFonts w:asciiTheme="majorHAnsi" w:hAnsiTheme="majorHAnsi"/>
          <w:bCs/>
          <w:sz w:val="20"/>
          <w:szCs w:val="20"/>
          <w:lang w:val="es-CO"/>
        </w:rPr>
      </w:pPr>
      <w:r w:rsidRPr="00640517">
        <w:rPr>
          <w:rFonts w:asciiTheme="majorHAnsi" w:hAnsiTheme="majorHAnsi"/>
          <w:caps/>
          <w:sz w:val="20"/>
          <w:szCs w:val="20"/>
          <w:lang w:val="es-CO"/>
        </w:rPr>
        <w:t xml:space="preserve">A </w:t>
      </w:r>
      <w:r w:rsidRPr="00640517">
        <w:rPr>
          <w:rFonts w:asciiTheme="majorHAnsi" w:hAnsiTheme="majorHAnsi"/>
          <w:sz w:val="20"/>
          <w:szCs w:val="20"/>
          <w:lang w:val="es-CO"/>
        </w:rPr>
        <w:t>la luz de l</w:t>
      </w:r>
      <w:r w:rsidR="00351AD9" w:rsidRPr="00640517">
        <w:rPr>
          <w:rFonts w:asciiTheme="majorHAnsi" w:hAnsiTheme="majorHAnsi"/>
          <w:sz w:val="20"/>
          <w:szCs w:val="20"/>
          <w:lang w:val="es-CO"/>
        </w:rPr>
        <w:t xml:space="preserve">o anterior, </w:t>
      </w:r>
      <w:r w:rsidRPr="00640517">
        <w:rPr>
          <w:rFonts w:asciiTheme="majorHAnsi" w:hAnsiTheme="majorHAnsi"/>
          <w:bCs/>
          <w:sz w:val="20"/>
          <w:szCs w:val="20"/>
          <w:lang w:val="es-CO"/>
        </w:rPr>
        <w:t xml:space="preserve">la Comisión concluye que </w:t>
      </w:r>
      <w:r w:rsidR="00EA0435" w:rsidRPr="00640517">
        <w:rPr>
          <w:rFonts w:asciiTheme="majorHAnsi" w:hAnsiTheme="majorHAnsi"/>
          <w:bCs/>
          <w:sz w:val="20"/>
          <w:szCs w:val="20"/>
          <w:lang w:val="es-CO"/>
        </w:rPr>
        <w:t xml:space="preserve">la Asamblea Legislativa no </w:t>
      </w:r>
      <w:r w:rsidR="008C2C5A" w:rsidRPr="00640517">
        <w:rPr>
          <w:rFonts w:asciiTheme="majorHAnsi" w:hAnsiTheme="majorHAnsi"/>
          <w:bCs/>
          <w:sz w:val="20"/>
          <w:szCs w:val="20"/>
          <w:lang w:val="es-CO"/>
        </w:rPr>
        <w:t>tenía la atribu</w:t>
      </w:r>
      <w:r w:rsidR="002B5B5B" w:rsidRPr="00640517">
        <w:rPr>
          <w:rFonts w:asciiTheme="majorHAnsi" w:hAnsiTheme="majorHAnsi"/>
          <w:bCs/>
          <w:sz w:val="20"/>
          <w:szCs w:val="20"/>
          <w:lang w:val="es-CO"/>
        </w:rPr>
        <w:t>c</w:t>
      </w:r>
      <w:r w:rsidR="008C2C5A" w:rsidRPr="00640517">
        <w:rPr>
          <w:rFonts w:asciiTheme="majorHAnsi" w:hAnsiTheme="majorHAnsi"/>
          <w:bCs/>
          <w:sz w:val="20"/>
          <w:szCs w:val="20"/>
          <w:lang w:val="es-CO"/>
        </w:rPr>
        <w:t xml:space="preserve">ión </w:t>
      </w:r>
      <w:r w:rsidR="00EA0435" w:rsidRPr="00640517">
        <w:rPr>
          <w:rFonts w:asciiTheme="majorHAnsi" w:hAnsiTheme="majorHAnsi"/>
          <w:bCs/>
          <w:sz w:val="20"/>
          <w:szCs w:val="20"/>
          <w:lang w:val="es-CO"/>
        </w:rPr>
        <w:t>para separar al magistrado Colindres</w:t>
      </w:r>
      <w:r w:rsidR="00826A4E" w:rsidRPr="00640517">
        <w:rPr>
          <w:rFonts w:asciiTheme="majorHAnsi" w:hAnsiTheme="majorHAnsi"/>
          <w:bCs/>
          <w:sz w:val="20"/>
          <w:szCs w:val="20"/>
          <w:lang w:val="es-CO"/>
        </w:rPr>
        <w:t xml:space="preserve"> y que el Estado no había regulado previamente los procedimientos aplicables para el cese de los miembros del Tribunal al cual pertenecía. En consecuencia, el Estado de El Salvador es responsable por la violación del </w:t>
      </w:r>
      <w:r w:rsidRPr="00640517">
        <w:rPr>
          <w:rFonts w:asciiTheme="majorHAnsi" w:hAnsiTheme="majorHAnsi"/>
          <w:bCs/>
          <w:sz w:val="20"/>
          <w:szCs w:val="20"/>
          <w:lang w:val="es-CO"/>
        </w:rPr>
        <w:t>artículo 8.1 de la Convención</w:t>
      </w:r>
      <w:r w:rsidR="00826A4E" w:rsidRPr="00640517">
        <w:rPr>
          <w:rFonts w:asciiTheme="majorHAnsi" w:hAnsiTheme="majorHAnsi"/>
          <w:bCs/>
          <w:sz w:val="20"/>
          <w:szCs w:val="20"/>
          <w:lang w:val="es-CO"/>
        </w:rPr>
        <w:t xml:space="preserve"> en</w:t>
      </w:r>
      <w:r w:rsidR="00AD5920" w:rsidRPr="00640517">
        <w:rPr>
          <w:rFonts w:asciiTheme="majorHAnsi" w:hAnsiTheme="majorHAnsi"/>
          <w:bCs/>
          <w:sz w:val="20"/>
          <w:szCs w:val="20"/>
          <w:lang w:val="es-CO"/>
        </w:rPr>
        <w:t xml:space="preserve"> perjuicio del señor Colindres en relación con las obligaciones establecidas en los artículos 1.1 del mismo instrumento. </w:t>
      </w:r>
      <w:r w:rsidR="008820A9" w:rsidRPr="00640517">
        <w:rPr>
          <w:rFonts w:asciiTheme="majorHAnsi" w:hAnsiTheme="majorHAnsi"/>
          <w:bCs/>
          <w:sz w:val="20"/>
          <w:szCs w:val="20"/>
          <w:lang w:val="es-CO"/>
        </w:rPr>
        <w:t xml:space="preserve">Asimismo, dado que en virtud del artículo 2 </w:t>
      </w:r>
      <w:r w:rsidR="007122DA" w:rsidRPr="00640517">
        <w:rPr>
          <w:rFonts w:asciiTheme="majorHAnsi" w:hAnsiTheme="majorHAnsi"/>
          <w:bCs/>
          <w:sz w:val="20"/>
          <w:szCs w:val="20"/>
          <w:lang w:val="es-CO"/>
        </w:rPr>
        <w:t xml:space="preserve">de la Convención </w:t>
      </w:r>
      <w:r w:rsidR="008820A9" w:rsidRPr="00640517">
        <w:rPr>
          <w:rFonts w:asciiTheme="majorHAnsi" w:hAnsiTheme="majorHAnsi"/>
          <w:bCs/>
          <w:sz w:val="20"/>
          <w:szCs w:val="20"/>
          <w:lang w:val="es-CO"/>
        </w:rPr>
        <w:t xml:space="preserve">los Estados deben </w:t>
      </w:r>
      <w:r w:rsidR="003361C6" w:rsidRPr="00640517">
        <w:rPr>
          <w:rFonts w:asciiTheme="majorHAnsi" w:hAnsiTheme="majorHAnsi"/>
          <w:bCs/>
          <w:sz w:val="20"/>
          <w:szCs w:val="20"/>
          <w:lang w:val="es-CO"/>
        </w:rPr>
        <w:t xml:space="preserve">adoptar en su ordenamiento jurídico interno las medidas necesarias para “armonizar </w:t>
      </w:r>
      <w:bookmarkStart w:id="59" w:name="_Ref433289379"/>
      <w:r w:rsidR="003361C6" w:rsidRPr="00640517">
        <w:rPr>
          <w:rFonts w:asciiTheme="majorHAnsi" w:hAnsiTheme="majorHAnsi"/>
          <w:sz w:val="20"/>
          <w:szCs w:val="20"/>
          <w:lang w:val="es-UY"/>
        </w:rPr>
        <w:t xml:space="preserve">su normativa interna” en cuanto “al procedimiento y los </w:t>
      </w:r>
      <w:r w:rsidR="003361C6" w:rsidRPr="00640517">
        <w:rPr>
          <w:rFonts w:asciiTheme="majorHAnsi" w:hAnsiTheme="majorHAnsi"/>
          <w:sz w:val="20"/>
          <w:szCs w:val="20"/>
          <w:lang w:val="es-UY"/>
        </w:rPr>
        <w:lastRenderedPageBreak/>
        <w:t>órganos competentes para decidir los procesos disciplinarios”</w:t>
      </w:r>
      <w:r w:rsidR="008975D5" w:rsidRPr="00640517">
        <w:rPr>
          <w:rStyle w:val="FootnoteReference"/>
          <w:rFonts w:asciiTheme="majorHAnsi" w:hAnsiTheme="majorHAnsi"/>
          <w:sz w:val="20"/>
          <w:szCs w:val="20"/>
          <w:lang w:val="es-UY"/>
        </w:rPr>
        <w:footnoteReference w:id="84"/>
      </w:r>
      <w:r w:rsidR="008820A9" w:rsidRPr="00640517">
        <w:rPr>
          <w:rFonts w:asciiTheme="majorHAnsi" w:hAnsiTheme="majorHAnsi"/>
          <w:sz w:val="20"/>
          <w:szCs w:val="20"/>
          <w:lang w:val="es-UY"/>
        </w:rPr>
        <w:t xml:space="preserve">, la Comisión considera </w:t>
      </w:r>
      <w:r w:rsidR="007E521F" w:rsidRPr="00640517">
        <w:rPr>
          <w:rFonts w:asciiTheme="majorHAnsi" w:hAnsiTheme="majorHAnsi"/>
          <w:sz w:val="20"/>
          <w:szCs w:val="20"/>
          <w:lang w:val="es-UY"/>
        </w:rPr>
        <w:t>que</w:t>
      </w:r>
      <w:r w:rsidR="008820A9" w:rsidRPr="00640517">
        <w:rPr>
          <w:rFonts w:asciiTheme="majorHAnsi" w:hAnsiTheme="majorHAnsi"/>
          <w:sz w:val="20"/>
          <w:szCs w:val="20"/>
          <w:lang w:val="es-UY"/>
        </w:rPr>
        <w:t xml:space="preserve"> </w:t>
      </w:r>
      <w:r w:rsidR="008975D5" w:rsidRPr="00640517">
        <w:rPr>
          <w:rFonts w:asciiTheme="majorHAnsi" w:hAnsiTheme="majorHAnsi"/>
          <w:bCs/>
          <w:sz w:val="20"/>
          <w:szCs w:val="20"/>
          <w:lang w:val="es-CO"/>
        </w:rPr>
        <w:t xml:space="preserve">el Estado violó </w:t>
      </w:r>
      <w:r w:rsidR="00597A3B" w:rsidRPr="00640517">
        <w:rPr>
          <w:rFonts w:asciiTheme="majorHAnsi" w:hAnsiTheme="majorHAnsi"/>
          <w:bCs/>
          <w:sz w:val="20"/>
          <w:szCs w:val="20"/>
          <w:lang w:val="es-CO"/>
        </w:rPr>
        <w:t xml:space="preserve">también </w:t>
      </w:r>
      <w:r w:rsidR="008975D5" w:rsidRPr="00640517">
        <w:rPr>
          <w:rFonts w:asciiTheme="majorHAnsi" w:hAnsiTheme="majorHAnsi"/>
          <w:bCs/>
          <w:sz w:val="20"/>
          <w:szCs w:val="20"/>
          <w:lang w:val="es-CO"/>
        </w:rPr>
        <w:t>el artículo 2 de la Convención Americana.</w:t>
      </w:r>
    </w:p>
    <w:p w14:paraId="7FE0E7BD" w14:textId="77777777" w:rsidR="00584C5E" w:rsidRPr="00640517" w:rsidRDefault="00584C5E" w:rsidP="002E5EAA">
      <w:pPr>
        <w:pStyle w:val="ListParagraph"/>
        <w:tabs>
          <w:tab w:val="num" w:pos="1440"/>
        </w:tabs>
        <w:ind w:left="0" w:firstLine="720"/>
        <w:rPr>
          <w:rFonts w:asciiTheme="majorHAnsi" w:hAnsiTheme="majorHAnsi"/>
          <w:bCs/>
          <w:sz w:val="20"/>
          <w:szCs w:val="20"/>
          <w:lang w:val="es-CO"/>
        </w:rPr>
      </w:pPr>
    </w:p>
    <w:p w14:paraId="72274BF2" w14:textId="77777777" w:rsidR="00584C5E" w:rsidRPr="00640517" w:rsidRDefault="008820A9" w:rsidP="002E5EAA">
      <w:pPr>
        <w:numPr>
          <w:ilvl w:val="0"/>
          <w:numId w:val="1"/>
        </w:numPr>
        <w:ind w:left="0" w:firstLine="720"/>
        <w:jc w:val="both"/>
        <w:rPr>
          <w:rFonts w:asciiTheme="majorHAnsi" w:hAnsiTheme="majorHAnsi"/>
          <w:bCs/>
          <w:sz w:val="20"/>
          <w:szCs w:val="20"/>
          <w:lang w:val="es-CO"/>
        </w:rPr>
      </w:pPr>
      <w:r w:rsidRPr="00640517">
        <w:rPr>
          <w:rFonts w:asciiTheme="majorHAnsi" w:hAnsiTheme="majorHAnsi"/>
          <w:bCs/>
          <w:sz w:val="20"/>
          <w:szCs w:val="20"/>
          <w:lang w:val="es-CO"/>
        </w:rPr>
        <w:t>U</w:t>
      </w:r>
      <w:r w:rsidR="0001014C" w:rsidRPr="00640517">
        <w:rPr>
          <w:rFonts w:asciiTheme="majorHAnsi" w:hAnsiTheme="majorHAnsi"/>
          <w:bCs/>
          <w:sz w:val="20"/>
          <w:szCs w:val="20"/>
          <w:lang w:val="es-CO"/>
        </w:rPr>
        <w:t xml:space="preserve">na vez </w:t>
      </w:r>
      <w:r w:rsidR="00800B1E" w:rsidRPr="00640517">
        <w:rPr>
          <w:rFonts w:asciiTheme="majorHAnsi" w:hAnsiTheme="majorHAnsi"/>
          <w:bCs/>
          <w:sz w:val="20"/>
          <w:szCs w:val="20"/>
          <w:lang w:val="es-CO"/>
        </w:rPr>
        <w:t xml:space="preserve">determinado </w:t>
      </w:r>
      <w:r w:rsidR="0001014C" w:rsidRPr="00640517">
        <w:rPr>
          <w:rFonts w:asciiTheme="majorHAnsi" w:hAnsiTheme="majorHAnsi"/>
          <w:bCs/>
          <w:sz w:val="20"/>
          <w:szCs w:val="20"/>
          <w:lang w:val="es-CO"/>
        </w:rPr>
        <w:t xml:space="preserve">que </w:t>
      </w:r>
      <w:r w:rsidR="00800B1E" w:rsidRPr="00640517">
        <w:rPr>
          <w:rFonts w:asciiTheme="majorHAnsi" w:hAnsiTheme="majorHAnsi"/>
          <w:bCs/>
          <w:sz w:val="20"/>
          <w:szCs w:val="20"/>
          <w:lang w:val="es-CO"/>
        </w:rPr>
        <w:t xml:space="preserve">la Asamblea Legislativa </w:t>
      </w:r>
      <w:r w:rsidR="0001014C" w:rsidRPr="00640517">
        <w:rPr>
          <w:rFonts w:asciiTheme="majorHAnsi" w:hAnsiTheme="majorHAnsi"/>
          <w:bCs/>
          <w:sz w:val="20"/>
          <w:szCs w:val="20"/>
          <w:lang w:val="es-CO"/>
        </w:rPr>
        <w:t>no era competente</w:t>
      </w:r>
      <w:r w:rsidR="007122DA" w:rsidRPr="00640517">
        <w:rPr>
          <w:rFonts w:asciiTheme="majorHAnsi" w:hAnsiTheme="majorHAnsi"/>
          <w:bCs/>
          <w:sz w:val="20"/>
          <w:szCs w:val="20"/>
          <w:lang w:val="es-CO"/>
        </w:rPr>
        <w:t xml:space="preserve"> en el caso</w:t>
      </w:r>
      <w:r w:rsidR="00CD4C47" w:rsidRPr="00640517">
        <w:rPr>
          <w:rFonts w:asciiTheme="majorHAnsi" w:hAnsiTheme="majorHAnsi"/>
          <w:bCs/>
          <w:sz w:val="20"/>
          <w:szCs w:val="20"/>
          <w:lang w:val="es-CO"/>
        </w:rPr>
        <w:t xml:space="preserve"> y que no existía procedimiento previamente establecido,</w:t>
      </w:r>
      <w:r w:rsidR="00800B1E" w:rsidRPr="00640517">
        <w:rPr>
          <w:rFonts w:asciiTheme="majorHAnsi" w:hAnsiTheme="majorHAnsi"/>
          <w:bCs/>
          <w:sz w:val="20"/>
          <w:szCs w:val="20"/>
          <w:lang w:val="es-CO"/>
        </w:rPr>
        <w:t xml:space="preserve"> todos los actos que emanaron de dicho órgano</w:t>
      </w:r>
      <w:r w:rsidR="00CD4C47" w:rsidRPr="00640517">
        <w:rPr>
          <w:rFonts w:asciiTheme="majorHAnsi" w:hAnsiTheme="majorHAnsi"/>
          <w:bCs/>
          <w:sz w:val="20"/>
          <w:szCs w:val="20"/>
          <w:lang w:val="es-CO"/>
        </w:rPr>
        <w:t xml:space="preserve"> y en el marco del procedimiento </w:t>
      </w:r>
      <w:r w:rsidR="00CD4C47" w:rsidRPr="00640517">
        <w:rPr>
          <w:rFonts w:asciiTheme="majorHAnsi" w:hAnsiTheme="majorHAnsi"/>
          <w:bCs/>
          <w:i/>
          <w:sz w:val="20"/>
          <w:szCs w:val="20"/>
          <w:lang w:val="es-CO"/>
        </w:rPr>
        <w:t xml:space="preserve">ad hoc </w:t>
      </w:r>
      <w:r w:rsidR="00CD4C47" w:rsidRPr="00640517">
        <w:rPr>
          <w:rFonts w:asciiTheme="majorHAnsi" w:hAnsiTheme="majorHAnsi"/>
          <w:bCs/>
          <w:sz w:val="20"/>
          <w:szCs w:val="20"/>
          <w:lang w:val="es-CO"/>
        </w:rPr>
        <w:t>implementado en el caso,</w:t>
      </w:r>
      <w:r w:rsidR="00800B1E" w:rsidRPr="00640517">
        <w:rPr>
          <w:rFonts w:asciiTheme="majorHAnsi" w:hAnsiTheme="majorHAnsi"/>
          <w:bCs/>
          <w:sz w:val="20"/>
          <w:szCs w:val="20"/>
          <w:lang w:val="es-CO"/>
        </w:rPr>
        <w:t xml:space="preserve"> fueron producido</w:t>
      </w:r>
      <w:r w:rsidR="008C494F" w:rsidRPr="00640517">
        <w:rPr>
          <w:rFonts w:asciiTheme="majorHAnsi" w:hAnsiTheme="majorHAnsi"/>
          <w:bCs/>
          <w:sz w:val="20"/>
          <w:szCs w:val="20"/>
          <w:lang w:val="es-CO"/>
        </w:rPr>
        <w:t xml:space="preserve">s en violación del artículo 8 </w:t>
      </w:r>
      <w:r w:rsidR="00800B1E" w:rsidRPr="00640517">
        <w:rPr>
          <w:rFonts w:asciiTheme="majorHAnsi" w:hAnsiTheme="majorHAnsi"/>
          <w:bCs/>
          <w:sz w:val="20"/>
          <w:szCs w:val="20"/>
          <w:lang w:val="es-CO"/>
        </w:rPr>
        <w:t>de la Convención Americana, de tal forma que no resultaría necesario analizar las otras garantías del debido proceso</w:t>
      </w:r>
      <w:r w:rsidR="00800B1E" w:rsidRPr="00640517">
        <w:rPr>
          <w:rStyle w:val="FootnoteReference"/>
          <w:rFonts w:asciiTheme="majorHAnsi" w:hAnsiTheme="majorHAnsi"/>
          <w:bCs/>
          <w:sz w:val="20"/>
          <w:szCs w:val="20"/>
          <w:lang w:val="es-CO"/>
        </w:rPr>
        <w:footnoteReference w:id="85"/>
      </w:r>
      <w:r w:rsidR="00800B1E" w:rsidRPr="00640517">
        <w:rPr>
          <w:rFonts w:asciiTheme="majorHAnsi" w:hAnsiTheme="majorHAnsi"/>
          <w:bCs/>
          <w:sz w:val="20"/>
          <w:szCs w:val="20"/>
          <w:lang w:val="es-CO"/>
        </w:rPr>
        <w:t>. Sin perjuicio de ello, a efecto</w:t>
      </w:r>
      <w:r w:rsidR="00826A4E" w:rsidRPr="00640517">
        <w:rPr>
          <w:rFonts w:asciiTheme="majorHAnsi" w:hAnsiTheme="majorHAnsi"/>
          <w:bCs/>
          <w:sz w:val="20"/>
          <w:szCs w:val="20"/>
          <w:lang w:val="es-CO"/>
        </w:rPr>
        <w:t>s</w:t>
      </w:r>
      <w:r w:rsidR="00800B1E" w:rsidRPr="00640517">
        <w:rPr>
          <w:rFonts w:asciiTheme="majorHAnsi" w:hAnsiTheme="majorHAnsi"/>
          <w:bCs/>
          <w:sz w:val="20"/>
          <w:szCs w:val="20"/>
          <w:lang w:val="es-CO"/>
        </w:rPr>
        <w:t xml:space="preserve"> de que el Estado pueda adoptar</w:t>
      </w:r>
      <w:r w:rsidR="00EA0435" w:rsidRPr="00640517">
        <w:rPr>
          <w:rFonts w:asciiTheme="majorHAnsi" w:hAnsiTheme="majorHAnsi"/>
          <w:bCs/>
          <w:sz w:val="20"/>
          <w:szCs w:val="20"/>
          <w:lang w:val="es-CO"/>
        </w:rPr>
        <w:t xml:space="preserve"> </w:t>
      </w:r>
      <w:r w:rsidR="00800B1E" w:rsidRPr="00640517">
        <w:rPr>
          <w:rFonts w:asciiTheme="majorHAnsi" w:hAnsiTheme="majorHAnsi"/>
          <w:bCs/>
          <w:sz w:val="20"/>
          <w:szCs w:val="20"/>
          <w:lang w:val="es-CO"/>
        </w:rPr>
        <w:t xml:space="preserve">las medidas correspondientes para evitar </w:t>
      </w:r>
      <w:r w:rsidR="00597A3B" w:rsidRPr="00640517">
        <w:rPr>
          <w:rFonts w:asciiTheme="majorHAnsi" w:hAnsiTheme="majorHAnsi"/>
          <w:bCs/>
          <w:sz w:val="20"/>
          <w:szCs w:val="20"/>
          <w:lang w:val="es-CO"/>
        </w:rPr>
        <w:t xml:space="preserve">la </w:t>
      </w:r>
      <w:r w:rsidR="00EA0435" w:rsidRPr="00640517">
        <w:rPr>
          <w:rFonts w:asciiTheme="majorHAnsi" w:hAnsiTheme="majorHAnsi"/>
          <w:bCs/>
          <w:sz w:val="20"/>
          <w:szCs w:val="20"/>
          <w:lang w:val="es-CO"/>
        </w:rPr>
        <w:t xml:space="preserve">repetición </w:t>
      </w:r>
      <w:r w:rsidR="00597A3B" w:rsidRPr="00640517">
        <w:rPr>
          <w:rFonts w:asciiTheme="majorHAnsi" w:hAnsiTheme="majorHAnsi"/>
          <w:bCs/>
          <w:sz w:val="20"/>
          <w:szCs w:val="20"/>
          <w:lang w:val="es-CO"/>
        </w:rPr>
        <w:t xml:space="preserve">de </w:t>
      </w:r>
      <w:r w:rsidR="00800B1E" w:rsidRPr="00640517">
        <w:rPr>
          <w:rFonts w:asciiTheme="majorHAnsi" w:hAnsiTheme="majorHAnsi"/>
          <w:bCs/>
          <w:sz w:val="20"/>
          <w:szCs w:val="20"/>
          <w:lang w:val="es-CO"/>
        </w:rPr>
        <w:t xml:space="preserve">hechos como los del presente caso, la Comisión considera pertinente analizar las garantías aplicables a un proceso </w:t>
      </w:r>
      <w:r w:rsidR="007122DA" w:rsidRPr="00640517">
        <w:rPr>
          <w:rFonts w:asciiTheme="majorHAnsi" w:hAnsiTheme="majorHAnsi"/>
          <w:bCs/>
          <w:sz w:val="20"/>
          <w:szCs w:val="20"/>
          <w:lang w:val="es-CO"/>
        </w:rPr>
        <w:t>disciplinario</w:t>
      </w:r>
      <w:r w:rsidR="00800B1E" w:rsidRPr="00640517">
        <w:rPr>
          <w:rFonts w:asciiTheme="majorHAnsi" w:hAnsiTheme="majorHAnsi"/>
          <w:bCs/>
          <w:sz w:val="20"/>
          <w:szCs w:val="20"/>
          <w:lang w:val="es-CO"/>
        </w:rPr>
        <w:t xml:space="preserve"> como el ocurrido en contra del señor Colindres.</w:t>
      </w:r>
    </w:p>
    <w:p w14:paraId="689980B7" w14:textId="77777777" w:rsidR="00800B1E" w:rsidRPr="00640517" w:rsidRDefault="00800B1E" w:rsidP="002E5EAA">
      <w:pPr>
        <w:pStyle w:val="ListParagraph"/>
        <w:tabs>
          <w:tab w:val="num" w:pos="1440"/>
        </w:tabs>
        <w:ind w:left="0" w:firstLine="720"/>
        <w:rPr>
          <w:rFonts w:asciiTheme="majorHAnsi" w:hAnsiTheme="majorHAnsi"/>
          <w:bCs/>
          <w:sz w:val="20"/>
          <w:szCs w:val="20"/>
          <w:lang w:val="es-CO"/>
        </w:rPr>
      </w:pPr>
    </w:p>
    <w:p w14:paraId="63EBEBC8" w14:textId="77777777" w:rsidR="00755D25" w:rsidRPr="00640517" w:rsidRDefault="00755D25" w:rsidP="0045657E">
      <w:pPr>
        <w:pStyle w:val="Heading4"/>
      </w:pPr>
      <w:r w:rsidRPr="00640517">
        <w:t>Imparcialida</w:t>
      </w:r>
      <w:r w:rsidR="00C61C83" w:rsidRPr="00640517">
        <w:t>d de la autoridad disciplinaria</w:t>
      </w:r>
    </w:p>
    <w:p w14:paraId="6CC148CC" w14:textId="77777777" w:rsidR="00755D25" w:rsidRPr="00640517" w:rsidRDefault="00755D25" w:rsidP="000C795B">
      <w:pPr>
        <w:rPr>
          <w:rFonts w:asciiTheme="majorHAnsi" w:hAnsiTheme="majorHAnsi"/>
          <w:bCs/>
          <w:sz w:val="20"/>
          <w:szCs w:val="20"/>
          <w:lang w:val="es-CO"/>
        </w:rPr>
      </w:pPr>
    </w:p>
    <w:p w14:paraId="4E129E96" w14:textId="77777777" w:rsidR="007122DA" w:rsidRPr="00640517" w:rsidRDefault="007C2730" w:rsidP="00D74A3B">
      <w:pPr>
        <w:numPr>
          <w:ilvl w:val="0"/>
          <w:numId w:val="1"/>
        </w:numPr>
        <w:ind w:left="0" w:firstLine="720"/>
        <w:jc w:val="both"/>
        <w:rPr>
          <w:rFonts w:asciiTheme="majorHAnsi" w:hAnsiTheme="majorHAnsi"/>
          <w:sz w:val="20"/>
          <w:szCs w:val="20"/>
          <w:lang w:val="es-UY"/>
        </w:rPr>
      </w:pPr>
      <w:r w:rsidRPr="00640517">
        <w:rPr>
          <w:rFonts w:asciiTheme="majorHAnsi" w:hAnsiTheme="majorHAnsi"/>
          <w:bCs/>
          <w:sz w:val="20"/>
          <w:szCs w:val="20"/>
          <w:lang w:val="es-CO"/>
        </w:rPr>
        <w:t>L</w:t>
      </w:r>
      <w:r w:rsidR="00755D25" w:rsidRPr="00640517">
        <w:rPr>
          <w:rFonts w:asciiTheme="majorHAnsi" w:hAnsiTheme="majorHAnsi"/>
          <w:bCs/>
          <w:sz w:val="20"/>
          <w:szCs w:val="20"/>
          <w:lang w:val="es-CO"/>
        </w:rPr>
        <w:t xml:space="preserve">a separación del cargo </w:t>
      </w:r>
      <w:r w:rsidR="002A2299" w:rsidRPr="00640517">
        <w:rPr>
          <w:rFonts w:asciiTheme="majorHAnsi" w:hAnsiTheme="majorHAnsi"/>
          <w:bCs/>
          <w:sz w:val="20"/>
          <w:szCs w:val="20"/>
          <w:lang w:val="es-CO"/>
        </w:rPr>
        <w:t>del magistrado Colindres se realizó por pa</w:t>
      </w:r>
      <w:r w:rsidR="00A66E94" w:rsidRPr="00640517">
        <w:rPr>
          <w:rFonts w:asciiTheme="majorHAnsi" w:hAnsiTheme="majorHAnsi"/>
          <w:bCs/>
          <w:sz w:val="20"/>
          <w:szCs w:val="20"/>
          <w:lang w:val="es-CO"/>
        </w:rPr>
        <w:t xml:space="preserve">rte de la Asamblea Legislativa, es decir por un órgano político. </w:t>
      </w:r>
      <w:r w:rsidR="007122DA" w:rsidRPr="00640517">
        <w:rPr>
          <w:rFonts w:asciiTheme="majorHAnsi" w:hAnsiTheme="majorHAnsi"/>
          <w:bCs/>
          <w:sz w:val="20"/>
          <w:szCs w:val="20"/>
          <w:lang w:val="es-CO"/>
        </w:rPr>
        <w:t xml:space="preserve"> </w:t>
      </w:r>
      <w:r w:rsidR="007F6F85" w:rsidRPr="00640517">
        <w:rPr>
          <w:rFonts w:asciiTheme="majorHAnsi" w:hAnsiTheme="majorHAnsi"/>
          <w:bCs/>
          <w:sz w:val="20"/>
          <w:szCs w:val="20"/>
          <w:lang w:val="es-CO"/>
        </w:rPr>
        <w:t>E</w:t>
      </w:r>
      <w:r w:rsidR="00A66E94" w:rsidRPr="00640517">
        <w:rPr>
          <w:rFonts w:asciiTheme="majorHAnsi" w:hAnsiTheme="majorHAnsi"/>
          <w:sz w:val="20"/>
          <w:szCs w:val="20"/>
          <w:lang w:val="es-UY"/>
        </w:rPr>
        <w:t>n términos generales, el sistema interamericano ha reconocido la figura de juicio político como una forma legítima de control</w:t>
      </w:r>
      <w:r w:rsidR="00A66E94" w:rsidRPr="00640517">
        <w:rPr>
          <w:rStyle w:val="FootnoteReference"/>
          <w:rFonts w:asciiTheme="majorHAnsi" w:hAnsiTheme="majorHAnsi"/>
          <w:sz w:val="20"/>
          <w:szCs w:val="20"/>
          <w:lang w:val="es-UY"/>
        </w:rPr>
        <w:footnoteReference w:id="86"/>
      </w:r>
      <w:r w:rsidR="00A66E94" w:rsidRPr="00640517">
        <w:rPr>
          <w:rFonts w:asciiTheme="majorHAnsi" w:hAnsiTheme="majorHAnsi"/>
          <w:sz w:val="20"/>
          <w:szCs w:val="20"/>
          <w:lang w:val="es-UY"/>
        </w:rPr>
        <w:t>.</w:t>
      </w:r>
      <w:r w:rsidR="003157EE" w:rsidRPr="00640517">
        <w:rPr>
          <w:lang w:val="es-MX"/>
        </w:rPr>
        <w:t xml:space="preserve"> </w:t>
      </w:r>
      <w:r w:rsidR="000C795B" w:rsidRPr="00640517">
        <w:rPr>
          <w:rFonts w:asciiTheme="majorHAnsi" w:hAnsiTheme="majorHAnsi"/>
          <w:sz w:val="20"/>
          <w:szCs w:val="20"/>
          <w:lang w:val="es-UY"/>
        </w:rPr>
        <w:t xml:space="preserve">Sin </w:t>
      </w:r>
      <w:r w:rsidR="007F6F85" w:rsidRPr="00640517">
        <w:rPr>
          <w:rFonts w:asciiTheme="majorHAnsi" w:hAnsiTheme="majorHAnsi"/>
          <w:sz w:val="20"/>
          <w:szCs w:val="20"/>
          <w:lang w:val="es-UY"/>
        </w:rPr>
        <w:t>embargo</w:t>
      </w:r>
      <w:r w:rsidR="000C795B" w:rsidRPr="00640517">
        <w:rPr>
          <w:rFonts w:asciiTheme="majorHAnsi" w:hAnsiTheme="majorHAnsi"/>
          <w:sz w:val="20"/>
          <w:szCs w:val="20"/>
          <w:lang w:val="es-UY"/>
        </w:rPr>
        <w:t xml:space="preserve">, </w:t>
      </w:r>
      <w:r w:rsidR="00A66E94" w:rsidRPr="00640517">
        <w:rPr>
          <w:rFonts w:asciiTheme="majorHAnsi" w:hAnsiTheme="majorHAnsi"/>
          <w:sz w:val="20"/>
          <w:szCs w:val="20"/>
          <w:lang w:val="es-UY"/>
        </w:rPr>
        <w:t xml:space="preserve">la sola facultad atribuida al poder legislativo de </w:t>
      </w:r>
      <w:r w:rsidR="000C795B" w:rsidRPr="00640517">
        <w:rPr>
          <w:rFonts w:asciiTheme="majorHAnsi" w:hAnsiTheme="majorHAnsi"/>
          <w:sz w:val="20"/>
          <w:szCs w:val="20"/>
          <w:lang w:val="es-UY"/>
        </w:rPr>
        <w:t xml:space="preserve">poder </w:t>
      </w:r>
      <w:r w:rsidR="00A66E94" w:rsidRPr="00640517">
        <w:rPr>
          <w:rFonts w:asciiTheme="majorHAnsi" w:hAnsiTheme="majorHAnsi"/>
          <w:sz w:val="20"/>
          <w:szCs w:val="20"/>
          <w:lang w:val="es-UY"/>
        </w:rPr>
        <w:t xml:space="preserve">separar de sus cargos a las y los </w:t>
      </w:r>
      <w:r w:rsidR="007F6F85" w:rsidRPr="00640517">
        <w:rPr>
          <w:rFonts w:asciiTheme="majorHAnsi" w:hAnsiTheme="majorHAnsi"/>
          <w:sz w:val="20"/>
          <w:szCs w:val="20"/>
          <w:lang w:val="es-UY"/>
        </w:rPr>
        <w:t xml:space="preserve">jueces </w:t>
      </w:r>
      <w:r w:rsidR="00A66E94" w:rsidRPr="00640517">
        <w:rPr>
          <w:rFonts w:asciiTheme="majorHAnsi" w:hAnsiTheme="majorHAnsi"/>
          <w:sz w:val="20"/>
          <w:szCs w:val="20"/>
          <w:lang w:val="es-UY"/>
        </w:rPr>
        <w:t>por su propia naturaleza resulta problemática con la garantía d</w:t>
      </w:r>
      <w:r w:rsidR="000C795B" w:rsidRPr="00640517">
        <w:rPr>
          <w:rFonts w:asciiTheme="majorHAnsi" w:hAnsiTheme="majorHAnsi"/>
          <w:sz w:val="20"/>
          <w:szCs w:val="20"/>
          <w:lang w:val="es-UY"/>
        </w:rPr>
        <w:t>e independencia</w:t>
      </w:r>
      <w:r w:rsidR="000C795B" w:rsidRPr="00640517">
        <w:rPr>
          <w:rStyle w:val="FootnoteReference"/>
          <w:rFonts w:asciiTheme="majorHAnsi" w:hAnsiTheme="majorHAnsi"/>
          <w:sz w:val="20"/>
          <w:szCs w:val="20"/>
          <w:lang w:val="es-UY"/>
        </w:rPr>
        <w:footnoteReference w:id="87"/>
      </w:r>
      <w:r w:rsidR="00A66E94" w:rsidRPr="00640517">
        <w:rPr>
          <w:rFonts w:asciiTheme="majorHAnsi" w:hAnsiTheme="majorHAnsi"/>
          <w:sz w:val="20"/>
          <w:szCs w:val="20"/>
          <w:lang w:val="es-UY"/>
        </w:rPr>
        <w:t xml:space="preserve">. </w:t>
      </w:r>
      <w:r w:rsidR="00D74A3B" w:rsidRPr="00640517">
        <w:rPr>
          <w:rFonts w:asciiTheme="majorHAnsi" w:hAnsiTheme="majorHAnsi"/>
          <w:sz w:val="20"/>
          <w:szCs w:val="20"/>
          <w:lang w:val="es-UY"/>
        </w:rPr>
        <w:t>L</w:t>
      </w:r>
      <w:r w:rsidR="00A66E94" w:rsidRPr="00640517">
        <w:rPr>
          <w:rFonts w:asciiTheme="majorHAnsi" w:hAnsiTheme="majorHAnsi"/>
          <w:sz w:val="20"/>
          <w:szCs w:val="20"/>
          <w:lang w:val="es-UY"/>
        </w:rPr>
        <w:t xml:space="preserve">a Comisión </w:t>
      </w:r>
      <w:r w:rsidR="000C795B" w:rsidRPr="00640517">
        <w:rPr>
          <w:rFonts w:asciiTheme="majorHAnsi" w:hAnsiTheme="majorHAnsi"/>
          <w:sz w:val="20"/>
          <w:szCs w:val="20"/>
          <w:lang w:val="es-UY"/>
        </w:rPr>
        <w:t>ha resaltado que resulta “</w:t>
      </w:r>
      <w:r w:rsidR="00A66E94" w:rsidRPr="00640517">
        <w:rPr>
          <w:rFonts w:asciiTheme="majorHAnsi" w:hAnsiTheme="majorHAnsi"/>
          <w:sz w:val="20"/>
          <w:szCs w:val="20"/>
          <w:lang w:val="es-UY"/>
        </w:rPr>
        <w:t>conveniente eliminar progresivamente el uso del juicio político en</w:t>
      </w:r>
      <w:r w:rsidR="004630E9" w:rsidRPr="00640517">
        <w:rPr>
          <w:rFonts w:asciiTheme="majorHAnsi" w:hAnsiTheme="majorHAnsi"/>
          <w:sz w:val="20"/>
          <w:szCs w:val="20"/>
          <w:lang w:val="es-UY"/>
        </w:rPr>
        <w:t xml:space="preserve"> la</w:t>
      </w:r>
      <w:r w:rsidR="00A66E94" w:rsidRPr="00640517">
        <w:rPr>
          <w:rFonts w:asciiTheme="majorHAnsi" w:hAnsiTheme="majorHAnsi"/>
          <w:sz w:val="20"/>
          <w:szCs w:val="20"/>
          <w:lang w:val="es-UY"/>
        </w:rPr>
        <w:t xml:space="preserve"> región para operadores de justicia, ya que esta figura constituye un riesgo significativo a la independencia judicial</w:t>
      </w:r>
      <w:r w:rsidR="000C795B" w:rsidRPr="00640517">
        <w:rPr>
          <w:rFonts w:asciiTheme="majorHAnsi" w:hAnsiTheme="majorHAnsi"/>
          <w:sz w:val="20"/>
          <w:szCs w:val="20"/>
          <w:lang w:val="es-UY"/>
        </w:rPr>
        <w:t>”</w:t>
      </w:r>
      <w:r w:rsidR="000C795B" w:rsidRPr="00640517">
        <w:rPr>
          <w:rStyle w:val="FootnoteReference"/>
          <w:rFonts w:asciiTheme="majorHAnsi" w:hAnsiTheme="majorHAnsi"/>
          <w:sz w:val="20"/>
          <w:szCs w:val="20"/>
          <w:lang w:val="es-UY"/>
        </w:rPr>
        <w:footnoteReference w:id="88"/>
      </w:r>
      <w:r w:rsidR="00A66E94" w:rsidRPr="00640517">
        <w:rPr>
          <w:rFonts w:asciiTheme="majorHAnsi" w:hAnsiTheme="majorHAnsi"/>
          <w:sz w:val="20"/>
          <w:szCs w:val="20"/>
          <w:lang w:val="es-UY"/>
        </w:rPr>
        <w:t>.</w:t>
      </w:r>
      <w:r w:rsidR="00D74A3B" w:rsidRPr="00640517">
        <w:rPr>
          <w:rFonts w:asciiTheme="majorHAnsi" w:hAnsiTheme="majorHAnsi"/>
          <w:sz w:val="20"/>
          <w:szCs w:val="20"/>
          <w:lang w:val="es-UY"/>
        </w:rPr>
        <w:t xml:space="preserve"> </w:t>
      </w:r>
    </w:p>
    <w:p w14:paraId="3B5AD0A9" w14:textId="77777777" w:rsidR="007122DA" w:rsidRPr="00640517" w:rsidRDefault="007122DA" w:rsidP="007122DA">
      <w:pPr>
        <w:ind w:left="720"/>
        <w:jc w:val="both"/>
        <w:rPr>
          <w:rFonts w:asciiTheme="majorHAnsi" w:hAnsiTheme="majorHAnsi"/>
          <w:sz w:val="20"/>
          <w:szCs w:val="20"/>
          <w:lang w:val="es-UY"/>
        </w:rPr>
      </w:pPr>
    </w:p>
    <w:p w14:paraId="2603BA03" w14:textId="027D6486" w:rsidR="000C795B" w:rsidRPr="00640517" w:rsidRDefault="00D74A3B" w:rsidP="00D74A3B">
      <w:pPr>
        <w:numPr>
          <w:ilvl w:val="0"/>
          <w:numId w:val="1"/>
        </w:numPr>
        <w:ind w:left="0" w:firstLine="720"/>
        <w:jc w:val="both"/>
        <w:rPr>
          <w:rFonts w:asciiTheme="majorHAnsi" w:hAnsiTheme="majorHAnsi"/>
          <w:sz w:val="20"/>
          <w:szCs w:val="20"/>
          <w:lang w:val="es-UY"/>
        </w:rPr>
      </w:pPr>
      <w:r w:rsidRPr="00640517">
        <w:rPr>
          <w:rFonts w:asciiTheme="majorHAnsi" w:hAnsiTheme="majorHAnsi"/>
          <w:sz w:val="20"/>
          <w:szCs w:val="20"/>
          <w:lang w:val="es-UY"/>
        </w:rPr>
        <w:t xml:space="preserve">En todo caso, </w:t>
      </w:r>
      <w:r w:rsidR="008930FD" w:rsidRPr="00640517">
        <w:rPr>
          <w:rFonts w:asciiTheme="majorHAnsi" w:hAnsiTheme="majorHAnsi"/>
          <w:sz w:val="20"/>
          <w:szCs w:val="20"/>
          <w:lang w:val="es-UY"/>
        </w:rPr>
        <w:t xml:space="preserve">en los </w:t>
      </w:r>
      <w:r w:rsidR="007122DA" w:rsidRPr="00640517">
        <w:rPr>
          <w:rFonts w:asciiTheme="majorHAnsi" w:hAnsiTheme="majorHAnsi"/>
          <w:sz w:val="20"/>
          <w:szCs w:val="20"/>
          <w:lang w:val="es-UY"/>
        </w:rPr>
        <w:t>procesos discipl</w:t>
      </w:r>
      <w:r w:rsidR="00646A40" w:rsidRPr="00640517">
        <w:rPr>
          <w:rFonts w:asciiTheme="majorHAnsi" w:hAnsiTheme="majorHAnsi"/>
          <w:sz w:val="20"/>
          <w:szCs w:val="20"/>
          <w:lang w:val="es-UY"/>
        </w:rPr>
        <w:t>i</w:t>
      </w:r>
      <w:r w:rsidR="007122DA" w:rsidRPr="00640517">
        <w:rPr>
          <w:rFonts w:asciiTheme="majorHAnsi" w:hAnsiTheme="majorHAnsi"/>
          <w:sz w:val="20"/>
          <w:szCs w:val="20"/>
          <w:lang w:val="es-UY"/>
        </w:rPr>
        <w:t xml:space="preserve">narios realizados por el órgano legislativo, </w:t>
      </w:r>
      <w:r w:rsidR="00210821" w:rsidRPr="00640517">
        <w:rPr>
          <w:rFonts w:asciiTheme="majorHAnsi" w:hAnsiTheme="majorHAnsi"/>
          <w:sz w:val="20"/>
          <w:szCs w:val="20"/>
          <w:lang w:val="es-UY"/>
        </w:rPr>
        <w:t>l</w:t>
      </w:r>
      <w:r w:rsidR="003F6C30" w:rsidRPr="00640517">
        <w:rPr>
          <w:rFonts w:asciiTheme="majorHAnsi" w:hAnsiTheme="majorHAnsi"/>
          <w:sz w:val="20"/>
          <w:szCs w:val="20"/>
          <w:lang w:val="es-UY"/>
        </w:rPr>
        <w:t xml:space="preserve">a </w:t>
      </w:r>
      <w:r w:rsidR="001F66BE" w:rsidRPr="00640517">
        <w:rPr>
          <w:rFonts w:asciiTheme="majorHAnsi" w:hAnsiTheme="majorHAnsi"/>
          <w:sz w:val="20"/>
          <w:szCs w:val="20"/>
          <w:lang w:val="es-UY"/>
        </w:rPr>
        <w:t xml:space="preserve">garantía de </w:t>
      </w:r>
      <w:r w:rsidR="003F6C30" w:rsidRPr="00640517">
        <w:rPr>
          <w:rFonts w:asciiTheme="majorHAnsi" w:hAnsiTheme="majorHAnsi"/>
          <w:sz w:val="20"/>
          <w:szCs w:val="20"/>
          <w:lang w:val="es-UY"/>
        </w:rPr>
        <w:t xml:space="preserve">imparcialidad </w:t>
      </w:r>
      <w:r w:rsidR="001F66BE" w:rsidRPr="00640517">
        <w:rPr>
          <w:rFonts w:asciiTheme="majorHAnsi" w:hAnsiTheme="majorHAnsi"/>
          <w:sz w:val="20"/>
          <w:szCs w:val="20"/>
          <w:lang w:val="es-UY"/>
        </w:rPr>
        <w:t xml:space="preserve">(artículo 8.1 de la Convención) </w:t>
      </w:r>
      <w:r w:rsidR="00BA0D11" w:rsidRPr="00640517">
        <w:rPr>
          <w:rFonts w:asciiTheme="majorHAnsi" w:hAnsiTheme="majorHAnsi"/>
          <w:sz w:val="20"/>
          <w:szCs w:val="20"/>
          <w:lang w:val="es-UY"/>
        </w:rPr>
        <w:t>continúa siendo plenamente aplicable</w:t>
      </w:r>
      <w:r w:rsidR="00396E5C">
        <w:rPr>
          <w:rFonts w:asciiTheme="majorHAnsi" w:hAnsiTheme="majorHAnsi"/>
          <w:sz w:val="20"/>
          <w:szCs w:val="20"/>
          <w:lang w:val="es-UY"/>
        </w:rPr>
        <w:t>,</w:t>
      </w:r>
      <w:r w:rsidR="00BA0D11" w:rsidRPr="00640517">
        <w:rPr>
          <w:rFonts w:asciiTheme="majorHAnsi" w:hAnsiTheme="majorHAnsi"/>
          <w:sz w:val="20"/>
          <w:szCs w:val="20"/>
          <w:lang w:val="es-UY"/>
        </w:rPr>
        <w:t xml:space="preserve"> pues lo</w:t>
      </w:r>
      <w:r w:rsidR="00E75EF4" w:rsidRPr="00640517">
        <w:rPr>
          <w:rFonts w:asciiTheme="majorHAnsi" w:hAnsiTheme="majorHAnsi"/>
          <w:sz w:val="20"/>
          <w:szCs w:val="20"/>
          <w:lang w:val="es-UY"/>
        </w:rPr>
        <w:t xml:space="preserve"> decisivo</w:t>
      </w:r>
      <w:r w:rsidR="00BA0D11" w:rsidRPr="00640517">
        <w:rPr>
          <w:rFonts w:asciiTheme="majorHAnsi" w:hAnsiTheme="majorHAnsi"/>
          <w:sz w:val="20"/>
          <w:szCs w:val="20"/>
          <w:lang w:val="es-UY"/>
        </w:rPr>
        <w:t xml:space="preserve"> para la determinación de las garantías respectivas es la naturaleza sancionatoria de la facultad que está</w:t>
      </w:r>
      <w:r w:rsidR="009B4A0E" w:rsidRPr="00640517">
        <w:rPr>
          <w:rFonts w:asciiTheme="majorHAnsi" w:hAnsiTheme="majorHAnsi"/>
          <w:sz w:val="20"/>
          <w:szCs w:val="20"/>
          <w:lang w:val="es-UY"/>
        </w:rPr>
        <w:t xml:space="preserve"> ejerciendo la autoridad respectiva. La garantía de imparcialidad </w:t>
      </w:r>
      <w:r w:rsidR="003F6C30" w:rsidRPr="00640517">
        <w:rPr>
          <w:rFonts w:asciiTheme="majorHAnsi" w:hAnsiTheme="majorHAnsi"/>
          <w:sz w:val="20"/>
          <w:szCs w:val="20"/>
          <w:lang w:val="es-UY"/>
        </w:rPr>
        <w:t xml:space="preserve">implica que los integrantes de </w:t>
      </w:r>
      <w:r w:rsidR="009B4A0E" w:rsidRPr="00640517">
        <w:rPr>
          <w:rFonts w:asciiTheme="majorHAnsi" w:hAnsiTheme="majorHAnsi"/>
          <w:sz w:val="20"/>
          <w:szCs w:val="20"/>
          <w:lang w:val="es-UY"/>
        </w:rPr>
        <w:t xml:space="preserve">la Asamblea Legislativa </w:t>
      </w:r>
      <w:r w:rsidR="000C795B" w:rsidRPr="00640517">
        <w:rPr>
          <w:rFonts w:asciiTheme="majorHAnsi" w:hAnsiTheme="majorHAnsi" w:cs="Calibri"/>
          <w:sz w:val="20"/>
          <w:szCs w:val="20"/>
          <w:lang w:val="es-UY"/>
        </w:rPr>
        <w:t>“no tengan un interés directo, una posición tomada, una preferencia por alguna de las partes y que no se encuentren involucrados en la controversia”</w:t>
      </w:r>
      <w:r w:rsidR="000C795B" w:rsidRPr="00640517">
        <w:rPr>
          <w:rStyle w:val="FootnoteReference"/>
          <w:rFonts w:asciiTheme="majorHAnsi" w:hAnsiTheme="majorHAnsi" w:cs="Calibri"/>
          <w:sz w:val="20"/>
          <w:szCs w:val="20"/>
        </w:rPr>
        <w:footnoteReference w:id="89"/>
      </w:r>
      <w:r w:rsidR="000C795B" w:rsidRPr="00640517">
        <w:rPr>
          <w:rFonts w:asciiTheme="majorHAnsi" w:hAnsiTheme="majorHAnsi" w:cs="Calibri"/>
          <w:sz w:val="20"/>
          <w:szCs w:val="20"/>
          <w:lang w:val="es-UY"/>
        </w:rPr>
        <w:t xml:space="preserve">. </w:t>
      </w:r>
      <w:r w:rsidR="007122DA" w:rsidRPr="00640517">
        <w:rPr>
          <w:rFonts w:asciiTheme="majorHAnsi" w:hAnsiTheme="majorHAnsi" w:cs="Calibri"/>
          <w:sz w:val="20"/>
          <w:szCs w:val="20"/>
          <w:lang w:val="es-UY"/>
        </w:rPr>
        <w:t xml:space="preserve">Para evaluar la </w:t>
      </w:r>
      <w:r w:rsidR="000C795B" w:rsidRPr="00640517">
        <w:rPr>
          <w:rFonts w:asciiTheme="majorHAnsi" w:hAnsiTheme="majorHAnsi" w:cs="Calibri"/>
          <w:sz w:val="20"/>
          <w:szCs w:val="20"/>
          <w:lang w:val="es-UY"/>
        </w:rPr>
        <w:t xml:space="preserve">imparcialidad </w:t>
      </w:r>
      <w:r w:rsidR="007122DA" w:rsidRPr="00640517">
        <w:rPr>
          <w:rFonts w:asciiTheme="majorHAnsi" w:hAnsiTheme="majorHAnsi" w:cs="Calibri"/>
          <w:sz w:val="20"/>
          <w:szCs w:val="20"/>
          <w:lang w:val="es-UY"/>
        </w:rPr>
        <w:t xml:space="preserve">debe tomarse en cuenta desde </w:t>
      </w:r>
      <w:r w:rsidR="000C795B" w:rsidRPr="00640517">
        <w:rPr>
          <w:rFonts w:asciiTheme="majorHAnsi" w:hAnsiTheme="majorHAnsi" w:cs="Calibri"/>
          <w:sz w:val="20"/>
          <w:szCs w:val="20"/>
          <w:lang w:val="es-UY"/>
        </w:rPr>
        <w:t>el enfoque subjetivo la convicción personal y la conducta de un juez en un caso concreto, así como desde la perspectiva objetiva si concede garantías suficientes para excluir cualquier duda legítima al respecto</w:t>
      </w:r>
      <w:r w:rsidR="000C795B" w:rsidRPr="00640517">
        <w:rPr>
          <w:rStyle w:val="FootnoteReference"/>
          <w:rFonts w:asciiTheme="majorHAnsi" w:hAnsiTheme="majorHAnsi" w:cs="Calibri"/>
          <w:sz w:val="20"/>
          <w:szCs w:val="20"/>
        </w:rPr>
        <w:footnoteReference w:id="90"/>
      </w:r>
      <w:r w:rsidR="000C795B" w:rsidRPr="00640517">
        <w:rPr>
          <w:rFonts w:asciiTheme="majorHAnsi" w:hAnsiTheme="majorHAnsi" w:cs="Calibri"/>
          <w:sz w:val="20"/>
          <w:szCs w:val="20"/>
          <w:lang w:val="es-UY"/>
        </w:rPr>
        <w:t>.</w:t>
      </w:r>
    </w:p>
    <w:p w14:paraId="7803DE07" w14:textId="77777777" w:rsidR="003F6C30" w:rsidRPr="00640517" w:rsidRDefault="003F6C30" w:rsidP="003157EE">
      <w:pPr>
        <w:tabs>
          <w:tab w:val="num" w:pos="1440"/>
        </w:tabs>
        <w:rPr>
          <w:rFonts w:asciiTheme="majorHAnsi" w:hAnsiTheme="majorHAnsi"/>
          <w:bCs/>
          <w:sz w:val="20"/>
          <w:szCs w:val="20"/>
          <w:lang w:val="es-UY"/>
        </w:rPr>
      </w:pPr>
    </w:p>
    <w:p w14:paraId="4769A3AF" w14:textId="77777777" w:rsidR="00AE2AAD" w:rsidRPr="00640517" w:rsidRDefault="003F6C30" w:rsidP="00AE2AAD">
      <w:pPr>
        <w:numPr>
          <w:ilvl w:val="0"/>
          <w:numId w:val="1"/>
        </w:numPr>
        <w:ind w:left="0" w:firstLine="720"/>
        <w:jc w:val="both"/>
        <w:rPr>
          <w:rFonts w:asciiTheme="majorHAnsi" w:hAnsiTheme="majorHAnsi"/>
          <w:bCs/>
          <w:sz w:val="20"/>
          <w:szCs w:val="20"/>
          <w:lang w:val="es-CO"/>
        </w:rPr>
      </w:pPr>
      <w:r w:rsidRPr="00640517">
        <w:rPr>
          <w:rFonts w:asciiTheme="majorHAnsi" w:hAnsiTheme="majorHAnsi"/>
          <w:bCs/>
          <w:sz w:val="20"/>
          <w:szCs w:val="20"/>
          <w:lang w:val="es-CO"/>
        </w:rPr>
        <w:t xml:space="preserve">En el presente caso, </w:t>
      </w:r>
      <w:r w:rsidR="00AE2AAD" w:rsidRPr="00640517">
        <w:rPr>
          <w:rFonts w:asciiTheme="majorHAnsi" w:hAnsiTheme="majorHAnsi"/>
          <w:bCs/>
          <w:sz w:val="20"/>
          <w:szCs w:val="20"/>
          <w:lang w:val="es-CO"/>
        </w:rPr>
        <w:t xml:space="preserve"> </w:t>
      </w:r>
      <w:r w:rsidR="008E3F09" w:rsidRPr="00640517">
        <w:rPr>
          <w:rFonts w:asciiTheme="majorHAnsi" w:hAnsiTheme="majorHAnsi"/>
          <w:bCs/>
          <w:sz w:val="20"/>
          <w:szCs w:val="20"/>
          <w:lang w:val="es-CO"/>
        </w:rPr>
        <w:t xml:space="preserve">desde la sola perspectiva institucional, resulta difícil justificar que la Asamblea Legislativa fuera un órgano imparcial para sancionar a </w:t>
      </w:r>
      <w:r w:rsidRPr="00640517">
        <w:rPr>
          <w:rFonts w:asciiTheme="majorHAnsi" w:hAnsiTheme="majorHAnsi"/>
          <w:bCs/>
          <w:sz w:val="20"/>
          <w:szCs w:val="20"/>
          <w:lang w:val="es-CO"/>
        </w:rPr>
        <w:t>integrante</w:t>
      </w:r>
      <w:r w:rsidR="008E3F09" w:rsidRPr="00640517">
        <w:rPr>
          <w:rFonts w:asciiTheme="majorHAnsi" w:hAnsiTheme="majorHAnsi"/>
          <w:bCs/>
          <w:sz w:val="20"/>
          <w:szCs w:val="20"/>
          <w:lang w:val="es-CO"/>
        </w:rPr>
        <w:t>s</w:t>
      </w:r>
      <w:r w:rsidRPr="00640517">
        <w:rPr>
          <w:rFonts w:asciiTheme="majorHAnsi" w:hAnsiTheme="majorHAnsi"/>
          <w:bCs/>
          <w:sz w:val="20"/>
          <w:szCs w:val="20"/>
          <w:lang w:val="es-CO"/>
        </w:rPr>
        <w:t xml:space="preserve"> del </w:t>
      </w:r>
      <w:r w:rsidR="008930FD" w:rsidRPr="00640517">
        <w:rPr>
          <w:rFonts w:asciiTheme="majorHAnsi" w:hAnsiTheme="majorHAnsi"/>
          <w:bCs/>
          <w:sz w:val="20"/>
          <w:szCs w:val="20"/>
          <w:lang w:val="es-CO"/>
        </w:rPr>
        <w:t>TSE</w:t>
      </w:r>
      <w:r w:rsidRPr="00640517">
        <w:rPr>
          <w:rFonts w:asciiTheme="majorHAnsi" w:hAnsiTheme="majorHAnsi"/>
          <w:bCs/>
          <w:sz w:val="20"/>
          <w:szCs w:val="20"/>
          <w:lang w:val="es-CO"/>
        </w:rPr>
        <w:t>, es decir, de la máxima instancia en dicha materia, en donde eran</w:t>
      </w:r>
      <w:r w:rsidR="00210821" w:rsidRPr="00640517">
        <w:rPr>
          <w:rFonts w:asciiTheme="majorHAnsi" w:hAnsiTheme="majorHAnsi"/>
          <w:bCs/>
          <w:sz w:val="20"/>
          <w:szCs w:val="20"/>
          <w:lang w:val="es-CO"/>
        </w:rPr>
        <w:t xml:space="preserve"> sustanciados casos que involuc</w:t>
      </w:r>
      <w:r w:rsidRPr="00640517">
        <w:rPr>
          <w:rFonts w:asciiTheme="majorHAnsi" w:hAnsiTheme="majorHAnsi"/>
          <w:bCs/>
          <w:sz w:val="20"/>
          <w:szCs w:val="20"/>
          <w:lang w:val="es-CO"/>
        </w:rPr>
        <w:t xml:space="preserve">raban </w:t>
      </w:r>
      <w:r w:rsidR="00210821" w:rsidRPr="00640517">
        <w:rPr>
          <w:rFonts w:asciiTheme="majorHAnsi" w:hAnsiTheme="majorHAnsi"/>
          <w:bCs/>
          <w:sz w:val="20"/>
          <w:szCs w:val="20"/>
          <w:lang w:val="es-CO"/>
        </w:rPr>
        <w:t xml:space="preserve">intereses de </w:t>
      </w:r>
      <w:r w:rsidRPr="00640517">
        <w:rPr>
          <w:rFonts w:asciiTheme="majorHAnsi" w:hAnsiTheme="majorHAnsi"/>
          <w:bCs/>
          <w:sz w:val="20"/>
          <w:szCs w:val="20"/>
          <w:lang w:val="es-CO"/>
        </w:rPr>
        <w:t>los partidos de los cuales provenían los integrantes de la Asamblea Legislativa.</w:t>
      </w:r>
      <w:r w:rsidR="00210821" w:rsidRPr="00640517">
        <w:rPr>
          <w:rFonts w:asciiTheme="majorHAnsi" w:hAnsiTheme="majorHAnsi"/>
          <w:bCs/>
          <w:sz w:val="20"/>
          <w:szCs w:val="20"/>
          <w:lang w:val="es-CO"/>
        </w:rPr>
        <w:t xml:space="preserve"> </w:t>
      </w:r>
      <w:r w:rsidR="00AE2AAD" w:rsidRPr="00640517">
        <w:rPr>
          <w:rFonts w:asciiTheme="majorHAnsi" w:hAnsiTheme="majorHAnsi"/>
          <w:bCs/>
          <w:sz w:val="20"/>
          <w:szCs w:val="20"/>
          <w:lang w:val="es-CO"/>
        </w:rPr>
        <w:t xml:space="preserve">La Comisión observa que de acuerdo con la </w:t>
      </w:r>
      <w:r w:rsidR="00AE2AAD" w:rsidRPr="00640517">
        <w:rPr>
          <w:rFonts w:asciiTheme="majorHAnsi" w:hAnsiTheme="majorHAnsi"/>
          <w:bCs/>
          <w:sz w:val="20"/>
          <w:szCs w:val="20"/>
          <w:lang w:val="es-CO"/>
        </w:rPr>
        <w:lastRenderedPageBreak/>
        <w:t>información disponible, el anterior riesgo a la independencia judicial, se materializó específicamente e</w:t>
      </w:r>
      <w:r w:rsidR="007F6F85" w:rsidRPr="00640517">
        <w:rPr>
          <w:rFonts w:asciiTheme="majorHAnsi" w:hAnsiTheme="majorHAnsi"/>
          <w:bCs/>
          <w:sz w:val="20"/>
          <w:szCs w:val="20"/>
          <w:lang w:val="es-CO"/>
        </w:rPr>
        <w:t xml:space="preserve">n el caso del magistrado Colindres, </w:t>
      </w:r>
      <w:r w:rsidR="00AE2AAD" w:rsidRPr="00640517">
        <w:rPr>
          <w:rFonts w:asciiTheme="majorHAnsi" w:hAnsiTheme="majorHAnsi"/>
          <w:bCs/>
          <w:sz w:val="20"/>
          <w:szCs w:val="20"/>
          <w:lang w:val="es-CO"/>
        </w:rPr>
        <w:t xml:space="preserve">ya que fue destituido por miembros del PDC por </w:t>
      </w:r>
      <w:r w:rsidR="00597A3B" w:rsidRPr="00640517">
        <w:rPr>
          <w:rFonts w:asciiTheme="majorHAnsi" w:hAnsiTheme="majorHAnsi"/>
          <w:bCs/>
          <w:sz w:val="20"/>
          <w:szCs w:val="20"/>
          <w:lang w:val="es-CO"/>
        </w:rPr>
        <w:t xml:space="preserve">la </w:t>
      </w:r>
      <w:r w:rsidR="00AE2AAD" w:rsidRPr="00640517">
        <w:rPr>
          <w:rFonts w:asciiTheme="majorHAnsi" w:hAnsiTheme="majorHAnsi"/>
          <w:bCs/>
          <w:sz w:val="20"/>
          <w:szCs w:val="20"/>
          <w:lang w:val="es-CO"/>
        </w:rPr>
        <w:t>conduc</w:t>
      </w:r>
      <w:r w:rsidR="00597A3B" w:rsidRPr="00640517">
        <w:rPr>
          <w:rFonts w:asciiTheme="majorHAnsi" w:hAnsiTheme="majorHAnsi"/>
          <w:bCs/>
          <w:sz w:val="20"/>
          <w:szCs w:val="20"/>
          <w:lang w:val="es-CO"/>
        </w:rPr>
        <w:t>t</w:t>
      </w:r>
      <w:r w:rsidR="00AE2AAD" w:rsidRPr="00640517">
        <w:rPr>
          <w:rFonts w:asciiTheme="majorHAnsi" w:hAnsiTheme="majorHAnsi"/>
          <w:bCs/>
          <w:sz w:val="20"/>
          <w:szCs w:val="20"/>
          <w:lang w:val="es-CO"/>
        </w:rPr>
        <w:t xml:space="preserve">a </w:t>
      </w:r>
      <w:r w:rsidR="00597A3B" w:rsidRPr="00640517">
        <w:rPr>
          <w:rFonts w:asciiTheme="majorHAnsi" w:hAnsiTheme="majorHAnsi"/>
          <w:bCs/>
          <w:sz w:val="20"/>
          <w:szCs w:val="20"/>
          <w:lang w:val="es-CO"/>
        </w:rPr>
        <w:t xml:space="preserve">que le era atribuida en </w:t>
      </w:r>
      <w:r w:rsidR="00AE2AAD" w:rsidRPr="00640517">
        <w:rPr>
          <w:rFonts w:asciiTheme="majorHAnsi" w:hAnsiTheme="majorHAnsi"/>
          <w:bCs/>
          <w:sz w:val="20"/>
          <w:szCs w:val="20"/>
          <w:lang w:val="es-CO"/>
        </w:rPr>
        <w:t xml:space="preserve">relación con </w:t>
      </w:r>
      <w:r w:rsidR="00597A3B" w:rsidRPr="00640517">
        <w:rPr>
          <w:rFonts w:asciiTheme="majorHAnsi" w:hAnsiTheme="majorHAnsi"/>
          <w:bCs/>
          <w:sz w:val="20"/>
          <w:szCs w:val="20"/>
          <w:lang w:val="es-CO"/>
        </w:rPr>
        <w:t xml:space="preserve">los casos que involucraban </w:t>
      </w:r>
      <w:r w:rsidR="00F65996" w:rsidRPr="00640517">
        <w:rPr>
          <w:rFonts w:asciiTheme="majorHAnsi" w:hAnsiTheme="majorHAnsi"/>
          <w:bCs/>
          <w:sz w:val="20"/>
          <w:szCs w:val="20"/>
          <w:lang w:val="es-CO"/>
        </w:rPr>
        <w:t xml:space="preserve">a su propio </w:t>
      </w:r>
      <w:r w:rsidR="00AE2AAD" w:rsidRPr="00640517">
        <w:rPr>
          <w:rFonts w:asciiTheme="majorHAnsi" w:hAnsiTheme="majorHAnsi"/>
          <w:bCs/>
          <w:sz w:val="20"/>
          <w:szCs w:val="20"/>
          <w:lang w:val="es-CO"/>
        </w:rPr>
        <w:t xml:space="preserve">partido.  </w:t>
      </w:r>
    </w:p>
    <w:p w14:paraId="3AB95534" w14:textId="77777777" w:rsidR="00AE2AAD" w:rsidRPr="00640517" w:rsidRDefault="00AE2AAD" w:rsidP="00AE2AAD">
      <w:pPr>
        <w:pStyle w:val="ListParagraph"/>
        <w:rPr>
          <w:rFonts w:asciiTheme="majorHAnsi" w:hAnsiTheme="majorHAnsi"/>
          <w:bCs/>
          <w:sz w:val="20"/>
          <w:szCs w:val="20"/>
          <w:lang w:val="es-CO"/>
        </w:rPr>
      </w:pPr>
    </w:p>
    <w:p w14:paraId="7306838E" w14:textId="5C489FAE" w:rsidR="00AE2AAD" w:rsidRPr="00640517" w:rsidRDefault="00AE2AAD" w:rsidP="009060D5">
      <w:pPr>
        <w:numPr>
          <w:ilvl w:val="0"/>
          <w:numId w:val="1"/>
        </w:numPr>
        <w:ind w:left="0" w:firstLine="720"/>
        <w:jc w:val="both"/>
        <w:rPr>
          <w:rFonts w:asciiTheme="majorHAnsi" w:hAnsiTheme="majorHAnsi"/>
          <w:bCs/>
          <w:sz w:val="20"/>
          <w:szCs w:val="20"/>
          <w:lang w:val="es-CO"/>
        </w:rPr>
      </w:pPr>
      <w:r w:rsidRPr="00640517">
        <w:rPr>
          <w:rFonts w:asciiTheme="majorHAnsi" w:hAnsiTheme="majorHAnsi"/>
          <w:bCs/>
          <w:sz w:val="20"/>
          <w:szCs w:val="20"/>
          <w:lang w:val="es-CO"/>
        </w:rPr>
        <w:t xml:space="preserve">Así, respecto de la primera destitución, </w:t>
      </w:r>
      <w:r w:rsidR="00033BD4" w:rsidRPr="00640517">
        <w:rPr>
          <w:rFonts w:asciiTheme="majorHAnsi" w:hAnsiTheme="majorHAnsi"/>
          <w:bCs/>
          <w:sz w:val="20"/>
          <w:szCs w:val="20"/>
          <w:lang w:val="es-CO"/>
        </w:rPr>
        <w:t xml:space="preserve">en </w:t>
      </w:r>
      <w:r w:rsidRPr="00640517">
        <w:rPr>
          <w:rFonts w:asciiTheme="majorHAnsi" w:hAnsiTheme="majorHAnsi"/>
          <w:bCs/>
          <w:sz w:val="20"/>
          <w:szCs w:val="20"/>
          <w:lang w:val="es-CO"/>
        </w:rPr>
        <w:t xml:space="preserve">el Decreto 899 </w:t>
      </w:r>
      <w:r w:rsidR="00033BD4" w:rsidRPr="00640517">
        <w:rPr>
          <w:rFonts w:asciiTheme="majorHAnsi" w:hAnsiTheme="majorHAnsi"/>
          <w:bCs/>
          <w:sz w:val="20"/>
          <w:szCs w:val="20"/>
          <w:lang w:val="es-CO"/>
        </w:rPr>
        <w:t xml:space="preserve">se </w:t>
      </w:r>
      <w:r w:rsidRPr="00640517">
        <w:rPr>
          <w:rFonts w:asciiTheme="majorHAnsi" w:hAnsiTheme="majorHAnsi"/>
          <w:bCs/>
          <w:sz w:val="20"/>
          <w:szCs w:val="20"/>
          <w:lang w:val="es-CO"/>
        </w:rPr>
        <w:t xml:space="preserve">estableció que </w:t>
      </w:r>
      <w:r w:rsidR="00597A3B" w:rsidRPr="00640517">
        <w:rPr>
          <w:rFonts w:asciiTheme="majorHAnsi" w:hAnsiTheme="majorHAnsi"/>
          <w:bCs/>
          <w:sz w:val="20"/>
          <w:szCs w:val="20"/>
          <w:lang w:val="es-CO"/>
        </w:rPr>
        <w:t xml:space="preserve">el señor Colindres </w:t>
      </w:r>
      <w:r w:rsidRPr="00640517">
        <w:rPr>
          <w:rFonts w:asciiTheme="majorHAnsi" w:hAnsiTheme="majorHAnsi"/>
          <w:bCs/>
          <w:sz w:val="20"/>
          <w:szCs w:val="20"/>
          <w:lang w:val="es-CO"/>
        </w:rPr>
        <w:t xml:space="preserve">había “parcializado” su actuación “en la problemática interna del partido democrático cristiano”. Consta que dicho Decreto fue adoptado por  el pleno de la Asamblea donde </w:t>
      </w:r>
      <w:r w:rsidR="007C2730" w:rsidRPr="00640517">
        <w:rPr>
          <w:rFonts w:asciiTheme="majorHAnsi" w:hAnsiTheme="majorHAnsi"/>
          <w:bCs/>
          <w:sz w:val="20"/>
          <w:szCs w:val="20"/>
          <w:lang w:val="es-CO"/>
        </w:rPr>
        <w:t xml:space="preserve">al menos se advierte que como </w:t>
      </w:r>
      <w:r w:rsidRPr="00640517">
        <w:rPr>
          <w:rFonts w:asciiTheme="majorHAnsi" w:hAnsiTheme="majorHAnsi"/>
          <w:bCs/>
          <w:sz w:val="20"/>
          <w:szCs w:val="20"/>
          <w:lang w:val="es-CO"/>
        </w:rPr>
        <w:t xml:space="preserve">vicepresidente de la Asamblea, </w:t>
      </w:r>
      <w:r w:rsidR="00597A3B" w:rsidRPr="00640517">
        <w:rPr>
          <w:rFonts w:asciiTheme="majorHAnsi" w:hAnsiTheme="majorHAnsi"/>
          <w:bCs/>
          <w:sz w:val="20"/>
          <w:szCs w:val="20"/>
          <w:lang w:val="es-CO"/>
        </w:rPr>
        <w:t xml:space="preserve">participó </w:t>
      </w:r>
      <w:r w:rsidRPr="00640517">
        <w:rPr>
          <w:rFonts w:asciiTheme="majorHAnsi" w:hAnsiTheme="majorHAnsi"/>
          <w:bCs/>
          <w:sz w:val="20"/>
          <w:szCs w:val="20"/>
          <w:lang w:val="es-CO"/>
        </w:rPr>
        <w:t xml:space="preserve">un diputado identificado como miembro del PDC. En relación con la segunda destitución, </w:t>
      </w:r>
      <w:r w:rsidR="00033BD4" w:rsidRPr="00640517">
        <w:rPr>
          <w:rFonts w:asciiTheme="majorHAnsi" w:hAnsiTheme="majorHAnsi"/>
          <w:bCs/>
          <w:sz w:val="20"/>
          <w:szCs w:val="20"/>
          <w:lang w:val="es-CO"/>
        </w:rPr>
        <w:t xml:space="preserve">en </w:t>
      </w:r>
      <w:r w:rsidRPr="00640517">
        <w:rPr>
          <w:rFonts w:asciiTheme="majorHAnsi" w:hAnsiTheme="majorHAnsi"/>
          <w:bCs/>
          <w:sz w:val="20"/>
          <w:szCs w:val="20"/>
          <w:lang w:val="es-CO"/>
        </w:rPr>
        <w:t>el Decreto 348</w:t>
      </w:r>
      <w:r w:rsidR="00033BD4" w:rsidRPr="00640517">
        <w:rPr>
          <w:rFonts w:asciiTheme="majorHAnsi" w:hAnsiTheme="majorHAnsi"/>
          <w:bCs/>
          <w:sz w:val="20"/>
          <w:szCs w:val="20"/>
          <w:lang w:val="es-CO"/>
        </w:rPr>
        <w:t xml:space="preserve"> se</w:t>
      </w:r>
      <w:r w:rsidRPr="00640517">
        <w:rPr>
          <w:rFonts w:asciiTheme="majorHAnsi" w:hAnsiTheme="majorHAnsi"/>
          <w:bCs/>
          <w:sz w:val="20"/>
          <w:szCs w:val="20"/>
          <w:lang w:val="es-CO"/>
        </w:rPr>
        <w:t xml:space="preserve"> reiter</w:t>
      </w:r>
      <w:r w:rsidR="00033BD4" w:rsidRPr="00640517">
        <w:rPr>
          <w:rFonts w:asciiTheme="majorHAnsi" w:hAnsiTheme="majorHAnsi"/>
          <w:bCs/>
          <w:sz w:val="20"/>
          <w:szCs w:val="20"/>
          <w:lang w:val="es-CO"/>
        </w:rPr>
        <w:t>aron</w:t>
      </w:r>
      <w:r w:rsidRPr="00640517">
        <w:rPr>
          <w:rFonts w:asciiTheme="majorHAnsi" w:hAnsiTheme="majorHAnsi"/>
          <w:bCs/>
          <w:sz w:val="20"/>
          <w:szCs w:val="20"/>
          <w:lang w:val="es-CO"/>
        </w:rPr>
        <w:t xml:space="preserve"> las causas señaladas en el Decreto 899  y fue adoptado por mayoría de la Asamblea Legislativa donde participaron diputados miembros del PDC. A lo anterior, se suman diversas manifestaciones de miembros del PDC que participaron en el proceso</w:t>
      </w:r>
      <w:r w:rsidR="00033BD4" w:rsidRPr="00640517">
        <w:rPr>
          <w:rFonts w:asciiTheme="majorHAnsi" w:hAnsiTheme="majorHAnsi"/>
          <w:bCs/>
          <w:sz w:val="20"/>
          <w:szCs w:val="20"/>
          <w:lang w:val="es-CO"/>
        </w:rPr>
        <w:t xml:space="preserve"> en los cuales quedó evidenciado el interés de dichos miembros en que el magistrado Colindres </w:t>
      </w:r>
      <w:r w:rsidR="00A02BDC" w:rsidRPr="00640517">
        <w:rPr>
          <w:rFonts w:asciiTheme="majorHAnsi" w:hAnsiTheme="majorHAnsi"/>
          <w:bCs/>
          <w:sz w:val="20"/>
          <w:szCs w:val="20"/>
          <w:lang w:val="es-CO"/>
        </w:rPr>
        <w:t xml:space="preserve">fuera separado del cargo </w:t>
      </w:r>
      <w:r w:rsidR="00AD49F9" w:rsidRPr="00640517">
        <w:rPr>
          <w:rFonts w:asciiTheme="majorHAnsi" w:hAnsiTheme="majorHAnsi"/>
          <w:bCs/>
          <w:sz w:val="20"/>
          <w:szCs w:val="20"/>
          <w:lang w:val="es-CO"/>
        </w:rPr>
        <w:t xml:space="preserve">por perjudicar los intereses de un sector del mencionado partido. </w:t>
      </w:r>
      <w:r w:rsidR="00252A19" w:rsidRPr="00640517">
        <w:rPr>
          <w:rFonts w:asciiTheme="majorHAnsi" w:hAnsiTheme="majorHAnsi"/>
          <w:bCs/>
          <w:sz w:val="20"/>
          <w:szCs w:val="20"/>
          <w:lang w:val="es-CO"/>
        </w:rPr>
        <w:t xml:space="preserve">Específicamente, miembros del partido expresaron </w:t>
      </w:r>
      <w:r w:rsidRPr="00640517">
        <w:rPr>
          <w:rFonts w:asciiTheme="majorHAnsi" w:hAnsiTheme="majorHAnsi"/>
          <w:bCs/>
          <w:sz w:val="20"/>
          <w:szCs w:val="20"/>
          <w:lang w:val="es-CO"/>
        </w:rPr>
        <w:t xml:space="preserve">que el magistrado Colindres debía ser removido teniendo en cuenta su comportamiento en relación con los casos </w:t>
      </w:r>
      <w:r w:rsidR="00E17B93" w:rsidRPr="00640517">
        <w:rPr>
          <w:rFonts w:asciiTheme="majorHAnsi" w:hAnsiTheme="majorHAnsi"/>
          <w:bCs/>
          <w:sz w:val="20"/>
          <w:szCs w:val="20"/>
          <w:lang w:val="es-CO"/>
        </w:rPr>
        <w:t xml:space="preserve">que involucraban al partido, o incluso, </w:t>
      </w:r>
      <w:r w:rsidR="00EA18AA" w:rsidRPr="00640517">
        <w:rPr>
          <w:rFonts w:asciiTheme="majorHAnsi" w:hAnsiTheme="majorHAnsi"/>
          <w:bCs/>
          <w:sz w:val="20"/>
          <w:szCs w:val="20"/>
          <w:lang w:val="es-CO"/>
        </w:rPr>
        <w:t>que su conducta “rompía” con un principio constitucional en vista de que había sido propuesto por el propio PDC</w:t>
      </w:r>
      <w:r w:rsidR="00E17B93" w:rsidRPr="00640517">
        <w:rPr>
          <w:rFonts w:asciiTheme="majorHAnsi" w:hAnsiTheme="majorHAnsi"/>
          <w:bCs/>
          <w:sz w:val="20"/>
          <w:szCs w:val="20"/>
          <w:lang w:val="es-CO"/>
        </w:rPr>
        <w:t>.</w:t>
      </w:r>
    </w:p>
    <w:p w14:paraId="5BF1CC5B" w14:textId="77777777" w:rsidR="00AE2AAD" w:rsidRPr="00640517" w:rsidRDefault="00AE2AAD" w:rsidP="00E17B93">
      <w:pPr>
        <w:ind w:left="720"/>
        <w:jc w:val="both"/>
        <w:rPr>
          <w:rFonts w:asciiTheme="majorHAnsi" w:hAnsiTheme="majorHAnsi"/>
          <w:bCs/>
          <w:sz w:val="20"/>
          <w:szCs w:val="20"/>
          <w:lang w:val="es-CO"/>
        </w:rPr>
      </w:pPr>
    </w:p>
    <w:p w14:paraId="66399CF1" w14:textId="77777777" w:rsidR="005C3297" w:rsidRPr="00640517" w:rsidRDefault="00E17B93" w:rsidP="00E17B93">
      <w:pPr>
        <w:numPr>
          <w:ilvl w:val="0"/>
          <w:numId w:val="1"/>
        </w:numPr>
        <w:ind w:left="0" w:firstLine="720"/>
        <w:jc w:val="both"/>
        <w:rPr>
          <w:rFonts w:asciiTheme="majorHAnsi" w:hAnsiTheme="majorHAnsi"/>
          <w:bCs/>
          <w:sz w:val="20"/>
          <w:szCs w:val="20"/>
          <w:lang w:val="es-CO"/>
        </w:rPr>
      </w:pPr>
      <w:r w:rsidRPr="00640517">
        <w:rPr>
          <w:rFonts w:asciiTheme="majorHAnsi" w:hAnsiTheme="majorHAnsi"/>
          <w:bCs/>
          <w:sz w:val="20"/>
          <w:szCs w:val="20"/>
          <w:lang w:val="es-CO"/>
        </w:rPr>
        <w:t xml:space="preserve">En suma, </w:t>
      </w:r>
      <w:r w:rsidR="00AE2AAD" w:rsidRPr="00640517">
        <w:rPr>
          <w:rFonts w:asciiTheme="majorHAnsi" w:hAnsiTheme="majorHAnsi"/>
          <w:bCs/>
          <w:sz w:val="20"/>
          <w:szCs w:val="20"/>
          <w:lang w:val="es-CO"/>
        </w:rPr>
        <w:t xml:space="preserve">tras un análisis de la información aportada por las partes, la Comisión encuentra </w:t>
      </w:r>
      <w:r w:rsidR="00EA18AA" w:rsidRPr="00640517">
        <w:rPr>
          <w:rFonts w:asciiTheme="majorHAnsi" w:hAnsiTheme="majorHAnsi"/>
          <w:bCs/>
          <w:sz w:val="20"/>
          <w:szCs w:val="20"/>
          <w:lang w:val="es-CO"/>
        </w:rPr>
        <w:t xml:space="preserve">suficientemente acreditado </w:t>
      </w:r>
      <w:r w:rsidR="00AE2AAD" w:rsidRPr="00640517">
        <w:rPr>
          <w:rFonts w:asciiTheme="majorHAnsi" w:hAnsiTheme="majorHAnsi"/>
          <w:bCs/>
          <w:sz w:val="20"/>
          <w:szCs w:val="20"/>
          <w:lang w:val="es-CO"/>
        </w:rPr>
        <w:t>que los diputados del PDC que int</w:t>
      </w:r>
      <w:r w:rsidR="00024E85" w:rsidRPr="00640517">
        <w:rPr>
          <w:rFonts w:asciiTheme="majorHAnsi" w:hAnsiTheme="majorHAnsi"/>
          <w:bCs/>
          <w:sz w:val="20"/>
          <w:szCs w:val="20"/>
          <w:lang w:val="es-CO"/>
        </w:rPr>
        <w:t>egraron la Asamblea Legislativa y, por lo tanto, formaron parte del órgano disciplinario</w:t>
      </w:r>
      <w:r w:rsidR="00EA18AA" w:rsidRPr="00640517">
        <w:rPr>
          <w:rFonts w:asciiTheme="majorHAnsi" w:hAnsiTheme="majorHAnsi"/>
          <w:bCs/>
          <w:sz w:val="20"/>
          <w:szCs w:val="20"/>
          <w:lang w:val="es-CO"/>
        </w:rPr>
        <w:t>,</w:t>
      </w:r>
      <w:r w:rsidR="00024E85" w:rsidRPr="00640517">
        <w:rPr>
          <w:rFonts w:asciiTheme="majorHAnsi" w:hAnsiTheme="majorHAnsi"/>
          <w:bCs/>
          <w:sz w:val="20"/>
          <w:szCs w:val="20"/>
          <w:lang w:val="es-CO"/>
        </w:rPr>
        <w:t xml:space="preserve"> tenían la intención de </w:t>
      </w:r>
      <w:r w:rsidR="00AE2AAD" w:rsidRPr="00640517">
        <w:rPr>
          <w:rFonts w:asciiTheme="majorHAnsi" w:hAnsiTheme="majorHAnsi"/>
          <w:bCs/>
          <w:sz w:val="20"/>
          <w:szCs w:val="20"/>
          <w:lang w:val="es-CO"/>
        </w:rPr>
        <w:t xml:space="preserve">sancionar </w:t>
      </w:r>
      <w:r w:rsidR="00EA18AA" w:rsidRPr="00640517">
        <w:rPr>
          <w:rFonts w:asciiTheme="majorHAnsi" w:hAnsiTheme="majorHAnsi"/>
          <w:bCs/>
          <w:sz w:val="20"/>
          <w:szCs w:val="20"/>
          <w:lang w:val="es-CO"/>
        </w:rPr>
        <w:t>a</w:t>
      </w:r>
      <w:r w:rsidR="00AE2AAD" w:rsidRPr="00640517">
        <w:rPr>
          <w:rFonts w:asciiTheme="majorHAnsi" w:hAnsiTheme="majorHAnsi"/>
          <w:bCs/>
          <w:sz w:val="20"/>
          <w:szCs w:val="20"/>
          <w:lang w:val="es-CO"/>
        </w:rPr>
        <w:t xml:space="preserve">l magistrado Colindres </w:t>
      </w:r>
      <w:r w:rsidR="00EA18AA" w:rsidRPr="00640517">
        <w:rPr>
          <w:rFonts w:asciiTheme="majorHAnsi" w:hAnsiTheme="majorHAnsi"/>
          <w:bCs/>
          <w:sz w:val="20"/>
          <w:szCs w:val="20"/>
          <w:lang w:val="es-CO"/>
        </w:rPr>
        <w:t xml:space="preserve">por su actuación en </w:t>
      </w:r>
      <w:r w:rsidR="00AE2AAD" w:rsidRPr="00640517">
        <w:rPr>
          <w:rFonts w:asciiTheme="majorHAnsi" w:hAnsiTheme="majorHAnsi"/>
          <w:bCs/>
          <w:sz w:val="20"/>
          <w:szCs w:val="20"/>
          <w:lang w:val="es-CO"/>
        </w:rPr>
        <w:t xml:space="preserve">los casos que involucraban </w:t>
      </w:r>
      <w:r w:rsidR="00EA18AA" w:rsidRPr="00640517">
        <w:rPr>
          <w:rFonts w:asciiTheme="majorHAnsi" w:hAnsiTheme="majorHAnsi"/>
          <w:bCs/>
          <w:sz w:val="20"/>
          <w:szCs w:val="20"/>
          <w:lang w:val="es-CO"/>
        </w:rPr>
        <w:t>al PDC</w:t>
      </w:r>
      <w:r w:rsidR="00F65996" w:rsidRPr="00640517">
        <w:rPr>
          <w:rFonts w:asciiTheme="majorHAnsi" w:hAnsiTheme="majorHAnsi"/>
          <w:bCs/>
          <w:sz w:val="20"/>
          <w:szCs w:val="20"/>
          <w:lang w:val="es-CO"/>
        </w:rPr>
        <w:t>, teniendo</w:t>
      </w:r>
      <w:r w:rsidR="00024E85" w:rsidRPr="00640517">
        <w:rPr>
          <w:rFonts w:asciiTheme="majorHAnsi" w:hAnsiTheme="majorHAnsi"/>
          <w:bCs/>
          <w:sz w:val="20"/>
          <w:szCs w:val="20"/>
          <w:lang w:val="es-CO"/>
        </w:rPr>
        <w:t xml:space="preserve"> un </w:t>
      </w:r>
      <w:r w:rsidR="00AE2AAD" w:rsidRPr="00640517">
        <w:rPr>
          <w:rFonts w:asciiTheme="majorHAnsi" w:hAnsiTheme="majorHAnsi"/>
          <w:bCs/>
          <w:sz w:val="20"/>
          <w:szCs w:val="20"/>
          <w:lang w:val="es-CO"/>
        </w:rPr>
        <w:t xml:space="preserve">interés </w:t>
      </w:r>
      <w:r w:rsidR="00EA18AA" w:rsidRPr="00640517">
        <w:rPr>
          <w:rFonts w:asciiTheme="majorHAnsi" w:hAnsiTheme="majorHAnsi"/>
          <w:bCs/>
          <w:sz w:val="20"/>
          <w:szCs w:val="20"/>
          <w:lang w:val="es-CO"/>
        </w:rPr>
        <w:t>propio en el resultado de tales casos</w:t>
      </w:r>
      <w:r w:rsidR="00024E85" w:rsidRPr="00640517">
        <w:rPr>
          <w:rFonts w:asciiTheme="majorHAnsi" w:hAnsiTheme="majorHAnsi"/>
          <w:bCs/>
          <w:sz w:val="20"/>
          <w:szCs w:val="20"/>
          <w:lang w:val="es-CO"/>
        </w:rPr>
        <w:t xml:space="preserve">. Lo anterior de </w:t>
      </w:r>
      <w:r w:rsidR="00EA18AA" w:rsidRPr="00640517">
        <w:rPr>
          <w:rFonts w:asciiTheme="majorHAnsi" w:hAnsiTheme="majorHAnsi"/>
          <w:bCs/>
          <w:sz w:val="20"/>
          <w:szCs w:val="20"/>
          <w:lang w:val="es-CO"/>
        </w:rPr>
        <w:t xml:space="preserve">forma </w:t>
      </w:r>
      <w:r w:rsidR="00AE2AAD" w:rsidRPr="00640517">
        <w:rPr>
          <w:rFonts w:asciiTheme="majorHAnsi" w:hAnsiTheme="majorHAnsi"/>
          <w:bCs/>
          <w:sz w:val="20"/>
          <w:szCs w:val="20"/>
          <w:lang w:val="es-CO"/>
        </w:rPr>
        <w:t>incompatible con la garant</w:t>
      </w:r>
      <w:r w:rsidR="00024E85" w:rsidRPr="00640517">
        <w:rPr>
          <w:rFonts w:asciiTheme="majorHAnsi" w:hAnsiTheme="majorHAnsi"/>
          <w:bCs/>
          <w:sz w:val="20"/>
          <w:szCs w:val="20"/>
          <w:lang w:val="es-CO"/>
        </w:rPr>
        <w:t xml:space="preserve">ía de imparcialidad contenida en el artículo </w:t>
      </w:r>
      <w:r w:rsidR="00DE618F" w:rsidRPr="00640517">
        <w:rPr>
          <w:rFonts w:asciiTheme="majorHAnsi" w:hAnsiTheme="majorHAnsi"/>
          <w:bCs/>
          <w:sz w:val="20"/>
          <w:szCs w:val="20"/>
          <w:lang w:val="es-CO"/>
        </w:rPr>
        <w:t>8.1 de la Convención</w:t>
      </w:r>
      <w:r w:rsidR="00343661" w:rsidRPr="00640517">
        <w:rPr>
          <w:rFonts w:asciiTheme="majorHAnsi" w:hAnsiTheme="majorHAnsi"/>
          <w:bCs/>
          <w:sz w:val="20"/>
          <w:szCs w:val="20"/>
          <w:lang w:val="es-CO"/>
        </w:rPr>
        <w:t xml:space="preserve">, la cual fue desconocida en perjuicio del señor Colindres. </w:t>
      </w:r>
    </w:p>
    <w:p w14:paraId="4B46BA3E" w14:textId="77777777" w:rsidR="00266E44" w:rsidRPr="00640517" w:rsidRDefault="00266E44" w:rsidP="00C27F20">
      <w:pPr>
        <w:pStyle w:val="ListParagraph"/>
        <w:ind w:left="2160"/>
        <w:jc w:val="both"/>
        <w:rPr>
          <w:rFonts w:asciiTheme="majorHAnsi" w:hAnsiTheme="majorHAnsi"/>
          <w:b/>
          <w:sz w:val="20"/>
          <w:szCs w:val="20"/>
          <w:lang w:val="es-UY"/>
        </w:rPr>
      </w:pPr>
    </w:p>
    <w:p w14:paraId="7363BD8E" w14:textId="77777777" w:rsidR="00266E44" w:rsidRPr="00640517" w:rsidRDefault="00266E44" w:rsidP="0045657E">
      <w:pPr>
        <w:pStyle w:val="Heading4"/>
      </w:pPr>
      <w:r w:rsidRPr="00640517">
        <w:t xml:space="preserve">Principio de legalidad y el deber de motivación </w:t>
      </w:r>
    </w:p>
    <w:p w14:paraId="546BD30A" w14:textId="77777777" w:rsidR="00266E44" w:rsidRPr="00640517" w:rsidRDefault="00266E44" w:rsidP="00266E44">
      <w:pPr>
        <w:jc w:val="both"/>
        <w:rPr>
          <w:rFonts w:asciiTheme="majorHAnsi" w:hAnsiTheme="majorHAnsi"/>
          <w:bCs/>
          <w:sz w:val="20"/>
          <w:szCs w:val="20"/>
          <w:lang w:val="es-CO"/>
        </w:rPr>
      </w:pPr>
    </w:p>
    <w:p w14:paraId="478C1A8C" w14:textId="77777777" w:rsidR="00DA364A" w:rsidRPr="00640517" w:rsidRDefault="00266E44" w:rsidP="00DA364A">
      <w:pPr>
        <w:numPr>
          <w:ilvl w:val="0"/>
          <w:numId w:val="1"/>
        </w:numPr>
        <w:ind w:left="0" w:firstLine="720"/>
        <w:jc w:val="both"/>
        <w:rPr>
          <w:rFonts w:asciiTheme="majorHAnsi" w:hAnsiTheme="majorHAnsi" w:cs="Verdana"/>
          <w:sz w:val="20"/>
          <w:szCs w:val="20"/>
          <w:lang w:val="es-UY"/>
        </w:rPr>
      </w:pPr>
      <w:r w:rsidRPr="00640517">
        <w:rPr>
          <w:rFonts w:asciiTheme="majorHAnsi" w:hAnsiTheme="majorHAnsi" w:cs="Verdana"/>
          <w:sz w:val="20"/>
          <w:szCs w:val="20"/>
          <w:lang w:val="es-UY"/>
        </w:rPr>
        <w:t>El principio de legalidad</w:t>
      </w:r>
      <w:r w:rsidR="00517330" w:rsidRPr="00640517">
        <w:rPr>
          <w:rFonts w:asciiTheme="majorHAnsi" w:hAnsiTheme="majorHAnsi" w:cs="Verdana"/>
          <w:sz w:val="20"/>
          <w:szCs w:val="20"/>
          <w:lang w:val="es-UY"/>
        </w:rPr>
        <w:t xml:space="preserve"> </w:t>
      </w:r>
      <w:r w:rsidR="00E52EE7" w:rsidRPr="00640517">
        <w:rPr>
          <w:rFonts w:asciiTheme="majorHAnsi" w:hAnsiTheme="majorHAnsi" w:cs="Verdana"/>
          <w:sz w:val="20"/>
          <w:szCs w:val="20"/>
          <w:lang w:val="es-UY"/>
        </w:rPr>
        <w:t xml:space="preserve">reconocido en el </w:t>
      </w:r>
      <w:r w:rsidR="00517330" w:rsidRPr="00640517">
        <w:rPr>
          <w:rFonts w:asciiTheme="majorHAnsi" w:hAnsiTheme="majorHAnsi" w:cs="Verdana"/>
          <w:sz w:val="20"/>
          <w:szCs w:val="20"/>
          <w:lang w:val="es-UY"/>
        </w:rPr>
        <w:t>artículo 9 de la Convención</w:t>
      </w:r>
      <w:r w:rsidR="00845129" w:rsidRPr="00640517">
        <w:rPr>
          <w:rFonts w:asciiTheme="majorHAnsi" w:hAnsiTheme="majorHAnsi" w:cs="Verdana"/>
          <w:sz w:val="20"/>
          <w:szCs w:val="20"/>
          <w:lang w:val="es-UY"/>
        </w:rPr>
        <w:t xml:space="preserve"> </w:t>
      </w:r>
      <w:r w:rsidR="00DA364A" w:rsidRPr="00640517">
        <w:rPr>
          <w:rFonts w:asciiTheme="majorHAnsi" w:hAnsiTheme="majorHAnsi" w:cs="Verdana"/>
          <w:sz w:val="20"/>
          <w:szCs w:val="20"/>
          <w:lang w:val="es-UY"/>
        </w:rPr>
        <w:t>preside</w:t>
      </w:r>
      <w:r w:rsidRPr="00640517">
        <w:rPr>
          <w:rFonts w:asciiTheme="majorHAnsi" w:hAnsiTheme="majorHAnsi" w:cs="Verdana"/>
          <w:sz w:val="20"/>
          <w:szCs w:val="20"/>
          <w:lang w:val="es-UY"/>
        </w:rPr>
        <w:t xml:space="preserve"> la actuación de los órganos del Estado</w:t>
      </w:r>
      <w:r w:rsidR="00517330" w:rsidRPr="00640517">
        <w:rPr>
          <w:rFonts w:asciiTheme="majorHAnsi" w:hAnsiTheme="majorHAnsi" w:cs="Verdana"/>
          <w:sz w:val="20"/>
          <w:szCs w:val="20"/>
          <w:lang w:val="es-UY"/>
        </w:rPr>
        <w:t xml:space="preserve"> </w:t>
      </w:r>
      <w:r w:rsidRPr="00640517">
        <w:rPr>
          <w:rFonts w:asciiTheme="majorHAnsi" w:hAnsiTheme="majorHAnsi" w:cs="Verdana"/>
          <w:sz w:val="20"/>
          <w:szCs w:val="20"/>
          <w:lang w:val="es-UY"/>
        </w:rPr>
        <w:t>cuando deriva del ejercicio de su poder punitivo</w:t>
      </w:r>
      <w:r w:rsidRPr="00640517">
        <w:rPr>
          <w:rFonts w:asciiTheme="majorHAnsi" w:hAnsiTheme="majorHAnsi" w:cs="Verdana"/>
          <w:sz w:val="20"/>
          <w:szCs w:val="20"/>
          <w:vertAlign w:val="superscript"/>
          <w:lang w:val="es-UY"/>
        </w:rPr>
        <w:footnoteReference w:id="91"/>
      </w:r>
      <w:r w:rsidRPr="00640517">
        <w:rPr>
          <w:rFonts w:asciiTheme="majorHAnsi" w:hAnsiTheme="majorHAnsi" w:cs="Verdana"/>
          <w:sz w:val="20"/>
          <w:szCs w:val="20"/>
          <w:lang w:val="es-UY"/>
        </w:rPr>
        <w:t xml:space="preserve">. </w:t>
      </w:r>
      <w:r w:rsidR="00E17B93" w:rsidRPr="00640517">
        <w:rPr>
          <w:rFonts w:asciiTheme="majorHAnsi" w:hAnsiTheme="majorHAnsi" w:cs="Verdana"/>
          <w:sz w:val="20"/>
          <w:szCs w:val="20"/>
          <w:lang w:val="es-UY"/>
        </w:rPr>
        <w:t xml:space="preserve">Dicho principio es aplicable a los procesos disciplinarios </w:t>
      </w:r>
      <w:r w:rsidRPr="00640517">
        <w:rPr>
          <w:rFonts w:asciiTheme="majorHAnsi" w:hAnsiTheme="majorHAnsi" w:cs="Verdana"/>
          <w:sz w:val="20"/>
          <w:szCs w:val="20"/>
          <w:lang w:val="es-UY"/>
        </w:rPr>
        <w:t>que son</w:t>
      </w:r>
      <w:r w:rsidR="00845129" w:rsidRPr="00640517">
        <w:rPr>
          <w:rFonts w:asciiTheme="majorHAnsi" w:hAnsiTheme="majorHAnsi" w:cs="Verdana"/>
          <w:sz w:val="20"/>
          <w:szCs w:val="20"/>
          <w:lang w:val="es-UY"/>
        </w:rPr>
        <w:t xml:space="preserve"> “</w:t>
      </w:r>
      <w:r w:rsidRPr="00640517">
        <w:rPr>
          <w:rFonts w:asciiTheme="majorHAnsi" w:hAnsiTheme="majorHAnsi" w:cs="Verdana"/>
          <w:sz w:val="20"/>
          <w:szCs w:val="20"/>
          <w:lang w:val="es-UY"/>
        </w:rPr>
        <w:t xml:space="preserve">una expresión del poder punitivo del Estado” </w:t>
      </w:r>
      <w:r w:rsidR="00845129" w:rsidRPr="00640517">
        <w:rPr>
          <w:rFonts w:asciiTheme="majorHAnsi" w:hAnsiTheme="majorHAnsi" w:cs="Verdana"/>
          <w:sz w:val="20"/>
          <w:szCs w:val="20"/>
          <w:lang w:val="es-UY"/>
        </w:rPr>
        <w:t xml:space="preserve">puesto que implican </w:t>
      </w:r>
      <w:r w:rsidRPr="00640517">
        <w:rPr>
          <w:rFonts w:asciiTheme="majorHAnsi" w:hAnsiTheme="majorHAnsi" w:cs="Verdana"/>
          <w:sz w:val="20"/>
          <w:szCs w:val="20"/>
          <w:lang w:val="es-UY"/>
        </w:rPr>
        <w:t>un menoscabo</w:t>
      </w:r>
      <w:r w:rsidR="00F9757A" w:rsidRPr="00640517">
        <w:rPr>
          <w:rFonts w:asciiTheme="majorHAnsi" w:hAnsiTheme="majorHAnsi" w:cs="Verdana"/>
          <w:sz w:val="20"/>
          <w:szCs w:val="20"/>
          <w:lang w:val="es-UY"/>
        </w:rPr>
        <w:t xml:space="preserve"> </w:t>
      </w:r>
      <w:r w:rsidRPr="00640517">
        <w:rPr>
          <w:rFonts w:asciiTheme="majorHAnsi" w:hAnsiTheme="majorHAnsi" w:cs="Verdana"/>
          <w:sz w:val="20"/>
          <w:szCs w:val="20"/>
          <w:lang w:val="es-UY"/>
        </w:rPr>
        <w:t>o alteración de los derechos de las personas como consecuencia de una conducta ilícita</w:t>
      </w:r>
      <w:r w:rsidRPr="00640517">
        <w:rPr>
          <w:rFonts w:asciiTheme="majorHAnsi" w:hAnsiTheme="majorHAnsi" w:cs="Verdana"/>
          <w:sz w:val="20"/>
          <w:szCs w:val="20"/>
          <w:vertAlign w:val="superscript"/>
          <w:lang w:val="es-UY"/>
        </w:rPr>
        <w:footnoteReference w:id="92"/>
      </w:r>
      <w:r w:rsidRPr="00640517">
        <w:rPr>
          <w:rFonts w:asciiTheme="majorHAnsi" w:hAnsiTheme="majorHAnsi" w:cs="Verdana"/>
          <w:sz w:val="20"/>
          <w:szCs w:val="20"/>
          <w:lang w:val="es-UY"/>
        </w:rPr>
        <w:t xml:space="preserve">.  </w:t>
      </w:r>
    </w:p>
    <w:p w14:paraId="64E3469F" w14:textId="77777777" w:rsidR="002F6C92" w:rsidRPr="00640517" w:rsidRDefault="002F6C92" w:rsidP="002F6C92">
      <w:pPr>
        <w:jc w:val="both"/>
        <w:rPr>
          <w:rFonts w:asciiTheme="majorHAnsi" w:hAnsiTheme="majorHAnsi" w:cs="Verdana"/>
          <w:sz w:val="20"/>
          <w:szCs w:val="20"/>
          <w:lang w:val="es-UY"/>
        </w:rPr>
      </w:pPr>
    </w:p>
    <w:p w14:paraId="7E1932D3" w14:textId="4E037FD0" w:rsidR="002F6C92" w:rsidRPr="00640517" w:rsidRDefault="002F6C92" w:rsidP="002F6C92">
      <w:pPr>
        <w:numPr>
          <w:ilvl w:val="0"/>
          <w:numId w:val="1"/>
        </w:numPr>
        <w:ind w:left="0" w:firstLine="720"/>
        <w:jc w:val="both"/>
        <w:rPr>
          <w:rFonts w:asciiTheme="majorHAnsi" w:hAnsiTheme="majorHAnsi"/>
          <w:sz w:val="20"/>
          <w:szCs w:val="20"/>
          <w:lang w:val="es-ES_tradnl"/>
        </w:rPr>
      </w:pPr>
      <w:r w:rsidRPr="00640517">
        <w:rPr>
          <w:rFonts w:asciiTheme="majorHAnsi" w:hAnsiTheme="majorHAnsi"/>
          <w:sz w:val="20"/>
          <w:szCs w:val="20"/>
          <w:lang w:val="es-ES_tradnl"/>
        </w:rPr>
        <w:t xml:space="preserve">La Comisión ha indicado que el cumplimiento del principio de </w:t>
      </w:r>
      <w:r w:rsidRPr="00265091">
        <w:rPr>
          <w:rFonts w:asciiTheme="majorHAnsi" w:hAnsiTheme="majorHAnsi"/>
          <w:sz w:val="20"/>
          <w:szCs w:val="20"/>
          <w:lang w:val="es-ES_tradnl"/>
        </w:rPr>
        <w:t>legalidad permite</w:t>
      </w:r>
      <w:r w:rsidR="003C4139" w:rsidRPr="00265091">
        <w:rPr>
          <w:rFonts w:asciiTheme="majorHAnsi" w:hAnsiTheme="majorHAnsi"/>
          <w:sz w:val="20"/>
          <w:szCs w:val="20"/>
          <w:lang w:val="es-ES_tradnl"/>
        </w:rPr>
        <w:t xml:space="preserve"> </w:t>
      </w:r>
      <w:r w:rsidRPr="00265091">
        <w:rPr>
          <w:rFonts w:asciiTheme="majorHAnsi" w:hAnsiTheme="majorHAnsi"/>
          <w:sz w:val="20"/>
          <w:szCs w:val="20"/>
          <w:lang w:val="es-ES_tradnl"/>
        </w:rPr>
        <w:t>a las personas determinar efectivamente su conducta de acuerdo con la ley</w:t>
      </w:r>
      <w:r w:rsidRPr="00265091">
        <w:rPr>
          <w:rStyle w:val="FootnoteReference"/>
          <w:rFonts w:asciiTheme="majorHAnsi" w:hAnsiTheme="majorHAnsi"/>
          <w:sz w:val="20"/>
          <w:szCs w:val="20"/>
          <w:lang w:val="es-ES_tradnl"/>
        </w:rPr>
        <w:footnoteReference w:id="93"/>
      </w:r>
      <w:r w:rsidRPr="00265091">
        <w:rPr>
          <w:rFonts w:asciiTheme="majorHAnsi" w:hAnsiTheme="majorHAnsi"/>
          <w:sz w:val="20"/>
          <w:szCs w:val="20"/>
          <w:lang w:val="es-ES_tradnl"/>
        </w:rPr>
        <w:t>. Según ha afirmado la CIDH, “el principio</w:t>
      </w:r>
      <w:r w:rsidRPr="00640517">
        <w:rPr>
          <w:rFonts w:asciiTheme="majorHAnsi" w:hAnsiTheme="majorHAnsi"/>
          <w:sz w:val="20"/>
          <w:szCs w:val="20"/>
          <w:lang w:val="es-ES_tradnl"/>
        </w:rPr>
        <w:t xml:space="preserve"> de legalidad tiene un desarrollo específico en la tipicidad, la cual garantiza, por un lado, la libertad y seguridad individuales al establecer en forma anticipada, clara e inequívoca cuáles comportamientos son sancionados y, por otro, protege la seguridad jurídica”</w:t>
      </w:r>
      <w:r w:rsidRPr="00640517">
        <w:rPr>
          <w:rStyle w:val="FootnoteReference"/>
          <w:rFonts w:asciiTheme="majorHAnsi" w:hAnsiTheme="majorHAnsi"/>
          <w:sz w:val="20"/>
          <w:szCs w:val="20"/>
          <w:lang w:val="es-ES_tradnl"/>
        </w:rPr>
        <w:footnoteReference w:id="94"/>
      </w:r>
      <w:r w:rsidRPr="00640517">
        <w:rPr>
          <w:rFonts w:asciiTheme="majorHAnsi" w:hAnsiTheme="majorHAnsi"/>
          <w:sz w:val="20"/>
          <w:szCs w:val="20"/>
          <w:lang w:val="es-ES_tradnl"/>
        </w:rPr>
        <w:t xml:space="preserve">. </w:t>
      </w:r>
    </w:p>
    <w:p w14:paraId="27BFCC87" w14:textId="77777777" w:rsidR="002F6C92" w:rsidRPr="00640517" w:rsidRDefault="002F6C92" w:rsidP="002F6C92">
      <w:pPr>
        <w:jc w:val="both"/>
        <w:rPr>
          <w:rFonts w:asciiTheme="majorHAnsi" w:hAnsiTheme="majorHAnsi" w:cs="Verdana"/>
          <w:sz w:val="20"/>
          <w:szCs w:val="20"/>
          <w:lang w:val="es-ES_tradnl"/>
        </w:rPr>
      </w:pPr>
    </w:p>
    <w:p w14:paraId="041624E6" w14:textId="77777777" w:rsidR="002F6C92" w:rsidRPr="00640517" w:rsidRDefault="00DA364A" w:rsidP="002F6C92">
      <w:pPr>
        <w:numPr>
          <w:ilvl w:val="0"/>
          <w:numId w:val="1"/>
        </w:numPr>
        <w:ind w:left="0" w:firstLine="720"/>
        <w:jc w:val="both"/>
        <w:rPr>
          <w:rFonts w:asciiTheme="majorHAnsi" w:hAnsiTheme="majorHAnsi" w:cs="Verdana"/>
          <w:sz w:val="20"/>
          <w:szCs w:val="20"/>
          <w:lang w:val="es-CO"/>
        </w:rPr>
      </w:pPr>
      <w:r w:rsidRPr="00640517">
        <w:rPr>
          <w:rFonts w:asciiTheme="majorHAnsi" w:hAnsiTheme="majorHAnsi" w:cs="Verdana"/>
          <w:sz w:val="20"/>
          <w:szCs w:val="20"/>
          <w:lang w:val="es-UY"/>
        </w:rPr>
        <w:t>L</w:t>
      </w:r>
      <w:r w:rsidR="00266E44" w:rsidRPr="00640517">
        <w:rPr>
          <w:rFonts w:asciiTheme="majorHAnsi" w:hAnsiTheme="majorHAnsi"/>
          <w:sz w:val="20"/>
          <w:szCs w:val="20"/>
          <w:lang w:val="es-UY"/>
        </w:rPr>
        <w:t>a precisión de una norma sancionatoria de naturaleza disciplinaria puede ser diferente a la requerida en materia penal, por la naturaleza de los conflictos que cada una está destinada a resolver</w:t>
      </w:r>
      <w:r w:rsidR="00266E44" w:rsidRPr="00640517">
        <w:rPr>
          <w:rStyle w:val="FootnoteReference"/>
          <w:rFonts w:asciiTheme="majorHAnsi" w:hAnsiTheme="majorHAnsi"/>
          <w:sz w:val="20"/>
          <w:szCs w:val="20"/>
          <w:lang w:val="es-UY"/>
        </w:rPr>
        <w:footnoteReference w:id="95"/>
      </w:r>
      <w:r w:rsidR="00266E44" w:rsidRPr="00640517">
        <w:rPr>
          <w:rFonts w:asciiTheme="majorHAnsi" w:hAnsiTheme="majorHAnsi"/>
          <w:sz w:val="20"/>
          <w:szCs w:val="20"/>
          <w:lang w:val="es-UY"/>
        </w:rPr>
        <w:t>.</w:t>
      </w:r>
      <w:r w:rsidRPr="00640517">
        <w:rPr>
          <w:rFonts w:asciiTheme="majorHAnsi" w:hAnsiTheme="majorHAnsi" w:cs="Verdana"/>
          <w:sz w:val="20"/>
          <w:szCs w:val="20"/>
          <w:lang w:val="es-UY"/>
        </w:rPr>
        <w:t xml:space="preserve"> </w:t>
      </w:r>
      <w:r w:rsidR="00E17B93" w:rsidRPr="00640517">
        <w:rPr>
          <w:rFonts w:asciiTheme="majorHAnsi" w:hAnsiTheme="majorHAnsi" w:cs="Verdana"/>
          <w:sz w:val="20"/>
          <w:szCs w:val="20"/>
          <w:lang w:val="es-UY"/>
        </w:rPr>
        <w:t xml:space="preserve"> </w:t>
      </w:r>
      <w:r w:rsidRPr="00640517">
        <w:rPr>
          <w:rFonts w:asciiTheme="majorHAnsi" w:hAnsiTheme="majorHAnsi" w:cs="Verdana"/>
          <w:sz w:val="20"/>
          <w:szCs w:val="20"/>
          <w:lang w:val="es-UY"/>
        </w:rPr>
        <w:t xml:space="preserve">Sin embargo, </w:t>
      </w:r>
      <w:r w:rsidR="00266E44" w:rsidRPr="00640517">
        <w:rPr>
          <w:rFonts w:asciiTheme="majorHAnsi" w:hAnsiTheme="majorHAnsi" w:cs="Verdana"/>
          <w:sz w:val="20"/>
          <w:szCs w:val="20"/>
          <w:lang w:val="es-UY"/>
        </w:rPr>
        <w:t>debe ser previsible “</w:t>
      </w:r>
      <w:r w:rsidR="00266E44" w:rsidRPr="00640517">
        <w:rPr>
          <w:rFonts w:asciiTheme="majorHAnsi" w:hAnsiTheme="majorHAnsi"/>
          <w:sz w:val="20"/>
          <w:szCs w:val="20"/>
          <w:lang w:val="es-UY"/>
        </w:rPr>
        <w:t xml:space="preserve">sea porque está expresa y claramente establecida en la ley </w:t>
      </w:r>
      <w:r w:rsidR="003F1E5A" w:rsidRPr="00640517">
        <w:rPr>
          <w:rFonts w:asciiTheme="majorHAnsi" w:hAnsiTheme="majorHAnsi"/>
          <w:sz w:val="20"/>
          <w:szCs w:val="20"/>
          <w:lang w:val="es-UY"/>
        </w:rPr>
        <w:t>(</w:t>
      </w:r>
      <w:r w:rsidR="00266E44" w:rsidRPr="00640517">
        <w:rPr>
          <w:rFonts w:asciiTheme="majorHAnsi" w:hAnsiTheme="majorHAnsi"/>
          <w:sz w:val="20"/>
          <w:szCs w:val="20"/>
          <w:lang w:val="es-UY"/>
        </w:rPr>
        <w:t>….</w:t>
      </w:r>
      <w:r w:rsidR="003F1E5A" w:rsidRPr="00640517">
        <w:rPr>
          <w:rFonts w:asciiTheme="majorHAnsi" w:hAnsiTheme="majorHAnsi"/>
          <w:sz w:val="20"/>
          <w:szCs w:val="20"/>
          <w:lang w:val="es-UY"/>
        </w:rPr>
        <w:t xml:space="preserve">) </w:t>
      </w:r>
      <w:r w:rsidR="00266E44" w:rsidRPr="00640517">
        <w:rPr>
          <w:rFonts w:asciiTheme="majorHAnsi" w:hAnsiTheme="majorHAnsi"/>
          <w:sz w:val="20"/>
          <w:szCs w:val="20"/>
          <w:lang w:val="es-UY"/>
        </w:rPr>
        <w:t xml:space="preserve">de forma </w:t>
      </w:r>
      <w:r w:rsidR="00266E44" w:rsidRPr="00640517">
        <w:rPr>
          <w:rFonts w:asciiTheme="majorHAnsi" w:hAnsiTheme="majorHAnsi"/>
          <w:sz w:val="20"/>
          <w:szCs w:val="20"/>
          <w:lang w:val="es-UY"/>
        </w:rPr>
        <w:lastRenderedPageBreak/>
        <w:t xml:space="preserve">precisa, taxativa y previa o porque la ley delega su asignación al juzgador o a una norma </w:t>
      </w:r>
      <w:r w:rsidR="00266E44" w:rsidRPr="00640517">
        <w:rPr>
          <w:rFonts w:asciiTheme="majorHAnsi" w:hAnsiTheme="majorHAnsi"/>
          <w:i/>
          <w:iCs/>
          <w:sz w:val="20"/>
          <w:szCs w:val="20"/>
          <w:lang w:val="es-UY"/>
        </w:rPr>
        <w:t>infra</w:t>
      </w:r>
      <w:r w:rsidR="00266E44" w:rsidRPr="00640517">
        <w:rPr>
          <w:rFonts w:asciiTheme="majorHAnsi" w:hAnsiTheme="majorHAnsi"/>
          <w:sz w:val="20"/>
          <w:szCs w:val="20"/>
          <w:lang w:val="es-UY"/>
        </w:rPr>
        <w:t xml:space="preserve"> legal, bajo criterios objetivos que limiten </w:t>
      </w:r>
      <w:r w:rsidR="00266E44" w:rsidRPr="00640517">
        <w:rPr>
          <w:rFonts w:asciiTheme="majorHAnsi" w:hAnsiTheme="majorHAnsi"/>
          <w:sz w:val="20"/>
          <w:szCs w:val="20"/>
          <w:lang w:val="es-ES"/>
        </w:rPr>
        <w:t>el alcance de la discrecionalidad”</w:t>
      </w:r>
      <w:r w:rsidR="00845129" w:rsidRPr="00640517">
        <w:rPr>
          <w:rStyle w:val="FootnoteReference"/>
          <w:rFonts w:asciiTheme="majorHAnsi" w:hAnsiTheme="majorHAnsi"/>
          <w:sz w:val="20"/>
          <w:szCs w:val="20"/>
          <w:lang w:val="es-UY"/>
        </w:rPr>
        <w:footnoteReference w:id="96"/>
      </w:r>
      <w:r w:rsidR="00266E44" w:rsidRPr="00640517">
        <w:rPr>
          <w:rFonts w:asciiTheme="majorHAnsi" w:hAnsiTheme="majorHAnsi"/>
          <w:sz w:val="20"/>
          <w:szCs w:val="20"/>
          <w:lang w:val="es-ES"/>
        </w:rPr>
        <w:t>.</w:t>
      </w:r>
      <w:r w:rsidR="00266E44" w:rsidRPr="00640517">
        <w:rPr>
          <w:rFonts w:asciiTheme="majorHAnsi" w:hAnsiTheme="majorHAnsi" w:cs="Verdana"/>
          <w:sz w:val="20"/>
          <w:szCs w:val="20"/>
          <w:lang w:val="es-UY"/>
        </w:rPr>
        <w:t xml:space="preserve"> </w:t>
      </w:r>
    </w:p>
    <w:p w14:paraId="60923477" w14:textId="77777777" w:rsidR="00F65996" w:rsidRPr="00640517" w:rsidRDefault="00F65996" w:rsidP="00F65996">
      <w:pPr>
        <w:tabs>
          <w:tab w:val="num" w:pos="1440"/>
        </w:tabs>
        <w:jc w:val="both"/>
        <w:rPr>
          <w:rFonts w:asciiTheme="majorHAnsi" w:hAnsiTheme="majorHAnsi" w:cs="Verdana"/>
          <w:sz w:val="20"/>
          <w:szCs w:val="20"/>
          <w:lang w:val="es-CO"/>
        </w:rPr>
      </w:pPr>
    </w:p>
    <w:p w14:paraId="63F399D0" w14:textId="77777777" w:rsidR="00266E44" w:rsidRPr="00640517" w:rsidRDefault="00845129" w:rsidP="006B1085">
      <w:pPr>
        <w:numPr>
          <w:ilvl w:val="0"/>
          <w:numId w:val="1"/>
        </w:numPr>
        <w:ind w:left="0" w:firstLine="720"/>
        <w:jc w:val="both"/>
        <w:rPr>
          <w:rFonts w:asciiTheme="majorHAnsi" w:hAnsiTheme="majorHAnsi" w:cs="Verdana"/>
          <w:sz w:val="20"/>
          <w:szCs w:val="20"/>
          <w:lang w:val="es-UY"/>
        </w:rPr>
      </w:pPr>
      <w:r w:rsidRPr="00640517">
        <w:rPr>
          <w:rFonts w:asciiTheme="majorHAnsi" w:hAnsiTheme="majorHAnsi" w:cs="Verdana"/>
          <w:sz w:val="20"/>
          <w:szCs w:val="20"/>
          <w:lang w:val="es-UY"/>
        </w:rPr>
        <w:t>Por su parte, e</w:t>
      </w:r>
      <w:r w:rsidR="00266E44" w:rsidRPr="00640517">
        <w:rPr>
          <w:rFonts w:asciiTheme="majorHAnsi" w:hAnsiTheme="majorHAnsi" w:cs="Verdana"/>
          <w:sz w:val="20"/>
          <w:szCs w:val="20"/>
          <w:lang w:val="es-UY"/>
        </w:rPr>
        <w:t>l deber de motivación</w:t>
      </w:r>
      <w:r w:rsidR="00DA7472" w:rsidRPr="00640517">
        <w:rPr>
          <w:rFonts w:asciiTheme="majorHAnsi" w:hAnsiTheme="majorHAnsi" w:cs="Verdana"/>
          <w:sz w:val="20"/>
          <w:szCs w:val="20"/>
          <w:lang w:val="es-UY"/>
        </w:rPr>
        <w:t>,</w:t>
      </w:r>
      <w:r w:rsidR="00266E44" w:rsidRPr="00640517">
        <w:rPr>
          <w:rFonts w:asciiTheme="majorHAnsi" w:hAnsiTheme="majorHAnsi" w:cs="Verdana"/>
          <w:sz w:val="20"/>
          <w:szCs w:val="20"/>
          <w:lang w:val="es-UY"/>
        </w:rPr>
        <w:t xml:space="preserve"> se traduce en la “justificación razonada” que permite al juzgador llegar a una conclusión</w:t>
      </w:r>
      <w:r w:rsidR="00266E44" w:rsidRPr="00640517">
        <w:rPr>
          <w:rStyle w:val="FootnoteReference"/>
          <w:rFonts w:asciiTheme="majorHAnsi" w:hAnsiTheme="majorHAnsi" w:cs="Verdana"/>
          <w:sz w:val="20"/>
          <w:szCs w:val="20"/>
          <w:lang w:val="es-UY"/>
        </w:rPr>
        <w:footnoteReference w:id="97"/>
      </w:r>
      <w:r w:rsidR="00266E44" w:rsidRPr="00640517">
        <w:rPr>
          <w:rFonts w:asciiTheme="majorHAnsi" w:hAnsiTheme="majorHAnsi" w:cs="Verdana"/>
          <w:sz w:val="20"/>
          <w:szCs w:val="20"/>
          <w:lang w:val="es-UY"/>
        </w:rPr>
        <w:t xml:space="preserve">. </w:t>
      </w:r>
      <w:r w:rsidRPr="00640517">
        <w:rPr>
          <w:rFonts w:asciiTheme="majorHAnsi" w:hAnsiTheme="majorHAnsi" w:cs="Verdana"/>
          <w:sz w:val="20"/>
          <w:szCs w:val="20"/>
          <w:lang w:val="es-UY"/>
        </w:rPr>
        <w:t>Dicha garantía guarda relación</w:t>
      </w:r>
      <w:r w:rsidR="001E717A" w:rsidRPr="00640517">
        <w:rPr>
          <w:rFonts w:asciiTheme="majorHAnsi" w:hAnsiTheme="majorHAnsi" w:cs="Verdana"/>
          <w:sz w:val="20"/>
          <w:szCs w:val="20"/>
          <w:lang w:val="es-UY"/>
        </w:rPr>
        <w:t xml:space="preserve"> intrínseca</w:t>
      </w:r>
      <w:r w:rsidRPr="00640517">
        <w:rPr>
          <w:rFonts w:asciiTheme="majorHAnsi" w:hAnsiTheme="majorHAnsi" w:cs="Verdana"/>
          <w:sz w:val="20"/>
          <w:szCs w:val="20"/>
          <w:lang w:val="es-UY"/>
        </w:rPr>
        <w:t xml:space="preserve"> con el principio de legalidad, pues </w:t>
      </w:r>
      <w:r w:rsidR="00266E44" w:rsidRPr="00640517">
        <w:rPr>
          <w:rFonts w:asciiTheme="majorHAnsi" w:hAnsiTheme="majorHAnsi" w:cs="Verdana"/>
          <w:sz w:val="20"/>
          <w:szCs w:val="20"/>
          <w:lang w:val="es-UY"/>
        </w:rPr>
        <w:t xml:space="preserve"> partiendo de </w:t>
      </w:r>
      <w:r w:rsidRPr="00640517">
        <w:rPr>
          <w:rFonts w:asciiTheme="majorHAnsi" w:hAnsiTheme="majorHAnsi" w:cs="Verdana"/>
          <w:sz w:val="20"/>
          <w:szCs w:val="20"/>
          <w:lang w:val="es-UY"/>
        </w:rPr>
        <w:t xml:space="preserve">que </w:t>
      </w:r>
      <w:r w:rsidR="00266E44" w:rsidRPr="00640517">
        <w:rPr>
          <w:rFonts w:asciiTheme="majorHAnsi" w:hAnsiTheme="majorHAnsi" w:cs="Verdana"/>
          <w:sz w:val="20"/>
          <w:szCs w:val="20"/>
          <w:lang w:val="es-UY"/>
        </w:rPr>
        <w:t xml:space="preserve">las causales disciplinarias </w:t>
      </w:r>
      <w:r w:rsidRPr="00640517">
        <w:rPr>
          <w:rFonts w:asciiTheme="majorHAnsi" w:hAnsiTheme="majorHAnsi" w:cs="Verdana"/>
          <w:sz w:val="20"/>
          <w:szCs w:val="20"/>
          <w:lang w:val="es-UY"/>
        </w:rPr>
        <w:t xml:space="preserve">deben estar </w:t>
      </w:r>
      <w:r w:rsidR="00266E44" w:rsidRPr="00640517">
        <w:rPr>
          <w:rFonts w:asciiTheme="majorHAnsi" w:hAnsiTheme="majorHAnsi" w:cs="Verdana"/>
          <w:sz w:val="20"/>
          <w:szCs w:val="20"/>
          <w:lang w:val="es-UY"/>
        </w:rPr>
        <w:t xml:space="preserve">establecidas </w:t>
      </w:r>
      <w:r w:rsidR="001D6637" w:rsidRPr="00640517">
        <w:rPr>
          <w:rFonts w:asciiTheme="majorHAnsi" w:hAnsiTheme="majorHAnsi" w:cs="Verdana"/>
          <w:sz w:val="20"/>
          <w:szCs w:val="20"/>
          <w:lang w:val="es-UY"/>
        </w:rPr>
        <w:t xml:space="preserve">en </w:t>
      </w:r>
      <w:r w:rsidR="00266E44" w:rsidRPr="00640517">
        <w:rPr>
          <w:rFonts w:asciiTheme="majorHAnsi" w:hAnsiTheme="majorHAnsi" w:cs="Verdana"/>
          <w:sz w:val="20"/>
          <w:szCs w:val="20"/>
          <w:lang w:val="es-UY"/>
        </w:rPr>
        <w:t>el marco normativo del Estado conforme a los estándares antes descritos</w:t>
      </w:r>
      <w:r w:rsidRPr="00640517">
        <w:rPr>
          <w:rFonts w:asciiTheme="majorHAnsi" w:hAnsiTheme="majorHAnsi" w:cs="Verdana"/>
          <w:sz w:val="20"/>
          <w:szCs w:val="20"/>
          <w:lang w:val="es-UY"/>
        </w:rPr>
        <w:t>,</w:t>
      </w:r>
      <w:r w:rsidR="00266E44" w:rsidRPr="00640517">
        <w:rPr>
          <w:rFonts w:asciiTheme="majorHAnsi" w:hAnsiTheme="majorHAnsi" w:cs="Verdana"/>
          <w:sz w:val="20"/>
          <w:szCs w:val="20"/>
          <w:lang w:val="es-UY"/>
        </w:rPr>
        <w:t xml:space="preserve"> la argumentación de un fallo debe permitir conocer “cuáles fueron los hechos, motivos y normas en que se basó la autoridad para tomar su decisión</w:t>
      </w:r>
      <w:r w:rsidRPr="00640517">
        <w:rPr>
          <w:rFonts w:asciiTheme="majorHAnsi" w:hAnsiTheme="majorHAnsi" w:cs="Verdana"/>
          <w:sz w:val="20"/>
          <w:szCs w:val="20"/>
          <w:lang w:val="es-UY"/>
        </w:rPr>
        <w:t>”</w:t>
      </w:r>
      <w:r w:rsidR="00266E44" w:rsidRPr="00640517">
        <w:rPr>
          <w:rFonts w:asciiTheme="majorHAnsi" w:hAnsiTheme="majorHAnsi" w:cs="Verdana"/>
          <w:sz w:val="20"/>
          <w:szCs w:val="20"/>
          <w:vertAlign w:val="superscript"/>
          <w:lang w:val="es-UY"/>
        </w:rPr>
        <w:footnoteReference w:id="98"/>
      </w:r>
      <w:r w:rsidR="00266E44" w:rsidRPr="00640517">
        <w:rPr>
          <w:rFonts w:asciiTheme="majorHAnsi" w:hAnsiTheme="majorHAnsi" w:cs="Verdana"/>
          <w:sz w:val="20"/>
          <w:szCs w:val="20"/>
          <w:lang w:val="es-UY"/>
        </w:rPr>
        <w:t>.</w:t>
      </w:r>
      <w:r w:rsidR="001E717A" w:rsidRPr="00640517">
        <w:rPr>
          <w:rFonts w:asciiTheme="majorHAnsi" w:hAnsiTheme="majorHAnsi" w:cs="Verdana"/>
          <w:sz w:val="20"/>
          <w:szCs w:val="20"/>
          <w:lang w:val="es-UY"/>
        </w:rPr>
        <w:t xml:space="preserve"> En ese sentid</w:t>
      </w:r>
      <w:r w:rsidR="001641F4" w:rsidRPr="00640517">
        <w:rPr>
          <w:rFonts w:asciiTheme="majorHAnsi" w:hAnsiTheme="majorHAnsi" w:cs="Verdana"/>
          <w:sz w:val="20"/>
          <w:szCs w:val="20"/>
          <w:lang w:val="es-UY"/>
        </w:rPr>
        <w:t>o</w:t>
      </w:r>
      <w:r w:rsidR="001E717A" w:rsidRPr="00640517">
        <w:rPr>
          <w:rFonts w:asciiTheme="majorHAnsi" w:hAnsiTheme="majorHAnsi" w:cs="Verdana"/>
          <w:sz w:val="20"/>
          <w:szCs w:val="20"/>
          <w:lang w:val="es-UY"/>
        </w:rPr>
        <w:t xml:space="preserve">, </w:t>
      </w:r>
      <w:r w:rsidR="001E717A" w:rsidRPr="00640517">
        <w:rPr>
          <w:rFonts w:ascii="Cambria" w:hAnsi="Cambria"/>
          <w:sz w:val="20"/>
          <w:szCs w:val="20"/>
          <w:lang w:val="es-ES"/>
        </w:rPr>
        <w:t xml:space="preserve">es la motivación de la </w:t>
      </w:r>
      <w:r w:rsidR="00825D08" w:rsidRPr="00640517">
        <w:rPr>
          <w:rFonts w:ascii="Cambria" w:hAnsi="Cambria"/>
          <w:sz w:val="20"/>
          <w:szCs w:val="20"/>
          <w:lang w:val="es-ES"/>
        </w:rPr>
        <w:t>decisión sanciona</w:t>
      </w:r>
      <w:r w:rsidR="001641F4" w:rsidRPr="00640517">
        <w:rPr>
          <w:rFonts w:ascii="Cambria" w:hAnsi="Cambria"/>
          <w:sz w:val="20"/>
          <w:szCs w:val="20"/>
          <w:lang w:val="es-ES"/>
        </w:rPr>
        <w:t>t</w:t>
      </w:r>
      <w:r w:rsidR="00825D08" w:rsidRPr="00640517">
        <w:rPr>
          <w:rFonts w:ascii="Cambria" w:hAnsi="Cambria"/>
          <w:sz w:val="20"/>
          <w:szCs w:val="20"/>
          <w:lang w:val="es-ES"/>
        </w:rPr>
        <w:t xml:space="preserve">oria </w:t>
      </w:r>
      <w:r w:rsidR="001E717A" w:rsidRPr="00640517">
        <w:rPr>
          <w:rFonts w:ascii="Cambria" w:hAnsi="Cambria"/>
          <w:sz w:val="20"/>
          <w:szCs w:val="20"/>
          <w:lang w:val="es-ES"/>
        </w:rPr>
        <w:t>la que permite entender la manera en que los hechos que sustentaron el procedimiento, se adecuan o caen dentro del ámbito de la</w:t>
      </w:r>
      <w:r w:rsidR="00825D08" w:rsidRPr="00640517">
        <w:rPr>
          <w:rFonts w:ascii="Cambria" w:hAnsi="Cambria"/>
          <w:sz w:val="20"/>
          <w:szCs w:val="20"/>
          <w:lang w:val="es-ES"/>
        </w:rPr>
        <w:t>s</w:t>
      </w:r>
      <w:r w:rsidR="001E717A" w:rsidRPr="00640517">
        <w:rPr>
          <w:rFonts w:ascii="Cambria" w:hAnsi="Cambria"/>
          <w:sz w:val="20"/>
          <w:szCs w:val="20"/>
          <w:lang w:val="es-ES"/>
        </w:rPr>
        <w:t xml:space="preserve"> causal</w:t>
      </w:r>
      <w:r w:rsidR="00825D08" w:rsidRPr="00640517">
        <w:rPr>
          <w:rFonts w:ascii="Cambria" w:hAnsi="Cambria"/>
          <w:sz w:val="20"/>
          <w:szCs w:val="20"/>
          <w:lang w:val="es-ES"/>
        </w:rPr>
        <w:t>es</w:t>
      </w:r>
      <w:r w:rsidR="001E717A" w:rsidRPr="00640517">
        <w:rPr>
          <w:rFonts w:ascii="Cambria" w:hAnsi="Cambria"/>
          <w:sz w:val="20"/>
          <w:szCs w:val="20"/>
          <w:lang w:val="es-ES"/>
        </w:rPr>
        <w:t xml:space="preserve"> invocada</w:t>
      </w:r>
      <w:r w:rsidR="00825D08" w:rsidRPr="00640517">
        <w:rPr>
          <w:rFonts w:ascii="Cambria" w:hAnsi="Cambria"/>
          <w:sz w:val="20"/>
          <w:szCs w:val="20"/>
          <w:lang w:val="es-ES"/>
        </w:rPr>
        <w:t>s</w:t>
      </w:r>
      <w:r w:rsidR="001E717A" w:rsidRPr="00640517">
        <w:rPr>
          <w:rFonts w:ascii="Cambria" w:hAnsi="Cambria"/>
          <w:sz w:val="20"/>
          <w:szCs w:val="20"/>
          <w:lang w:val="es-ES"/>
        </w:rPr>
        <w:t xml:space="preserve">. Sobre este punto, en el caso </w:t>
      </w:r>
      <w:r w:rsidR="007F393C" w:rsidRPr="00640517">
        <w:rPr>
          <w:rFonts w:ascii="Cambria" w:hAnsi="Cambria"/>
          <w:i/>
          <w:sz w:val="20"/>
          <w:szCs w:val="20"/>
          <w:lang w:val="es-ES"/>
        </w:rPr>
        <w:t>De la Cruz Flores v</w:t>
      </w:r>
      <w:r w:rsidR="001E717A" w:rsidRPr="00640517">
        <w:rPr>
          <w:rFonts w:ascii="Cambria" w:hAnsi="Cambria"/>
          <w:i/>
          <w:sz w:val="20"/>
          <w:szCs w:val="20"/>
          <w:lang w:val="es-ES"/>
        </w:rPr>
        <w:t xml:space="preserve">s. Perú, </w:t>
      </w:r>
      <w:r w:rsidR="001E717A" w:rsidRPr="00640517">
        <w:rPr>
          <w:rFonts w:ascii="Cambria" w:hAnsi="Cambria"/>
          <w:sz w:val="20"/>
          <w:szCs w:val="20"/>
          <w:lang w:val="es-ES"/>
        </w:rPr>
        <w:t>la Corte</w:t>
      </w:r>
      <w:r w:rsidR="001E717A" w:rsidRPr="00640517">
        <w:rPr>
          <w:rFonts w:ascii="Cambria" w:hAnsi="Cambria"/>
          <w:i/>
          <w:sz w:val="20"/>
          <w:szCs w:val="20"/>
          <w:lang w:val="es-ES"/>
        </w:rPr>
        <w:t xml:space="preserve"> </w:t>
      </w:r>
      <w:r w:rsidR="001E717A" w:rsidRPr="00640517">
        <w:rPr>
          <w:rFonts w:ascii="Cambria" w:hAnsi="Cambria"/>
          <w:sz w:val="20"/>
          <w:szCs w:val="20"/>
          <w:lang w:val="es-ES"/>
        </w:rPr>
        <w:t>resaltó la necesidad de que en toda decisión sancionatoria exista un vínculo entre la conducta imputada a la persona y la disposición en la cual se basa la decisión</w:t>
      </w:r>
      <w:r w:rsidR="001E717A" w:rsidRPr="00640517">
        <w:rPr>
          <w:rStyle w:val="FootnoteReference"/>
          <w:rFonts w:ascii="Cambria" w:hAnsi="Cambria"/>
          <w:sz w:val="20"/>
          <w:szCs w:val="20"/>
          <w:lang w:val="es-ES"/>
        </w:rPr>
        <w:footnoteReference w:id="99"/>
      </w:r>
      <w:r w:rsidR="001E717A" w:rsidRPr="00640517">
        <w:rPr>
          <w:rFonts w:ascii="Cambria" w:hAnsi="Cambria"/>
          <w:sz w:val="20"/>
          <w:szCs w:val="20"/>
          <w:lang w:val="es-ES"/>
        </w:rPr>
        <w:t>.</w:t>
      </w:r>
      <w:r w:rsidR="001E717A" w:rsidRPr="00640517">
        <w:rPr>
          <w:rFonts w:asciiTheme="majorHAnsi" w:hAnsiTheme="majorHAnsi" w:cs="Verdana"/>
          <w:sz w:val="20"/>
          <w:szCs w:val="20"/>
          <w:lang w:val="es-UY"/>
        </w:rPr>
        <w:t xml:space="preserve"> </w:t>
      </w:r>
      <w:r w:rsidR="00F65996" w:rsidRPr="00640517">
        <w:rPr>
          <w:rFonts w:asciiTheme="majorHAnsi" w:hAnsiTheme="majorHAnsi" w:cs="Verdana"/>
          <w:sz w:val="20"/>
          <w:szCs w:val="20"/>
          <w:lang w:val="es-UY"/>
        </w:rPr>
        <w:t>En relación con la sanción aplicable, el “principio de máxima severidad” de la sanción</w:t>
      </w:r>
      <w:r w:rsidR="001E717A" w:rsidRPr="00640517">
        <w:rPr>
          <w:rFonts w:asciiTheme="majorHAnsi" w:hAnsiTheme="majorHAnsi" w:cs="Verdana"/>
          <w:sz w:val="20"/>
          <w:szCs w:val="20"/>
          <w:lang w:val="es-UY"/>
        </w:rPr>
        <w:t xml:space="preserve"> de destitución de un juez o jueza</w:t>
      </w:r>
      <w:r w:rsidR="00F65996" w:rsidRPr="00640517">
        <w:rPr>
          <w:rFonts w:asciiTheme="majorHAnsi" w:hAnsiTheme="majorHAnsi" w:cs="Verdana"/>
          <w:sz w:val="20"/>
          <w:szCs w:val="20"/>
          <w:lang w:val="es-UY"/>
        </w:rPr>
        <w:t xml:space="preserve"> implica que sólo debe proceder por conductas “claramente reprochables”, “razones verdaderamente graves de mala conducta o incompetencia”</w:t>
      </w:r>
      <w:r w:rsidR="00F65996" w:rsidRPr="00640517">
        <w:rPr>
          <w:rFonts w:asciiTheme="majorHAnsi" w:hAnsiTheme="majorHAnsi" w:cs="Verdana"/>
          <w:sz w:val="20"/>
          <w:szCs w:val="20"/>
          <w:vertAlign w:val="superscript"/>
          <w:lang w:val="es-UY"/>
        </w:rPr>
        <w:footnoteReference w:id="100"/>
      </w:r>
      <w:r w:rsidR="00F65996" w:rsidRPr="00640517">
        <w:rPr>
          <w:rFonts w:asciiTheme="majorHAnsi" w:hAnsiTheme="majorHAnsi" w:cs="Verdana"/>
          <w:sz w:val="20"/>
          <w:szCs w:val="20"/>
          <w:lang w:val="es-UY"/>
        </w:rPr>
        <w:t xml:space="preserve">.  </w:t>
      </w:r>
    </w:p>
    <w:p w14:paraId="13609F93" w14:textId="77777777" w:rsidR="00266E44" w:rsidRPr="00640517" w:rsidRDefault="00266E44" w:rsidP="00AB69BB">
      <w:pPr>
        <w:pStyle w:val="ListParagraph"/>
        <w:tabs>
          <w:tab w:val="num" w:pos="1440"/>
        </w:tabs>
        <w:ind w:left="0" w:firstLine="720"/>
        <w:rPr>
          <w:rFonts w:asciiTheme="majorHAnsi" w:hAnsiTheme="majorHAnsi"/>
          <w:sz w:val="20"/>
          <w:szCs w:val="20"/>
          <w:lang w:val="es-CO"/>
        </w:rPr>
      </w:pPr>
    </w:p>
    <w:p w14:paraId="7CD68A2A" w14:textId="77777777" w:rsidR="00872CC9" w:rsidRPr="00640517" w:rsidRDefault="00845129" w:rsidP="00646A40">
      <w:pPr>
        <w:pStyle w:val="ListParagraph"/>
        <w:numPr>
          <w:ilvl w:val="0"/>
          <w:numId w:val="1"/>
        </w:numPr>
        <w:tabs>
          <w:tab w:val="left" w:pos="1890"/>
          <w:tab w:val="left" w:pos="2250"/>
        </w:tabs>
        <w:ind w:left="0" w:firstLine="720"/>
        <w:jc w:val="both"/>
        <w:outlineLvl w:val="2"/>
        <w:rPr>
          <w:rFonts w:asciiTheme="majorHAnsi" w:hAnsiTheme="majorHAnsi" w:cs="Verdana"/>
          <w:sz w:val="20"/>
          <w:szCs w:val="20"/>
          <w:lang w:val="es-UY"/>
        </w:rPr>
      </w:pPr>
      <w:bookmarkStart w:id="60" w:name="_Toc476579045"/>
      <w:bookmarkStart w:id="61" w:name="_Toc484623844"/>
      <w:bookmarkStart w:id="62" w:name="_Toc475517366"/>
      <w:bookmarkStart w:id="63" w:name="_Toc475620592"/>
      <w:r w:rsidRPr="00640517">
        <w:rPr>
          <w:rFonts w:asciiTheme="majorHAnsi" w:hAnsiTheme="majorHAnsi" w:cs="Verdana"/>
          <w:sz w:val="20"/>
          <w:szCs w:val="20"/>
          <w:lang w:val="es-UY"/>
        </w:rPr>
        <w:t xml:space="preserve">En el presente caso, </w:t>
      </w:r>
      <w:r w:rsidR="00266E44" w:rsidRPr="00640517">
        <w:rPr>
          <w:rFonts w:asciiTheme="majorHAnsi" w:hAnsiTheme="majorHAnsi" w:cs="Verdana"/>
          <w:sz w:val="20"/>
          <w:szCs w:val="20"/>
          <w:lang w:val="es-UY"/>
        </w:rPr>
        <w:t>el Estado no había adoptado las medidas de carácter legislativo para crear un régimen disciplinario para magistrados del TSE</w:t>
      </w:r>
      <w:r w:rsidR="00872CC9" w:rsidRPr="00640517">
        <w:rPr>
          <w:rFonts w:asciiTheme="majorHAnsi" w:hAnsiTheme="majorHAnsi" w:cs="Verdana"/>
          <w:sz w:val="20"/>
          <w:szCs w:val="20"/>
          <w:lang w:val="es-UY"/>
        </w:rPr>
        <w:t>, por lo cual no existían al momento de los hechos causales disciplinarias ni sanciones aplicables.</w:t>
      </w:r>
      <w:r w:rsidR="001D6637" w:rsidRPr="00640517">
        <w:rPr>
          <w:rFonts w:asciiTheme="majorHAnsi" w:hAnsiTheme="majorHAnsi" w:cs="Verdana"/>
          <w:sz w:val="20"/>
          <w:szCs w:val="20"/>
          <w:lang w:val="es-UY"/>
        </w:rPr>
        <w:t xml:space="preserve"> Un proceso disciplinario en estas circunstancias</w:t>
      </w:r>
      <w:r w:rsidR="00872CC9" w:rsidRPr="00640517">
        <w:rPr>
          <w:rFonts w:asciiTheme="majorHAnsi" w:hAnsiTheme="majorHAnsi" w:cs="Verdana"/>
          <w:sz w:val="20"/>
          <w:szCs w:val="20"/>
          <w:lang w:val="es-UY"/>
        </w:rPr>
        <w:t xml:space="preserve"> resultó, en </w:t>
      </w:r>
      <w:proofErr w:type="spellStart"/>
      <w:r w:rsidR="00872CC9" w:rsidRPr="00640517">
        <w:rPr>
          <w:rFonts w:asciiTheme="majorHAnsi" w:hAnsiTheme="majorHAnsi" w:cs="Verdana"/>
          <w:sz w:val="20"/>
          <w:szCs w:val="20"/>
          <w:lang w:val="es-UY"/>
        </w:rPr>
        <w:t>si</w:t>
      </w:r>
      <w:proofErr w:type="spellEnd"/>
      <w:r w:rsidR="00872CC9" w:rsidRPr="00640517">
        <w:rPr>
          <w:rFonts w:asciiTheme="majorHAnsi" w:hAnsiTheme="majorHAnsi" w:cs="Verdana"/>
          <w:sz w:val="20"/>
          <w:szCs w:val="20"/>
          <w:lang w:val="es-UY"/>
        </w:rPr>
        <w:t xml:space="preserve"> misma, contrari</w:t>
      </w:r>
      <w:r w:rsidR="00DA4E55" w:rsidRPr="00640517">
        <w:rPr>
          <w:rFonts w:asciiTheme="majorHAnsi" w:hAnsiTheme="majorHAnsi" w:cs="Verdana"/>
          <w:sz w:val="20"/>
          <w:szCs w:val="20"/>
          <w:lang w:val="es-UY"/>
        </w:rPr>
        <w:t>o</w:t>
      </w:r>
      <w:r w:rsidR="00872CC9" w:rsidRPr="00640517">
        <w:rPr>
          <w:rFonts w:asciiTheme="majorHAnsi" w:hAnsiTheme="majorHAnsi" w:cs="Verdana"/>
          <w:sz w:val="20"/>
          <w:szCs w:val="20"/>
          <w:lang w:val="es-UY"/>
        </w:rPr>
        <w:t xml:space="preserve"> al principio de legalidad.</w:t>
      </w:r>
      <w:bookmarkEnd w:id="60"/>
      <w:bookmarkEnd w:id="61"/>
      <w:r w:rsidR="00266E44" w:rsidRPr="00640517">
        <w:rPr>
          <w:rFonts w:asciiTheme="majorHAnsi" w:hAnsiTheme="majorHAnsi" w:cs="Verdana"/>
          <w:sz w:val="20"/>
          <w:szCs w:val="20"/>
          <w:lang w:val="es-UY"/>
        </w:rPr>
        <w:t xml:space="preserve">  </w:t>
      </w:r>
      <w:bookmarkStart w:id="64" w:name="_Toc475517367"/>
      <w:bookmarkEnd w:id="62"/>
    </w:p>
    <w:p w14:paraId="4D7F5D33" w14:textId="77777777" w:rsidR="00872CC9" w:rsidRPr="00640517" w:rsidRDefault="00872CC9" w:rsidP="006B1085">
      <w:pPr>
        <w:tabs>
          <w:tab w:val="left" w:pos="1890"/>
          <w:tab w:val="left" w:pos="2250"/>
        </w:tabs>
        <w:jc w:val="both"/>
        <w:outlineLvl w:val="2"/>
        <w:rPr>
          <w:rFonts w:asciiTheme="majorHAnsi" w:hAnsiTheme="majorHAnsi" w:cs="Verdana"/>
          <w:sz w:val="20"/>
          <w:szCs w:val="20"/>
          <w:lang w:val="es-UY"/>
        </w:rPr>
      </w:pPr>
    </w:p>
    <w:p w14:paraId="2A2755C1" w14:textId="77777777" w:rsidR="00171731" w:rsidRPr="00640517" w:rsidRDefault="00872CC9" w:rsidP="00646A40">
      <w:pPr>
        <w:pStyle w:val="ListParagraph"/>
        <w:numPr>
          <w:ilvl w:val="0"/>
          <w:numId w:val="1"/>
        </w:numPr>
        <w:tabs>
          <w:tab w:val="left" w:pos="1890"/>
          <w:tab w:val="left" w:pos="2250"/>
        </w:tabs>
        <w:ind w:left="0" w:firstLine="720"/>
        <w:jc w:val="both"/>
        <w:outlineLvl w:val="2"/>
        <w:rPr>
          <w:rFonts w:asciiTheme="majorHAnsi" w:hAnsiTheme="majorHAnsi" w:cs="Verdana"/>
          <w:sz w:val="20"/>
          <w:szCs w:val="20"/>
          <w:lang w:val="es-UY"/>
        </w:rPr>
      </w:pPr>
      <w:bookmarkStart w:id="65" w:name="_Toc476579046"/>
      <w:bookmarkStart w:id="66" w:name="_Toc484623845"/>
      <w:r w:rsidRPr="00640517">
        <w:rPr>
          <w:rFonts w:asciiTheme="majorHAnsi" w:hAnsiTheme="majorHAnsi" w:cs="Verdana"/>
          <w:sz w:val="20"/>
          <w:szCs w:val="20"/>
          <w:lang w:val="es-UY"/>
        </w:rPr>
        <w:t>Ademá</w:t>
      </w:r>
      <w:r w:rsidR="00542F2B" w:rsidRPr="00640517">
        <w:rPr>
          <w:rFonts w:asciiTheme="majorHAnsi" w:hAnsiTheme="majorHAnsi" w:cs="Verdana"/>
          <w:sz w:val="20"/>
          <w:szCs w:val="20"/>
          <w:lang w:val="es-UY"/>
        </w:rPr>
        <w:t xml:space="preserve">s, </w:t>
      </w:r>
      <w:r w:rsidRPr="00640517">
        <w:rPr>
          <w:rFonts w:asciiTheme="majorHAnsi" w:hAnsiTheme="majorHAnsi" w:cs="Verdana"/>
          <w:sz w:val="20"/>
          <w:szCs w:val="20"/>
          <w:lang w:val="es-UY"/>
        </w:rPr>
        <w:t>ni en el Decreto 348 ni en el Decreto 899 se describen hechos concretos cometidos por el señor Colindres en el ejercicio de sus funciones, de manera que su conducta pudiera vincularse frente a eventuales causales de cará</w:t>
      </w:r>
      <w:r w:rsidR="00542F2B" w:rsidRPr="00640517">
        <w:rPr>
          <w:rFonts w:asciiTheme="majorHAnsi" w:hAnsiTheme="majorHAnsi" w:cs="Verdana"/>
          <w:sz w:val="20"/>
          <w:szCs w:val="20"/>
          <w:lang w:val="es-UY"/>
        </w:rPr>
        <w:t>cter disciplinario que, como se dijo ni siquiera existían.</w:t>
      </w:r>
      <w:r w:rsidRPr="00640517">
        <w:rPr>
          <w:rFonts w:asciiTheme="majorHAnsi" w:hAnsiTheme="majorHAnsi" w:cs="Verdana"/>
          <w:sz w:val="20"/>
          <w:szCs w:val="20"/>
          <w:lang w:val="es-UY"/>
        </w:rPr>
        <w:t xml:space="preserve"> </w:t>
      </w:r>
      <w:r w:rsidR="00547611" w:rsidRPr="00640517">
        <w:rPr>
          <w:rFonts w:asciiTheme="majorHAnsi" w:hAnsiTheme="majorHAnsi" w:cs="Verdana"/>
          <w:sz w:val="20"/>
          <w:szCs w:val="20"/>
          <w:lang w:val="es-UY"/>
        </w:rPr>
        <w:t>La Asamblea Legislativa no indicó en la decisión de cese en qué asuntos específicos el magistrado Colindres habría intervenido, ni los hechos en los cuales habría estado comprometida su imparcialidad, siendo necesaria la imposición de la sanción más severa.</w:t>
      </w:r>
      <w:bookmarkEnd w:id="65"/>
      <w:bookmarkEnd w:id="66"/>
      <w:r w:rsidR="00547611" w:rsidRPr="00640517">
        <w:rPr>
          <w:rFonts w:asciiTheme="majorHAnsi" w:hAnsiTheme="majorHAnsi" w:cs="Verdana"/>
          <w:sz w:val="20"/>
          <w:szCs w:val="20"/>
          <w:lang w:val="es-UY"/>
        </w:rPr>
        <w:t xml:space="preserve"> </w:t>
      </w:r>
    </w:p>
    <w:p w14:paraId="421199FD" w14:textId="77777777" w:rsidR="00171731" w:rsidRPr="00640517" w:rsidRDefault="00171731" w:rsidP="006B1085">
      <w:pPr>
        <w:tabs>
          <w:tab w:val="left" w:pos="1890"/>
          <w:tab w:val="left" w:pos="2250"/>
        </w:tabs>
        <w:jc w:val="both"/>
        <w:outlineLvl w:val="2"/>
        <w:rPr>
          <w:rFonts w:asciiTheme="majorHAnsi" w:hAnsiTheme="majorHAnsi" w:cs="Verdana"/>
          <w:sz w:val="20"/>
          <w:szCs w:val="20"/>
          <w:lang w:val="es-UY"/>
        </w:rPr>
      </w:pPr>
    </w:p>
    <w:p w14:paraId="384D66B0" w14:textId="77777777" w:rsidR="00367971" w:rsidRPr="00640517" w:rsidRDefault="00450DEE" w:rsidP="00646A40">
      <w:pPr>
        <w:pStyle w:val="ListParagraph"/>
        <w:numPr>
          <w:ilvl w:val="0"/>
          <w:numId w:val="1"/>
        </w:numPr>
        <w:tabs>
          <w:tab w:val="left" w:pos="1890"/>
          <w:tab w:val="left" w:pos="2250"/>
        </w:tabs>
        <w:ind w:left="0" w:firstLine="720"/>
        <w:jc w:val="both"/>
        <w:outlineLvl w:val="2"/>
        <w:rPr>
          <w:rFonts w:asciiTheme="majorHAnsi" w:hAnsiTheme="majorHAnsi" w:cs="Verdana"/>
          <w:sz w:val="20"/>
          <w:szCs w:val="20"/>
          <w:lang w:val="es-UY"/>
        </w:rPr>
      </w:pPr>
      <w:bookmarkStart w:id="67" w:name="_Toc476579047"/>
      <w:bookmarkStart w:id="68" w:name="_Toc484623846"/>
      <w:r w:rsidRPr="00640517">
        <w:rPr>
          <w:rFonts w:asciiTheme="majorHAnsi" w:hAnsiTheme="majorHAnsi" w:cs="Verdana"/>
          <w:sz w:val="20"/>
          <w:szCs w:val="20"/>
          <w:lang w:val="es-UY"/>
        </w:rPr>
        <w:t>En cuanto a las causales, si bien e</w:t>
      </w:r>
      <w:r w:rsidR="00872CC9" w:rsidRPr="00640517">
        <w:rPr>
          <w:rFonts w:asciiTheme="majorHAnsi" w:hAnsiTheme="majorHAnsi" w:cs="Verdana"/>
          <w:sz w:val="20"/>
          <w:szCs w:val="20"/>
          <w:lang w:val="es-UY"/>
        </w:rPr>
        <w:t>n el</w:t>
      </w:r>
      <w:r w:rsidR="00266E44" w:rsidRPr="00640517">
        <w:rPr>
          <w:rFonts w:asciiTheme="majorHAnsi" w:hAnsiTheme="majorHAnsi" w:cs="Verdana"/>
          <w:sz w:val="20"/>
          <w:szCs w:val="20"/>
          <w:lang w:val="es-UY"/>
        </w:rPr>
        <w:t xml:space="preserve"> Decreto 348</w:t>
      </w:r>
      <w:r w:rsidR="00872CC9" w:rsidRPr="00640517">
        <w:rPr>
          <w:rFonts w:asciiTheme="majorHAnsi" w:hAnsiTheme="majorHAnsi" w:cs="Verdana"/>
          <w:sz w:val="20"/>
          <w:szCs w:val="20"/>
          <w:lang w:val="es-UY"/>
        </w:rPr>
        <w:t xml:space="preserve"> </w:t>
      </w:r>
      <w:r w:rsidR="00266E44" w:rsidRPr="00640517">
        <w:rPr>
          <w:rFonts w:asciiTheme="majorHAnsi" w:hAnsiTheme="majorHAnsi" w:cs="Verdana"/>
          <w:sz w:val="20"/>
          <w:szCs w:val="20"/>
          <w:lang w:val="es-UY"/>
        </w:rPr>
        <w:t xml:space="preserve">Colindres </w:t>
      </w:r>
      <w:r w:rsidRPr="00640517">
        <w:rPr>
          <w:rFonts w:asciiTheme="majorHAnsi" w:hAnsiTheme="majorHAnsi" w:cs="Verdana"/>
          <w:sz w:val="20"/>
          <w:szCs w:val="20"/>
          <w:lang w:val="es-UY"/>
        </w:rPr>
        <w:t xml:space="preserve">se hace una referencia al Decreto 899 que, a su vez, incorporó una referencia a normas legales y constitucionales, </w:t>
      </w:r>
      <w:r w:rsidR="00BF51BB" w:rsidRPr="00640517">
        <w:rPr>
          <w:rFonts w:asciiTheme="majorHAnsi" w:hAnsiTheme="majorHAnsi" w:cs="Verdana"/>
          <w:sz w:val="20"/>
          <w:szCs w:val="20"/>
          <w:lang w:val="es-UY"/>
        </w:rPr>
        <w:t>estas normas se relacionan con los requisitos para ser nombrado miembros del TS</w:t>
      </w:r>
      <w:r w:rsidR="00367971" w:rsidRPr="00640517">
        <w:rPr>
          <w:rFonts w:asciiTheme="majorHAnsi" w:hAnsiTheme="majorHAnsi" w:cs="Verdana"/>
          <w:sz w:val="20"/>
          <w:szCs w:val="20"/>
          <w:lang w:val="es-UY"/>
        </w:rPr>
        <w:t xml:space="preserve">E. La Comisión ya se pronunció anteriormente sobre la </w:t>
      </w:r>
      <w:proofErr w:type="spellStart"/>
      <w:r w:rsidR="00367971" w:rsidRPr="00640517">
        <w:rPr>
          <w:rFonts w:asciiTheme="majorHAnsi" w:hAnsiTheme="majorHAnsi" w:cs="Verdana"/>
          <w:sz w:val="20"/>
          <w:szCs w:val="20"/>
          <w:lang w:val="es-UY"/>
        </w:rPr>
        <w:t>inconvencionalidad</w:t>
      </w:r>
      <w:proofErr w:type="spellEnd"/>
      <w:r w:rsidR="00367971" w:rsidRPr="00640517">
        <w:rPr>
          <w:rFonts w:asciiTheme="majorHAnsi" w:hAnsiTheme="majorHAnsi" w:cs="Verdana"/>
          <w:sz w:val="20"/>
          <w:szCs w:val="20"/>
          <w:lang w:val="es-UY"/>
        </w:rPr>
        <w:t xml:space="preserve"> de la aplicación por analogía de los requisitos de nombramiento para el ejercicio de la facultad disciplinaria desde el punto de vista del principio de independencia judicial, aún con mayor razón cuando el nombramiento es esencialmente de carácter político. En ese punto, la Comisión agrega que dicha aplicación analógica resulta también violatoria del principio de legalidad.</w:t>
      </w:r>
      <w:bookmarkEnd w:id="67"/>
      <w:bookmarkEnd w:id="68"/>
      <w:r w:rsidR="00367971" w:rsidRPr="00640517">
        <w:rPr>
          <w:rFonts w:asciiTheme="majorHAnsi" w:hAnsiTheme="majorHAnsi" w:cs="Verdana"/>
          <w:sz w:val="20"/>
          <w:szCs w:val="20"/>
          <w:lang w:val="es-UY"/>
        </w:rPr>
        <w:t xml:space="preserve"> </w:t>
      </w:r>
    </w:p>
    <w:p w14:paraId="0C69375F" w14:textId="77777777" w:rsidR="00367971" w:rsidRPr="00640517" w:rsidRDefault="00367971" w:rsidP="006B1085">
      <w:pPr>
        <w:tabs>
          <w:tab w:val="left" w:pos="1890"/>
          <w:tab w:val="left" w:pos="2250"/>
        </w:tabs>
        <w:jc w:val="both"/>
        <w:outlineLvl w:val="2"/>
        <w:rPr>
          <w:rFonts w:asciiTheme="majorHAnsi" w:hAnsiTheme="majorHAnsi" w:cs="Verdana"/>
          <w:sz w:val="20"/>
          <w:szCs w:val="20"/>
          <w:lang w:val="es-UY"/>
        </w:rPr>
      </w:pPr>
    </w:p>
    <w:p w14:paraId="3B7DEB4A" w14:textId="77777777" w:rsidR="00367971" w:rsidRPr="00640517" w:rsidRDefault="00367971" w:rsidP="00646A40">
      <w:pPr>
        <w:pStyle w:val="ListParagraph"/>
        <w:numPr>
          <w:ilvl w:val="0"/>
          <w:numId w:val="1"/>
        </w:numPr>
        <w:tabs>
          <w:tab w:val="left" w:pos="1890"/>
          <w:tab w:val="left" w:pos="2250"/>
        </w:tabs>
        <w:ind w:left="0" w:firstLine="720"/>
        <w:jc w:val="both"/>
        <w:outlineLvl w:val="2"/>
        <w:rPr>
          <w:rFonts w:asciiTheme="majorHAnsi" w:hAnsiTheme="majorHAnsi" w:cs="Verdana"/>
          <w:sz w:val="20"/>
          <w:szCs w:val="20"/>
          <w:lang w:val="es-UY"/>
        </w:rPr>
      </w:pPr>
      <w:bookmarkStart w:id="69" w:name="_Toc476579048"/>
      <w:bookmarkStart w:id="70" w:name="_Toc484623847"/>
      <w:r w:rsidRPr="00640517">
        <w:rPr>
          <w:rFonts w:asciiTheme="majorHAnsi" w:hAnsiTheme="majorHAnsi" w:cs="Verdana"/>
          <w:sz w:val="20"/>
          <w:szCs w:val="20"/>
          <w:lang w:val="es-UY"/>
        </w:rPr>
        <w:t xml:space="preserve">Esta violación se vio reflejada en las motivaciones abstractas y ambiguas incorporadas </w:t>
      </w:r>
      <w:bookmarkStart w:id="71" w:name="_Toc475517370"/>
      <w:bookmarkEnd w:id="64"/>
      <w:r w:rsidR="00266E44" w:rsidRPr="00640517">
        <w:rPr>
          <w:rFonts w:asciiTheme="majorHAnsi" w:hAnsiTheme="majorHAnsi" w:cs="Verdana"/>
          <w:sz w:val="20"/>
          <w:szCs w:val="20"/>
          <w:lang w:val="es-UY"/>
        </w:rPr>
        <w:t>en el Decreto 899 como atribuibles al señor Colindres</w:t>
      </w:r>
      <w:r w:rsidRPr="00640517">
        <w:rPr>
          <w:rFonts w:asciiTheme="majorHAnsi" w:hAnsiTheme="majorHAnsi" w:cs="Verdana"/>
          <w:sz w:val="20"/>
          <w:szCs w:val="20"/>
          <w:lang w:val="es-UY"/>
        </w:rPr>
        <w:t>, por ejemplo,</w:t>
      </w:r>
      <w:r w:rsidR="00266E44" w:rsidRPr="00640517">
        <w:rPr>
          <w:rFonts w:asciiTheme="majorHAnsi" w:hAnsiTheme="majorHAnsi" w:cs="Verdana"/>
          <w:sz w:val="20"/>
          <w:szCs w:val="20"/>
          <w:lang w:val="es-UY"/>
        </w:rPr>
        <w:t xml:space="preserve"> “causar </w:t>
      </w:r>
      <w:proofErr w:type="spellStart"/>
      <w:r w:rsidR="00266E44" w:rsidRPr="00640517">
        <w:rPr>
          <w:rFonts w:asciiTheme="majorHAnsi" w:hAnsiTheme="majorHAnsi" w:cs="Verdana"/>
          <w:sz w:val="20"/>
          <w:szCs w:val="20"/>
          <w:lang w:val="es-UY"/>
        </w:rPr>
        <w:t>malestrar</w:t>
      </w:r>
      <w:proofErr w:type="spellEnd"/>
      <w:r w:rsidR="00266E44" w:rsidRPr="00640517">
        <w:rPr>
          <w:rFonts w:asciiTheme="majorHAnsi" w:hAnsiTheme="majorHAnsi" w:cs="Verdana"/>
          <w:sz w:val="20"/>
          <w:szCs w:val="20"/>
          <w:lang w:val="es-UY"/>
        </w:rPr>
        <w:t xml:space="preserve"> general”; “obstaculizar la buena marcha”</w:t>
      </w:r>
      <w:r w:rsidR="00872CC9" w:rsidRPr="00640517">
        <w:rPr>
          <w:rFonts w:asciiTheme="majorHAnsi" w:hAnsiTheme="majorHAnsi" w:cs="Verdana"/>
          <w:sz w:val="20"/>
          <w:szCs w:val="20"/>
          <w:lang w:val="es-UY"/>
        </w:rPr>
        <w:t>;</w:t>
      </w:r>
      <w:r w:rsidR="00266E44" w:rsidRPr="00640517">
        <w:rPr>
          <w:rFonts w:asciiTheme="majorHAnsi" w:hAnsiTheme="majorHAnsi" w:cs="Verdana"/>
          <w:sz w:val="20"/>
          <w:szCs w:val="20"/>
          <w:lang w:val="es-UY"/>
        </w:rPr>
        <w:t xml:space="preserve"> “no responder a las necesidades y exigencias de la dinámica administrativa”; la “falta de instrucción notoria y honradez”</w:t>
      </w:r>
      <w:r w:rsidR="00872CC9" w:rsidRPr="00640517">
        <w:rPr>
          <w:rFonts w:asciiTheme="majorHAnsi" w:hAnsiTheme="majorHAnsi" w:cs="Verdana"/>
          <w:sz w:val="20"/>
          <w:szCs w:val="20"/>
          <w:lang w:val="es-UY"/>
        </w:rPr>
        <w:t>;</w:t>
      </w:r>
      <w:r w:rsidR="00F65996" w:rsidRPr="00640517">
        <w:rPr>
          <w:rFonts w:asciiTheme="majorHAnsi" w:hAnsiTheme="majorHAnsi" w:cs="Verdana"/>
          <w:sz w:val="20"/>
          <w:szCs w:val="20"/>
          <w:lang w:val="es-UY"/>
        </w:rPr>
        <w:t xml:space="preserve"> o bien “desacato”</w:t>
      </w:r>
      <w:r w:rsidR="00266E44" w:rsidRPr="00640517">
        <w:rPr>
          <w:rFonts w:asciiTheme="majorHAnsi" w:hAnsiTheme="majorHAnsi" w:cs="Verdana"/>
          <w:sz w:val="20"/>
          <w:szCs w:val="20"/>
          <w:lang w:val="es-UY"/>
        </w:rPr>
        <w:t xml:space="preserve"> que en sí mismas son abstractas y ambiguas, no contaron con sustento normativo </w:t>
      </w:r>
      <w:r w:rsidR="00517330" w:rsidRPr="00640517">
        <w:rPr>
          <w:rFonts w:asciiTheme="majorHAnsi" w:hAnsiTheme="majorHAnsi" w:cs="Verdana"/>
          <w:sz w:val="20"/>
          <w:szCs w:val="20"/>
          <w:lang w:val="es-UY"/>
        </w:rPr>
        <w:t>que las describiera</w:t>
      </w:r>
      <w:r w:rsidR="00EA18AA" w:rsidRPr="00640517">
        <w:rPr>
          <w:rFonts w:asciiTheme="majorHAnsi" w:hAnsiTheme="majorHAnsi" w:cs="Verdana"/>
          <w:sz w:val="20"/>
          <w:szCs w:val="20"/>
          <w:lang w:val="es-UY"/>
        </w:rPr>
        <w:t xml:space="preserve"> como causal disciplinaria</w:t>
      </w:r>
      <w:r w:rsidR="00266E44" w:rsidRPr="00640517">
        <w:rPr>
          <w:rFonts w:asciiTheme="majorHAnsi" w:hAnsiTheme="majorHAnsi" w:cs="Verdana"/>
          <w:sz w:val="20"/>
          <w:szCs w:val="20"/>
          <w:lang w:val="es-UY"/>
        </w:rPr>
        <w:t>.</w:t>
      </w:r>
      <w:bookmarkEnd w:id="69"/>
      <w:bookmarkEnd w:id="70"/>
      <w:r w:rsidR="00DA7472" w:rsidRPr="00640517">
        <w:rPr>
          <w:rFonts w:asciiTheme="majorHAnsi" w:hAnsiTheme="majorHAnsi" w:cs="Verdana"/>
          <w:sz w:val="20"/>
          <w:szCs w:val="20"/>
          <w:lang w:val="es-UY"/>
        </w:rPr>
        <w:t xml:space="preserve"> </w:t>
      </w:r>
    </w:p>
    <w:p w14:paraId="68B83D10" w14:textId="77777777" w:rsidR="00367971" w:rsidRPr="00640517" w:rsidRDefault="00367971" w:rsidP="006B1085">
      <w:pPr>
        <w:tabs>
          <w:tab w:val="left" w:pos="1890"/>
          <w:tab w:val="left" w:pos="2250"/>
        </w:tabs>
        <w:jc w:val="both"/>
        <w:outlineLvl w:val="2"/>
        <w:rPr>
          <w:rFonts w:asciiTheme="majorHAnsi" w:hAnsiTheme="majorHAnsi" w:cs="Verdana"/>
          <w:sz w:val="20"/>
          <w:szCs w:val="20"/>
          <w:lang w:val="es-UY"/>
        </w:rPr>
      </w:pPr>
    </w:p>
    <w:p w14:paraId="7F0B7E14" w14:textId="77777777" w:rsidR="00266E44" w:rsidRPr="00640517" w:rsidRDefault="00266E44" w:rsidP="00646A40">
      <w:pPr>
        <w:pStyle w:val="ListParagraph"/>
        <w:numPr>
          <w:ilvl w:val="0"/>
          <w:numId w:val="1"/>
        </w:numPr>
        <w:tabs>
          <w:tab w:val="left" w:pos="1890"/>
          <w:tab w:val="left" w:pos="2250"/>
        </w:tabs>
        <w:ind w:left="0" w:firstLine="720"/>
        <w:jc w:val="both"/>
        <w:outlineLvl w:val="2"/>
        <w:rPr>
          <w:rFonts w:asciiTheme="majorHAnsi" w:hAnsiTheme="majorHAnsi" w:cs="Verdana"/>
          <w:sz w:val="20"/>
          <w:szCs w:val="20"/>
          <w:lang w:val="es-UY"/>
        </w:rPr>
      </w:pPr>
      <w:bookmarkStart w:id="72" w:name="_Toc476579049"/>
      <w:bookmarkStart w:id="73" w:name="_Toc484623848"/>
      <w:r w:rsidRPr="00640517">
        <w:rPr>
          <w:rFonts w:asciiTheme="majorHAnsi" w:hAnsiTheme="majorHAnsi" w:cs="Verdana"/>
          <w:sz w:val="20"/>
          <w:szCs w:val="20"/>
          <w:lang w:val="es-UY"/>
        </w:rPr>
        <w:lastRenderedPageBreak/>
        <w:t xml:space="preserve">En vista de lo indicado, la Comisión </w:t>
      </w:r>
      <w:r w:rsidRPr="00640517">
        <w:rPr>
          <w:rFonts w:asciiTheme="majorHAnsi" w:hAnsiTheme="majorHAnsi" w:cs="Univers"/>
          <w:sz w:val="20"/>
          <w:szCs w:val="20"/>
          <w:lang w:val="es-CO"/>
        </w:rPr>
        <w:t xml:space="preserve">concluye que el Estado violó </w:t>
      </w:r>
      <w:r w:rsidR="00E91770" w:rsidRPr="00640517">
        <w:rPr>
          <w:rFonts w:asciiTheme="majorHAnsi" w:hAnsiTheme="majorHAnsi" w:cs="Univers"/>
          <w:sz w:val="20"/>
          <w:szCs w:val="20"/>
          <w:lang w:val="es-CO"/>
        </w:rPr>
        <w:t>el deber de motivación y el principio de legalidad establecidos en</w:t>
      </w:r>
      <w:r w:rsidRPr="00640517">
        <w:rPr>
          <w:rFonts w:asciiTheme="majorHAnsi" w:hAnsiTheme="majorHAnsi" w:cs="Univers"/>
          <w:sz w:val="20"/>
          <w:szCs w:val="20"/>
          <w:lang w:val="es-CO"/>
        </w:rPr>
        <w:t xml:space="preserve"> </w:t>
      </w:r>
      <w:r w:rsidR="00E91770" w:rsidRPr="00640517">
        <w:rPr>
          <w:rFonts w:asciiTheme="majorHAnsi" w:hAnsiTheme="majorHAnsi" w:cs="Univers"/>
          <w:sz w:val="20"/>
          <w:szCs w:val="20"/>
          <w:lang w:val="es-CO"/>
        </w:rPr>
        <w:t>los artículos 8.1 y</w:t>
      </w:r>
      <w:r w:rsidRPr="00640517">
        <w:rPr>
          <w:rFonts w:asciiTheme="majorHAnsi" w:hAnsiTheme="majorHAnsi" w:cs="Univers"/>
          <w:sz w:val="20"/>
          <w:szCs w:val="20"/>
          <w:lang w:val="es-CO"/>
        </w:rPr>
        <w:t xml:space="preserve"> 9 de la Convención en relación con</w:t>
      </w:r>
      <w:r w:rsidR="00367971" w:rsidRPr="00640517">
        <w:rPr>
          <w:rFonts w:asciiTheme="majorHAnsi" w:hAnsiTheme="majorHAnsi" w:cs="Univers"/>
          <w:sz w:val="20"/>
          <w:szCs w:val="20"/>
          <w:lang w:val="es-CO"/>
        </w:rPr>
        <w:t xml:space="preserve"> las obligaciones establecidas en</w:t>
      </w:r>
      <w:r w:rsidRPr="00640517">
        <w:rPr>
          <w:rFonts w:asciiTheme="majorHAnsi" w:hAnsiTheme="majorHAnsi" w:cs="Univers"/>
          <w:sz w:val="20"/>
          <w:szCs w:val="20"/>
          <w:lang w:val="es-CO"/>
        </w:rPr>
        <w:t xml:space="preserve"> los artículos 1 y 2 del mismo instrumento</w:t>
      </w:r>
      <w:r w:rsidR="00367971" w:rsidRPr="00640517">
        <w:rPr>
          <w:rFonts w:asciiTheme="majorHAnsi" w:hAnsiTheme="majorHAnsi" w:cs="Univers"/>
          <w:sz w:val="20"/>
          <w:szCs w:val="20"/>
          <w:lang w:val="es-CO"/>
        </w:rPr>
        <w:t>, en perjuicio del señor Colindres.</w:t>
      </w:r>
      <w:bookmarkEnd w:id="63"/>
      <w:bookmarkEnd w:id="71"/>
      <w:bookmarkEnd w:id="72"/>
      <w:bookmarkEnd w:id="73"/>
    </w:p>
    <w:p w14:paraId="76F0BB59" w14:textId="77777777" w:rsidR="009869CC" w:rsidRPr="00640517" w:rsidRDefault="009869CC" w:rsidP="009869CC">
      <w:pPr>
        <w:pStyle w:val="ListParagraph"/>
        <w:rPr>
          <w:rFonts w:asciiTheme="majorHAnsi" w:hAnsiTheme="majorHAnsi" w:cs="Verdana"/>
          <w:sz w:val="20"/>
          <w:szCs w:val="20"/>
          <w:lang w:val="es-UY"/>
        </w:rPr>
      </w:pPr>
    </w:p>
    <w:p w14:paraId="0C504FBA" w14:textId="77777777" w:rsidR="00B42E76" w:rsidRPr="00640517" w:rsidRDefault="00B42E76" w:rsidP="0045657E">
      <w:pPr>
        <w:pStyle w:val="Heading4"/>
      </w:pPr>
      <w:r w:rsidRPr="00640517">
        <w:t>Derecho a ser oído y derecho de defensa</w:t>
      </w:r>
    </w:p>
    <w:p w14:paraId="000F58EF" w14:textId="77777777" w:rsidR="00B42E76" w:rsidRPr="00640517" w:rsidRDefault="00B42E76" w:rsidP="00B42E76">
      <w:pPr>
        <w:pStyle w:val="ListParagraph"/>
        <w:rPr>
          <w:rFonts w:asciiTheme="majorHAnsi" w:hAnsiTheme="majorHAnsi"/>
          <w:bCs/>
          <w:sz w:val="20"/>
          <w:szCs w:val="20"/>
          <w:lang w:val="es-CO"/>
        </w:rPr>
      </w:pPr>
    </w:p>
    <w:bookmarkEnd w:id="59"/>
    <w:p w14:paraId="67D36B70" w14:textId="77777777" w:rsidR="000221F7" w:rsidRPr="00640517" w:rsidRDefault="00B42E76" w:rsidP="00230076">
      <w:pPr>
        <w:numPr>
          <w:ilvl w:val="0"/>
          <w:numId w:val="1"/>
        </w:numPr>
        <w:ind w:left="0" w:firstLine="720"/>
        <w:jc w:val="both"/>
        <w:rPr>
          <w:rFonts w:asciiTheme="majorHAnsi" w:hAnsiTheme="majorHAnsi"/>
          <w:bCs/>
          <w:sz w:val="20"/>
          <w:szCs w:val="20"/>
          <w:lang w:val="es-CO"/>
        </w:rPr>
      </w:pPr>
      <w:r w:rsidRPr="00640517">
        <w:rPr>
          <w:rFonts w:asciiTheme="majorHAnsi" w:hAnsiTheme="majorHAnsi"/>
          <w:sz w:val="20"/>
          <w:szCs w:val="20"/>
          <w:lang w:val="es-CR"/>
        </w:rPr>
        <w:t>E</w:t>
      </w:r>
      <w:r w:rsidR="00380B14" w:rsidRPr="00640517">
        <w:rPr>
          <w:rFonts w:asciiTheme="majorHAnsi" w:hAnsiTheme="majorHAnsi"/>
          <w:sz w:val="20"/>
          <w:szCs w:val="20"/>
          <w:lang w:val="es-CR"/>
        </w:rPr>
        <w:t>l derecho a ser oído</w:t>
      </w:r>
      <w:r w:rsidR="00754968" w:rsidRPr="00640517">
        <w:rPr>
          <w:rFonts w:asciiTheme="majorHAnsi" w:hAnsiTheme="majorHAnsi"/>
          <w:sz w:val="20"/>
          <w:szCs w:val="20"/>
          <w:lang w:val="es-CR"/>
        </w:rPr>
        <w:t xml:space="preserve"> </w:t>
      </w:r>
      <w:r w:rsidR="00CA4306" w:rsidRPr="00640517">
        <w:rPr>
          <w:rFonts w:asciiTheme="majorHAnsi" w:hAnsiTheme="majorHAnsi"/>
          <w:sz w:val="20"/>
          <w:szCs w:val="20"/>
          <w:lang w:val="es-CR"/>
        </w:rPr>
        <w:t>(artículo 8.1</w:t>
      </w:r>
      <w:r w:rsidR="005D752C" w:rsidRPr="00640517">
        <w:rPr>
          <w:rFonts w:asciiTheme="majorHAnsi" w:hAnsiTheme="majorHAnsi"/>
          <w:sz w:val="20"/>
          <w:szCs w:val="20"/>
          <w:lang w:val="es-CR"/>
        </w:rPr>
        <w:t xml:space="preserve"> de la Convención</w:t>
      </w:r>
      <w:r w:rsidR="00CA4306" w:rsidRPr="00640517">
        <w:rPr>
          <w:rFonts w:asciiTheme="majorHAnsi" w:hAnsiTheme="majorHAnsi"/>
          <w:sz w:val="20"/>
          <w:szCs w:val="20"/>
          <w:lang w:val="es-CR"/>
        </w:rPr>
        <w:t xml:space="preserve">) </w:t>
      </w:r>
      <w:r w:rsidR="00380B14" w:rsidRPr="00640517">
        <w:rPr>
          <w:rFonts w:asciiTheme="majorHAnsi" w:hAnsiTheme="majorHAnsi"/>
          <w:sz w:val="20"/>
          <w:szCs w:val="20"/>
          <w:lang w:val="es-CR"/>
        </w:rPr>
        <w:t>comprende el derecho de toda persona a tener acceso al tribunal u órgano estatal encargado de determinar sus derechos y obligaciones</w:t>
      </w:r>
      <w:r w:rsidR="00380B14" w:rsidRPr="00640517">
        <w:rPr>
          <w:rStyle w:val="FootnoteReference"/>
          <w:rFonts w:asciiTheme="majorHAnsi" w:hAnsiTheme="majorHAnsi"/>
          <w:sz w:val="20"/>
          <w:szCs w:val="20"/>
          <w:lang w:val="es-CR"/>
        </w:rPr>
        <w:footnoteReference w:id="101"/>
      </w:r>
      <w:r w:rsidR="00380B14" w:rsidRPr="00640517">
        <w:rPr>
          <w:rFonts w:asciiTheme="majorHAnsi" w:hAnsiTheme="majorHAnsi"/>
          <w:sz w:val="20"/>
          <w:szCs w:val="20"/>
          <w:lang w:val="es-CR"/>
        </w:rPr>
        <w:t xml:space="preserve">. </w:t>
      </w:r>
      <w:r w:rsidR="00CA4306" w:rsidRPr="00640517">
        <w:rPr>
          <w:rFonts w:asciiTheme="majorHAnsi" w:hAnsiTheme="majorHAnsi"/>
          <w:sz w:val="20"/>
          <w:szCs w:val="20"/>
          <w:lang w:val="es-CR"/>
        </w:rPr>
        <w:t>Por su parte el derecho de defensa incluye la obligaci</w:t>
      </w:r>
      <w:r w:rsidR="005D752C" w:rsidRPr="00640517">
        <w:rPr>
          <w:rFonts w:asciiTheme="majorHAnsi" w:hAnsiTheme="majorHAnsi"/>
          <w:sz w:val="20"/>
          <w:szCs w:val="20"/>
          <w:lang w:val="es-CR"/>
        </w:rPr>
        <w:t>ón</w:t>
      </w:r>
      <w:r w:rsidR="00CA4306" w:rsidRPr="00640517">
        <w:rPr>
          <w:rFonts w:asciiTheme="majorHAnsi" w:hAnsiTheme="majorHAnsi"/>
          <w:sz w:val="20"/>
          <w:szCs w:val="20"/>
          <w:lang w:val="es-CR"/>
        </w:rPr>
        <w:t xml:space="preserve"> de comuni</w:t>
      </w:r>
      <w:r w:rsidR="005D752C" w:rsidRPr="00640517">
        <w:rPr>
          <w:rFonts w:asciiTheme="majorHAnsi" w:hAnsiTheme="majorHAnsi"/>
          <w:sz w:val="20"/>
          <w:szCs w:val="20"/>
          <w:lang w:val="es-CR"/>
        </w:rPr>
        <w:t>c</w:t>
      </w:r>
      <w:r w:rsidR="00CA4306" w:rsidRPr="00640517">
        <w:rPr>
          <w:rFonts w:asciiTheme="majorHAnsi" w:hAnsiTheme="majorHAnsi"/>
          <w:sz w:val="20"/>
          <w:szCs w:val="20"/>
          <w:lang w:val="es-CR"/>
        </w:rPr>
        <w:t>ar previa y detalladamente la acusación formulada (</w:t>
      </w:r>
      <w:r w:rsidR="005D752C" w:rsidRPr="00640517">
        <w:rPr>
          <w:rFonts w:asciiTheme="majorHAnsi" w:hAnsiTheme="majorHAnsi"/>
          <w:sz w:val="20"/>
          <w:szCs w:val="20"/>
          <w:lang w:val="es-CR"/>
        </w:rPr>
        <w:t xml:space="preserve">artículo </w:t>
      </w:r>
      <w:r w:rsidR="00CA4306" w:rsidRPr="00640517">
        <w:rPr>
          <w:rFonts w:asciiTheme="majorHAnsi" w:hAnsiTheme="majorHAnsi"/>
          <w:sz w:val="20"/>
          <w:szCs w:val="20"/>
          <w:lang w:val="es-CR"/>
        </w:rPr>
        <w:t>8.2 b</w:t>
      </w:r>
      <w:r w:rsidR="003572F8">
        <w:rPr>
          <w:rFonts w:asciiTheme="majorHAnsi" w:hAnsiTheme="majorHAnsi"/>
          <w:sz w:val="20"/>
          <w:szCs w:val="20"/>
          <w:lang w:val="es-CR"/>
        </w:rPr>
        <w:t xml:space="preserve"> </w:t>
      </w:r>
      <w:r w:rsidR="005D752C" w:rsidRPr="00640517">
        <w:rPr>
          <w:rFonts w:asciiTheme="majorHAnsi" w:hAnsiTheme="majorHAnsi"/>
          <w:sz w:val="20"/>
          <w:szCs w:val="20"/>
          <w:lang w:val="es-CR"/>
        </w:rPr>
        <w:t>de la Convención</w:t>
      </w:r>
      <w:r w:rsidR="00CA4306" w:rsidRPr="00640517">
        <w:rPr>
          <w:rFonts w:asciiTheme="majorHAnsi" w:hAnsiTheme="majorHAnsi"/>
          <w:sz w:val="20"/>
          <w:szCs w:val="20"/>
          <w:lang w:val="es-CR"/>
        </w:rPr>
        <w:t xml:space="preserve">), así como la concesión a la persona acusada del tiempo y medios adecuados para </w:t>
      </w:r>
      <w:r w:rsidR="005D752C" w:rsidRPr="00640517">
        <w:rPr>
          <w:rFonts w:asciiTheme="majorHAnsi" w:hAnsiTheme="majorHAnsi"/>
          <w:sz w:val="20"/>
          <w:szCs w:val="20"/>
          <w:lang w:val="es-CR"/>
        </w:rPr>
        <w:t xml:space="preserve">preparar </w:t>
      </w:r>
      <w:r w:rsidR="00CA4306" w:rsidRPr="00640517">
        <w:rPr>
          <w:rFonts w:asciiTheme="majorHAnsi" w:hAnsiTheme="majorHAnsi"/>
          <w:sz w:val="20"/>
          <w:szCs w:val="20"/>
          <w:lang w:val="es-CR"/>
        </w:rPr>
        <w:t>su defensa (</w:t>
      </w:r>
      <w:r w:rsidR="005D752C" w:rsidRPr="00640517">
        <w:rPr>
          <w:rFonts w:asciiTheme="majorHAnsi" w:hAnsiTheme="majorHAnsi"/>
          <w:sz w:val="20"/>
          <w:szCs w:val="20"/>
          <w:lang w:val="es-CR"/>
        </w:rPr>
        <w:t xml:space="preserve">artículo </w:t>
      </w:r>
      <w:r w:rsidR="00CA4306" w:rsidRPr="00640517">
        <w:rPr>
          <w:rFonts w:asciiTheme="majorHAnsi" w:hAnsiTheme="majorHAnsi"/>
          <w:sz w:val="20"/>
          <w:szCs w:val="20"/>
          <w:lang w:val="es-CR"/>
        </w:rPr>
        <w:t>8.2</w:t>
      </w:r>
      <w:r w:rsidR="00B051BA" w:rsidRPr="00640517">
        <w:rPr>
          <w:rFonts w:asciiTheme="majorHAnsi" w:hAnsiTheme="majorHAnsi"/>
          <w:sz w:val="20"/>
          <w:szCs w:val="20"/>
          <w:lang w:val="es-CR"/>
        </w:rPr>
        <w:t xml:space="preserve"> </w:t>
      </w:r>
      <w:r w:rsidR="00CA4306" w:rsidRPr="00640517">
        <w:rPr>
          <w:rFonts w:asciiTheme="majorHAnsi" w:hAnsiTheme="majorHAnsi"/>
          <w:sz w:val="20"/>
          <w:szCs w:val="20"/>
          <w:lang w:val="es-CR"/>
        </w:rPr>
        <w:t>c</w:t>
      </w:r>
      <w:r w:rsidR="005D752C" w:rsidRPr="00640517">
        <w:rPr>
          <w:rFonts w:asciiTheme="majorHAnsi" w:hAnsiTheme="majorHAnsi"/>
          <w:sz w:val="20"/>
          <w:szCs w:val="20"/>
          <w:lang w:val="es-CR"/>
        </w:rPr>
        <w:t xml:space="preserve"> de la Convención</w:t>
      </w:r>
      <w:r w:rsidR="00CA4306" w:rsidRPr="00640517">
        <w:rPr>
          <w:rFonts w:asciiTheme="majorHAnsi" w:hAnsiTheme="majorHAnsi"/>
          <w:sz w:val="20"/>
          <w:szCs w:val="20"/>
          <w:lang w:val="es-CR"/>
        </w:rPr>
        <w:t xml:space="preserve">). </w:t>
      </w:r>
      <w:r w:rsidR="006021C6" w:rsidRPr="00640517">
        <w:rPr>
          <w:rFonts w:asciiTheme="majorHAnsi" w:hAnsiTheme="majorHAnsi"/>
          <w:sz w:val="20"/>
          <w:szCs w:val="20"/>
          <w:lang w:val="es-CR"/>
        </w:rPr>
        <w:t>Ambos derechos -</w:t>
      </w:r>
      <w:r w:rsidR="00CA4306" w:rsidRPr="00640517">
        <w:rPr>
          <w:rFonts w:asciiTheme="majorHAnsi" w:hAnsiTheme="majorHAnsi"/>
          <w:sz w:val="20"/>
          <w:szCs w:val="20"/>
          <w:lang w:val="es-CR"/>
        </w:rPr>
        <w:t xml:space="preserve">ser oído </w:t>
      </w:r>
      <w:r w:rsidR="006021C6" w:rsidRPr="00640517">
        <w:rPr>
          <w:rFonts w:asciiTheme="majorHAnsi" w:hAnsiTheme="majorHAnsi"/>
          <w:sz w:val="20"/>
          <w:szCs w:val="20"/>
          <w:lang w:val="es-CR"/>
        </w:rPr>
        <w:t>y</w:t>
      </w:r>
      <w:r w:rsidR="0019637B" w:rsidRPr="00640517">
        <w:rPr>
          <w:rFonts w:asciiTheme="majorHAnsi" w:hAnsiTheme="majorHAnsi"/>
          <w:sz w:val="20"/>
          <w:szCs w:val="20"/>
          <w:lang w:val="es-CR"/>
        </w:rPr>
        <w:t xml:space="preserve"> </w:t>
      </w:r>
      <w:r w:rsidR="00CA4306" w:rsidRPr="00640517">
        <w:rPr>
          <w:rFonts w:asciiTheme="majorHAnsi" w:hAnsiTheme="majorHAnsi"/>
          <w:sz w:val="20"/>
          <w:szCs w:val="20"/>
          <w:lang w:val="es-CR"/>
        </w:rPr>
        <w:t>defensa</w:t>
      </w:r>
      <w:r w:rsidR="006021C6" w:rsidRPr="00640517">
        <w:rPr>
          <w:rFonts w:asciiTheme="majorHAnsi" w:hAnsiTheme="majorHAnsi"/>
          <w:sz w:val="20"/>
          <w:szCs w:val="20"/>
          <w:lang w:val="es-CR"/>
        </w:rPr>
        <w:t>- guardan relación entre sí</w:t>
      </w:r>
      <w:r w:rsidR="006C02A4" w:rsidRPr="00640517">
        <w:rPr>
          <w:rFonts w:asciiTheme="majorHAnsi" w:hAnsiTheme="majorHAnsi"/>
          <w:sz w:val="20"/>
          <w:szCs w:val="20"/>
          <w:lang w:val="es-CR"/>
        </w:rPr>
        <w:t>,</w:t>
      </w:r>
      <w:r w:rsidR="0073066E" w:rsidRPr="00640517">
        <w:rPr>
          <w:rFonts w:asciiTheme="majorHAnsi" w:hAnsiTheme="majorHAnsi"/>
          <w:sz w:val="20"/>
          <w:szCs w:val="20"/>
          <w:lang w:val="es-CR"/>
        </w:rPr>
        <w:t xml:space="preserve"> puesto que “oí</w:t>
      </w:r>
      <w:r w:rsidR="002E3C91" w:rsidRPr="00640517">
        <w:rPr>
          <w:rFonts w:asciiTheme="majorHAnsi" w:hAnsiTheme="majorHAnsi"/>
          <w:sz w:val="20"/>
          <w:szCs w:val="20"/>
          <w:lang w:val="es-CR"/>
        </w:rPr>
        <w:t>r a una persona investigada implica permitir que se defienda con propiedad”</w:t>
      </w:r>
      <w:r w:rsidR="002E3C91" w:rsidRPr="00640517">
        <w:rPr>
          <w:rStyle w:val="FootnoteReference"/>
          <w:rFonts w:asciiTheme="majorHAnsi" w:hAnsiTheme="majorHAnsi"/>
          <w:sz w:val="20"/>
          <w:szCs w:val="20"/>
          <w:lang w:val="es-CR"/>
        </w:rPr>
        <w:footnoteReference w:id="102"/>
      </w:r>
      <w:r w:rsidR="002E3C91" w:rsidRPr="00640517">
        <w:rPr>
          <w:rFonts w:asciiTheme="majorHAnsi" w:hAnsiTheme="majorHAnsi"/>
          <w:sz w:val="20"/>
          <w:szCs w:val="20"/>
          <w:lang w:val="es-CR"/>
        </w:rPr>
        <w:t>.</w:t>
      </w:r>
      <w:r w:rsidR="00DA7472" w:rsidRPr="00640517">
        <w:rPr>
          <w:rFonts w:asciiTheme="majorHAnsi" w:hAnsiTheme="majorHAnsi"/>
          <w:bCs/>
          <w:sz w:val="20"/>
          <w:szCs w:val="20"/>
          <w:lang w:val="es-CO"/>
        </w:rPr>
        <w:t xml:space="preserve"> </w:t>
      </w:r>
      <w:r w:rsidR="006C02A4" w:rsidRPr="00640517">
        <w:rPr>
          <w:rFonts w:asciiTheme="majorHAnsi" w:hAnsiTheme="majorHAnsi" w:cs="Verdana"/>
          <w:sz w:val="20"/>
          <w:szCs w:val="20"/>
          <w:lang w:val="es-UY"/>
        </w:rPr>
        <w:t xml:space="preserve">El derecho a ser </w:t>
      </w:r>
      <w:proofErr w:type="spellStart"/>
      <w:r w:rsidR="006C02A4" w:rsidRPr="00640517">
        <w:rPr>
          <w:rFonts w:asciiTheme="majorHAnsi" w:hAnsiTheme="majorHAnsi" w:cs="Verdana"/>
          <w:sz w:val="20"/>
          <w:szCs w:val="20"/>
          <w:lang w:val="es-UY"/>
        </w:rPr>
        <w:t>óído</w:t>
      </w:r>
      <w:proofErr w:type="spellEnd"/>
      <w:r w:rsidR="006C02A4" w:rsidRPr="00640517">
        <w:rPr>
          <w:rFonts w:asciiTheme="majorHAnsi" w:hAnsiTheme="majorHAnsi" w:cs="Verdana"/>
          <w:sz w:val="20"/>
          <w:szCs w:val="20"/>
          <w:lang w:val="es-UY"/>
        </w:rPr>
        <w:t xml:space="preserve"> no necesariamente implica que sea ejercido de manera oral y puede ser sustanciado de manera escrita</w:t>
      </w:r>
      <w:r w:rsidR="006C02A4" w:rsidRPr="00640517">
        <w:rPr>
          <w:rStyle w:val="FootnoteReference"/>
          <w:rFonts w:asciiTheme="majorHAnsi" w:hAnsiTheme="majorHAnsi" w:cs="Verdana"/>
          <w:sz w:val="20"/>
          <w:szCs w:val="20"/>
          <w:lang w:val="es-UY"/>
        </w:rPr>
        <w:footnoteReference w:id="103"/>
      </w:r>
      <w:r w:rsidR="006C02A4" w:rsidRPr="00640517">
        <w:rPr>
          <w:rFonts w:asciiTheme="majorHAnsi" w:hAnsiTheme="majorHAnsi" w:cs="Verdana"/>
          <w:sz w:val="20"/>
          <w:szCs w:val="20"/>
          <w:lang w:val="es-UY"/>
        </w:rPr>
        <w:t>.</w:t>
      </w:r>
      <w:r w:rsidR="00CA4306" w:rsidRPr="00640517">
        <w:rPr>
          <w:rFonts w:asciiTheme="majorHAnsi" w:hAnsiTheme="majorHAnsi" w:cs="Verdana"/>
          <w:sz w:val="20"/>
          <w:szCs w:val="20"/>
          <w:lang w:val="es-UY"/>
        </w:rPr>
        <w:t xml:space="preserve"> </w:t>
      </w:r>
      <w:r w:rsidR="00754968" w:rsidRPr="00640517">
        <w:rPr>
          <w:rFonts w:asciiTheme="majorHAnsi" w:hAnsiTheme="majorHAnsi"/>
          <w:sz w:val="20"/>
          <w:szCs w:val="20"/>
          <w:lang w:val="es-ES_tradnl"/>
        </w:rPr>
        <w:t>L</w:t>
      </w:r>
      <w:r w:rsidR="000221F7" w:rsidRPr="00640517">
        <w:rPr>
          <w:rFonts w:asciiTheme="majorHAnsi" w:hAnsiTheme="majorHAnsi"/>
          <w:sz w:val="20"/>
          <w:szCs w:val="20"/>
          <w:lang w:val="es-UY"/>
        </w:rPr>
        <w:t>a a</w:t>
      </w:r>
      <w:r w:rsidR="007677C9" w:rsidRPr="00640517">
        <w:rPr>
          <w:rFonts w:asciiTheme="majorHAnsi" w:hAnsiTheme="majorHAnsi"/>
          <w:sz w:val="20"/>
          <w:szCs w:val="20"/>
          <w:lang w:val="es-UY"/>
        </w:rPr>
        <w:t xml:space="preserve">utoridad a cargo del proceso </w:t>
      </w:r>
      <w:r w:rsidR="000221F7" w:rsidRPr="00640517">
        <w:rPr>
          <w:rFonts w:asciiTheme="majorHAnsi" w:hAnsiTheme="majorHAnsi"/>
          <w:sz w:val="20"/>
          <w:szCs w:val="20"/>
          <w:lang w:val="es-UY"/>
        </w:rPr>
        <w:t>disciplinario debe conducirse conforme el procedimiento establecido para el efecto y permitir el ejercicio del derecho de defensa</w:t>
      </w:r>
      <w:r w:rsidR="000221F7" w:rsidRPr="00640517">
        <w:rPr>
          <w:rStyle w:val="FootnoteReference"/>
          <w:rFonts w:asciiTheme="majorHAnsi" w:hAnsiTheme="majorHAnsi"/>
          <w:sz w:val="20"/>
          <w:szCs w:val="20"/>
        </w:rPr>
        <w:footnoteReference w:id="104"/>
      </w:r>
      <w:r w:rsidR="000221F7" w:rsidRPr="00640517">
        <w:rPr>
          <w:rFonts w:asciiTheme="majorHAnsi" w:hAnsiTheme="majorHAnsi"/>
          <w:sz w:val="20"/>
          <w:szCs w:val="20"/>
          <w:lang w:val="es-UY"/>
        </w:rPr>
        <w:t>.</w:t>
      </w:r>
      <w:r w:rsidR="000221F7" w:rsidRPr="00640517">
        <w:rPr>
          <w:rFonts w:asciiTheme="majorHAnsi" w:hAnsiTheme="majorHAnsi"/>
          <w:sz w:val="20"/>
          <w:szCs w:val="20"/>
          <w:lang w:val="es-AR"/>
        </w:rPr>
        <w:t xml:space="preserve"> </w:t>
      </w:r>
      <w:r w:rsidR="006C02A4" w:rsidRPr="00640517">
        <w:rPr>
          <w:rFonts w:asciiTheme="majorHAnsi" w:hAnsiTheme="majorHAnsi"/>
          <w:sz w:val="20"/>
          <w:szCs w:val="20"/>
          <w:lang w:val="es-UY"/>
        </w:rPr>
        <w:t>E</w:t>
      </w:r>
      <w:r w:rsidR="00DA7472" w:rsidRPr="00640517">
        <w:rPr>
          <w:rFonts w:asciiTheme="majorHAnsi" w:hAnsiTheme="majorHAnsi"/>
          <w:sz w:val="20"/>
          <w:szCs w:val="20"/>
          <w:lang w:val="es-UY"/>
        </w:rPr>
        <w:t xml:space="preserve">ste derecho </w:t>
      </w:r>
      <w:r w:rsidR="006C02A4" w:rsidRPr="00640517">
        <w:rPr>
          <w:rFonts w:asciiTheme="majorHAnsi" w:hAnsiTheme="majorHAnsi"/>
          <w:sz w:val="20"/>
          <w:szCs w:val="20"/>
          <w:lang w:val="es-UY"/>
        </w:rPr>
        <w:t>resulta afectado</w:t>
      </w:r>
      <w:r w:rsidR="00754968" w:rsidRPr="00640517">
        <w:rPr>
          <w:rFonts w:asciiTheme="majorHAnsi" w:hAnsiTheme="majorHAnsi"/>
          <w:sz w:val="20"/>
          <w:szCs w:val="20"/>
          <w:lang w:val="es-UY"/>
        </w:rPr>
        <w:t xml:space="preserve">, por ejemplo, </w:t>
      </w:r>
      <w:r w:rsidR="00DA7472" w:rsidRPr="00640517">
        <w:rPr>
          <w:rFonts w:asciiTheme="majorHAnsi" w:hAnsiTheme="majorHAnsi"/>
          <w:sz w:val="20"/>
          <w:szCs w:val="20"/>
          <w:lang w:val="es-UY"/>
        </w:rPr>
        <w:t xml:space="preserve">cuando </w:t>
      </w:r>
      <w:r w:rsidR="000221F7" w:rsidRPr="00640517">
        <w:rPr>
          <w:rFonts w:asciiTheme="majorHAnsi" w:hAnsiTheme="majorHAnsi"/>
          <w:sz w:val="20"/>
          <w:szCs w:val="20"/>
          <w:lang w:val="es-UY"/>
        </w:rPr>
        <w:t>la duración d</w:t>
      </w:r>
      <w:r w:rsidR="000221F7" w:rsidRPr="00640517">
        <w:rPr>
          <w:rFonts w:asciiTheme="majorHAnsi" w:hAnsiTheme="majorHAnsi" w:cs="Times"/>
          <w:sz w:val="20"/>
          <w:szCs w:val="20"/>
          <w:lang w:val="es-ES_tradnl"/>
        </w:rPr>
        <w:t>e</w:t>
      </w:r>
      <w:r w:rsidR="000221F7" w:rsidRPr="00640517">
        <w:rPr>
          <w:rFonts w:asciiTheme="majorHAnsi" w:hAnsiTheme="majorHAnsi"/>
          <w:sz w:val="20"/>
          <w:szCs w:val="20"/>
          <w:lang w:val="es-UY"/>
        </w:rPr>
        <w:t xml:space="preserve">l plazo otorgado para ejercer la defensa </w:t>
      </w:r>
      <w:r w:rsidR="00DA7472" w:rsidRPr="00640517">
        <w:rPr>
          <w:rFonts w:asciiTheme="majorHAnsi" w:hAnsiTheme="majorHAnsi"/>
          <w:sz w:val="20"/>
          <w:szCs w:val="20"/>
          <w:lang w:val="es-UY"/>
        </w:rPr>
        <w:t xml:space="preserve">no </w:t>
      </w:r>
      <w:r w:rsidR="006C02A4" w:rsidRPr="00640517">
        <w:rPr>
          <w:rFonts w:asciiTheme="majorHAnsi" w:hAnsiTheme="majorHAnsi"/>
          <w:sz w:val="20"/>
          <w:szCs w:val="20"/>
          <w:lang w:val="es-UY"/>
        </w:rPr>
        <w:t xml:space="preserve">es adecuado </w:t>
      </w:r>
      <w:r w:rsidR="000221F7" w:rsidRPr="00640517">
        <w:rPr>
          <w:rFonts w:asciiTheme="majorHAnsi" w:hAnsiTheme="majorHAnsi"/>
          <w:sz w:val="20"/>
          <w:szCs w:val="20"/>
          <w:lang w:val="es-UY"/>
        </w:rPr>
        <w:t>considerando el examen de la causa y el acervo probatorio</w:t>
      </w:r>
      <w:r w:rsidR="000221F7" w:rsidRPr="00640517">
        <w:rPr>
          <w:rStyle w:val="FootnoteReference"/>
          <w:rFonts w:asciiTheme="majorHAnsi" w:hAnsiTheme="majorHAnsi"/>
          <w:sz w:val="20"/>
          <w:szCs w:val="20"/>
          <w:lang w:val="es-ES_tradnl"/>
        </w:rPr>
        <w:footnoteReference w:id="105"/>
      </w:r>
      <w:r w:rsidR="000221F7" w:rsidRPr="00640517">
        <w:rPr>
          <w:rFonts w:asciiTheme="majorHAnsi" w:hAnsiTheme="majorHAnsi"/>
          <w:sz w:val="20"/>
          <w:szCs w:val="20"/>
          <w:lang w:val="es-UY"/>
        </w:rPr>
        <w:t xml:space="preserve">. </w:t>
      </w:r>
    </w:p>
    <w:p w14:paraId="34CDA4BF" w14:textId="77777777" w:rsidR="000221F7" w:rsidRPr="00640517" w:rsidRDefault="000221F7" w:rsidP="00AB69BB">
      <w:pPr>
        <w:tabs>
          <w:tab w:val="num" w:pos="1440"/>
        </w:tabs>
        <w:ind w:firstLine="720"/>
        <w:jc w:val="both"/>
        <w:rPr>
          <w:rFonts w:asciiTheme="majorHAnsi" w:hAnsiTheme="majorHAnsi" w:cs="Verdana"/>
          <w:sz w:val="20"/>
          <w:szCs w:val="20"/>
          <w:lang w:val="es-UY"/>
        </w:rPr>
      </w:pPr>
    </w:p>
    <w:p w14:paraId="5035FA91" w14:textId="77777777" w:rsidR="000C1FF3" w:rsidRPr="00640517" w:rsidRDefault="000221F7" w:rsidP="00024E85">
      <w:pPr>
        <w:numPr>
          <w:ilvl w:val="0"/>
          <w:numId w:val="1"/>
        </w:numPr>
        <w:ind w:left="0" w:firstLine="720"/>
        <w:jc w:val="both"/>
        <w:rPr>
          <w:rFonts w:asciiTheme="majorHAnsi" w:hAnsiTheme="majorHAnsi" w:cs="Verdana"/>
          <w:sz w:val="20"/>
          <w:szCs w:val="20"/>
          <w:lang w:val="es-UY"/>
        </w:rPr>
      </w:pPr>
      <w:r w:rsidRPr="00640517">
        <w:rPr>
          <w:rFonts w:asciiTheme="majorHAnsi" w:hAnsiTheme="majorHAnsi" w:cs="Verdana"/>
          <w:sz w:val="20"/>
          <w:szCs w:val="20"/>
          <w:lang w:val="es-UY"/>
        </w:rPr>
        <w:t>En</w:t>
      </w:r>
      <w:r w:rsidR="001429B5" w:rsidRPr="00640517">
        <w:rPr>
          <w:rFonts w:asciiTheme="majorHAnsi" w:hAnsiTheme="majorHAnsi" w:cs="Verdana"/>
          <w:sz w:val="20"/>
          <w:szCs w:val="20"/>
          <w:lang w:val="es-UY"/>
        </w:rPr>
        <w:t xml:space="preserve"> el presente caso, </w:t>
      </w:r>
      <w:r w:rsidR="00B051BA" w:rsidRPr="00640517">
        <w:rPr>
          <w:rFonts w:asciiTheme="majorHAnsi" w:hAnsiTheme="majorHAnsi" w:cs="Verdana"/>
          <w:sz w:val="20"/>
          <w:szCs w:val="20"/>
          <w:lang w:val="es-UY"/>
        </w:rPr>
        <w:t xml:space="preserve">la Comisión ya concluyó que </w:t>
      </w:r>
      <w:r w:rsidR="00DF563F" w:rsidRPr="00640517">
        <w:rPr>
          <w:rFonts w:asciiTheme="majorHAnsi" w:hAnsiTheme="majorHAnsi" w:cs="Verdana"/>
          <w:sz w:val="20"/>
          <w:szCs w:val="20"/>
          <w:lang w:val="es-UY"/>
        </w:rPr>
        <w:t xml:space="preserve">la ausencia de un marco normativo generó incertidumbre sobre las causales disciplinarias y el </w:t>
      </w:r>
      <w:r w:rsidR="00B15A9B" w:rsidRPr="00640517">
        <w:rPr>
          <w:rFonts w:asciiTheme="majorHAnsi" w:hAnsiTheme="majorHAnsi" w:cs="Verdana"/>
          <w:sz w:val="20"/>
          <w:szCs w:val="20"/>
          <w:lang w:val="es-UY"/>
        </w:rPr>
        <w:t>procedimiento aplicable</w:t>
      </w:r>
      <w:r w:rsidR="00DF563F" w:rsidRPr="00640517">
        <w:rPr>
          <w:rFonts w:asciiTheme="majorHAnsi" w:hAnsiTheme="majorHAnsi" w:cs="Verdana"/>
          <w:sz w:val="20"/>
          <w:szCs w:val="20"/>
          <w:lang w:val="es-UY"/>
        </w:rPr>
        <w:t xml:space="preserve">. </w:t>
      </w:r>
      <w:r w:rsidR="007D2668" w:rsidRPr="00640517">
        <w:rPr>
          <w:rFonts w:asciiTheme="majorHAnsi" w:hAnsiTheme="majorHAnsi" w:cs="Verdana"/>
          <w:sz w:val="20"/>
          <w:szCs w:val="20"/>
          <w:lang w:val="es-UY"/>
        </w:rPr>
        <w:t xml:space="preserve">Asimismo, la </w:t>
      </w:r>
      <w:r w:rsidR="00DF563F" w:rsidRPr="00640517">
        <w:rPr>
          <w:rFonts w:asciiTheme="majorHAnsi" w:hAnsiTheme="majorHAnsi" w:cs="Verdana"/>
          <w:sz w:val="20"/>
          <w:szCs w:val="20"/>
          <w:lang w:val="es-UY"/>
        </w:rPr>
        <w:t xml:space="preserve">Comisión Especial </w:t>
      </w:r>
      <w:r w:rsidR="007D2668" w:rsidRPr="00640517">
        <w:rPr>
          <w:rFonts w:asciiTheme="majorHAnsi" w:hAnsiTheme="majorHAnsi" w:cs="Verdana"/>
          <w:sz w:val="20"/>
          <w:szCs w:val="20"/>
          <w:lang w:val="es-UY"/>
        </w:rPr>
        <w:t xml:space="preserve">creada para </w:t>
      </w:r>
      <w:r w:rsidR="00DF563F" w:rsidRPr="00640517">
        <w:rPr>
          <w:rFonts w:asciiTheme="majorHAnsi" w:hAnsiTheme="majorHAnsi" w:cs="Verdana"/>
          <w:sz w:val="20"/>
          <w:szCs w:val="20"/>
          <w:lang w:val="es-UY"/>
        </w:rPr>
        <w:t>garantizar el derecho a ser oído</w:t>
      </w:r>
      <w:r w:rsidR="007D2668" w:rsidRPr="00640517">
        <w:rPr>
          <w:rFonts w:asciiTheme="majorHAnsi" w:hAnsiTheme="majorHAnsi" w:cs="Verdana"/>
          <w:sz w:val="20"/>
          <w:szCs w:val="20"/>
          <w:lang w:val="es-UY"/>
        </w:rPr>
        <w:t xml:space="preserve"> no se encuentra expresamente mencionada entre el tipo de comisiones que de acuerdo a la Constitución podría crear la Asamblea Legislativa</w:t>
      </w:r>
      <w:r w:rsidR="007849C8" w:rsidRPr="00640517">
        <w:rPr>
          <w:rStyle w:val="FootnoteReference"/>
          <w:rFonts w:asciiTheme="majorHAnsi" w:hAnsiTheme="majorHAnsi" w:cs="Verdana"/>
          <w:sz w:val="20"/>
          <w:szCs w:val="20"/>
          <w:lang w:val="es-UY"/>
        </w:rPr>
        <w:footnoteReference w:id="106"/>
      </w:r>
      <w:r w:rsidR="007D2668" w:rsidRPr="00640517">
        <w:rPr>
          <w:rFonts w:asciiTheme="majorHAnsi" w:hAnsiTheme="majorHAnsi" w:cs="Verdana"/>
          <w:sz w:val="20"/>
          <w:szCs w:val="20"/>
          <w:lang w:val="es-UY"/>
        </w:rPr>
        <w:t>. Todo esto</w:t>
      </w:r>
      <w:r w:rsidR="00B051BA" w:rsidRPr="00640517">
        <w:rPr>
          <w:rFonts w:asciiTheme="majorHAnsi" w:hAnsiTheme="majorHAnsi" w:cs="Verdana"/>
          <w:sz w:val="20"/>
          <w:szCs w:val="20"/>
          <w:lang w:val="es-UY"/>
        </w:rPr>
        <w:t>,</w:t>
      </w:r>
      <w:r w:rsidR="007D2668" w:rsidRPr="00640517">
        <w:rPr>
          <w:rFonts w:asciiTheme="majorHAnsi" w:hAnsiTheme="majorHAnsi" w:cs="Verdana"/>
          <w:sz w:val="20"/>
          <w:szCs w:val="20"/>
          <w:lang w:val="es-UY"/>
        </w:rPr>
        <w:t xml:space="preserve"> a juicio de la Comisión, </w:t>
      </w:r>
      <w:r w:rsidR="00B051BA" w:rsidRPr="00640517">
        <w:rPr>
          <w:rFonts w:asciiTheme="majorHAnsi" w:hAnsiTheme="majorHAnsi" w:cs="Verdana"/>
          <w:sz w:val="20"/>
          <w:szCs w:val="20"/>
          <w:lang w:val="es-UY"/>
        </w:rPr>
        <w:t xml:space="preserve">además de las violaciones ya declaradas, </w:t>
      </w:r>
      <w:r w:rsidR="007D2668" w:rsidRPr="00640517">
        <w:rPr>
          <w:rFonts w:asciiTheme="majorHAnsi" w:hAnsiTheme="majorHAnsi" w:cs="Verdana"/>
          <w:sz w:val="20"/>
          <w:szCs w:val="20"/>
          <w:lang w:val="es-UY"/>
        </w:rPr>
        <w:t xml:space="preserve">tuvo un severo impacto en las oportunidades y previsibilidad para que el magistrado Colindres pudiera ejercer sus medios de defensa. </w:t>
      </w:r>
      <w:r w:rsidR="006021C6" w:rsidRPr="00640517">
        <w:rPr>
          <w:rFonts w:asciiTheme="majorHAnsi" w:hAnsiTheme="majorHAnsi" w:cs="Verdana"/>
          <w:sz w:val="20"/>
          <w:szCs w:val="20"/>
          <w:lang w:val="es-UY"/>
        </w:rPr>
        <w:t>Asimismo</w:t>
      </w:r>
      <w:r w:rsidR="007D2668" w:rsidRPr="00640517">
        <w:rPr>
          <w:rFonts w:asciiTheme="majorHAnsi" w:hAnsiTheme="majorHAnsi" w:cs="Verdana"/>
          <w:sz w:val="20"/>
          <w:szCs w:val="20"/>
          <w:lang w:val="es-UY"/>
        </w:rPr>
        <w:t>, el plazo de tres días para ejercer el derecho de defensa</w:t>
      </w:r>
      <w:r w:rsidR="00754968" w:rsidRPr="00640517">
        <w:rPr>
          <w:rFonts w:asciiTheme="majorHAnsi" w:hAnsiTheme="majorHAnsi" w:cs="Verdana"/>
          <w:sz w:val="20"/>
          <w:szCs w:val="20"/>
          <w:lang w:val="es-UY"/>
        </w:rPr>
        <w:t>,</w:t>
      </w:r>
      <w:r w:rsidR="00230076" w:rsidRPr="00640517">
        <w:rPr>
          <w:rFonts w:asciiTheme="majorHAnsi" w:hAnsiTheme="majorHAnsi" w:cs="Verdana"/>
          <w:sz w:val="20"/>
          <w:szCs w:val="20"/>
          <w:lang w:val="es-UY"/>
        </w:rPr>
        <w:t xml:space="preserve"> </w:t>
      </w:r>
      <w:r w:rsidR="006021C6" w:rsidRPr="00640517">
        <w:rPr>
          <w:rFonts w:asciiTheme="majorHAnsi" w:hAnsiTheme="majorHAnsi" w:cs="Verdana"/>
          <w:sz w:val="20"/>
          <w:szCs w:val="20"/>
          <w:lang w:val="es-UY"/>
        </w:rPr>
        <w:t>no resultaba previsible para el señor Colindres en vista de no existir norma que lo regulara. En todo caso, la Comisión considera que atendiendo tal plazo</w:t>
      </w:r>
      <w:r w:rsidR="00E75B30" w:rsidRPr="00640517">
        <w:rPr>
          <w:rFonts w:asciiTheme="majorHAnsi" w:hAnsiTheme="majorHAnsi" w:cs="Verdana"/>
          <w:sz w:val="20"/>
          <w:szCs w:val="20"/>
          <w:lang w:val="es-UY"/>
        </w:rPr>
        <w:t xml:space="preserve"> resulta excesivamente corto </w:t>
      </w:r>
      <w:r w:rsidR="006021C6" w:rsidRPr="00640517">
        <w:rPr>
          <w:rFonts w:asciiTheme="majorHAnsi" w:hAnsiTheme="majorHAnsi" w:cs="Verdana"/>
          <w:sz w:val="20"/>
          <w:szCs w:val="20"/>
          <w:lang w:val="es-UY"/>
        </w:rPr>
        <w:t>para</w:t>
      </w:r>
      <w:r w:rsidR="00E75B30" w:rsidRPr="00640517">
        <w:rPr>
          <w:rFonts w:asciiTheme="majorHAnsi" w:hAnsiTheme="majorHAnsi" w:cs="Verdana"/>
          <w:sz w:val="20"/>
          <w:szCs w:val="20"/>
          <w:lang w:val="es-UY"/>
        </w:rPr>
        <w:t xml:space="preserve"> la</w:t>
      </w:r>
      <w:r w:rsidR="006021C6" w:rsidRPr="00640517">
        <w:rPr>
          <w:rFonts w:asciiTheme="majorHAnsi" w:hAnsiTheme="majorHAnsi" w:cs="Verdana"/>
          <w:sz w:val="20"/>
          <w:szCs w:val="20"/>
          <w:lang w:val="es-UY"/>
        </w:rPr>
        <w:t xml:space="preserve"> prepara</w:t>
      </w:r>
      <w:r w:rsidR="00E75B30" w:rsidRPr="00640517">
        <w:rPr>
          <w:rFonts w:asciiTheme="majorHAnsi" w:hAnsiTheme="majorHAnsi" w:cs="Verdana"/>
          <w:sz w:val="20"/>
          <w:szCs w:val="20"/>
          <w:lang w:val="es-UY"/>
        </w:rPr>
        <w:t>ción de</w:t>
      </w:r>
      <w:r w:rsidR="006021C6" w:rsidRPr="00640517">
        <w:rPr>
          <w:rFonts w:asciiTheme="majorHAnsi" w:hAnsiTheme="majorHAnsi" w:cs="Verdana"/>
          <w:sz w:val="20"/>
          <w:szCs w:val="20"/>
          <w:lang w:val="es-UY"/>
        </w:rPr>
        <w:t xml:space="preserve"> tal defensa</w:t>
      </w:r>
      <w:r w:rsidR="00E75B30" w:rsidRPr="00640517">
        <w:rPr>
          <w:rFonts w:asciiTheme="majorHAnsi" w:hAnsiTheme="majorHAnsi" w:cs="Verdana"/>
          <w:sz w:val="20"/>
          <w:szCs w:val="20"/>
          <w:lang w:val="es-UY"/>
        </w:rPr>
        <w:t>, lo cual se agravó en atención a la generalidad de actos y conductas señaladas en la moción de destitución.</w:t>
      </w:r>
    </w:p>
    <w:p w14:paraId="41DA7BF2" w14:textId="77777777" w:rsidR="006021C6" w:rsidRPr="00640517" w:rsidRDefault="006021C6" w:rsidP="006021C6">
      <w:pPr>
        <w:ind w:left="720"/>
        <w:jc w:val="both"/>
        <w:rPr>
          <w:rFonts w:asciiTheme="majorHAnsi" w:hAnsiTheme="majorHAnsi" w:cs="Verdana"/>
          <w:sz w:val="20"/>
          <w:szCs w:val="20"/>
          <w:lang w:val="es-UY"/>
        </w:rPr>
      </w:pPr>
    </w:p>
    <w:p w14:paraId="75D1C2A3" w14:textId="1BF0299C" w:rsidR="005305D6" w:rsidRPr="00640517" w:rsidRDefault="00FB6B63" w:rsidP="005305D6">
      <w:pPr>
        <w:numPr>
          <w:ilvl w:val="0"/>
          <w:numId w:val="1"/>
        </w:numPr>
        <w:ind w:left="0" w:firstLine="720"/>
        <w:jc w:val="both"/>
        <w:rPr>
          <w:rFonts w:asciiTheme="majorHAnsi" w:hAnsiTheme="majorHAnsi" w:cs="Verdana"/>
          <w:sz w:val="20"/>
          <w:szCs w:val="20"/>
          <w:lang w:val="es-UY"/>
        </w:rPr>
      </w:pPr>
      <w:r w:rsidRPr="00640517">
        <w:rPr>
          <w:rFonts w:asciiTheme="majorHAnsi" w:hAnsiTheme="majorHAnsi" w:cs="Verdana"/>
          <w:sz w:val="20"/>
          <w:szCs w:val="20"/>
          <w:lang w:val="es-UY"/>
        </w:rPr>
        <w:t>Adicionalmente</w:t>
      </w:r>
      <w:r w:rsidR="00230076" w:rsidRPr="00640517">
        <w:rPr>
          <w:rFonts w:asciiTheme="majorHAnsi" w:hAnsiTheme="majorHAnsi" w:cs="Verdana"/>
          <w:sz w:val="20"/>
          <w:szCs w:val="20"/>
          <w:lang w:val="es-UY"/>
        </w:rPr>
        <w:t xml:space="preserve">, </w:t>
      </w:r>
      <w:r w:rsidR="005305D6" w:rsidRPr="00640517">
        <w:rPr>
          <w:rFonts w:asciiTheme="majorHAnsi" w:hAnsiTheme="majorHAnsi" w:cs="Verdana"/>
          <w:sz w:val="20"/>
          <w:szCs w:val="20"/>
          <w:lang w:val="es-UY"/>
        </w:rPr>
        <w:t>la Comisión observa que</w:t>
      </w:r>
      <w:r w:rsidR="00347524" w:rsidRPr="00640517">
        <w:rPr>
          <w:rFonts w:asciiTheme="majorHAnsi" w:hAnsiTheme="majorHAnsi" w:cs="Verdana"/>
          <w:sz w:val="20"/>
          <w:szCs w:val="20"/>
          <w:lang w:val="es-UY"/>
        </w:rPr>
        <w:t>, entre otros aspectos,</w:t>
      </w:r>
      <w:r w:rsidR="005305D6" w:rsidRPr="00640517">
        <w:rPr>
          <w:rFonts w:asciiTheme="majorHAnsi" w:hAnsiTheme="majorHAnsi" w:cs="Verdana"/>
          <w:sz w:val="20"/>
          <w:szCs w:val="20"/>
          <w:lang w:val="es-UY"/>
        </w:rPr>
        <w:t xml:space="preserve"> el señor Colindres i) no tuvo oportunidad para presentar sus observaciones al escrito presentado por </w:t>
      </w:r>
      <w:r w:rsidR="008F5E2F" w:rsidRPr="008F5E2F">
        <w:rPr>
          <w:rFonts w:asciiTheme="majorHAnsi" w:hAnsiTheme="majorHAnsi" w:cs="Verdana"/>
          <w:sz w:val="20"/>
          <w:szCs w:val="20"/>
          <w:lang w:val="es-UY"/>
        </w:rPr>
        <w:t>d</w:t>
      </w:r>
      <w:r w:rsidR="005305D6" w:rsidRPr="00640517">
        <w:rPr>
          <w:rFonts w:asciiTheme="majorHAnsi" w:hAnsiTheme="majorHAnsi" w:cs="Verdana"/>
          <w:sz w:val="20"/>
          <w:szCs w:val="20"/>
          <w:lang w:val="es-UY"/>
        </w:rPr>
        <w:t xml:space="preserve">iputados del PDC a la Junta Directiva de la Asamblea Legislativa; ii) no consta que el escrito que presentó ante la Comisión Especial procurando su defensa haya sido incorporado </w:t>
      </w:r>
      <w:r w:rsidR="00A4147B" w:rsidRPr="00640517">
        <w:rPr>
          <w:rFonts w:asciiTheme="majorHAnsi" w:hAnsiTheme="majorHAnsi" w:cs="Verdana"/>
          <w:sz w:val="20"/>
          <w:szCs w:val="20"/>
          <w:lang w:val="es-UY"/>
        </w:rPr>
        <w:t xml:space="preserve">en el expediente que </w:t>
      </w:r>
      <w:r w:rsidR="00916698" w:rsidRPr="00640517">
        <w:rPr>
          <w:rFonts w:asciiTheme="majorHAnsi" w:hAnsiTheme="majorHAnsi" w:cs="Verdana"/>
          <w:sz w:val="20"/>
          <w:szCs w:val="20"/>
          <w:lang w:val="es-UY"/>
        </w:rPr>
        <w:t xml:space="preserve">tuvo ante sí </w:t>
      </w:r>
      <w:r w:rsidR="00A4147B" w:rsidRPr="00640517">
        <w:rPr>
          <w:rFonts w:asciiTheme="majorHAnsi" w:hAnsiTheme="majorHAnsi" w:cs="Verdana"/>
          <w:sz w:val="20"/>
          <w:szCs w:val="20"/>
          <w:lang w:val="es-UY"/>
        </w:rPr>
        <w:t xml:space="preserve">la Asamblea Legislativa </w:t>
      </w:r>
      <w:r w:rsidR="00916698" w:rsidRPr="00640517">
        <w:rPr>
          <w:rFonts w:asciiTheme="majorHAnsi" w:hAnsiTheme="majorHAnsi" w:cs="Verdana"/>
          <w:sz w:val="20"/>
          <w:szCs w:val="20"/>
          <w:lang w:val="es-UY"/>
        </w:rPr>
        <w:t xml:space="preserve">cuando </w:t>
      </w:r>
      <w:r w:rsidR="00A4147B" w:rsidRPr="00640517">
        <w:rPr>
          <w:rFonts w:asciiTheme="majorHAnsi" w:hAnsiTheme="majorHAnsi" w:cs="Verdana"/>
          <w:sz w:val="20"/>
          <w:szCs w:val="20"/>
          <w:lang w:val="es-UY"/>
        </w:rPr>
        <w:t>decidió cesarlo de su cargo</w:t>
      </w:r>
      <w:r w:rsidR="005305D6" w:rsidRPr="00640517">
        <w:rPr>
          <w:rFonts w:asciiTheme="majorHAnsi" w:hAnsiTheme="majorHAnsi" w:cs="Verdana"/>
          <w:sz w:val="20"/>
          <w:szCs w:val="20"/>
          <w:lang w:val="es-UY"/>
        </w:rPr>
        <w:t xml:space="preserve">; y iii)  </w:t>
      </w:r>
      <w:r w:rsidR="00867E62" w:rsidRPr="00640517">
        <w:rPr>
          <w:rFonts w:asciiTheme="majorHAnsi" w:hAnsiTheme="majorHAnsi" w:cs="Verdana"/>
          <w:sz w:val="20"/>
          <w:szCs w:val="20"/>
          <w:lang w:val="es-UY"/>
        </w:rPr>
        <w:t xml:space="preserve">la información </w:t>
      </w:r>
      <w:r w:rsidR="005305D6" w:rsidRPr="00640517">
        <w:rPr>
          <w:rFonts w:asciiTheme="majorHAnsi" w:hAnsiTheme="majorHAnsi" w:cs="Verdana"/>
          <w:sz w:val="20"/>
          <w:szCs w:val="20"/>
          <w:lang w:val="es-UY"/>
        </w:rPr>
        <w:t xml:space="preserve">presentada por el </w:t>
      </w:r>
      <w:r w:rsidR="00047612" w:rsidRPr="00640517">
        <w:rPr>
          <w:rFonts w:asciiTheme="majorHAnsi" w:hAnsiTheme="majorHAnsi" w:cs="Verdana"/>
          <w:sz w:val="20"/>
          <w:szCs w:val="20"/>
          <w:lang w:val="es-UY"/>
        </w:rPr>
        <w:t xml:space="preserve">TSE </w:t>
      </w:r>
      <w:r w:rsidR="005305D6" w:rsidRPr="00640517">
        <w:rPr>
          <w:rFonts w:asciiTheme="majorHAnsi" w:hAnsiTheme="majorHAnsi" w:cs="Verdana"/>
          <w:sz w:val="20"/>
          <w:szCs w:val="20"/>
          <w:lang w:val="es-UY"/>
        </w:rPr>
        <w:t xml:space="preserve"> a la Comisión Especial que </w:t>
      </w:r>
      <w:r w:rsidR="00047612" w:rsidRPr="00640517">
        <w:rPr>
          <w:rFonts w:asciiTheme="majorHAnsi" w:hAnsiTheme="majorHAnsi" w:cs="Verdana"/>
          <w:sz w:val="20"/>
          <w:szCs w:val="20"/>
          <w:lang w:val="es-UY"/>
        </w:rPr>
        <w:lastRenderedPageBreak/>
        <w:t xml:space="preserve">tendría implicaciones en esclarecer la supuesta conducta imputada al </w:t>
      </w:r>
      <w:r w:rsidR="00867E62" w:rsidRPr="00640517">
        <w:rPr>
          <w:rFonts w:asciiTheme="majorHAnsi" w:hAnsiTheme="majorHAnsi" w:cs="Verdana"/>
          <w:sz w:val="20"/>
          <w:szCs w:val="20"/>
          <w:lang w:val="es-UY"/>
        </w:rPr>
        <w:t>magistrado Colindres</w:t>
      </w:r>
      <w:r w:rsidR="00047612" w:rsidRPr="00640517">
        <w:rPr>
          <w:rFonts w:asciiTheme="majorHAnsi" w:hAnsiTheme="majorHAnsi" w:cs="Verdana"/>
          <w:sz w:val="20"/>
          <w:szCs w:val="20"/>
          <w:lang w:val="es-UY"/>
        </w:rPr>
        <w:t xml:space="preserve">, </w:t>
      </w:r>
      <w:r w:rsidR="00655AFD" w:rsidRPr="00640517">
        <w:rPr>
          <w:rFonts w:asciiTheme="majorHAnsi" w:hAnsiTheme="majorHAnsi" w:cs="Verdana"/>
          <w:sz w:val="20"/>
          <w:szCs w:val="20"/>
          <w:lang w:val="es-UY"/>
        </w:rPr>
        <w:t xml:space="preserve">no </w:t>
      </w:r>
      <w:r w:rsidR="005305D6" w:rsidRPr="00640517">
        <w:rPr>
          <w:rFonts w:asciiTheme="majorHAnsi" w:hAnsiTheme="majorHAnsi" w:cs="Verdana"/>
          <w:sz w:val="20"/>
          <w:szCs w:val="20"/>
          <w:lang w:val="es-UY"/>
        </w:rPr>
        <w:t xml:space="preserve">fue </w:t>
      </w:r>
      <w:r w:rsidR="003027A2" w:rsidRPr="00640517">
        <w:rPr>
          <w:rFonts w:asciiTheme="majorHAnsi" w:hAnsiTheme="majorHAnsi" w:cs="Verdana"/>
          <w:sz w:val="20"/>
          <w:szCs w:val="20"/>
          <w:lang w:val="es-UY"/>
        </w:rPr>
        <w:t xml:space="preserve">enviada por la Comisión Especial </w:t>
      </w:r>
      <w:r w:rsidR="00916698" w:rsidRPr="00640517">
        <w:rPr>
          <w:rFonts w:asciiTheme="majorHAnsi" w:hAnsiTheme="majorHAnsi" w:cs="Verdana"/>
          <w:sz w:val="20"/>
          <w:szCs w:val="20"/>
          <w:lang w:val="es-UY"/>
        </w:rPr>
        <w:t xml:space="preserve">y no </w:t>
      </w:r>
      <w:r w:rsidR="003027A2" w:rsidRPr="00640517">
        <w:rPr>
          <w:rFonts w:asciiTheme="majorHAnsi" w:hAnsiTheme="majorHAnsi" w:cs="Verdana"/>
          <w:sz w:val="20"/>
          <w:szCs w:val="20"/>
          <w:lang w:val="es-UY"/>
        </w:rPr>
        <w:t xml:space="preserve">se </w:t>
      </w:r>
      <w:r w:rsidR="00655AFD" w:rsidRPr="00640517">
        <w:rPr>
          <w:rFonts w:asciiTheme="majorHAnsi" w:hAnsiTheme="majorHAnsi" w:cs="Verdana"/>
          <w:sz w:val="20"/>
          <w:szCs w:val="20"/>
          <w:lang w:val="es-UY"/>
        </w:rPr>
        <w:t xml:space="preserve">ofreció </w:t>
      </w:r>
      <w:r w:rsidR="00916698" w:rsidRPr="00640517">
        <w:rPr>
          <w:rFonts w:asciiTheme="majorHAnsi" w:hAnsiTheme="majorHAnsi" w:cs="Verdana"/>
          <w:sz w:val="20"/>
          <w:szCs w:val="20"/>
          <w:lang w:val="es-UY"/>
        </w:rPr>
        <w:t xml:space="preserve">una </w:t>
      </w:r>
      <w:r w:rsidR="00047612" w:rsidRPr="00640517">
        <w:rPr>
          <w:rFonts w:asciiTheme="majorHAnsi" w:hAnsiTheme="majorHAnsi" w:cs="Verdana"/>
          <w:sz w:val="20"/>
          <w:szCs w:val="20"/>
          <w:lang w:val="es-UY"/>
        </w:rPr>
        <w:t xml:space="preserve">oportunidad </w:t>
      </w:r>
      <w:r w:rsidR="003027A2" w:rsidRPr="00640517">
        <w:rPr>
          <w:rFonts w:asciiTheme="majorHAnsi" w:hAnsiTheme="majorHAnsi" w:cs="Verdana"/>
          <w:sz w:val="20"/>
          <w:szCs w:val="20"/>
          <w:lang w:val="es-UY"/>
        </w:rPr>
        <w:t xml:space="preserve">formal </w:t>
      </w:r>
      <w:r w:rsidR="00047612" w:rsidRPr="00640517">
        <w:rPr>
          <w:rFonts w:asciiTheme="majorHAnsi" w:hAnsiTheme="majorHAnsi" w:cs="Verdana"/>
          <w:sz w:val="20"/>
          <w:szCs w:val="20"/>
          <w:lang w:val="es-UY"/>
        </w:rPr>
        <w:t>al señor Colindres para poder presentar sus observaciones</w:t>
      </w:r>
      <w:r w:rsidR="003027A2" w:rsidRPr="00640517">
        <w:rPr>
          <w:rFonts w:asciiTheme="majorHAnsi" w:hAnsiTheme="majorHAnsi" w:cs="Verdana"/>
          <w:sz w:val="20"/>
          <w:szCs w:val="20"/>
          <w:lang w:val="es-UY"/>
        </w:rPr>
        <w:t xml:space="preserve"> al respecto</w:t>
      </w:r>
      <w:r w:rsidR="00EA18AA" w:rsidRPr="00640517">
        <w:rPr>
          <w:rFonts w:asciiTheme="majorHAnsi" w:hAnsiTheme="majorHAnsi" w:cs="Verdana"/>
          <w:sz w:val="20"/>
          <w:szCs w:val="20"/>
          <w:lang w:val="es-UY"/>
        </w:rPr>
        <w:t>, por el contrario, fue el propio señor Colindres quien la remitió</w:t>
      </w:r>
      <w:r w:rsidR="00047612" w:rsidRPr="00640517">
        <w:rPr>
          <w:rFonts w:asciiTheme="majorHAnsi" w:hAnsiTheme="majorHAnsi" w:cs="Verdana"/>
          <w:sz w:val="20"/>
          <w:szCs w:val="20"/>
          <w:lang w:val="es-UY"/>
        </w:rPr>
        <w:t xml:space="preserve">. </w:t>
      </w:r>
    </w:p>
    <w:p w14:paraId="0B24CB3F" w14:textId="77777777" w:rsidR="005305D6" w:rsidRPr="00640517" w:rsidRDefault="005305D6" w:rsidP="005305D6">
      <w:pPr>
        <w:pStyle w:val="ListParagraph"/>
        <w:rPr>
          <w:rFonts w:asciiTheme="majorHAnsi" w:hAnsiTheme="majorHAnsi" w:cs="Verdana"/>
          <w:sz w:val="20"/>
          <w:szCs w:val="20"/>
          <w:lang w:val="es-UY"/>
        </w:rPr>
      </w:pPr>
    </w:p>
    <w:p w14:paraId="1D95F63F" w14:textId="4694A2CE" w:rsidR="00625522" w:rsidRPr="00640517" w:rsidRDefault="003A1C4B" w:rsidP="00754968">
      <w:pPr>
        <w:numPr>
          <w:ilvl w:val="0"/>
          <w:numId w:val="1"/>
        </w:numPr>
        <w:ind w:left="0" w:firstLine="720"/>
        <w:jc w:val="both"/>
        <w:rPr>
          <w:rFonts w:asciiTheme="majorHAnsi" w:hAnsiTheme="majorHAnsi" w:cs="Verdana"/>
          <w:sz w:val="20"/>
          <w:szCs w:val="20"/>
          <w:lang w:val="es-UY"/>
        </w:rPr>
      </w:pPr>
      <w:r w:rsidRPr="00640517">
        <w:rPr>
          <w:rFonts w:asciiTheme="majorHAnsi" w:hAnsiTheme="majorHAnsi" w:cs="Verdana"/>
          <w:sz w:val="20"/>
          <w:szCs w:val="20"/>
          <w:lang w:val="es-UY"/>
        </w:rPr>
        <w:t>L</w:t>
      </w:r>
      <w:r w:rsidR="00A4147B" w:rsidRPr="00640517">
        <w:rPr>
          <w:rFonts w:asciiTheme="majorHAnsi" w:hAnsiTheme="majorHAnsi" w:cs="Verdana"/>
          <w:sz w:val="20"/>
          <w:szCs w:val="20"/>
          <w:lang w:val="es-UY"/>
        </w:rPr>
        <w:t xml:space="preserve">a Comisión </w:t>
      </w:r>
      <w:r w:rsidRPr="00640517">
        <w:rPr>
          <w:rFonts w:asciiTheme="majorHAnsi" w:hAnsiTheme="majorHAnsi" w:cs="Verdana"/>
          <w:sz w:val="20"/>
          <w:szCs w:val="20"/>
          <w:lang w:val="es-UY"/>
        </w:rPr>
        <w:t>considera que la suma de las anteriores irr</w:t>
      </w:r>
      <w:r w:rsidR="002B072C" w:rsidRPr="00640517">
        <w:rPr>
          <w:rFonts w:asciiTheme="majorHAnsi" w:hAnsiTheme="majorHAnsi" w:cs="Verdana"/>
          <w:sz w:val="20"/>
          <w:szCs w:val="20"/>
          <w:lang w:val="es-UY"/>
        </w:rPr>
        <w:t>e</w:t>
      </w:r>
      <w:r w:rsidRPr="00640517">
        <w:rPr>
          <w:rFonts w:asciiTheme="majorHAnsi" w:hAnsiTheme="majorHAnsi" w:cs="Verdana"/>
          <w:sz w:val="20"/>
          <w:szCs w:val="20"/>
          <w:lang w:val="es-UY"/>
        </w:rPr>
        <w:t xml:space="preserve">gularidades </w:t>
      </w:r>
      <w:r w:rsidR="00625522" w:rsidRPr="00640517">
        <w:rPr>
          <w:rFonts w:asciiTheme="majorHAnsi" w:hAnsiTheme="majorHAnsi" w:cs="Verdana"/>
          <w:sz w:val="20"/>
          <w:szCs w:val="20"/>
          <w:lang w:val="es-UY"/>
        </w:rPr>
        <w:t>constituy</w:t>
      </w:r>
      <w:r w:rsidR="00B314D5" w:rsidRPr="00640517">
        <w:rPr>
          <w:rFonts w:asciiTheme="majorHAnsi" w:hAnsiTheme="majorHAnsi" w:cs="Verdana"/>
          <w:sz w:val="20"/>
          <w:szCs w:val="20"/>
          <w:lang w:val="es-UY"/>
        </w:rPr>
        <w:t>ó</w:t>
      </w:r>
      <w:r w:rsidR="00625522" w:rsidRPr="00640517">
        <w:rPr>
          <w:rFonts w:asciiTheme="majorHAnsi" w:hAnsiTheme="majorHAnsi" w:cs="Verdana"/>
          <w:sz w:val="20"/>
          <w:szCs w:val="20"/>
          <w:lang w:val="es-UY"/>
        </w:rPr>
        <w:t xml:space="preserve"> una seria afectación al principio de igualdad de armas</w:t>
      </w:r>
      <w:r w:rsidR="001D01F5">
        <w:rPr>
          <w:rFonts w:asciiTheme="majorHAnsi" w:hAnsiTheme="majorHAnsi" w:cs="Verdana"/>
          <w:sz w:val="20"/>
          <w:szCs w:val="20"/>
          <w:lang w:val="es-UY"/>
        </w:rPr>
        <w:t xml:space="preserve">, </w:t>
      </w:r>
      <w:r w:rsidR="00625522" w:rsidRPr="00640517">
        <w:rPr>
          <w:rFonts w:asciiTheme="majorHAnsi" w:hAnsiTheme="majorHAnsi" w:cs="Verdana"/>
          <w:sz w:val="20"/>
          <w:szCs w:val="20"/>
          <w:lang w:val="es-UY"/>
        </w:rPr>
        <w:t>de tal forma que el magistrado Colindres tuvo una amplia desventaja en las pos</w:t>
      </w:r>
      <w:r w:rsidR="0073066E" w:rsidRPr="00640517">
        <w:rPr>
          <w:rFonts w:asciiTheme="majorHAnsi" w:hAnsiTheme="majorHAnsi" w:cs="Verdana"/>
          <w:sz w:val="20"/>
          <w:szCs w:val="20"/>
          <w:lang w:val="es-UY"/>
        </w:rPr>
        <w:t>i</w:t>
      </w:r>
      <w:r w:rsidR="00625522" w:rsidRPr="00640517">
        <w:rPr>
          <w:rFonts w:asciiTheme="majorHAnsi" w:hAnsiTheme="majorHAnsi" w:cs="Verdana"/>
          <w:sz w:val="20"/>
          <w:szCs w:val="20"/>
          <w:lang w:val="es-UY"/>
        </w:rPr>
        <w:t>bilidades para preparar y ofrecer pruebas para favorecer su defensa</w:t>
      </w:r>
      <w:r w:rsidR="00600565" w:rsidRPr="00640517">
        <w:rPr>
          <w:rFonts w:asciiTheme="majorHAnsi" w:hAnsiTheme="majorHAnsi" w:cs="Verdana"/>
          <w:sz w:val="20"/>
          <w:szCs w:val="20"/>
          <w:lang w:val="es-UY"/>
        </w:rPr>
        <w:t xml:space="preserve"> </w:t>
      </w:r>
      <w:r w:rsidR="001F66BE" w:rsidRPr="00640517">
        <w:rPr>
          <w:rFonts w:asciiTheme="majorHAnsi" w:hAnsiTheme="majorHAnsi" w:cs="Verdana"/>
          <w:sz w:val="20"/>
          <w:szCs w:val="20"/>
          <w:lang w:val="es-UY"/>
        </w:rPr>
        <w:t>al momento de ser oído ante la comisión creada para ese efecto</w:t>
      </w:r>
      <w:r w:rsidR="00625522" w:rsidRPr="00640517">
        <w:rPr>
          <w:rFonts w:asciiTheme="majorHAnsi" w:hAnsiTheme="majorHAnsi" w:cs="Verdana"/>
          <w:sz w:val="20"/>
          <w:szCs w:val="20"/>
          <w:lang w:val="es-UY"/>
        </w:rPr>
        <w:t xml:space="preserve">. En este sentido, la Comisión concluye que el Estado </w:t>
      </w:r>
      <w:r w:rsidR="00600565" w:rsidRPr="00640517">
        <w:rPr>
          <w:rFonts w:asciiTheme="majorHAnsi" w:hAnsiTheme="majorHAnsi" w:cs="Verdana"/>
          <w:sz w:val="20"/>
          <w:szCs w:val="20"/>
          <w:lang w:val="es-UY"/>
        </w:rPr>
        <w:t xml:space="preserve">violó </w:t>
      </w:r>
      <w:r w:rsidR="00754968" w:rsidRPr="00640517">
        <w:rPr>
          <w:rFonts w:asciiTheme="majorHAnsi" w:hAnsiTheme="majorHAnsi" w:cs="Verdana"/>
          <w:sz w:val="20"/>
          <w:szCs w:val="20"/>
          <w:lang w:val="es-UY"/>
        </w:rPr>
        <w:t xml:space="preserve">el </w:t>
      </w:r>
      <w:r w:rsidR="00625522" w:rsidRPr="00640517">
        <w:rPr>
          <w:rFonts w:asciiTheme="majorHAnsi" w:hAnsiTheme="majorHAnsi" w:cs="Verdana"/>
          <w:sz w:val="20"/>
          <w:szCs w:val="20"/>
          <w:lang w:val="es-UY"/>
        </w:rPr>
        <w:t xml:space="preserve">derecho a ser oído </w:t>
      </w:r>
      <w:r w:rsidR="00600565" w:rsidRPr="00640517">
        <w:rPr>
          <w:rFonts w:asciiTheme="majorHAnsi" w:hAnsiTheme="majorHAnsi" w:cs="Verdana"/>
          <w:sz w:val="20"/>
          <w:szCs w:val="20"/>
          <w:lang w:val="es-UY"/>
        </w:rPr>
        <w:t xml:space="preserve">así como el </w:t>
      </w:r>
      <w:r w:rsidR="00625522" w:rsidRPr="00640517">
        <w:rPr>
          <w:rFonts w:asciiTheme="majorHAnsi" w:hAnsiTheme="majorHAnsi" w:cs="Verdana"/>
          <w:sz w:val="20"/>
          <w:szCs w:val="20"/>
          <w:lang w:val="es-UY"/>
        </w:rPr>
        <w:t xml:space="preserve">derecho de </w:t>
      </w:r>
      <w:proofErr w:type="gramStart"/>
      <w:r w:rsidR="00625522" w:rsidRPr="00640517">
        <w:rPr>
          <w:rFonts w:asciiTheme="majorHAnsi" w:hAnsiTheme="majorHAnsi" w:cs="Verdana"/>
          <w:sz w:val="20"/>
          <w:szCs w:val="20"/>
          <w:lang w:val="es-UY"/>
        </w:rPr>
        <w:t>defens</w:t>
      </w:r>
      <w:r w:rsidR="00600565" w:rsidRPr="00640517">
        <w:rPr>
          <w:rFonts w:asciiTheme="majorHAnsi" w:hAnsiTheme="majorHAnsi" w:cs="Verdana"/>
          <w:sz w:val="20"/>
          <w:szCs w:val="20"/>
          <w:lang w:val="es-UY"/>
        </w:rPr>
        <w:t>a establecidos</w:t>
      </w:r>
      <w:proofErr w:type="gramEnd"/>
      <w:r w:rsidR="00600565" w:rsidRPr="00640517">
        <w:rPr>
          <w:rFonts w:asciiTheme="majorHAnsi" w:hAnsiTheme="majorHAnsi" w:cs="Verdana"/>
          <w:sz w:val="20"/>
          <w:szCs w:val="20"/>
          <w:lang w:val="es-UY"/>
        </w:rPr>
        <w:t xml:space="preserve"> en los artículos </w:t>
      </w:r>
      <w:r w:rsidR="00625522" w:rsidRPr="00640517">
        <w:rPr>
          <w:rFonts w:asciiTheme="majorHAnsi" w:hAnsiTheme="majorHAnsi" w:cs="Verdana"/>
          <w:sz w:val="20"/>
          <w:szCs w:val="20"/>
          <w:lang w:val="es-UY"/>
        </w:rPr>
        <w:t>8.1 y 8.2 b) y c)</w:t>
      </w:r>
      <w:r w:rsidR="00600565" w:rsidRPr="00640517">
        <w:rPr>
          <w:rFonts w:asciiTheme="majorHAnsi" w:hAnsiTheme="majorHAnsi" w:cs="Verdana"/>
          <w:sz w:val="20"/>
          <w:szCs w:val="20"/>
          <w:lang w:val="es-UY"/>
        </w:rPr>
        <w:t xml:space="preserve"> de la Convención Americana, en relación con las obligaciones establecidas en el artículo 1.1 del mismo instrumento, en perjuicio del señor Colindres.</w:t>
      </w:r>
    </w:p>
    <w:p w14:paraId="1D1497DF" w14:textId="77777777" w:rsidR="00D27038" w:rsidRPr="00640517" w:rsidRDefault="00D27038" w:rsidP="00AB69BB">
      <w:pPr>
        <w:pStyle w:val="ListParagraph"/>
        <w:ind w:left="1440" w:hanging="720"/>
        <w:rPr>
          <w:rFonts w:asciiTheme="majorHAnsi" w:hAnsiTheme="majorHAnsi" w:cs="Verdana"/>
          <w:b/>
          <w:sz w:val="20"/>
          <w:szCs w:val="20"/>
          <w:lang w:val="es-UY"/>
        </w:rPr>
      </w:pPr>
    </w:p>
    <w:p w14:paraId="3A12F657" w14:textId="77777777" w:rsidR="00D27038" w:rsidRPr="00640517" w:rsidRDefault="00165672" w:rsidP="0045657E">
      <w:pPr>
        <w:pStyle w:val="Heading4"/>
      </w:pPr>
      <w:bookmarkStart w:id="74" w:name="_Toc475517374"/>
      <w:r w:rsidRPr="00640517">
        <w:t xml:space="preserve">Revisión del fallo </w:t>
      </w:r>
      <w:r w:rsidR="00681501" w:rsidRPr="00640517">
        <w:t>sancionatorio</w:t>
      </w:r>
      <w:r w:rsidR="00DF563F" w:rsidRPr="00640517">
        <w:t xml:space="preserve"> y</w:t>
      </w:r>
      <w:r w:rsidRPr="00640517">
        <w:t xml:space="preserve"> el derecho a la p</w:t>
      </w:r>
      <w:r w:rsidR="00D27038" w:rsidRPr="00640517">
        <w:t xml:space="preserve">rotección Judicial </w:t>
      </w:r>
      <w:bookmarkEnd w:id="74"/>
    </w:p>
    <w:p w14:paraId="04814785" w14:textId="77777777" w:rsidR="009943CE" w:rsidRPr="00640517" w:rsidRDefault="009943CE" w:rsidP="00605240">
      <w:pPr>
        <w:jc w:val="both"/>
        <w:rPr>
          <w:rFonts w:asciiTheme="majorHAnsi" w:hAnsiTheme="majorHAnsi"/>
          <w:bCs/>
          <w:sz w:val="20"/>
          <w:szCs w:val="20"/>
          <w:lang w:val="es-CO"/>
        </w:rPr>
      </w:pPr>
    </w:p>
    <w:p w14:paraId="6EA1599C" w14:textId="77777777" w:rsidR="00D33538" w:rsidRPr="00640517" w:rsidRDefault="00FF425F" w:rsidP="00FF425F">
      <w:pPr>
        <w:numPr>
          <w:ilvl w:val="0"/>
          <w:numId w:val="1"/>
        </w:numPr>
        <w:tabs>
          <w:tab w:val="num" w:pos="0"/>
        </w:tabs>
        <w:ind w:left="0" w:firstLine="720"/>
        <w:jc w:val="both"/>
        <w:rPr>
          <w:rFonts w:asciiTheme="majorHAnsi" w:hAnsiTheme="majorHAnsi"/>
          <w:bCs/>
          <w:sz w:val="20"/>
          <w:szCs w:val="20"/>
          <w:lang w:val="es-CO"/>
        </w:rPr>
      </w:pPr>
      <w:r w:rsidRPr="00640517">
        <w:rPr>
          <w:rFonts w:asciiTheme="majorHAnsi" w:hAnsiTheme="majorHAnsi"/>
          <w:sz w:val="20"/>
          <w:szCs w:val="20"/>
          <w:lang w:val="es-CO"/>
        </w:rPr>
        <w:t>El</w:t>
      </w:r>
      <w:r w:rsidR="00D27038" w:rsidRPr="00640517">
        <w:rPr>
          <w:rFonts w:asciiTheme="majorHAnsi" w:hAnsiTheme="majorHAnsi"/>
          <w:sz w:val="20"/>
          <w:szCs w:val="20"/>
          <w:lang w:val="es-CO"/>
        </w:rPr>
        <w:t xml:space="preserve"> derecho a recurrir </w:t>
      </w:r>
      <w:r w:rsidR="00D27038" w:rsidRPr="00C25369">
        <w:rPr>
          <w:rFonts w:asciiTheme="majorHAnsi" w:hAnsiTheme="majorHAnsi"/>
          <w:sz w:val="20"/>
          <w:szCs w:val="20"/>
          <w:lang w:val="es-CO"/>
        </w:rPr>
        <w:t>del</w:t>
      </w:r>
      <w:r w:rsidR="00D27038" w:rsidRPr="00640517">
        <w:rPr>
          <w:rFonts w:asciiTheme="majorHAnsi" w:hAnsiTheme="majorHAnsi"/>
          <w:sz w:val="20"/>
          <w:szCs w:val="20"/>
          <w:lang w:val="es-CO"/>
        </w:rPr>
        <w:t xml:space="preserve"> fallo hace parte del debido proceso legal de conformidad con lo establecido en el artículo 8.2 h) de la Convención</w:t>
      </w:r>
      <w:r w:rsidR="00D27038" w:rsidRPr="00640517">
        <w:rPr>
          <w:rStyle w:val="FootnoteReference"/>
          <w:rFonts w:asciiTheme="majorHAnsi" w:hAnsiTheme="majorHAnsi"/>
          <w:sz w:val="20"/>
          <w:szCs w:val="20"/>
        </w:rPr>
        <w:footnoteReference w:id="107"/>
      </w:r>
      <w:r w:rsidR="00D27038" w:rsidRPr="00640517">
        <w:rPr>
          <w:rFonts w:asciiTheme="majorHAnsi" w:hAnsiTheme="majorHAnsi"/>
          <w:sz w:val="20"/>
          <w:szCs w:val="20"/>
          <w:lang w:val="es-CO"/>
        </w:rPr>
        <w:t xml:space="preserve">. </w:t>
      </w:r>
      <w:r w:rsidR="00074815" w:rsidRPr="00640517">
        <w:rPr>
          <w:rFonts w:asciiTheme="majorHAnsi" w:hAnsiTheme="majorHAnsi"/>
          <w:sz w:val="20"/>
          <w:szCs w:val="20"/>
          <w:lang w:val="es-ES_tradnl"/>
        </w:rPr>
        <w:t xml:space="preserve">Sobre esta </w:t>
      </w:r>
      <w:r w:rsidR="007A0025" w:rsidRPr="00640517">
        <w:rPr>
          <w:rFonts w:asciiTheme="majorHAnsi" w:hAnsiTheme="majorHAnsi"/>
          <w:sz w:val="20"/>
          <w:szCs w:val="20"/>
          <w:lang w:val="es-ES_tradnl"/>
        </w:rPr>
        <w:t xml:space="preserve">garantía los Principios Básicos Relativos a la Independencia de la Judicatura </w:t>
      </w:r>
      <w:r w:rsidR="003A1C4B" w:rsidRPr="00640517">
        <w:rPr>
          <w:rFonts w:asciiTheme="majorHAnsi" w:hAnsiTheme="majorHAnsi"/>
          <w:sz w:val="20"/>
          <w:szCs w:val="20"/>
          <w:lang w:val="es-ES_tradnl"/>
        </w:rPr>
        <w:t xml:space="preserve">de la ONU </w:t>
      </w:r>
      <w:r w:rsidR="007A0025" w:rsidRPr="00640517">
        <w:rPr>
          <w:rFonts w:asciiTheme="majorHAnsi" w:hAnsiTheme="majorHAnsi"/>
          <w:sz w:val="20"/>
          <w:szCs w:val="20"/>
          <w:lang w:val="es-ES_tradnl"/>
        </w:rPr>
        <w:t>establecen que “las decisiones que se adopten en los procesos disciplinarios, de suspensión o separación del cargo estarán sujetos a una revisión independiente”</w:t>
      </w:r>
      <w:r w:rsidR="007A0025" w:rsidRPr="00640517">
        <w:rPr>
          <w:rStyle w:val="FootnoteReference"/>
          <w:rFonts w:asciiTheme="majorHAnsi" w:hAnsiTheme="majorHAnsi"/>
          <w:sz w:val="20"/>
          <w:szCs w:val="20"/>
          <w:lang w:val="es-ES_tradnl"/>
        </w:rPr>
        <w:footnoteReference w:id="108"/>
      </w:r>
      <w:r w:rsidR="007A0025" w:rsidRPr="00640517">
        <w:rPr>
          <w:rFonts w:asciiTheme="majorHAnsi" w:hAnsiTheme="majorHAnsi"/>
          <w:sz w:val="20"/>
          <w:szCs w:val="20"/>
          <w:lang w:val="es-ES_tradnl"/>
        </w:rPr>
        <w:t>.</w:t>
      </w:r>
      <w:r w:rsidR="007A0025" w:rsidRPr="00640517">
        <w:rPr>
          <w:rFonts w:asciiTheme="majorHAnsi" w:hAnsiTheme="majorHAnsi"/>
          <w:sz w:val="20"/>
          <w:szCs w:val="20"/>
          <w:lang w:val="es-CO"/>
        </w:rPr>
        <w:t xml:space="preserve"> </w:t>
      </w:r>
      <w:r w:rsidRPr="00640517">
        <w:rPr>
          <w:rFonts w:asciiTheme="majorHAnsi" w:hAnsiTheme="majorHAnsi"/>
          <w:bCs/>
          <w:sz w:val="20"/>
          <w:szCs w:val="20"/>
          <w:lang w:val="es-CO"/>
        </w:rPr>
        <w:t xml:space="preserve">La </w:t>
      </w:r>
      <w:r w:rsidR="003A1C4B" w:rsidRPr="00640517">
        <w:rPr>
          <w:rFonts w:asciiTheme="majorHAnsi" w:hAnsiTheme="majorHAnsi"/>
          <w:bCs/>
          <w:sz w:val="20"/>
          <w:szCs w:val="20"/>
          <w:lang w:val="es-CO"/>
        </w:rPr>
        <w:t xml:space="preserve">revisión </w:t>
      </w:r>
      <w:r w:rsidRPr="00640517">
        <w:rPr>
          <w:rFonts w:asciiTheme="majorHAnsi" w:hAnsiTheme="majorHAnsi"/>
          <w:bCs/>
          <w:sz w:val="20"/>
          <w:szCs w:val="20"/>
          <w:lang w:val="es-CO"/>
        </w:rPr>
        <w:t xml:space="preserve">del fallo condenatorio </w:t>
      </w:r>
      <w:r w:rsidR="003A1C4B" w:rsidRPr="00640517">
        <w:rPr>
          <w:rFonts w:asciiTheme="majorHAnsi" w:hAnsiTheme="majorHAnsi"/>
          <w:bCs/>
          <w:sz w:val="20"/>
          <w:szCs w:val="20"/>
          <w:lang w:val="es-CO"/>
        </w:rPr>
        <w:t xml:space="preserve">exige </w:t>
      </w:r>
      <w:r w:rsidR="00D27038" w:rsidRPr="00640517">
        <w:rPr>
          <w:rFonts w:asciiTheme="majorHAnsi" w:hAnsiTheme="majorHAnsi"/>
          <w:sz w:val="20"/>
          <w:szCs w:val="20"/>
          <w:lang w:val="es-CO"/>
        </w:rPr>
        <w:t>la posibilidad de un examen integral de la decisión recurrida</w:t>
      </w:r>
      <w:r w:rsidR="00D27038" w:rsidRPr="00640517">
        <w:rPr>
          <w:rStyle w:val="FootnoteReference"/>
          <w:rFonts w:asciiTheme="majorHAnsi" w:hAnsiTheme="majorHAnsi"/>
          <w:sz w:val="20"/>
          <w:szCs w:val="20"/>
        </w:rPr>
        <w:footnoteReference w:id="109"/>
      </w:r>
      <w:r w:rsidR="003A1C4B" w:rsidRPr="00640517">
        <w:rPr>
          <w:rFonts w:asciiTheme="majorHAnsi" w:hAnsiTheme="majorHAnsi"/>
          <w:sz w:val="20"/>
          <w:szCs w:val="20"/>
          <w:lang w:val="es-CO"/>
        </w:rPr>
        <w:t xml:space="preserve"> , lo cual precisa que </w:t>
      </w:r>
      <w:r w:rsidR="003A1C4B" w:rsidRPr="00640517">
        <w:rPr>
          <w:rFonts w:asciiTheme="majorHAnsi" w:hAnsiTheme="majorHAnsi"/>
          <w:bCs/>
          <w:sz w:val="20"/>
          <w:szCs w:val="20"/>
          <w:lang w:val="es-CO"/>
        </w:rPr>
        <w:t xml:space="preserve">sea verificada por un superior jerárquico </w:t>
      </w:r>
      <w:r w:rsidR="00D27038" w:rsidRPr="00640517">
        <w:rPr>
          <w:rFonts w:asciiTheme="majorHAnsi" w:hAnsiTheme="majorHAnsi"/>
          <w:sz w:val="20"/>
          <w:szCs w:val="20"/>
          <w:lang w:val="es-CR"/>
        </w:rPr>
        <w:t xml:space="preserve">que pueda analizar las cuestiones fácticas, probatorias y jurídicas </w:t>
      </w:r>
      <w:r w:rsidR="00D27038" w:rsidRPr="00640517">
        <w:rPr>
          <w:rFonts w:asciiTheme="majorHAnsi" w:hAnsiTheme="majorHAnsi"/>
          <w:sz w:val="20"/>
          <w:szCs w:val="20"/>
          <w:lang w:val="es-CO"/>
        </w:rPr>
        <w:t>en que se basa la sentencia impugnada</w:t>
      </w:r>
      <w:r w:rsidR="00D27038" w:rsidRPr="00640517">
        <w:rPr>
          <w:rStyle w:val="FootnoteReference"/>
          <w:rFonts w:asciiTheme="majorHAnsi" w:hAnsiTheme="majorHAnsi"/>
          <w:sz w:val="20"/>
          <w:szCs w:val="20"/>
        </w:rPr>
        <w:footnoteReference w:id="110"/>
      </w:r>
      <w:r w:rsidR="00D27038" w:rsidRPr="00640517">
        <w:rPr>
          <w:rFonts w:asciiTheme="majorHAnsi" w:hAnsiTheme="majorHAnsi"/>
          <w:sz w:val="20"/>
          <w:szCs w:val="20"/>
          <w:lang w:val="es-CO"/>
        </w:rPr>
        <w:t>.</w:t>
      </w:r>
      <w:r w:rsidRPr="00640517">
        <w:rPr>
          <w:rFonts w:asciiTheme="majorHAnsi" w:hAnsiTheme="majorHAnsi"/>
          <w:bCs/>
          <w:sz w:val="20"/>
          <w:szCs w:val="20"/>
          <w:lang w:val="es-CO"/>
        </w:rPr>
        <w:t xml:space="preserve"> </w:t>
      </w:r>
    </w:p>
    <w:p w14:paraId="3EF79A87" w14:textId="77777777" w:rsidR="00D33538" w:rsidRPr="00640517" w:rsidRDefault="00D33538" w:rsidP="00D33538">
      <w:pPr>
        <w:ind w:left="720"/>
        <w:jc w:val="both"/>
        <w:rPr>
          <w:rFonts w:asciiTheme="majorHAnsi" w:hAnsiTheme="majorHAnsi"/>
          <w:bCs/>
          <w:sz w:val="20"/>
          <w:szCs w:val="20"/>
          <w:lang w:val="es-CO"/>
        </w:rPr>
      </w:pPr>
    </w:p>
    <w:p w14:paraId="3BEFF367" w14:textId="43D47277" w:rsidR="00605240" w:rsidRPr="00640517" w:rsidRDefault="00074815" w:rsidP="0093125E">
      <w:pPr>
        <w:numPr>
          <w:ilvl w:val="0"/>
          <w:numId w:val="1"/>
        </w:numPr>
        <w:tabs>
          <w:tab w:val="num" w:pos="0"/>
        </w:tabs>
        <w:ind w:left="0" w:firstLine="709"/>
        <w:jc w:val="both"/>
        <w:rPr>
          <w:rFonts w:asciiTheme="majorHAnsi" w:hAnsiTheme="majorHAnsi"/>
          <w:bCs/>
          <w:sz w:val="20"/>
          <w:szCs w:val="20"/>
          <w:lang w:val="es-CO"/>
        </w:rPr>
      </w:pPr>
      <w:r w:rsidRPr="00640517">
        <w:rPr>
          <w:rFonts w:asciiTheme="majorHAnsi" w:hAnsiTheme="majorHAnsi"/>
          <w:sz w:val="20"/>
          <w:szCs w:val="20"/>
          <w:lang w:val="es-CO"/>
        </w:rPr>
        <w:t>En el presente caso, l</w:t>
      </w:r>
      <w:r w:rsidR="00D33538" w:rsidRPr="00640517">
        <w:rPr>
          <w:rFonts w:asciiTheme="majorHAnsi" w:hAnsiTheme="majorHAnsi"/>
          <w:sz w:val="20"/>
          <w:szCs w:val="20"/>
          <w:lang w:val="es-CO"/>
        </w:rPr>
        <w:t xml:space="preserve">a Comisión advierte que </w:t>
      </w:r>
      <w:r w:rsidR="002B072C" w:rsidRPr="00640517">
        <w:rPr>
          <w:rFonts w:asciiTheme="majorHAnsi" w:hAnsiTheme="majorHAnsi"/>
          <w:sz w:val="20"/>
          <w:szCs w:val="20"/>
          <w:lang w:val="es-CO"/>
        </w:rPr>
        <w:t xml:space="preserve">el Estado no ha acreditado </w:t>
      </w:r>
      <w:r w:rsidR="00E307CD" w:rsidRPr="00640517">
        <w:rPr>
          <w:rFonts w:asciiTheme="majorHAnsi" w:hAnsiTheme="majorHAnsi"/>
          <w:bCs/>
          <w:sz w:val="20"/>
          <w:szCs w:val="20"/>
          <w:lang w:val="es-CO"/>
        </w:rPr>
        <w:t xml:space="preserve">en el marco jurídico </w:t>
      </w:r>
      <w:r w:rsidR="002B072C" w:rsidRPr="00640517">
        <w:rPr>
          <w:rFonts w:asciiTheme="majorHAnsi" w:hAnsiTheme="majorHAnsi"/>
          <w:bCs/>
          <w:sz w:val="20"/>
          <w:szCs w:val="20"/>
          <w:lang w:val="es-CO"/>
        </w:rPr>
        <w:t xml:space="preserve">aplicable </w:t>
      </w:r>
      <w:r w:rsidR="00E307CD" w:rsidRPr="00640517">
        <w:rPr>
          <w:rFonts w:asciiTheme="majorHAnsi" w:hAnsiTheme="majorHAnsi"/>
          <w:bCs/>
          <w:sz w:val="20"/>
          <w:szCs w:val="20"/>
          <w:lang w:val="es-CO"/>
        </w:rPr>
        <w:t xml:space="preserve">un recurso que garantice una revisión del fallo condenatorio en el marco de un proceso de carácter disciplinario. </w:t>
      </w:r>
      <w:r w:rsidR="00D33538" w:rsidRPr="00640517">
        <w:rPr>
          <w:rFonts w:asciiTheme="majorHAnsi" w:hAnsiTheme="majorHAnsi"/>
          <w:bCs/>
          <w:sz w:val="20"/>
          <w:szCs w:val="20"/>
          <w:lang w:val="es-CO"/>
        </w:rPr>
        <w:t>En relación con el amparo</w:t>
      </w:r>
      <w:r w:rsidR="002B072C" w:rsidRPr="00640517">
        <w:rPr>
          <w:rFonts w:asciiTheme="majorHAnsi" w:hAnsiTheme="majorHAnsi"/>
          <w:bCs/>
          <w:sz w:val="20"/>
          <w:szCs w:val="20"/>
          <w:lang w:val="es-CO"/>
        </w:rPr>
        <w:t>,</w:t>
      </w:r>
      <w:r w:rsidR="00D33538" w:rsidRPr="00640517">
        <w:rPr>
          <w:rFonts w:asciiTheme="majorHAnsi" w:hAnsiTheme="majorHAnsi"/>
          <w:bCs/>
          <w:sz w:val="20"/>
          <w:szCs w:val="20"/>
          <w:lang w:val="es-CO"/>
        </w:rPr>
        <w:t xml:space="preserve"> el fallo de </w:t>
      </w:r>
      <w:r w:rsidR="00605240" w:rsidRPr="00640517">
        <w:rPr>
          <w:rFonts w:asciiTheme="majorHAnsi" w:hAnsiTheme="majorHAnsi"/>
          <w:bCs/>
          <w:sz w:val="20"/>
          <w:szCs w:val="20"/>
          <w:lang w:val="es-CO"/>
        </w:rPr>
        <w:t xml:space="preserve">la Sala de lo Constitucional de 5 de noviembre de 1999 </w:t>
      </w:r>
      <w:r w:rsidR="002B072C" w:rsidRPr="00640517">
        <w:rPr>
          <w:rFonts w:asciiTheme="majorHAnsi" w:hAnsiTheme="majorHAnsi"/>
          <w:bCs/>
          <w:sz w:val="20"/>
          <w:szCs w:val="20"/>
          <w:lang w:val="es-CO"/>
        </w:rPr>
        <w:t xml:space="preserve">claramente indica </w:t>
      </w:r>
      <w:r w:rsidR="00D33538" w:rsidRPr="00640517">
        <w:rPr>
          <w:rFonts w:asciiTheme="majorHAnsi" w:hAnsiTheme="majorHAnsi"/>
          <w:bCs/>
          <w:sz w:val="20"/>
          <w:szCs w:val="20"/>
          <w:lang w:val="es-CO"/>
        </w:rPr>
        <w:t xml:space="preserve">que </w:t>
      </w:r>
      <w:r w:rsidR="00605240" w:rsidRPr="00640517">
        <w:rPr>
          <w:rFonts w:asciiTheme="majorHAnsi" w:hAnsiTheme="majorHAnsi"/>
          <w:sz w:val="20"/>
          <w:szCs w:val="20"/>
          <w:lang w:val="es-CO"/>
        </w:rPr>
        <w:t>“la Sala no es una instancia para revisar el criterio vertido por la Asamblea Legislativa en el Decreto Legislativo n. 348, ni las valoraciones materiales o actuaciones procedimentales</w:t>
      </w:r>
      <w:r w:rsidR="00D33538" w:rsidRPr="00640517">
        <w:rPr>
          <w:rFonts w:asciiTheme="majorHAnsi" w:hAnsiTheme="majorHAnsi"/>
          <w:sz w:val="20"/>
          <w:szCs w:val="20"/>
          <w:lang w:val="es-CO"/>
        </w:rPr>
        <w:t>”</w:t>
      </w:r>
      <w:r w:rsidR="00605240" w:rsidRPr="00640517">
        <w:rPr>
          <w:rFonts w:asciiTheme="majorHAnsi" w:hAnsiTheme="majorHAnsi"/>
          <w:b/>
          <w:sz w:val="20"/>
          <w:szCs w:val="20"/>
          <w:lang w:val="es-CO"/>
        </w:rPr>
        <w:t xml:space="preserve">. </w:t>
      </w:r>
      <w:r w:rsidR="00D33538" w:rsidRPr="00640517">
        <w:rPr>
          <w:rFonts w:asciiTheme="majorHAnsi" w:hAnsiTheme="majorHAnsi"/>
          <w:sz w:val="20"/>
          <w:szCs w:val="20"/>
          <w:lang w:val="es-CO"/>
        </w:rPr>
        <w:t>N</w:t>
      </w:r>
      <w:r w:rsidR="00605240" w:rsidRPr="00640517">
        <w:rPr>
          <w:rFonts w:asciiTheme="majorHAnsi" w:hAnsiTheme="majorHAnsi"/>
          <w:sz w:val="20"/>
          <w:szCs w:val="20"/>
          <w:lang w:val="es-CO"/>
        </w:rPr>
        <w:t>o consta prueba alguna que acredite que el recurso de habeas corpus o exhibición personal,</w:t>
      </w:r>
      <w:r w:rsidR="00D33538" w:rsidRPr="00640517">
        <w:rPr>
          <w:rFonts w:asciiTheme="majorHAnsi" w:hAnsiTheme="majorHAnsi"/>
          <w:sz w:val="20"/>
          <w:szCs w:val="20"/>
          <w:lang w:val="es-CO"/>
        </w:rPr>
        <w:t xml:space="preserve"> también utilizados por el señor Colindres, </w:t>
      </w:r>
      <w:r w:rsidR="00605240" w:rsidRPr="004A7BB3">
        <w:rPr>
          <w:rFonts w:asciiTheme="majorHAnsi" w:hAnsiTheme="majorHAnsi"/>
          <w:sz w:val="20"/>
          <w:szCs w:val="20"/>
          <w:lang w:val="es-CO"/>
        </w:rPr>
        <w:t>tuviera</w:t>
      </w:r>
      <w:r w:rsidR="00FB6B63" w:rsidRPr="004A7BB3">
        <w:rPr>
          <w:rFonts w:asciiTheme="majorHAnsi" w:hAnsiTheme="majorHAnsi"/>
          <w:sz w:val="20"/>
          <w:szCs w:val="20"/>
          <w:lang w:val="es-CO"/>
        </w:rPr>
        <w:t>n</w:t>
      </w:r>
      <w:r w:rsidR="00605240" w:rsidRPr="004A7BB3">
        <w:rPr>
          <w:rFonts w:asciiTheme="majorHAnsi" w:hAnsiTheme="majorHAnsi"/>
          <w:sz w:val="20"/>
          <w:szCs w:val="20"/>
          <w:lang w:val="es-CO"/>
        </w:rPr>
        <w:t xml:space="preserve"> la virtualidad de lograr una revisión del fallo</w:t>
      </w:r>
      <w:r w:rsidR="00D33538" w:rsidRPr="004A7BB3">
        <w:rPr>
          <w:rFonts w:asciiTheme="majorHAnsi" w:hAnsiTheme="majorHAnsi"/>
          <w:sz w:val="20"/>
          <w:szCs w:val="20"/>
          <w:lang w:val="es-CO"/>
        </w:rPr>
        <w:t xml:space="preserve">. </w:t>
      </w:r>
      <w:r w:rsidR="00FB6B63" w:rsidRPr="004A7BB3">
        <w:rPr>
          <w:rFonts w:asciiTheme="majorHAnsi" w:hAnsiTheme="majorHAnsi"/>
          <w:sz w:val="20"/>
          <w:szCs w:val="20"/>
          <w:lang w:val="es-CO"/>
        </w:rPr>
        <w:t xml:space="preserve">En consecuencia, </w:t>
      </w:r>
      <w:r w:rsidR="00FB6B63" w:rsidRPr="004A7BB3">
        <w:rPr>
          <w:rFonts w:asciiTheme="majorHAnsi" w:hAnsiTheme="majorHAnsi"/>
          <w:bCs/>
          <w:sz w:val="20"/>
          <w:szCs w:val="20"/>
          <w:lang w:val="es-CO"/>
        </w:rPr>
        <w:t>a</w:t>
      </w:r>
      <w:r w:rsidR="00605240" w:rsidRPr="004A7BB3">
        <w:rPr>
          <w:rFonts w:asciiTheme="majorHAnsi" w:hAnsiTheme="majorHAnsi"/>
          <w:bCs/>
          <w:sz w:val="20"/>
          <w:szCs w:val="20"/>
          <w:lang w:val="es-CO"/>
        </w:rPr>
        <w:t>l no encontrarse regulada la posibilidad de apelar la deci</w:t>
      </w:r>
      <w:r w:rsidR="00D33538" w:rsidRPr="004A7BB3">
        <w:rPr>
          <w:rFonts w:asciiTheme="majorHAnsi" w:hAnsiTheme="majorHAnsi"/>
          <w:bCs/>
          <w:sz w:val="20"/>
          <w:szCs w:val="20"/>
          <w:lang w:val="es-CO"/>
        </w:rPr>
        <w:t xml:space="preserve">sión de la Asamblea Legislativa, </w:t>
      </w:r>
      <w:r w:rsidR="00605240" w:rsidRPr="004A7BB3">
        <w:rPr>
          <w:rFonts w:asciiTheme="majorHAnsi" w:hAnsiTheme="majorHAnsi"/>
          <w:bCs/>
          <w:sz w:val="20"/>
          <w:szCs w:val="20"/>
          <w:lang w:val="es-CO"/>
        </w:rPr>
        <w:t>el Estado</w:t>
      </w:r>
      <w:r w:rsidR="00D33538" w:rsidRPr="004A7BB3">
        <w:rPr>
          <w:rFonts w:asciiTheme="majorHAnsi" w:hAnsiTheme="majorHAnsi"/>
          <w:bCs/>
          <w:sz w:val="20"/>
          <w:szCs w:val="20"/>
          <w:lang w:val="es-CO"/>
        </w:rPr>
        <w:t xml:space="preserve"> incumplió</w:t>
      </w:r>
      <w:r w:rsidR="00AB2412" w:rsidRPr="004A7BB3">
        <w:rPr>
          <w:rFonts w:asciiTheme="majorHAnsi" w:hAnsiTheme="majorHAnsi"/>
          <w:bCs/>
          <w:sz w:val="20"/>
          <w:szCs w:val="20"/>
          <w:lang w:val="es-CO"/>
        </w:rPr>
        <w:t xml:space="preserve">, en perjuicio del señor Colindres el derecho </w:t>
      </w:r>
      <w:r w:rsidR="004A7BB3" w:rsidRPr="004A7BB3">
        <w:rPr>
          <w:rFonts w:asciiTheme="majorHAnsi" w:hAnsiTheme="majorHAnsi"/>
          <w:bCs/>
          <w:sz w:val="20"/>
          <w:szCs w:val="20"/>
          <w:lang w:val="es-CO"/>
        </w:rPr>
        <w:t>establecido</w:t>
      </w:r>
      <w:r w:rsidR="00D33538" w:rsidRPr="004A7BB3">
        <w:rPr>
          <w:rFonts w:asciiTheme="majorHAnsi" w:hAnsiTheme="majorHAnsi"/>
          <w:bCs/>
          <w:sz w:val="20"/>
          <w:szCs w:val="20"/>
          <w:lang w:val="es-CO"/>
        </w:rPr>
        <w:t xml:space="preserve"> </w:t>
      </w:r>
      <w:r w:rsidR="00605240" w:rsidRPr="004A7BB3">
        <w:rPr>
          <w:rFonts w:asciiTheme="majorHAnsi" w:hAnsiTheme="majorHAnsi"/>
          <w:bCs/>
          <w:sz w:val="20"/>
          <w:szCs w:val="20"/>
          <w:lang w:val="es-CO"/>
        </w:rPr>
        <w:t>el artículo 8.2</w:t>
      </w:r>
      <w:r w:rsidR="004A7BB3" w:rsidRPr="004A7BB3">
        <w:rPr>
          <w:rFonts w:asciiTheme="majorHAnsi" w:hAnsiTheme="majorHAnsi"/>
          <w:bCs/>
          <w:sz w:val="20"/>
          <w:szCs w:val="20"/>
          <w:lang w:val="es-CO"/>
        </w:rPr>
        <w:t xml:space="preserve"> </w:t>
      </w:r>
      <w:r w:rsidR="00605240" w:rsidRPr="004A7BB3">
        <w:rPr>
          <w:rFonts w:asciiTheme="majorHAnsi" w:hAnsiTheme="majorHAnsi"/>
          <w:bCs/>
          <w:sz w:val="20"/>
          <w:szCs w:val="20"/>
          <w:lang w:val="es-CO"/>
        </w:rPr>
        <w:t>h) de la Convención en relación con</w:t>
      </w:r>
      <w:r w:rsidR="00AB2412" w:rsidRPr="004A7BB3">
        <w:rPr>
          <w:rFonts w:asciiTheme="majorHAnsi" w:hAnsiTheme="majorHAnsi"/>
          <w:bCs/>
          <w:sz w:val="20"/>
          <w:szCs w:val="20"/>
          <w:lang w:val="es-CO"/>
        </w:rPr>
        <w:t xml:space="preserve"> los artículos 1.1 y 2 del mismo instrumento.</w:t>
      </w:r>
      <w:r w:rsidR="00AB2412" w:rsidRPr="00640517">
        <w:rPr>
          <w:rFonts w:asciiTheme="majorHAnsi" w:hAnsiTheme="majorHAnsi"/>
          <w:bCs/>
          <w:sz w:val="20"/>
          <w:szCs w:val="20"/>
          <w:lang w:val="es-CO"/>
        </w:rPr>
        <w:t xml:space="preserve"> </w:t>
      </w:r>
    </w:p>
    <w:p w14:paraId="7F597F65" w14:textId="77777777" w:rsidR="0050002E" w:rsidRPr="00640517" w:rsidRDefault="0050002E" w:rsidP="0050002E">
      <w:pPr>
        <w:jc w:val="both"/>
        <w:rPr>
          <w:rFonts w:asciiTheme="majorHAnsi" w:hAnsiTheme="majorHAnsi"/>
          <w:bCs/>
          <w:sz w:val="20"/>
          <w:szCs w:val="20"/>
          <w:lang w:val="es-CO"/>
        </w:rPr>
      </w:pPr>
    </w:p>
    <w:p w14:paraId="277942C0" w14:textId="2CCA4655" w:rsidR="00082D70" w:rsidRPr="00640517" w:rsidRDefault="00082D70" w:rsidP="00082D70">
      <w:pPr>
        <w:numPr>
          <w:ilvl w:val="0"/>
          <w:numId w:val="1"/>
        </w:numPr>
        <w:tabs>
          <w:tab w:val="clear" w:pos="1440"/>
          <w:tab w:val="num" w:pos="851"/>
        </w:tabs>
        <w:ind w:left="0" w:firstLine="709"/>
        <w:jc w:val="both"/>
        <w:rPr>
          <w:rFonts w:asciiTheme="majorHAnsi" w:hAnsiTheme="majorHAnsi"/>
          <w:bCs/>
          <w:sz w:val="20"/>
          <w:szCs w:val="20"/>
          <w:lang w:val="es-CO"/>
        </w:rPr>
      </w:pPr>
      <w:r w:rsidRPr="00640517">
        <w:rPr>
          <w:rFonts w:asciiTheme="majorHAnsi" w:hAnsiTheme="majorHAnsi"/>
          <w:bCs/>
          <w:sz w:val="20"/>
          <w:szCs w:val="20"/>
          <w:lang w:val="es-CO"/>
        </w:rPr>
        <w:t>Por otra parte, e</w:t>
      </w:r>
      <w:r w:rsidRPr="00640517">
        <w:rPr>
          <w:rFonts w:asciiTheme="majorHAnsi" w:hAnsiTheme="majorHAnsi"/>
          <w:sz w:val="20"/>
          <w:szCs w:val="20"/>
          <w:lang w:val="es-CO"/>
        </w:rPr>
        <w:t>n virtud del artículo 25 de la Convención, los Estados deben ofrecer un recurso adecuado y efectivo contra actos violatorios de sus derechos, tanto los establecidos en la Convención como en la ley</w:t>
      </w:r>
      <w:r w:rsidRPr="00640517">
        <w:rPr>
          <w:rStyle w:val="FootnoteReference"/>
          <w:rFonts w:asciiTheme="majorHAnsi" w:hAnsiTheme="majorHAnsi"/>
          <w:sz w:val="20"/>
          <w:szCs w:val="20"/>
        </w:rPr>
        <w:footnoteReference w:id="111"/>
      </w:r>
      <w:r w:rsidR="00F7467C" w:rsidRPr="00640517">
        <w:rPr>
          <w:rFonts w:asciiTheme="majorHAnsi" w:hAnsiTheme="majorHAnsi"/>
          <w:sz w:val="20"/>
          <w:szCs w:val="20"/>
          <w:lang w:val="es-CO"/>
        </w:rPr>
        <w:t>.</w:t>
      </w:r>
      <w:r w:rsidRPr="00640517">
        <w:rPr>
          <w:rFonts w:asciiTheme="majorHAnsi" w:hAnsiTheme="majorHAnsi"/>
          <w:bCs/>
          <w:sz w:val="20"/>
          <w:szCs w:val="20"/>
          <w:lang w:val="es-CO"/>
        </w:rPr>
        <w:t xml:space="preserve"> </w:t>
      </w:r>
    </w:p>
    <w:p w14:paraId="7202795E" w14:textId="77777777" w:rsidR="00082D70" w:rsidRPr="00640517" w:rsidRDefault="00082D70" w:rsidP="00082D70">
      <w:pPr>
        <w:pStyle w:val="ListParagraph"/>
        <w:rPr>
          <w:rFonts w:asciiTheme="majorHAnsi" w:hAnsiTheme="majorHAnsi"/>
          <w:bCs/>
          <w:sz w:val="20"/>
          <w:szCs w:val="20"/>
          <w:lang w:val="es-CO"/>
        </w:rPr>
      </w:pPr>
    </w:p>
    <w:p w14:paraId="63F6FF23" w14:textId="21E02313" w:rsidR="00151BC3" w:rsidRPr="00640517" w:rsidRDefault="009663CF" w:rsidP="00082D70">
      <w:pPr>
        <w:numPr>
          <w:ilvl w:val="0"/>
          <w:numId w:val="1"/>
        </w:numPr>
        <w:tabs>
          <w:tab w:val="clear" w:pos="1440"/>
          <w:tab w:val="num" w:pos="851"/>
        </w:tabs>
        <w:ind w:left="0" w:firstLine="709"/>
        <w:jc w:val="both"/>
        <w:rPr>
          <w:rFonts w:asciiTheme="majorHAnsi" w:hAnsiTheme="majorHAnsi"/>
          <w:bCs/>
          <w:sz w:val="20"/>
          <w:szCs w:val="20"/>
          <w:lang w:val="es-CO"/>
        </w:rPr>
      </w:pPr>
      <w:r w:rsidRPr="00640517">
        <w:rPr>
          <w:rFonts w:asciiTheme="majorHAnsi" w:hAnsiTheme="majorHAnsi"/>
          <w:sz w:val="20"/>
          <w:szCs w:val="20"/>
          <w:lang w:val="es-CO"/>
        </w:rPr>
        <w:t>La Comisión observa que en los recursos interpuestos</w:t>
      </w:r>
      <w:r w:rsidR="00D64A0E" w:rsidRPr="00640517">
        <w:rPr>
          <w:rFonts w:asciiTheme="majorHAnsi" w:hAnsiTheme="majorHAnsi"/>
          <w:sz w:val="20"/>
          <w:szCs w:val="20"/>
          <w:lang w:val="es-CO"/>
        </w:rPr>
        <w:t xml:space="preserve"> </w:t>
      </w:r>
      <w:r w:rsidR="00750C27" w:rsidRPr="00640517">
        <w:rPr>
          <w:rFonts w:asciiTheme="majorHAnsi" w:hAnsiTheme="majorHAnsi"/>
          <w:sz w:val="20"/>
          <w:szCs w:val="20"/>
          <w:lang w:val="es-CO"/>
        </w:rPr>
        <w:t xml:space="preserve">por </w:t>
      </w:r>
      <w:r w:rsidRPr="00640517">
        <w:rPr>
          <w:rFonts w:asciiTheme="majorHAnsi" w:hAnsiTheme="majorHAnsi"/>
          <w:sz w:val="20"/>
          <w:szCs w:val="20"/>
          <w:lang w:val="es-CO"/>
        </w:rPr>
        <w:t>el señor Colindres</w:t>
      </w:r>
      <w:r w:rsidR="007A3D3B" w:rsidRPr="00640517">
        <w:rPr>
          <w:rFonts w:asciiTheme="majorHAnsi" w:hAnsiTheme="majorHAnsi"/>
          <w:sz w:val="20"/>
          <w:szCs w:val="20"/>
          <w:lang w:val="es-CO"/>
        </w:rPr>
        <w:t xml:space="preserve">, éste </w:t>
      </w:r>
      <w:r w:rsidRPr="00640517">
        <w:rPr>
          <w:rFonts w:asciiTheme="majorHAnsi" w:hAnsiTheme="majorHAnsi"/>
          <w:sz w:val="20"/>
          <w:szCs w:val="20"/>
          <w:lang w:val="es-CO"/>
        </w:rPr>
        <w:t xml:space="preserve">alegó diversas violaciones al debido proceso, que incluyen la falta de competencia de la Asamblea Legislativa para separar de su cargo a un magistrado del TSE, </w:t>
      </w:r>
      <w:r w:rsidR="00D64A0E" w:rsidRPr="00640517">
        <w:rPr>
          <w:rFonts w:asciiTheme="majorHAnsi" w:hAnsiTheme="majorHAnsi"/>
          <w:sz w:val="20"/>
          <w:szCs w:val="20"/>
          <w:lang w:val="es-CO"/>
        </w:rPr>
        <w:t xml:space="preserve">incompetencia e irregularidades </w:t>
      </w:r>
      <w:r w:rsidR="00151BC3" w:rsidRPr="00640517">
        <w:rPr>
          <w:rFonts w:asciiTheme="majorHAnsi" w:hAnsiTheme="majorHAnsi"/>
          <w:sz w:val="20"/>
          <w:szCs w:val="20"/>
          <w:lang w:val="es-CO"/>
        </w:rPr>
        <w:t xml:space="preserve">de la Comisión Especial para asegurar el derecho de </w:t>
      </w:r>
      <w:r w:rsidR="00D64A0E" w:rsidRPr="00640517">
        <w:rPr>
          <w:rFonts w:asciiTheme="majorHAnsi" w:hAnsiTheme="majorHAnsi"/>
          <w:sz w:val="20"/>
          <w:szCs w:val="20"/>
          <w:lang w:val="es-CO"/>
        </w:rPr>
        <w:t>defensa y la violación al principio de legalidad</w:t>
      </w:r>
      <w:r w:rsidR="00151BC3" w:rsidRPr="00640517">
        <w:rPr>
          <w:rFonts w:asciiTheme="majorHAnsi" w:hAnsiTheme="majorHAnsi"/>
          <w:sz w:val="20"/>
          <w:szCs w:val="20"/>
          <w:lang w:val="es-CO"/>
        </w:rPr>
        <w:t xml:space="preserve">. La Comisión observa que </w:t>
      </w:r>
      <w:r w:rsidR="00077719" w:rsidRPr="00640517">
        <w:rPr>
          <w:rFonts w:asciiTheme="majorHAnsi" w:hAnsiTheme="majorHAnsi"/>
          <w:sz w:val="20"/>
          <w:szCs w:val="20"/>
          <w:lang w:val="es-CO"/>
        </w:rPr>
        <w:t xml:space="preserve">la respuesta de la Sala </w:t>
      </w:r>
      <w:r w:rsidR="00E9455C" w:rsidRPr="00640517">
        <w:rPr>
          <w:rFonts w:asciiTheme="majorHAnsi" w:hAnsiTheme="majorHAnsi"/>
          <w:sz w:val="20"/>
          <w:szCs w:val="20"/>
          <w:lang w:val="es-CO"/>
        </w:rPr>
        <w:t xml:space="preserve">de lo </w:t>
      </w:r>
      <w:r w:rsidR="00077719" w:rsidRPr="00640517">
        <w:rPr>
          <w:rFonts w:asciiTheme="majorHAnsi" w:hAnsiTheme="majorHAnsi"/>
          <w:sz w:val="20"/>
          <w:szCs w:val="20"/>
          <w:lang w:val="es-CO"/>
        </w:rPr>
        <w:t xml:space="preserve">Constitucional, se dirigió </w:t>
      </w:r>
      <w:r w:rsidR="00FB6B63" w:rsidRPr="00640517">
        <w:rPr>
          <w:rFonts w:asciiTheme="majorHAnsi" w:hAnsiTheme="majorHAnsi"/>
          <w:sz w:val="20"/>
          <w:szCs w:val="20"/>
          <w:lang w:val="es-CO"/>
        </w:rPr>
        <w:t xml:space="preserve">en lo fundamental </w:t>
      </w:r>
      <w:r w:rsidR="00077719" w:rsidRPr="00640517">
        <w:rPr>
          <w:rFonts w:asciiTheme="majorHAnsi" w:hAnsiTheme="majorHAnsi"/>
          <w:sz w:val="20"/>
          <w:szCs w:val="20"/>
          <w:lang w:val="es-CO"/>
        </w:rPr>
        <w:t xml:space="preserve">a validar la </w:t>
      </w:r>
      <w:r w:rsidR="002B072C" w:rsidRPr="00640517">
        <w:rPr>
          <w:rFonts w:asciiTheme="majorHAnsi" w:hAnsiTheme="majorHAnsi"/>
          <w:sz w:val="20"/>
          <w:szCs w:val="20"/>
          <w:lang w:val="es-CO"/>
        </w:rPr>
        <w:t xml:space="preserve">interpretación según la cual </w:t>
      </w:r>
      <w:r w:rsidR="00077719" w:rsidRPr="00640517">
        <w:rPr>
          <w:rFonts w:asciiTheme="majorHAnsi" w:hAnsiTheme="majorHAnsi"/>
          <w:sz w:val="20"/>
          <w:szCs w:val="20"/>
          <w:lang w:val="es-CO"/>
        </w:rPr>
        <w:t xml:space="preserve">la </w:t>
      </w:r>
      <w:r w:rsidR="00077719" w:rsidRPr="00640517">
        <w:rPr>
          <w:rFonts w:asciiTheme="majorHAnsi" w:hAnsiTheme="majorHAnsi"/>
          <w:sz w:val="20"/>
          <w:szCs w:val="20"/>
          <w:lang w:val="es-CO"/>
        </w:rPr>
        <w:lastRenderedPageBreak/>
        <w:t xml:space="preserve">Asamblea </w:t>
      </w:r>
      <w:r w:rsidR="007A3D3B" w:rsidRPr="00640517">
        <w:rPr>
          <w:rFonts w:asciiTheme="majorHAnsi" w:hAnsiTheme="majorHAnsi"/>
          <w:sz w:val="20"/>
          <w:szCs w:val="20"/>
          <w:lang w:val="es-CO"/>
        </w:rPr>
        <w:t xml:space="preserve">tenía competencia para disponer el cese de </w:t>
      </w:r>
      <w:r w:rsidR="00077719" w:rsidRPr="00640517">
        <w:rPr>
          <w:rFonts w:asciiTheme="majorHAnsi" w:hAnsiTheme="majorHAnsi"/>
          <w:sz w:val="20"/>
          <w:szCs w:val="20"/>
          <w:lang w:val="es-CO"/>
        </w:rPr>
        <w:t>magistrados del TSE</w:t>
      </w:r>
      <w:r w:rsidR="00151BC3" w:rsidRPr="00640517">
        <w:rPr>
          <w:rFonts w:asciiTheme="majorHAnsi" w:hAnsiTheme="majorHAnsi"/>
          <w:sz w:val="20"/>
          <w:szCs w:val="20"/>
          <w:lang w:val="es-CO"/>
        </w:rPr>
        <w:t xml:space="preserve"> y </w:t>
      </w:r>
      <w:r w:rsidR="000A5448" w:rsidRPr="00640517">
        <w:rPr>
          <w:rFonts w:asciiTheme="majorHAnsi" w:hAnsiTheme="majorHAnsi"/>
          <w:sz w:val="20"/>
          <w:szCs w:val="20"/>
          <w:lang w:val="es-CO"/>
        </w:rPr>
        <w:t xml:space="preserve">no analizó debidamente los argumentos </w:t>
      </w:r>
      <w:r w:rsidR="00151BC3" w:rsidRPr="00640517">
        <w:rPr>
          <w:rFonts w:asciiTheme="majorHAnsi" w:hAnsiTheme="majorHAnsi"/>
          <w:sz w:val="20"/>
          <w:szCs w:val="20"/>
          <w:lang w:val="es-CO"/>
        </w:rPr>
        <w:t>del señor Colindres.</w:t>
      </w:r>
    </w:p>
    <w:p w14:paraId="15A6C273" w14:textId="77777777" w:rsidR="00082D70" w:rsidRPr="00640517" w:rsidRDefault="00082D70" w:rsidP="00082D70">
      <w:pPr>
        <w:pStyle w:val="ListParagraph"/>
        <w:rPr>
          <w:rFonts w:asciiTheme="majorHAnsi" w:hAnsiTheme="majorHAnsi"/>
          <w:bCs/>
          <w:sz w:val="20"/>
          <w:szCs w:val="20"/>
          <w:lang w:val="es-CO"/>
        </w:rPr>
      </w:pPr>
    </w:p>
    <w:p w14:paraId="397E7C5C" w14:textId="70AF1DB5" w:rsidR="00380B23" w:rsidRPr="00C8165F" w:rsidRDefault="00151BC3" w:rsidP="00082D70">
      <w:pPr>
        <w:numPr>
          <w:ilvl w:val="0"/>
          <w:numId w:val="1"/>
        </w:numPr>
        <w:tabs>
          <w:tab w:val="clear" w:pos="1440"/>
          <w:tab w:val="num" w:pos="851"/>
        </w:tabs>
        <w:ind w:left="0" w:firstLine="709"/>
        <w:jc w:val="both"/>
        <w:rPr>
          <w:rFonts w:asciiTheme="majorHAnsi" w:hAnsiTheme="majorHAnsi"/>
          <w:bCs/>
          <w:sz w:val="20"/>
          <w:szCs w:val="20"/>
          <w:lang w:val="es-CO"/>
        </w:rPr>
      </w:pPr>
      <w:r w:rsidRPr="00640517">
        <w:rPr>
          <w:rFonts w:asciiTheme="majorHAnsi" w:hAnsiTheme="majorHAnsi"/>
          <w:sz w:val="20"/>
          <w:szCs w:val="20"/>
          <w:lang w:val="es-CO"/>
        </w:rPr>
        <w:t>L</w:t>
      </w:r>
      <w:r w:rsidR="00077719" w:rsidRPr="00640517">
        <w:rPr>
          <w:rFonts w:asciiTheme="majorHAnsi" w:hAnsiTheme="majorHAnsi"/>
          <w:sz w:val="20"/>
          <w:szCs w:val="20"/>
          <w:lang w:val="es-CO"/>
        </w:rPr>
        <w:t xml:space="preserve">a Comisión </w:t>
      </w:r>
      <w:r w:rsidRPr="00640517">
        <w:rPr>
          <w:rFonts w:asciiTheme="majorHAnsi" w:hAnsiTheme="majorHAnsi"/>
          <w:sz w:val="20"/>
          <w:szCs w:val="20"/>
          <w:lang w:val="es-CO"/>
        </w:rPr>
        <w:t xml:space="preserve">considera que si bien </w:t>
      </w:r>
      <w:r w:rsidR="00077719" w:rsidRPr="00640517">
        <w:rPr>
          <w:rFonts w:asciiTheme="majorHAnsi" w:hAnsiTheme="majorHAnsi"/>
          <w:sz w:val="20"/>
          <w:szCs w:val="20"/>
          <w:lang w:val="es-CO"/>
        </w:rPr>
        <w:t>el señor Colindres, tuvo acceso al recurso de amparo como un medio de protección constitucional que tendría la virtualidad de proteger sus derechos</w:t>
      </w:r>
      <w:r w:rsidRPr="00640517">
        <w:rPr>
          <w:rFonts w:asciiTheme="majorHAnsi" w:hAnsiTheme="majorHAnsi"/>
          <w:sz w:val="20"/>
          <w:szCs w:val="20"/>
          <w:lang w:val="es-CO"/>
        </w:rPr>
        <w:t xml:space="preserve">, la Sala de lo Constitucional, </w:t>
      </w:r>
      <w:r w:rsidR="004776E4" w:rsidRPr="00640517">
        <w:rPr>
          <w:rFonts w:asciiTheme="majorHAnsi" w:hAnsiTheme="majorHAnsi"/>
          <w:sz w:val="20"/>
          <w:szCs w:val="20"/>
          <w:lang w:val="es-CO"/>
        </w:rPr>
        <w:t xml:space="preserve">no </w:t>
      </w:r>
      <w:r w:rsidRPr="00640517">
        <w:rPr>
          <w:rFonts w:asciiTheme="majorHAnsi" w:hAnsiTheme="majorHAnsi"/>
          <w:sz w:val="20"/>
          <w:szCs w:val="20"/>
          <w:lang w:val="es-CO"/>
        </w:rPr>
        <w:t>analizó la compatibilidad de los argumentos planteados por el señor Colindres, a la luz de l</w:t>
      </w:r>
      <w:r w:rsidR="00A20E19" w:rsidRPr="00640517">
        <w:rPr>
          <w:rFonts w:asciiTheme="majorHAnsi" w:hAnsiTheme="majorHAnsi"/>
          <w:sz w:val="20"/>
          <w:szCs w:val="20"/>
          <w:lang w:val="es-CO"/>
        </w:rPr>
        <w:t xml:space="preserve">os derechos protegidos en la Constitución y en la </w:t>
      </w:r>
      <w:r w:rsidRPr="00640517">
        <w:rPr>
          <w:rFonts w:asciiTheme="majorHAnsi" w:hAnsiTheme="majorHAnsi"/>
          <w:sz w:val="20"/>
          <w:szCs w:val="20"/>
          <w:lang w:val="es-CO"/>
        </w:rPr>
        <w:t>Convención Americana, lo cual era su obligaci</w:t>
      </w:r>
      <w:r w:rsidR="008A7AD6" w:rsidRPr="00640517">
        <w:rPr>
          <w:rFonts w:asciiTheme="majorHAnsi" w:hAnsiTheme="majorHAnsi"/>
          <w:sz w:val="20"/>
          <w:szCs w:val="20"/>
          <w:lang w:val="es-CO"/>
        </w:rPr>
        <w:t>ón.</w:t>
      </w:r>
      <w:r w:rsidR="004776E4" w:rsidRPr="00640517">
        <w:rPr>
          <w:rFonts w:asciiTheme="majorHAnsi" w:hAnsiTheme="majorHAnsi"/>
          <w:sz w:val="20"/>
          <w:szCs w:val="20"/>
          <w:lang w:val="es-CO"/>
        </w:rPr>
        <w:t xml:space="preserve"> </w:t>
      </w:r>
      <w:r w:rsidR="00FB6B63" w:rsidRPr="00640517">
        <w:rPr>
          <w:rFonts w:asciiTheme="majorHAnsi" w:hAnsiTheme="majorHAnsi"/>
          <w:sz w:val="20"/>
          <w:szCs w:val="20"/>
          <w:lang w:val="es-CO"/>
        </w:rPr>
        <w:t>Lo anterior no obstante, c</w:t>
      </w:r>
      <w:r w:rsidR="008A7AD6" w:rsidRPr="00640517">
        <w:rPr>
          <w:rFonts w:asciiTheme="majorHAnsi" w:hAnsiTheme="majorHAnsi"/>
          <w:sz w:val="20"/>
          <w:szCs w:val="20"/>
          <w:lang w:val="es-CO"/>
        </w:rPr>
        <w:t xml:space="preserve">omo se ha demostrado, </w:t>
      </w:r>
      <w:r w:rsidR="00A20E19" w:rsidRPr="00640517">
        <w:rPr>
          <w:rFonts w:asciiTheme="majorHAnsi" w:hAnsiTheme="majorHAnsi"/>
          <w:sz w:val="20"/>
          <w:szCs w:val="20"/>
          <w:lang w:val="es-CO"/>
        </w:rPr>
        <w:t xml:space="preserve">los alegatos del señor Colindres en el marco de los amparos interpuestos, </w:t>
      </w:r>
      <w:r w:rsidR="00524C5E" w:rsidRPr="00640517">
        <w:rPr>
          <w:rFonts w:asciiTheme="majorHAnsi" w:hAnsiTheme="majorHAnsi"/>
          <w:sz w:val="20"/>
          <w:szCs w:val="20"/>
          <w:lang w:val="es-CO"/>
        </w:rPr>
        <w:t xml:space="preserve">coinciden con las violaciones a la Convención Americana ya establecidas en el presente informe respecto de las cuales la víctima tenía derecho a ser protegido judicialmente. </w:t>
      </w:r>
      <w:r w:rsidR="00A975AC" w:rsidRPr="00640517">
        <w:rPr>
          <w:rFonts w:asciiTheme="majorHAnsi" w:hAnsiTheme="majorHAnsi"/>
          <w:sz w:val="20"/>
          <w:szCs w:val="20"/>
          <w:lang w:val="es-CO"/>
        </w:rPr>
        <w:t xml:space="preserve">Por el contrario, tales violaciones </w:t>
      </w:r>
      <w:r w:rsidR="008A7AD6" w:rsidRPr="00C8165F">
        <w:rPr>
          <w:rFonts w:asciiTheme="majorHAnsi" w:hAnsiTheme="majorHAnsi"/>
          <w:sz w:val="20"/>
          <w:szCs w:val="20"/>
          <w:lang w:val="es-CO"/>
        </w:rPr>
        <w:t>se convalidaron</w:t>
      </w:r>
      <w:r w:rsidR="00BF5293" w:rsidRPr="00C8165F">
        <w:rPr>
          <w:rFonts w:asciiTheme="majorHAnsi" w:hAnsiTheme="majorHAnsi"/>
          <w:sz w:val="20"/>
          <w:szCs w:val="20"/>
          <w:lang w:val="es-CO"/>
        </w:rPr>
        <w:t xml:space="preserve"> con la</w:t>
      </w:r>
      <w:r w:rsidR="008A7AD6" w:rsidRPr="00C8165F">
        <w:rPr>
          <w:rFonts w:asciiTheme="majorHAnsi" w:hAnsiTheme="majorHAnsi"/>
          <w:sz w:val="20"/>
          <w:szCs w:val="20"/>
          <w:lang w:val="es-CO"/>
        </w:rPr>
        <w:t>s</w:t>
      </w:r>
      <w:r w:rsidR="00BF5293" w:rsidRPr="00C8165F">
        <w:rPr>
          <w:rFonts w:asciiTheme="majorHAnsi" w:hAnsiTheme="majorHAnsi"/>
          <w:sz w:val="20"/>
          <w:szCs w:val="20"/>
          <w:lang w:val="es-CO"/>
        </w:rPr>
        <w:t xml:space="preserve"> </w:t>
      </w:r>
      <w:r w:rsidR="004776E4" w:rsidRPr="00C8165F">
        <w:rPr>
          <w:rFonts w:asciiTheme="majorHAnsi" w:hAnsiTheme="majorHAnsi"/>
          <w:sz w:val="20"/>
          <w:szCs w:val="20"/>
          <w:lang w:val="es-CO"/>
        </w:rPr>
        <w:t xml:space="preserve">determinaciones </w:t>
      </w:r>
      <w:r w:rsidR="00BF5293" w:rsidRPr="00C8165F">
        <w:rPr>
          <w:rFonts w:asciiTheme="majorHAnsi" w:hAnsiTheme="majorHAnsi"/>
          <w:sz w:val="20"/>
          <w:szCs w:val="20"/>
          <w:lang w:val="es-CO"/>
        </w:rPr>
        <w:t xml:space="preserve">de la Sala </w:t>
      </w:r>
      <w:r w:rsidR="008A7AD6" w:rsidRPr="00C8165F">
        <w:rPr>
          <w:rFonts w:asciiTheme="majorHAnsi" w:hAnsiTheme="majorHAnsi"/>
          <w:sz w:val="20"/>
          <w:szCs w:val="20"/>
          <w:lang w:val="es-CO"/>
        </w:rPr>
        <w:t xml:space="preserve">de lo </w:t>
      </w:r>
      <w:r w:rsidR="00BF5293" w:rsidRPr="00C8165F">
        <w:rPr>
          <w:rFonts w:asciiTheme="majorHAnsi" w:hAnsiTheme="majorHAnsi"/>
          <w:sz w:val="20"/>
          <w:szCs w:val="20"/>
          <w:lang w:val="es-CO"/>
        </w:rPr>
        <w:t>Constitucional</w:t>
      </w:r>
      <w:r w:rsidR="000A4C72" w:rsidRPr="00C8165F">
        <w:rPr>
          <w:rFonts w:asciiTheme="majorHAnsi" w:hAnsiTheme="majorHAnsi"/>
          <w:sz w:val="20"/>
          <w:szCs w:val="20"/>
          <w:lang w:val="es-CO"/>
        </w:rPr>
        <w:t xml:space="preserve">. </w:t>
      </w:r>
    </w:p>
    <w:p w14:paraId="4475B34F" w14:textId="77777777" w:rsidR="00082D70" w:rsidRPr="00640517" w:rsidRDefault="00082D70" w:rsidP="00082D70">
      <w:pPr>
        <w:pStyle w:val="ListParagraph"/>
        <w:rPr>
          <w:rFonts w:asciiTheme="majorHAnsi" w:hAnsiTheme="majorHAnsi"/>
          <w:bCs/>
          <w:sz w:val="20"/>
          <w:szCs w:val="20"/>
          <w:lang w:val="es-CO"/>
        </w:rPr>
      </w:pPr>
    </w:p>
    <w:p w14:paraId="726CA806" w14:textId="77777777" w:rsidR="008A7AD6" w:rsidRPr="00640517" w:rsidRDefault="008A7AD6" w:rsidP="00082D70">
      <w:pPr>
        <w:numPr>
          <w:ilvl w:val="0"/>
          <w:numId w:val="1"/>
        </w:numPr>
        <w:tabs>
          <w:tab w:val="clear" w:pos="1440"/>
          <w:tab w:val="num" w:pos="851"/>
        </w:tabs>
        <w:ind w:left="0" w:firstLine="709"/>
        <w:jc w:val="both"/>
        <w:rPr>
          <w:rFonts w:asciiTheme="majorHAnsi" w:hAnsiTheme="majorHAnsi"/>
          <w:bCs/>
          <w:sz w:val="20"/>
          <w:szCs w:val="20"/>
          <w:lang w:val="es-CO"/>
        </w:rPr>
      </w:pPr>
      <w:r w:rsidRPr="00640517">
        <w:rPr>
          <w:rFonts w:asciiTheme="majorHAnsi" w:hAnsiTheme="majorHAnsi"/>
          <w:sz w:val="20"/>
          <w:szCs w:val="20"/>
          <w:lang w:val="es-CO"/>
        </w:rPr>
        <w:t>Por otra parte</w:t>
      </w:r>
      <w:r w:rsidR="000A4C72" w:rsidRPr="00640517">
        <w:rPr>
          <w:rFonts w:asciiTheme="majorHAnsi" w:hAnsiTheme="majorHAnsi"/>
          <w:sz w:val="20"/>
          <w:szCs w:val="20"/>
          <w:lang w:val="es-CO"/>
        </w:rPr>
        <w:t>, la Comisión no deja de notar que mientras se tramitaba el amparo interpu</w:t>
      </w:r>
      <w:r w:rsidR="00141E7C" w:rsidRPr="00640517">
        <w:rPr>
          <w:rFonts w:asciiTheme="majorHAnsi" w:hAnsiTheme="majorHAnsi"/>
          <w:sz w:val="20"/>
          <w:szCs w:val="20"/>
          <w:lang w:val="es-CO"/>
        </w:rPr>
        <w:t>e</w:t>
      </w:r>
      <w:r w:rsidR="000A4C72" w:rsidRPr="00640517">
        <w:rPr>
          <w:rFonts w:asciiTheme="majorHAnsi" w:hAnsiTheme="majorHAnsi"/>
          <w:sz w:val="20"/>
          <w:szCs w:val="20"/>
          <w:lang w:val="es-CO"/>
        </w:rPr>
        <w:t>sto por el señor Colindres que suspendió provisionalmente la ejecución del acto reclamado</w:t>
      </w:r>
      <w:r w:rsidR="007849C8" w:rsidRPr="00640517">
        <w:rPr>
          <w:rFonts w:asciiTheme="majorHAnsi" w:hAnsiTheme="majorHAnsi"/>
          <w:sz w:val="20"/>
          <w:szCs w:val="20"/>
          <w:lang w:val="es-CO"/>
        </w:rPr>
        <w:t>,</w:t>
      </w:r>
      <w:r w:rsidR="000A4C72" w:rsidRPr="00640517">
        <w:rPr>
          <w:rFonts w:asciiTheme="majorHAnsi" w:hAnsiTheme="majorHAnsi"/>
          <w:sz w:val="20"/>
          <w:szCs w:val="20"/>
          <w:lang w:val="es-CO"/>
        </w:rPr>
        <w:t xml:space="preserve"> consta que </w:t>
      </w:r>
      <w:r w:rsidR="00BF5293" w:rsidRPr="00640517">
        <w:rPr>
          <w:rFonts w:asciiTheme="majorHAnsi" w:hAnsiTheme="majorHAnsi"/>
          <w:sz w:val="20"/>
          <w:szCs w:val="20"/>
          <w:lang w:val="es-CO"/>
        </w:rPr>
        <w:t>la Asamblea Legislativa</w:t>
      </w:r>
      <w:r w:rsidR="000A4C72" w:rsidRPr="00640517">
        <w:rPr>
          <w:rFonts w:asciiTheme="majorHAnsi" w:hAnsiTheme="majorHAnsi"/>
          <w:sz w:val="20"/>
          <w:szCs w:val="20"/>
          <w:lang w:val="es-CO"/>
        </w:rPr>
        <w:t xml:space="preserve"> aprobó </w:t>
      </w:r>
      <w:r w:rsidR="00BF5293" w:rsidRPr="00640517">
        <w:rPr>
          <w:rFonts w:asciiTheme="majorHAnsi" w:hAnsiTheme="majorHAnsi"/>
          <w:sz w:val="20"/>
          <w:szCs w:val="20"/>
          <w:lang w:val="es-CO"/>
        </w:rPr>
        <w:t xml:space="preserve">la creación de </w:t>
      </w:r>
      <w:r w:rsidR="000A4C72" w:rsidRPr="00640517">
        <w:rPr>
          <w:rFonts w:asciiTheme="majorHAnsi" w:hAnsiTheme="majorHAnsi"/>
          <w:sz w:val="20"/>
          <w:szCs w:val="20"/>
          <w:lang w:val="es-CO"/>
        </w:rPr>
        <w:t xml:space="preserve">una comisión especial para las implicaciones institucionales generadas por el fallo de la Corte Suprema de Justicia. Según </w:t>
      </w:r>
      <w:r w:rsidR="00F56B7E" w:rsidRPr="00640517">
        <w:rPr>
          <w:rFonts w:asciiTheme="majorHAnsi" w:hAnsiTheme="majorHAnsi"/>
          <w:sz w:val="20"/>
          <w:szCs w:val="20"/>
          <w:lang w:val="es-CO"/>
        </w:rPr>
        <w:t xml:space="preserve">algunos </w:t>
      </w:r>
      <w:r w:rsidR="00BF5293" w:rsidRPr="00640517">
        <w:rPr>
          <w:rFonts w:asciiTheme="majorHAnsi" w:hAnsiTheme="majorHAnsi"/>
          <w:sz w:val="20"/>
          <w:szCs w:val="20"/>
          <w:lang w:val="es-CO"/>
        </w:rPr>
        <w:t>diputados, tal suspensión</w:t>
      </w:r>
      <w:r w:rsidR="005224F3" w:rsidRPr="00640517">
        <w:rPr>
          <w:rFonts w:asciiTheme="majorHAnsi" w:hAnsiTheme="majorHAnsi"/>
          <w:sz w:val="20"/>
          <w:szCs w:val="20"/>
          <w:lang w:val="es-CO"/>
        </w:rPr>
        <w:t xml:space="preserve"> en el marco de un proceso judicial de amparo</w:t>
      </w:r>
      <w:r w:rsidR="00BF5293" w:rsidRPr="00640517">
        <w:rPr>
          <w:rFonts w:asciiTheme="majorHAnsi" w:hAnsiTheme="majorHAnsi"/>
          <w:sz w:val="20"/>
          <w:szCs w:val="20"/>
          <w:lang w:val="es-CO"/>
        </w:rPr>
        <w:t xml:space="preserve"> era una “</w:t>
      </w:r>
      <w:r w:rsidR="000A4C72" w:rsidRPr="00640517">
        <w:rPr>
          <w:rFonts w:asciiTheme="majorHAnsi" w:hAnsiTheme="majorHAnsi"/>
          <w:sz w:val="20"/>
          <w:szCs w:val="20"/>
          <w:lang w:val="es-CO"/>
        </w:rPr>
        <w:t>intromisión</w:t>
      </w:r>
      <w:r w:rsidR="00BF5293" w:rsidRPr="00640517">
        <w:rPr>
          <w:rFonts w:asciiTheme="majorHAnsi" w:hAnsiTheme="majorHAnsi"/>
          <w:sz w:val="20"/>
          <w:szCs w:val="20"/>
          <w:lang w:val="es-CO"/>
        </w:rPr>
        <w:t>”</w:t>
      </w:r>
      <w:r w:rsidR="005224F3" w:rsidRPr="00640517">
        <w:rPr>
          <w:rFonts w:asciiTheme="majorHAnsi" w:hAnsiTheme="majorHAnsi"/>
          <w:sz w:val="20"/>
          <w:szCs w:val="20"/>
          <w:lang w:val="es-CO"/>
        </w:rPr>
        <w:t xml:space="preserve"> </w:t>
      </w:r>
      <w:r w:rsidR="00BF5293" w:rsidRPr="00640517">
        <w:rPr>
          <w:rFonts w:asciiTheme="majorHAnsi" w:hAnsiTheme="majorHAnsi"/>
          <w:sz w:val="20"/>
          <w:szCs w:val="20"/>
          <w:lang w:val="es-CO"/>
        </w:rPr>
        <w:t xml:space="preserve">y debía investigarse a la Corte </w:t>
      </w:r>
      <w:r w:rsidR="000A4C72" w:rsidRPr="00640517">
        <w:rPr>
          <w:rFonts w:asciiTheme="majorHAnsi" w:hAnsiTheme="majorHAnsi"/>
          <w:sz w:val="20"/>
          <w:szCs w:val="20"/>
          <w:lang w:val="es-CO"/>
        </w:rPr>
        <w:t>a fin de que ésta “sea garante realmente del imperio de la ley y del estado de derecho</w:t>
      </w:r>
      <w:r w:rsidR="00BF5293" w:rsidRPr="00640517">
        <w:rPr>
          <w:rFonts w:asciiTheme="majorHAnsi" w:hAnsiTheme="majorHAnsi"/>
          <w:sz w:val="20"/>
          <w:szCs w:val="20"/>
          <w:lang w:val="es-CO"/>
        </w:rPr>
        <w:t>”</w:t>
      </w:r>
      <w:r w:rsidR="000A4C72" w:rsidRPr="00640517">
        <w:rPr>
          <w:rFonts w:asciiTheme="majorHAnsi" w:hAnsiTheme="majorHAnsi"/>
          <w:sz w:val="20"/>
          <w:szCs w:val="20"/>
          <w:lang w:val="es-CO"/>
        </w:rPr>
        <w:t>.</w:t>
      </w:r>
      <w:r w:rsidRPr="00640517">
        <w:rPr>
          <w:rFonts w:asciiTheme="majorHAnsi" w:hAnsiTheme="majorHAnsi"/>
          <w:sz w:val="20"/>
          <w:szCs w:val="20"/>
          <w:lang w:val="es-CO"/>
        </w:rPr>
        <w:t xml:space="preserve"> </w:t>
      </w:r>
      <w:r w:rsidR="00082D70" w:rsidRPr="00640517">
        <w:rPr>
          <w:rFonts w:asciiTheme="majorHAnsi" w:hAnsiTheme="majorHAnsi"/>
          <w:sz w:val="20"/>
          <w:szCs w:val="20"/>
          <w:lang w:val="es-CO"/>
        </w:rPr>
        <w:t>L</w:t>
      </w:r>
      <w:r w:rsidR="00BF5293" w:rsidRPr="00640517">
        <w:rPr>
          <w:rFonts w:asciiTheme="majorHAnsi" w:hAnsiTheme="majorHAnsi"/>
          <w:sz w:val="20"/>
          <w:szCs w:val="20"/>
          <w:lang w:val="es-CO"/>
        </w:rPr>
        <w:t xml:space="preserve">a Comisión no cuenta con información sobre el desarrollo que tuvo dicha comisión, </w:t>
      </w:r>
      <w:r w:rsidR="00082D70" w:rsidRPr="00640517">
        <w:rPr>
          <w:rFonts w:asciiTheme="majorHAnsi" w:hAnsiTheme="majorHAnsi"/>
          <w:sz w:val="20"/>
          <w:szCs w:val="20"/>
          <w:lang w:val="es-CO"/>
        </w:rPr>
        <w:t xml:space="preserve">sin embargo, </w:t>
      </w:r>
      <w:r w:rsidR="00BF5293" w:rsidRPr="00640517">
        <w:rPr>
          <w:rFonts w:asciiTheme="majorHAnsi" w:hAnsiTheme="majorHAnsi"/>
          <w:sz w:val="20"/>
          <w:szCs w:val="20"/>
          <w:lang w:val="es-CO"/>
        </w:rPr>
        <w:t>advierte que la misma se constituyó en una especie de veeduría de las actuaciones de la Corte Suprema de Justicia y</w:t>
      </w:r>
      <w:r w:rsidR="00EA18AA" w:rsidRPr="00640517">
        <w:rPr>
          <w:rFonts w:asciiTheme="majorHAnsi" w:hAnsiTheme="majorHAnsi"/>
          <w:sz w:val="20"/>
          <w:szCs w:val="20"/>
          <w:lang w:val="es-CO"/>
        </w:rPr>
        <w:t>,</w:t>
      </w:r>
      <w:r w:rsidR="00BF5293" w:rsidRPr="00640517">
        <w:rPr>
          <w:rFonts w:asciiTheme="majorHAnsi" w:hAnsiTheme="majorHAnsi"/>
          <w:sz w:val="20"/>
          <w:szCs w:val="20"/>
          <w:lang w:val="es-CO"/>
        </w:rPr>
        <w:t xml:space="preserve"> por lo tanto, en una posible presión externa a sus actuaciones. </w:t>
      </w:r>
    </w:p>
    <w:p w14:paraId="4D76F593" w14:textId="77777777" w:rsidR="00082D70" w:rsidRPr="00640517" w:rsidRDefault="00082D70" w:rsidP="00082D70">
      <w:pPr>
        <w:pStyle w:val="ListParagraph"/>
        <w:rPr>
          <w:rFonts w:asciiTheme="majorHAnsi" w:hAnsiTheme="majorHAnsi"/>
          <w:bCs/>
          <w:sz w:val="20"/>
          <w:szCs w:val="20"/>
          <w:lang w:val="es-CO"/>
        </w:rPr>
      </w:pPr>
    </w:p>
    <w:p w14:paraId="67B7EAEE" w14:textId="77777777" w:rsidR="00BF5293" w:rsidRPr="00640517" w:rsidRDefault="00BF5293" w:rsidP="00082D70">
      <w:pPr>
        <w:numPr>
          <w:ilvl w:val="0"/>
          <w:numId w:val="1"/>
        </w:numPr>
        <w:tabs>
          <w:tab w:val="clear" w:pos="1440"/>
          <w:tab w:val="num" w:pos="851"/>
        </w:tabs>
        <w:ind w:left="0" w:firstLine="709"/>
        <w:jc w:val="both"/>
        <w:rPr>
          <w:rFonts w:asciiTheme="majorHAnsi" w:hAnsiTheme="majorHAnsi"/>
          <w:bCs/>
          <w:sz w:val="20"/>
          <w:szCs w:val="20"/>
          <w:lang w:val="es-CO"/>
        </w:rPr>
      </w:pPr>
      <w:r w:rsidRPr="00640517">
        <w:rPr>
          <w:rFonts w:asciiTheme="majorHAnsi" w:hAnsiTheme="majorHAnsi"/>
          <w:sz w:val="20"/>
          <w:szCs w:val="20"/>
          <w:lang w:val="es-CO"/>
        </w:rPr>
        <w:t xml:space="preserve">En vista de todo lo anterior, la Comisión considera que el </w:t>
      </w:r>
      <w:r w:rsidR="005224F3" w:rsidRPr="00640517">
        <w:rPr>
          <w:rFonts w:asciiTheme="majorHAnsi" w:hAnsiTheme="majorHAnsi"/>
          <w:sz w:val="20"/>
          <w:szCs w:val="20"/>
          <w:lang w:val="es-CO"/>
        </w:rPr>
        <w:t xml:space="preserve">Estado salvadoreño también es responsable por la violación del derecho a la protección judicial establecido en el artículo </w:t>
      </w:r>
      <w:r w:rsidRPr="00640517">
        <w:rPr>
          <w:rFonts w:asciiTheme="majorHAnsi" w:hAnsiTheme="majorHAnsi"/>
          <w:sz w:val="20"/>
          <w:szCs w:val="20"/>
          <w:lang w:val="es-CO"/>
        </w:rPr>
        <w:t>25 de la Convención Americana</w:t>
      </w:r>
      <w:r w:rsidR="005224F3" w:rsidRPr="00640517">
        <w:rPr>
          <w:rFonts w:asciiTheme="majorHAnsi" w:hAnsiTheme="majorHAnsi"/>
          <w:sz w:val="20"/>
          <w:szCs w:val="20"/>
          <w:lang w:val="es-CO"/>
        </w:rPr>
        <w:t xml:space="preserve"> en relación con el artículo 1.1 del mismo instrumento.</w:t>
      </w:r>
    </w:p>
    <w:p w14:paraId="15BCA732" w14:textId="77777777" w:rsidR="00A829B2" w:rsidRPr="00640517" w:rsidRDefault="00A829B2" w:rsidP="00A829B2">
      <w:pPr>
        <w:pStyle w:val="ListParagraph"/>
        <w:rPr>
          <w:rFonts w:asciiTheme="majorHAnsi" w:hAnsiTheme="majorHAnsi"/>
          <w:bCs/>
          <w:sz w:val="20"/>
          <w:szCs w:val="20"/>
          <w:lang w:val="es-CO"/>
        </w:rPr>
      </w:pPr>
    </w:p>
    <w:p w14:paraId="0166F0E0" w14:textId="77777777" w:rsidR="00A829B2" w:rsidRPr="00640517" w:rsidRDefault="00A829B2" w:rsidP="0045657E">
      <w:pPr>
        <w:pStyle w:val="Heading4"/>
      </w:pPr>
      <w:r w:rsidRPr="00640517">
        <w:t xml:space="preserve">Plazo razonable y derecho a la protección judicial respecto de la </w:t>
      </w:r>
      <w:r w:rsidR="009C6300" w:rsidRPr="00640517">
        <w:t>demanda</w:t>
      </w:r>
      <w:r w:rsidRPr="00640517">
        <w:t xml:space="preserve"> civil</w:t>
      </w:r>
    </w:p>
    <w:p w14:paraId="65336E54" w14:textId="77777777" w:rsidR="000A4C72" w:rsidRPr="00640517" w:rsidRDefault="000A4C72" w:rsidP="00AB69BB">
      <w:pPr>
        <w:pStyle w:val="ListParagraph"/>
        <w:tabs>
          <w:tab w:val="num" w:pos="1440"/>
          <w:tab w:val="left" w:pos="1890"/>
          <w:tab w:val="left" w:pos="2250"/>
        </w:tabs>
        <w:ind w:left="0" w:firstLine="720"/>
        <w:jc w:val="both"/>
        <w:outlineLvl w:val="2"/>
        <w:rPr>
          <w:rFonts w:asciiTheme="majorHAnsi" w:hAnsiTheme="majorHAnsi" w:cs="Verdana"/>
          <w:sz w:val="20"/>
          <w:szCs w:val="20"/>
          <w:lang w:val="es-CO"/>
        </w:rPr>
      </w:pPr>
    </w:p>
    <w:p w14:paraId="011C8C20" w14:textId="091393C1" w:rsidR="00C24130" w:rsidRPr="00640517" w:rsidRDefault="00C24130" w:rsidP="00AB5F47">
      <w:pPr>
        <w:numPr>
          <w:ilvl w:val="0"/>
          <w:numId w:val="1"/>
        </w:numPr>
        <w:tabs>
          <w:tab w:val="clear" w:pos="1440"/>
          <w:tab w:val="num" w:pos="851"/>
        </w:tabs>
        <w:ind w:left="0" w:firstLine="709"/>
        <w:jc w:val="both"/>
        <w:rPr>
          <w:rFonts w:asciiTheme="majorHAnsi" w:hAnsiTheme="majorHAnsi"/>
          <w:sz w:val="20"/>
          <w:szCs w:val="20"/>
          <w:lang w:val="es-CO"/>
        </w:rPr>
      </w:pPr>
      <w:r w:rsidRPr="00640517">
        <w:rPr>
          <w:rFonts w:asciiTheme="majorHAnsi" w:hAnsiTheme="majorHAnsi"/>
          <w:sz w:val="20"/>
          <w:szCs w:val="20"/>
          <w:lang w:val="es-ES"/>
        </w:rPr>
        <w:t>Tal como se estableció en los hechos probados,</w:t>
      </w:r>
      <w:r w:rsidR="00895675" w:rsidRPr="00640517">
        <w:rPr>
          <w:rFonts w:asciiTheme="majorHAnsi" w:hAnsiTheme="majorHAnsi"/>
          <w:sz w:val="20"/>
          <w:szCs w:val="20"/>
          <w:lang w:val="es-ES"/>
        </w:rPr>
        <w:t xml:space="preserve"> el señor Colindres</w:t>
      </w:r>
      <w:r w:rsidR="009C6300" w:rsidRPr="00640517">
        <w:rPr>
          <w:rFonts w:asciiTheme="majorHAnsi" w:hAnsiTheme="majorHAnsi"/>
          <w:sz w:val="20"/>
          <w:szCs w:val="20"/>
          <w:lang w:val="es-ES"/>
        </w:rPr>
        <w:t xml:space="preserve"> interpuso una demanda civil para obtener una reparación respecto de su primera destitución. </w:t>
      </w:r>
      <w:r w:rsidR="00AB5F47" w:rsidRPr="00640517">
        <w:rPr>
          <w:rFonts w:asciiTheme="majorHAnsi" w:hAnsiTheme="majorHAnsi"/>
          <w:sz w:val="20"/>
          <w:szCs w:val="20"/>
          <w:lang w:val="es-ES"/>
        </w:rPr>
        <w:t xml:space="preserve">Este proceso tardó desde el 12 de enero de 1999 hasta el 22 de diciembre de </w:t>
      </w:r>
      <w:r w:rsidR="00AB5F47" w:rsidRPr="00C8165F">
        <w:rPr>
          <w:rFonts w:asciiTheme="majorHAnsi" w:hAnsiTheme="majorHAnsi"/>
          <w:sz w:val="20"/>
          <w:szCs w:val="20"/>
          <w:lang w:val="es-ES"/>
        </w:rPr>
        <w:t xml:space="preserve">2009, es decir, casi 11 años. </w:t>
      </w:r>
      <w:r w:rsidR="003338FE" w:rsidRPr="00C8165F">
        <w:rPr>
          <w:rFonts w:asciiTheme="majorHAnsi" w:hAnsiTheme="majorHAnsi"/>
          <w:sz w:val="20"/>
          <w:szCs w:val="20"/>
          <w:lang w:val="es-ES"/>
        </w:rPr>
        <w:t>A</w:t>
      </w:r>
      <w:r w:rsidR="00AB5F47" w:rsidRPr="00C8165F">
        <w:rPr>
          <w:rFonts w:asciiTheme="majorHAnsi" w:hAnsiTheme="majorHAnsi"/>
          <w:sz w:val="20"/>
          <w:szCs w:val="20"/>
          <w:lang w:val="es-ES"/>
        </w:rPr>
        <w:t>demás, de la información disponible no resulta que el Estado hubiese dado cump</w:t>
      </w:r>
      <w:r w:rsidR="00C8165F" w:rsidRPr="00C8165F">
        <w:rPr>
          <w:rFonts w:asciiTheme="majorHAnsi" w:hAnsiTheme="majorHAnsi"/>
          <w:sz w:val="20"/>
          <w:szCs w:val="20"/>
          <w:lang w:val="es-ES"/>
        </w:rPr>
        <w:t>l</w:t>
      </w:r>
      <w:r w:rsidR="00AB5F47" w:rsidRPr="00C8165F">
        <w:rPr>
          <w:rFonts w:asciiTheme="majorHAnsi" w:hAnsiTheme="majorHAnsi"/>
          <w:sz w:val="20"/>
          <w:szCs w:val="20"/>
          <w:lang w:val="es-ES"/>
        </w:rPr>
        <w:t xml:space="preserve">imiento a la reparación ordenada. </w:t>
      </w:r>
      <w:r w:rsidR="00724011" w:rsidRPr="00C8165F">
        <w:rPr>
          <w:rFonts w:asciiTheme="majorHAnsi" w:hAnsiTheme="majorHAnsi"/>
          <w:sz w:val="20"/>
          <w:szCs w:val="20"/>
          <w:lang w:val="es-ES"/>
        </w:rPr>
        <w:t>En ese sentido, la Comisión estima pertinente analizar esta demanda y su</w:t>
      </w:r>
      <w:r w:rsidR="00724011" w:rsidRPr="00640517">
        <w:rPr>
          <w:rFonts w:asciiTheme="majorHAnsi" w:hAnsiTheme="majorHAnsi"/>
          <w:sz w:val="20"/>
          <w:szCs w:val="20"/>
          <w:lang w:val="es-ES"/>
        </w:rPr>
        <w:t xml:space="preserve"> cumplimiento a la luz de la garantía de plazo razonable y del deber de cumplir los fallos judiciales.</w:t>
      </w:r>
    </w:p>
    <w:p w14:paraId="3F384D04" w14:textId="77777777" w:rsidR="00C24130" w:rsidRPr="00640517" w:rsidRDefault="00C24130" w:rsidP="00C24130">
      <w:pPr>
        <w:ind w:left="709"/>
        <w:jc w:val="both"/>
        <w:rPr>
          <w:rFonts w:asciiTheme="majorHAnsi" w:hAnsiTheme="majorHAnsi"/>
          <w:sz w:val="20"/>
          <w:szCs w:val="20"/>
          <w:lang w:val="es-ES"/>
        </w:rPr>
      </w:pPr>
    </w:p>
    <w:p w14:paraId="6DEF5E6E" w14:textId="77777777" w:rsidR="00C24130" w:rsidRPr="00640517" w:rsidRDefault="00C24130" w:rsidP="00C24130">
      <w:pPr>
        <w:numPr>
          <w:ilvl w:val="0"/>
          <w:numId w:val="1"/>
        </w:numPr>
        <w:tabs>
          <w:tab w:val="clear" w:pos="1440"/>
          <w:tab w:val="num" w:pos="851"/>
        </w:tabs>
        <w:ind w:left="0" w:firstLine="709"/>
        <w:jc w:val="both"/>
        <w:rPr>
          <w:rFonts w:ascii="Cambria" w:hAnsi="Cambria"/>
          <w:sz w:val="20"/>
          <w:szCs w:val="20"/>
          <w:lang w:val="es-ES"/>
        </w:rPr>
      </w:pPr>
      <w:r w:rsidRPr="00640517">
        <w:rPr>
          <w:rFonts w:ascii="Cambria" w:hAnsi="Cambria"/>
          <w:sz w:val="20"/>
          <w:szCs w:val="20"/>
          <w:lang w:val="es-ES"/>
        </w:rPr>
        <w:t>El artículo 8.1 de la Convención Americana establece como uno de los elementos del debido proceso que los tribunales decidan los casos sometidos a su conocimiento en un plazo razonable. En este sentido, una demora prolongada puede llegar a constituir, por sí misma, una violación de las garantías judiciales</w:t>
      </w:r>
      <w:r w:rsidRPr="00640517">
        <w:rPr>
          <w:rStyle w:val="FootnoteReference"/>
          <w:rFonts w:ascii="Cambria" w:hAnsi="Cambria"/>
          <w:sz w:val="20"/>
          <w:szCs w:val="20"/>
          <w:lang w:val="es-ES_tradnl"/>
        </w:rPr>
        <w:footnoteReference w:id="112"/>
      </w:r>
      <w:r w:rsidRPr="00640517">
        <w:rPr>
          <w:rFonts w:ascii="Cambria" w:hAnsi="Cambria"/>
          <w:sz w:val="20"/>
          <w:szCs w:val="20"/>
          <w:lang w:val="es-ES"/>
        </w:rPr>
        <w:t xml:space="preserve">. La Comisión y la Corte han utilizado reiteradamente </w:t>
      </w:r>
      <w:proofErr w:type="gramStart"/>
      <w:r w:rsidRPr="00640517">
        <w:rPr>
          <w:rFonts w:ascii="Cambria" w:hAnsi="Cambria"/>
          <w:sz w:val="20"/>
          <w:szCs w:val="20"/>
          <w:lang w:val="es-ES"/>
        </w:rPr>
        <w:t>los siguiente elementos</w:t>
      </w:r>
      <w:proofErr w:type="gramEnd"/>
      <w:r w:rsidRPr="00640517">
        <w:rPr>
          <w:rFonts w:ascii="Cambria" w:hAnsi="Cambria"/>
          <w:sz w:val="20"/>
          <w:szCs w:val="20"/>
          <w:lang w:val="es-ES"/>
        </w:rPr>
        <w:t xml:space="preserve"> p</w:t>
      </w:r>
      <w:r w:rsidRPr="00640517">
        <w:rPr>
          <w:rFonts w:ascii="Cambria" w:hAnsi="Cambria"/>
          <w:sz w:val="20"/>
          <w:szCs w:val="20"/>
          <w:lang w:val="es-ES_tradnl"/>
        </w:rPr>
        <w:t>ara analizar la razonabilidad del plazo, a saber</w:t>
      </w:r>
      <w:r w:rsidRPr="00640517">
        <w:rPr>
          <w:rFonts w:ascii="Cambria" w:hAnsi="Cambria"/>
          <w:sz w:val="20"/>
          <w:szCs w:val="20"/>
          <w:lang w:val="es-ES"/>
        </w:rPr>
        <w:t>: i) la complejidad del asunto; ii) la actividad procesal del interesado; iii) la conducta de las autoridades judiciales;</w:t>
      </w:r>
      <w:r w:rsidRPr="00640517">
        <w:rPr>
          <w:rFonts w:ascii="Cambria" w:hAnsi="Cambria"/>
          <w:sz w:val="20"/>
          <w:szCs w:val="20"/>
          <w:lang w:val="es-ES_tradnl"/>
        </w:rPr>
        <w:t xml:space="preserve"> y iv) afectación generada en la situación jurídica de la persona involucrada en el proceso</w:t>
      </w:r>
      <w:r w:rsidRPr="00640517">
        <w:rPr>
          <w:rStyle w:val="FootnoteReference"/>
          <w:rFonts w:ascii="Cambria" w:hAnsi="Cambria"/>
          <w:sz w:val="20"/>
          <w:szCs w:val="20"/>
          <w:lang w:val="es-ES_tradnl"/>
        </w:rPr>
        <w:footnoteReference w:id="113"/>
      </w:r>
      <w:r w:rsidRPr="00640517">
        <w:rPr>
          <w:rFonts w:ascii="Cambria" w:hAnsi="Cambria"/>
          <w:sz w:val="20"/>
          <w:szCs w:val="20"/>
          <w:lang w:val="es-ES"/>
        </w:rPr>
        <w:t>.</w:t>
      </w:r>
    </w:p>
    <w:p w14:paraId="13068E4F" w14:textId="77777777" w:rsidR="00807E64" w:rsidRPr="00640517" w:rsidRDefault="00807E64" w:rsidP="00807E64">
      <w:pPr>
        <w:ind w:left="709"/>
        <w:jc w:val="both"/>
        <w:rPr>
          <w:rFonts w:asciiTheme="majorHAnsi" w:hAnsiTheme="majorHAnsi"/>
          <w:bCs/>
          <w:sz w:val="20"/>
          <w:szCs w:val="20"/>
          <w:lang w:val="es-CO"/>
        </w:rPr>
      </w:pPr>
    </w:p>
    <w:p w14:paraId="7D8E3959" w14:textId="77777777" w:rsidR="00C24130" w:rsidRPr="00640517" w:rsidRDefault="00D659F1" w:rsidP="006B4A34">
      <w:pPr>
        <w:numPr>
          <w:ilvl w:val="0"/>
          <w:numId w:val="1"/>
        </w:numPr>
        <w:tabs>
          <w:tab w:val="clear" w:pos="1440"/>
          <w:tab w:val="num" w:pos="851"/>
        </w:tabs>
        <w:ind w:left="0" w:firstLine="709"/>
        <w:jc w:val="both"/>
        <w:rPr>
          <w:rFonts w:ascii="Cambria" w:hAnsi="Cambria"/>
          <w:sz w:val="20"/>
          <w:szCs w:val="20"/>
          <w:lang w:val="es-ES"/>
        </w:rPr>
      </w:pPr>
      <w:r w:rsidRPr="00640517">
        <w:rPr>
          <w:rFonts w:ascii="Cambria" w:hAnsi="Cambria"/>
          <w:sz w:val="20"/>
          <w:szCs w:val="20"/>
          <w:lang w:val="es-ES"/>
        </w:rPr>
        <w:t>Por otra parte, la CIDH ha sostenido que “para que el Poder Judicial pueda servir de manera efectiva como órgano de control, garantía y protección de los derechos humanos, no sólo se requiere que éste exista de manera formal, sino que además sea independiente, imparcial y que sus sentencias sean cumplidas”</w:t>
      </w:r>
      <w:r w:rsidRPr="00640517">
        <w:rPr>
          <w:rStyle w:val="FootnoteReference"/>
          <w:rFonts w:ascii="Cambria" w:hAnsi="Cambria"/>
          <w:sz w:val="20"/>
          <w:szCs w:val="20"/>
          <w:lang w:val="es-ES"/>
        </w:rPr>
        <w:footnoteReference w:id="114"/>
      </w:r>
      <w:r w:rsidRPr="00640517">
        <w:rPr>
          <w:rFonts w:ascii="Cambria" w:hAnsi="Cambria"/>
          <w:sz w:val="20"/>
          <w:szCs w:val="20"/>
          <w:lang w:val="es-ES"/>
        </w:rPr>
        <w:t xml:space="preserve">. </w:t>
      </w:r>
      <w:r w:rsidR="00C24130" w:rsidRPr="00640517">
        <w:rPr>
          <w:rFonts w:ascii="Cambria" w:hAnsi="Cambria"/>
          <w:sz w:val="20"/>
          <w:szCs w:val="20"/>
          <w:lang w:val="es-ES"/>
        </w:rPr>
        <w:t xml:space="preserve">La Corte Interamericana ha señalado que uno de los componentes del derecho a la protección </w:t>
      </w:r>
      <w:r w:rsidR="00C24130" w:rsidRPr="00640517">
        <w:rPr>
          <w:rFonts w:ascii="Cambria" w:hAnsi="Cambria"/>
          <w:sz w:val="20"/>
          <w:szCs w:val="20"/>
          <w:lang w:val="es-ES"/>
        </w:rPr>
        <w:lastRenderedPageBreak/>
        <w:t>judicial, establecido en el artículo 25 de la Convención Americana, es que los Estados “</w:t>
      </w:r>
      <w:proofErr w:type="spellStart"/>
      <w:r w:rsidR="00C24130" w:rsidRPr="00640517">
        <w:rPr>
          <w:rFonts w:ascii="Cambria" w:hAnsi="Cambria"/>
          <w:sz w:val="20"/>
          <w:szCs w:val="20"/>
          <w:lang w:val="es-ES"/>
        </w:rPr>
        <w:t>garanti</w:t>
      </w:r>
      <w:proofErr w:type="spellEnd"/>
      <w:r w:rsidR="00C24130" w:rsidRPr="00640517">
        <w:rPr>
          <w:rFonts w:ascii="Cambria" w:hAnsi="Cambria" w:cs="Arial"/>
          <w:sz w:val="20"/>
          <w:szCs w:val="20"/>
          <w:lang w:val="es-ES"/>
        </w:rPr>
        <w:t>[</w:t>
      </w:r>
      <w:proofErr w:type="spellStart"/>
      <w:r w:rsidR="00C24130" w:rsidRPr="00640517">
        <w:rPr>
          <w:rFonts w:ascii="Cambria" w:hAnsi="Cambria" w:cs="Arial"/>
          <w:sz w:val="20"/>
          <w:szCs w:val="20"/>
          <w:lang w:val="es-ES"/>
        </w:rPr>
        <w:t>cen</w:t>
      </w:r>
      <w:proofErr w:type="spellEnd"/>
      <w:r w:rsidR="00C24130" w:rsidRPr="00640517">
        <w:rPr>
          <w:rFonts w:ascii="Cambria" w:hAnsi="Cambria" w:cs="Arial"/>
          <w:sz w:val="20"/>
          <w:szCs w:val="20"/>
          <w:lang w:val="es-ES"/>
        </w:rPr>
        <w:t>]</w:t>
      </w:r>
      <w:r w:rsidR="00C24130" w:rsidRPr="00640517">
        <w:rPr>
          <w:rFonts w:ascii="Cambria" w:hAnsi="Cambria"/>
          <w:sz w:val="20"/>
          <w:szCs w:val="20"/>
          <w:lang w:val="es-ES"/>
        </w:rPr>
        <w:t xml:space="preserve"> los medios para ejecutar las respectivas decisiones y sentencias definitivas emitidas por (…) autoridades competentes</w:t>
      </w:r>
      <w:r w:rsidR="00C24130" w:rsidRPr="00640517">
        <w:rPr>
          <w:rFonts w:ascii="Cambria" w:hAnsi="Cambria"/>
          <w:sz w:val="20"/>
          <w:szCs w:val="20"/>
          <w:vertAlign w:val="superscript"/>
          <w:lang w:val="es-ES"/>
        </w:rPr>
        <w:footnoteReference w:id="115"/>
      </w:r>
      <w:r w:rsidR="00C24130" w:rsidRPr="00640517">
        <w:rPr>
          <w:rFonts w:ascii="Cambria" w:hAnsi="Cambria"/>
          <w:sz w:val="20"/>
          <w:szCs w:val="20"/>
          <w:lang w:val="es-ES"/>
        </w:rPr>
        <w:t>”. En ese sentido, la efectividad de las sentencias depende de su ejecución</w:t>
      </w:r>
      <w:r w:rsidR="00C24130" w:rsidRPr="00640517">
        <w:rPr>
          <w:rStyle w:val="FootnoteReference"/>
          <w:rFonts w:ascii="Cambria" w:hAnsi="Cambria"/>
          <w:sz w:val="20"/>
          <w:szCs w:val="20"/>
          <w:lang w:val="es-ES"/>
        </w:rPr>
        <w:footnoteReference w:id="116"/>
      </w:r>
      <w:r w:rsidR="00C24130" w:rsidRPr="00640517">
        <w:rPr>
          <w:rFonts w:ascii="Cambria" w:hAnsi="Cambria"/>
          <w:sz w:val="20"/>
          <w:szCs w:val="20"/>
          <w:lang w:val="es-ES"/>
        </w:rPr>
        <w:t xml:space="preserve">. </w:t>
      </w:r>
    </w:p>
    <w:p w14:paraId="543B0491" w14:textId="77777777" w:rsidR="00C24130" w:rsidRPr="00640517" w:rsidRDefault="00C24130" w:rsidP="00807E64">
      <w:pPr>
        <w:ind w:left="709"/>
        <w:jc w:val="both"/>
        <w:rPr>
          <w:rFonts w:asciiTheme="majorHAnsi" w:hAnsiTheme="majorHAnsi"/>
          <w:bCs/>
          <w:sz w:val="20"/>
          <w:szCs w:val="20"/>
          <w:lang w:val="es-CO"/>
        </w:rPr>
      </w:pPr>
    </w:p>
    <w:p w14:paraId="772B049E" w14:textId="77777777" w:rsidR="00452D92" w:rsidRPr="00640517" w:rsidRDefault="00052DC6" w:rsidP="00082D70">
      <w:pPr>
        <w:numPr>
          <w:ilvl w:val="0"/>
          <w:numId w:val="1"/>
        </w:numPr>
        <w:tabs>
          <w:tab w:val="clear" w:pos="1440"/>
          <w:tab w:val="num" w:pos="851"/>
        </w:tabs>
        <w:ind w:left="0" w:firstLine="709"/>
        <w:jc w:val="both"/>
        <w:rPr>
          <w:rFonts w:asciiTheme="majorHAnsi" w:hAnsiTheme="majorHAnsi"/>
          <w:bCs/>
          <w:sz w:val="20"/>
          <w:szCs w:val="20"/>
          <w:lang w:val="es-CO"/>
        </w:rPr>
      </w:pPr>
      <w:r w:rsidRPr="00640517">
        <w:rPr>
          <w:rFonts w:asciiTheme="majorHAnsi" w:hAnsiTheme="majorHAnsi"/>
          <w:bCs/>
          <w:sz w:val="20"/>
          <w:szCs w:val="20"/>
          <w:lang w:val="es-CO"/>
        </w:rPr>
        <w:t>En cuanto a la razonabilidad del plazo, la Comisión observa en primer lugar que el Estado no aportó just</w:t>
      </w:r>
      <w:r w:rsidR="004D057A" w:rsidRPr="00640517">
        <w:rPr>
          <w:rFonts w:asciiTheme="majorHAnsi" w:hAnsiTheme="majorHAnsi"/>
          <w:bCs/>
          <w:sz w:val="20"/>
          <w:szCs w:val="20"/>
          <w:lang w:val="es-CO"/>
        </w:rPr>
        <w:t>i</w:t>
      </w:r>
      <w:r w:rsidRPr="00640517">
        <w:rPr>
          <w:rFonts w:asciiTheme="majorHAnsi" w:hAnsiTheme="majorHAnsi"/>
          <w:bCs/>
          <w:sz w:val="20"/>
          <w:szCs w:val="20"/>
          <w:lang w:val="es-CO"/>
        </w:rPr>
        <w:t xml:space="preserve">ficación sobre el lapso de casi once años que duró hasta la sentencia definitiva. </w:t>
      </w:r>
    </w:p>
    <w:p w14:paraId="485D085A" w14:textId="77777777" w:rsidR="00452D92" w:rsidRPr="00640517" w:rsidRDefault="00452D92" w:rsidP="00452D92">
      <w:pPr>
        <w:pStyle w:val="ListParagraph"/>
        <w:rPr>
          <w:rFonts w:asciiTheme="majorHAnsi" w:hAnsiTheme="majorHAnsi"/>
          <w:bCs/>
          <w:sz w:val="20"/>
          <w:szCs w:val="20"/>
          <w:lang w:val="es-CO"/>
        </w:rPr>
      </w:pPr>
    </w:p>
    <w:p w14:paraId="34162E5A" w14:textId="17810BA1" w:rsidR="00452D92" w:rsidRPr="00640517" w:rsidRDefault="00452D92" w:rsidP="00082D70">
      <w:pPr>
        <w:numPr>
          <w:ilvl w:val="0"/>
          <w:numId w:val="1"/>
        </w:numPr>
        <w:tabs>
          <w:tab w:val="clear" w:pos="1440"/>
          <w:tab w:val="num" w:pos="851"/>
        </w:tabs>
        <w:ind w:left="0" w:firstLine="709"/>
        <w:jc w:val="both"/>
        <w:rPr>
          <w:rFonts w:asciiTheme="majorHAnsi" w:hAnsiTheme="majorHAnsi"/>
          <w:bCs/>
          <w:sz w:val="20"/>
          <w:szCs w:val="20"/>
          <w:lang w:val="es-CO"/>
        </w:rPr>
      </w:pPr>
      <w:r w:rsidRPr="00640517">
        <w:rPr>
          <w:rFonts w:asciiTheme="majorHAnsi" w:hAnsiTheme="majorHAnsi"/>
          <w:bCs/>
          <w:sz w:val="20"/>
          <w:szCs w:val="20"/>
          <w:lang w:val="es-CO"/>
        </w:rPr>
        <w:t xml:space="preserve">Sin perjuicio de ello, </w:t>
      </w:r>
      <w:r w:rsidR="00052DC6" w:rsidRPr="00640517">
        <w:rPr>
          <w:rFonts w:asciiTheme="majorHAnsi" w:hAnsiTheme="majorHAnsi"/>
          <w:bCs/>
          <w:sz w:val="20"/>
          <w:szCs w:val="20"/>
          <w:lang w:val="es-CO"/>
        </w:rPr>
        <w:t>la Comisión considera que del expediente no surgen elementos que permitan considerar que la demanda y su resolución revestían una especial complejidad que justifica</w:t>
      </w:r>
      <w:r w:rsidR="00976CBB">
        <w:rPr>
          <w:rFonts w:asciiTheme="majorHAnsi" w:hAnsiTheme="majorHAnsi"/>
          <w:bCs/>
          <w:sz w:val="20"/>
          <w:szCs w:val="20"/>
          <w:lang w:val="es-CO"/>
        </w:rPr>
        <w:t>ba</w:t>
      </w:r>
      <w:r w:rsidR="00052DC6" w:rsidRPr="00640517">
        <w:rPr>
          <w:rFonts w:asciiTheme="majorHAnsi" w:hAnsiTheme="majorHAnsi"/>
          <w:bCs/>
          <w:sz w:val="20"/>
          <w:szCs w:val="20"/>
          <w:lang w:val="es-CO"/>
        </w:rPr>
        <w:t xml:space="preserve"> la demora mencionada. En cuanto a la actuación de las autoridades judiciales, tal como se indicó en los hechos probados, si bien la decisión de primera instancia fue emitida el 23 de diciembre de 1999 y la de segunda instancia el 13 de junio de 2001, el recurso de casación fue resuelto</w:t>
      </w:r>
      <w:r w:rsidR="000D0607" w:rsidRPr="00640517">
        <w:rPr>
          <w:rFonts w:asciiTheme="majorHAnsi" w:hAnsiTheme="majorHAnsi"/>
          <w:bCs/>
          <w:sz w:val="20"/>
          <w:szCs w:val="20"/>
          <w:lang w:val="es-CO"/>
        </w:rPr>
        <w:t xml:space="preserve"> más de</w:t>
      </w:r>
      <w:r w:rsidR="00052DC6" w:rsidRPr="00640517">
        <w:rPr>
          <w:rFonts w:asciiTheme="majorHAnsi" w:hAnsiTheme="majorHAnsi"/>
          <w:bCs/>
          <w:sz w:val="20"/>
          <w:szCs w:val="20"/>
          <w:lang w:val="es-CO"/>
        </w:rPr>
        <w:t xml:space="preserve"> </w:t>
      </w:r>
      <w:r w:rsidRPr="00640517">
        <w:rPr>
          <w:rFonts w:asciiTheme="majorHAnsi" w:hAnsiTheme="majorHAnsi"/>
          <w:bCs/>
          <w:sz w:val="20"/>
          <w:szCs w:val="20"/>
          <w:lang w:val="es-CO"/>
        </w:rPr>
        <w:t>ocho años después. La Comisión nota que por la naturaleza del recurso de casación, el debate era esencialmente una cuestión de derecho. Además, la Comisión no cuenta con información sobre diligencias practicadas durante d</w:t>
      </w:r>
      <w:r w:rsidR="00976CBB" w:rsidRPr="00976CBB">
        <w:rPr>
          <w:rFonts w:asciiTheme="majorHAnsi" w:hAnsiTheme="majorHAnsi"/>
          <w:bCs/>
          <w:sz w:val="20"/>
          <w:szCs w:val="20"/>
          <w:lang w:val="es-CO"/>
        </w:rPr>
        <w:t>i</w:t>
      </w:r>
      <w:r w:rsidRPr="00976CBB">
        <w:rPr>
          <w:rFonts w:asciiTheme="majorHAnsi" w:hAnsiTheme="majorHAnsi"/>
          <w:bCs/>
          <w:sz w:val="20"/>
          <w:szCs w:val="20"/>
          <w:lang w:val="es-CO"/>
        </w:rPr>
        <w:t>ch</w:t>
      </w:r>
      <w:r w:rsidRPr="00640517">
        <w:rPr>
          <w:rFonts w:asciiTheme="majorHAnsi" w:hAnsiTheme="majorHAnsi"/>
          <w:bCs/>
          <w:sz w:val="20"/>
          <w:szCs w:val="20"/>
          <w:lang w:val="es-CO"/>
        </w:rPr>
        <w:t xml:space="preserve">o lapso y, como se dijo, el Estado tampoco lo justificó. En cuanto a la actuación del interesado, no surge del expediente que el señor Colindres hubiera tenido alguna actuación que entorpeciera el proceso. </w:t>
      </w:r>
    </w:p>
    <w:p w14:paraId="51FCFB60" w14:textId="77777777" w:rsidR="001E0325" w:rsidRPr="00640517" w:rsidRDefault="001E0325" w:rsidP="001E0325">
      <w:pPr>
        <w:pStyle w:val="ListParagraph"/>
        <w:rPr>
          <w:rFonts w:asciiTheme="majorHAnsi" w:hAnsiTheme="majorHAnsi"/>
          <w:bCs/>
          <w:sz w:val="20"/>
          <w:szCs w:val="20"/>
          <w:lang w:val="es-CO"/>
        </w:rPr>
      </w:pPr>
    </w:p>
    <w:p w14:paraId="7144730E" w14:textId="77777777" w:rsidR="001E0325" w:rsidRPr="00640517" w:rsidRDefault="001E0325" w:rsidP="00082D70">
      <w:pPr>
        <w:numPr>
          <w:ilvl w:val="0"/>
          <w:numId w:val="1"/>
        </w:numPr>
        <w:tabs>
          <w:tab w:val="clear" w:pos="1440"/>
          <w:tab w:val="num" w:pos="851"/>
        </w:tabs>
        <w:ind w:left="0" w:firstLine="709"/>
        <w:jc w:val="both"/>
        <w:rPr>
          <w:rFonts w:asciiTheme="majorHAnsi" w:hAnsiTheme="majorHAnsi"/>
          <w:bCs/>
          <w:sz w:val="20"/>
          <w:szCs w:val="20"/>
          <w:lang w:val="es-CO"/>
        </w:rPr>
      </w:pPr>
      <w:r w:rsidRPr="00640517">
        <w:rPr>
          <w:rFonts w:asciiTheme="majorHAnsi" w:hAnsiTheme="majorHAnsi"/>
          <w:bCs/>
          <w:sz w:val="20"/>
          <w:szCs w:val="20"/>
          <w:lang w:val="es-CO"/>
        </w:rPr>
        <w:t xml:space="preserve">En virtud de las anteriores consideraciones, la Comisión considera que la demanda civil no cumplió con la garantía de plazo razonable, en violación del artículo 8.1 de la Convención Americana en relación con el artículo 1.1 del mismo instrumento en perjuicio del señor Colindres. </w:t>
      </w:r>
    </w:p>
    <w:p w14:paraId="69FED07A" w14:textId="77777777" w:rsidR="00452D92" w:rsidRPr="00640517" w:rsidRDefault="00452D92" w:rsidP="00452D92">
      <w:pPr>
        <w:ind w:left="709"/>
        <w:jc w:val="both"/>
        <w:rPr>
          <w:rFonts w:asciiTheme="majorHAnsi" w:hAnsiTheme="majorHAnsi"/>
          <w:bCs/>
          <w:sz w:val="20"/>
          <w:szCs w:val="20"/>
          <w:lang w:val="es-CO"/>
        </w:rPr>
      </w:pPr>
    </w:p>
    <w:p w14:paraId="6F90C3D7" w14:textId="77777777" w:rsidR="00BF5293" w:rsidRPr="00640517" w:rsidRDefault="001E0325" w:rsidP="00082D70">
      <w:pPr>
        <w:numPr>
          <w:ilvl w:val="0"/>
          <w:numId w:val="1"/>
        </w:numPr>
        <w:tabs>
          <w:tab w:val="clear" w:pos="1440"/>
          <w:tab w:val="num" w:pos="851"/>
        </w:tabs>
        <w:ind w:left="0" w:firstLine="709"/>
        <w:jc w:val="both"/>
        <w:rPr>
          <w:rFonts w:asciiTheme="majorHAnsi" w:hAnsiTheme="majorHAnsi"/>
          <w:bCs/>
          <w:sz w:val="20"/>
          <w:szCs w:val="20"/>
          <w:lang w:val="es-CO"/>
        </w:rPr>
      </w:pPr>
      <w:r w:rsidRPr="00640517">
        <w:rPr>
          <w:rFonts w:asciiTheme="majorHAnsi" w:hAnsiTheme="majorHAnsi"/>
          <w:bCs/>
          <w:sz w:val="20"/>
          <w:szCs w:val="20"/>
          <w:lang w:val="es-CO"/>
        </w:rPr>
        <w:t xml:space="preserve">Finalmente, </w:t>
      </w:r>
      <w:r w:rsidR="00BF5293" w:rsidRPr="00640517">
        <w:rPr>
          <w:rFonts w:asciiTheme="majorHAnsi" w:hAnsiTheme="majorHAnsi"/>
          <w:sz w:val="20"/>
          <w:szCs w:val="20"/>
          <w:lang w:val="es-CO"/>
        </w:rPr>
        <w:t xml:space="preserve">hasta la </w:t>
      </w:r>
      <w:r w:rsidR="0050002E" w:rsidRPr="00640517">
        <w:rPr>
          <w:rFonts w:asciiTheme="majorHAnsi" w:hAnsiTheme="majorHAnsi"/>
          <w:sz w:val="20"/>
          <w:szCs w:val="20"/>
          <w:lang w:val="es-CO"/>
        </w:rPr>
        <w:t xml:space="preserve">fecha del presente informe </w:t>
      </w:r>
      <w:r w:rsidR="00EA18AA" w:rsidRPr="00640517">
        <w:rPr>
          <w:rFonts w:asciiTheme="majorHAnsi" w:hAnsiTheme="majorHAnsi"/>
          <w:sz w:val="20"/>
          <w:szCs w:val="20"/>
          <w:lang w:val="es-CO"/>
        </w:rPr>
        <w:t xml:space="preserve">la Comisión no ha sido informada de que </w:t>
      </w:r>
      <w:r w:rsidR="00FB6B63" w:rsidRPr="00640517">
        <w:rPr>
          <w:rFonts w:asciiTheme="majorHAnsi" w:hAnsiTheme="majorHAnsi"/>
          <w:sz w:val="20"/>
          <w:szCs w:val="20"/>
          <w:lang w:val="es-CO"/>
        </w:rPr>
        <w:t xml:space="preserve">el señor Colindres </w:t>
      </w:r>
      <w:r w:rsidR="00EA18AA" w:rsidRPr="00640517">
        <w:rPr>
          <w:rFonts w:asciiTheme="majorHAnsi" w:hAnsiTheme="majorHAnsi"/>
          <w:sz w:val="20"/>
          <w:szCs w:val="20"/>
          <w:lang w:val="es-CO"/>
        </w:rPr>
        <w:t xml:space="preserve">hubiese </w:t>
      </w:r>
      <w:r w:rsidR="00684BB8" w:rsidRPr="00640517">
        <w:rPr>
          <w:rFonts w:asciiTheme="majorHAnsi" w:hAnsiTheme="majorHAnsi"/>
          <w:sz w:val="20"/>
          <w:szCs w:val="20"/>
          <w:lang w:val="es-CO"/>
        </w:rPr>
        <w:t>recibido la</w:t>
      </w:r>
      <w:r w:rsidR="00B16160" w:rsidRPr="00640517">
        <w:rPr>
          <w:rFonts w:asciiTheme="majorHAnsi" w:hAnsiTheme="majorHAnsi"/>
          <w:sz w:val="20"/>
          <w:szCs w:val="20"/>
          <w:lang w:val="es-CO"/>
        </w:rPr>
        <w:t xml:space="preserve"> reparación ordenada en el marco de la demanda civil. </w:t>
      </w:r>
      <w:r w:rsidR="00684BB8" w:rsidRPr="00640517">
        <w:rPr>
          <w:rFonts w:asciiTheme="majorHAnsi" w:hAnsiTheme="majorHAnsi"/>
          <w:bCs/>
          <w:sz w:val="20"/>
          <w:szCs w:val="20"/>
          <w:lang w:val="es-CO"/>
        </w:rPr>
        <w:t>En consecuencia</w:t>
      </w:r>
      <w:r w:rsidR="006B42C4" w:rsidRPr="00640517">
        <w:rPr>
          <w:rFonts w:asciiTheme="majorHAnsi" w:hAnsiTheme="majorHAnsi"/>
          <w:bCs/>
          <w:sz w:val="20"/>
          <w:szCs w:val="20"/>
          <w:lang w:val="es-CO"/>
        </w:rPr>
        <w:t xml:space="preserve">, la Comisión observa que </w:t>
      </w:r>
      <w:r w:rsidR="00441477" w:rsidRPr="00640517">
        <w:rPr>
          <w:rFonts w:asciiTheme="majorHAnsi" w:hAnsiTheme="majorHAnsi"/>
          <w:bCs/>
          <w:sz w:val="20"/>
          <w:szCs w:val="20"/>
          <w:lang w:val="es-CO"/>
        </w:rPr>
        <w:t xml:space="preserve">dicho mecanismo, además de que tuvo una duración irrazonable </w:t>
      </w:r>
      <w:r w:rsidR="0050618E" w:rsidRPr="00640517">
        <w:rPr>
          <w:rFonts w:asciiTheme="majorHAnsi" w:hAnsiTheme="majorHAnsi"/>
          <w:bCs/>
          <w:sz w:val="20"/>
          <w:szCs w:val="20"/>
          <w:lang w:val="es-CO"/>
        </w:rPr>
        <w:t xml:space="preserve">en los términos analizados anteriormente, </w:t>
      </w:r>
      <w:r w:rsidR="00441477" w:rsidRPr="00640517">
        <w:rPr>
          <w:rFonts w:asciiTheme="majorHAnsi" w:hAnsiTheme="majorHAnsi"/>
          <w:bCs/>
          <w:sz w:val="20"/>
          <w:szCs w:val="20"/>
          <w:lang w:val="es-CO"/>
        </w:rPr>
        <w:t xml:space="preserve">tampoco fue oportunamente ejecutado en violación del </w:t>
      </w:r>
      <w:r w:rsidR="006B42C4" w:rsidRPr="00640517">
        <w:rPr>
          <w:rFonts w:asciiTheme="majorHAnsi" w:hAnsiTheme="majorHAnsi"/>
          <w:bCs/>
          <w:sz w:val="20"/>
          <w:szCs w:val="20"/>
          <w:lang w:val="es-CO"/>
        </w:rPr>
        <w:t>artículo 25</w:t>
      </w:r>
      <w:r w:rsidR="002412EE" w:rsidRPr="00640517">
        <w:rPr>
          <w:rFonts w:asciiTheme="majorHAnsi" w:hAnsiTheme="majorHAnsi"/>
          <w:bCs/>
          <w:sz w:val="20"/>
          <w:szCs w:val="20"/>
          <w:lang w:val="es-CO"/>
        </w:rPr>
        <w:t>.2</w:t>
      </w:r>
      <w:r w:rsidR="004D057A" w:rsidRPr="00640517">
        <w:rPr>
          <w:rFonts w:asciiTheme="majorHAnsi" w:hAnsiTheme="majorHAnsi"/>
          <w:bCs/>
          <w:sz w:val="20"/>
          <w:szCs w:val="20"/>
          <w:lang w:val="es-CO"/>
        </w:rPr>
        <w:t xml:space="preserve"> </w:t>
      </w:r>
      <w:r w:rsidR="00441477" w:rsidRPr="00640517">
        <w:rPr>
          <w:rFonts w:asciiTheme="majorHAnsi" w:hAnsiTheme="majorHAnsi"/>
          <w:bCs/>
          <w:sz w:val="20"/>
          <w:szCs w:val="20"/>
          <w:lang w:val="es-CO"/>
        </w:rPr>
        <w:t>c)</w:t>
      </w:r>
      <w:r w:rsidR="006B42C4" w:rsidRPr="00640517">
        <w:rPr>
          <w:rFonts w:asciiTheme="majorHAnsi" w:hAnsiTheme="majorHAnsi"/>
          <w:bCs/>
          <w:sz w:val="20"/>
          <w:szCs w:val="20"/>
          <w:lang w:val="es-CO"/>
        </w:rPr>
        <w:t xml:space="preserve"> de la Convención Americana.</w:t>
      </w:r>
    </w:p>
    <w:p w14:paraId="1FB6020C" w14:textId="77777777" w:rsidR="0050002E" w:rsidRPr="00640517" w:rsidRDefault="0050002E" w:rsidP="00684BB8">
      <w:pPr>
        <w:tabs>
          <w:tab w:val="num" w:pos="1440"/>
          <w:tab w:val="left" w:pos="1890"/>
          <w:tab w:val="left" w:pos="2250"/>
        </w:tabs>
        <w:jc w:val="both"/>
        <w:outlineLvl w:val="2"/>
        <w:rPr>
          <w:rFonts w:asciiTheme="majorHAnsi" w:hAnsiTheme="majorHAnsi" w:cs="Verdana"/>
          <w:sz w:val="20"/>
          <w:szCs w:val="20"/>
          <w:lang w:val="es-CO"/>
        </w:rPr>
      </w:pPr>
    </w:p>
    <w:p w14:paraId="2479526A" w14:textId="77777777" w:rsidR="00266E44" w:rsidRPr="00E31003" w:rsidRDefault="00266E44" w:rsidP="00E31003">
      <w:pPr>
        <w:pStyle w:val="Heading3"/>
      </w:pPr>
      <w:bookmarkStart w:id="75" w:name="_Toc476579050"/>
      <w:bookmarkStart w:id="76" w:name="_Toc484623849"/>
      <w:r w:rsidRPr="00E31003">
        <w:t xml:space="preserve">Derechos </w:t>
      </w:r>
      <w:r w:rsidR="00790DAC" w:rsidRPr="00E31003">
        <w:t>al acceso a la función pública</w:t>
      </w:r>
      <w:bookmarkEnd w:id="75"/>
      <w:bookmarkEnd w:id="76"/>
    </w:p>
    <w:p w14:paraId="5D5B6DFE" w14:textId="77777777" w:rsidR="00D00417" w:rsidRPr="00640517" w:rsidRDefault="00D00417" w:rsidP="00A000A9">
      <w:pPr>
        <w:suppressAutoHyphens/>
        <w:rPr>
          <w:rFonts w:asciiTheme="majorHAnsi" w:hAnsiTheme="majorHAnsi"/>
          <w:b/>
          <w:spacing w:val="-2"/>
          <w:sz w:val="20"/>
          <w:szCs w:val="20"/>
          <w:lang w:val="es-UY"/>
        </w:rPr>
      </w:pPr>
    </w:p>
    <w:p w14:paraId="1797A00A" w14:textId="0E1A43F2" w:rsidR="00684BB8" w:rsidRPr="00640517" w:rsidRDefault="008448EC" w:rsidP="00C27F20">
      <w:pPr>
        <w:numPr>
          <w:ilvl w:val="0"/>
          <w:numId w:val="1"/>
        </w:numPr>
        <w:tabs>
          <w:tab w:val="clear" w:pos="1440"/>
          <w:tab w:val="num" w:pos="851"/>
        </w:tabs>
        <w:ind w:left="0" w:firstLine="709"/>
        <w:jc w:val="both"/>
        <w:rPr>
          <w:rFonts w:asciiTheme="majorHAnsi" w:hAnsiTheme="majorHAnsi"/>
          <w:bCs/>
          <w:sz w:val="20"/>
          <w:szCs w:val="20"/>
          <w:lang w:val="es-CO"/>
        </w:rPr>
      </w:pPr>
      <w:r w:rsidRPr="00640517">
        <w:rPr>
          <w:rFonts w:asciiTheme="majorHAnsi" w:hAnsiTheme="majorHAnsi"/>
          <w:bCs/>
          <w:sz w:val="20"/>
          <w:szCs w:val="20"/>
          <w:lang w:val="es-CO"/>
        </w:rPr>
        <w:t>El artículo 23.1</w:t>
      </w:r>
      <w:r w:rsidR="00F608B8">
        <w:rPr>
          <w:rFonts w:asciiTheme="majorHAnsi" w:hAnsiTheme="majorHAnsi"/>
          <w:bCs/>
          <w:sz w:val="20"/>
          <w:szCs w:val="20"/>
          <w:lang w:val="es-CO"/>
        </w:rPr>
        <w:t xml:space="preserve"> </w:t>
      </w:r>
      <w:r w:rsidR="00AE2552" w:rsidRPr="00640517">
        <w:rPr>
          <w:rFonts w:asciiTheme="majorHAnsi" w:hAnsiTheme="majorHAnsi"/>
          <w:bCs/>
          <w:sz w:val="20"/>
          <w:szCs w:val="20"/>
          <w:lang w:val="es-CO"/>
        </w:rPr>
        <w:t>c</w:t>
      </w:r>
      <w:r w:rsidR="00F608B8">
        <w:rPr>
          <w:rFonts w:asciiTheme="majorHAnsi" w:hAnsiTheme="majorHAnsi"/>
          <w:bCs/>
          <w:sz w:val="20"/>
          <w:szCs w:val="20"/>
          <w:lang w:val="es-CO"/>
        </w:rPr>
        <w:t>)</w:t>
      </w:r>
      <w:r w:rsidR="0030619C">
        <w:rPr>
          <w:rFonts w:asciiTheme="majorHAnsi" w:hAnsiTheme="majorHAnsi"/>
          <w:bCs/>
          <w:sz w:val="20"/>
          <w:szCs w:val="20"/>
          <w:lang w:val="es-CO"/>
        </w:rPr>
        <w:t xml:space="preserve"> </w:t>
      </w:r>
      <w:r w:rsidRPr="00640517">
        <w:rPr>
          <w:rFonts w:asciiTheme="majorHAnsi" w:hAnsiTheme="majorHAnsi"/>
          <w:bCs/>
          <w:sz w:val="20"/>
          <w:szCs w:val="20"/>
          <w:lang w:val="es-CO"/>
        </w:rPr>
        <w:t xml:space="preserve">establece el derecho de jueces y juezas a acceder a cargos públicos “en condiciones de igualdad”. La Corte ha interpretado este artículo indicando </w:t>
      </w:r>
      <w:r w:rsidR="00082D70" w:rsidRPr="00640517">
        <w:rPr>
          <w:rFonts w:asciiTheme="majorHAnsi" w:hAnsiTheme="majorHAnsi"/>
          <w:bCs/>
          <w:sz w:val="20"/>
          <w:szCs w:val="20"/>
          <w:lang w:val="es-CO"/>
        </w:rPr>
        <w:t xml:space="preserve">que </w:t>
      </w:r>
      <w:r w:rsidR="00684BB8" w:rsidRPr="00640517">
        <w:rPr>
          <w:rFonts w:asciiTheme="majorHAnsi" w:hAnsiTheme="majorHAnsi"/>
          <w:bCs/>
          <w:sz w:val="20"/>
          <w:szCs w:val="20"/>
          <w:lang w:val="es-CO"/>
        </w:rPr>
        <w:t>c</w:t>
      </w:r>
      <w:proofErr w:type="spellStart"/>
      <w:r w:rsidR="00684BB8" w:rsidRPr="00640517">
        <w:rPr>
          <w:rFonts w:ascii="Cambria" w:eastAsia="Times New Roman" w:hAnsi="Cambria"/>
          <w:sz w:val="20"/>
          <w:szCs w:val="20"/>
          <w:lang w:val="es-MX"/>
        </w:rPr>
        <w:t>uando</w:t>
      </w:r>
      <w:proofErr w:type="spellEnd"/>
      <w:r w:rsidR="00684BB8" w:rsidRPr="00640517">
        <w:rPr>
          <w:rFonts w:ascii="Cambria" w:eastAsia="Times New Roman" w:hAnsi="Cambria"/>
          <w:sz w:val="20"/>
          <w:szCs w:val="20"/>
          <w:lang w:val="es-MX"/>
        </w:rPr>
        <w:t xml:space="preserve"> se afecta en forma arbitraria la permanencia de los jueces y las juezas en su cargo, se vulnera el derecho a la independencia judicial consagrado en el artículo 8.1 de la Convención Americana, en conjunción con el derecho de acceso y permanencia en condiciones generales de igualdad en un cargo público, establecido en el artículo 23.1.c”</w:t>
      </w:r>
      <w:r w:rsidR="00684BB8" w:rsidRPr="00640517">
        <w:rPr>
          <w:rStyle w:val="FootnoteReference"/>
          <w:rFonts w:ascii="Cambria" w:hAnsi="Cambria"/>
          <w:sz w:val="20"/>
          <w:szCs w:val="20"/>
          <w:lang w:val="es-CO"/>
        </w:rPr>
        <w:t xml:space="preserve"> </w:t>
      </w:r>
      <w:r w:rsidR="00684BB8" w:rsidRPr="00640517">
        <w:rPr>
          <w:rStyle w:val="FootnoteReference"/>
          <w:rFonts w:ascii="Cambria" w:hAnsi="Cambria"/>
          <w:sz w:val="20"/>
          <w:szCs w:val="20"/>
          <w:lang w:val="es-CO"/>
        </w:rPr>
        <w:footnoteReference w:id="117"/>
      </w:r>
      <w:r w:rsidR="00684BB8" w:rsidRPr="00640517">
        <w:rPr>
          <w:rFonts w:ascii="Cambria" w:eastAsia="Times New Roman" w:hAnsi="Cambria"/>
          <w:sz w:val="20"/>
          <w:szCs w:val="20"/>
          <w:lang w:val="es-MX"/>
        </w:rPr>
        <w:t>.</w:t>
      </w:r>
    </w:p>
    <w:p w14:paraId="2EE34F4A" w14:textId="77777777" w:rsidR="00684BB8" w:rsidRPr="00640517" w:rsidRDefault="00684BB8" w:rsidP="00684BB8">
      <w:pPr>
        <w:ind w:left="709"/>
        <w:jc w:val="both"/>
        <w:rPr>
          <w:rFonts w:asciiTheme="majorHAnsi" w:hAnsiTheme="majorHAnsi"/>
          <w:bCs/>
          <w:sz w:val="20"/>
          <w:szCs w:val="20"/>
          <w:lang w:val="es-CO"/>
        </w:rPr>
      </w:pPr>
    </w:p>
    <w:p w14:paraId="61659170" w14:textId="77777777" w:rsidR="00400426" w:rsidRPr="00640517" w:rsidRDefault="008448EC" w:rsidP="00C27F20">
      <w:pPr>
        <w:numPr>
          <w:ilvl w:val="0"/>
          <w:numId w:val="1"/>
        </w:numPr>
        <w:tabs>
          <w:tab w:val="clear" w:pos="1440"/>
          <w:tab w:val="num" w:pos="851"/>
        </w:tabs>
        <w:ind w:left="0" w:firstLine="709"/>
        <w:jc w:val="both"/>
        <w:rPr>
          <w:rFonts w:asciiTheme="majorHAnsi" w:hAnsiTheme="majorHAnsi"/>
          <w:bCs/>
          <w:sz w:val="20"/>
          <w:szCs w:val="20"/>
          <w:lang w:val="es-CO"/>
        </w:rPr>
      </w:pPr>
      <w:r w:rsidRPr="00640517">
        <w:rPr>
          <w:rFonts w:asciiTheme="majorHAnsi" w:hAnsiTheme="majorHAnsi"/>
          <w:bCs/>
          <w:sz w:val="20"/>
          <w:szCs w:val="20"/>
          <w:lang w:val="es-CO"/>
        </w:rPr>
        <w:t xml:space="preserve">En el presente caso, </w:t>
      </w:r>
      <w:r w:rsidR="000A17DA" w:rsidRPr="00640517">
        <w:rPr>
          <w:rFonts w:asciiTheme="majorHAnsi" w:hAnsiTheme="majorHAnsi"/>
          <w:bCs/>
          <w:sz w:val="20"/>
          <w:szCs w:val="20"/>
          <w:lang w:val="es-CO"/>
        </w:rPr>
        <w:t>la apertura de los procesos discipl</w:t>
      </w:r>
      <w:r w:rsidR="003872D8" w:rsidRPr="00640517">
        <w:rPr>
          <w:rFonts w:asciiTheme="majorHAnsi" w:hAnsiTheme="majorHAnsi"/>
          <w:bCs/>
          <w:sz w:val="20"/>
          <w:szCs w:val="20"/>
          <w:lang w:val="es-CO"/>
        </w:rPr>
        <w:t>inarios en contra del señor</w:t>
      </w:r>
      <w:r w:rsidR="000A17DA" w:rsidRPr="00640517">
        <w:rPr>
          <w:rFonts w:asciiTheme="majorHAnsi" w:hAnsiTheme="majorHAnsi"/>
          <w:bCs/>
          <w:sz w:val="20"/>
          <w:szCs w:val="20"/>
          <w:lang w:val="es-CO"/>
        </w:rPr>
        <w:t xml:space="preserve"> Colindres fue motivada por </w:t>
      </w:r>
      <w:r w:rsidRPr="00640517">
        <w:rPr>
          <w:rFonts w:asciiTheme="majorHAnsi" w:hAnsiTheme="majorHAnsi"/>
          <w:bCs/>
          <w:sz w:val="20"/>
          <w:szCs w:val="20"/>
          <w:lang w:val="es-CO"/>
        </w:rPr>
        <w:t xml:space="preserve">la </w:t>
      </w:r>
      <w:r w:rsidR="000A17DA" w:rsidRPr="00640517">
        <w:rPr>
          <w:rFonts w:asciiTheme="majorHAnsi" w:hAnsiTheme="majorHAnsi"/>
          <w:bCs/>
          <w:sz w:val="20"/>
          <w:szCs w:val="20"/>
          <w:lang w:val="es-CO"/>
        </w:rPr>
        <w:t xml:space="preserve">actuación </w:t>
      </w:r>
      <w:r w:rsidRPr="00640517">
        <w:rPr>
          <w:rFonts w:asciiTheme="majorHAnsi" w:hAnsiTheme="majorHAnsi"/>
          <w:bCs/>
          <w:sz w:val="20"/>
          <w:szCs w:val="20"/>
          <w:lang w:val="es-CO"/>
        </w:rPr>
        <w:t xml:space="preserve">que tuvo </w:t>
      </w:r>
      <w:r w:rsidR="009956F7" w:rsidRPr="00640517">
        <w:rPr>
          <w:rFonts w:asciiTheme="majorHAnsi" w:hAnsiTheme="majorHAnsi"/>
          <w:bCs/>
          <w:sz w:val="20"/>
          <w:szCs w:val="20"/>
          <w:lang w:val="es-CO"/>
        </w:rPr>
        <w:t xml:space="preserve">como </w:t>
      </w:r>
      <w:r w:rsidR="000A17DA" w:rsidRPr="00640517">
        <w:rPr>
          <w:rFonts w:asciiTheme="majorHAnsi" w:hAnsiTheme="majorHAnsi"/>
          <w:bCs/>
          <w:sz w:val="20"/>
          <w:szCs w:val="20"/>
          <w:lang w:val="es-CO"/>
        </w:rPr>
        <w:t>magistrado del TSE en cuestiones relacionadas con el PDC.</w:t>
      </w:r>
      <w:r w:rsidRPr="00640517">
        <w:rPr>
          <w:rFonts w:asciiTheme="majorHAnsi" w:hAnsiTheme="majorHAnsi"/>
          <w:bCs/>
          <w:sz w:val="20"/>
          <w:szCs w:val="20"/>
          <w:lang w:val="es-CO"/>
        </w:rPr>
        <w:t xml:space="preserve"> </w:t>
      </w:r>
      <w:r w:rsidR="00AE2552" w:rsidRPr="00640517">
        <w:rPr>
          <w:rFonts w:asciiTheme="majorHAnsi" w:hAnsiTheme="majorHAnsi"/>
          <w:bCs/>
          <w:sz w:val="20"/>
          <w:szCs w:val="20"/>
          <w:lang w:val="es-CO"/>
        </w:rPr>
        <w:t>C</w:t>
      </w:r>
      <w:r w:rsidRPr="00640517">
        <w:rPr>
          <w:rFonts w:asciiTheme="majorHAnsi" w:hAnsiTheme="majorHAnsi"/>
          <w:bCs/>
          <w:sz w:val="20"/>
          <w:szCs w:val="20"/>
          <w:lang w:val="es-CO"/>
        </w:rPr>
        <w:t>omo ya se acreditó</w:t>
      </w:r>
      <w:r w:rsidR="00AE2552" w:rsidRPr="00640517">
        <w:rPr>
          <w:rFonts w:asciiTheme="majorHAnsi" w:hAnsiTheme="majorHAnsi"/>
          <w:bCs/>
          <w:sz w:val="20"/>
          <w:szCs w:val="20"/>
          <w:lang w:val="es-CO"/>
        </w:rPr>
        <w:t xml:space="preserve">, el señor Colindres </w:t>
      </w:r>
      <w:r w:rsidR="000A17DA" w:rsidRPr="00640517">
        <w:rPr>
          <w:rFonts w:asciiTheme="majorHAnsi" w:hAnsiTheme="majorHAnsi"/>
          <w:bCs/>
          <w:sz w:val="20"/>
          <w:szCs w:val="20"/>
          <w:lang w:val="es-CO"/>
        </w:rPr>
        <w:t xml:space="preserve">fue </w:t>
      </w:r>
      <w:r w:rsidRPr="00640517">
        <w:rPr>
          <w:rFonts w:asciiTheme="majorHAnsi" w:hAnsiTheme="majorHAnsi"/>
          <w:bCs/>
          <w:sz w:val="20"/>
          <w:szCs w:val="20"/>
          <w:lang w:val="es-CO"/>
        </w:rPr>
        <w:t xml:space="preserve">separado del cargo en un proceso </w:t>
      </w:r>
      <w:r w:rsidR="00684BB8" w:rsidRPr="00640517">
        <w:rPr>
          <w:rFonts w:asciiTheme="majorHAnsi" w:hAnsiTheme="majorHAnsi"/>
          <w:bCs/>
          <w:sz w:val="20"/>
          <w:szCs w:val="20"/>
          <w:lang w:val="es-CO"/>
        </w:rPr>
        <w:t xml:space="preserve">arbitrario </w:t>
      </w:r>
      <w:r w:rsidRPr="00640517">
        <w:rPr>
          <w:rFonts w:asciiTheme="majorHAnsi" w:hAnsiTheme="majorHAnsi"/>
          <w:bCs/>
          <w:sz w:val="20"/>
          <w:szCs w:val="20"/>
          <w:lang w:val="es-CO"/>
        </w:rPr>
        <w:t>plagado de violaciones al debido proceso</w:t>
      </w:r>
      <w:r w:rsidR="00790DAC" w:rsidRPr="00640517">
        <w:rPr>
          <w:rFonts w:asciiTheme="majorHAnsi" w:hAnsiTheme="majorHAnsi"/>
          <w:bCs/>
          <w:sz w:val="20"/>
          <w:szCs w:val="20"/>
          <w:lang w:val="es-CO"/>
        </w:rPr>
        <w:t xml:space="preserve"> y al principio de legalidad</w:t>
      </w:r>
      <w:r w:rsidR="00380A93" w:rsidRPr="00640517">
        <w:rPr>
          <w:rFonts w:asciiTheme="majorHAnsi" w:hAnsiTheme="majorHAnsi"/>
          <w:bCs/>
          <w:sz w:val="20"/>
          <w:szCs w:val="20"/>
          <w:lang w:val="es-CO"/>
        </w:rPr>
        <w:t xml:space="preserve"> </w:t>
      </w:r>
      <w:r w:rsidR="00790DAC" w:rsidRPr="00640517">
        <w:rPr>
          <w:rFonts w:asciiTheme="majorHAnsi" w:hAnsiTheme="majorHAnsi"/>
          <w:bCs/>
          <w:sz w:val="20"/>
          <w:szCs w:val="20"/>
          <w:lang w:val="es-CO"/>
        </w:rPr>
        <w:t>en los términos descri</w:t>
      </w:r>
      <w:r w:rsidR="00795D23" w:rsidRPr="00640517">
        <w:rPr>
          <w:rFonts w:asciiTheme="majorHAnsi" w:hAnsiTheme="majorHAnsi"/>
          <w:bCs/>
          <w:sz w:val="20"/>
          <w:szCs w:val="20"/>
          <w:lang w:val="es-CO"/>
        </w:rPr>
        <w:t>tos en el presente informe.</w:t>
      </w:r>
      <w:r w:rsidRPr="00640517">
        <w:rPr>
          <w:rFonts w:asciiTheme="majorHAnsi" w:hAnsiTheme="majorHAnsi"/>
          <w:bCs/>
          <w:sz w:val="20"/>
          <w:szCs w:val="20"/>
          <w:lang w:val="es-CO"/>
        </w:rPr>
        <w:t xml:space="preserve"> </w:t>
      </w:r>
      <w:r w:rsidR="000A17DA" w:rsidRPr="00640517">
        <w:rPr>
          <w:rFonts w:asciiTheme="majorHAnsi" w:hAnsiTheme="majorHAnsi"/>
          <w:sz w:val="20"/>
          <w:szCs w:val="20"/>
          <w:lang w:val="es-US"/>
        </w:rPr>
        <w:t>En tales circunstancias</w:t>
      </w:r>
      <w:r w:rsidR="00380A93" w:rsidRPr="00640517">
        <w:rPr>
          <w:rFonts w:asciiTheme="majorHAnsi" w:hAnsiTheme="majorHAnsi"/>
          <w:sz w:val="20"/>
          <w:szCs w:val="20"/>
          <w:lang w:val="es-US"/>
        </w:rPr>
        <w:t xml:space="preserve"> y en consistencia con el criterio mencionado en el párrafo anterior, la </w:t>
      </w:r>
      <w:r w:rsidR="000A17DA" w:rsidRPr="00640517">
        <w:rPr>
          <w:rFonts w:asciiTheme="majorHAnsi" w:hAnsiTheme="majorHAnsi"/>
          <w:sz w:val="20"/>
          <w:szCs w:val="20"/>
          <w:lang w:val="es-US"/>
        </w:rPr>
        <w:t xml:space="preserve">Comisión considera que </w:t>
      </w:r>
      <w:r w:rsidR="009A7AB2" w:rsidRPr="00640517">
        <w:rPr>
          <w:rFonts w:asciiTheme="majorHAnsi" w:hAnsiTheme="majorHAnsi"/>
          <w:sz w:val="20"/>
          <w:szCs w:val="20"/>
          <w:lang w:val="es-US"/>
        </w:rPr>
        <w:t>el</w:t>
      </w:r>
      <w:r w:rsidR="00380A93" w:rsidRPr="00640517">
        <w:rPr>
          <w:rFonts w:asciiTheme="majorHAnsi" w:hAnsiTheme="majorHAnsi"/>
          <w:sz w:val="20"/>
          <w:szCs w:val="20"/>
          <w:lang w:val="es-US"/>
        </w:rPr>
        <w:t xml:space="preserve"> Estado también violó el </w:t>
      </w:r>
      <w:r w:rsidR="00082D70" w:rsidRPr="00640517">
        <w:rPr>
          <w:rFonts w:asciiTheme="majorHAnsi" w:hAnsiTheme="majorHAnsi"/>
          <w:sz w:val="20"/>
          <w:szCs w:val="20"/>
          <w:lang w:val="es-CO"/>
        </w:rPr>
        <w:t>artíc</w:t>
      </w:r>
      <w:r w:rsidR="00CF5750" w:rsidRPr="00640517">
        <w:rPr>
          <w:rFonts w:asciiTheme="majorHAnsi" w:hAnsiTheme="majorHAnsi"/>
          <w:sz w:val="20"/>
          <w:szCs w:val="20"/>
          <w:lang w:val="es-CO"/>
        </w:rPr>
        <w:t>ulo 23.1 c</w:t>
      </w:r>
      <w:r w:rsidR="00380A93" w:rsidRPr="00640517">
        <w:rPr>
          <w:rFonts w:asciiTheme="majorHAnsi" w:hAnsiTheme="majorHAnsi"/>
          <w:sz w:val="20"/>
          <w:szCs w:val="20"/>
          <w:lang w:val="es-CO"/>
        </w:rPr>
        <w:t>)</w:t>
      </w:r>
      <w:r w:rsidR="00CF5750" w:rsidRPr="00640517">
        <w:rPr>
          <w:rFonts w:asciiTheme="majorHAnsi" w:hAnsiTheme="majorHAnsi"/>
          <w:sz w:val="20"/>
          <w:szCs w:val="20"/>
          <w:lang w:val="es-CO"/>
        </w:rPr>
        <w:t xml:space="preserve"> de la Convención Americana</w:t>
      </w:r>
      <w:r w:rsidR="00380A93" w:rsidRPr="00640517">
        <w:rPr>
          <w:rFonts w:asciiTheme="majorHAnsi" w:hAnsiTheme="majorHAnsi"/>
          <w:sz w:val="20"/>
          <w:szCs w:val="20"/>
          <w:lang w:val="es-CO"/>
        </w:rPr>
        <w:t xml:space="preserve"> en relación con el artículo 1.1 del mismo instrumento, en perjuicio del señor Colindres. </w:t>
      </w:r>
    </w:p>
    <w:p w14:paraId="10896170" w14:textId="77777777" w:rsidR="0045657E" w:rsidRDefault="0045657E">
      <w:pPr>
        <w:rPr>
          <w:rFonts w:asciiTheme="majorHAnsi" w:hAnsiTheme="majorHAnsi"/>
          <w:b/>
          <w:sz w:val="22"/>
          <w:szCs w:val="20"/>
          <w:lang w:val="es-MX"/>
        </w:rPr>
      </w:pPr>
      <w:bookmarkStart w:id="77" w:name="_Toc476579051"/>
    </w:p>
    <w:p w14:paraId="4353C84C" w14:textId="77777777" w:rsidR="00C65ACD" w:rsidRDefault="00C65ACD">
      <w:pPr>
        <w:rPr>
          <w:rFonts w:asciiTheme="majorHAnsi" w:hAnsiTheme="majorHAnsi"/>
          <w:b/>
          <w:sz w:val="22"/>
          <w:szCs w:val="20"/>
          <w:lang w:val="es-MX"/>
        </w:rPr>
      </w:pPr>
    </w:p>
    <w:p w14:paraId="0037EA8C" w14:textId="77777777" w:rsidR="00C65ACD" w:rsidRDefault="00C65ACD">
      <w:pPr>
        <w:rPr>
          <w:rFonts w:asciiTheme="majorHAnsi" w:hAnsiTheme="majorHAnsi"/>
          <w:b/>
          <w:sz w:val="22"/>
          <w:szCs w:val="20"/>
          <w:lang w:val="es-MX"/>
        </w:rPr>
      </w:pPr>
    </w:p>
    <w:p w14:paraId="016BC0CF" w14:textId="77777777" w:rsidR="00772210" w:rsidRPr="007B378B" w:rsidRDefault="00772210" w:rsidP="00207C3A">
      <w:pPr>
        <w:pStyle w:val="Heading1"/>
        <w:rPr>
          <w:b/>
          <w:bCs/>
        </w:rPr>
      </w:pPr>
      <w:bookmarkStart w:id="78" w:name="_Toc484623850"/>
      <w:r w:rsidRPr="007B378B">
        <w:rPr>
          <w:b/>
        </w:rPr>
        <w:lastRenderedPageBreak/>
        <w:t>VI.</w:t>
      </w:r>
      <w:r w:rsidRPr="007B378B">
        <w:rPr>
          <w:b/>
        </w:rPr>
        <w:tab/>
        <w:t>CONCLUSIONES</w:t>
      </w:r>
      <w:bookmarkEnd w:id="77"/>
      <w:bookmarkEnd w:id="78"/>
    </w:p>
    <w:p w14:paraId="1DD084BE" w14:textId="77777777" w:rsidR="00CF5750" w:rsidRPr="00640517" w:rsidRDefault="00CF5750" w:rsidP="00684BB8">
      <w:pPr>
        <w:rPr>
          <w:rFonts w:asciiTheme="majorHAnsi" w:hAnsiTheme="majorHAnsi"/>
          <w:sz w:val="20"/>
          <w:szCs w:val="20"/>
          <w:lang w:val="es-US"/>
        </w:rPr>
      </w:pPr>
    </w:p>
    <w:p w14:paraId="638121B3" w14:textId="77777777" w:rsidR="00697AFF" w:rsidRPr="00640517" w:rsidRDefault="009956F7" w:rsidP="00C27F20">
      <w:pPr>
        <w:numPr>
          <w:ilvl w:val="0"/>
          <w:numId w:val="1"/>
        </w:numPr>
        <w:tabs>
          <w:tab w:val="clear" w:pos="1440"/>
          <w:tab w:val="num" w:pos="851"/>
        </w:tabs>
        <w:ind w:left="0" w:firstLine="709"/>
        <w:jc w:val="both"/>
        <w:rPr>
          <w:rFonts w:asciiTheme="majorHAnsi" w:hAnsiTheme="majorHAnsi"/>
          <w:bCs/>
          <w:sz w:val="20"/>
          <w:szCs w:val="20"/>
          <w:lang w:val="es-CO"/>
        </w:rPr>
      </w:pPr>
      <w:r w:rsidRPr="00640517">
        <w:rPr>
          <w:rFonts w:asciiTheme="majorHAnsi" w:hAnsiTheme="majorHAnsi"/>
          <w:sz w:val="20"/>
          <w:szCs w:val="20"/>
          <w:lang w:val="es-US"/>
        </w:rPr>
        <w:t>L</w:t>
      </w:r>
      <w:r w:rsidR="00697AFF" w:rsidRPr="00640517">
        <w:rPr>
          <w:rFonts w:asciiTheme="majorHAnsi" w:hAnsiTheme="majorHAnsi"/>
          <w:sz w:val="20"/>
          <w:szCs w:val="20"/>
          <w:lang w:val="es-US"/>
        </w:rPr>
        <w:t>a Comisión concluye que el Estado es responsable por la</w:t>
      </w:r>
      <w:r w:rsidR="00697AFF" w:rsidRPr="00640517">
        <w:rPr>
          <w:rFonts w:asciiTheme="majorHAnsi" w:hAnsiTheme="majorHAnsi"/>
          <w:spacing w:val="-2"/>
          <w:sz w:val="20"/>
          <w:szCs w:val="20"/>
          <w:lang w:val="es-CO"/>
        </w:rPr>
        <w:t xml:space="preserve"> violación de los derechos a las garantías judiciales, al principio de legalidad, </w:t>
      </w:r>
      <w:r w:rsidR="00772210" w:rsidRPr="00640517">
        <w:rPr>
          <w:rFonts w:asciiTheme="majorHAnsi" w:hAnsiTheme="majorHAnsi"/>
          <w:spacing w:val="-2"/>
          <w:sz w:val="20"/>
          <w:szCs w:val="20"/>
          <w:lang w:val="es-CO"/>
        </w:rPr>
        <w:t xml:space="preserve">a los </w:t>
      </w:r>
      <w:r w:rsidR="00697AFF" w:rsidRPr="00640517">
        <w:rPr>
          <w:rFonts w:asciiTheme="majorHAnsi" w:hAnsiTheme="majorHAnsi"/>
          <w:spacing w:val="-2"/>
          <w:sz w:val="20"/>
          <w:szCs w:val="20"/>
          <w:lang w:val="es-CO"/>
        </w:rPr>
        <w:t>derechos políticos y a la protección judicial, consagrados en los artículos 8</w:t>
      </w:r>
      <w:r w:rsidR="00812BA1" w:rsidRPr="00640517">
        <w:rPr>
          <w:rFonts w:asciiTheme="majorHAnsi" w:hAnsiTheme="majorHAnsi"/>
          <w:spacing w:val="-2"/>
          <w:sz w:val="20"/>
          <w:szCs w:val="20"/>
          <w:lang w:val="es-CO"/>
        </w:rPr>
        <w:t>.1</w:t>
      </w:r>
      <w:r w:rsidR="00697AFF" w:rsidRPr="00640517">
        <w:rPr>
          <w:rFonts w:asciiTheme="majorHAnsi" w:hAnsiTheme="majorHAnsi"/>
          <w:spacing w:val="-2"/>
          <w:sz w:val="20"/>
          <w:szCs w:val="20"/>
          <w:lang w:val="es-CO"/>
        </w:rPr>
        <w:t>,</w:t>
      </w:r>
      <w:r w:rsidR="00812BA1" w:rsidRPr="00640517">
        <w:rPr>
          <w:rFonts w:asciiTheme="majorHAnsi" w:hAnsiTheme="majorHAnsi"/>
          <w:spacing w:val="-2"/>
          <w:sz w:val="20"/>
          <w:szCs w:val="20"/>
          <w:lang w:val="es-CO"/>
        </w:rPr>
        <w:t xml:space="preserve"> 8.2 b), c) y h), </w:t>
      </w:r>
      <w:r w:rsidR="00697AFF" w:rsidRPr="00640517">
        <w:rPr>
          <w:rFonts w:asciiTheme="majorHAnsi" w:hAnsiTheme="majorHAnsi"/>
          <w:spacing w:val="-2"/>
          <w:sz w:val="20"/>
          <w:szCs w:val="20"/>
          <w:lang w:val="es-CO"/>
        </w:rPr>
        <w:t xml:space="preserve"> 9, 23</w:t>
      </w:r>
      <w:r w:rsidR="00257AB6" w:rsidRPr="00640517">
        <w:rPr>
          <w:rFonts w:asciiTheme="majorHAnsi" w:hAnsiTheme="majorHAnsi"/>
          <w:spacing w:val="-2"/>
          <w:sz w:val="20"/>
          <w:szCs w:val="20"/>
          <w:lang w:val="es-CO"/>
        </w:rPr>
        <w:t>. 1 c),</w:t>
      </w:r>
      <w:r w:rsidR="00697AFF" w:rsidRPr="00640517">
        <w:rPr>
          <w:rFonts w:asciiTheme="majorHAnsi" w:hAnsiTheme="majorHAnsi"/>
          <w:spacing w:val="-2"/>
          <w:sz w:val="20"/>
          <w:szCs w:val="20"/>
          <w:lang w:val="es-CO"/>
        </w:rPr>
        <w:t xml:space="preserve"> 25</w:t>
      </w:r>
      <w:r w:rsidR="00257AB6" w:rsidRPr="00640517">
        <w:rPr>
          <w:rFonts w:asciiTheme="majorHAnsi" w:hAnsiTheme="majorHAnsi"/>
          <w:spacing w:val="-2"/>
          <w:sz w:val="20"/>
          <w:szCs w:val="20"/>
          <w:lang w:val="es-CO"/>
        </w:rPr>
        <w:t xml:space="preserve">.1 </w:t>
      </w:r>
      <w:r w:rsidR="00697AFF" w:rsidRPr="00640517">
        <w:rPr>
          <w:rFonts w:asciiTheme="majorHAnsi" w:hAnsiTheme="majorHAnsi"/>
          <w:spacing w:val="-2"/>
          <w:sz w:val="20"/>
          <w:szCs w:val="20"/>
          <w:lang w:val="es-CO"/>
        </w:rPr>
        <w:t xml:space="preserve">de la Convención, en relación con las obligaciones establecidas en los artículos 1.1 y 2 del mismo instrumento, en perjuicio del señor </w:t>
      </w:r>
      <w:r w:rsidR="00772210" w:rsidRPr="00640517">
        <w:rPr>
          <w:rFonts w:asciiTheme="majorHAnsi" w:hAnsiTheme="majorHAnsi"/>
          <w:spacing w:val="-2"/>
          <w:sz w:val="20"/>
          <w:szCs w:val="20"/>
          <w:lang w:val="es-CO"/>
        </w:rPr>
        <w:t xml:space="preserve">Eduardo </w:t>
      </w:r>
      <w:proofErr w:type="spellStart"/>
      <w:r w:rsidR="00772210" w:rsidRPr="00640517">
        <w:rPr>
          <w:rFonts w:asciiTheme="majorHAnsi" w:hAnsiTheme="majorHAnsi"/>
          <w:spacing w:val="-2"/>
          <w:sz w:val="20"/>
          <w:szCs w:val="20"/>
          <w:lang w:val="es-CO"/>
        </w:rPr>
        <w:t>Benjamin</w:t>
      </w:r>
      <w:proofErr w:type="spellEnd"/>
      <w:r w:rsidR="00772210" w:rsidRPr="00640517">
        <w:rPr>
          <w:rFonts w:asciiTheme="majorHAnsi" w:hAnsiTheme="majorHAnsi"/>
          <w:spacing w:val="-2"/>
          <w:sz w:val="20"/>
          <w:szCs w:val="20"/>
          <w:lang w:val="es-CO"/>
        </w:rPr>
        <w:t xml:space="preserve"> Colindres</w:t>
      </w:r>
      <w:r w:rsidR="00697AFF" w:rsidRPr="00640517">
        <w:rPr>
          <w:rFonts w:asciiTheme="majorHAnsi" w:hAnsiTheme="majorHAnsi"/>
          <w:spacing w:val="-2"/>
          <w:sz w:val="20"/>
          <w:szCs w:val="20"/>
          <w:lang w:val="es-CO"/>
        </w:rPr>
        <w:t>.</w:t>
      </w:r>
    </w:p>
    <w:p w14:paraId="6BF6A99A" w14:textId="77777777" w:rsidR="00C32435" w:rsidRPr="00640517" w:rsidRDefault="00C32435" w:rsidP="00C32435">
      <w:pPr>
        <w:pStyle w:val="ListParagraph"/>
        <w:rPr>
          <w:rFonts w:asciiTheme="majorHAnsi" w:hAnsiTheme="majorHAnsi"/>
          <w:spacing w:val="-2"/>
          <w:sz w:val="20"/>
          <w:szCs w:val="20"/>
          <w:lang w:val="es-CO"/>
        </w:rPr>
      </w:pPr>
    </w:p>
    <w:p w14:paraId="70D56BBC" w14:textId="77777777" w:rsidR="00C32435" w:rsidRPr="007B378B" w:rsidRDefault="00C32435" w:rsidP="00207C3A">
      <w:pPr>
        <w:pStyle w:val="Heading1"/>
        <w:rPr>
          <w:b/>
        </w:rPr>
      </w:pPr>
      <w:bookmarkStart w:id="79" w:name="_Toc371074038"/>
      <w:bookmarkStart w:id="80" w:name="_Toc476579052"/>
      <w:bookmarkStart w:id="81" w:name="_Toc484623851"/>
      <w:r w:rsidRPr="007B378B">
        <w:rPr>
          <w:b/>
        </w:rPr>
        <w:t>VII.</w:t>
      </w:r>
      <w:r w:rsidRPr="007B378B">
        <w:rPr>
          <w:b/>
        </w:rPr>
        <w:tab/>
        <w:t>RECOMENDACIONES</w:t>
      </w:r>
      <w:bookmarkEnd w:id="79"/>
      <w:bookmarkEnd w:id="80"/>
      <w:bookmarkEnd w:id="81"/>
    </w:p>
    <w:p w14:paraId="4692EFA0" w14:textId="77777777" w:rsidR="00A8556A" w:rsidRPr="00640517" w:rsidRDefault="00A8556A" w:rsidP="00207C3A">
      <w:pPr>
        <w:pStyle w:val="Heading1"/>
      </w:pPr>
    </w:p>
    <w:p w14:paraId="0DFFAF5C" w14:textId="77777777" w:rsidR="00A8556A" w:rsidRPr="00640517" w:rsidRDefault="00A02A0A" w:rsidP="00C27F20">
      <w:pPr>
        <w:numPr>
          <w:ilvl w:val="0"/>
          <w:numId w:val="1"/>
        </w:numPr>
        <w:tabs>
          <w:tab w:val="clear" w:pos="1440"/>
          <w:tab w:val="num" w:pos="851"/>
        </w:tabs>
        <w:ind w:left="0" w:firstLine="709"/>
        <w:jc w:val="both"/>
        <w:rPr>
          <w:rFonts w:asciiTheme="majorHAnsi" w:hAnsiTheme="majorHAnsi"/>
          <w:bCs/>
          <w:sz w:val="20"/>
          <w:szCs w:val="20"/>
          <w:lang w:val="es-CO"/>
        </w:rPr>
      </w:pPr>
      <w:r w:rsidRPr="00640517">
        <w:rPr>
          <w:rFonts w:asciiTheme="majorHAnsi" w:hAnsiTheme="majorHAnsi"/>
          <w:sz w:val="20"/>
          <w:szCs w:val="20"/>
          <w:lang w:val="es-US"/>
        </w:rPr>
        <w:t xml:space="preserve">Con fundamento en </w:t>
      </w:r>
      <w:r w:rsidR="00EF5BB4" w:rsidRPr="00640517">
        <w:rPr>
          <w:rFonts w:asciiTheme="majorHAnsi" w:hAnsiTheme="majorHAnsi"/>
          <w:sz w:val="20"/>
          <w:szCs w:val="20"/>
          <w:lang w:val="es-US"/>
        </w:rPr>
        <w:t>las anteriores conclusiones,</w:t>
      </w:r>
    </w:p>
    <w:p w14:paraId="24F714EB" w14:textId="77777777" w:rsidR="00EF5BB4" w:rsidRPr="00640517" w:rsidRDefault="00EF5BB4" w:rsidP="00EF5BB4">
      <w:pPr>
        <w:tabs>
          <w:tab w:val="left" w:pos="720"/>
        </w:tabs>
        <w:jc w:val="both"/>
        <w:rPr>
          <w:rFonts w:asciiTheme="majorHAnsi" w:hAnsiTheme="majorHAnsi"/>
          <w:b/>
          <w:bCs/>
          <w:kern w:val="36"/>
          <w:sz w:val="20"/>
          <w:szCs w:val="20"/>
          <w:lang w:val="es-MX"/>
        </w:rPr>
      </w:pPr>
    </w:p>
    <w:p w14:paraId="7C2DB5A7" w14:textId="3372C5F6" w:rsidR="00C65ACD" w:rsidRDefault="00EF5BB4" w:rsidP="00EF5BB4">
      <w:pPr>
        <w:tabs>
          <w:tab w:val="left" w:pos="720"/>
        </w:tabs>
        <w:jc w:val="both"/>
        <w:rPr>
          <w:rFonts w:asciiTheme="majorHAnsi" w:hAnsiTheme="majorHAnsi"/>
          <w:b/>
          <w:sz w:val="20"/>
          <w:szCs w:val="20"/>
          <w:lang w:val="es-CO"/>
        </w:rPr>
      </w:pPr>
      <w:r w:rsidRPr="00640517">
        <w:rPr>
          <w:rFonts w:asciiTheme="majorHAnsi" w:hAnsiTheme="majorHAnsi"/>
          <w:b/>
          <w:bCs/>
          <w:kern w:val="36"/>
          <w:sz w:val="20"/>
          <w:szCs w:val="20"/>
          <w:lang w:val="es-MX"/>
        </w:rPr>
        <w:tab/>
      </w:r>
      <w:r w:rsidR="00C32435" w:rsidRPr="00640517">
        <w:rPr>
          <w:rFonts w:asciiTheme="majorHAnsi" w:hAnsiTheme="majorHAnsi"/>
          <w:b/>
          <w:sz w:val="20"/>
          <w:szCs w:val="20"/>
          <w:lang w:val="es-CO"/>
        </w:rPr>
        <w:t>LA</w:t>
      </w:r>
      <w:r w:rsidR="001D4D6A">
        <w:rPr>
          <w:rFonts w:asciiTheme="majorHAnsi" w:hAnsiTheme="majorHAnsi"/>
          <w:b/>
          <w:sz w:val="20"/>
          <w:szCs w:val="20"/>
          <w:lang w:val="es-CO"/>
        </w:rPr>
        <w:t xml:space="preserve"> </w:t>
      </w:r>
      <w:r w:rsidR="00C32435" w:rsidRPr="00640517">
        <w:rPr>
          <w:rFonts w:asciiTheme="majorHAnsi" w:hAnsiTheme="majorHAnsi"/>
          <w:b/>
          <w:sz w:val="20"/>
          <w:szCs w:val="20"/>
          <w:lang w:val="es-CO"/>
        </w:rPr>
        <w:t xml:space="preserve"> </w:t>
      </w:r>
      <w:r w:rsidR="001D4D6A">
        <w:rPr>
          <w:rFonts w:asciiTheme="majorHAnsi" w:hAnsiTheme="majorHAnsi"/>
          <w:b/>
          <w:sz w:val="20"/>
          <w:szCs w:val="20"/>
          <w:lang w:val="es-CO"/>
        </w:rPr>
        <w:t xml:space="preserve"> </w:t>
      </w:r>
      <w:r w:rsidR="00C32435" w:rsidRPr="00640517">
        <w:rPr>
          <w:rFonts w:asciiTheme="majorHAnsi" w:hAnsiTheme="majorHAnsi"/>
          <w:b/>
          <w:sz w:val="20"/>
          <w:szCs w:val="20"/>
          <w:lang w:val="es-CO"/>
        </w:rPr>
        <w:t>COMISIÓN</w:t>
      </w:r>
      <w:r w:rsidR="001D4D6A">
        <w:rPr>
          <w:rFonts w:asciiTheme="majorHAnsi" w:hAnsiTheme="majorHAnsi"/>
          <w:b/>
          <w:sz w:val="20"/>
          <w:szCs w:val="20"/>
          <w:lang w:val="es-CO"/>
        </w:rPr>
        <w:t xml:space="preserve"> </w:t>
      </w:r>
      <w:r w:rsidR="00C32435" w:rsidRPr="00640517">
        <w:rPr>
          <w:rFonts w:asciiTheme="majorHAnsi" w:hAnsiTheme="majorHAnsi"/>
          <w:b/>
          <w:sz w:val="20"/>
          <w:szCs w:val="20"/>
          <w:lang w:val="es-CO"/>
        </w:rPr>
        <w:t xml:space="preserve"> INTERAMERICANA</w:t>
      </w:r>
      <w:r w:rsidR="001D4D6A">
        <w:rPr>
          <w:rFonts w:asciiTheme="majorHAnsi" w:hAnsiTheme="majorHAnsi"/>
          <w:b/>
          <w:sz w:val="20"/>
          <w:szCs w:val="20"/>
          <w:lang w:val="es-CO"/>
        </w:rPr>
        <w:t xml:space="preserve"> </w:t>
      </w:r>
      <w:r w:rsidR="00C32435" w:rsidRPr="00640517">
        <w:rPr>
          <w:rFonts w:asciiTheme="majorHAnsi" w:hAnsiTheme="majorHAnsi"/>
          <w:b/>
          <w:sz w:val="20"/>
          <w:szCs w:val="20"/>
          <w:lang w:val="es-CO"/>
        </w:rPr>
        <w:t xml:space="preserve"> </w:t>
      </w:r>
      <w:r w:rsidR="001D4D6A">
        <w:rPr>
          <w:rFonts w:asciiTheme="majorHAnsi" w:hAnsiTheme="majorHAnsi"/>
          <w:b/>
          <w:sz w:val="20"/>
          <w:szCs w:val="20"/>
          <w:lang w:val="es-CO"/>
        </w:rPr>
        <w:t xml:space="preserve"> </w:t>
      </w:r>
      <w:r w:rsidR="00C32435" w:rsidRPr="00640517">
        <w:rPr>
          <w:rFonts w:asciiTheme="majorHAnsi" w:hAnsiTheme="majorHAnsi"/>
          <w:b/>
          <w:sz w:val="20"/>
          <w:szCs w:val="20"/>
          <w:lang w:val="es-CO"/>
        </w:rPr>
        <w:t>DE</w:t>
      </w:r>
      <w:r w:rsidR="001D4D6A">
        <w:rPr>
          <w:rFonts w:asciiTheme="majorHAnsi" w:hAnsiTheme="majorHAnsi"/>
          <w:b/>
          <w:sz w:val="20"/>
          <w:szCs w:val="20"/>
          <w:lang w:val="es-CO"/>
        </w:rPr>
        <w:t xml:space="preserve"> </w:t>
      </w:r>
      <w:r w:rsidR="00C32435" w:rsidRPr="00640517">
        <w:rPr>
          <w:rFonts w:asciiTheme="majorHAnsi" w:hAnsiTheme="majorHAnsi"/>
          <w:b/>
          <w:sz w:val="20"/>
          <w:szCs w:val="20"/>
          <w:lang w:val="es-CO"/>
        </w:rPr>
        <w:t xml:space="preserve"> </w:t>
      </w:r>
      <w:r w:rsidR="001D4D6A">
        <w:rPr>
          <w:rFonts w:asciiTheme="majorHAnsi" w:hAnsiTheme="majorHAnsi"/>
          <w:b/>
          <w:sz w:val="20"/>
          <w:szCs w:val="20"/>
          <w:lang w:val="es-CO"/>
        </w:rPr>
        <w:t xml:space="preserve"> </w:t>
      </w:r>
      <w:r w:rsidR="00C32435" w:rsidRPr="00640517">
        <w:rPr>
          <w:rFonts w:asciiTheme="majorHAnsi" w:hAnsiTheme="majorHAnsi"/>
          <w:b/>
          <w:sz w:val="20"/>
          <w:szCs w:val="20"/>
          <w:lang w:val="es-CO"/>
        </w:rPr>
        <w:t>DERECHOS</w:t>
      </w:r>
      <w:r w:rsidR="001D4D6A">
        <w:rPr>
          <w:rFonts w:asciiTheme="majorHAnsi" w:hAnsiTheme="majorHAnsi"/>
          <w:b/>
          <w:sz w:val="20"/>
          <w:szCs w:val="20"/>
          <w:lang w:val="es-CO"/>
        </w:rPr>
        <w:t xml:space="preserve"> </w:t>
      </w:r>
      <w:r w:rsidR="00C32435" w:rsidRPr="00640517">
        <w:rPr>
          <w:rFonts w:asciiTheme="majorHAnsi" w:hAnsiTheme="majorHAnsi"/>
          <w:b/>
          <w:sz w:val="20"/>
          <w:szCs w:val="20"/>
          <w:lang w:val="es-CO"/>
        </w:rPr>
        <w:t xml:space="preserve"> HUMANOS</w:t>
      </w:r>
      <w:r w:rsidR="001D4D6A">
        <w:rPr>
          <w:rFonts w:asciiTheme="majorHAnsi" w:hAnsiTheme="majorHAnsi"/>
          <w:b/>
          <w:sz w:val="20"/>
          <w:szCs w:val="20"/>
          <w:lang w:val="es-CO"/>
        </w:rPr>
        <w:t xml:space="preserve"> </w:t>
      </w:r>
      <w:r w:rsidR="00C32435" w:rsidRPr="00640517">
        <w:rPr>
          <w:rFonts w:asciiTheme="majorHAnsi" w:hAnsiTheme="majorHAnsi"/>
          <w:b/>
          <w:sz w:val="20"/>
          <w:szCs w:val="20"/>
          <w:lang w:val="es-CO"/>
        </w:rPr>
        <w:t xml:space="preserve"> RECOMIENDA</w:t>
      </w:r>
      <w:r w:rsidR="001D4D6A">
        <w:rPr>
          <w:rFonts w:asciiTheme="majorHAnsi" w:hAnsiTheme="majorHAnsi"/>
          <w:b/>
          <w:sz w:val="20"/>
          <w:szCs w:val="20"/>
          <w:lang w:val="es-CO"/>
        </w:rPr>
        <w:t xml:space="preserve"> </w:t>
      </w:r>
      <w:r w:rsidR="00C32435" w:rsidRPr="00640517">
        <w:rPr>
          <w:rFonts w:asciiTheme="majorHAnsi" w:hAnsiTheme="majorHAnsi"/>
          <w:b/>
          <w:sz w:val="20"/>
          <w:szCs w:val="20"/>
          <w:lang w:val="es-CO"/>
        </w:rPr>
        <w:t xml:space="preserve"> </w:t>
      </w:r>
      <w:r w:rsidR="001D4D6A">
        <w:rPr>
          <w:rFonts w:asciiTheme="majorHAnsi" w:hAnsiTheme="majorHAnsi"/>
          <w:b/>
          <w:sz w:val="20"/>
          <w:szCs w:val="20"/>
          <w:lang w:val="es-CO"/>
        </w:rPr>
        <w:t xml:space="preserve"> </w:t>
      </w:r>
      <w:r w:rsidR="00C32435" w:rsidRPr="00640517">
        <w:rPr>
          <w:rFonts w:asciiTheme="majorHAnsi" w:hAnsiTheme="majorHAnsi"/>
          <w:b/>
          <w:sz w:val="20"/>
          <w:szCs w:val="20"/>
          <w:lang w:val="es-CO"/>
        </w:rPr>
        <w:t>AL</w:t>
      </w:r>
      <w:r w:rsidR="001D4D6A">
        <w:rPr>
          <w:rFonts w:asciiTheme="majorHAnsi" w:hAnsiTheme="majorHAnsi"/>
          <w:b/>
          <w:sz w:val="20"/>
          <w:szCs w:val="20"/>
          <w:lang w:val="es-CO"/>
        </w:rPr>
        <w:t xml:space="preserve"> </w:t>
      </w:r>
      <w:r w:rsidR="00C32435" w:rsidRPr="00640517">
        <w:rPr>
          <w:rFonts w:asciiTheme="majorHAnsi" w:hAnsiTheme="majorHAnsi"/>
          <w:b/>
          <w:sz w:val="20"/>
          <w:szCs w:val="20"/>
          <w:lang w:val="es-CO"/>
        </w:rPr>
        <w:t xml:space="preserve"> ESTADO</w:t>
      </w:r>
      <w:r w:rsidR="001D4D6A">
        <w:rPr>
          <w:rFonts w:asciiTheme="majorHAnsi" w:hAnsiTheme="majorHAnsi"/>
          <w:b/>
          <w:sz w:val="20"/>
          <w:szCs w:val="20"/>
          <w:lang w:val="es-CO"/>
        </w:rPr>
        <w:t xml:space="preserve"> </w:t>
      </w:r>
      <w:r w:rsidR="00C32435" w:rsidRPr="00640517">
        <w:rPr>
          <w:rFonts w:asciiTheme="majorHAnsi" w:hAnsiTheme="majorHAnsi"/>
          <w:b/>
          <w:sz w:val="20"/>
          <w:szCs w:val="20"/>
          <w:lang w:val="es-CO"/>
        </w:rPr>
        <w:t xml:space="preserve"> DE </w:t>
      </w:r>
    </w:p>
    <w:p w14:paraId="35EA5390" w14:textId="009EBBBD" w:rsidR="00C32435" w:rsidRPr="00640517" w:rsidRDefault="00C32435" w:rsidP="00EF5BB4">
      <w:pPr>
        <w:tabs>
          <w:tab w:val="left" w:pos="720"/>
        </w:tabs>
        <w:jc w:val="both"/>
        <w:rPr>
          <w:rFonts w:asciiTheme="majorHAnsi" w:hAnsiTheme="majorHAnsi"/>
          <w:b/>
          <w:sz w:val="20"/>
          <w:szCs w:val="20"/>
          <w:lang w:val="es-CO"/>
        </w:rPr>
      </w:pPr>
      <w:r w:rsidRPr="00640517">
        <w:rPr>
          <w:rFonts w:asciiTheme="majorHAnsi" w:hAnsiTheme="majorHAnsi"/>
          <w:b/>
          <w:sz w:val="20"/>
          <w:szCs w:val="20"/>
          <w:lang w:val="es-CO"/>
        </w:rPr>
        <w:t>EL SALVADOR,</w:t>
      </w:r>
    </w:p>
    <w:p w14:paraId="79948D22" w14:textId="77777777" w:rsidR="00C32435" w:rsidRPr="00640517" w:rsidRDefault="00C32435" w:rsidP="000D2284">
      <w:pPr>
        <w:autoSpaceDE w:val="0"/>
        <w:autoSpaceDN w:val="0"/>
        <w:adjustRightInd w:val="0"/>
        <w:ind w:firstLine="720"/>
        <w:jc w:val="both"/>
        <w:rPr>
          <w:rFonts w:asciiTheme="majorHAnsi" w:hAnsiTheme="majorHAnsi"/>
          <w:sz w:val="20"/>
          <w:szCs w:val="20"/>
          <w:lang w:val="es-CO"/>
        </w:rPr>
      </w:pPr>
    </w:p>
    <w:p w14:paraId="52F738AD" w14:textId="77777777" w:rsidR="0033406D" w:rsidRPr="00640517" w:rsidRDefault="0033406D" w:rsidP="00812BA1">
      <w:pPr>
        <w:pStyle w:val="BodyTextIndent3"/>
        <w:numPr>
          <w:ilvl w:val="0"/>
          <w:numId w:val="13"/>
        </w:numPr>
        <w:tabs>
          <w:tab w:val="clear" w:pos="990"/>
          <w:tab w:val="num" w:pos="0"/>
        </w:tabs>
        <w:spacing w:after="0"/>
        <w:ind w:left="0" w:firstLine="720"/>
        <w:jc w:val="both"/>
        <w:rPr>
          <w:rFonts w:asciiTheme="majorHAnsi" w:hAnsiTheme="majorHAnsi"/>
          <w:spacing w:val="-2"/>
          <w:sz w:val="20"/>
          <w:szCs w:val="20"/>
          <w:lang w:val="es-CO"/>
        </w:rPr>
      </w:pPr>
      <w:r w:rsidRPr="00640517">
        <w:rPr>
          <w:rFonts w:asciiTheme="majorHAnsi" w:hAnsiTheme="majorHAnsi"/>
          <w:spacing w:val="-2"/>
          <w:sz w:val="20"/>
          <w:szCs w:val="20"/>
          <w:lang w:val="es-CO"/>
        </w:rPr>
        <w:t xml:space="preserve">Reincorporar al señor Benjamín Eduardo Colindres en un cargo similar al que desempeñaba, con la misma remuneración, beneficios sociales y rango equiparables a los que le correspondería el día de hoy si no hubiera sido destituido, por el plazo de tiempo que quedaba pendiente de su mandato, o si por razones fundadas no es posible la reincorporación, pagar una indemnización alternativa. </w:t>
      </w:r>
    </w:p>
    <w:p w14:paraId="71463144" w14:textId="77777777" w:rsidR="0033406D" w:rsidRPr="00640517" w:rsidRDefault="0033406D" w:rsidP="00812BA1">
      <w:pPr>
        <w:tabs>
          <w:tab w:val="num" w:pos="0"/>
        </w:tabs>
        <w:ind w:firstLine="720"/>
        <w:jc w:val="both"/>
        <w:rPr>
          <w:rFonts w:asciiTheme="majorHAnsi" w:hAnsiTheme="majorHAnsi"/>
          <w:spacing w:val="-2"/>
          <w:sz w:val="20"/>
          <w:szCs w:val="20"/>
          <w:lang w:val="es-CO"/>
        </w:rPr>
      </w:pPr>
    </w:p>
    <w:p w14:paraId="2CDCF78A" w14:textId="77777777" w:rsidR="00C32435" w:rsidRPr="00640517" w:rsidRDefault="00C32435" w:rsidP="00812BA1">
      <w:pPr>
        <w:numPr>
          <w:ilvl w:val="0"/>
          <w:numId w:val="13"/>
        </w:numPr>
        <w:tabs>
          <w:tab w:val="clear" w:pos="990"/>
          <w:tab w:val="num" w:pos="0"/>
        </w:tabs>
        <w:ind w:left="0" w:firstLine="720"/>
        <w:jc w:val="both"/>
        <w:rPr>
          <w:rFonts w:asciiTheme="majorHAnsi" w:hAnsiTheme="majorHAnsi"/>
          <w:spacing w:val="-2"/>
          <w:sz w:val="20"/>
          <w:szCs w:val="20"/>
          <w:lang w:val="es-CO"/>
        </w:rPr>
      </w:pPr>
      <w:r w:rsidRPr="00640517">
        <w:rPr>
          <w:rFonts w:asciiTheme="majorHAnsi" w:hAnsiTheme="majorHAnsi"/>
          <w:spacing w:val="-2"/>
          <w:sz w:val="20"/>
          <w:szCs w:val="20"/>
          <w:lang w:val="es-CO"/>
        </w:rPr>
        <w:t xml:space="preserve">Reparar las consecuencias de las violaciones declaradas en el presente informe, incluyendo tanto el daño material como el daño inmaterial. </w:t>
      </w:r>
    </w:p>
    <w:p w14:paraId="34112A19" w14:textId="77777777" w:rsidR="00C32435" w:rsidRPr="00640517" w:rsidRDefault="00C32435" w:rsidP="00812BA1">
      <w:pPr>
        <w:tabs>
          <w:tab w:val="num" w:pos="0"/>
        </w:tabs>
        <w:ind w:firstLine="720"/>
        <w:jc w:val="both"/>
        <w:rPr>
          <w:rFonts w:asciiTheme="majorHAnsi" w:hAnsiTheme="majorHAnsi"/>
          <w:spacing w:val="-2"/>
          <w:sz w:val="20"/>
          <w:szCs w:val="20"/>
          <w:lang w:val="es-CO"/>
        </w:rPr>
      </w:pPr>
    </w:p>
    <w:p w14:paraId="1188C711" w14:textId="77777777" w:rsidR="00C32435" w:rsidRDefault="00C32435" w:rsidP="00812BA1">
      <w:pPr>
        <w:numPr>
          <w:ilvl w:val="0"/>
          <w:numId w:val="13"/>
        </w:numPr>
        <w:tabs>
          <w:tab w:val="clear" w:pos="990"/>
          <w:tab w:val="num" w:pos="0"/>
        </w:tabs>
        <w:suppressAutoHyphens/>
        <w:ind w:left="0" w:firstLine="720"/>
        <w:jc w:val="both"/>
        <w:rPr>
          <w:rFonts w:asciiTheme="majorHAnsi" w:hAnsiTheme="majorHAnsi"/>
          <w:spacing w:val="-2"/>
          <w:sz w:val="20"/>
          <w:szCs w:val="20"/>
          <w:lang w:val="es-CO"/>
        </w:rPr>
      </w:pPr>
      <w:r w:rsidRPr="00640517">
        <w:rPr>
          <w:rFonts w:asciiTheme="majorHAnsi" w:hAnsiTheme="majorHAnsi"/>
          <w:spacing w:val="-2"/>
          <w:sz w:val="20"/>
          <w:szCs w:val="20"/>
          <w:lang w:val="es-CO"/>
        </w:rPr>
        <w:t xml:space="preserve">Disponer las modificaciones normativas </w:t>
      </w:r>
      <w:r w:rsidR="00257AB6" w:rsidRPr="00640517">
        <w:rPr>
          <w:rFonts w:asciiTheme="majorHAnsi" w:hAnsiTheme="majorHAnsi"/>
          <w:spacing w:val="-2"/>
          <w:sz w:val="20"/>
          <w:szCs w:val="20"/>
          <w:lang w:val="es-CO"/>
        </w:rPr>
        <w:t xml:space="preserve">y las capacitaciones necesarias </w:t>
      </w:r>
      <w:r w:rsidRPr="00640517">
        <w:rPr>
          <w:rFonts w:asciiTheme="majorHAnsi" w:hAnsiTheme="majorHAnsi"/>
          <w:spacing w:val="-2"/>
          <w:sz w:val="20"/>
          <w:szCs w:val="20"/>
          <w:lang w:val="es-CO"/>
        </w:rPr>
        <w:t xml:space="preserve">para asegurar que los procesos disciplinarios contra </w:t>
      </w:r>
      <w:r w:rsidR="004913A1" w:rsidRPr="00640517">
        <w:rPr>
          <w:rFonts w:asciiTheme="majorHAnsi" w:hAnsiTheme="majorHAnsi"/>
          <w:spacing w:val="-2"/>
          <w:sz w:val="20"/>
          <w:szCs w:val="20"/>
          <w:lang w:val="es-CO"/>
        </w:rPr>
        <w:t>magistrados del T</w:t>
      </w:r>
      <w:r w:rsidR="001F66BE" w:rsidRPr="00640517">
        <w:rPr>
          <w:rFonts w:asciiTheme="majorHAnsi" w:hAnsiTheme="majorHAnsi"/>
          <w:spacing w:val="-2"/>
          <w:sz w:val="20"/>
          <w:szCs w:val="20"/>
          <w:lang w:val="es-CO"/>
        </w:rPr>
        <w:t>r</w:t>
      </w:r>
      <w:r w:rsidR="00C61E0F" w:rsidRPr="00640517">
        <w:rPr>
          <w:rFonts w:asciiTheme="majorHAnsi" w:hAnsiTheme="majorHAnsi"/>
          <w:spacing w:val="-2"/>
          <w:sz w:val="20"/>
          <w:szCs w:val="20"/>
          <w:lang w:val="es-CO"/>
        </w:rPr>
        <w:t>i</w:t>
      </w:r>
      <w:r w:rsidR="001F66BE" w:rsidRPr="00640517">
        <w:rPr>
          <w:rFonts w:asciiTheme="majorHAnsi" w:hAnsiTheme="majorHAnsi"/>
          <w:spacing w:val="-2"/>
          <w:sz w:val="20"/>
          <w:szCs w:val="20"/>
          <w:lang w:val="es-CO"/>
        </w:rPr>
        <w:t>bunal Supremo Electoral</w:t>
      </w:r>
      <w:r w:rsidR="00257AB6" w:rsidRPr="00640517">
        <w:rPr>
          <w:rFonts w:asciiTheme="majorHAnsi" w:hAnsiTheme="majorHAnsi"/>
          <w:spacing w:val="-2"/>
          <w:sz w:val="20"/>
          <w:szCs w:val="20"/>
          <w:lang w:val="es-CO"/>
        </w:rPr>
        <w:t xml:space="preserve"> tanto en la regulación como en la práctica, </w:t>
      </w:r>
      <w:r w:rsidRPr="00640517">
        <w:rPr>
          <w:rFonts w:asciiTheme="majorHAnsi" w:hAnsiTheme="majorHAnsi"/>
          <w:spacing w:val="-2"/>
          <w:sz w:val="20"/>
          <w:szCs w:val="20"/>
          <w:lang w:val="es-CO"/>
        </w:rPr>
        <w:t xml:space="preserve">sean realizados con garantías de </w:t>
      </w:r>
      <w:r w:rsidR="002D6931" w:rsidRPr="00640517">
        <w:rPr>
          <w:rFonts w:asciiTheme="majorHAnsi" w:hAnsiTheme="majorHAnsi"/>
          <w:spacing w:val="-2"/>
          <w:sz w:val="20"/>
          <w:szCs w:val="20"/>
          <w:lang w:val="es-CO"/>
        </w:rPr>
        <w:t xml:space="preserve">competencia, </w:t>
      </w:r>
      <w:r w:rsidR="00812BA1" w:rsidRPr="00640517">
        <w:rPr>
          <w:rFonts w:asciiTheme="majorHAnsi" w:hAnsiTheme="majorHAnsi"/>
          <w:spacing w:val="-2"/>
          <w:sz w:val="20"/>
          <w:szCs w:val="20"/>
          <w:lang w:val="es-CO"/>
        </w:rPr>
        <w:t>independencia e imparcialidad,</w:t>
      </w:r>
      <w:r w:rsidR="00834B1E" w:rsidRPr="00640517">
        <w:rPr>
          <w:rFonts w:asciiTheme="majorHAnsi" w:hAnsiTheme="majorHAnsi"/>
          <w:spacing w:val="-2"/>
          <w:sz w:val="20"/>
          <w:szCs w:val="20"/>
          <w:lang w:val="es-CO"/>
        </w:rPr>
        <w:t xml:space="preserve"> en estricto apego al derecho de defensa,</w:t>
      </w:r>
      <w:r w:rsidR="00812BA1" w:rsidRPr="00640517">
        <w:rPr>
          <w:rFonts w:asciiTheme="majorHAnsi" w:hAnsiTheme="majorHAnsi"/>
          <w:spacing w:val="-2"/>
          <w:sz w:val="20"/>
          <w:szCs w:val="20"/>
          <w:lang w:val="es-CO"/>
        </w:rPr>
        <w:t xml:space="preserve"> así como </w:t>
      </w:r>
      <w:r w:rsidRPr="00640517">
        <w:rPr>
          <w:rFonts w:asciiTheme="majorHAnsi" w:hAnsiTheme="majorHAnsi"/>
          <w:spacing w:val="-2"/>
          <w:sz w:val="20"/>
          <w:szCs w:val="20"/>
          <w:lang w:val="es-CO"/>
        </w:rPr>
        <w:t xml:space="preserve">que las causales disciplinarias y las sanciones aplicables sean compatibles con el principio de legalidad. </w:t>
      </w:r>
    </w:p>
    <w:p w14:paraId="4749A3AD" w14:textId="77777777" w:rsidR="0045657E" w:rsidRDefault="0045657E" w:rsidP="0045657E">
      <w:pPr>
        <w:pStyle w:val="ListParagraph"/>
        <w:rPr>
          <w:rFonts w:asciiTheme="majorHAnsi" w:hAnsiTheme="majorHAnsi"/>
          <w:spacing w:val="-2"/>
          <w:sz w:val="20"/>
          <w:szCs w:val="20"/>
          <w:lang w:val="es-CO"/>
        </w:rPr>
      </w:pPr>
    </w:p>
    <w:p w14:paraId="38BA3C01" w14:textId="724169A8" w:rsidR="004940D0" w:rsidRPr="004940D0" w:rsidRDefault="004940D0" w:rsidP="004940D0">
      <w:pPr>
        <w:pBdr>
          <w:top w:val="nil"/>
          <w:left w:val="nil"/>
          <w:bottom w:val="nil"/>
          <w:right w:val="nil"/>
          <w:between w:val="nil"/>
          <w:bar w:val="nil"/>
        </w:pBdr>
        <w:ind w:firstLine="720"/>
        <w:jc w:val="both"/>
        <w:rPr>
          <w:rFonts w:ascii="Cambria" w:eastAsia="Arial Unicode MS" w:hAnsi="Cambria" w:cs="Arial"/>
          <w:noProof/>
          <w:spacing w:val="-2"/>
          <w:sz w:val="20"/>
          <w:szCs w:val="20"/>
          <w:bdr w:val="nil"/>
          <w:lang w:val="es-CL"/>
        </w:rPr>
      </w:pPr>
      <w:r w:rsidRPr="004940D0">
        <w:rPr>
          <w:rFonts w:ascii="Cambria" w:eastAsia="Arial Unicode MS" w:hAnsi="Cambria" w:cs="Arial"/>
          <w:noProof/>
          <w:spacing w:val="-2"/>
          <w:sz w:val="20"/>
          <w:szCs w:val="20"/>
          <w:bdr w:val="nil"/>
          <w:lang w:val="es-CL"/>
        </w:rPr>
        <w:t xml:space="preserve">Dado y firmado en la ciudad de Washington, D.C., a los </w:t>
      </w:r>
      <w:r>
        <w:rPr>
          <w:rFonts w:ascii="Cambria" w:eastAsia="Arial Unicode MS" w:hAnsi="Cambria" w:cs="Arial"/>
          <w:noProof/>
          <w:spacing w:val="-2"/>
          <w:sz w:val="20"/>
          <w:szCs w:val="20"/>
          <w:bdr w:val="nil"/>
          <w:lang w:val="es-CL"/>
        </w:rPr>
        <w:t>18</w:t>
      </w:r>
      <w:r w:rsidRPr="004940D0">
        <w:rPr>
          <w:rFonts w:ascii="Cambria" w:eastAsia="Arial Unicode MS" w:hAnsi="Cambria" w:cs="Arial"/>
          <w:noProof/>
          <w:spacing w:val="-2"/>
          <w:sz w:val="20"/>
          <w:szCs w:val="20"/>
          <w:bdr w:val="nil"/>
          <w:lang w:val="es-CL"/>
        </w:rPr>
        <w:t xml:space="preserve"> días del mes de marzo de 2017. (Firmado): Francisco José Eguiguren, Presidente; Margarette May Macaulay, Primera Vicepresidenta; Esmeralda E. Arosemena Bernal de Troitiño, Segunda Vicepresidenta; Paulo Vanucchi y James L. Cavallaro, Miembros de la Comisión.</w:t>
      </w:r>
      <w:r w:rsidRPr="004940D0">
        <w:rPr>
          <w:rFonts w:ascii="Cambria" w:eastAsia="Arial Unicode MS" w:hAnsi="Cambria" w:cs="Arial"/>
          <w:noProof/>
          <w:sz w:val="20"/>
          <w:szCs w:val="20"/>
          <w:bdr w:val="nil"/>
          <w:lang w:val="es-CL"/>
        </w:rPr>
        <w:t xml:space="preserve"> </w:t>
      </w:r>
    </w:p>
    <w:p w14:paraId="5B9CC96E" w14:textId="77777777" w:rsidR="004940D0" w:rsidRPr="004940D0" w:rsidRDefault="004940D0" w:rsidP="004940D0">
      <w:pPr>
        <w:pBdr>
          <w:top w:val="nil"/>
          <w:left w:val="nil"/>
          <w:bottom w:val="nil"/>
          <w:right w:val="nil"/>
          <w:between w:val="nil"/>
          <w:bar w:val="nil"/>
        </w:pBdr>
        <w:ind w:firstLine="720"/>
        <w:jc w:val="both"/>
        <w:rPr>
          <w:rFonts w:ascii="Cambria" w:eastAsia="Arial Unicode MS" w:hAnsi="Cambria" w:cs="Arial"/>
          <w:noProof/>
          <w:sz w:val="20"/>
          <w:szCs w:val="20"/>
          <w:bdr w:val="nil"/>
          <w:lang w:val="es-CL"/>
        </w:rPr>
      </w:pPr>
    </w:p>
    <w:p w14:paraId="28E85D59" w14:textId="27CE8E14" w:rsidR="004940D0" w:rsidRPr="004940D0" w:rsidRDefault="001D4D6A" w:rsidP="004940D0">
      <w:pPr>
        <w:pBdr>
          <w:top w:val="nil"/>
          <w:left w:val="nil"/>
          <w:bottom w:val="nil"/>
          <w:right w:val="nil"/>
          <w:between w:val="nil"/>
          <w:bar w:val="nil"/>
        </w:pBdr>
        <w:ind w:firstLine="720"/>
        <w:jc w:val="both"/>
        <w:rPr>
          <w:rFonts w:ascii="Cambria" w:eastAsia="Arial Unicode MS" w:hAnsi="Cambria" w:cs="Arial"/>
          <w:noProof/>
          <w:sz w:val="20"/>
          <w:szCs w:val="20"/>
          <w:bdr w:val="nil"/>
          <w:lang w:val="es-CL"/>
        </w:rPr>
      </w:pPr>
      <w:r>
        <w:rPr>
          <w:rFonts w:ascii="Cambria" w:eastAsia="Arial Unicode MS" w:hAnsi="Cambria" w:cs="Arial"/>
          <w:noProof/>
          <w:sz w:val="20"/>
          <w:szCs w:val="20"/>
          <w:bdr w:val="nil"/>
          <w:lang w:val="es-CL"/>
        </w:rPr>
        <w:t>La</w:t>
      </w:r>
      <w:r w:rsidR="004940D0" w:rsidRPr="004940D0">
        <w:rPr>
          <w:rFonts w:ascii="Cambria" w:eastAsia="Arial Unicode MS" w:hAnsi="Cambria" w:cs="Arial"/>
          <w:noProof/>
          <w:sz w:val="20"/>
          <w:szCs w:val="20"/>
          <w:bdr w:val="nil"/>
          <w:lang w:val="es-CL"/>
        </w:rPr>
        <w:t xml:space="preserve"> que suscribe, </w:t>
      </w:r>
      <w:r>
        <w:rPr>
          <w:rFonts w:ascii="Cambria" w:eastAsia="Arial Unicode MS" w:hAnsi="Cambria" w:cs="Arial"/>
          <w:noProof/>
          <w:sz w:val="20"/>
          <w:szCs w:val="20"/>
          <w:bdr w:val="nil"/>
          <w:lang w:val="es-CL"/>
        </w:rPr>
        <w:t>Elizabeth Abi-Mershed</w:t>
      </w:r>
      <w:r w:rsidR="004940D0" w:rsidRPr="004940D0">
        <w:rPr>
          <w:rFonts w:ascii="Cambria" w:eastAsia="Arial Unicode MS" w:hAnsi="Cambria" w:cs="Arial"/>
          <w:noProof/>
          <w:sz w:val="20"/>
          <w:szCs w:val="20"/>
          <w:bdr w:val="nil"/>
          <w:lang w:val="es-CL"/>
        </w:rPr>
        <w:t>, en su carácter de Secretari Ejecutiv</w:t>
      </w:r>
      <w:r>
        <w:rPr>
          <w:rFonts w:ascii="Cambria" w:eastAsia="Arial Unicode MS" w:hAnsi="Cambria" w:cs="Arial"/>
          <w:noProof/>
          <w:sz w:val="20"/>
          <w:szCs w:val="20"/>
          <w:bdr w:val="nil"/>
          <w:lang w:val="es-CL"/>
        </w:rPr>
        <w:t>a Adjunta</w:t>
      </w:r>
      <w:r w:rsidR="004940D0" w:rsidRPr="004940D0">
        <w:rPr>
          <w:rFonts w:ascii="Cambria" w:eastAsia="Arial Unicode MS" w:hAnsi="Cambria" w:cs="Arial"/>
          <w:noProof/>
          <w:sz w:val="20"/>
          <w:szCs w:val="20"/>
          <w:bdr w:val="nil"/>
          <w:lang w:val="es-CL"/>
        </w:rPr>
        <w:t xml:space="preserve"> de la Comisión Interamericana de Derechos Humanos, de conformidad con el artículo 49 del Reglamento de la Comisión, certifica que es copia fiel del original depositado en los archivos de la Secretaría de la CIDH.</w:t>
      </w:r>
    </w:p>
    <w:p w14:paraId="7551F7BF" w14:textId="77777777" w:rsidR="004940D0" w:rsidRPr="004940D0" w:rsidRDefault="004940D0" w:rsidP="004940D0">
      <w:pPr>
        <w:pBdr>
          <w:top w:val="nil"/>
          <w:left w:val="nil"/>
          <w:bottom w:val="nil"/>
          <w:right w:val="nil"/>
          <w:between w:val="nil"/>
          <w:bar w:val="nil"/>
        </w:pBdr>
        <w:suppressAutoHyphens/>
        <w:jc w:val="both"/>
        <w:rPr>
          <w:rFonts w:ascii="Cambria" w:eastAsia="Arial Unicode MS" w:hAnsi="Cambria" w:cs="Arial"/>
          <w:noProof/>
          <w:spacing w:val="-2"/>
          <w:sz w:val="20"/>
          <w:szCs w:val="20"/>
          <w:bdr w:val="nil"/>
          <w:lang w:val="es-CL"/>
        </w:rPr>
      </w:pPr>
    </w:p>
    <w:p w14:paraId="649A411D" w14:textId="77777777" w:rsidR="004940D0" w:rsidRPr="004940D0" w:rsidRDefault="004940D0" w:rsidP="004940D0">
      <w:pPr>
        <w:pBdr>
          <w:top w:val="nil"/>
          <w:left w:val="nil"/>
          <w:bottom w:val="nil"/>
          <w:right w:val="nil"/>
          <w:between w:val="nil"/>
          <w:bar w:val="nil"/>
        </w:pBdr>
        <w:suppressAutoHyphens/>
        <w:jc w:val="both"/>
        <w:rPr>
          <w:rFonts w:ascii="Cambria" w:eastAsia="Arial Unicode MS" w:hAnsi="Cambria" w:cs="Arial"/>
          <w:noProof/>
          <w:spacing w:val="-2"/>
          <w:sz w:val="20"/>
          <w:szCs w:val="20"/>
          <w:bdr w:val="nil"/>
          <w:lang w:val="es-CL"/>
        </w:rPr>
      </w:pPr>
    </w:p>
    <w:p w14:paraId="0CC0D094" w14:textId="77777777" w:rsidR="004940D0" w:rsidRPr="004940D0" w:rsidRDefault="004940D0" w:rsidP="004940D0">
      <w:pPr>
        <w:pBdr>
          <w:top w:val="nil"/>
          <w:left w:val="nil"/>
          <w:bottom w:val="nil"/>
          <w:right w:val="nil"/>
          <w:between w:val="nil"/>
          <w:bar w:val="nil"/>
        </w:pBdr>
        <w:suppressAutoHyphens/>
        <w:jc w:val="both"/>
        <w:rPr>
          <w:rFonts w:ascii="Cambria" w:eastAsia="Arial Unicode MS" w:hAnsi="Cambria" w:cs="Arial"/>
          <w:noProof/>
          <w:spacing w:val="-2"/>
          <w:sz w:val="20"/>
          <w:szCs w:val="20"/>
          <w:bdr w:val="nil"/>
          <w:lang w:val="es-CL"/>
        </w:rPr>
      </w:pPr>
    </w:p>
    <w:p w14:paraId="5C0E657A" w14:textId="77777777" w:rsidR="004940D0" w:rsidRPr="004940D0" w:rsidRDefault="004940D0" w:rsidP="004940D0">
      <w:pPr>
        <w:pBdr>
          <w:top w:val="nil"/>
          <w:left w:val="nil"/>
          <w:bottom w:val="nil"/>
          <w:right w:val="nil"/>
          <w:between w:val="nil"/>
          <w:bar w:val="nil"/>
        </w:pBdr>
        <w:suppressAutoHyphens/>
        <w:jc w:val="both"/>
        <w:rPr>
          <w:rFonts w:ascii="Cambria" w:eastAsia="Arial Unicode MS" w:hAnsi="Cambria" w:cs="Arial"/>
          <w:noProof/>
          <w:spacing w:val="-2"/>
          <w:sz w:val="20"/>
          <w:szCs w:val="20"/>
          <w:bdr w:val="nil"/>
          <w:lang w:val="es-CL"/>
        </w:rPr>
      </w:pPr>
    </w:p>
    <w:p w14:paraId="2F57DD80" w14:textId="72E10FD7" w:rsidR="004940D0" w:rsidRPr="00A23D66" w:rsidRDefault="00A23D66" w:rsidP="00A23D66">
      <w:pPr>
        <w:pBdr>
          <w:top w:val="nil"/>
          <w:left w:val="nil"/>
          <w:bottom w:val="nil"/>
          <w:right w:val="nil"/>
          <w:between w:val="nil"/>
          <w:bar w:val="nil"/>
        </w:pBdr>
        <w:suppressAutoHyphens/>
        <w:ind w:left="2880" w:firstLine="720"/>
        <w:jc w:val="both"/>
        <w:rPr>
          <w:rFonts w:ascii="Cambria" w:eastAsia="Arial Unicode MS" w:hAnsi="Cambria" w:cs="Arial"/>
          <w:noProof/>
          <w:color w:val="808080" w:themeColor="background1" w:themeShade="80"/>
          <w:spacing w:val="-2"/>
          <w:sz w:val="20"/>
          <w:szCs w:val="20"/>
          <w:bdr w:val="nil"/>
          <w:lang w:val="es-CL"/>
        </w:rPr>
      </w:pPr>
      <w:r>
        <w:rPr>
          <w:rFonts w:ascii="Cambria" w:eastAsia="Arial Unicode MS" w:hAnsi="Cambria" w:cs="Arial"/>
          <w:noProof/>
          <w:color w:val="808080" w:themeColor="background1" w:themeShade="80"/>
          <w:spacing w:val="-2"/>
          <w:sz w:val="20"/>
          <w:szCs w:val="20"/>
          <w:bdr w:val="nil"/>
          <w:lang w:val="es-CL"/>
        </w:rPr>
        <w:t xml:space="preserve">    </w:t>
      </w:r>
      <w:bookmarkStart w:id="82" w:name="_GoBack"/>
      <w:bookmarkEnd w:id="82"/>
      <w:r w:rsidRPr="00A23D66">
        <w:rPr>
          <w:rFonts w:ascii="Cambria" w:eastAsia="Arial Unicode MS" w:hAnsi="Cambria" w:cs="Arial"/>
          <w:noProof/>
          <w:color w:val="808080" w:themeColor="background1" w:themeShade="80"/>
          <w:spacing w:val="-2"/>
          <w:sz w:val="20"/>
          <w:szCs w:val="20"/>
          <w:bdr w:val="nil"/>
          <w:lang w:val="es-CL"/>
        </w:rPr>
        <w:t>Firmado en el original</w:t>
      </w:r>
    </w:p>
    <w:p w14:paraId="58D94BB8" w14:textId="4037CF42" w:rsidR="004940D0" w:rsidRPr="004940D0" w:rsidRDefault="001D4D6A" w:rsidP="004940D0">
      <w:pPr>
        <w:pBdr>
          <w:top w:val="nil"/>
          <w:left w:val="nil"/>
          <w:bottom w:val="nil"/>
          <w:right w:val="nil"/>
          <w:between w:val="nil"/>
          <w:bar w:val="nil"/>
        </w:pBdr>
        <w:ind w:left="720" w:hanging="720"/>
        <w:jc w:val="center"/>
        <w:rPr>
          <w:rFonts w:ascii="Cambria" w:eastAsia="Arial Unicode MS" w:hAnsi="Cambria" w:cs="Arial"/>
          <w:sz w:val="20"/>
          <w:szCs w:val="20"/>
          <w:bdr w:val="nil"/>
          <w:lang w:val="es-SV"/>
        </w:rPr>
      </w:pPr>
      <w:r>
        <w:rPr>
          <w:rFonts w:ascii="Cambria" w:eastAsia="Arial Unicode MS" w:hAnsi="Cambria" w:cs="Arial"/>
          <w:noProof/>
          <w:sz w:val="20"/>
          <w:szCs w:val="20"/>
          <w:bdr w:val="nil"/>
          <w:lang w:val="es-CL"/>
        </w:rPr>
        <w:t>Elizabeth Abi-Mershed</w:t>
      </w:r>
    </w:p>
    <w:p w14:paraId="233AB1FB" w14:textId="2929D8D8" w:rsidR="004940D0" w:rsidRPr="004940D0" w:rsidRDefault="004940D0" w:rsidP="004940D0">
      <w:pPr>
        <w:pBdr>
          <w:top w:val="nil"/>
          <w:left w:val="nil"/>
          <w:bottom w:val="nil"/>
          <w:right w:val="nil"/>
          <w:between w:val="nil"/>
          <w:bar w:val="nil"/>
        </w:pBdr>
        <w:ind w:left="720" w:hanging="720"/>
        <w:jc w:val="center"/>
        <w:rPr>
          <w:rFonts w:ascii="Cambria" w:eastAsia="Arial Unicode MS" w:hAnsi="Cambria"/>
          <w:spacing w:val="-2"/>
          <w:sz w:val="20"/>
          <w:szCs w:val="20"/>
          <w:bdr w:val="nil"/>
          <w:lang w:val="es-SV"/>
        </w:rPr>
      </w:pPr>
      <w:r w:rsidRPr="004940D0">
        <w:rPr>
          <w:rFonts w:ascii="Cambria" w:eastAsia="Arial Unicode MS" w:hAnsi="Cambria" w:cs="Arial"/>
          <w:noProof/>
          <w:sz w:val="20"/>
          <w:szCs w:val="20"/>
          <w:bdr w:val="nil"/>
          <w:lang w:val="es-CL"/>
        </w:rPr>
        <w:t>Secretari</w:t>
      </w:r>
      <w:r w:rsidR="001D4D6A">
        <w:rPr>
          <w:rFonts w:ascii="Cambria" w:eastAsia="Arial Unicode MS" w:hAnsi="Cambria" w:cs="Arial"/>
          <w:noProof/>
          <w:sz w:val="20"/>
          <w:szCs w:val="20"/>
          <w:bdr w:val="nil"/>
          <w:lang w:val="es-CL"/>
        </w:rPr>
        <w:t>a</w:t>
      </w:r>
      <w:r w:rsidRPr="004940D0">
        <w:rPr>
          <w:rFonts w:ascii="Cambria" w:eastAsia="Arial Unicode MS" w:hAnsi="Cambria" w:cs="Arial"/>
          <w:noProof/>
          <w:sz w:val="20"/>
          <w:szCs w:val="20"/>
          <w:bdr w:val="nil"/>
          <w:lang w:val="es-CL"/>
        </w:rPr>
        <w:t xml:space="preserve"> Ejecutiv</w:t>
      </w:r>
      <w:r w:rsidR="001D4D6A">
        <w:rPr>
          <w:rFonts w:ascii="Cambria" w:eastAsia="Arial Unicode MS" w:hAnsi="Cambria" w:cs="Arial"/>
          <w:noProof/>
          <w:sz w:val="20"/>
          <w:szCs w:val="20"/>
          <w:bdr w:val="nil"/>
          <w:lang w:val="es-CL"/>
        </w:rPr>
        <w:t>a Adjunta</w:t>
      </w:r>
      <w:r w:rsidRPr="004940D0">
        <w:rPr>
          <w:rFonts w:ascii="Cambria" w:eastAsia="Arial Unicode MS" w:hAnsi="Cambria"/>
          <w:spacing w:val="-2"/>
          <w:sz w:val="20"/>
          <w:szCs w:val="20"/>
          <w:bdr w:val="nil"/>
          <w:lang w:val="es-SV"/>
        </w:rPr>
        <w:t xml:space="preserve"> </w:t>
      </w:r>
    </w:p>
    <w:p w14:paraId="39521E78" w14:textId="77777777" w:rsidR="004940D0" w:rsidRDefault="004940D0" w:rsidP="0045657E">
      <w:pPr>
        <w:pStyle w:val="ListParagraph"/>
        <w:rPr>
          <w:rFonts w:asciiTheme="majorHAnsi" w:hAnsiTheme="majorHAnsi"/>
          <w:spacing w:val="-2"/>
          <w:sz w:val="20"/>
          <w:szCs w:val="20"/>
          <w:lang w:val="es-CO"/>
        </w:rPr>
      </w:pPr>
    </w:p>
    <w:p w14:paraId="6F190F24" w14:textId="77777777" w:rsidR="0045657E" w:rsidRPr="00640517" w:rsidRDefault="0045657E" w:rsidP="0045657E">
      <w:pPr>
        <w:suppressAutoHyphens/>
        <w:jc w:val="both"/>
        <w:rPr>
          <w:rFonts w:asciiTheme="majorHAnsi" w:hAnsiTheme="majorHAnsi"/>
          <w:spacing w:val="-2"/>
          <w:sz w:val="20"/>
          <w:szCs w:val="20"/>
          <w:lang w:val="es-CO"/>
        </w:rPr>
      </w:pPr>
    </w:p>
    <w:sectPr w:rsidR="0045657E" w:rsidRPr="00640517" w:rsidSect="009D7F3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56C987" w14:textId="77777777" w:rsidR="00213F94" w:rsidRDefault="00213F94">
      <w:r>
        <w:separator/>
      </w:r>
    </w:p>
  </w:endnote>
  <w:endnote w:type="continuationSeparator" w:id="0">
    <w:p w14:paraId="238BDD9B" w14:textId="77777777" w:rsidR="00213F94" w:rsidRDefault="00213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Calibri-Italic">
    <w:charset w:val="00"/>
    <w:family w:val="auto"/>
    <w:pitch w:val="variable"/>
    <w:sig w:usb0="E00002FF" w:usb1="4000ACFF" w:usb2="00000001" w:usb3="00000000" w:csb0="0000019F" w:csb1="00000000"/>
  </w:font>
  <w:font w:name="PalatinoLinotype-Roman">
    <w:charset w:val="00"/>
    <w:family w:val="auto"/>
    <w:pitch w:val="variable"/>
    <w:sig w:usb0="E0000287" w:usb1="40000013" w:usb2="00000000" w:usb3="00000000" w:csb0="0000019F" w:csb1="00000000"/>
  </w:font>
  <w:font w:name="PalatinoLinotype-Italic">
    <w:charset w:val="00"/>
    <w:family w:val="auto"/>
    <w:pitch w:val="variable"/>
    <w:sig w:usb0="E0000287" w:usb1="40000013" w:usb2="00000000" w:usb3="00000000" w:csb0="0000019F" w:csb1="00000000"/>
  </w:font>
  <w:font w:name="Verdana-Bold">
    <w:altName w:val="Verdana"/>
    <w:panose1 w:val="00000000000000000000"/>
    <w:charset w:val="4D"/>
    <w:family w:val="auto"/>
    <w:notTrueType/>
    <w:pitch w:val="default"/>
    <w:sig w:usb0="03000000"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A321C" w14:textId="77777777" w:rsidR="0007239A" w:rsidRPr="00442B89" w:rsidRDefault="0007239A">
    <w:pPr>
      <w:pStyle w:val="Footer"/>
      <w:jc w:val="center"/>
      <w:rPr>
        <w:rFonts w:ascii="Cambria" w:hAnsi="Cambria"/>
        <w:sz w:val="18"/>
        <w:szCs w:val="18"/>
      </w:rPr>
    </w:pPr>
    <w:r w:rsidRPr="00442B89">
      <w:rPr>
        <w:rFonts w:ascii="Cambria" w:hAnsi="Cambria"/>
        <w:sz w:val="18"/>
        <w:szCs w:val="18"/>
      </w:rPr>
      <w:fldChar w:fldCharType="begin"/>
    </w:r>
    <w:r w:rsidRPr="00442B89">
      <w:rPr>
        <w:rFonts w:ascii="Cambria" w:hAnsi="Cambria"/>
        <w:sz w:val="18"/>
        <w:szCs w:val="18"/>
      </w:rPr>
      <w:instrText xml:space="preserve"> PAGE   \* MERGEFORMAT </w:instrText>
    </w:r>
    <w:r w:rsidRPr="00442B89">
      <w:rPr>
        <w:rFonts w:ascii="Cambria" w:hAnsi="Cambria"/>
        <w:sz w:val="18"/>
        <w:szCs w:val="18"/>
      </w:rPr>
      <w:fldChar w:fldCharType="separate"/>
    </w:r>
    <w:r w:rsidR="00A23D66">
      <w:rPr>
        <w:rFonts w:ascii="Cambria" w:hAnsi="Cambria"/>
        <w:noProof/>
        <w:sz w:val="18"/>
        <w:szCs w:val="18"/>
      </w:rPr>
      <w:t>22</w:t>
    </w:r>
    <w:r w:rsidRPr="00442B89">
      <w:rPr>
        <w:rFonts w:ascii="Cambria" w:hAnsi="Cambria"/>
        <w:noProof/>
        <w:sz w:val="18"/>
        <w:szCs w:val="18"/>
      </w:rPr>
      <w:fldChar w:fldCharType="end"/>
    </w:r>
  </w:p>
  <w:p w14:paraId="40613DA7" w14:textId="77777777" w:rsidR="0007239A" w:rsidRDefault="000723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535D13" w14:textId="77777777" w:rsidR="0007239A" w:rsidRPr="00442B89" w:rsidRDefault="0007239A">
    <w:pPr>
      <w:pStyle w:val="Footer"/>
      <w:jc w:val="center"/>
      <w:rPr>
        <w:rFonts w:ascii="Cambria" w:hAnsi="Cambria"/>
        <w:sz w:val="18"/>
        <w:szCs w:val="18"/>
      </w:rPr>
    </w:pPr>
    <w:r w:rsidRPr="00442B89">
      <w:rPr>
        <w:rFonts w:ascii="Cambria" w:hAnsi="Cambria"/>
        <w:sz w:val="18"/>
        <w:szCs w:val="18"/>
      </w:rPr>
      <w:fldChar w:fldCharType="begin"/>
    </w:r>
    <w:r w:rsidRPr="00442B89">
      <w:rPr>
        <w:rFonts w:ascii="Cambria" w:hAnsi="Cambria"/>
        <w:sz w:val="18"/>
        <w:szCs w:val="18"/>
      </w:rPr>
      <w:instrText xml:space="preserve"> PAGE   \* MERGEFORMAT </w:instrText>
    </w:r>
    <w:r w:rsidRPr="00442B89">
      <w:rPr>
        <w:rFonts w:ascii="Cambria" w:hAnsi="Cambria"/>
        <w:sz w:val="18"/>
        <w:szCs w:val="18"/>
      </w:rPr>
      <w:fldChar w:fldCharType="separate"/>
    </w:r>
    <w:r w:rsidR="00A23D66">
      <w:rPr>
        <w:rFonts w:ascii="Cambria" w:hAnsi="Cambria"/>
        <w:noProof/>
        <w:sz w:val="18"/>
        <w:szCs w:val="18"/>
      </w:rPr>
      <w:t>1</w:t>
    </w:r>
    <w:r w:rsidRPr="00442B89">
      <w:rPr>
        <w:rFonts w:ascii="Cambria" w:hAnsi="Cambria"/>
        <w:noProof/>
        <w:sz w:val="18"/>
        <w:szCs w:val="18"/>
      </w:rPr>
      <w:fldChar w:fldCharType="end"/>
    </w:r>
  </w:p>
  <w:p w14:paraId="0326966B" w14:textId="77777777" w:rsidR="0007239A" w:rsidRDefault="0007239A" w:rsidP="009D7F32">
    <w:pPr>
      <w:pStyle w:val="Footer"/>
      <w:ind w:lef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77625" w14:textId="77777777" w:rsidR="0007239A" w:rsidRDefault="0007239A" w:rsidP="009D7F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AC4C6D" w14:textId="77777777" w:rsidR="0007239A" w:rsidRDefault="0007239A">
    <w:pPr>
      <w:pStyle w:val="Footer"/>
    </w:pPr>
  </w:p>
  <w:p w14:paraId="2FFCA30D" w14:textId="77777777" w:rsidR="0007239A" w:rsidRDefault="0007239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EB7D81" w14:textId="77777777" w:rsidR="00213F94" w:rsidRDefault="00213F94">
      <w:r>
        <w:separator/>
      </w:r>
    </w:p>
  </w:footnote>
  <w:footnote w:type="continuationSeparator" w:id="0">
    <w:p w14:paraId="440B2CD8" w14:textId="77777777" w:rsidR="00213F94" w:rsidRDefault="00213F94">
      <w:r>
        <w:continuationSeparator/>
      </w:r>
    </w:p>
  </w:footnote>
  <w:footnote w:id="1">
    <w:p w14:paraId="4C099ACB" w14:textId="761E0A0E" w:rsidR="0007239A" w:rsidRPr="0092611C" w:rsidRDefault="0007239A" w:rsidP="00DF586B">
      <w:pPr>
        <w:pStyle w:val="FootnoteText"/>
        <w:spacing w:before="0" w:after="120"/>
        <w:ind w:firstLine="720"/>
        <w:rPr>
          <w:rFonts w:asciiTheme="majorHAnsi" w:hAnsiTheme="majorHAnsi"/>
          <w:szCs w:val="16"/>
        </w:rPr>
      </w:pPr>
      <w:r w:rsidRPr="0092611C">
        <w:rPr>
          <w:rStyle w:val="FootnoteReference"/>
          <w:rFonts w:asciiTheme="majorHAnsi" w:hAnsiTheme="majorHAnsi"/>
          <w:szCs w:val="16"/>
        </w:rPr>
        <w:footnoteRef/>
      </w:r>
      <w:r w:rsidRPr="0092611C">
        <w:rPr>
          <w:rFonts w:asciiTheme="majorHAnsi" w:hAnsiTheme="majorHAnsi"/>
          <w:szCs w:val="16"/>
        </w:rPr>
        <w:t xml:space="preserve"> CIDH, </w:t>
      </w:r>
      <w:hyperlink r:id="rId1" w:history="1">
        <w:r w:rsidRPr="0092611C">
          <w:rPr>
            <w:rStyle w:val="Hyperlink"/>
            <w:rFonts w:asciiTheme="majorHAnsi" w:hAnsiTheme="majorHAnsi"/>
            <w:szCs w:val="16"/>
          </w:rPr>
          <w:t>Informe No. 25/06</w:t>
        </w:r>
      </w:hyperlink>
      <w:r w:rsidRPr="0092611C">
        <w:rPr>
          <w:rFonts w:asciiTheme="majorHAnsi" w:hAnsiTheme="majorHAnsi"/>
          <w:szCs w:val="16"/>
        </w:rPr>
        <w:t xml:space="preserve"> (admisibilidad), Petición 12.311, Eduardo Benjamín Colindres, El Salvador, 14 de marzo de 2006. </w:t>
      </w:r>
    </w:p>
  </w:footnote>
  <w:footnote w:id="2">
    <w:p w14:paraId="27842FA5" w14:textId="090F99C2" w:rsidR="0007239A" w:rsidRPr="0092611C" w:rsidRDefault="0007239A" w:rsidP="00DF586B">
      <w:pPr>
        <w:pStyle w:val="FootnoteText"/>
        <w:spacing w:before="0" w:after="120"/>
        <w:ind w:firstLine="720"/>
        <w:rPr>
          <w:rFonts w:asciiTheme="majorHAnsi" w:hAnsiTheme="majorHAnsi"/>
          <w:szCs w:val="16"/>
          <w:lang w:val="es-CO"/>
        </w:rPr>
      </w:pPr>
      <w:r w:rsidRPr="0092611C">
        <w:rPr>
          <w:rStyle w:val="FootnoteReference"/>
          <w:rFonts w:asciiTheme="majorHAnsi" w:hAnsiTheme="majorHAnsi"/>
          <w:szCs w:val="16"/>
        </w:rPr>
        <w:footnoteRef/>
      </w:r>
      <w:r w:rsidRPr="0092611C">
        <w:rPr>
          <w:rFonts w:asciiTheme="majorHAnsi" w:hAnsiTheme="majorHAnsi"/>
          <w:szCs w:val="16"/>
          <w:lang w:val="es-CO"/>
        </w:rPr>
        <w:t xml:space="preserve"> Anexo 1. Escrito del señor Eduardo Benjamín Colindres dirigido a la Comisión Política el 24 de marzo de 1998, anexo en la certificación extendida por la Asamblea Legislativa de los expedientes 1157-4-98 y 1058-3-98, pág. 128, Anexo 9 a la Petición Inicial del Peticionario de 4 de mayo de 2000 (y recibida en la misma fecha). </w:t>
      </w:r>
    </w:p>
  </w:footnote>
  <w:footnote w:id="3">
    <w:p w14:paraId="152494E0" w14:textId="77777777" w:rsidR="0007239A" w:rsidRPr="0092611C" w:rsidRDefault="0007239A" w:rsidP="00DF586B">
      <w:pPr>
        <w:pStyle w:val="FootnoteText"/>
        <w:spacing w:before="0" w:after="120"/>
        <w:ind w:firstLine="720"/>
        <w:rPr>
          <w:rFonts w:asciiTheme="majorHAnsi" w:hAnsiTheme="majorHAnsi"/>
          <w:szCs w:val="16"/>
          <w:lang w:val="es-CO"/>
        </w:rPr>
      </w:pPr>
      <w:r w:rsidRPr="0092611C">
        <w:rPr>
          <w:rStyle w:val="FootnoteReference"/>
          <w:rFonts w:asciiTheme="majorHAnsi" w:hAnsiTheme="majorHAnsi"/>
          <w:szCs w:val="16"/>
        </w:rPr>
        <w:footnoteRef/>
      </w:r>
      <w:r w:rsidRPr="0092611C">
        <w:rPr>
          <w:rFonts w:asciiTheme="majorHAnsi" w:hAnsiTheme="majorHAnsi"/>
          <w:szCs w:val="16"/>
          <w:lang w:val="es-CO"/>
        </w:rPr>
        <w:t xml:space="preserve"> Anexo 2. Diario Oficial de la República de El Salvador, Decreto Legislativo 102, del 29 de Agosto de 1994, tomo nº 324, número 158, pág. 22, Anexo número 1 a la Petición Inicial del Peticionario de 4 de mayo de 2000 (y recibida en la misma fecha). </w:t>
      </w:r>
    </w:p>
  </w:footnote>
  <w:footnote w:id="4">
    <w:p w14:paraId="3770173D" w14:textId="6D160AFA" w:rsidR="0007239A" w:rsidRPr="0092611C" w:rsidRDefault="0007239A" w:rsidP="00DF586B">
      <w:pPr>
        <w:spacing w:after="120"/>
        <w:ind w:firstLine="720"/>
        <w:jc w:val="both"/>
        <w:rPr>
          <w:rFonts w:asciiTheme="majorHAnsi" w:hAnsiTheme="majorHAnsi"/>
          <w:sz w:val="16"/>
          <w:szCs w:val="16"/>
          <w:lang w:val="es-ES"/>
        </w:rPr>
      </w:pPr>
      <w:r w:rsidRPr="0092611C">
        <w:rPr>
          <w:rStyle w:val="FootnoteReference"/>
          <w:rFonts w:asciiTheme="majorHAnsi" w:hAnsiTheme="majorHAnsi"/>
          <w:sz w:val="16"/>
          <w:szCs w:val="16"/>
        </w:rPr>
        <w:footnoteRef/>
      </w:r>
      <w:r w:rsidRPr="0092611C">
        <w:rPr>
          <w:rFonts w:asciiTheme="majorHAnsi" w:hAnsiTheme="majorHAnsi"/>
          <w:sz w:val="16"/>
          <w:szCs w:val="16"/>
          <w:lang w:val="es-CO"/>
        </w:rPr>
        <w:t xml:space="preserve"> En lo relevante, esta disposición constitucional indica lo siguiente: </w:t>
      </w:r>
      <w:r w:rsidRPr="0092611C">
        <w:rPr>
          <w:rFonts w:asciiTheme="majorHAnsi" w:hAnsiTheme="majorHAnsi"/>
          <w:sz w:val="16"/>
          <w:szCs w:val="16"/>
          <w:lang w:val="es-ES"/>
        </w:rPr>
        <w:t>“</w:t>
      </w:r>
      <w:r w:rsidRPr="0092611C">
        <w:rPr>
          <w:rFonts w:asciiTheme="majorHAnsi" w:hAnsiTheme="majorHAnsi"/>
          <w:sz w:val="16"/>
          <w:szCs w:val="16"/>
          <w:lang w:val="es-CO"/>
        </w:rPr>
        <w:t>Art. 208.- Habrá un Tribunal Supremo Electoral que estará formado por cinco Magistrados, quienes durarán cinco años en sus funciones y serán elegidos por la Asamblea Legislativa. Tres de ellos de cada una de las ternas propuestas por los tres partidos políticos o coaliciones legales que hayan obtenido mayor número de votos en la última elección presidencial. Los dos Magistrados restantes serán elegidos con el voto favorable de por lo menos los dos tercios de los Diputados electos, de dos ternas propuestas por la Corte Suprema de Justicia, quienes deberán reunir los requisitos para ser Magistrados de las Cámaras de Segunda Instancia, y no tener ninguna afiliación partidista (…)”. Anexo 3. Constitución de El Salvador de 1983. Anexo 2 a la Petición Inicial del Peticionario de 4 de mayo de 2000 (y recibida en la misma fecha), pág. 13.</w:t>
      </w:r>
    </w:p>
  </w:footnote>
  <w:footnote w:id="5">
    <w:p w14:paraId="62384C09" w14:textId="77777777" w:rsidR="0007239A" w:rsidRPr="0092611C" w:rsidRDefault="0007239A" w:rsidP="00DF586B">
      <w:pPr>
        <w:pStyle w:val="FootnoteText"/>
        <w:spacing w:before="0" w:after="120"/>
        <w:ind w:firstLine="720"/>
        <w:rPr>
          <w:rFonts w:asciiTheme="majorHAnsi" w:hAnsiTheme="majorHAnsi"/>
          <w:szCs w:val="16"/>
          <w:lang w:val="es-CO"/>
        </w:rPr>
      </w:pPr>
      <w:r w:rsidRPr="0092611C">
        <w:rPr>
          <w:rStyle w:val="FootnoteReference"/>
          <w:rFonts w:asciiTheme="majorHAnsi" w:hAnsiTheme="majorHAnsi"/>
          <w:szCs w:val="16"/>
        </w:rPr>
        <w:footnoteRef/>
      </w:r>
      <w:r w:rsidRPr="0092611C">
        <w:rPr>
          <w:rFonts w:asciiTheme="majorHAnsi" w:hAnsiTheme="majorHAnsi"/>
          <w:szCs w:val="16"/>
          <w:lang w:val="es-CO"/>
        </w:rPr>
        <w:t xml:space="preserve"> La existencia de una problemática al interior del PDC y su conocimiento por parte del Tribunal Supremo Electoral fue señalada en diversos medios de prensa. Anexo 4. Ver Cuadro Sinóptico de Noticias Aparecidas en los Periódicos. Noticia de título “Magistrado se abstendrá de conocer conflicto en PDC”, del Diario LPG del 2 de noviembre de 1996, pág. 18 y noticia de título “Riña en Convención. Ni </w:t>
      </w:r>
      <w:proofErr w:type="spellStart"/>
      <w:r w:rsidRPr="0092611C">
        <w:rPr>
          <w:rFonts w:asciiTheme="majorHAnsi" w:hAnsiTheme="majorHAnsi"/>
          <w:szCs w:val="16"/>
          <w:lang w:val="es-CO"/>
        </w:rPr>
        <w:t>Claramount</w:t>
      </w:r>
      <w:proofErr w:type="spellEnd"/>
      <w:r w:rsidRPr="0092611C">
        <w:rPr>
          <w:rFonts w:asciiTheme="majorHAnsi" w:hAnsiTheme="majorHAnsi"/>
          <w:szCs w:val="16"/>
          <w:lang w:val="es-CO"/>
        </w:rPr>
        <w:t xml:space="preserve"> ni Umaña logran dos tercios de los votos. No hubo ganador en convención del PDC. Breves de la convención del PDC”, del Diario LPG del 25 de noviembre de 1996, pág. 1-6. </w:t>
      </w:r>
    </w:p>
  </w:footnote>
  <w:footnote w:id="6">
    <w:p w14:paraId="24C9DD0C" w14:textId="5B3CC824" w:rsidR="0007239A" w:rsidRPr="0092611C" w:rsidRDefault="0007239A" w:rsidP="00DF586B">
      <w:pPr>
        <w:spacing w:after="120"/>
        <w:ind w:firstLine="720"/>
        <w:jc w:val="both"/>
        <w:rPr>
          <w:rFonts w:asciiTheme="majorHAnsi" w:hAnsiTheme="majorHAnsi"/>
          <w:sz w:val="16"/>
          <w:szCs w:val="16"/>
          <w:lang w:val="es-ES"/>
        </w:rPr>
      </w:pPr>
      <w:r w:rsidRPr="0092611C">
        <w:rPr>
          <w:rStyle w:val="FootnoteReference"/>
          <w:rFonts w:asciiTheme="majorHAnsi" w:hAnsiTheme="majorHAnsi"/>
          <w:sz w:val="16"/>
          <w:szCs w:val="16"/>
        </w:rPr>
        <w:footnoteRef/>
      </w:r>
      <w:r w:rsidRPr="0092611C">
        <w:rPr>
          <w:rFonts w:asciiTheme="majorHAnsi" w:hAnsiTheme="majorHAnsi"/>
          <w:sz w:val="16"/>
          <w:szCs w:val="16"/>
          <w:lang w:val="es-ES"/>
        </w:rPr>
        <w:t xml:space="preserve"> Ver. </w:t>
      </w:r>
      <w:r w:rsidRPr="0092611C">
        <w:rPr>
          <w:rFonts w:asciiTheme="majorHAnsi" w:hAnsiTheme="majorHAnsi"/>
          <w:sz w:val="16"/>
          <w:szCs w:val="16"/>
          <w:lang w:val="es-CO"/>
        </w:rPr>
        <w:t xml:space="preserve">Acta 214 del Tribunal Supremo Electoral del 1 de noviembre de 1996, en el punto Cuarto III, pág. 22, anexo a la certificación extendida por la Asamblea Legislativa de los expedientes 1157-4-98 y 1058-3-98, anexo 9 a la Petición Inicial del Peticionario de 4 de mayo de 2000 (y recibida en la misma fecha); Síntesis del contenido de las certificaciones de puntos de actas del TSE sobre el PDC, pág. 4; y actas 215 y 217 del Tribunal Supremo Electoral del 5 de noviembre de 1996, en el punto Cuarto II, y  Cuarto V, folios 21 y 22, anexos en la certificación extendida por la Asamblea Legislativa de los expedientes 1157-4-98 y 1058-3-98, anexo 9 a la Petición Inicial del Peticionario de 4 de mayo de 2000 (y recibida en la misma fecha); Certificaciones de documentos remitidos por el TSE a la Comisión Especial y a la Política, del 24 de abril de 1998, pág. 152, anexo en la certificación extendida por la Asamblea Legislativa de los expedientes 1157-4-98 y 1058-3-98, anexo a la Petición Inicial del Peticionario de 4 de mayo de 2000 (y recibida en la misma fecha). </w:t>
      </w:r>
    </w:p>
  </w:footnote>
  <w:footnote w:id="7">
    <w:p w14:paraId="6F31DEC9" w14:textId="49C53B7B" w:rsidR="0007239A" w:rsidRPr="0092611C" w:rsidRDefault="0007239A" w:rsidP="00DF586B">
      <w:pPr>
        <w:pStyle w:val="FootnoteText"/>
        <w:spacing w:before="0" w:after="120"/>
        <w:ind w:firstLine="720"/>
        <w:rPr>
          <w:rFonts w:asciiTheme="majorHAnsi" w:hAnsiTheme="majorHAnsi"/>
          <w:szCs w:val="16"/>
        </w:rPr>
      </w:pPr>
      <w:r w:rsidRPr="0092611C">
        <w:rPr>
          <w:rStyle w:val="FootnoteReference"/>
          <w:rFonts w:asciiTheme="majorHAnsi" w:hAnsiTheme="majorHAnsi"/>
          <w:szCs w:val="16"/>
        </w:rPr>
        <w:footnoteRef/>
      </w:r>
      <w:r w:rsidRPr="0092611C">
        <w:rPr>
          <w:rFonts w:asciiTheme="majorHAnsi" w:hAnsiTheme="majorHAnsi"/>
          <w:szCs w:val="16"/>
        </w:rPr>
        <w:t xml:space="preserve"> Así por ejemplo, en un asunto relacionado con el PDC, específicamente en cuanto a la certificación de la nómina de autoridades del Comité Político Nacional, consta en el Acta 383 de 18 de marzo de 1998  que el señor Colindres firmó la decisión de que se les extendiera tal nómina. En relación con este asunto, el señor Colindres indicó que “no se opuso ni obstaculizó.  Síntesis del contenido de las certificaciones de puntos de actas del TSE sobre el PDC, pág. 4; y acta 383 del Tribunal Supremo Electoral del 18 de marzo de 1998, en el punto Cuarto III, pág. 17, anexos en la certificación extendida por la Asamblea Legislativa de los expedientes 1157-4-98 y 1058-3-98, anexo a la Petición Inicial del Peticionario de 4 de mayo de 2000 (y recibida en la misma fecha).</w:t>
      </w:r>
    </w:p>
  </w:footnote>
  <w:footnote w:id="8">
    <w:p w14:paraId="673CC585" w14:textId="77777777" w:rsidR="0007239A" w:rsidRPr="0092611C" w:rsidRDefault="0007239A" w:rsidP="00DF586B">
      <w:pPr>
        <w:pStyle w:val="FootnoteText"/>
        <w:spacing w:before="0" w:after="120"/>
        <w:ind w:firstLine="720"/>
        <w:rPr>
          <w:rFonts w:asciiTheme="majorHAnsi" w:hAnsiTheme="majorHAnsi"/>
          <w:szCs w:val="16"/>
          <w:lang w:val="es-CO"/>
        </w:rPr>
      </w:pPr>
      <w:r w:rsidRPr="0092611C">
        <w:rPr>
          <w:rStyle w:val="FootnoteReference"/>
          <w:rFonts w:asciiTheme="majorHAnsi" w:hAnsiTheme="majorHAnsi"/>
          <w:szCs w:val="16"/>
        </w:rPr>
        <w:footnoteRef/>
      </w:r>
      <w:r w:rsidRPr="0092611C">
        <w:rPr>
          <w:rFonts w:asciiTheme="majorHAnsi" w:hAnsiTheme="majorHAnsi"/>
          <w:szCs w:val="16"/>
          <w:lang w:val="es-CO"/>
        </w:rPr>
        <w:t xml:space="preserve"> Anexo 4. Cuadro Sinóptico de Noticias Aparecidas en los Periódicos. Noticia de título “Dirigentes viejos marginados del PDC”, del Diario LPG del 6 de noviembre de 1996, pág. 7-A.</w:t>
      </w:r>
    </w:p>
  </w:footnote>
  <w:footnote w:id="9">
    <w:p w14:paraId="21726CF0" w14:textId="77777777" w:rsidR="0007239A" w:rsidRPr="0092611C" w:rsidRDefault="0007239A" w:rsidP="00DF586B">
      <w:pPr>
        <w:pStyle w:val="FootnoteText"/>
        <w:spacing w:before="0" w:after="120"/>
        <w:ind w:firstLine="720"/>
        <w:rPr>
          <w:rFonts w:asciiTheme="majorHAnsi" w:hAnsiTheme="majorHAnsi"/>
          <w:szCs w:val="16"/>
          <w:lang w:val="es-CO"/>
        </w:rPr>
      </w:pPr>
      <w:r w:rsidRPr="0092611C">
        <w:rPr>
          <w:rStyle w:val="FootnoteReference"/>
          <w:rFonts w:asciiTheme="majorHAnsi" w:hAnsiTheme="majorHAnsi"/>
          <w:szCs w:val="16"/>
        </w:rPr>
        <w:footnoteRef/>
      </w:r>
      <w:r w:rsidRPr="0092611C">
        <w:rPr>
          <w:rFonts w:asciiTheme="majorHAnsi" w:hAnsiTheme="majorHAnsi"/>
          <w:szCs w:val="16"/>
          <w:lang w:val="es-CO"/>
        </w:rPr>
        <w:t xml:space="preserve"> Según se refiere en notas de prensa, la diputada Villatoro en una convención del PDC había impulsado la destitución insistiendo que el “señor Colindres era un inmoral”. Según manifiestan los peticionarios, en una nota de prensa la diputada  “expuso que la destitución de Colindres era necesaria debido a que éste había sostenido una conducta errática en su cargo, puesto que había utilizado empleados del TSE para otros fines y ejercido con parcialidad durante su gestión, en detrimento de los asuntos internos del PDC”. Anexo 4. Cuadro Sinóptico de Noticias Aparecidas en los Periódicos. Noticia de título “Se unen en la votación ARENA y PDC. Movida Política, Colindres destituido del TSE”, del Diario LPG del 23 de noviembre de 1996, pág. 6 y noticia de título “Riña en Convención. Ni </w:t>
      </w:r>
      <w:proofErr w:type="spellStart"/>
      <w:r w:rsidRPr="0092611C">
        <w:rPr>
          <w:rFonts w:asciiTheme="majorHAnsi" w:hAnsiTheme="majorHAnsi"/>
          <w:szCs w:val="16"/>
          <w:lang w:val="es-CO"/>
        </w:rPr>
        <w:t>Claramount</w:t>
      </w:r>
      <w:proofErr w:type="spellEnd"/>
      <w:r w:rsidRPr="0092611C">
        <w:rPr>
          <w:rFonts w:asciiTheme="majorHAnsi" w:hAnsiTheme="majorHAnsi"/>
          <w:szCs w:val="16"/>
          <w:lang w:val="es-CO"/>
        </w:rPr>
        <w:t xml:space="preserve"> ni Umaña logran dos tercios de los votos. No hubo ganador en convención del PDC. Breves de la convención del PDC”, del Diario LPG del 25 de noviembre de 1996, pág. 1-6, “Tres grupos disputan supremacía del Partido”, del Diario LPG del 24 de noviembre de 1996, pág. 4. </w:t>
      </w:r>
    </w:p>
  </w:footnote>
  <w:footnote w:id="10">
    <w:p w14:paraId="3DCA0310" w14:textId="77777777" w:rsidR="0007239A" w:rsidRPr="0092611C" w:rsidRDefault="0007239A" w:rsidP="00DF586B">
      <w:pPr>
        <w:pStyle w:val="FootnoteText"/>
        <w:spacing w:before="0" w:after="120"/>
        <w:ind w:firstLine="720"/>
        <w:rPr>
          <w:rFonts w:asciiTheme="majorHAnsi" w:hAnsiTheme="majorHAnsi"/>
          <w:szCs w:val="16"/>
          <w:lang w:val="es-CO"/>
        </w:rPr>
      </w:pPr>
      <w:r w:rsidRPr="0092611C">
        <w:rPr>
          <w:rStyle w:val="FootnoteReference"/>
          <w:rFonts w:asciiTheme="majorHAnsi" w:hAnsiTheme="majorHAnsi"/>
          <w:szCs w:val="16"/>
        </w:rPr>
        <w:footnoteRef/>
      </w:r>
      <w:r w:rsidRPr="0092611C">
        <w:rPr>
          <w:rFonts w:asciiTheme="majorHAnsi" w:hAnsiTheme="majorHAnsi"/>
          <w:szCs w:val="16"/>
          <w:lang w:val="es-CO"/>
        </w:rPr>
        <w:t xml:space="preserve"> Anexo 5. Decreto Legislativo 899, del 22 de Noviembre de 1996, punto V. Anexo número 3 a la Petición Inicial del Peticionario de 4 de mayo de 2000 (y recibida en la misma fecha).</w:t>
      </w:r>
    </w:p>
  </w:footnote>
  <w:footnote w:id="11">
    <w:p w14:paraId="09E4486B" w14:textId="232BB9C4" w:rsidR="0007239A" w:rsidRPr="0092611C" w:rsidRDefault="0007239A" w:rsidP="00DF586B">
      <w:pPr>
        <w:pStyle w:val="FootnoteText"/>
        <w:spacing w:before="0" w:after="120"/>
        <w:ind w:firstLine="720"/>
        <w:rPr>
          <w:rFonts w:asciiTheme="majorHAnsi" w:hAnsiTheme="majorHAnsi"/>
          <w:szCs w:val="16"/>
          <w:lang w:val="es-CO"/>
        </w:rPr>
      </w:pPr>
      <w:r w:rsidRPr="0092611C">
        <w:rPr>
          <w:rStyle w:val="FootnoteReference"/>
          <w:rFonts w:asciiTheme="majorHAnsi" w:hAnsiTheme="majorHAnsi"/>
          <w:szCs w:val="16"/>
        </w:rPr>
        <w:footnoteRef/>
      </w:r>
      <w:r w:rsidRPr="0092611C">
        <w:rPr>
          <w:rFonts w:asciiTheme="majorHAnsi" w:hAnsiTheme="majorHAnsi"/>
          <w:szCs w:val="16"/>
          <w:lang w:val="es-CO"/>
        </w:rPr>
        <w:t xml:space="preserve"> A ese respecto, el diputado Arístides Alvarenga, quien firmó en el Decreto 899 se identifica como miembro del PDC. Anexo 6. Acta de la sesión plenaria del 30 de abril de 1998, en lo relativo a la discusión de la pieza n. 4-A, págs. 78 y 85. Anexo al escrito de los peticionarios recibido el 22 de febrero de 2002.</w:t>
      </w:r>
    </w:p>
  </w:footnote>
  <w:footnote w:id="12">
    <w:p w14:paraId="15BAEEEA" w14:textId="77777777" w:rsidR="0007239A" w:rsidRPr="0092611C" w:rsidRDefault="0007239A" w:rsidP="00DF586B">
      <w:pPr>
        <w:pStyle w:val="FootnoteText"/>
        <w:spacing w:before="0" w:after="120"/>
        <w:ind w:firstLine="720"/>
        <w:rPr>
          <w:rFonts w:asciiTheme="majorHAnsi" w:hAnsiTheme="majorHAnsi"/>
          <w:szCs w:val="16"/>
          <w:lang w:val="es-CO"/>
        </w:rPr>
      </w:pPr>
      <w:r w:rsidRPr="0092611C">
        <w:rPr>
          <w:rStyle w:val="FootnoteReference"/>
          <w:rFonts w:asciiTheme="majorHAnsi" w:hAnsiTheme="majorHAnsi"/>
          <w:szCs w:val="16"/>
        </w:rPr>
        <w:footnoteRef/>
      </w:r>
      <w:r w:rsidRPr="0092611C">
        <w:rPr>
          <w:rFonts w:asciiTheme="majorHAnsi" w:hAnsiTheme="majorHAnsi"/>
          <w:szCs w:val="16"/>
          <w:lang w:val="es-CO"/>
        </w:rPr>
        <w:t xml:space="preserve"> Anexo 7. Escrito del señor Eduardo Benjamín Colindres dirigido a la Comisión Política del 26 de mayo de 1998, anexo en la certificación extendida por la Asamblea Legislativa de los expedientes 1157-4-98 y 1058-3-98, pág. 2v. Anexo 9 a la Petición Inicial del Peticionario de 4 de mayo de 2000 (y recibida en la misma fecha). Anexo 8. Demanda de Amparo n. 44-C-96, del 2 de diciembre de 1996. Anexo 4 a la Petición Inicial del Peticionario de 4 de mayo de 2000 (y recibida en la misma fecha).</w:t>
      </w:r>
    </w:p>
  </w:footnote>
  <w:footnote w:id="13">
    <w:p w14:paraId="3F6C49C5" w14:textId="77777777" w:rsidR="0007239A" w:rsidRPr="0092611C" w:rsidRDefault="0007239A" w:rsidP="00DF586B">
      <w:pPr>
        <w:pStyle w:val="FootnoteText"/>
        <w:spacing w:before="0" w:after="120"/>
        <w:ind w:firstLine="720"/>
        <w:rPr>
          <w:rFonts w:asciiTheme="majorHAnsi" w:hAnsiTheme="majorHAnsi"/>
          <w:szCs w:val="16"/>
          <w:lang w:val="es-CO"/>
        </w:rPr>
      </w:pPr>
      <w:r w:rsidRPr="0092611C">
        <w:rPr>
          <w:rStyle w:val="FootnoteReference"/>
          <w:rFonts w:asciiTheme="majorHAnsi" w:hAnsiTheme="majorHAnsi"/>
          <w:szCs w:val="16"/>
        </w:rPr>
        <w:footnoteRef/>
      </w:r>
      <w:r w:rsidRPr="0092611C">
        <w:rPr>
          <w:rFonts w:asciiTheme="majorHAnsi" w:hAnsiTheme="majorHAnsi"/>
          <w:szCs w:val="16"/>
          <w:lang w:val="es-CO"/>
        </w:rPr>
        <w:t xml:space="preserve"> Anexo 9. Resolución que declara lugar a la demanda de amparo 44-C-96, pág. 27. Anexo 5 a la Petición Inicial del Peticionario de 4 de mayo de 2000 (y recibida en la misma fecha).</w:t>
      </w:r>
    </w:p>
  </w:footnote>
  <w:footnote w:id="14">
    <w:p w14:paraId="3856DE56" w14:textId="77777777" w:rsidR="0007239A" w:rsidRPr="0092611C" w:rsidRDefault="0007239A" w:rsidP="00DF586B">
      <w:pPr>
        <w:pStyle w:val="FootnoteText"/>
        <w:spacing w:before="0" w:after="120"/>
        <w:ind w:firstLine="720"/>
        <w:rPr>
          <w:rFonts w:asciiTheme="majorHAnsi" w:hAnsiTheme="majorHAnsi"/>
          <w:szCs w:val="16"/>
          <w:lang w:val="es-CO"/>
        </w:rPr>
      </w:pPr>
      <w:r w:rsidRPr="0092611C">
        <w:rPr>
          <w:rStyle w:val="FootnoteReference"/>
          <w:rFonts w:asciiTheme="majorHAnsi" w:hAnsiTheme="majorHAnsi"/>
          <w:szCs w:val="16"/>
        </w:rPr>
        <w:footnoteRef/>
      </w:r>
      <w:r w:rsidRPr="0092611C">
        <w:rPr>
          <w:rFonts w:asciiTheme="majorHAnsi" w:hAnsiTheme="majorHAnsi"/>
          <w:szCs w:val="16"/>
          <w:lang w:val="es-CO"/>
        </w:rPr>
        <w:t xml:space="preserve"> Anexo 9. Resolución que declara lugar a la demanda de amparo 44-C-96, pág. 26. Anexo 5 a la Petición Inicial del Peticionario de 4 de mayo de 2000 (y recibida en la misma fecha).</w:t>
      </w:r>
    </w:p>
  </w:footnote>
  <w:footnote w:id="15">
    <w:p w14:paraId="779C65ED" w14:textId="77777777" w:rsidR="0007239A" w:rsidRPr="0092611C" w:rsidRDefault="0007239A" w:rsidP="00DF586B">
      <w:pPr>
        <w:pStyle w:val="FootnoteText"/>
        <w:spacing w:before="0" w:after="120"/>
        <w:ind w:firstLine="720"/>
        <w:rPr>
          <w:rFonts w:asciiTheme="majorHAnsi" w:hAnsiTheme="majorHAnsi"/>
          <w:szCs w:val="16"/>
          <w:lang w:val="es-CO"/>
        </w:rPr>
      </w:pPr>
      <w:r w:rsidRPr="0092611C">
        <w:rPr>
          <w:rStyle w:val="FootnoteReference"/>
          <w:rFonts w:asciiTheme="majorHAnsi" w:hAnsiTheme="majorHAnsi"/>
          <w:szCs w:val="16"/>
        </w:rPr>
        <w:footnoteRef/>
      </w:r>
      <w:r w:rsidRPr="0092611C">
        <w:rPr>
          <w:rFonts w:asciiTheme="majorHAnsi" w:hAnsiTheme="majorHAnsi"/>
          <w:szCs w:val="16"/>
          <w:lang w:val="es-CO"/>
        </w:rPr>
        <w:t xml:space="preserve"> Anexo 9. Resolución que declara lugar a la demanda de amparo 44-C-96, pág.  33. Anexo 5 a la Petición Inicial del Peticionario de 4 de mayo de 2000 (y recibida en la misma fecha).</w:t>
      </w:r>
    </w:p>
  </w:footnote>
  <w:footnote w:id="16">
    <w:p w14:paraId="45FF2963" w14:textId="77777777" w:rsidR="0007239A" w:rsidRPr="0092611C" w:rsidRDefault="0007239A" w:rsidP="00DF586B">
      <w:pPr>
        <w:pStyle w:val="FootnoteText"/>
        <w:spacing w:before="0" w:after="120"/>
        <w:ind w:firstLine="720"/>
        <w:rPr>
          <w:rFonts w:asciiTheme="majorHAnsi" w:hAnsiTheme="majorHAnsi"/>
          <w:szCs w:val="16"/>
          <w:lang w:val="es-CO"/>
        </w:rPr>
      </w:pPr>
      <w:r w:rsidRPr="0092611C">
        <w:rPr>
          <w:rStyle w:val="FootnoteReference"/>
          <w:rFonts w:asciiTheme="majorHAnsi" w:hAnsiTheme="majorHAnsi"/>
          <w:szCs w:val="16"/>
        </w:rPr>
        <w:footnoteRef/>
      </w:r>
      <w:r w:rsidRPr="0092611C">
        <w:rPr>
          <w:rFonts w:asciiTheme="majorHAnsi" w:hAnsiTheme="majorHAnsi"/>
          <w:szCs w:val="16"/>
          <w:lang w:val="es-CO"/>
        </w:rPr>
        <w:t xml:space="preserve"> La solicitud de destitución fue de los siguientes diputados: </w:t>
      </w:r>
      <w:proofErr w:type="spellStart"/>
      <w:r w:rsidRPr="0092611C">
        <w:rPr>
          <w:rFonts w:asciiTheme="majorHAnsi" w:hAnsiTheme="majorHAnsi"/>
          <w:szCs w:val="16"/>
          <w:lang w:val="es-CO"/>
        </w:rPr>
        <w:t>Ronal</w:t>
      </w:r>
      <w:proofErr w:type="spellEnd"/>
      <w:r w:rsidRPr="0092611C">
        <w:rPr>
          <w:rFonts w:asciiTheme="majorHAnsi" w:hAnsiTheme="majorHAnsi"/>
          <w:szCs w:val="16"/>
          <w:lang w:val="es-CO"/>
        </w:rPr>
        <w:t xml:space="preserve"> Umaña, Alfonso </w:t>
      </w:r>
      <w:proofErr w:type="spellStart"/>
      <w:r w:rsidRPr="0092611C">
        <w:rPr>
          <w:rFonts w:asciiTheme="majorHAnsi" w:hAnsiTheme="majorHAnsi"/>
          <w:szCs w:val="16"/>
          <w:lang w:val="es-CO"/>
        </w:rPr>
        <w:t>Aristides</w:t>
      </w:r>
      <w:proofErr w:type="spellEnd"/>
      <w:r w:rsidRPr="0092611C">
        <w:rPr>
          <w:rFonts w:asciiTheme="majorHAnsi" w:hAnsiTheme="majorHAnsi"/>
          <w:szCs w:val="16"/>
          <w:lang w:val="es-CO"/>
        </w:rPr>
        <w:t xml:space="preserve"> Alvarenga, José Ricardo Vega, René Napoleón </w:t>
      </w:r>
      <w:proofErr w:type="spellStart"/>
      <w:r w:rsidRPr="0092611C">
        <w:rPr>
          <w:rFonts w:asciiTheme="majorHAnsi" w:hAnsiTheme="majorHAnsi"/>
          <w:szCs w:val="16"/>
          <w:lang w:val="es-CO"/>
        </w:rPr>
        <w:t>Aguiluz</w:t>
      </w:r>
      <w:proofErr w:type="spellEnd"/>
      <w:r w:rsidRPr="0092611C">
        <w:rPr>
          <w:rFonts w:asciiTheme="majorHAnsi" w:hAnsiTheme="majorHAnsi"/>
          <w:szCs w:val="16"/>
          <w:lang w:val="es-CO"/>
        </w:rPr>
        <w:t xml:space="preserve">, Ernesto Santiago Varela y Rubén Armando </w:t>
      </w:r>
      <w:proofErr w:type="spellStart"/>
      <w:r w:rsidRPr="0092611C">
        <w:rPr>
          <w:rFonts w:asciiTheme="majorHAnsi" w:hAnsiTheme="majorHAnsi"/>
          <w:szCs w:val="16"/>
          <w:lang w:val="es-CO"/>
        </w:rPr>
        <w:t>Dario</w:t>
      </w:r>
      <w:proofErr w:type="spellEnd"/>
      <w:r w:rsidRPr="0092611C">
        <w:rPr>
          <w:rFonts w:asciiTheme="majorHAnsi" w:hAnsiTheme="majorHAnsi"/>
          <w:szCs w:val="16"/>
          <w:lang w:val="es-CO"/>
        </w:rPr>
        <w:t xml:space="preserve"> Escalante. Anexo 10. Decreto Legislativo n. 348, del 2 de julio de 1998, pág. 163, anexo en la certificación extendida por la Asamblea Legislativa de los expedientes 1157-4-98 y 1058-3-98, anexo 9 a la Petición Inicial del Peticionario de 4 de mayo de 2000 (y recibida en la misma fecha).</w:t>
      </w:r>
    </w:p>
  </w:footnote>
  <w:footnote w:id="17">
    <w:p w14:paraId="68E39135" w14:textId="77777777" w:rsidR="0007239A" w:rsidRPr="0092611C" w:rsidRDefault="0007239A" w:rsidP="00DF586B">
      <w:pPr>
        <w:pStyle w:val="FootnoteText"/>
        <w:spacing w:before="0" w:after="120"/>
        <w:ind w:firstLine="720"/>
        <w:rPr>
          <w:rFonts w:asciiTheme="majorHAnsi" w:hAnsiTheme="majorHAnsi"/>
          <w:szCs w:val="16"/>
          <w:lang w:val="es-CO"/>
        </w:rPr>
      </w:pPr>
      <w:r w:rsidRPr="0092611C">
        <w:rPr>
          <w:rStyle w:val="FootnoteReference"/>
          <w:rFonts w:asciiTheme="majorHAnsi" w:hAnsiTheme="majorHAnsi"/>
          <w:szCs w:val="16"/>
        </w:rPr>
        <w:footnoteRef/>
      </w:r>
      <w:r w:rsidRPr="0092611C">
        <w:rPr>
          <w:rFonts w:asciiTheme="majorHAnsi" w:hAnsiTheme="majorHAnsi"/>
          <w:szCs w:val="16"/>
          <w:lang w:val="es-CO"/>
        </w:rPr>
        <w:t xml:space="preserve"> Anexo 11. Moción para destituir al señor Colindres, pág. 119, anexo en la certificación extendida por la Asamblea Legislativa de los expedientes 1157-4-98 y 1058-3-98, anexo 9 a la Petición Inicial del Peticionario de 4 de mayo de 2000 (y recibida en la misma fecha).</w:t>
      </w:r>
    </w:p>
  </w:footnote>
  <w:footnote w:id="18">
    <w:p w14:paraId="7D467AB6" w14:textId="77777777" w:rsidR="0007239A" w:rsidRPr="0092611C" w:rsidRDefault="0007239A" w:rsidP="00DF586B">
      <w:pPr>
        <w:pStyle w:val="FootnoteText"/>
        <w:spacing w:before="0" w:after="120"/>
        <w:ind w:firstLine="720"/>
        <w:rPr>
          <w:rFonts w:asciiTheme="majorHAnsi" w:hAnsiTheme="majorHAnsi"/>
          <w:szCs w:val="16"/>
          <w:lang w:val="es-CO"/>
        </w:rPr>
      </w:pPr>
      <w:r w:rsidRPr="0092611C">
        <w:rPr>
          <w:rStyle w:val="FootnoteReference"/>
          <w:rFonts w:asciiTheme="majorHAnsi" w:hAnsiTheme="majorHAnsi"/>
          <w:szCs w:val="16"/>
        </w:rPr>
        <w:footnoteRef/>
      </w:r>
      <w:r w:rsidRPr="0092611C">
        <w:rPr>
          <w:rFonts w:asciiTheme="majorHAnsi" w:hAnsiTheme="majorHAnsi"/>
          <w:szCs w:val="16"/>
          <w:lang w:val="es-CO"/>
        </w:rPr>
        <w:t xml:space="preserve"> Señalaron que el magistrado Colindres “ha causado malestar general en los organismos de la administración pública, obstaculizando la buena marcha del mismo no respondiendo a las necesidades y exigencias que la dinámica administrativa demanda de este tribunal, agravándose al carecer de instrucción notoria y honradez en el desempeño de su cargo, al parcializar su actuación en su calidad de juzgador en la problemática interna del Partido Demócrata Cristiano y no excusarse de conocer en la referida crisis”. Anexo 5. Decreto Legislativo 899, del 22 de Noviembre de 1996. Anexo 3 a la Petición Inicial del Peticionario de 4 de mayo de 2000 (y recibida en la misma fecha).</w:t>
      </w:r>
    </w:p>
  </w:footnote>
  <w:footnote w:id="19">
    <w:p w14:paraId="13DE9DDE" w14:textId="77777777" w:rsidR="0007239A" w:rsidRPr="0092611C" w:rsidRDefault="0007239A" w:rsidP="00DF586B">
      <w:pPr>
        <w:pStyle w:val="FootnoteText"/>
        <w:spacing w:before="0" w:after="120"/>
        <w:ind w:firstLine="720"/>
        <w:rPr>
          <w:rFonts w:asciiTheme="majorHAnsi" w:hAnsiTheme="majorHAnsi"/>
          <w:szCs w:val="16"/>
          <w:lang w:val="es-CO"/>
        </w:rPr>
      </w:pPr>
      <w:r w:rsidRPr="0092611C">
        <w:rPr>
          <w:rStyle w:val="FootnoteReference"/>
          <w:rFonts w:asciiTheme="majorHAnsi" w:hAnsiTheme="majorHAnsi"/>
          <w:szCs w:val="16"/>
        </w:rPr>
        <w:footnoteRef/>
      </w:r>
      <w:r w:rsidRPr="0092611C">
        <w:rPr>
          <w:rFonts w:asciiTheme="majorHAnsi" w:hAnsiTheme="majorHAnsi"/>
          <w:szCs w:val="16"/>
          <w:lang w:val="es-CO"/>
        </w:rPr>
        <w:t xml:space="preserve"> Anexo 12. Acuerdo Legislativo n. 281, pág. 122, anexo en la certificación extendida por la Asamblea Legislativa de los expedientes 1157-4-98 y 1058-3-98, anexo 9 a la Petición Inicial del Peticionario de 4 de mayo de 2000 (y recibida en la misma fecha).</w:t>
      </w:r>
    </w:p>
  </w:footnote>
  <w:footnote w:id="20">
    <w:p w14:paraId="5E5B09F7" w14:textId="77777777" w:rsidR="0007239A" w:rsidRPr="0092611C" w:rsidRDefault="0007239A" w:rsidP="00DF586B">
      <w:pPr>
        <w:pStyle w:val="FootnoteText"/>
        <w:spacing w:before="0" w:after="120"/>
        <w:ind w:firstLine="720"/>
        <w:rPr>
          <w:rFonts w:asciiTheme="majorHAnsi" w:hAnsiTheme="majorHAnsi"/>
          <w:szCs w:val="16"/>
          <w:lang w:val="es-CO"/>
        </w:rPr>
      </w:pPr>
      <w:r w:rsidRPr="0092611C">
        <w:rPr>
          <w:rStyle w:val="FootnoteReference"/>
          <w:rFonts w:asciiTheme="majorHAnsi" w:hAnsiTheme="majorHAnsi"/>
          <w:szCs w:val="16"/>
        </w:rPr>
        <w:footnoteRef/>
      </w:r>
      <w:r w:rsidRPr="0092611C">
        <w:rPr>
          <w:rFonts w:asciiTheme="majorHAnsi" w:hAnsiTheme="majorHAnsi"/>
          <w:szCs w:val="16"/>
          <w:lang w:val="es-CO"/>
        </w:rPr>
        <w:t xml:space="preserve"> Anexo 13. Escrito de los diputados solicitantes de la destitución dirigido a la comisión creada, del 15 de abril de 1998, pág. 125, anexo en la certificación extendida por la Asamblea Legislativa de los expedientes 1157-4-98 y 1058-3-98, anexo 9 a la Petición Inicial del Peticionario de 4 de mayo de 2000 (y recibida en la misma fecha).</w:t>
      </w:r>
    </w:p>
  </w:footnote>
  <w:footnote w:id="21">
    <w:p w14:paraId="659A2B09" w14:textId="77777777" w:rsidR="0007239A" w:rsidRPr="0092611C" w:rsidRDefault="0007239A" w:rsidP="00DF586B">
      <w:pPr>
        <w:pStyle w:val="FootnoteText"/>
        <w:spacing w:before="0" w:after="120"/>
        <w:ind w:firstLine="720"/>
        <w:rPr>
          <w:rFonts w:asciiTheme="majorHAnsi" w:hAnsiTheme="majorHAnsi"/>
          <w:szCs w:val="16"/>
          <w:lang w:val="es-CO"/>
        </w:rPr>
      </w:pPr>
      <w:r w:rsidRPr="0092611C">
        <w:rPr>
          <w:rStyle w:val="FootnoteReference"/>
          <w:rFonts w:asciiTheme="majorHAnsi" w:hAnsiTheme="majorHAnsi"/>
          <w:szCs w:val="16"/>
        </w:rPr>
        <w:footnoteRef/>
      </w:r>
      <w:r w:rsidRPr="0092611C">
        <w:rPr>
          <w:rFonts w:asciiTheme="majorHAnsi" w:hAnsiTheme="majorHAnsi"/>
          <w:szCs w:val="16"/>
          <w:lang w:val="es-CO"/>
        </w:rPr>
        <w:t xml:space="preserve"> Anexo 13. Escrito de los diputados solicitantes de la destitución dirigido a la comisión creada, del 15 de abril de 1998, pág. 125, anexo en la certificación extendida por la Asamblea Legislativa de los expedientes 1157-4-98 y 1058-3-98, anexo 9 a la Petición Inicial del Peticionario de 4 de mayo de 2000 (y recibida en la misma fecha).</w:t>
      </w:r>
    </w:p>
  </w:footnote>
  <w:footnote w:id="22">
    <w:p w14:paraId="6671DE18" w14:textId="77777777" w:rsidR="0007239A" w:rsidRPr="0092611C" w:rsidRDefault="0007239A" w:rsidP="00DF586B">
      <w:pPr>
        <w:spacing w:after="120"/>
        <w:ind w:firstLine="720"/>
        <w:jc w:val="both"/>
        <w:rPr>
          <w:rFonts w:asciiTheme="majorHAnsi" w:hAnsiTheme="majorHAnsi"/>
          <w:sz w:val="16"/>
          <w:szCs w:val="16"/>
          <w:lang w:val="es-CO"/>
        </w:rPr>
      </w:pPr>
      <w:r w:rsidRPr="0092611C">
        <w:rPr>
          <w:rStyle w:val="FootnoteReference"/>
          <w:rFonts w:asciiTheme="majorHAnsi" w:hAnsiTheme="majorHAnsi"/>
          <w:sz w:val="16"/>
          <w:szCs w:val="16"/>
        </w:rPr>
        <w:footnoteRef/>
      </w:r>
      <w:r w:rsidRPr="0092611C">
        <w:rPr>
          <w:rFonts w:asciiTheme="majorHAnsi" w:hAnsiTheme="majorHAnsi"/>
          <w:sz w:val="16"/>
          <w:szCs w:val="16"/>
          <w:lang w:val="es-MX"/>
        </w:rPr>
        <w:t xml:space="preserve"> </w:t>
      </w:r>
      <w:r w:rsidRPr="0092611C">
        <w:rPr>
          <w:rFonts w:asciiTheme="majorHAnsi" w:hAnsiTheme="majorHAnsi"/>
          <w:sz w:val="16"/>
          <w:szCs w:val="16"/>
          <w:lang w:val="es-CO"/>
        </w:rPr>
        <w:t>Entre otros argumentos los diputados refirieron que el magistrado Colindres habría favorecido a uno de los grupos del PDC en el cual tenía intereses su esposa y su propia persona. Los diputados indicaron que el magistrado Colindres había faltado a los presupuestos que lo habilitaron para ostentar el cargo de magistrado, puesto que no habría mantenido la compostura adecuada como juzgador, pues en la intervención que había presentado en la problemática del PDC, habría tratado de “favorecer de manera evidente y descarada a su esposa” – quien según dichos diputados formaba parte del grupo que pretendía suplantar a las autoridades legalmente constituidas de la institución política –, cuando la actitud correcta de todo juzgador sería de excusarse para no perder la dimensión de imparcialidad y equidad que debía caracterizar al cargo de magistrado”. Indicaron  que otro aspecto que reforzaba la “inmoralidad probada del señor Colindres” consistía en el hecho de que “ha utilizado personal del TSE (</w:t>
      </w:r>
      <w:proofErr w:type="spellStart"/>
      <w:r w:rsidRPr="0092611C">
        <w:rPr>
          <w:rFonts w:asciiTheme="majorHAnsi" w:hAnsiTheme="majorHAnsi"/>
          <w:sz w:val="16"/>
          <w:szCs w:val="16"/>
          <w:lang w:val="es-CO"/>
        </w:rPr>
        <w:t>ej</w:t>
      </w:r>
      <w:proofErr w:type="spellEnd"/>
      <w:r w:rsidRPr="0092611C">
        <w:rPr>
          <w:rFonts w:asciiTheme="majorHAnsi" w:hAnsiTheme="majorHAnsi"/>
          <w:sz w:val="16"/>
          <w:szCs w:val="16"/>
          <w:lang w:val="es-CO"/>
        </w:rPr>
        <w:t xml:space="preserve">: Carlos Ernesto </w:t>
      </w:r>
      <w:proofErr w:type="spellStart"/>
      <w:r w:rsidRPr="0092611C">
        <w:rPr>
          <w:rFonts w:asciiTheme="majorHAnsi" w:hAnsiTheme="majorHAnsi"/>
          <w:sz w:val="16"/>
          <w:szCs w:val="16"/>
          <w:lang w:val="es-CO"/>
        </w:rPr>
        <w:t>Claramount</w:t>
      </w:r>
      <w:proofErr w:type="spellEnd"/>
      <w:r w:rsidRPr="0092611C">
        <w:rPr>
          <w:rFonts w:asciiTheme="majorHAnsi" w:hAnsiTheme="majorHAnsi"/>
          <w:sz w:val="16"/>
          <w:szCs w:val="16"/>
          <w:lang w:val="es-CO"/>
        </w:rPr>
        <w:t xml:space="preserve"> quien fungió como registrador electoral) y en la actualidad el señor Jaime Magaña Figueroa, quien ostenta el cargo de asesor del magistrado en la comisión técnica del TSE)”. Según los diputados tales personas formaban parte del grupo que “pretendía suplantar de manera delictiva a las autoridades del partido, legalmente reconocidas”. Anexo 13. Escrito de los diputados solicitantes de la destitución dirigido a la comisión creada, del 15 de abril de 1998, pág. 125/126, anexo en la certificación extendida por la Asamblea Legislativa de los expedientes 1157-4-98 y 1058-3-98, anexo 9 a la Petición Inicial del Peticionario de 4 de mayo de 2000 (y recibida en la misma fecha).</w:t>
      </w:r>
    </w:p>
  </w:footnote>
  <w:footnote w:id="23">
    <w:p w14:paraId="39623927" w14:textId="77777777" w:rsidR="0007239A" w:rsidRPr="0092611C" w:rsidRDefault="0007239A" w:rsidP="00DF586B">
      <w:pPr>
        <w:pStyle w:val="FootnoteText"/>
        <w:spacing w:before="0" w:after="120"/>
        <w:ind w:firstLine="720"/>
        <w:rPr>
          <w:rFonts w:asciiTheme="majorHAnsi" w:hAnsiTheme="majorHAnsi"/>
          <w:szCs w:val="16"/>
          <w:lang w:val="es-CO"/>
        </w:rPr>
      </w:pPr>
      <w:r w:rsidRPr="0092611C">
        <w:rPr>
          <w:rStyle w:val="FootnoteReference"/>
          <w:rFonts w:asciiTheme="majorHAnsi" w:hAnsiTheme="majorHAnsi"/>
          <w:szCs w:val="16"/>
        </w:rPr>
        <w:footnoteRef/>
      </w:r>
      <w:r w:rsidRPr="0092611C">
        <w:rPr>
          <w:rFonts w:asciiTheme="majorHAnsi" w:hAnsiTheme="majorHAnsi"/>
          <w:szCs w:val="16"/>
          <w:lang w:val="es-CO"/>
        </w:rPr>
        <w:t xml:space="preserve"> Anexo 14. Pronunciamiento de la Comisión Especial, pág. 127, anexo en la certificación extendida por la Asamblea Legislativa de los expedientes 1157-4-98 y 1058-3-98, anexo 9 a la Petición Inicial del Peticionario de 4 de mayo de 2000 (y recibida en la misma fecha).</w:t>
      </w:r>
    </w:p>
  </w:footnote>
  <w:footnote w:id="24">
    <w:p w14:paraId="08375F5E" w14:textId="53C56F7D" w:rsidR="0007239A" w:rsidRPr="0092611C" w:rsidRDefault="0007239A" w:rsidP="00DF586B">
      <w:pPr>
        <w:pStyle w:val="FootnoteText"/>
        <w:spacing w:before="0" w:after="120"/>
        <w:ind w:firstLine="720"/>
        <w:rPr>
          <w:rFonts w:asciiTheme="majorHAnsi" w:hAnsiTheme="majorHAnsi"/>
          <w:szCs w:val="16"/>
          <w:lang w:val="es-CO"/>
        </w:rPr>
      </w:pPr>
      <w:r w:rsidRPr="0092611C">
        <w:rPr>
          <w:rStyle w:val="FootnoteReference"/>
          <w:rFonts w:asciiTheme="majorHAnsi" w:hAnsiTheme="majorHAnsi"/>
          <w:szCs w:val="16"/>
        </w:rPr>
        <w:footnoteRef/>
      </w:r>
      <w:r w:rsidRPr="0092611C">
        <w:rPr>
          <w:rFonts w:asciiTheme="majorHAnsi" w:hAnsiTheme="majorHAnsi"/>
          <w:szCs w:val="16"/>
          <w:lang w:val="es-CO"/>
        </w:rPr>
        <w:t xml:space="preserve"> Anexo 15. Escrito del señor Eduardo Benjamín Colindres dirigido a la Comisión especial del 20 de abril de 1998, pág. 129, anexo en la certificación extendida por la Asamblea Legislativa de los expedientes 1157-4-98 y 1058-3-98, anexo 9 a la Petición Inicial del Peticionario de 4 de mayo de 2000 (y recibida en la misma fecha).</w:t>
      </w:r>
    </w:p>
  </w:footnote>
  <w:footnote w:id="25">
    <w:p w14:paraId="4F525697" w14:textId="77777777" w:rsidR="0007239A" w:rsidRPr="0092611C" w:rsidRDefault="0007239A" w:rsidP="00DF586B">
      <w:pPr>
        <w:pStyle w:val="FootnoteText"/>
        <w:spacing w:before="0" w:after="120"/>
        <w:ind w:firstLine="720"/>
        <w:rPr>
          <w:rFonts w:asciiTheme="majorHAnsi" w:hAnsiTheme="majorHAnsi"/>
          <w:szCs w:val="16"/>
          <w:lang w:val="es-CO"/>
        </w:rPr>
      </w:pPr>
      <w:r w:rsidRPr="0092611C">
        <w:rPr>
          <w:rStyle w:val="FootnoteReference"/>
          <w:rFonts w:asciiTheme="majorHAnsi" w:hAnsiTheme="majorHAnsi"/>
          <w:szCs w:val="16"/>
        </w:rPr>
        <w:t xml:space="preserve">67 </w:t>
      </w:r>
      <w:r w:rsidRPr="0092611C">
        <w:rPr>
          <w:rFonts w:asciiTheme="majorHAnsi" w:hAnsiTheme="majorHAnsi"/>
          <w:szCs w:val="16"/>
        </w:rPr>
        <w:t xml:space="preserve">Anexo 16. </w:t>
      </w:r>
      <w:r w:rsidRPr="0092611C">
        <w:rPr>
          <w:rFonts w:asciiTheme="majorHAnsi" w:hAnsiTheme="majorHAnsi"/>
          <w:szCs w:val="16"/>
          <w:lang w:val="es-CO"/>
        </w:rPr>
        <w:t>Escrito de la Comisión Especial, del 21 de abril de 1998, pág. 130-131, anexo en la certificación extendida por la Asamblea Legislativa de los expedientes 1157-4-98 y 1058-3-98, anexo 9 a la Petición Inicial del Peticionario de 4 de mayo de 2000 (y recibida en la misma fecha).</w:t>
      </w:r>
    </w:p>
  </w:footnote>
  <w:footnote w:id="26">
    <w:p w14:paraId="24D0B699" w14:textId="77777777" w:rsidR="0007239A" w:rsidRPr="0092611C" w:rsidRDefault="0007239A" w:rsidP="00DF586B">
      <w:pPr>
        <w:pStyle w:val="FootnoteText"/>
        <w:spacing w:before="0" w:after="120"/>
        <w:ind w:firstLine="720"/>
        <w:rPr>
          <w:rFonts w:asciiTheme="majorHAnsi" w:hAnsiTheme="majorHAnsi"/>
          <w:szCs w:val="16"/>
        </w:rPr>
      </w:pPr>
      <w:r w:rsidRPr="0092611C">
        <w:rPr>
          <w:rStyle w:val="FootnoteReference"/>
          <w:rFonts w:asciiTheme="majorHAnsi" w:hAnsiTheme="majorHAnsi"/>
          <w:szCs w:val="16"/>
        </w:rPr>
        <w:footnoteRef/>
      </w:r>
      <w:r w:rsidRPr="0092611C">
        <w:rPr>
          <w:rFonts w:asciiTheme="majorHAnsi" w:hAnsiTheme="majorHAnsi"/>
          <w:szCs w:val="16"/>
        </w:rPr>
        <w:t xml:space="preserve"> Anexo 17. E</w:t>
      </w:r>
      <w:proofErr w:type="spellStart"/>
      <w:r w:rsidRPr="0092611C">
        <w:rPr>
          <w:rFonts w:asciiTheme="majorHAnsi" w:hAnsiTheme="majorHAnsi"/>
          <w:szCs w:val="16"/>
          <w:lang w:val="es-CO"/>
        </w:rPr>
        <w:t>scrito</w:t>
      </w:r>
      <w:proofErr w:type="spellEnd"/>
      <w:r w:rsidRPr="0092611C">
        <w:rPr>
          <w:rFonts w:asciiTheme="majorHAnsi" w:hAnsiTheme="majorHAnsi"/>
          <w:szCs w:val="16"/>
          <w:lang w:val="es-CO"/>
        </w:rPr>
        <w:t xml:space="preserve"> del TSE dirigido a los miembros de la Comisión Política de 25 de mayo de 1998, pág. 143, anexo en la certificación extendida por la Asamblea Legislativa de los expedientes 1157-4-98 y 1058-3-98, anexo 9 a la Petición Inicial del Peticionario de 4 de mayo de 2000 (y recibida en la misma fecha).</w:t>
      </w:r>
    </w:p>
  </w:footnote>
  <w:footnote w:id="27">
    <w:p w14:paraId="75F9D9F4" w14:textId="77777777" w:rsidR="0007239A" w:rsidRPr="0092611C" w:rsidRDefault="0007239A" w:rsidP="00DF586B">
      <w:pPr>
        <w:pStyle w:val="FootnoteText"/>
        <w:spacing w:before="0" w:after="120"/>
        <w:ind w:firstLine="720"/>
        <w:rPr>
          <w:rFonts w:asciiTheme="majorHAnsi" w:hAnsiTheme="majorHAnsi"/>
          <w:szCs w:val="16"/>
          <w:lang w:val="es-CO"/>
        </w:rPr>
      </w:pPr>
      <w:r w:rsidRPr="0092611C">
        <w:rPr>
          <w:rStyle w:val="FootnoteReference"/>
          <w:rFonts w:asciiTheme="majorHAnsi" w:hAnsiTheme="majorHAnsi"/>
          <w:szCs w:val="16"/>
        </w:rPr>
        <w:footnoteRef/>
      </w:r>
      <w:r w:rsidRPr="0092611C">
        <w:rPr>
          <w:rFonts w:asciiTheme="majorHAnsi" w:hAnsiTheme="majorHAnsi"/>
          <w:szCs w:val="16"/>
          <w:lang w:val="es-CO"/>
        </w:rPr>
        <w:t xml:space="preserve"> Anexo 7. Escrito del señor Eduardo Benjamín Colindres a la Comisión Política del 26 de mayo de 1998, anexo en la certificación extendida por la Asamblea Legislativa de los expedientes 1157-4-98 y 1058-3-98, pág. 143, anexo 9 a la Petición Inicial del Peticionario de 4 de mayo de 2000 (y recibida en la misma fecha).</w:t>
      </w:r>
    </w:p>
  </w:footnote>
  <w:footnote w:id="28">
    <w:p w14:paraId="0D2B65B2" w14:textId="77777777" w:rsidR="0007239A" w:rsidRPr="0092611C" w:rsidRDefault="0007239A" w:rsidP="00DF586B">
      <w:pPr>
        <w:pStyle w:val="FootnoteText"/>
        <w:spacing w:before="0" w:after="120"/>
        <w:ind w:firstLine="720"/>
        <w:rPr>
          <w:rFonts w:asciiTheme="majorHAnsi" w:hAnsiTheme="majorHAnsi"/>
          <w:szCs w:val="16"/>
          <w:lang w:val="es-CO"/>
        </w:rPr>
      </w:pPr>
      <w:r w:rsidRPr="0092611C">
        <w:rPr>
          <w:rStyle w:val="FootnoteReference"/>
          <w:rFonts w:asciiTheme="majorHAnsi" w:hAnsiTheme="majorHAnsi"/>
          <w:szCs w:val="16"/>
        </w:rPr>
        <w:footnoteRef/>
      </w:r>
      <w:r w:rsidRPr="0092611C">
        <w:rPr>
          <w:rFonts w:asciiTheme="majorHAnsi" w:hAnsiTheme="majorHAnsi"/>
          <w:szCs w:val="16"/>
          <w:lang w:val="es-CO"/>
        </w:rPr>
        <w:t xml:space="preserve"> Anexo 18. Informe de la Comisión Especial del 21 de mayo de 1998 referente al expediente 1058-3-98, pág. 142, anexo en la certificación extendida por la Asamblea Legislativa de los expedientes 1157-4-98 y 1058-3-98, anexo 9 a la Petición Inicial del Peticionario de 4 de mayo de 2000 (y recibida en la misma fecha).</w:t>
      </w:r>
    </w:p>
  </w:footnote>
  <w:footnote w:id="29">
    <w:p w14:paraId="54E92179" w14:textId="77777777" w:rsidR="0007239A" w:rsidRPr="0092611C" w:rsidRDefault="0007239A" w:rsidP="00DF586B">
      <w:pPr>
        <w:pStyle w:val="FootnoteText"/>
        <w:spacing w:before="0" w:after="120"/>
        <w:ind w:firstLine="720"/>
        <w:rPr>
          <w:rFonts w:asciiTheme="majorHAnsi" w:hAnsiTheme="majorHAnsi"/>
          <w:szCs w:val="16"/>
        </w:rPr>
      </w:pPr>
      <w:r w:rsidRPr="0092611C">
        <w:rPr>
          <w:rStyle w:val="FootnoteReference"/>
          <w:rFonts w:asciiTheme="majorHAnsi" w:hAnsiTheme="majorHAnsi"/>
          <w:szCs w:val="16"/>
        </w:rPr>
        <w:footnoteRef/>
      </w:r>
      <w:r w:rsidRPr="0092611C">
        <w:rPr>
          <w:rFonts w:asciiTheme="majorHAnsi" w:hAnsiTheme="majorHAnsi"/>
          <w:szCs w:val="16"/>
        </w:rPr>
        <w:t xml:space="preserve"> Anexo 19. E</w:t>
      </w:r>
      <w:proofErr w:type="spellStart"/>
      <w:r w:rsidRPr="0092611C">
        <w:rPr>
          <w:rFonts w:asciiTheme="majorHAnsi" w:hAnsiTheme="majorHAnsi"/>
          <w:szCs w:val="16"/>
          <w:lang w:val="es-CO"/>
        </w:rPr>
        <w:t>scrito</w:t>
      </w:r>
      <w:proofErr w:type="spellEnd"/>
      <w:r w:rsidRPr="0092611C">
        <w:rPr>
          <w:rFonts w:asciiTheme="majorHAnsi" w:hAnsiTheme="majorHAnsi"/>
          <w:szCs w:val="16"/>
          <w:lang w:val="es-CO"/>
        </w:rPr>
        <w:t xml:space="preserve"> del TSE dirigido a los miembros de la Comisión Política de 25 de mayo de 1998, pág. 143, anexo en la certificación extendida por la Asamblea Legislativa de los expedientes 1157-4-98 y 1058-3-98, anexo 9 a la Petición Inicial del Peticionario de 4 de mayo de 2000 (y recibida en la misma fecha).</w:t>
      </w:r>
    </w:p>
  </w:footnote>
  <w:footnote w:id="30">
    <w:p w14:paraId="0EB6078F" w14:textId="77777777" w:rsidR="0007239A" w:rsidRPr="0092611C" w:rsidRDefault="0007239A" w:rsidP="00DF586B">
      <w:pPr>
        <w:pStyle w:val="FootnoteText"/>
        <w:spacing w:before="0" w:after="120"/>
        <w:ind w:firstLine="720"/>
        <w:rPr>
          <w:rFonts w:asciiTheme="majorHAnsi" w:hAnsiTheme="majorHAnsi"/>
          <w:szCs w:val="16"/>
          <w:lang w:val="es-CO"/>
        </w:rPr>
      </w:pPr>
      <w:r w:rsidRPr="0092611C">
        <w:rPr>
          <w:rStyle w:val="FootnoteReference"/>
          <w:rFonts w:asciiTheme="majorHAnsi" w:hAnsiTheme="majorHAnsi"/>
          <w:szCs w:val="16"/>
        </w:rPr>
        <w:footnoteRef/>
      </w:r>
      <w:r w:rsidRPr="0092611C">
        <w:rPr>
          <w:rFonts w:asciiTheme="majorHAnsi" w:hAnsiTheme="majorHAnsi"/>
          <w:szCs w:val="16"/>
          <w:lang w:val="es-CO"/>
        </w:rPr>
        <w:t xml:space="preserve"> Anexo 7. Escrito del señor Eduardo Benjamín Colindres a la Comisión Política del 26 de mayo de 1998, anexo en la certificación extendida por la Asamblea Legislativa de los expedientes 1157-4-98 y 1058-3-98, pág. 2, anexo 9 a la Petición Inicial del Peticionario de 4 de mayo de 2000 (y recibida en la misma fecha).</w:t>
      </w:r>
    </w:p>
  </w:footnote>
  <w:footnote w:id="31">
    <w:p w14:paraId="784CC24D" w14:textId="77777777" w:rsidR="0007239A" w:rsidRPr="0092611C" w:rsidRDefault="0007239A" w:rsidP="00DF586B">
      <w:pPr>
        <w:pStyle w:val="FootnoteText"/>
        <w:spacing w:before="0" w:after="120"/>
        <w:ind w:firstLine="720"/>
        <w:rPr>
          <w:rFonts w:asciiTheme="majorHAnsi" w:hAnsiTheme="majorHAnsi"/>
          <w:szCs w:val="16"/>
          <w:lang w:val="es-CO"/>
        </w:rPr>
      </w:pPr>
      <w:r w:rsidRPr="0092611C">
        <w:rPr>
          <w:rStyle w:val="FootnoteReference"/>
          <w:rFonts w:asciiTheme="majorHAnsi" w:hAnsiTheme="majorHAnsi"/>
          <w:szCs w:val="16"/>
        </w:rPr>
        <w:footnoteRef/>
      </w:r>
      <w:r w:rsidRPr="0092611C">
        <w:rPr>
          <w:rFonts w:asciiTheme="majorHAnsi" w:hAnsiTheme="majorHAnsi"/>
          <w:szCs w:val="16"/>
          <w:lang w:val="es-CO"/>
        </w:rPr>
        <w:t xml:space="preserve"> Anexo 20. Informe de la Comisión Política del 24 de junio de 1998, pág. 159, anexo en la certificación extendida por la Asamblea Legislativa de los expedientes 1157-4-98 y 1058-3-98, anexo 9 a la Petición Inicial del Peticionario de 4 de mayo de 2000 (y recibida en la misma fecha).</w:t>
      </w:r>
    </w:p>
  </w:footnote>
  <w:footnote w:id="32">
    <w:p w14:paraId="33C6FD82" w14:textId="3E7227E7" w:rsidR="0007239A" w:rsidRPr="0092611C" w:rsidRDefault="0007239A" w:rsidP="00DF586B">
      <w:pPr>
        <w:pStyle w:val="FootnoteText"/>
        <w:spacing w:before="0" w:after="120"/>
        <w:ind w:firstLine="720"/>
        <w:rPr>
          <w:rFonts w:asciiTheme="majorHAnsi" w:hAnsiTheme="majorHAnsi"/>
          <w:szCs w:val="16"/>
          <w:lang w:val="es-CO"/>
        </w:rPr>
      </w:pPr>
      <w:r w:rsidRPr="0092611C">
        <w:rPr>
          <w:rStyle w:val="FootnoteReference"/>
          <w:rFonts w:asciiTheme="majorHAnsi" w:hAnsiTheme="majorHAnsi"/>
          <w:szCs w:val="16"/>
        </w:rPr>
        <w:footnoteRef/>
      </w:r>
      <w:r w:rsidRPr="0092611C">
        <w:rPr>
          <w:rFonts w:asciiTheme="majorHAnsi" w:hAnsiTheme="majorHAnsi"/>
          <w:szCs w:val="16"/>
          <w:lang w:val="es-CO"/>
        </w:rPr>
        <w:t xml:space="preserve"> Anexo 21. Escrito de los diputados, dirigido a la junta directiva de la Asamblea Legislativa, del 29 de junio de 1998, págs. 161-162, anexo en la certificación extendida por la Asamblea Legislativa de los expedientes 1157-4-98 y 1058-3-98, anexo 9 a la Petición Inicial del Peticionario de 4 de mayo de 2000 (y recibida en la misma fecha).</w:t>
      </w:r>
    </w:p>
  </w:footnote>
  <w:footnote w:id="33">
    <w:p w14:paraId="73F82FAD" w14:textId="489673AD" w:rsidR="0007239A" w:rsidRPr="0092611C" w:rsidRDefault="0007239A" w:rsidP="00DF586B">
      <w:pPr>
        <w:pStyle w:val="FootnoteText"/>
        <w:spacing w:before="0" w:after="120"/>
        <w:ind w:firstLine="720"/>
        <w:rPr>
          <w:rFonts w:asciiTheme="majorHAnsi" w:hAnsiTheme="majorHAnsi"/>
          <w:szCs w:val="16"/>
        </w:rPr>
      </w:pPr>
      <w:r w:rsidRPr="0092611C">
        <w:rPr>
          <w:rStyle w:val="FootnoteReference"/>
          <w:rFonts w:asciiTheme="majorHAnsi" w:hAnsiTheme="majorHAnsi"/>
          <w:szCs w:val="16"/>
        </w:rPr>
        <w:footnoteRef/>
      </w:r>
      <w:r w:rsidRPr="0092611C">
        <w:rPr>
          <w:rFonts w:asciiTheme="majorHAnsi" w:hAnsiTheme="majorHAnsi"/>
          <w:szCs w:val="16"/>
        </w:rPr>
        <w:t xml:space="preserve"> </w:t>
      </w:r>
      <w:r w:rsidRPr="0092611C">
        <w:rPr>
          <w:rFonts w:asciiTheme="majorHAnsi" w:hAnsiTheme="majorHAnsi"/>
          <w:szCs w:val="16"/>
          <w:lang w:val="es-CO"/>
        </w:rPr>
        <w:t>Alegaron que “la historia del magistrado era una práctica de irrespeto y desconfianza hacia el primer órgano del Estado, al imputar parcialidad y manipulación a una comisión especial legislativa creada para garantizarle su derecho de audiencia, lo cual motivó incluso confrontación entre el órgano judicial y este primer órgano del Estado”.  Asimismo, indicaron que “el señor Colindres incurrió en desacato al cuestionar a los mismos diputados que estaban garantizándole el derecho de audiencia”, ya que al evacuarla “no solo rechazó el debido proceso sino que insultó a una instancia de la Asamblea, al verter juicios ofensivos e impropios en contra de los diputados que conformaban dicha Comisión”. Anexo 21. Escrito de los diputados, dirigido a la junta directiva de la Asamblea Legislativa, del 29 de junio de 1998, págs. 161-162, anexo en la certificación extendida por la Asamblea Legislativa de los expedientes 1157-4-98 y 1058-3-98, anexo 9 a la Petición Inicial del Peticionario de 4 de mayo de 2000 (y recibida en la misma fecha).</w:t>
      </w:r>
    </w:p>
  </w:footnote>
  <w:footnote w:id="34">
    <w:p w14:paraId="1349FCAE" w14:textId="5FB9F7E0" w:rsidR="0007239A" w:rsidRPr="0092611C" w:rsidRDefault="0007239A" w:rsidP="00DF586B">
      <w:pPr>
        <w:pStyle w:val="FootnoteText"/>
        <w:spacing w:before="0" w:after="120"/>
        <w:ind w:firstLine="720"/>
        <w:rPr>
          <w:rFonts w:asciiTheme="majorHAnsi" w:hAnsiTheme="majorHAnsi"/>
          <w:szCs w:val="16"/>
          <w:lang w:val="es-CO"/>
        </w:rPr>
      </w:pPr>
      <w:r w:rsidRPr="0092611C">
        <w:rPr>
          <w:rStyle w:val="FootnoteReference"/>
          <w:rFonts w:asciiTheme="majorHAnsi" w:hAnsiTheme="majorHAnsi"/>
          <w:szCs w:val="16"/>
        </w:rPr>
        <w:footnoteRef/>
      </w:r>
      <w:r w:rsidRPr="0092611C">
        <w:rPr>
          <w:rFonts w:asciiTheme="majorHAnsi" w:hAnsiTheme="majorHAnsi"/>
          <w:szCs w:val="16"/>
          <w:lang w:val="es-CO"/>
        </w:rPr>
        <w:t xml:space="preserve"> Anexo 21. Escrito de los diputados, dirigido a la junta directiva de la Asamblea Legislativa, del 29 de junio de 1998, págs. 161-162, anexo en la certificación extendida por la Asamblea Legislativa de los expedientes 1157-4-98 y 1058-3-98, anexo 9 a la Petición Inicial del Peticionario de 4 de mayo de 2000 (y recibida en la misma fecha).</w:t>
      </w:r>
    </w:p>
  </w:footnote>
  <w:footnote w:id="35">
    <w:p w14:paraId="186F6A5E" w14:textId="77777777" w:rsidR="0007239A" w:rsidRPr="0092611C" w:rsidRDefault="0007239A" w:rsidP="00DF586B">
      <w:pPr>
        <w:pStyle w:val="FootnoteText"/>
        <w:spacing w:before="0" w:after="120"/>
        <w:ind w:firstLine="720"/>
        <w:rPr>
          <w:rFonts w:asciiTheme="majorHAnsi" w:hAnsiTheme="majorHAnsi"/>
          <w:szCs w:val="16"/>
          <w:lang w:val="es-CO"/>
        </w:rPr>
      </w:pPr>
      <w:r w:rsidRPr="0092611C">
        <w:rPr>
          <w:rStyle w:val="FootnoteReference"/>
          <w:rFonts w:asciiTheme="majorHAnsi" w:hAnsiTheme="majorHAnsi"/>
          <w:szCs w:val="16"/>
        </w:rPr>
        <w:footnoteRef/>
      </w:r>
      <w:r w:rsidRPr="0092611C">
        <w:rPr>
          <w:rFonts w:asciiTheme="majorHAnsi" w:hAnsiTheme="majorHAnsi"/>
          <w:szCs w:val="16"/>
          <w:lang w:val="es-CO"/>
        </w:rPr>
        <w:t xml:space="preserve"> Anexo 10. Decreto Legislativo n. 348, del 2 de julio de 1998, pág. 163, punto IV, anexo en la certificación extendida por la Asamblea Legislativa de los expedientes 1157-4-98 y 1058-3-98, anexo 9 a la Petición Inicial del Peticionario de 4 de mayo de 2000 (y recibida en la misma fecha).</w:t>
      </w:r>
    </w:p>
  </w:footnote>
  <w:footnote w:id="36">
    <w:p w14:paraId="055052BF" w14:textId="70D183B6" w:rsidR="0007239A" w:rsidRPr="0092611C" w:rsidRDefault="0007239A" w:rsidP="00DF586B">
      <w:pPr>
        <w:pStyle w:val="FootnoteText"/>
        <w:spacing w:before="0" w:after="120"/>
        <w:ind w:firstLine="720"/>
        <w:rPr>
          <w:rFonts w:asciiTheme="majorHAnsi" w:hAnsiTheme="majorHAnsi"/>
          <w:szCs w:val="16"/>
          <w:lang w:val="es-CO"/>
        </w:rPr>
      </w:pPr>
      <w:r w:rsidRPr="0092611C">
        <w:rPr>
          <w:rStyle w:val="FootnoteReference"/>
          <w:rFonts w:asciiTheme="majorHAnsi" w:hAnsiTheme="majorHAnsi"/>
          <w:szCs w:val="16"/>
        </w:rPr>
        <w:footnoteRef/>
      </w:r>
      <w:r w:rsidRPr="0092611C">
        <w:rPr>
          <w:rFonts w:asciiTheme="majorHAnsi" w:hAnsiTheme="majorHAnsi"/>
          <w:szCs w:val="16"/>
          <w:lang w:val="es-CO"/>
        </w:rPr>
        <w:t xml:space="preserve"> Así por ejemplo, el diputado Julio Samayoa indicó que “no por el hecho que la Asamblea elegía a ciertos funcionarios los podía destituir”. A ese respecto manifestó que “no era la primera vez que en la Constitución había un silencio a ese respecto, puesto que cuando se promulgó la Constitución no habían hipótesis de destitución del Fiscal General y del Procurador” de tal forma que mientras no se adoptaron las “reformas que establecieron las causales” “la Asamblea no les podía destituir porque no tenía dicha facultad, a pesar de que cualquier barrabasada que cometiera el Fiscal General”. Anexo 22. Transcripción literal de lo acontecido en la Sesión Plenaria de la Asamblea Legislativa del 2 de julio de 1998, págs. 7, 10 y 11, anexo 18 a la Petición Inicial del Peticionario de 4 de mayo de 2000 (y recibida en la misma fecha). </w:t>
      </w:r>
    </w:p>
  </w:footnote>
  <w:footnote w:id="37">
    <w:p w14:paraId="75831E82" w14:textId="77777777" w:rsidR="0007239A" w:rsidRPr="0092611C" w:rsidRDefault="0007239A" w:rsidP="00DF586B">
      <w:pPr>
        <w:pStyle w:val="FootnoteText"/>
        <w:spacing w:before="0" w:after="120"/>
        <w:ind w:firstLine="720"/>
        <w:rPr>
          <w:rFonts w:asciiTheme="majorHAnsi" w:hAnsiTheme="majorHAnsi"/>
          <w:szCs w:val="16"/>
          <w:lang w:val="es-CO"/>
        </w:rPr>
      </w:pPr>
      <w:r w:rsidRPr="0092611C">
        <w:rPr>
          <w:rStyle w:val="FootnoteReference"/>
          <w:rFonts w:asciiTheme="majorHAnsi" w:hAnsiTheme="majorHAnsi"/>
          <w:szCs w:val="16"/>
        </w:rPr>
        <w:footnoteRef/>
      </w:r>
      <w:r w:rsidRPr="0092611C">
        <w:rPr>
          <w:rFonts w:asciiTheme="majorHAnsi" w:hAnsiTheme="majorHAnsi"/>
          <w:szCs w:val="16"/>
          <w:lang w:val="es-CO"/>
        </w:rPr>
        <w:t xml:space="preserve"> Anexo 22. Transcripción literal de lo acontecido en la Sesión Plenaria de la Asamblea Legislativa del 2 de julio de 1998, pág. 51, anexo 18 a la Petición Inicial del Peticionario de 4 de mayo de 2000 (y recibida en la misma fecha).</w:t>
      </w:r>
    </w:p>
  </w:footnote>
  <w:footnote w:id="38">
    <w:p w14:paraId="4236591D" w14:textId="77777777" w:rsidR="0007239A" w:rsidRPr="0092611C" w:rsidRDefault="0007239A" w:rsidP="00DF586B">
      <w:pPr>
        <w:pStyle w:val="FootnoteText"/>
        <w:spacing w:before="0" w:after="120"/>
        <w:ind w:firstLine="720"/>
        <w:rPr>
          <w:rFonts w:asciiTheme="majorHAnsi" w:hAnsiTheme="majorHAnsi"/>
          <w:szCs w:val="16"/>
          <w:lang w:val="es-CO"/>
        </w:rPr>
      </w:pPr>
      <w:r w:rsidRPr="0092611C">
        <w:rPr>
          <w:rStyle w:val="FootnoteReference"/>
          <w:rFonts w:asciiTheme="majorHAnsi" w:hAnsiTheme="majorHAnsi"/>
          <w:szCs w:val="16"/>
        </w:rPr>
        <w:footnoteRef/>
      </w:r>
      <w:r w:rsidRPr="0092611C">
        <w:rPr>
          <w:rFonts w:asciiTheme="majorHAnsi" w:hAnsiTheme="majorHAnsi"/>
          <w:szCs w:val="16"/>
          <w:lang w:val="es-CO"/>
        </w:rPr>
        <w:t xml:space="preserve"> Anexo 23. Petición Inicial del amparo n. 130-98, del 20 de abril de 1998, pág.  5, anexo 10 a la Petición Inicial del Peticionario de 4 de mayo de 2000 (y recibida en la misma fecha).</w:t>
      </w:r>
    </w:p>
  </w:footnote>
  <w:footnote w:id="39">
    <w:p w14:paraId="3A0578FD" w14:textId="77777777" w:rsidR="0007239A" w:rsidRPr="0092611C" w:rsidRDefault="0007239A" w:rsidP="00DF586B">
      <w:pPr>
        <w:pStyle w:val="FootnoteText"/>
        <w:spacing w:before="0" w:after="120"/>
        <w:ind w:firstLine="720"/>
        <w:rPr>
          <w:rFonts w:asciiTheme="majorHAnsi" w:hAnsiTheme="majorHAnsi"/>
          <w:szCs w:val="16"/>
          <w:lang w:val="es-CO"/>
        </w:rPr>
      </w:pPr>
      <w:r w:rsidRPr="0092611C">
        <w:rPr>
          <w:rStyle w:val="FootnoteReference"/>
          <w:rFonts w:asciiTheme="majorHAnsi" w:hAnsiTheme="majorHAnsi"/>
          <w:szCs w:val="16"/>
        </w:rPr>
        <w:footnoteRef/>
      </w:r>
      <w:r w:rsidRPr="0092611C">
        <w:rPr>
          <w:rFonts w:asciiTheme="majorHAnsi" w:hAnsiTheme="majorHAnsi"/>
          <w:szCs w:val="16"/>
          <w:lang w:val="es-CO"/>
        </w:rPr>
        <w:t xml:space="preserve"> Anexo 24. Resolución de la Sala de lo Constitucional de la Corte Suprema admitiendo el amparo n. 130-98, del 20 de abril de 1998, anexo 11 a la Petición Inicial del Peticionario de 4 de mayo de 2000 (y recibida en la misma fecha).</w:t>
      </w:r>
    </w:p>
  </w:footnote>
  <w:footnote w:id="40">
    <w:p w14:paraId="7EFF5860" w14:textId="77777777" w:rsidR="0007239A" w:rsidRPr="0092611C" w:rsidRDefault="0007239A" w:rsidP="00DF586B">
      <w:pPr>
        <w:pStyle w:val="FootnoteText"/>
        <w:spacing w:before="0" w:after="120"/>
        <w:ind w:firstLine="720"/>
        <w:rPr>
          <w:rFonts w:asciiTheme="majorHAnsi" w:hAnsiTheme="majorHAnsi"/>
          <w:szCs w:val="16"/>
          <w:lang w:val="es-CO"/>
        </w:rPr>
      </w:pPr>
      <w:r w:rsidRPr="0092611C">
        <w:rPr>
          <w:rStyle w:val="FootnoteReference"/>
          <w:rFonts w:asciiTheme="majorHAnsi" w:hAnsiTheme="majorHAnsi"/>
          <w:szCs w:val="16"/>
        </w:rPr>
        <w:footnoteRef/>
      </w:r>
      <w:r w:rsidRPr="0092611C">
        <w:rPr>
          <w:rFonts w:asciiTheme="majorHAnsi" w:hAnsiTheme="majorHAnsi"/>
          <w:szCs w:val="16"/>
          <w:lang w:val="es-CO"/>
        </w:rPr>
        <w:t xml:space="preserve"> Anexo 25. Resolución de sobreseimiento del amparo 130-98, del 30 de abril de 1998, anexo 12 a la Petición Inicial del Peticionario de 4 de mayo de 2000 (y recibida en la misma fecha).</w:t>
      </w:r>
    </w:p>
  </w:footnote>
  <w:footnote w:id="41">
    <w:p w14:paraId="24EE4C3E" w14:textId="222444EE" w:rsidR="0007239A" w:rsidRPr="0092611C" w:rsidRDefault="0007239A" w:rsidP="00DF586B">
      <w:pPr>
        <w:pStyle w:val="FootnoteText"/>
        <w:spacing w:before="0" w:after="120"/>
        <w:ind w:firstLine="720"/>
        <w:rPr>
          <w:rFonts w:asciiTheme="majorHAnsi" w:hAnsiTheme="majorHAnsi"/>
          <w:szCs w:val="16"/>
          <w:lang w:val="es-CO"/>
        </w:rPr>
      </w:pPr>
      <w:r w:rsidRPr="0092611C">
        <w:rPr>
          <w:rStyle w:val="FootnoteReference"/>
          <w:rFonts w:asciiTheme="majorHAnsi" w:hAnsiTheme="majorHAnsi"/>
          <w:szCs w:val="16"/>
        </w:rPr>
        <w:footnoteRef/>
      </w:r>
      <w:r w:rsidRPr="0092611C">
        <w:rPr>
          <w:rFonts w:asciiTheme="majorHAnsi" w:hAnsiTheme="majorHAnsi"/>
          <w:szCs w:val="16"/>
          <w:lang w:val="es-CO"/>
        </w:rPr>
        <w:t xml:space="preserve"> </w:t>
      </w:r>
      <w:r w:rsidRPr="0092611C">
        <w:rPr>
          <w:rFonts w:asciiTheme="majorHAnsi" w:hAnsiTheme="majorHAnsi"/>
          <w:szCs w:val="16"/>
        </w:rPr>
        <w:t xml:space="preserve">Un diputado indicó que tal comisión debería estudiar “esta intromisión en lo abusivo que ha sido al invadir terrenos de este órgano del Estado”. Por su parte, un diputado del PDC, apoyó que se investigara la Corte a fin de que ésta “sea garante realmente del imperio de la ley y del estado de derecho en nuestro país. Anexo 6. Acta de la sesión plenaria del 30 de abril de 1998, en lo relativo a la discusión de la pieza n. 4-A, págs. 78 y 85.  Anexo al escrito de los peticionarios recibido el 22 de febrero de 2002. </w:t>
      </w:r>
    </w:p>
  </w:footnote>
  <w:footnote w:id="42">
    <w:p w14:paraId="64EFB99E" w14:textId="77777777" w:rsidR="0007239A" w:rsidRPr="0092611C" w:rsidRDefault="0007239A" w:rsidP="00DF586B">
      <w:pPr>
        <w:pStyle w:val="FootnoteText"/>
        <w:spacing w:before="0" w:after="120"/>
        <w:ind w:firstLine="720"/>
        <w:rPr>
          <w:rFonts w:asciiTheme="majorHAnsi" w:hAnsiTheme="majorHAnsi"/>
          <w:szCs w:val="16"/>
          <w:lang w:val="es-CO"/>
        </w:rPr>
      </w:pPr>
      <w:r w:rsidRPr="0092611C">
        <w:rPr>
          <w:rStyle w:val="FootnoteReference"/>
          <w:rFonts w:asciiTheme="majorHAnsi" w:hAnsiTheme="majorHAnsi"/>
          <w:szCs w:val="16"/>
        </w:rPr>
        <w:footnoteRef/>
      </w:r>
      <w:r w:rsidRPr="0092611C">
        <w:rPr>
          <w:rFonts w:asciiTheme="majorHAnsi" w:hAnsiTheme="majorHAnsi"/>
          <w:szCs w:val="16"/>
          <w:lang w:val="es-CO"/>
        </w:rPr>
        <w:t xml:space="preserve"> Anexo 26. Demanda de exhibición personal 210-98, del 21 de abril de 1998, anexo 14 a la Petición Inicial del Peticionario de 4 de mayo de 2000 (y recibida en la misma fecha).</w:t>
      </w:r>
    </w:p>
  </w:footnote>
  <w:footnote w:id="43">
    <w:p w14:paraId="5BB0CD18" w14:textId="3F6E7C4D" w:rsidR="0007239A" w:rsidRPr="0092611C" w:rsidRDefault="0007239A" w:rsidP="00DF586B">
      <w:pPr>
        <w:pStyle w:val="FootnoteText"/>
        <w:spacing w:before="0" w:after="120"/>
        <w:ind w:firstLine="720"/>
        <w:rPr>
          <w:rFonts w:asciiTheme="majorHAnsi" w:hAnsiTheme="majorHAnsi"/>
          <w:szCs w:val="16"/>
          <w:lang w:val="es-CO"/>
        </w:rPr>
      </w:pPr>
      <w:r w:rsidRPr="0092611C">
        <w:rPr>
          <w:rStyle w:val="FootnoteReference"/>
          <w:rFonts w:asciiTheme="majorHAnsi" w:hAnsiTheme="majorHAnsi"/>
          <w:szCs w:val="16"/>
        </w:rPr>
        <w:footnoteRef/>
      </w:r>
      <w:r w:rsidRPr="0092611C">
        <w:rPr>
          <w:rFonts w:asciiTheme="majorHAnsi" w:hAnsiTheme="majorHAnsi"/>
          <w:szCs w:val="16"/>
          <w:lang w:val="es-CO"/>
        </w:rPr>
        <w:t xml:space="preserve"> Anexo 27. Resolución de improcedencia del habeas corpus 210-98, del 4 de mayo de 1998, anexo 15 a la Petición Inicial del Peticionario de 4 de mayo de 2000 (y recibida en la misma fecha).</w:t>
      </w:r>
    </w:p>
  </w:footnote>
  <w:footnote w:id="44">
    <w:p w14:paraId="28B904BC" w14:textId="77777777" w:rsidR="0007239A" w:rsidRPr="0092611C" w:rsidRDefault="0007239A" w:rsidP="00DF586B">
      <w:pPr>
        <w:pStyle w:val="FootnoteText"/>
        <w:spacing w:before="0" w:after="120"/>
        <w:ind w:firstLine="720"/>
        <w:rPr>
          <w:rFonts w:asciiTheme="majorHAnsi" w:hAnsiTheme="majorHAnsi"/>
          <w:szCs w:val="16"/>
          <w:lang w:val="es-CO"/>
        </w:rPr>
      </w:pPr>
      <w:r w:rsidRPr="0092611C">
        <w:rPr>
          <w:rStyle w:val="FootnoteReference"/>
          <w:rFonts w:asciiTheme="majorHAnsi" w:hAnsiTheme="majorHAnsi"/>
          <w:szCs w:val="16"/>
        </w:rPr>
        <w:footnoteRef/>
      </w:r>
      <w:r w:rsidRPr="0092611C">
        <w:rPr>
          <w:rFonts w:asciiTheme="majorHAnsi" w:hAnsiTheme="majorHAnsi"/>
          <w:szCs w:val="16"/>
          <w:lang w:val="es-CO"/>
        </w:rPr>
        <w:t xml:space="preserve"> Anexo 28. Petición Inicial del amparo n. 147-98, del 5 de mayo de 1998, pág. 6, anexo 16 a la Petición Inicial del Peticionario de 4 de mayo de 2000 (y recibida en la misma fecha).</w:t>
      </w:r>
    </w:p>
  </w:footnote>
  <w:footnote w:id="45">
    <w:p w14:paraId="5CF7732B" w14:textId="77777777" w:rsidR="0007239A" w:rsidRPr="0092611C" w:rsidRDefault="0007239A" w:rsidP="00DF586B">
      <w:pPr>
        <w:pStyle w:val="FootnoteText"/>
        <w:spacing w:before="0" w:after="120"/>
        <w:ind w:firstLine="720"/>
        <w:rPr>
          <w:rFonts w:asciiTheme="majorHAnsi" w:hAnsiTheme="majorHAnsi"/>
          <w:szCs w:val="16"/>
          <w:lang w:val="es-CO"/>
        </w:rPr>
      </w:pPr>
      <w:r w:rsidRPr="0092611C">
        <w:rPr>
          <w:rStyle w:val="FootnoteReference"/>
          <w:rFonts w:asciiTheme="majorHAnsi" w:hAnsiTheme="majorHAnsi"/>
          <w:szCs w:val="16"/>
        </w:rPr>
        <w:footnoteRef/>
      </w:r>
      <w:r w:rsidRPr="0092611C">
        <w:rPr>
          <w:rFonts w:asciiTheme="majorHAnsi" w:hAnsiTheme="majorHAnsi"/>
          <w:szCs w:val="16"/>
          <w:lang w:val="es-CO"/>
        </w:rPr>
        <w:t xml:space="preserve"> Anexo 28. Petición Inicial del amparo n. 147-98, del 5 de mayo de 1998, pág. 6, anexo 16 a la Petición Inicial del Peticionario de 4 de mayo de 2000 (y recibida en la misma fecha).</w:t>
      </w:r>
    </w:p>
  </w:footnote>
  <w:footnote w:id="46">
    <w:p w14:paraId="1C0A0E6B" w14:textId="77777777" w:rsidR="0007239A" w:rsidRPr="0092611C" w:rsidRDefault="0007239A" w:rsidP="00DF586B">
      <w:pPr>
        <w:pStyle w:val="FootnoteText"/>
        <w:spacing w:before="0" w:after="120"/>
        <w:ind w:firstLine="720"/>
        <w:rPr>
          <w:rFonts w:asciiTheme="majorHAnsi" w:hAnsiTheme="majorHAnsi"/>
          <w:szCs w:val="16"/>
          <w:lang w:val="es-CO"/>
        </w:rPr>
      </w:pPr>
      <w:r w:rsidRPr="0092611C">
        <w:rPr>
          <w:rStyle w:val="FootnoteReference"/>
          <w:rFonts w:asciiTheme="majorHAnsi" w:hAnsiTheme="majorHAnsi"/>
          <w:szCs w:val="16"/>
        </w:rPr>
        <w:footnoteRef/>
      </w:r>
      <w:r w:rsidRPr="0092611C">
        <w:rPr>
          <w:rFonts w:asciiTheme="majorHAnsi" w:hAnsiTheme="majorHAnsi"/>
          <w:szCs w:val="16"/>
          <w:lang w:val="es-CO"/>
        </w:rPr>
        <w:t xml:space="preserve"> Anexo 29. Resolución que declaró improcedente la demanda de amparo 147-98, del 11 de junio de 1998. Anexo 17 a la Petición Inicial del Peticionario de 4 de mayo de 2000 (y recibida en la misma fecha). </w:t>
      </w:r>
    </w:p>
  </w:footnote>
  <w:footnote w:id="47">
    <w:p w14:paraId="48D7D186" w14:textId="7B654440" w:rsidR="0007239A" w:rsidRPr="0092611C" w:rsidRDefault="0007239A" w:rsidP="00DF586B">
      <w:pPr>
        <w:tabs>
          <w:tab w:val="num" w:pos="720"/>
        </w:tabs>
        <w:spacing w:after="120"/>
        <w:jc w:val="both"/>
        <w:rPr>
          <w:rFonts w:asciiTheme="majorHAnsi" w:hAnsiTheme="majorHAnsi"/>
          <w:sz w:val="16"/>
          <w:szCs w:val="16"/>
          <w:lang w:val="es-CO"/>
        </w:rPr>
      </w:pPr>
      <w:r w:rsidRPr="0092611C">
        <w:rPr>
          <w:rFonts w:asciiTheme="majorHAnsi" w:hAnsiTheme="majorHAnsi"/>
          <w:sz w:val="16"/>
          <w:szCs w:val="16"/>
          <w:lang w:val="es-CO"/>
        </w:rPr>
        <w:tab/>
      </w:r>
      <w:r w:rsidRPr="0092611C">
        <w:rPr>
          <w:rStyle w:val="FootnoteReference"/>
          <w:rFonts w:asciiTheme="majorHAnsi" w:hAnsiTheme="majorHAnsi"/>
          <w:sz w:val="16"/>
          <w:szCs w:val="16"/>
        </w:rPr>
        <w:footnoteRef/>
      </w:r>
      <w:r w:rsidRPr="0092611C">
        <w:rPr>
          <w:rFonts w:asciiTheme="majorHAnsi" w:hAnsiTheme="majorHAnsi"/>
          <w:sz w:val="16"/>
          <w:szCs w:val="16"/>
          <w:lang w:val="es-CO"/>
        </w:rPr>
        <w:t xml:space="preserve"> Sobre este punto el señor Colindres, indicó que el art. 131.37 de la Constitución consagra las atribuciones de la Asamblea Legislativa y el numeral 38 le da la facultad de “ejercer las demás atribuciones que le señale la Constitución”. De esa manera, indicó que “en ningún artículo” la Constitución ha otorgado a la Asamblea la atribución de cesar o destituir a los magistrados del TSE.  El señor Colindres indicó que el derecho de nombrar no le daría a la Asamblea per se el derecho a destituir, y que prueba de ello serían los casos del Fiscal General de la República, Procurador General de la República y Consejo Nacional de la Judicatura en los que se tuvo que reformar la Constitución para darle a la Asamblea esa atribución. Anexo 30. Petición Inicial del amparo n. 231-98, del 15 de julio de 1998, pág. 4, anexo 19 a la Petición Inicial del Peticionario de 4 de mayo de 2000 (y recibida en la misma fecha).</w:t>
      </w:r>
    </w:p>
  </w:footnote>
  <w:footnote w:id="48">
    <w:p w14:paraId="1A8DD36E" w14:textId="77777777" w:rsidR="0007239A" w:rsidRPr="0092611C" w:rsidRDefault="0007239A" w:rsidP="00DF586B">
      <w:pPr>
        <w:pStyle w:val="FootnoteText"/>
        <w:spacing w:before="0" w:after="120"/>
        <w:ind w:firstLine="720"/>
        <w:rPr>
          <w:rFonts w:asciiTheme="majorHAnsi" w:hAnsiTheme="majorHAnsi"/>
          <w:szCs w:val="16"/>
        </w:rPr>
      </w:pPr>
      <w:r w:rsidRPr="0092611C">
        <w:rPr>
          <w:rStyle w:val="FootnoteReference"/>
          <w:rFonts w:asciiTheme="majorHAnsi" w:hAnsiTheme="majorHAnsi"/>
          <w:szCs w:val="16"/>
        </w:rPr>
        <w:footnoteRef/>
      </w:r>
      <w:r w:rsidRPr="0092611C">
        <w:rPr>
          <w:rFonts w:asciiTheme="majorHAnsi" w:hAnsiTheme="majorHAnsi"/>
          <w:szCs w:val="16"/>
        </w:rPr>
        <w:t xml:space="preserve"> </w:t>
      </w:r>
      <w:r w:rsidRPr="0092611C">
        <w:rPr>
          <w:rFonts w:asciiTheme="majorHAnsi" w:hAnsiTheme="majorHAnsi"/>
          <w:szCs w:val="16"/>
          <w:lang w:val="es-UY"/>
        </w:rPr>
        <w:t xml:space="preserve">El señor Colindres indicó que </w:t>
      </w:r>
      <w:r w:rsidRPr="0092611C">
        <w:rPr>
          <w:rFonts w:asciiTheme="majorHAnsi" w:hAnsiTheme="majorHAnsi"/>
          <w:szCs w:val="16"/>
          <w:lang w:val="es-CO"/>
        </w:rPr>
        <w:t xml:space="preserve">para la privación de un derecho debía existir el debido proceso y respeto al derecho de audiencia, los cuales no se le habían garantizado </w:t>
      </w:r>
      <w:r w:rsidRPr="0092611C">
        <w:rPr>
          <w:rFonts w:asciiTheme="majorHAnsi" w:hAnsiTheme="majorHAnsi"/>
          <w:szCs w:val="16"/>
          <w:lang w:val="es-UY"/>
        </w:rPr>
        <w:t xml:space="preserve">al no </w:t>
      </w:r>
      <w:r w:rsidRPr="0092611C">
        <w:rPr>
          <w:rFonts w:asciiTheme="majorHAnsi" w:hAnsiTheme="majorHAnsi"/>
          <w:szCs w:val="16"/>
          <w:lang w:val="es-CO"/>
        </w:rPr>
        <w:t xml:space="preserve">ser competente la Comisión Especial y por el hecho de haber ocultado pruebas al informar el 21 de mayo al pleno que todavía no había recibido informe del TSE, cuando dicho tribunal ya había enviado dicha información. </w:t>
      </w:r>
      <w:r w:rsidRPr="0092611C">
        <w:rPr>
          <w:rFonts w:asciiTheme="majorHAnsi" w:hAnsiTheme="majorHAnsi"/>
          <w:szCs w:val="16"/>
          <w:lang w:val="es-UY"/>
        </w:rPr>
        <w:t xml:space="preserve">El señor Colindres agregó como </w:t>
      </w:r>
      <w:r w:rsidRPr="0092611C">
        <w:rPr>
          <w:rFonts w:asciiTheme="majorHAnsi" w:hAnsiTheme="majorHAnsi"/>
          <w:szCs w:val="16"/>
          <w:lang w:val="es-CO"/>
        </w:rPr>
        <w:t>otra irregularidad que la Comisión Especial presentó su informe el 21 de mayo de 1998 al pleno legislativo y el Presidente de la Asamblea, por decisión propia lo remitió a la Comisión Política. Indicó que la Comisión Política también ocultó pruebas que había presentado, puesto que no presentó al pleno legislativo el escrito de 26 de mayo de 1998 mediante el cual el señor Colindres denunció las violaciones de las cuales consideró era objeto. Anexo 30. Petición inicial del amparo n. 231-98, del 15 de julio de 1998, pág. 7, anexo 19 a la Petición Inicial del Peticionario de 4 de mayo de 2000 (y recibida en la misma fecha).</w:t>
      </w:r>
    </w:p>
  </w:footnote>
  <w:footnote w:id="49">
    <w:p w14:paraId="4DF4DCF4" w14:textId="77777777" w:rsidR="0007239A" w:rsidRPr="0092611C" w:rsidRDefault="0007239A" w:rsidP="00DF586B">
      <w:pPr>
        <w:spacing w:after="120"/>
        <w:ind w:firstLine="720"/>
        <w:jc w:val="both"/>
        <w:rPr>
          <w:rFonts w:asciiTheme="majorHAnsi" w:hAnsiTheme="majorHAnsi"/>
          <w:sz w:val="16"/>
          <w:szCs w:val="16"/>
          <w:lang w:val="es-CO"/>
        </w:rPr>
      </w:pPr>
      <w:r w:rsidRPr="0092611C">
        <w:rPr>
          <w:rStyle w:val="FootnoteReference"/>
          <w:rFonts w:asciiTheme="majorHAnsi" w:hAnsiTheme="majorHAnsi"/>
          <w:sz w:val="16"/>
          <w:szCs w:val="16"/>
        </w:rPr>
        <w:footnoteRef/>
      </w:r>
      <w:r w:rsidRPr="0092611C">
        <w:rPr>
          <w:rFonts w:asciiTheme="majorHAnsi" w:hAnsiTheme="majorHAnsi"/>
          <w:sz w:val="16"/>
          <w:szCs w:val="16"/>
          <w:lang w:val="es-CO"/>
        </w:rPr>
        <w:t xml:space="preserve"> </w:t>
      </w:r>
      <w:r w:rsidRPr="0092611C">
        <w:rPr>
          <w:rFonts w:asciiTheme="majorHAnsi" w:hAnsiTheme="majorHAnsi"/>
          <w:sz w:val="16"/>
          <w:szCs w:val="16"/>
          <w:lang w:val="es-UY"/>
        </w:rPr>
        <w:t xml:space="preserve">El señor Colindres expuso que </w:t>
      </w:r>
      <w:r w:rsidRPr="0092611C">
        <w:rPr>
          <w:rFonts w:asciiTheme="majorHAnsi" w:hAnsiTheme="majorHAnsi"/>
          <w:sz w:val="16"/>
          <w:szCs w:val="16"/>
          <w:lang w:val="es-CO"/>
        </w:rPr>
        <w:t>en la “pieza de correspondencia” que sirvió de base para su cesación de funciones le imputaron como nueva causal para su destitución la de “desacato” que es un delito que, de acuerdo con el art. 236 de la Constitución requería iniciar antejuicio contra él, lo que no ocurrió. Anexo 30. Petición Inicial del amparo n. 231-98, del 15 de julio de 1998, anexo 19 a la Petición Inicial del Peticionario de 4 de mayo de 2000 (y recibida en la misma fecha).</w:t>
      </w:r>
    </w:p>
  </w:footnote>
  <w:footnote w:id="50">
    <w:p w14:paraId="45CD6D1C" w14:textId="77777777" w:rsidR="0007239A" w:rsidRPr="0092611C" w:rsidRDefault="0007239A" w:rsidP="00DF586B">
      <w:pPr>
        <w:pStyle w:val="FootnoteText"/>
        <w:spacing w:before="0" w:after="120"/>
        <w:ind w:firstLine="720"/>
        <w:rPr>
          <w:rFonts w:asciiTheme="majorHAnsi" w:hAnsiTheme="majorHAnsi"/>
          <w:szCs w:val="16"/>
          <w:lang w:val="es-CO"/>
        </w:rPr>
      </w:pPr>
      <w:r w:rsidRPr="0092611C">
        <w:rPr>
          <w:rStyle w:val="FootnoteReference"/>
          <w:rFonts w:asciiTheme="majorHAnsi" w:hAnsiTheme="majorHAnsi"/>
          <w:szCs w:val="16"/>
        </w:rPr>
        <w:footnoteRef/>
      </w:r>
      <w:r w:rsidRPr="0092611C">
        <w:rPr>
          <w:rFonts w:asciiTheme="majorHAnsi" w:hAnsiTheme="majorHAnsi"/>
          <w:szCs w:val="16"/>
          <w:lang w:val="es-CO"/>
        </w:rPr>
        <w:t xml:space="preserve"> Anexo 31. Escrito presentado por el fiscal de Corte en el que expresa que la Comisión Especial carece de competencias para conocer, del 11 de enero de 1999.  Anexo 20 a la Petición Inicial del Peticionario de 4 de mayo de 2000 (y recibida en la misma fecha).</w:t>
      </w:r>
    </w:p>
  </w:footnote>
  <w:footnote w:id="51">
    <w:p w14:paraId="74DF974C" w14:textId="77777777" w:rsidR="0007239A" w:rsidRPr="0092611C" w:rsidRDefault="0007239A" w:rsidP="00DF586B">
      <w:pPr>
        <w:pStyle w:val="FootnoteText"/>
        <w:spacing w:before="0" w:after="120"/>
        <w:ind w:firstLine="720"/>
        <w:rPr>
          <w:rFonts w:asciiTheme="majorHAnsi" w:hAnsiTheme="majorHAnsi"/>
          <w:szCs w:val="16"/>
          <w:lang w:val="es-CO"/>
        </w:rPr>
      </w:pPr>
      <w:r w:rsidRPr="0092611C">
        <w:rPr>
          <w:rStyle w:val="FootnoteReference"/>
          <w:rFonts w:asciiTheme="majorHAnsi" w:hAnsiTheme="majorHAnsi"/>
          <w:szCs w:val="16"/>
        </w:rPr>
        <w:footnoteRef/>
      </w:r>
      <w:r w:rsidRPr="0092611C">
        <w:rPr>
          <w:rFonts w:asciiTheme="majorHAnsi" w:hAnsiTheme="majorHAnsi"/>
          <w:szCs w:val="16"/>
          <w:lang w:val="es-CO"/>
        </w:rPr>
        <w:t xml:space="preserve"> Anexo 31. Escrito presentado por el fiscal de Corte en el que expresa que la Comisión Especial carece de competencias para conocer, del 11 de enero de 1999.  Anexo 20 a la Petición Inicial del Peticionario de 4 de mayo de 2000 (y recibida en la misma fecha).</w:t>
      </w:r>
    </w:p>
  </w:footnote>
  <w:footnote w:id="52">
    <w:p w14:paraId="40BC2D6E" w14:textId="77777777" w:rsidR="0007239A" w:rsidRPr="0092611C" w:rsidRDefault="0007239A" w:rsidP="00DF586B">
      <w:pPr>
        <w:pStyle w:val="FootnoteText"/>
        <w:spacing w:before="0" w:after="120"/>
        <w:ind w:firstLine="720"/>
        <w:rPr>
          <w:rFonts w:asciiTheme="majorHAnsi" w:hAnsiTheme="majorHAnsi"/>
          <w:szCs w:val="16"/>
        </w:rPr>
      </w:pPr>
      <w:r w:rsidRPr="0092611C">
        <w:rPr>
          <w:rStyle w:val="FootnoteReference"/>
          <w:rFonts w:asciiTheme="majorHAnsi" w:hAnsiTheme="majorHAnsi"/>
          <w:szCs w:val="16"/>
        </w:rPr>
        <w:footnoteRef/>
      </w:r>
      <w:r w:rsidRPr="0092611C">
        <w:rPr>
          <w:rFonts w:asciiTheme="majorHAnsi" w:hAnsiTheme="majorHAnsi"/>
          <w:szCs w:val="16"/>
        </w:rPr>
        <w:t xml:space="preserve"> Anexo 32. </w:t>
      </w:r>
      <w:r w:rsidRPr="0092611C">
        <w:rPr>
          <w:rFonts w:asciiTheme="majorHAnsi" w:hAnsiTheme="majorHAnsi"/>
          <w:szCs w:val="16"/>
          <w:lang w:val="es-CO"/>
        </w:rPr>
        <w:t>Resolución emitida por la Sala de lo Constitucional de la Corte Suprema, en la que se declara no ha lugar al amparo 231-98, pág.  20 Anexo 21 a la Petición Inicial del Peticionario de 4 de mayo de 2000 (y recibida en la misma fecha) y anexo al Escrito del Estado del 14 de noviembre de 2000 y recibida el 22 de noviembre del mismo año.</w:t>
      </w:r>
    </w:p>
  </w:footnote>
  <w:footnote w:id="53">
    <w:p w14:paraId="0E27A151" w14:textId="5E5CD284" w:rsidR="0007239A" w:rsidRPr="0092611C" w:rsidRDefault="0007239A" w:rsidP="00DF586B">
      <w:pPr>
        <w:pStyle w:val="FootnoteText"/>
        <w:spacing w:before="0" w:after="120"/>
        <w:ind w:firstLine="720"/>
        <w:rPr>
          <w:rFonts w:asciiTheme="majorHAnsi" w:hAnsiTheme="majorHAnsi"/>
          <w:szCs w:val="16"/>
          <w:lang w:val="es-CO"/>
        </w:rPr>
      </w:pPr>
      <w:r w:rsidRPr="0092611C">
        <w:rPr>
          <w:rStyle w:val="FootnoteReference"/>
          <w:rFonts w:asciiTheme="majorHAnsi" w:hAnsiTheme="majorHAnsi"/>
          <w:szCs w:val="16"/>
        </w:rPr>
        <w:footnoteRef/>
      </w:r>
      <w:r w:rsidRPr="0092611C">
        <w:rPr>
          <w:rFonts w:asciiTheme="majorHAnsi" w:hAnsiTheme="majorHAnsi"/>
          <w:szCs w:val="16"/>
          <w:lang w:val="es-CO"/>
        </w:rPr>
        <w:t xml:space="preserve"> Anexo 32. Resolución emitida por la Sala de lo Constitucional de la Corte Suprema, en la que se declara no ha lugar al amparo 231-98, págs. 34 y 35. Anexo 21 a la Petición Inicial del Peticionario de 4 de mayo de 2000 (y recibida en la misma fecha).</w:t>
      </w:r>
    </w:p>
  </w:footnote>
  <w:footnote w:id="54">
    <w:p w14:paraId="2164576D" w14:textId="77777777" w:rsidR="0007239A" w:rsidRPr="0092611C" w:rsidRDefault="0007239A" w:rsidP="00DF586B">
      <w:pPr>
        <w:pStyle w:val="FootnoteText"/>
        <w:spacing w:before="0" w:after="120"/>
        <w:ind w:firstLine="720"/>
        <w:rPr>
          <w:rFonts w:asciiTheme="majorHAnsi" w:hAnsiTheme="majorHAnsi"/>
          <w:szCs w:val="16"/>
          <w:lang w:val="es-MX"/>
        </w:rPr>
      </w:pPr>
      <w:r w:rsidRPr="0092611C">
        <w:rPr>
          <w:rStyle w:val="FootnoteReference"/>
          <w:rFonts w:asciiTheme="majorHAnsi" w:hAnsiTheme="majorHAnsi"/>
          <w:szCs w:val="16"/>
        </w:rPr>
        <w:footnoteRef/>
      </w:r>
      <w:r w:rsidRPr="0092611C">
        <w:rPr>
          <w:rFonts w:asciiTheme="majorHAnsi" w:hAnsiTheme="majorHAnsi"/>
          <w:szCs w:val="16"/>
        </w:rPr>
        <w:t xml:space="preserve"> Anexo 32. </w:t>
      </w:r>
      <w:r w:rsidRPr="0092611C">
        <w:rPr>
          <w:rFonts w:asciiTheme="majorHAnsi" w:hAnsiTheme="majorHAnsi"/>
          <w:szCs w:val="16"/>
          <w:lang w:val="es-CO"/>
        </w:rPr>
        <w:t>Resolución emitida por la Sala de lo Constitucional de la Corte Suprema, en la que se declara no ha lugar al amparo 231-98, pág.  36. Anexo 21 a la Petición Inicial del Peticionario de 4 de mayo de 2000 (y recibida en la misma fecha) y anexo al Escrito del Estado del 14 de noviembre de 2000 y recibida el 22 de noviembre del mismo año.</w:t>
      </w:r>
    </w:p>
  </w:footnote>
  <w:footnote w:id="55">
    <w:p w14:paraId="217AB084" w14:textId="77777777" w:rsidR="0007239A" w:rsidRPr="0092611C" w:rsidRDefault="0007239A" w:rsidP="00DF586B">
      <w:pPr>
        <w:pStyle w:val="FootnoteText"/>
        <w:spacing w:before="0" w:after="120"/>
        <w:ind w:firstLine="720"/>
        <w:rPr>
          <w:rFonts w:asciiTheme="majorHAnsi" w:hAnsiTheme="majorHAnsi"/>
          <w:szCs w:val="16"/>
          <w:lang w:val="es-MX"/>
        </w:rPr>
      </w:pPr>
      <w:r w:rsidRPr="0092611C">
        <w:rPr>
          <w:rStyle w:val="FootnoteReference"/>
          <w:rFonts w:asciiTheme="majorHAnsi" w:hAnsiTheme="majorHAnsi"/>
          <w:szCs w:val="16"/>
        </w:rPr>
        <w:footnoteRef/>
      </w:r>
      <w:r w:rsidRPr="0092611C">
        <w:rPr>
          <w:rFonts w:asciiTheme="majorHAnsi" w:hAnsiTheme="majorHAnsi"/>
          <w:szCs w:val="16"/>
        </w:rPr>
        <w:t xml:space="preserve"> Anexo 32. </w:t>
      </w:r>
      <w:r w:rsidRPr="0092611C">
        <w:rPr>
          <w:rFonts w:asciiTheme="majorHAnsi" w:hAnsiTheme="majorHAnsi"/>
          <w:szCs w:val="16"/>
          <w:lang w:val="es-CO"/>
        </w:rPr>
        <w:t>Resolución emitida por la Sala de lo Constitucional de la Corte Suprema, en la que se declara no ha lugar al amparo 231-98, pág.  36. Anexo 21 a la Petición Inicial del Peticionario de 4 de mayo de 2000 (y recibida en la misma fecha) y anexo al Escrito del Estado del 14 de noviembre de 2000 y recibida el 22 de noviembre del mismo año.</w:t>
      </w:r>
    </w:p>
  </w:footnote>
  <w:footnote w:id="56">
    <w:p w14:paraId="7AD2691A" w14:textId="77777777" w:rsidR="0007239A" w:rsidRPr="0092611C" w:rsidRDefault="0007239A" w:rsidP="00DF586B">
      <w:pPr>
        <w:pStyle w:val="FootnoteText"/>
        <w:spacing w:before="0" w:after="120"/>
        <w:ind w:firstLine="720"/>
        <w:rPr>
          <w:rFonts w:asciiTheme="majorHAnsi" w:hAnsiTheme="majorHAnsi"/>
          <w:szCs w:val="16"/>
          <w:lang w:val="es-CO"/>
        </w:rPr>
      </w:pPr>
      <w:r w:rsidRPr="0092611C">
        <w:rPr>
          <w:rStyle w:val="FootnoteReference"/>
          <w:rFonts w:asciiTheme="majorHAnsi" w:hAnsiTheme="majorHAnsi"/>
          <w:szCs w:val="16"/>
        </w:rPr>
        <w:footnoteRef/>
      </w:r>
      <w:r w:rsidRPr="0092611C">
        <w:rPr>
          <w:rFonts w:asciiTheme="majorHAnsi" w:hAnsiTheme="majorHAnsi"/>
          <w:szCs w:val="16"/>
          <w:lang w:val="pt-BR"/>
        </w:rPr>
        <w:t xml:space="preserve"> </w:t>
      </w:r>
      <w:r w:rsidRPr="0092611C">
        <w:rPr>
          <w:rFonts w:asciiTheme="majorHAnsi" w:hAnsiTheme="majorHAnsi"/>
          <w:szCs w:val="16"/>
          <w:lang w:val="pt-BR"/>
        </w:rPr>
        <w:t xml:space="preserve">Anexo 33. Demanda de Amparo n. 588-98, pág. 3. </w:t>
      </w:r>
      <w:r w:rsidRPr="0092611C">
        <w:rPr>
          <w:rFonts w:asciiTheme="majorHAnsi" w:hAnsiTheme="majorHAnsi"/>
          <w:szCs w:val="16"/>
          <w:lang w:val="es-CO"/>
        </w:rPr>
        <w:t>Anexo 22 a la Petición Inicial del Peticionario de 4 de mayo de 2000 (y recibida en la misma fecha).</w:t>
      </w:r>
    </w:p>
  </w:footnote>
  <w:footnote w:id="57">
    <w:p w14:paraId="751710A4" w14:textId="77777777" w:rsidR="0007239A" w:rsidRPr="0092611C" w:rsidRDefault="0007239A" w:rsidP="00DF586B">
      <w:pPr>
        <w:spacing w:after="120"/>
        <w:ind w:firstLine="720"/>
        <w:jc w:val="both"/>
        <w:rPr>
          <w:rFonts w:asciiTheme="majorHAnsi" w:hAnsiTheme="majorHAnsi"/>
          <w:sz w:val="16"/>
          <w:szCs w:val="16"/>
          <w:lang w:val="es-CO"/>
        </w:rPr>
      </w:pPr>
      <w:r w:rsidRPr="0092611C">
        <w:rPr>
          <w:rStyle w:val="FootnoteReference"/>
          <w:rFonts w:asciiTheme="majorHAnsi" w:hAnsiTheme="majorHAnsi"/>
          <w:sz w:val="16"/>
          <w:szCs w:val="16"/>
        </w:rPr>
        <w:footnoteRef/>
      </w:r>
      <w:r w:rsidRPr="0092611C">
        <w:rPr>
          <w:rFonts w:asciiTheme="majorHAnsi" w:hAnsiTheme="majorHAnsi"/>
          <w:sz w:val="16"/>
          <w:szCs w:val="16"/>
          <w:lang w:val="es-CO"/>
        </w:rPr>
        <w:t xml:space="preserve"> Según la resolución, el magistrado José Enrique </w:t>
      </w:r>
      <w:proofErr w:type="spellStart"/>
      <w:r w:rsidRPr="0092611C">
        <w:rPr>
          <w:rFonts w:asciiTheme="majorHAnsi" w:hAnsiTheme="majorHAnsi"/>
          <w:sz w:val="16"/>
          <w:szCs w:val="16"/>
          <w:lang w:val="es-CO"/>
        </w:rPr>
        <w:t>Argumedo</w:t>
      </w:r>
      <w:proofErr w:type="spellEnd"/>
      <w:r w:rsidRPr="0092611C">
        <w:rPr>
          <w:rFonts w:asciiTheme="majorHAnsi" w:hAnsiTheme="majorHAnsi"/>
          <w:sz w:val="16"/>
          <w:szCs w:val="16"/>
          <w:lang w:val="es-CO"/>
        </w:rPr>
        <w:t xml:space="preserve"> votó nuevamente en contra pues consideró que los hechos de que las Comisiones Especial y Políticas habían ocultado pruebas al pleno legislativo, e incluso que la primera no había considerado las peticiones de su escrito en la audiencia, no constituirían asuntos de “mera legalidad”.  Asimismo, señaló que no se habían llevado a cabo ninguna actividad sobre la prueba, a pesar de que existía, puesto que se le ocultó al pleno. El magistrado Mario Solano Ramírez también se estuvo en contra del contenido de dicha resolución y añadió que la destitución puesta en práctica por la Asamblea reflejaría un exceso de discrecionalidad lindante en la arbitrariedad por parte de las decisiones de la misma. Anexo 34. Resolución de improcedencia de la demanda de amparo n. 588-98, pág.6. Anexo 23 a la Petición Inicial del Peticionario de 4 de mayo de 2000 (y recibida en la misma fecha) y anexo al Escrito del Estado del 14 de noviembre de 2000 y recibida el 22 de noviembre del mismo año.</w:t>
      </w:r>
    </w:p>
  </w:footnote>
  <w:footnote w:id="58">
    <w:p w14:paraId="10E649B5" w14:textId="77777777" w:rsidR="0007239A" w:rsidRPr="0092611C" w:rsidRDefault="0007239A" w:rsidP="00DF586B">
      <w:pPr>
        <w:pStyle w:val="FootnoteText"/>
        <w:spacing w:before="0" w:after="120"/>
        <w:ind w:firstLine="720"/>
        <w:rPr>
          <w:rFonts w:asciiTheme="majorHAnsi" w:hAnsiTheme="majorHAnsi"/>
          <w:szCs w:val="16"/>
          <w:lang w:val="es-CO"/>
        </w:rPr>
      </w:pPr>
      <w:r w:rsidRPr="0092611C">
        <w:rPr>
          <w:rStyle w:val="FootnoteReference"/>
          <w:rFonts w:asciiTheme="majorHAnsi" w:hAnsiTheme="majorHAnsi"/>
          <w:szCs w:val="16"/>
        </w:rPr>
        <w:footnoteRef/>
      </w:r>
      <w:r w:rsidRPr="0092611C">
        <w:rPr>
          <w:rFonts w:asciiTheme="majorHAnsi" w:hAnsiTheme="majorHAnsi"/>
          <w:szCs w:val="16"/>
          <w:lang w:val="es-CO"/>
        </w:rPr>
        <w:t xml:space="preserve"> Anexo 34. Resolución de improcedencia de la demanda de amparo n. 588-98, pág. 4. Anexo 23 a la Petición Inicial del Peticionario de 4 de mayo de 2000 (y recibida en la misma fecha) y anexo al Escrito del Estado del 14 de noviembre de 2000 y recibida el 22 de noviembre del mismo año.</w:t>
      </w:r>
    </w:p>
  </w:footnote>
  <w:footnote w:id="59">
    <w:p w14:paraId="6DA66E68" w14:textId="77777777" w:rsidR="0007239A" w:rsidRPr="0092611C" w:rsidRDefault="0007239A" w:rsidP="00DF586B">
      <w:pPr>
        <w:pStyle w:val="FootnoteText"/>
        <w:spacing w:before="0" w:after="120"/>
        <w:ind w:firstLine="720"/>
        <w:rPr>
          <w:rFonts w:asciiTheme="majorHAnsi" w:hAnsiTheme="majorHAnsi"/>
          <w:szCs w:val="16"/>
          <w:lang w:val="es-CO"/>
        </w:rPr>
      </w:pPr>
      <w:r w:rsidRPr="0092611C">
        <w:rPr>
          <w:rStyle w:val="FootnoteReference"/>
          <w:rFonts w:asciiTheme="majorHAnsi" w:hAnsiTheme="majorHAnsi"/>
          <w:szCs w:val="16"/>
        </w:rPr>
        <w:footnoteRef/>
      </w:r>
      <w:r w:rsidRPr="0092611C">
        <w:rPr>
          <w:rFonts w:asciiTheme="majorHAnsi" w:hAnsiTheme="majorHAnsi"/>
          <w:szCs w:val="16"/>
          <w:lang w:val="es-CO"/>
        </w:rPr>
        <w:t xml:space="preserve"> Anexo 35. Demanda Civil por Daños y perjuicios, pág. 1. Anexo a la Petición Inicial del Peticionario de 4 de mayo de 2000 (y recibida en la misma fecha).</w:t>
      </w:r>
    </w:p>
  </w:footnote>
  <w:footnote w:id="60">
    <w:p w14:paraId="24E67AD4" w14:textId="77777777" w:rsidR="0007239A" w:rsidRPr="0092611C" w:rsidRDefault="0007239A" w:rsidP="00DF586B">
      <w:pPr>
        <w:pStyle w:val="FootnoteText"/>
        <w:spacing w:before="0" w:after="120"/>
        <w:ind w:firstLine="720"/>
        <w:rPr>
          <w:rFonts w:asciiTheme="majorHAnsi" w:hAnsiTheme="majorHAnsi"/>
          <w:szCs w:val="16"/>
          <w:lang w:val="es-CO"/>
        </w:rPr>
      </w:pPr>
      <w:r w:rsidRPr="0092611C">
        <w:rPr>
          <w:rStyle w:val="FootnoteReference"/>
          <w:rFonts w:asciiTheme="majorHAnsi" w:hAnsiTheme="majorHAnsi"/>
          <w:szCs w:val="16"/>
        </w:rPr>
        <w:footnoteRef/>
      </w:r>
      <w:r w:rsidRPr="0092611C">
        <w:rPr>
          <w:rFonts w:asciiTheme="majorHAnsi" w:hAnsiTheme="majorHAnsi"/>
          <w:szCs w:val="16"/>
          <w:lang w:val="es-CO"/>
        </w:rPr>
        <w:t xml:space="preserve"> Anexo 35. Demanda Civil por Daños y perjuicios, pág. 6. Anexo 6 a la Petición Inicial del Peticionario de 4 de mayo de 2000 (y recibida en la misma fecha).</w:t>
      </w:r>
    </w:p>
  </w:footnote>
  <w:footnote w:id="61">
    <w:p w14:paraId="3902D1FC" w14:textId="77777777" w:rsidR="0007239A" w:rsidRPr="0092611C" w:rsidRDefault="0007239A" w:rsidP="00DF586B">
      <w:pPr>
        <w:pStyle w:val="FootnoteText"/>
        <w:spacing w:before="0" w:after="120"/>
        <w:ind w:firstLine="720"/>
        <w:rPr>
          <w:rFonts w:asciiTheme="majorHAnsi" w:hAnsiTheme="majorHAnsi"/>
          <w:szCs w:val="16"/>
          <w:lang w:val="es-CO"/>
        </w:rPr>
      </w:pPr>
      <w:r w:rsidRPr="0092611C">
        <w:rPr>
          <w:rStyle w:val="FootnoteReference"/>
          <w:rFonts w:asciiTheme="majorHAnsi" w:hAnsiTheme="majorHAnsi"/>
          <w:szCs w:val="16"/>
        </w:rPr>
        <w:footnoteRef/>
      </w:r>
      <w:r w:rsidRPr="0092611C">
        <w:rPr>
          <w:rFonts w:asciiTheme="majorHAnsi" w:hAnsiTheme="majorHAnsi"/>
          <w:szCs w:val="16"/>
          <w:lang w:val="es-CO"/>
        </w:rPr>
        <w:t xml:space="preserve"> Anexo 36. Resolución del recurso de casación civil  n. 22-C-2001, pág.  26. Anexo por el Peticionario el 14 de marzo de 2012 (y recibida en la misma fecha).</w:t>
      </w:r>
    </w:p>
  </w:footnote>
  <w:footnote w:id="62">
    <w:p w14:paraId="3C3E8883" w14:textId="77777777" w:rsidR="0007239A" w:rsidRPr="0092611C" w:rsidRDefault="0007239A" w:rsidP="00DF586B">
      <w:pPr>
        <w:pStyle w:val="FootnoteText"/>
        <w:spacing w:before="0" w:after="120"/>
        <w:ind w:firstLine="720"/>
        <w:rPr>
          <w:rFonts w:asciiTheme="majorHAnsi" w:hAnsiTheme="majorHAnsi"/>
          <w:szCs w:val="16"/>
          <w:lang w:val="es-CO"/>
        </w:rPr>
      </w:pPr>
      <w:r w:rsidRPr="0092611C">
        <w:rPr>
          <w:rStyle w:val="FootnoteReference"/>
          <w:rFonts w:asciiTheme="majorHAnsi" w:hAnsiTheme="majorHAnsi"/>
          <w:szCs w:val="16"/>
        </w:rPr>
        <w:footnoteRef/>
      </w:r>
      <w:r w:rsidRPr="0092611C">
        <w:rPr>
          <w:rFonts w:asciiTheme="majorHAnsi" w:hAnsiTheme="majorHAnsi"/>
          <w:szCs w:val="16"/>
          <w:lang w:val="es-CO"/>
        </w:rPr>
        <w:t xml:space="preserve"> Informe del Estado de 18 de julio de 2012. Anexo a la nota del Estado No. 161/2012 recibida el 19 de julio de 2012.</w:t>
      </w:r>
    </w:p>
  </w:footnote>
  <w:footnote w:id="63">
    <w:p w14:paraId="4607ECDF" w14:textId="77777777" w:rsidR="0007239A" w:rsidRPr="0092611C" w:rsidRDefault="0007239A" w:rsidP="00DF586B">
      <w:pPr>
        <w:pStyle w:val="FootnoteText"/>
        <w:spacing w:before="0" w:after="120"/>
        <w:ind w:firstLine="720"/>
        <w:rPr>
          <w:rFonts w:asciiTheme="majorHAnsi" w:hAnsiTheme="majorHAnsi"/>
          <w:szCs w:val="16"/>
          <w:lang w:val="es-MX"/>
        </w:rPr>
      </w:pPr>
      <w:r w:rsidRPr="0092611C">
        <w:rPr>
          <w:rStyle w:val="FootnoteReference"/>
          <w:rFonts w:asciiTheme="majorHAnsi" w:hAnsiTheme="majorHAnsi"/>
          <w:szCs w:val="16"/>
        </w:rPr>
        <w:footnoteRef/>
      </w:r>
      <w:r w:rsidRPr="0092611C">
        <w:rPr>
          <w:rFonts w:asciiTheme="majorHAnsi" w:hAnsiTheme="majorHAnsi"/>
          <w:szCs w:val="16"/>
        </w:rPr>
        <w:t xml:space="preserve"> El artículo 8.</w:t>
      </w:r>
      <w:r w:rsidRPr="0092611C">
        <w:rPr>
          <w:rFonts w:asciiTheme="majorHAnsi" w:hAnsiTheme="majorHAnsi" w:cs="Tahoma"/>
          <w:color w:val="000000"/>
          <w:szCs w:val="16"/>
        </w:rPr>
        <w:t xml:space="preserve">1 de la Convención Americana establece: </w:t>
      </w:r>
      <w:r w:rsidRPr="0092611C">
        <w:rPr>
          <w:rFonts w:asciiTheme="majorHAnsi" w:hAnsiTheme="majorHAnsi" w:cs="Tahoma"/>
          <w:color w:val="000000"/>
          <w:szCs w:val="16"/>
          <w:lang w:val="es-MX"/>
        </w:rPr>
        <w:t>“[</w:t>
      </w:r>
      <w:r w:rsidRPr="0092611C">
        <w:rPr>
          <w:rFonts w:asciiTheme="majorHAnsi" w:hAnsiTheme="majorHAnsi" w:cs="Tahoma"/>
          <w:color w:val="000000"/>
          <w:szCs w:val="16"/>
        </w:rPr>
        <w:t>t</w:t>
      </w:r>
      <w:r w:rsidRPr="0092611C">
        <w:rPr>
          <w:rFonts w:asciiTheme="majorHAnsi" w:hAnsiTheme="majorHAnsi" w:cs="Tahoma"/>
          <w:color w:val="000000"/>
          <w:szCs w:val="16"/>
          <w:lang w:val="es-MX"/>
        </w:rPr>
        <w:t>]</w:t>
      </w:r>
      <w:proofErr w:type="spellStart"/>
      <w:r w:rsidRPr="0092611C">
        <w:rPr>
          <w:rFonts w:asciiTheme="majorHAnsi" w:hAnsiTheme="majorHAnsi" w:cs="Tahoma"/>
          <w:color w:val="000000"/>
          <w:szCs w:val="16"/>
        </w:rPr>
        <w:t>oda</w:t>
      </w:r>
      <w:proofErr w:type="spellEnd"/>
      <w:r w:rsidRPr="0092611C">
        <w:rPr>
          <w:rFonts w:asciiTheme="majorHAnsi" w:hAnsiTheme="majorHAnsi" w:cs="Tahoma"/>
          <w:color w:val="000000"/>
          <w:szCs w:val="16"/>
        </w:rPr>
        <w:t xml:space="preserve">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footnote>
  <w:footnote w:id="64">
    <w:p w14:paraId="3916F457" w14:textId="46BB36A9" w:rsidR="0007239A" w:rsidRPr="0092611C" w:rsidRDefault="0007239A" w:rsidP="00DF586B">
      <w:pPr>
        <w:pStyle w:val="NormalWeb"/>
        <w:spacing w:before="0" w:beforeAutospacing="0" w:after="120" w:afterAutospacing="0"/>
        <w:ind w:right="75" w:firstLine="720"/>
        <w:jc w:val="both"/>
        <w:rPr>
          <w:rFonts w:asciiTheme="majorHAnsi" w:eastAsia="Times New Roman" w:hAnsiTheme="majorHAnsi" w:cs="Tahoma"/>
          <w:color w:val="000000"/>
          <w:sz w:val="16"/>
          <w:szCs w:val="16"/>
          <w:lang w:val="es-MX"/>
        </w:rPr>
      </w:pPr>
      <w:r w:rsidRPr="0092611C">
        <w:rPr>
          <w:rStyle w:val="FootnoteReference"/>
          <w:rFonts w:asciiTheme="majorHAnsi" w:hAnsiTheme="majorHAnsi"/>
          <w:sz w:val="16"/>
          <w:szCs w:val="16"/>
        </w:rPr>
        <w:footnoteRef/>
      </w:r>
      <w:r w:rsidRPr="0092611C">
        <w:rPr>
          <w:rFonts w:asciiTheme="majorHAnsi" w:hAnsiTheme="majorHAnsi"/>
          <w:sz w:val="16"/>
          <w:szCs w:val="16"/>
          <w:lang w:val="es-MX"/>
        </w:rPr>
        <w:t xml:space="preserve"> El artículo 8.2 de la Convención Americana establece en lo relevante que: </w:t>
      </w:r>
      <w:r w:rsidRPr="0092611C">
        <w:rPr>
          <w:rFonts w:asciiTheme="majorHAnsi" w:eastAsia="Times New Roman" w:hAnsiTheme="majorHAnsi" w:cs="Tahoma"/>
          <w:color w:val="000000"/>
          <w:sz w:val="16"/>
          <w:szCs w:val="16"/>
          <w:lang w:val="es-MX"/>
        </w:rPr>
        <w:t xml:space="preserve">“[t]oda persona inculpada de delito tiene derecho a que se presuma su inocencia mientras no se establezca legalmente su culpabilidad.  Durante el proceso, toda persona tiene derecho, en plena igualdad, a las siguientes garantías mínimas: [….]  b) comunicación previa y detallada al inculpado de la acusación formulada; c) concesión al inculpado del tiempo y de los medios adecuados para la preparación de su defensa; [….] h) derecho de recurrir del fallo ante juez o tribunal superior...”. </w:t>
      </w:r>
    </w:p>
  </w:footnote>
  <w:footnote w:id="65">
    <w:p w14:paraId="40A87277" w14:textId="77777777" w:rsidR="0007239A" w:rsidRPr="0092611C" w:rsidRDefault="0007239A" w:rsidP="00DF586B">
      <w:pPr>
        <w:pStyle w:val="FootnoteText"/>
        <w:spacing w:before="0" w:after="120"/>
        <w:ind w:firstLine="75"/>
        <w:rPr>
          <w:rFonts w:asciiTheme="majorHAnsi" w:hAnsiTheme="majorHAnsi"/>
          <w:szCs w:val="16"/>
          <w:lang w:val="es-MX"/>
        </w:rPr>
      </w:pPr>
      <w:r w:rsidRPr="0092611C">
        <w:rPr>
          <w:rStyle w:val="FootnoteReference"/>
          <w:rFonts w:asciiTheme="majorHAnsi" w:hAnsiTheme="majorHAnsi"/>
          <w:szCs w:val="16"/>
        </w:rPr>
        <w:footnoteRef/>
      </w:r>
      <w:r w:rsidRPr="0092611C">
        <w:rPr>
          <w:rFonts w:asciiTheme="majorHAnsi" w:hAnsiTheme="majorHAnsi"/>
          <w:szCs w:val="16"/>
        </w:rPr>
        <w:t xml:space="preserve"> </w:t>
      </w:r>
      <w:r w:rsidRPr="0092611C">
        <w:rPr>
          <w:rFonts w:asciiTheme="majorHAnsi" w:hAnsiTheme="majorHAnsi"/>
          <w:szCs w:val="16"/>
          <w:lang w:val="es-MX"/>
        </w:rPr>
        <w:t>El artículo 9 de la Convención Americana establece que: “[n]</w:t>
      </w:r>
      <w:proofErr w:type="spellStart"/>
      <w:r w:rsidRPr="0092611C">
        <w:rPr>
          <w:rFonts w:asciiTheme="majorHAnsi" w:hAnsiTheme="majorHAnsi" w:cs="Tahoma"/>
          <w:color w:val="000000"/>
          <w:szCs w:val="16"/>
        </w:rPr>
        <w:t>adie</w:t>
      </w:r>
      <w:proofErr w:type="spellEnd"/>
      <w:r w:rsidRPr="0092611C">
        <w:rPr>
          <w:rFonts w:asciiTheme="majorHAnsi" w:hAnsiTheme="majorHAnsi" w:cs="Tahoma"/>
          <w:color w:val="000000"/>
          <w:szCs w:val="16"/>
        </w:rPr>
        <w:t xml:space="preserve"> puede ser condenado por acciones u omisiones que en el momento de cometerse no fueran delictivos según el derecho aplicable.  Tampoco se puede imponer pena más grave que la aplicable en el momento de la comisión del delito.  Si con posterioridad a la comisión del delito la ley dispone la imposición de una pena más leve, el delincuente se beneficiará de ello”.</w:t>
      </w:r>
    </w:p>
  </w:footnote>
  <w:footnote w:id="66">
    <w:p w14:paraId="193C164D" w14:textId="77777777" w:rsidR="0007239A" w:rsidRPr="0092611C" w:rsidRDefault="0007239A" w:rsidP="00DF586B">
      <w:pPr>
        <w:pStyle w:val="NormalWeb"/>
        <w:spacing w:before="0" w:beforeAutospacing="0" w:after="120" w:afterAutospacing="0"/>
        <w:ind w:left="75" w:right="75" w:firstLine="645"/>
        <w:jc w:val="both"/>
        <w:rPr>
          <w:rFonts w:asciiTheme="majorHAnsi" w:eastAsia="Times New Roman" w:hAnsiTheme="majorHAnsi" w:cs="Tahoma"/>
          <w:color w:val="000000"/>
          <w:sz w:val="16"/>
          <w:szCs w:val="16"/>
          <w:lang w:val="es-MX"/>
        </w:rPr>
      </w:pPr>
      <w:r w:rsidRPr="0092611C">
        <w:rPr>
          <w:rStyle w:val="FootnoteReference"/>
          <w:rFonts w:asciiTheme="majorHAnsi" w:hAnsiTheme="majorHAnsi"/>
          <w:sz w:val="16"/>
          <w:szCs w:val="16"/>
        </w:rPr>
        <w:footnoteRef/>
      </w:r>
      <w:r w:rsidRPr="0092611C">
        <w:rPr>
          <w:rFonts w:asciiTheme="majorHAnsi" w:eastAsia="Times New Roman" w:hAnsiTheme="majorHAnsi" w:cs="Tahoma"/>
          <w:color w:val="000000"/>
          <w:sz w:val="16"/>
          <w:szCs w:val="16"/>
          <w:lang w:val="es-MX"/>
        </w:rPr>
        <w:t>El artículo 23.1c) establece que: “[t]</w:t>
      </w:r>
      <w:proofErr w:type="spellStart"/>
      <w:r w:rsidRPr="0092611C">
        <w:rPr>
          <w:rFonts w:asciiTheme="majorHAnsi" w:eastAsia="Times New Roman" w:hAnsiTheme="majorHAnsi" w:cs="Tahoma"/>
          <w:color w:val="000000"/>
          <w:sz w:val="16"/>
          <w:szCs w:val="16"/>
          <w:lang w:val="es-MX"/>
        </w:rPr>
        <w:t>odos</w:t>
      </w:r>
      <w:proofErr w:type="spellEnd"/>
      <w:r w:rsidRPr="0092611C">
        <w:rPr>
          <w:rFonts w:asciiTheme="majorHAnsi" w:eastAsia="Times New Roman" w:hAnsiTheme="majorHAnsi" w:cs="Tahoma"/>
          <w:color w:val="000000"/>
          <w:sz w:val="16"/>
          <w:szCs w:val="16"/>
          <w:lang w:val="es-MX"/>
        </w:rPr>
        <w:t xml:space="preserve"> los ciudadanos deben gozar de los siguientes derechos y oportunidades: […] c) de tener acceso, en condiciones generales de igualdad, a las funciones públicas de su país”.</w:t>
      </w:r>
    </w:p>
  </w:footnote>
  <w:footnote w:id="67">
    <w:p w14:paraId="31303DFF" w14:textId="77777777" w:rsidR="0007239A" w:rsidRPr="0092611C" w:rsidRDefault="0007239A" w:rsidP="00DF586B">
      <w:pPr>
        <w:pStyle w:val="FootnoteText"/>
        <w:spacing w:before="0" w:after="120"/>
        <w:ind w:firstLine="720"/>
        <w:rPr>
          <w:rFonts w:asciiTheme="majorHAnsi" w:hAnsiTheme="majorHAnsi"/>
          <w:szCs w:val="16"/>
          <w:lang w:val="es-MX"/>
        </w:rPr>
      </w:pPr>
      <w:r w:rsidRPr="0092611C">
        <w:rPr>
          <w:rStyle w:val="FootnoteReference"/>
          <w:rFonts w:asciiTheme="majorHAnsi" w:hAnsiTheme="majorHAnsi"/>
          <w:szCs w:val="16"/>
        </w:rPr>
        <w:footnoteRef/>
      </w:r>
      <w:r w:rsidRPr="0092611C">
        <w:rPr>
          <w:rFonts w:asciiTheme="majorHAnsi" w:hAnsiTheme="majorHAnsi"/>
          <w:szCs w:val="16"/>
        </w:rPr>
        <w:t xml:space="preserve"> </w:t>
      </w:r>
      <w:r w:rsidRPr="0092611C">
        <w:rPr>
          <w:rFonts w:asciiTheme="majorHAnsi" w:hAnsiTheme="majorHAnsi"/>
          <w:szCs w:val="16"/>
          <w:lang w:val="es-MX"/>
        </w:rPr>
        <w:t xml:space="preserve">El artículo 25.1 de la Convención Americana establece: </w:t>
      </w:r>
      <w:r w:rsidRPr="0092611C">
        <w:rPr>
          <w:rFonts w:asciiTheme="majorHAnsi" w:hAnsiTheme="majorHAnsi" w:cs="Tahoma"/>
          <w:color w:val="000000"/>
          <w:szCs w:val="16"/>
        </w:rPr>
        <w:t>“[t]oda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footnote>
  <w:footnote w:id="68">
    <w:p w14:paraId="22C7380E" w14:textId="6AE60F7C" w:rsidR="0007239A" w:rsidRPr="0092611C" w:rsidRDefault="0007239A" w:rsidP="00DF586B">
      <w:pPr>
        <w:spacing w:after="120"/>
        <w:ind w:firstLine="720"/>
        <w:jc w:val="both"/>
        <w:rPr>
          <w:rFonts w:asciiTheme="majorHAnsi" w:eastAsia="Times New Roman" w:hAnsiTheme="majorHAnsi"/>
          <w:sz w:val="16"/>
          <w:szCs w:val="16"/>
          <w:lang w:val="es-MX"/>
        </w:rPr>
      </w:pPr>
      <w:r w:rsidRPr="0092611C">
        <w:rPr>
          <w:rStyle w:val="FootnoteReference"/>
          <w:rFonts w:asciiTheme="majorHAnsi" w:hAnsiTheme="majorHAnsi"/>
          <w:sz w:val="16"/>
          <w:szCs w:val="16"/>
        </w:rPr>
        <w:footnoteRef/>
      </w:r>
      <w:r w:rsidRPr="0092611C">
        <w:rPr>
          <w:rFonts w:asciiTheme="majorHAnsi" w:hAnsiTheme="majorHAnsi"/>
          <w:sz w:val="16"/>
          <w:szCs w:val="16"/>
          <w:lang w:val="es-CO"/>
        </w:rPr>
        <w:t xml:space="preserve"> CIDH, Informe de Fondo 12. 816, Informe No. 103/13, 5 de noviembre de 2013, párr. 112. Citando </w:t>
      </w:r>
      <w:r w:rsidRPr="0092611C">
        <w:rPr>
          <w:rFonts w:asciiTheme="majorHAnsi" w:eastAsia="Times New Roman" w:hAnsiTheme="majorHAnsi"/>
          <w:sz w:val="16"/>
          <w:szCs w:val="16"/>
          <w:lang w:val="es-MX"/>
        </w:rPr>
        <w:t>Ver, Naciones Unidas. Comité de Derechos Humanos. Observación General No. 32, CCPR/C/GC/32, 23 de agosto de 2007, párr.19. Ver en este sentido Cfr. El Hábeas Corpus Bajo Suspensión de Garantías (arts. 27.2, 25.1 y 7.6 Convención Americana sobre Derechos Humanos). Opinión Consultiva OC-8/87 del 30 de enero de 1987. Serie A No. 8, párr. 30.</w:t>
      </w:r>
      <w:r w:rsidRPr="0092611C">
        <w:rPr>
          <w:rFonts w:asciiTheme="majorHAnsi" w:hAnsiTheme="majorHAnsi"/>
          <w:sz w:val="16"/>
          <w:szCs w:val="16"/>
          <w:lang w:val="es-MX"/>
        </w:rPr>
        <w:t xml:space="preserve"> Ver también, CIDH, Democracia y Derechos Humanos en Venezuela, III. La Separación e independencia de los poderes públicos, 30 de diciembre de 2009. párr. 80.</w:t>
      </w:r>
    </w:p>
  </w:footnote>
  <w:footnote w:id="69">
    <w:p w14:paraId="4FBE3173" w14:textId="77777777" w:rsidR="0007239A" w:rsidRPr="0092611C" w:rsidRDefault="0007239A" w:rsidP="00DF586B">
      <w:pPr>
        <w:pStyle w:val="FootnoteText"/>
        <w:spacing w:before="0" w:after="120"/>
        <w:ind w:firstLine="720"/>
        <w:rPr>
          <w:rFonts w:asciiTheme="majorHAnsi" w:hAnsiTheme="majorHAnsi"/>
          <w:szCs w:val="16"/>
          <w:lang w:val="es-CO"/>
        </w:rPr>
      </w:pPr>
      <w:r w:rsidRPr="0092611C">
        <w:rPr>
          <w:rFonts w:asciiTheme="majorHAnsi" w:hAnsiTheme="majorHAnsi"/>
          <w:szCs w:val="16"/>
          <w:vertAlign w:val="superscript"/>
          <w:lang w:val="es-CO"/>
        </w:rPr>
        <w:footnoteRef/>
      </w:r>
      <w:r w:rsidRPr="0092611C">
        <w:rPr>
          <w:rFonts w:asciiTheme="majorHAnsi" w:hAnsiTheme="majorHAnsi"/>
          <w:szCs w:val="16"/>
          <w:lang w:val="es-CO"/>
        </w:rPr>
        <w:t xml:space="preserve"> Corte I.D.H., Caso </w:t>
      </w:r>
      <w:proofErr w:type="spellStart"/>
      <w:r w:rsidRPr="0092611C">
        <w:rPr>
          <w:rFonts w:asciiTheme="majorHAnsi" w:hAnsiTheme="majorHAnsi"/>
          <w:szCs w:val="16"/>
          <w:lang w:val="es-CO"/>
        </w:rPr>
        <w:t>Reverón</w:t>
      </w:r>
      <w:proofErr w:type="spellEnd"/>
      <w:r w:rsidRPr="0092611C">
        <w:rPr>
          <w:rFonts w:asciiTheme="majorHAnsi" w:hAnsiTheme="majorHAnsi"/>
          <w:szCs w:val="16"/>
          <w:lang w:val="es-CO"/>
        </w:rPr>
        <w:t xml:space="preserve"> Trujillo Vs. Venezuela. Excepción Preliminar, Fondo, Reparaciones y Costas. Sentencia de 30 de junio de 2009. Serie C No. 197, párr. 67; CIDH, Democracia y Derechos Humanos, 30 de diciembre de 2009, párr. 185. Disponible en: </w:t>
      </w:r>
      <w:hyperlink r:id="rId2" w:history="1">
        <w:r w:rsidRPr="0092611C">
          <w:rPr>
            <w:rFonts w:asciiTheme="majorHAnsi" w:hAnsiTheme="majorHAnsi"/>
            <w:szCs w:val="16"/>
            <w:lang w:val="es-CO"/>
          </w:rPr>
          <w:t>http://www.cidh.org/countryrep/Venezuela2009sp/VE09.indice.sp.htm</w:t>
        </w:r>
      </w:hyperlink>
      <w:r w:rsidRPr="0092611C">
        <w:rPr>
          <w:rFonts w:asciiTheme="majorHAnsi" w:hAnsiTheme="majorHAnsi"/>
          <w:szCs w:val="16"/>
          <w:lang w:val="es-CO"/>
        </w:rPr>
        <w:t xml:space="preserve">; CIDH, Segundo Informe sobre la Situación de las Defensoras y los Defensores de Derechos Humanos, 31 de diciembre de 2011, párr. 359. </w:t>
      </w:r>
    </w:p>
  </w:footnote>
  <w:footnote w:id="70">
    <w:p w14:paraId="4E7BE3BD" w14:textId="77777777" w:rsidR="0007239A" w:rsidRPr="0092611C" w:rsidRDefault="0007239A" w:rsidP="00DF586B">
      <w:pPr>
        <w:pStyle w:val="FootnoteText"/>
        <w:spacing w:before="0" w:after="120"/>
        <w:ind w:firstLine="720"/>
        <w:rPr>
          <w:rFonts w:asciiTheme="majorHAnsi" w:hAnsiTheme="majorHAnsi"/>
          <w:szCs w:val="16"/>
          <w:lang w:val="es-CO"/>
        </w:rPr>
      </w:pPr>
      <w:r w:rsidRPr="0092611C">
        <w:rPr>
          <w:rFonts w:asciiTheme="majorHAnsi" w:hAnsiTheme="majorHAnsi"/>
          <w:szCs w:val="16"/>
          <w:vertAlign w:val="superscript"/>
          <w:lang w:val="es-CO"/>
        </w:rPr>
        <w:footnoteRef/>
      </w:r>
      <w:r w:rsidRPr="0092611C">
        <w:rPr>
          <w:rFonts w:asciiTheme="majorHAnsi" w:hAnsiTheme="majorHAnsi"/>
          <w:szCs w:val="16"/>
          <w:lang w:val="es-CO"/>
        </w:rPr>
        <w:t xml:space="preserve"> Así, por ejemplo, la Corte Interamericana ha señalado que de las obligaciones que tiene el Estado para los justiciables sujetos a procesos ante los tribunales surgen a su vez “derechos para los jueces”, entre ellos, la Corte ha señalado que “la garantía de no estar sujeto a libre remoción conlleva a que los procesos disciplinarios y sancionatorios de jueces deben necesariamente respetar las garantías del debido proceso y debe ofrecerse a los perjudicados un recurso efectivo”. Corte I.D.H., Caso </w:t>
      </w:r>
      <w:proofErr w:type="spellStart"/>
      <w:r w:rsidRPr="0092611C">
        <w:rPr>
          <w:rFonts w:asciiTheme="majorHAnsi" w:hAnsiTheme="majorHAnsi"/>
          <w:szCs w:val="16"/>
          <w:lang w:val="es-CO"/>
        </w:rPr>
        <w:t>Apitz</w:t>
      </w:r>
      <w:proofErr w:type="spellEnd"/>
      <w:r w:rsidRPr="0092611C">
        <w:rPr>
          <w:rFonts w:asciiTheme="majorHAnsi" w:hAnsiTheme="majorHAnsi"/>
          <w:szCs w:val="16"/>
          <w:lang w:val="es-CO"/>
        </w:rPr>
        <w:t xml:space="preserve"> Barbera y otros (“Corte Primera de lo Contencioso Administrativo”) Vs. Venezuela. Excepción Preliminar, Fondo, Reparaciones y Costas. Sentencia de 5 de agosto de 2008. Serie C No. 182, párr. 147.</w:t>
      </w:r>
    </w:p>
  </w:footnote>
  <w:footnote w:id="71">
    <w:p w14:paraId="01DCB722" w14:textId="1A0CEA28" w:rsidR="0007239A" w:rsidRPr="0092611C" w:rsidRDefault="0007239A" w:rsidP="00DF586B">
      <w:pPr>
        <w:spacing w:after="120"/>
        <w:ind w:firstLine="720"/>
        <w:jc w:val="both"/>
        <w:rPr>
          <w:rFonts w:asciiTheme="majorHAnsi" w:eastAsia="Times New Roman" w:hAnsiTheme="majorHAnsi"/>
          <w:sz w:val="16"/>
          <w:szCs w:val="16"/>
          <w:lang w:val="es-MX"/>
        </w:rPr>
      </w:pPr>
      <w:r w:rsidRPr="0092611C">
        <w:rPr>
          <w:rStyle w:val="FootnoteReference"/>
          <w:rFonts w:asciiTheme="majorHAnsi" w:hAnsiTheme="majorHAnsi"/>
          <w:sz w:val="16"/>
          <w:szCs w:val="16"/>
        </w:rPr>
        <w:footnoteRef/>
      </w:r>
      <w:r w:rsidRPr="0092611C">
        <w:rPr>
          <w:rFonts w:asciiTheme="majorHAnsi" w:hAnsiTheme="majorHAnsi"/>
          <w:sz w:val="16"/>
          <w:szCs w:val="16"/>
          <w:lang w:val="es-MX"/>
        </w:rPr>
        <w:t xml:space="preserve">CIDH, Informe sobre las Garantías para la Independencia de las y los Operadores de Justicia. Hacia el fortalecimiento del acceso a la justicia y el estado de derecho en las Américas,  5 de diciembre de 2013, </w:t>
      </w:r>
      <w:proofErr w:type="spellStart"/>
      <w:r w:rsidRPr="0092611C">
        <w:rPr>
          <w:rFonts w:asciiTheme="majorHAnsi" w:hAnsiTheme="majorHAnsi"/>
          <w:sz w:val="16"/>
          <w:szCs w:val="16"/>
          <w:lang w:val="es-MX"/>
        </w:rPr>
        <w:t>párrs</w:t>
      </w:r>
      <w:proofErr w:type="spellEnd"/>
      <w:r w:rsidRPr="0092611C">
        <w:rPr>
          <w:rFonts w:asciiTheme="majorHAnsi" w:hAnsiTheme="majorHAnsi"/>
          <w:sz w:val="16"/>
          <w:szCs w:val="16"/>
          <w:lang w:val="es-MX"/>
        </w:rPr>
        <w:t xml:space="preserve">. 56, 109 y 184, </w:t>
      </w:r>
      <w:r w:rsidRPr="0092611C">
        <w:rPr>
          <w:rFonts w:asciiTheme="majorHAnsi" w:eastAsia="Times New Roman" w:hAnsiTheme="majorHAnsi"/>
          <w:bCs/>
          <w:sz w:val="16"/>
          <w:szCs w:val="16"/>
          <w:shd w:val="clear" w:color="auto" w:fill="FFFFFF"/>
          <w:lang w:val="es-MX"/>
        </w:rPr>
        <w:t xml:space="preserve">Corte IDH. Caso López </w:t>
      </w:r>
      <w:proofErr w:type="spellStart"/>
      <w:r w:rsidRPr="0092611C">
        <w:rPr>
          <w:rFonts w:asciiTheme="majorHAnsi" w:eastAsia="Times New Roman" w:hAnsiTheme="majorHAnsi"/>
          <w:bCs/>
          <w:sz w:val="16"/>
          <w:szCs w:val="16"/>
          <w:shd w:val="clear" w:color="auto" w:fill="FFFFFF"/>
          <w:lang w:val="es-MX"/>
        </w:rPr>
        <w:t>Lone</w:t>
      </w:r>
      <w:proofErr w:type="spellEnd"/>
      <w:r w:rsidRPr="0092611C">
        <w:rPr>
          <w:rFonts w:asciiTheme="majorHAnsi" w:eastAsia="Times New Roman" w:hAnsiTheme="majorHAnsi"/>
          <w:bCs/>
          <w:sz w:val="16"/>
          <w:szCs w:val="16"/>
          <w:shd w:val="clear" w:color="auto" w:fill="FFFFFF"/>
          <w:lang w:val="es-MX"/>
        </w:rPr>
        <w:t xml:space="preserve"> y otros Vs. Honduras. Excepción Preliminar, Fondo, Reparaciones y Costas. Sentencia de 5 de octubre de 2015. Serie C No. 302, párr. 191.</w:t>
      </w:r>
    </w:p>
  </w:footnote>
  <w:footnote w:id="72">
    <w:p w14:paraId="0B6A554B" w14:textId="77777777" w:rsidR="0007239A" w:rsidRPr="0092611C" w:rsidRDefault="0007239A" w:rsidP="00DF586B">
      <w:pPr>
        <w:spacing w:after="120"/>
        <w:ind w:firstLine="720"/>
        <w:jc w:val="both"/>
        <w:rPr>
          <w:rFonts w:asciiTheme="majorHAnsi" w:eastAsia="Times New Roman" w:hAnsiTheme="majorHAnsi"/>
          <w:sz w:val="16"/>
          <w:szCs w:val="16"/>
          <w:lang w:val="es-MX"/>
        </w:rPr>
      </w:pPr>
      <w:r w:rsidRPr="0092611C">
        <w:rPr>
          <w:rStyle w:val="FootnoteReference"/>
          <w:rFonts w:asciiTheme="majorHAnsi" w:hAnsiTheme="majorHAnsi"/>
          <w:sz w:val="16"/>
          <w:szCs w:val="16"/>
        </w:rPr>
        <w:footnoteRef/>
      </w:r>
      <w:r w:rsidRPr="0092611C">
        <w:rPr>
          <w:rFonts w:asciiTheme="majorHAnsi" w:hAnsiTheme="majorHAnsi"/>
          <w:sz w:val="16"/>
          <w:szCs w:val="16"/>
          <w:lang w:val="es-MX"/>
        </w:rPr>
        <w:t xml:space="preserve"> </w:t>
      </w:r>
      <w:r w:rsidRPr="0092611C">
        <w:rPr>
          <w:rFonts w:asciiTheme="majorHAnsi" w:eastAsia="Times New Roman" w:hAnsiTheme="majorHAnsi"/>
          <w:bCs/>
          <w:sz w:val="16"/>
          <w:szCs w:val="16"/>
          <w:shd w:val="clear" w:color="auto" w:fill="FFFFFF"/>
          <w:lang w:val="es-MX"/>
        </w:rPr>
        <w:t xml:space="preserve">Corte IDH. Caso López </w:t>
      </w:r>
      <w:proofErr w:type="spellStart"/>
      <w:r w:rsidRPr="0092611C">
        <w:rPr>
          <w:rFonts w:asciiTheme="majorHAnsi" w:eastAsia="Times New Roman" w:hAnsiTheme="majorHAnsi"/>
          <w:bCs/>
          <w:sz w:val="16"/>
          <w:szCs w:val="16"/>
          <w:shd w:val="clear" w:color="auto" w:fill="FFFFFF"/>
          <w:lang w:val="es-MX"/>
        </w:rPr>
        <w:t>Lone</w:t>
      </w:r>
      <w:proofErr w:type="spellEnd"/>
      <w:r w:rsidRPr="0092611C">
        <w:rPr>
          <w:rFonts w:asciiTheme="majorHAnsi" w:eastAsia="Times New Roman" w:hAnsiTheme="majorHAnsi"/>
          <w:bCs/>
          <w:sz w:val="16"/>
          <w:szCs w:val="16"/>
          <w:shd w:val="clear" w:color="auto" w:fill="FFFFFF"/>
          <w:lang w:val="es-MX"/>
        </w:rPr>
        <w:t xml:space="preserve"> y otros Vs. Honduras. Excepción Preliminar, Fondo, Reparaciones y Costas. Sentencia de 5 de octubre de 2015. Serie C No. 302, párr. 192.</w:t>
      </w:r>
    </w:p>
  </w:footnote>
  <w:footnote w:id="73">
    <w:p w14:paraId="0956CBBC" w14:textId="77777777" w:rsidR="0007239A" w:rsidRPr="0092611C" w:rsidRDefault="0007239A" w:rsidP="00DF586B">
      <w:pPr>
        <w:spacing w:after="120"/>
        <w:ind w:firstLine="720"/>
        <w:jc w:val="both"/>
        <w:rPr>
          <w:rFonts w:asciiTheme="majorHAnsi" w:eastAsia="Times New Roman" w:hAnsiTheme="majorHAnsi"/>
          <w:sz w:val="16"/>
          <w:szCs w:val="16"/>
          <w:lang w:val="es-MX"/>
        </w:rPr>
      </w:pPr>
      <w:r w:rsidRPr="0092611C">
        <w:rPr>
          <w:rStyle w:val="FootnoteReference"/>
          <w:rFonts w:asciiTheme="majorHAnsi" w:hAnsiTheme="majorHAnsi"/>
          <w:sz w:val="16"/>
          <w:szCs w:val="16"/>
        </w:rPr>
        <w:footnoteRef/>
      </w:r>
      <w:r w:rsidRPr="0092611C">
        <w:rPr>
          <w:rFonts w:asciiTheme="majorHAnsi" w:hAnsiTheme="majorHAnsi"/>
          <w:sz w:val="16"/>
          <w:szCs w:val="16"/>
          <w:lang w:val="es-MX"/>
        </w:rPr>
        <w:t xml:space="preserve"> </w:t>
      </w:r>
      <w:r w:rsidRPr="0092611C">
        <w:rPr>
          <w:rFonts w:asciiTheme="majorHAnsi" w:eastAsia="Times New Roman" w:hAnsiTheme="majorHAnsi"/>
          <w:bCs/>
          <w:sz w:val="16"/>
          <w:szCs w:val="16"/>
          <w:shd w:val="clear" w:color="auto" w:fill="FFFFFF"/>
          <w:lang w:val="es-MX"/>
        </w:rPr>
        <w:t xml:space="preserve">Corte IDH. Caso López </w:t>
      </w:r>
      <w:proofErr w:type="spellStart"/>
      <w:r w:rsidRPr="0092611C">
        <w:rPr>
          <w:rFonts w:asciiTheme="majorHAnsi" w:eastAsia="Times New Roman" w:hAnsiTheme="majorHAnsi"/>
          <w:bCs/>
          <w:sz w:val="16"/>
          <w:szCs w:val="16"/>
          <w:shd w:val="clear" w:color="auto" w:fill="FFFFFF"/>
          <w:lang w:val="es-MX"/>
        </w:rPr>
        <w:t>Lone</w:t>
      </w:r>
      <w:proofErr w:type="spellEnd"/>
      <w:r w:rsidRPr="0092611C">
        <w:rPr>
          <w:rFonts w:asciiTheme="majorHAnsi" w:eastAsia="Times New Roman" w:hAnsiTheme="majorHAnsi"/>
          <w:bCs/>
          <w:sz w:val="16"/>
          <w:szCs w:val="16"/>
          <w:shd w:val="clear" w:color="auto" w:fill="FFFFFF"/>
          <w:lang w:val="es-MX"/>
        </w:rPr>
        <w:t xml:space="preserve"> y otros Vs. Honduras. Excepción Preliminar, Fondo, Reparaciones y Costas. Sentencia de 5 de octubre de 2015. Serie C No. 302, párr. 192.</w:t>
      </w:r>
    </w:p>
  </w:footnote>
  <w:footnote w:id="74">
    <w:p w14:paraId="61D29938" w14:textId="77777777" w:rsidR="0007239A" w:rsidRPr="0092611C" w:rsidRDefault="0007239A" w:rsidP="00DF586B">
      <w:pPr>
        <w:pStyle w:val="FootnoteText"/>
        <w:spacing w:before="0" w:after="120"/>
        <w:ind w:firstLine="720"/>
        <w:rPr>
          <w:rFonts w:asciiTheme="majorHAnsi" w:hAnsiTheme="majorHAnsi"/>
          <w:szCs w:val="16"/>
          <w:lang w:val="es-CO"/>
        </w:rPr>
      </w:pPr>
      <w:r w:rsidRPr="0092611C">
        <w:rPr>
          <w:rStyle w:val="FootnoteReference"/>
          <w:rFonts w:asciiTheme="majorHAnsi" w:hAnsiTheme="majorHAnsi"/>
          <w:szCs w:val="16"/>
        </w:rPr>
        <w:footnoteRef/>
      </w:r>
      <w:r w:rsidRPr="0092611C">
        <w:rPr>
          <w:rFonts w:asciiTheme="majorHAnsi" w:hAnsiTheme="majorHAnsi"/>
          <w:noProof/>
          <w:szCs w:val="16"/>
          <w:lang w:val="es-ES"/>
        </w:rPr>
        <w:t xml:space="preserve"> Corte IDH, Caso Maldonado Ordoñez Vs. </w:t>
      </w:r>
      <w:r w:rsidRPr="0092611C">
        <w:rPr>
          <w:rFonts w:asciiTheme="majorHAnsi" w:hAnsiTheme="majorHAnsi"/>
          <w:noProof/>
          <w:szCs w:val="16"/>
        </w:rPr>
        <w:t>Guatemala. Excepcion Preliminar, Fondo, Reparaciones y Costas. Sentencia de 3 de Mayo de 2016. Serie C No. 311, párr. 72.</w:t>
      </w:r>
    </w:p>
  </w:footnote>
  <w:footnote w:id="75">
    <w:p w14:paraId="674CD130" w14:textId="77777777" w:rsidR="0007239A" w:rsidRPr="0092611C" w:rsidRDefault="0007239A" w:rsidP="00DF586B">
      <w:pPr>
        <w:pStyle w:val="FootnoteText"/>
        <w:spacing w:before="0" w:after="120"/>
        <w:ind w:firstLine="720"/>
        <w:rPr>
          <w:rStyle w:val="FootnoteReference"/>
          <w:rFonts w:asciiTheme="majorHAnsi" w:hAnsiTheme="majorHAnsi"/>
          <w:szCs w:val="16"/>
        </w:rPr>
      </w:pPr>
      <w:r w:rsidRPr="0092611C">
        <w:rPr>
          <w:rStyle w:val="FootnoteReference"/>
          <w:rFonts w:asciiTheme="majorHAnsi" w:hAnsiTheme="majorHAnsi"/>
          <w:szCs w:val="16"/>
        </w:rPr>
        <w:footnoteRef/>
      </w:r>
      <w:r w:rsidRPr="0092611C">
        <w:rPr>
          <w:rFonts w:asciiTheme="majorHAnsi" w:hAnsiTheme="majorHAnsi"/>
          <w:noProof/>
          <w:szCs w:val="16"/>
          <w:lang w:val="es-CO"/>
        </w:rPr>
        <w:t xml:space="preserve"> Corte IDH, Caso Maldonado Ordoñez Vs. </w:t>
      </w:r>
      <w:r w:rsidRPr="0092611C">
        <w:rPr>
          <w:rFonts w:asciiTheme="majorHAnsi" w:hAnsiTheme="majorHAnsi"/>
          <w:noProof/>
          <w:szCs w:val="16"/>
        </w:rPr>
        <w:t>Guatemala. Excepcion Preliminar, Fondo, Reparaciones y Costas. Sentencia de 3 de Mayo de 2016. Serie C No. 311, párr. 75.</w:t>
      </w:r>
    </w:p>
  </w:footnote>
  <w:footnote w:id="76">
    <w:p w14:paraId="0901FB34" w14:textId="77777777" w:rsidR="0007239A" w:rsidRPr="0092611C" w:rsidRDefault="0007239A" w:rsidP="00DF586B">
      <w:pPr>
        <w:pStyle w:val="FootnoteText"/>
        <w:spacing w:before="0" w:after="120"/>
        <w:ind w:firstLine="720"/>
        <w:rPr>
          <w:rFonts w:asciiTheme="majorHAnsi" w:hAnsiTheme="majorHAnsi"/>
          <w:szCs w:val="16"/>
          <w:lang w:val="pt-BR"/>
        </w:rPr>
      </w:pPr>
      <w:r w:rsidRPr="0092611C">
        <w:rPr>
          <w:rStyle w:val="FootnoteReference"/>
          <w:rFonts w:asciiTheme="majorHAnsi" w:hAnsiTheme="majorHAnsi"/>
          <w:szCs w:val="16"/>
        </w:rPr>
        <w:footnoteRef/>
      </w:r>
      <w:r w:rsidRPr="0092611C">
        <w:rPr>
          <w:rFonts w:asciiTheme="majorHAnsi" w:hAnsiTheme="majorHAnsi"/>
          <w:szCs w:val="16"/>
        </w:rPr>
        <w:t xml:space="preserve"> </w:t>
      </w:r>
      <w:r w:rsidRPr="0092611C">
        <w:rPr>
          <w:rFonts w:asciiTheme="majorHAnsi" w:hAnsiTheme="majorHAnsi"/>
          <w:noProof/>
          <w:szCs w:val="16"/>
        </w:rPr>
        <w:t xml:space="preserve">Corte </w:t>
      </w:r>
      <w:r w:rsidRPr="0092611C">
        <w:rPr>
          <w:rFonts w:asciiTheme="majorHAnsi" w:hAnsiTheme="majorHAnsi"/>
          <w:szCs w:val="16"/>
        </w:rPr>
        <w:t>I.D.H,</w:t>
      </w:r>
      <w:r w:rsidRPr="0092611C">
        <w:rPr>
          <w:rFonts w:asciiTheme="majorHAnsi" w:hAnsiTheme="majorHAnsi"/>
          <w:noProof/>
          <w:szCs w:val="16"/>
        </w:rPr>
        <w:t xml:space="preserve"> Caso Apitz Barbera y otros (“Corte Primera de lo Contencioso Administrativo”) Vs. Venezuela. Excepción Preliminar, Fondo, Reparaciones y Costas. </w:t>
      </w:r>
      <w:r w:rsidRPr="0092611C">
        <w:rPr>
          <w:rFonts w:asciiTheme="majorHAnsi" w:hAnsiTheme="majorHAnsi"/>
          <w:noProof/>
          <w:szCs w:val="16"/>
          <w:lang w:val="es-CO"/>
        </w:rPr>
        <w:t xml:space="preserve">Sentencia de 5 de agosto de 2008. </w:t>
      </w:r>
      <w:r w:rsidRPr="0092611C">
        <w:rPr>
          <w:rFonts w:asciiTheme="majorHAnsi" w:hAnsiTheme="majorHAnsi"/>
          <w:noProof/>
          <w:szCs w:val="16"/>
          <w:lang w:val="pt-BR"/>
        </w:rPr>
        <w:t>Serie C No. 182, párr. 147.</w:t>
      </w:r>
    </w:p>
  </w:footnote>
  <w:footnote w:id="77">
    <w:p w14:paraId="2C0EA86C" w14:textId="77777777" w:rsidR="0007239A" w:rsidRPr="0092611C" w:rsidRDefault="0007239A" w:rsidP="00DF586B">
      <w:pPr>
        <w:pStyle w:val="FootnoteText"/>
        <w:spacing w:before="0" w:after="120"/>
        <w:ind w:firstLine="720"/>
        <w:rPr>
          <w:rStyle w:val="FootnoteReference"/>
          <w:rFonts w:asciiTheme="majorHAnsi" w:hAnsiTheme="majorHAnsi"/>
          <w:szCs w:val="16"/>
        </w:rPr>
      </w:pPr>
      <w:r w:rsidRPr="0092611C">
        <w:rPr>
          <w:rStyle w:val="FootnoteReference"/>
          <w:rFonts w:asciiTheme="majorHAnsi" w:hAnsiTheme="majorHAnsi"/>
          <w:szCs w:val="16"/>
        </w:rPr>
        <w:footnoteRef/>
      </w:r>
      <w:r w:rsidRPr="0092611C">
        <w:rPr>
          <w:rStyle w:val="FootnoteReference"/>
          <w:rFonts w:asciiTheme="majorHAnsi" w:hAnsiTheme="majorHAnsi"/>
          <w:szCs w:val="16"/>
          <w:lang w:val="pt-BR"/>
        </w:rPr>
        <w:t xml:space="preserve"> </w:t>
      </w:r>
      <w:r w:rsidRPr="0092611C">
        <w:rPr>
          <w:rFonts w:asciiTheme="majorHAnsi" w:hAnsiTheme="majorHAnsi"/>
          <w:noProof/>
          <w:szCs w:val="16"/>
          <w:lang w:val="pt-BR"/>
        </w:rPr>
        <w:t xml:space="preserve">Corte IDH, Caso Barreto Leiva Vs. </w:t>
      </w:r>
      <w:r w:rsidRPr="0092611C">
        <w:rPr>
          <w:rFonts w:asciiTheme="majorHAnsi" w:hAnsiTheme="majorHAnsi"/>
          <w:noProof/>
          <w:szCs w:val="16"/>
          <w:lang w:val="es-MX"/>
        </w:rPr>
        <w:t xml:space="preserve">Venezuela. </w:t>
      </w:r>
      <w:r w:rsidRPr="0092611C">
        <w:rPr>
          <w:rFonts w:asciiTheme="majorHAnsi" w:hAnsiTheme="majorHAnsi"/>
          <w:noProof/>
          <w:szCs w:val="16"/>
        </w:rPr>
        <w:t>Fondo, Reparaciones y Costas. Sentencia de 17 de Noviembre de 2009. Serie C No. 206, párr. 75.</w:t>
      </w:r>
    </w:p>
  </w:footnote>
  <w:footnote w:id="78">
    <w:p w14:paraId="4960095B" w14:textId="77777777" w:rsidR="0007239A" w:rsidRPr="0092611C" w:rsidRDefault="0007239A" w:rsidP="00DF586B">
      <w:pPr>
        <w:pStyle w:val="FootnoteText"/>
        <w:spacing w:before="0" w:after="120"/>
        <w:ind w:firstLine="720"/>
        <w:rPr>
          <w:rStyle w:val="FootnoteReference"/>
          <w:rFonts w:asciiTheme="majorHAnsi" w:hAnsiTheme="majorHAnsi"/>
          <w:szCs w:val="16"/>
        </w:rPr>
      </w:pPr>
      <w:r w:rsidRPr="0092611C">
        <w:rPr>
          <w:rStyle w:val="FootnoteReference"/>
          <w:rFonts w:asciiTheme="majorHAnsi" w:hAnsiTheme="majorHAnsi"/>
          <w:szCs w:val="16"/>
        </w:rPr>
        <w:footnoteRef/>
      </w:r>
      <w:r w:rsidRPr="0092611C">
        <w:rPr>
          <w:rStyle w:val="FootnoteReference"/>
          <w:rFonts w:asciiTheme="majorHAnsi" w:hAnsiTheme="majorHAnsi"/>
          <w:szCs w:val="16"/>
        </w:rPr>
        <w:t xml:space="preserve"> </w:t>
      </w:r>
      <w:r w:rsidRPr="0092611C">
        <w:rPr>
          <w:rFonts w:asciiTheme="majorHAnsi" w:hAnsiTheme="majorHAnsi"/>
          <w:noProof/>
          <w:szCs w:val="16"/>
        </w:rPr>
        <w:t>Corte IDH, Caso Barreto Leiva Vs. Venezuela. Fondo, Reparaciones y Costas. Sentencia de 17 de Noviembre de 2009. Serie C No. 206, párr. 75.</w:t>
      </w:r>
    </w:p>
  </w:footnote>
  <w:footnote w:id="79">
    <w:p w14:paraId="0453C4E6" w14:textId="77777777" w:rsidR="0007239A" w:rsidRPr="0092611C" w:rsidRDefault="0007239A" w:rsidP="00DF586B">
      <w:pPr>
        <w:pStyle w:val="FootnoteText"/>
        <w:spacing w:before="0" w:after="120"/>
        <w:ind w:firstLine="720"/>
        <w:rPr>
          <w:rFonts w:asciiTheme="majorHAnsi" w:hAnsiTheme="majorHAnsi"/>
          <w:szCs w:val="16"/>
        </w:rPr>
      </w:pPr>
      <w:r w:rsidRPr="0092611C">
        <w:rPr>
          <w:rStyle w:val="FootnoteReference"/>
          <w:rFonts w:asciiTheme="majorHAnsi" w:hAnsiTheme="majorHAnsi"/>
          <w:szCs w:val="16"/>
        </w:rPr>
        <w:footnoteRef/>
      </w:r>
      <w:r w:rsidRPr="0092611C">
        <w:rPr>
          <w:rFonts w:asciiTheme="majorHAnsi" w:hAnsiTheme="majorHAnsi"/>
          <w:szCs w:val="16"/>
        </w:rPr>
        <w:t xml:space="preserve"> Corte IDH. </w:t>
      </w:r>
      <w:r w:rsidRPr="0092611C">
        <w:rPr>
          <w:rFonts w:asciiTheme="majorHAnsi" w:hAnsiTheme="majorHAnsi"/>
          <w:bCs/>
          <w:szCs w:val="16"/>
        </w:rPr>
        <w:t xml:space="preserve">Caso </w:t>
      </w:r>
      <w:proofErr w:type="spellStart"/>
      <w:r w:rsidRPr="0092611C">
        <w:rPr>
          <w:rFonts w:asciiTheme="majorHAnsi" w:hAnsiTheme="majorHAnsi"/>
          <w:bCs/>
          <w:szCs w:val="16"/>
        </w:rPr>
        <w:t>Apitz</w:t>
      </w:r>
      <w:proofErr w:type="spellEnd"/>
      <w:r w:rsidRPr="0092611C">
        <w:rPr>
          <w:rFonts w:asciiTheme="majorHAnsi" w:hAnsiTheme="majorHAnsi"/>
          <w:bCs/>
          <w:szCs w:val="16"/>
        </w:rPr>
        <w:t xml:space="preserve"> Barbera y otros (“Corte Primera de lo Contencioso Administrativo”) Vs. Venezuela. </w:t>
      </w:r>
      <w:r w:rsidRPr="0092611C">
        <w:rPr>
          <w:rFonts w:asciiTheme="majorHAnsi" w:hAnsiTheme="majorHAnsi"/>
          <w:szCs w:val="16"/>
        </w:rPr>
        <w:t>Excepción Preliminar, Fondo, Reparaciones y Costas. Sentencia de 5 de agosto de 2008. Serie C No 182, párr. 50.</w:t>
      </w:r>
    </w:p>
  </w:footnote>
  <w:footnote w:id="80">
    <w:p w14:paraId="1CB5610E" w14:textId="77777777" w:rsidR="0007239A" w:rsidRPr="0092611C" w:rsidRDefault="0007239A" w:rsidP="00DF586B">
      <w:pPr>
        <w:pStyle w:val="FootnoteText"/>
        <w:spacing w:before="0" w:after="120"/>
        <w:ind w:firstLine="720"/>
        <w:rPr>
          <w:rFonts w:asciiTheme="majorHAnsi" w:hAnsiTheme="majorHAnsi"/>
          <w:szCs w:val="16"/>
        </w:rPr>
      </w:pPr>
      <w:r w:rsidRPr="0092611C">
        <w:rPr>
          <w:rStyle w:val="FootnoteReference"/>
          <w:rFonts w:asciiTheme="majorHAnsi" w:hAnsiTheme="majorHAnsi"/>
          <w:szCs w:val="16"/>
        </w:rPr>
        <w:footnoteRef/>
      </w:r>
      <w:r w:rsidRPr="0092611C">
        <w:rPr>
          <w:rFonts w:asciiTheme="majorHAnsi" w:hAnsiTheme="majorHAnsi"/>
          <w:szCs w:val="16"/>
        </w:rPr>
        <w:t xml:space="preserve">Cfr. Corte IDH. </w:t>
      </w:r>
      <w:r w:rsidRPr="0092611C">
        <w:rPr>
          <w:rFonts w:asciiTheme="majorHAnsi" w:hAnsiTheme="majorHAnsi"/>
          <w:bCs/>
          <w:szCs w:val="16"/>
        </w:rPr>
        <w:t xml:space="preserve">Caso </w:t>
      </w:r>
      <w:proofErr w:type="spellStart"/>
      <w:r w:rsidRPr="0092611C">
        <w:rPr>
          <w:rFonts w:asciiTheme="majorHAnsi" w:hAnsiTheme="majorHAnsi"/>
          <w:bCs/>
          <w:szCs w:val="16"/>
        </w:rPr>
        <w:t>Apitz</w:t>
      </w:r>
      <w:proofErr w:type="spellEnd"/>
      <w:r w:rsidRPr="0092611C">
        <w:rPr>
          <w:rFonts w:asciiTheme="majorHAnsi" w:hAnsiTheme="majorHAnsi"/>
          <w:bCs/>
          <w:szCs w:val="16"/>
        </w:rPr>
        <w:t xml:space="preserve"> Barbera y otros (“Corte Primera de lo Contencioso Administrativo”) Vs. Venezuela. </w:t>
      </w:r>
      <w:r w:rsidRPr="0092611C">
        <w:rPr>
          <w:rFonts w:asciiTheme="majorHAnsi" w:hAnsiTheme="majorHAnsi"/>
          <w:szCs w:val="16"/>
        </w:rPr>
        <w:t>Excepción Preliminar, Fondo, Reparaciones y Costas. Sentencia de 5 de agosto de 2008. Serie C No 182, párr. 53.</w:t>
      </w:r>
    </w:p>
  </w:footnote>
  <w:footnote w:id="81">
    <w:p w14:paraId="75592415" w14:textId="77777777" w:rsidR="0007239A" w:rsidRPr="0092611C" w:rsidRDefault="0007239A" w:rsidP="00DF586B">
      <w:pPr>
        <w:pStyle w:val="FootnoteText"/>
        <w:spacing w:before="0" w:after="120"/>
        <w:ind w:firstLine="720"/>
        <w:rPr>
          <w:rFonts w:asciiTheme="majorHAnsi" w:hAnsiTheme="majorHAnsi"/>
          <w:szCs w:val="16"/>
        </w:rPr>
      </w:pPr>
      <w:r w:rsidRPr="0092611C">
        <w:rPr>
          <w:rStyle w:val="FootnoteReference"/>
          <w:rFonts w:asciiTheme="majorHAnsi" w:hAnsiTheme="majorHAnsi"/>
          <w:szCs w:val="16"/>
        </w:rPr>
        <w:footnoteRef/>
      </w:r>
      <w:r w:rsidRPr="0092611C">
        <w:rPr>
          <w:rFonts w:asciiTheme="majorHAnsi" w:hAnsiTheme="majorHAnsi"/>
          <w:szCs w:val="16"/>
        </w:rPr>
        <w:t xml:space="preserve"> </w:t>
      </w:r>
      <w:r w:rsidRPr="0092611C">
        <w:rPr>
          <w:rFonts w:asciiTheme="majorHAnsi" w:hAnsiTheme="majorHAnsi"/>
          <w:szCs w:val="16"/>
          <w:lang w:val="es-CO"/>
        </w:rPr>
        <w:t xml:space="preserve">Corte IDH. Caso López </w:t>
      </w:r>
      <w:proofErr w:type="spellStart"/>
      <w:r w:rsidRPr="0092611C">
        <w:rPr>
          <w:rFonts w:asciiTheme="majorHAnsi" w:hAnsiTheme="majorHAnsi"/>
          <w:szCs w:val="16"/>
          <w:lang w:val="es-CO"/>
        </w:rPr>
        <w:t>Lone</w:t>
      </w:r>
      <w:proofErr w:type="spellEnd"/>
      <w:r w:rsidRPr="0092611C">
        <w:rPr>
          <w:rFonts w:asciiTheme="majorHAnsi" w:hAnsiTheme="majorHAnsi"/>
          <w:szCs w:val="16"/>
          <w:lang w:val="es-CO"/>
        </w:rPr>
        <w:t xml:space="preserve"> y otros Vs. Honduras. Excepción Preliminar, Fondo, Reparaciones y Costas. Sentencia de  05 de octubre de 2015. Serie C No. 302, párr. 221.</w:t>
      </w:r>
    </w:p>
  </w:footnote>
  <w:footnote w:id="82">
    <w:p w14:paraId="77CA3D33" w14:textId="07B229C3" w:rsidR="0007239A" w:rsidRPr="0092611C" w:rsidRDefault="0007239A" w:rsidP="00DF586B">
      <w:pPr>
        <w:pStyle w:val="FootnoteText"/>
        <w:spacing w:before="0" w:after="120"/>
        <w:ind w:firstLine="720"/>
        <w:rPr>
          <w:rFonts w:asciiTheme="majorHAnsi" w:hAnsiTheme="majorHAnsi"/>
          <w:szCs w:val="16"/>
        </w:rPr>
      </w:pPr>
      <w:r w:rsidRPr="006B2ED5">
        <w:rPr>
          <w:rStyle w:val="FootnoteReference"/>
          <w:rFonts w:asciiTheme="majorHAnsi" w:hAnsiTheme="majorHAnsi"/>
          <w:color w:val="000000" w:themeColor="text1"/>
          <w:szCs w:val="16"/>
        </w:rPr>
        <w:footnoteRef/>
      </w:r>
      <w:r w:rsidRPr="006B2ED5">
        <w:rPr>
          <w:rFonts w:asciiTheme="majorHAnsi" w:hAnsiTheme="majorHAnsi"/>
          <w:color w:val="000000" w:themeColor="text1"/>
          <w:szCs w:val="16"/>
        </w:rPr>
        <w:t xml:space="preserve"> </w:t>
      </w:r>
      <w:r w:rsidRPr="006B2ED5">
        <w:rPr>
          <w:rFonts w:asciiTheme="majorHAnsi" w:hAnsiTheme="majorHAnsi" w:cs="Calibri"/>
          <w:color w:val="000000" w:themeColor="text1"/>
          <w:szCs w:val="16"/>
        </w:rPr>
        <w:t xml:space="preserve">CIDH, </w:t>
      </w:r>
      <w:r w:rsidRPr="006B2ED5">
        <w:rPr>
          <w:rFonts w:asciiTheme="majorHAnsi" w:hAnsiTheme="majorHAnsi" w:cs="Calibri-Italic"/>
          <w:iCs/>
          <w:color w:val="000000" w:themeColor="text1"/>
          <w:szCs w:val="16"/>
        </w:rPr>
        <w:t>Democracia y derechos humanos en Venezuela (2009)</w:t>
      </w:r>
      <w:r w:rsidRPr="006B2ED5">
        <w:rPr>
          <w:rFonts w:asciiTheme="majorHAnsi" w:hAnsiTheme="majorHAnsi" w:cs="Calibri"/>
          <w:color w:val="000000" w:themeColor="text1"/>
          <w:szCs w:val="16"/>
        </w:rPr>
        <w:t xml:space="preserve">, párr. 187. </w:t>
      </w:r>
    </w:p>
  </w:footnote>
  <w:footnote w:id="83">
    <w:p w14:paraId="249ACC3C" w14:textId="77777777" w:rsidR="0007239A" w:rsidRPr="0092611C" w:rsidRDefault="0007239A" w:rsidP="00DF586B">
      <w:pPr>
        <w:autoSpaceDE w:val="0"/>
        <w:autoSpaceDN w:val="0"/>
        <w:adjustRightInd w:val="0"/>
        <w:spacing w:after="120"/>
        <w:ind w:firstLine="720"/>
        <w:jc w:val="both"/>
        <w:rPr>
          <w:rFonts w:asciiTheme="majorHAnsi" w:hAnsiTheme="majorHAnsi" w:cs="Calibri-Italic"/>
          <w:iCs/>
          <w:sz w:val="16"/>
          <w:szCs w:val="16"/>
          <w:lang w:val="es-CO"/>
        </w:rPr>
      </w:pPr>
      <w:r w:rsidRPr="0092611C">
        <w:rPr>
          <w:rStyle w:val="FootnoteReference"/>
          <w:rFonts w:asciiTheme="majorHAnsi" w:hAnsiTheme="majorHAnsi"/>
          <w:sz w:val="16"/>
          <w:szCs w:val="16"/>
        </w:rPr>
        <w:footnoteRef/>
      </w:r>
      <w:r w:rsidRPr="0092611C">
        <w:rPr>
          <w:rFonts w:asciiTheme="majorHAnsi" w:hAnsiTheme="majorHAnsi"/>
          <w:sz w:val="16"/>
          <w:szCs w:val="16"/>
          <w:lang w:val="es-CO"/>
        </w:rPr>
        <w:t xml:space="preserve"> </w:t>
      </w:r>
      <w:r w:rsidRPr="0092611C">
        <w:rPr>
          <w:rFonts w:asciiTheme="majorHAnsi" w:hAnsiTheme="majorHAnsi" w:cs="Calibri"/>
          <w:sz w:val="16"/>
          <w:szCs w:val="16"/>
          <w:lang w:val="es-CO"/>
        </w:rPr>
        <w:t xml:space="preserve">Ver. CIDH, </w:t>
      </w:r>
      <w:r w:rsidRPr="0092611C">
        <w:rPr>
          <w:rFonts w:asciiTheme="majorHAnsi" w:hAnsiTheme="majorHAnsi" w:cs="Calibri-Italic"/>
          <w:iCs/>
          <w:sz w:val="16"/>
          <w:szCs w:val="16"/>
          <w:lang w:val="es-CO"/>
        </w:rPr>
        <w:t>Segundo informe sobre la situación de las defensoras y defensores de derechos humanos en las Américas</w:t>
      </w:r>
      <w:r w:rsidRPr="0092611C">
        <w:rPr>
          <w:rFonts w:asciiTheme="majorHAnsi" w:hAnsiTheme="majorHAnsi" w:cs="Calibri"/>
          <w:sz w:val="16"/>
          <w:szCs w:val="16"/>
          <w:lang w:val="es-CO"/>
        </w:rPr>
        <w:t>, párr. 374.</w:t>
      </w:r>
    </w:p>
    <w:p w14:paraId="6199D344" w14:textId="77777777" w:rsidR="0007239A" w:rsidRPr="0092611C" w:rsidRDefault="0007239A" w:rsidP="00DF586B">
      <w:pPr>
        <w:pStyle w:val="FootnoteText"/>
        <w:spacing w:before="0" w:after="120"/>
        <w:rPr>
          <w:rFonts w:asciiTheme="majorHAnsi" w:hAnsiTheme="majorHAnsi"/>
          <w:szCs w:val="16"/>
          <w:lang w:val="es-CO"/>
        </w:rPr>
      </w:pPr>
    </w:p>
  </w:footnote>
  <w:footnote w:id="84">
    <w:p w14:paraId="654ABDC1" w14:textId="77777777" w:rsidR="0007239A" w:rsidRPr="0092611C" w:rsidRDefault="0007239A" w:rsidP="00DF586B">
      <w:pPr>
        <w:pStyle w:val="FootnoteText"/>
        <w:spacing w:before="0" w:after="120"/>
        <w:ind w:firstLine="720"/>
        <w:rPr>
          <w:rFonts w:asciiTheme="majorHAnsi" w:hAnsiTheme="majorHAnsi"/>
          <w:szCs w:val="16"/>
          <w:lang w:val="es-UY"/>
        </w:rPr>
      </w:pPr>
      <w:r w:rsidRPr="0092611C">
        <w:rPr>
          <w:rStyle w:val="FootnoteReference"/>
          <w:rFonts w:asciiTheme="majorHAnsi" w:hAnsiTheme="majorHAnsi"/>
          <w:szCs w:val="16"/>
        </w:rPr>
        <w:footnoteRef/>
      </w:r>
      <w:r w:rsidRPr="0092611C">
        <w:rPr>
          <w:rFonts w:asciiTheme="majorHAnsi" w:hAnsiTheme="majorHAnsi"/>
          <w:szCs w:val="16"/>
        </w:rPr>
        <w:t xml:space="preserve"> </w:t>
      </w:r>
      <w:r w:rsidRPr="0092611C">
        <w:rPr>
          <w:rFonts w:asciiTheme="majorHAnsi" w:hAnsiTheme="majorHAnsi"/>
          <w:szCs w:val="16"/>
          <w:lang w:val="es-CO"/>
        </w:rPr>
        <w:t xml:space="preserve">Corte IDH. Caso López </w:t>
      </w:r>
      <w:proofErr w:type="spellStart"/>
      <w:r w:rsidRPr="0092611C">
        <w:rPr>
          <w:rFonts w:asciiTheme="majorHAnsi" w:hAnsiTheme="majorHAnsi"/>
          <w:szCs w:val="16"/>
          <w:lang w:val="es-CO"/>
        </w:rPr>
        <w:t>Lone</w:t>
      </w:r>
      <w:proofErr w:type="spellEnd"/>
      <w:r w:rsidRPr="0092611C">
        <w:rPr>
          <w:rFonts w:asciiTheme="majorHAnsi" w:hAnsiTheme="majorHAnsi"/>
          <w:szCs w:val="16"/>
          <w:lang w:val="es-CO"/>
        </w:rPr>
        <w:t xml:space="preserve"> y otros Vs. Honduras. Excepción Preliminar, Fondo, Reparaciones y Costas. Sentencia de  05 de octubre de 2015. Serie C No. 302, párr. 215.</w:t>
      </w:r>
    </w:p>
  </w:footnote>
  <w:footnote w:id="85">
    <w:p w14:paraId="7F5E7E16" w14:textId="77777777" w:rsidR="0007239A" w:rsidRPr="0092611C" w:rsidRDefault="0007239A" w:rsidP="00DF586B">
      <w:pPr>
        <w:pStyle w:val="FootnoteText"/>
        <w:spacing w:before="0" w:after="120"/>
        <w:ind w:firstLine="720"/>
        <w:rPr>
          <w:rFonts w:asciiTheme="majorHAnsi" w:hAnsiTheme="majorHAnsi"/>
          <w:szCs w:val="16"/>
        </w:rPr>
      </w:pPr>
      <w:r w:rsidRPr="0092611C">
        <w:rPr>
          <w:rStyle w:val="FootnoteReference"/>
          <w:rFonts w:asciiTheme="majorHAnsi" w:hAnsiTheme="majorHAnsi"/>
          <w:szCs w:val="16"/>
        </w:rPr>
        <w:footnoteRef/>
      </w:r>
      <w:r w:rsidRPr="0092611C">
        <w:rPr>
          <w:rFonts w:asciiTheme="majorHAnsi" w:hAnsiTheme="majorHAnsi"/>
          <w:szCs w:val="16"/>
        </w:rPr>
        <w:t xml:space="preserve"> </w:t>
      </w:r>
      <w:r w:rsidRPr="0092611C">
        <w:rPr>
          <w:rFonts w:asciiTheme="majorHAnsi" w:hAnsiTheme="majorHAnsi"/>
          <w:szCs w:val="16"/>
          <w:lang w:val="es-CO"/>
        </w:rPr>
        <w:t xml:space="preserve">Corte IDH. Caso Camba Campos y otros Vs. Ecuador. Excepción Preliminar, Fondo, Reparaciones y Costas. Sentencia de  28 de agosto de 2013. Serie C No. 268, párr. 223 y Caso López </w:t>
      </w:r>
      <w:proofErr w:type="spellStart"/>
      <w:r w:rsidRPr="0092611C">
        <w:rPr>
          <w:rFonts w:asciiTheme="majorHAnsi" w:hAnsiTheme="majorHAnsi"/>
          <w:szCs w:val="16"/>
          <w:lang w:val="es-CO"/>
        </w:rPr>
        <w:t>Lone</w:t>
      </w:r>
      <w:proofErr w:type="spellEnd"/>
      <w:r w:rsidRPr="0092611C">
        <w:rPr>
          <w:rFonts w:asciiTheme="majorHAnsi" w:hAnsiTheme="majorHAnsi"/>
          <w:szCs w:val="16"/>
          <w:lang w:val="es-CO"/>
        </w:rPr>
        <w:t xml:space="preserve"> y otros Vs. Honduras. Excepción Preliminar, Fondo, Reparaciones y Costas. Sentencia de  05 de octubre de 2015. Serie C No. 302, párr. 241.</w:t>
      </w:r>
    </w:p>
  </w:footnote>
  <w:footnote w:id="86">
    <w:p w14:paraId="6717FE30" w14:textId="77777777" w:rsidR="0007239A" w:rsidRPr="0092611C" w:rsidRDefault="0007239A" w:rsidP="00DF586B">
      <w:pPr>
        <w:spacing w:after="120"/>
        <w:ind w:firstLine="720"/>
        <w:jc w:val="both"/>
        <w:rPr>
          <w:rFonts w:asciiTheme="majorHAnsi" w:hAnsiTheme="majorHAnsi"/>
          <w:bCs/>
          <w:sz w:val="16"/>
          <w:szCs w:val="16"/>
          <w:lang w:val="es-CO"/>
        </w:rPr>
      </w:pPr>
      <w:r w:rsidRPr="0092611C">
        <w:rPr>
          <w:rStyle w:val="FootnoteReference"/>
          <w:rFonts w:asciiTheme="majorHAnsi" w:hAnsiTheme="majorHAnsi"/>
          <w:sz w:val="16"/>
          <w:szCs w:val="16"/>
        </w:rPr>
        <w:footnoteRef/>
      </w:r>
      <w:r w:rsidRPr="0092611C">
        <w:rPr>
          <w:rFonts w:asciiTheme="majorHAnsi" w:hAnsiTheme="majorHAnsi"/>
          <w:sz w:val="16"/>
          <w:szCs w:val="16"/>
          <w:lang w:val="es-MX"/>
        </w:rPr>
        <w:t xml:space="preserve"> CIDH, Caso 12.600 Hugo Quintana Coello y otros (CSJ) respecto de Ecuador (Fondo), 2 de agosto de 2011, párr. 84. Al respecto, también se ha pronunciado la Corte Interamericana. E</w:t>
      </w:r>
      <w:r w:rsidRPr="0092611C">
        <w:rPr>
          <w:rFonts w:asciiTheme="majorHAnsi" w:hAnsiTheme="majorHAnsi"/>
          <w:sz w:val="16"/>
          <w:szCs w:val="16"/>
          <w:lang w:val="es-UY"/>
        </w:rPr>
        <w:t xml:space="preserve">n el caso del Tribunal Constitucional vs. Perú, la Corte Interamericana señaló que  en un Estado de Derecho, el juicio político es una forma de control que ejerce el Poder Legislativo con respecto a los funcionarios superiores tanto del Poder Ejecutivo como de otros órganos estatales. No obstante, este control no significa que exista una relación de subordinación entre el órgano controlador -en este caso el Poder Legislativo- y el controlado - en el caso el Tribunal Constitucional- sino que la finalidad de esta institución es someter a los altos funcionarios a un examen y decisión sobre sus actuaciones por parte de la representación popular. </w:t>
      </w:r>
      <w:r w:rsidRPr="0092611C">
        <w:rPr>
          <w:rFonts w:asciiTheme="majorHAnsi" w:hAnsiTheme="majorHAnsi"/>
          <w:sz w:val="16"/>
          <w:szCs w:val="16"/>
          <w:lang w:val="es-MX"/>
        </w:rPr>
        <w:t>Corte I.D.H., Caso del Tribunal Constitucional Vs. Perú. Sentencia de 31 de enero de 2001. Serie C No. 71, párr. 63.</w:t>
      </w:r>
    </w:p>
  </w:footnote>
  <w:footnote w:id="87">
    <w:p w14:paraId="1E7F5C5E" w14:textId="77777777" w:rsidR="0007239A" w:rsidRPr="0092611C" w:rsidRDefault="0007239A" w:rsidP="00DF586B">
      <w:pPr>
        <w:spacing w:after="120"/>
        <w:ind w:firstLine="720"/>
        <w:jc w:val="both"/>
        <w:rPr>
          <w:rFonts w:asciiTheme="majorHAnsi" w:hAnsiTheme="majorHAnsi"/>
          <w:sz w:val="16"/>
          <w:szCs w:val="16"/>
          <w:lang w:val="es-CO"/>
        </w:rPr>
      </w:pPr>
      <w:r w:rsidRPr="0092611C">
        <w:rPr>
          <w:rStyle w:val="FootnoteReference"/>
          <w:rFonts w:asciiTheme="majorHAnsi" w:hAnsiTheme="majorHAnsi"/>
          <w:sz w:val="16"/>
          <w:szCs w:val="16"/>
        </w:rPr>
        <w:footnoteRef/>
      </w:r>
      <w:r w:rsidRPr="0092611C">
        <w:rPr>
          <w:rFonts w:asciiTheme="majorHAnsi" w:hAnsiTheme="majorHAnsi"/>
          <w:sz w:val="16"/>
          <w:szCs w:val="16"/>
          <w:lang w:val="es-CO"/>
        </w:rPr>
        <w:t xml:space="preserve"> CIDH, Segundo Informe sobre las Garantías para la Independencia de las y los Operadores de Justicia, 05 de diciembre de 2013, párr. 204.</w:t>
      </w:r>
    </w:p>
  </w:footnote>
  <w:footnote w:id="88">
    <w:p w14:paraId="17074F54" w14:textId="77777777" w:rsidR="0007239A" w:rsidRPr="0092611C" w:rsidRDefault="0007239A" w:rsidP="00DF586B">
      <w:pPr>
        <w:pStyle w:val="FootnoteText"/>
        <w:spacing w:before="0" w:after="120"/>
        <w:ind w:firstLine="720"/>
        <w:rPr>
          <w:rFonts w:asciiTheme="majorHAnsi" w:hAnsiTheme="majorHAnsi"/>
          <w:szCs w:val="16"/>
          <w:lang w:val="pt-BR"/>
        </w:rPr>
      </w:pPr>
      <w:r w:rsidRPr="0092611C">
        <w:rPr>
          <w:rStyle w:val="FootnoteReference"/>
          <w:rFonts w:asciiTheme="majorHAnsi" w:hAnsiTheme="majorHAnsi"/>
          <w:szCs w:val="16"/>
        </w:rPr>
        <w:footnoteRef/>
      </w:r>
      <w:r w:rsidRPr="0092611C">
        <w:rPr>
          <w:rFonts w:asciiTheme="majorHAnsi" w:hAnsiTheme="majorHAnsi"/>
          <w:szCs w:val="16"/>
        </w:rPr>
        <w:t xml:space="preserve"> </w:t>
      </w:r>
      <w:r w:rsidRPr="0092611C">
        <w:rPr>
          <w:rFonts w:asciiTheme="majorHAnsi" w:hAnsiTheme="majorHAnsi"/>
          <w:szCs w:val="16"/>
          <w:lang w:val="es-CO"/>
        </w:rPr>
        <w:t xml:space="preserve">CIDH, Segundo Informe sobre las Garantías para la Independencia de las y los Operadores de Justicia, 05 de diciembre de 2013, párr. </w:t>
      </w:r>
      <w:r w:rsidRPr="0092611C">
        <w:rPr>
          <w:rFonts w:asciiTheme="majorHAnsi" w:hAnsiTheme="majorHAnsi"/>
          <w:szCs w:val="16"/>
          <w:lang w:val="pt-BR"/>
        </w:rPr>
        <w:t>205..</w:t>
      </w:r>
    </w:p>
  </w:footnote>
  <w:footnote w:id="89">
    <w:p w14:paraId="0E7B0071" w14:textId="77777777" w:rsidR="0007239A" w:rsidRPr="0092611C" w:rsidRDefault="0007239A" w:rsidP="00DF586B">
      <w:pPr>
        <w:pStyle w:val="FootnoteText"/>
        <w:spacing w:before="0" w:after="120"/>
        <w:ind w:firstLine="720"/>
        <w:rPr>
          <w:rFonts w:asciiTheme="majorHAnsi" w:hAnsiTheme="majorHAnsi"/>
          <w:szCs w:val="16"/>
        </w:rPr>
      </w:pPr>
      <w:r w:rsidRPr="0092611C">
        <w:rPr>
          <w:rStyle w:val="FootnoteReference"/>
          <w:rFonts w:asciiTheme="majorHAnsi" w:hAnsiTheme="majorHAnsi"/>
          <w:szCs w:val="16"/>
        </w:rPr>
        <w:footnoteRef/>
      </w:r>
      <w:r w:rsidRPr="0092611C">
        <w:rPr>
          <w:rFonts w:asciiTheme="majorHAnsi" w:hAnsiTheme="majorHAnsi"/>
          <w:szCs w:val="16"/>
          <w:lang w:val="pt-BR"/>
        </w:rPr>
        <w:t xml:space="preserve"> </w:t>
      </w:r>
      <w:r w:rsidRPr="0092611C">
        <w:rPr>
          <w:rFonts w:asciiTheme="majorHAnsi" w:hAnsiTheme="majorHAnsi"/>
          <w:szCs w:val="16"/>
          <w:lang w:val="pt-BR"/>
        </w:rPr>
        <w:t xml:space="preserve">Corte </w:t>
      </w:r>
      <w:r w:rsidRPr="0092611C">
        <w:rPr>
          <w:rFonts w:asciiTheme="majorHAnsi" w:hAnsiTheme="majorHAnsi"/>
          <w:szCs w:val="16"/>
          <w:lang w:val="pt-BR"/>
        </w:rPr>
        <w:t xml:space="preserve">I.D.H., Palamara Iribarne vs. Chile.  Sentencia de 22 de noviembre de 2005. </w:t>
      </w:r>
      <w:r w:rsidRPr="0092611C">
        <w:rPr>
          <w:rFonts w:asciiTheme="majorHAnsi" w:hAnsiTheme="majorHAnsi"/>
          <w:szCs w:val="16"/>
        </w:rPr>
        <w:t>Serie C No. 135, párr. 146.</w:t>
      </w:r>
    </w:p>
  </w:footnote>
  <w:footnote w:id="90">
    <w:p w14:paraId="1FCCA800" w14:textId="77777777" w:rsidR="0007239A" w:rsidRPr="0092611C" w:rsidRDefault="0007239A" w:rsidP="00DF586B">
      <w:pPr>
        <w:spacing w:after="120"/>
        <w:ind w:firstLine="720"/>
        <w:jc w:val="both"/>
        <w:rPr>
          <w:rFonts w:asciiTheme="majorHAnsi" w:hAnsiTheme="majorHAnsi"/>
          <w:sz w:val="16"/>
          <w:szCs w:val="16"/>
          <w:lang w:val="es-UY"/>
        </w:rPr>
      </w:pPr>
      <w:r w:rsidRPr="0092611C">
        <w:rPr>
          <w:rStyle w:val="FootnoteReference"/>
          <w:rFonts w:asciiTheme="majorHAnsi" w:hAnsiTheme="majorHAnsi"/>
          <w:sz w:val="16"/>
          <w:szCs w:val="16"/>
        </w:rPr>
        <w:footnoteRef/>
      </w:r>
      <w:r w:rsidRPr="0092611C">
        <w:rPr>
          <w:rFonts w:asciiTheme="majorHAnsi" w:hAnsiTheme="majorHAnsi"/>
          <w:sz w:val="16"/>
          <w:szCs w:val="16"/>
          <w:lang w:val="es-UY"/>
        </w:rPr>
        <w:t xml:space="preserve"> Véase Caso </w:t>
      </w:r>
      <w:proofErr w:type="spellStart"/>
      <w:r w:rsidRPr="0092611C">
        <w:rPr>
          <w:rFonts w:asciiTheme="majorHAnsi" w:hAnsiTheme="majorHAnsi"/>
          <w:sz w:val="16"/>
          <w:szCs w:val="16"/>
          <w:lang w:val="es-UY"/>
        </w:rPr>
        <w:t>Thomann</w:t>
      </w:r>
      <w:proofErr w:type="spellEnd"/>
      <w:r w:rsidRPr="0092611C">
        <w:rPr>
          <w:rFonts w:asciiTheme="majorHAnsi" w:hAnsiTheme="majorHAnsi"/>
          <w:sz w:val="16"/>
          <w:szCs w:val="16"/>
          <w:lang w:val="es-UY"/>
        </w:rPr>
        <w:t xml:space="preserve"> contra Suiza, Sentencia de 10 de junio de 1996, Repertorio de sentencias y resoluciones 1996-III, p. 815, § 30.</w:t>
      </w:r>
    </w:p>
  </w:footnote>
  <w:footnote w:id="91">
    <w:p w14:paraId="0955BD47" w14:textId="10E10F24" w:rsidR="0007239A" w:rsidRPr="008330DD" w:rsidRDefault="0007239A" w:rsidP="00DF586B">
      <w:pPr>
        <w:spacing w:after="120"/>
        <w:ind w:firstLine="720"/>
        <w:jc w:val="both"/>
        <w:rPr>
          <w:rFonts w:asciiTheme="majorHAnsi" w:hAnsiTheme="majorHAnsi"/>
          <w:sz w:val="16"/>
          <w:szCs w:val="16"/>
          <w:lang w:val="es-CO"/>
        </w:rPr>
      </w:pPr>
      <w:r w:rsidRPr="008330DD">
        <w:rPr>
          <w:rStyle w:val="FootnoteReference"/>
          <w:rFonts w:asciiTheme="majorHAnsi" w:hAnsiTheme="majorHAnsi"/>
          <w:sz w:val="16"/>
          <w:szCs w:val="16"/>
        </w:rPr>
        <w:footnoteRef/>
      </w:r>
      <w:r w:rsidRPr="008330DD">
        <w:rPr>
          <w:rFonts w:asciiTheme="majorHAnsi" w:hAnsiTheme="majorHAnsi"/>
          <w:sz w:val="16"/>
          <w:szCs w:val="16"/>
          <w:lang w:val="pt-BR"/>
        </w:rPr>
        <w:t xml:space="preserve"> </w:t>
      </w:r>
      <w:r w:rsidRPr="008330DD">
        <w:rPr>
          <w:rFonts w:asciiTheme="majorHAnsi" w:hAnsiTheme="majorHAnsi"/>
          <w:sz w:val="16"/>
          <w:szCs w:val="16"/>
          <w:lang w:val="pt-BR"/>
        </w:rPr>
        <w:t xml:space="preserve">Corte I.D.H., Caso Ricardo Canese Vs. Paraguay. Sentencia de 31 de agosto de 2004. </w:t>
      </w:r>
      <w:r w:rsidRPr="008330DD">
        <w:rPr>
          <w:rFonts w:asciiTheme="majorHAnsi" w:hAnsiTheme="majorHAnsi"/>
          <w:sz w:val="16"/>
          <w:szCs w:val="16"/>
          <w:lang w:val="es-AR"/>
        </w:rPr>
        <w:t xml:space="preserve">Serie C No. 111. Párr. 176. Citando: Corte I.D.H., Caso Baena Ricardo y otros Vs. Panamá. Excepciones Preliminares. Sentencia de 18 de noviembre de 1999. Serie C No. 61, párr. </w:t>
      </w:r>
      <w:r w:rsidRPr="008330DD">
        <w:rPr>
          <w:rFonts w:asciiTheme="majorHAnsi" w:hAnsiTheme="majorHAnsi"/>
          <w:sz w:val="16"/>
          <w:szCs w:val="16"/>
          <w:lang w:val="es-CO"/>
        </w:rPr>
        <w:t>107.</w:t>
      </w:r>
    </w:p>
  </w:footnote>
  <w:footnote w:id="92">
    <w:p w14:paraId="394B05E4" w14:textId="77777777" w:rsidR="0007239A" w:rsidRPr="008330DD" w:rsidRDefault="0007239A" w:rsidP="00DF586B">
      <w:pPr>
        <w:pStyle w:val="FootnoteText"/>
        <w:tabs>
          <w:tab w:val="num" w:pos="0"/>
        </w:tabs>
        <w:spacing w:before="0" w:after="120"/>
        <w:ind w:firstLine="720"/>
        <w:rPr>
          <w:rFonts w:asciiTheme="majorHAnsi" w:hAnsiTheme="majorHAnsi"/>
          <w:szCs w:val="16"/>
        </w:rPr>
      </w:pPr>
      <w:r w:rsidRPr="008330DD">
        <w:rPr>
          <w:rStyle w:val="FootnoteReference"/>
          <w:rFonts w:asciiTheme="majorHAnsi" w:hAnsiTheme="majorHAnsi"/>
          <w:szCs w:val="16"/>
        </w:rPr>
        <w:footnoteRef/>
      </w:r>
      <w:r w:rsidRPr="008330DD">
        <w:rPr>
          <w:rFonts w:asciiTheme="majorHAnsi" w:hAnsiTheme="majorHAnsi"/>
          <w:szCs w:val="16"/>
        </w:rPr>
        <w:t xml:space="preserve"> Cfr. Corte IDH, Caso López </w:t>
      </w:r>
      <w:proofErr w:type="spellStart"/>
      <w:r w:rsidRPr="008330DD">
        <w:rPr>
          <w:rFonts w:asciiTheme="majorHAnsi" w:hAnsiTheme="majorHAnsi"/>
          <w:szCs w:val="16"/>
        </w:rPr>
        <w:t>Lone</w:t>
      </w:r>
      <w:proofErr w:type="spellEnd"/>
      <w:r w:rsidRPr="008330DD">
        <w:rPr>
          <w:rFonts w:asciiTheme="majorHAnsi" w:hAnsiTheme="majorHAnsi"/>
          <w:szCs w:val="16"/>
        </w:rPr>
        <w:t xml:space="preserve"> y otros Vs. Honduras. Excepción Preliminar, Fondo, Reparaciones y Costas. Sentencia de 05 de octubre de 2015. Serie C No. 302, párr. 257 y Caso Maldonado Ordoñez Vs. Guatemala. Excepción Preliminar, Fondo, Reparaciones y Costas. Sentencia de 3 de mayo de 2016. Serie C No. 311, párr. 89. </w:t>
      </w:r>
      <w:r w:rsidRPr="008330DD">
        <w:rPr>
          <w:rFonts w:asciiTheme="majorHAnsi" w:hAnsiTheme="majorHAnsi"/>
          <w:szCs w:val="16"/>
          <w:lang w:val="es-US"/>
        </w:rPr>
        <w:t xml:space="preserve">Corte IDH. </w:t>
      </w:r>
      <w:r w:rsidRPr="008330DD">
        <w:rPr>
          <w:rFonts w:asciiTheme="majorHAnsi" w:hAnsiTheme="majorHAnsi"/>
          <w:bCs/>
          <w:szCs w:val="16"/>
          <w:lang w:val="es-AR"/>
        </w:rPr>
        <w:t xml:space="preserve">Caso Baena Ricardo y otros Vs. Panamá. </w:t>
      </w:r>
      <w:r w:rsidRPr="008330DD">
        <w:rPr>
          <w:rFonts w:asciiTheme="majorHAnsi" w:hAnsiTheme="majorHAnsi"/>
          <w:szCs w:val="16"/>
          <w:lang w:val="es-AR"/>
        </w:rPr>
        <w:t xml:space="preserve">Fondo, Reparaciones y Costas. Sentencia de 2 de febrero de 2001. Serie C No. 72, </w:t>
      </w:r>
      <w:proofErr w:type="spellStart"/>
      <w:r w:rsidRPr="008330DD">
        <w:rPr>
          <w:rFonts w:asciiTheme="majorHAnsi" w:hAnsiTheme="majorHAnsi"/>
          <w:szCs w:val="16"/>
          <w:lang w:val="es-AR"/>
        </w:rPr>
        <w:t>párrs</w:t>
      </w:r>
      <w:proofErr w:type="spellEnd"/>
      <w:r w:rsidRPr="008330DD">
        <w:rPr>
          <w:rFonts w:asciiTheme="majorHAnsi" w:hAnsiTheme="majorHAnsi"/>
          <w:szCs w:val="16"/>
          <w:lang w:val="es-AR"/>
        </w:rPr>
        <w:t>. 106 y 108.</w:t>
      </w:r>
    </w:p>
  </w:footnote>
  <w:footnote w:id="93">
    <w:p w14:paraId="0E2DBF0B" w14:textId="77777777" w:rsidR="0007239A" w:rsidRPr="008330DD" w:rsidRDefault="0007239A" w:rsidP="00DF586B">
      <w:pPr>
        <w:pStyle w:val="FootnoteText"/>
        <w:spacing w:before="0" w:after="120"/>
        <w:ind w:firstLine="720"/>
        <w:rPr>
          <w:rFonts w:asciiTheme="majorHAnsi" w:hAnsiTheme="majorHAnsi"/>
          <w:szCs w:val="16"/>
        </w:rPr>
      </w:pPr>
      <w:r w:rsidRPr="008330DD">
        <w:rPr>
          <w:rStyle w:val="FootnoteReference"/>
          <w:rFonts w:asciiTheme="majorHAnsi" w:hAnsiTheme="majorHAnsi"/>
          <w:szCs w:val="16"/>
        </w:rPr>
        <w:footnoteRef/>
      </w:r>
      <w:r w:rsidRPr="008330DD">
        <w:rPr>
          <w:rFonts w:asciiTheme="majorHAnsi" w:hAnsiTheme="majorHAnsi"/>
          <w:szCs w:val="16"/>
        </w:rPr>
        <w:t xml:space="preserve"> CIDH, Informe sobre Terrorismo y Derechos Humanos, OEA/SER.L/V/II.116, Doc. 5 </w:t>
      </w:r>
      <w:proofErr w:type="spellStart"/>
      <w:r w:rsidRPr="008330DD">
        <w:rPr>
          <w:rFonts w:asciiTheme="majorHAnsi" w:hAnsiTheme="majorHAnsi"/>
          <w:szCs w:val="16"/>
        </w:rPr>
        <w:t>rev.</w:t>
      </w:r>
      <w:proofErr w:type="spellEnd"/>
      <w:r w:rsidRPr="008330DD">
        <w:rPr>
          <w:rFonts w:asciiTheme="majorHAnsi" w:hAnsiTheme="majorHAnsi"/>
          <w:szCs w:val="16"/>
        </w:rPr>
        <w:t xml:space="preserve"> 1, </w:t>
      </w:r>
      <w:proofErr w:type="spellStart"/>
      <w:r w:rsidRPr="008330DD">
        <w:rPr>
          <w:rFonts w:asciiTheme="majorHAnsi" w:hAnsiTheme="majorHAnsi"/>
          <w:szCs w:val="16"/>
        </w:rPr>
        <w:t>corr</w:t>
      </w:r>
      <w:proofErr w:type="spellEnd"/>
      <w:r w:rsidRPr="008330DD">
        <w:rPr>
          <w:rFonts w:asciiTheme="majorHAnsi" w:hAnsiTheme="majorHAnsi"/>
          <w:szCs w:val="16"/>
        </w:rPr>
        <w:t>., 22 de octubre de 2002, párr. 225, y Resumen Ejecutivo, párr. 17.</w:t>
      </w:r>
    </w:p>
  </w:footnote>
  <w:footnote w:id="94">
    <w:p w14:paraId="0C06B9DA" w14:textId="5897C3A6" w:rsidR="0007239A" w:rsidRPr="008330DD" w:rsidRDefault="0007239A" w:rsidP="00DF586B">
      <w:pPr>
        <w:pStyle w:val="FootnoteText"/>
        <w:spacing w:before="0" w:after="120"/>
        <w:ind w:firstLine="720"/>
        <w:rPr>
          <w:rFonts w:asciiTheme="majorHAnsi" w:hAnsiTheme="majorHAnsi"/>
          <w:szCs w:val="16"/>
        </w:rPr>
      </w:pPr>
      <w:r w:rsidRPr="008330DD">
        <w:rPr>
          <w:rStyle w:val="FootnoteReference"/>
          <w:rFonts w:asciiTheme="majorHAnsi" w:hAnsiTheme="majorHAnsi"/>
          <w:szCs w:val="16"/>
        </w:rPr>
        <w:footnoteRef/>
      </w:r>
      <w:r w:rsidRPr="008330DD">
        <w:rPr>
          <w:rFonts w:asciiTheme="majorHAnsi" w:hAnsiTheme="majorHAnsi"/>
          <w:szCs w:val="16"/>
        </w:rPr>
        <w:t xml:space="preserve"> CIDH, Demanda y alegatos ante la Corte Interamericana de Derechos Humanos en el caso De la Cruz Flores Vs. Perú; referidos en: Corte IDH, Caso De la Cruz Flores Vs. Perú, sentencia del 18 de noviembre de 2004 (fondo, reparaciones y costas), Serie C. No. 115, párr. 74.</w:t>
      </w:r>
    </w:p>
  </w:footnote>
  <w:footnote w:id="95">
    <w:p w14:paraId="7914A427" w14:textId="1A19F47A" w:rsidR="0007239A" w:rsidRPr="0092611C" w:rsidRDefault="0007239A" w:rsidP="00DF586B">
      <w:pPr>
        <w:pStyle w:val="FootnoteText"/>
        <w:spacing w:before="0" w:after="120"/>
        <w:ind w:firstLine="720"/>
        <w:rPr>
          <w:rFonts w:asciiTheme="majorHAnsi" w:hAnsiTheme="majorHAnsi"/>
          <w:szCs w:val="16"/>
        </w:rPr>
      </w:pPr>
      <w:r w:rsidRPr="008330DD">
        <w:rPr>
          <w:rStyle w:val="FootnoteReference"/>
          <w:rFonts w:asciiTheme="majorHAnsi" w:hAnsiTheme="majorHAnsi"/>
          <w:szCs w:val="16"/>
        </w:rPr>
        <w:footnoteRef/>
      </w:r>
      <w:r w:rsidRPr="008330DD">
        <w:rPr>
          <w:rFonts w:asciiTheme="majorHAnsi" w:hAnsiTheme="majorHAnsi"/>
          <w:szCs w:val="16"/>
        </w:rPr>
        <w:t xml:space="preserve"> Corte I.D.H., Caso López </w:t>
      </w:r>
      <w:proofErr w:type="spellStart"/>
      <w:r w:rsidRPr="008330DD">
        <w:rPr>
          <w:rFonts w:asciiTheme="majorHAnsi" w:hAnsiTheme="majorHAnsi"/>
          <w:szCs w:val="16"/>
        </w:rPr>
        <w:t>Lone</w:t>
      </w:r>
      <w:proofErr w:type="spellEnd"/>
      <w:r w:rsidRPr="008330DD">
        <w:rPr>
          <w:rFonts w:asciiTheme="majorHAnsi" w:hAnsiTheme="majorHAnsi"/>
          <w:szCs w:val="16"/>
        </w:rPr>
        <w:t xml:space="preserve"> y otros Vs. Honduras. Excepción Preliminar, Fondo, Reparaciones y Costas. Sentencia de 05 de octubre de 2015. Serie C No</w:t>
      </w:r>
      <w:r w:rsidRPr="0092611C">
        <w:rPr>
          <w:rFonts w:asciiTheme="majorHAnsi" w:hAnsiTheme="majorHAnsi"/>
          <w:szCs w:val="16"/>
        </w:rPr>
        <w:t>. 302, párr. 257.</w:t>
      </w:r>
    </w:p>
  </w:footnote>
  <w:footnote w:id="96">
    <w:p w14:paraId="27EA62B5" w14:textId="77777777" w:rsidR="0007239A" w:rsidRPr="0092611C" w:rsidRDefault="0007239A" w:rsidP="00DF586B">
      <w:pPr>
        <w:pStyle w:val="FootnoteText"/>
        <w:spacing w:before="0" w:after="120"/>
        <w:ind w:firstLine="720"/>
        <w:rPr>
          <w:rFonts w:asciiTheme="majorHAnsi" w:hAnsiTheme="majorHAnsi"/>
          <w:szCs w:val="16"/>
        </w:rPr>
      </w:pPr>
      <w:r w:rsidRPr="0092611C">
        <w:rPr>
          <w:rStyle w:val="FootnoteReference"/>
          <w:rFonts w:asciiTheme="majorHAnsi" w:hAnsiTheme="majorHAnsi"/>
          <w:szCs w:val="16"/>
        </w:rPr>
        <w:footnoteRef/>
      </w:r>
      <w:r w:rsidRPr="0092611C">
        <w:rPr>
          <w:rFonts w:asciiTheme="majorHAnsi" w:hAnsiTheme="majorHAnsi"/>
          <w:szCs w:val="16"/>
        </w:rPr>
        <w:t xml:space="preserve"> Corte I.D.H., Caso López </w:t>
      </w:r>
      <w:proofErr w:type="spellStart"/>
      <w:r w:rsidRPr="0092611C">
        <w:rPr>
          <w:rFonts w:asciiTheme="majorHAnsi" w:hAnsiTheme="majorHAnsi"/>
          <w:szCs w:val="16"/>
        </w:rPr>
        <w:t>Lone</w:t>
      </w:r>
      <w:proofErr w:type="spellEnd"/>
      <w:r w:rsidRPr="0092611C">
        <w:rPr>
          <w:rFonts w:asciiTheme="majorHAnsi" w:hAnsiTheme="majorHAnsi"/>
          <w:szCs w:val="16"/>
        </w:rPr>
        <w:t xml:space="preserve"> y otros Vs. Honduras. Excepción Preliminar, Fondo, Reparaciones y Costas. Sentencia de 05 de octubre de 2015. Serie C No. 302, párr. 259.</w:t>
      </w:r>
      <w:r w:rsidRPr="0092611C">
        <w:rPr>
          <w:rFonts w:asciiTheme="majorHAnsi" w:hAnsiTheme="majorHAnsi" w:cs="Verdana"/>
          <w:szCs w:val="16"/>
          <w:lang w:val="es-UY"/>
        </w:rPr>
        <w:t xml:space="preserve"> </w:t>
      </w:r>
    </w:p>
  </w:footnote>
  <w:footnote w:id="97">
    <w:p w14:paraId="65D97B04" w14:textId="77777777" w:rsidR="0007239A" w:rsidRPr="0092611C" w:rsidRDefault="0007239A" w:rsidP="00DF586B">
      <w:pPr>
        <w:pStyle w:val="FootnoteText"/>
        <w:spacing w:before="0" w:after="120"/>
        <w:ind w:firstLine="720"/>
        <w:rPr>
          <w:rFonts w:asciiTheme="majorHAnsi" w:hAnsiTheme="majorHAnsi"/>
          <w:szCs w:val="16"/>
        </w:rPr>
      </w:pPr>
      <w:r w:rsidRPr="0092611C">
        <w:rPr>
          <w:rStyle w:val="FootnoteReference"/>
          <w:rFonts w:asciiTheme="majorHAnsi" w:hAnsiTheme="majorHAnsi"/>
          <w:szCs w:val="16"/>
        </w:rPr>
        <w:footnoteRef/>
      </w:r>
      <w:r w:rsidRPr="0092611C">
        <w:rPr>
          <w:rFonts w:asciiTheme="majorHAnsi" w:hAnsiTheme="majorHAnsi"/>
          <w:szCs w:val="16"/>
          <w:lang w:val="es-CO"/>
        </w:rPr>
        <w:t xml:space="preserve"> </w:t>
      </w:r>
      <w:r w:rsidRPr="0092611C">
        <w:rPr>
          <w:rFonts w:asciiTheme="majorHAnsi" w:hAnsiTheme="majorHAnsi"/>
          <w:noProof/>
          <w:szCs w:val="16"/>
          <w:lang w:val="es-CO"/>
        </w:rPr>
        <w:t xml:space="preserve">Corte IDH, Caso Maldonado Ordoñez Vs. </w:t>
      </w:r>
      <w:r w:rsidRPr="0092611C">
        <w:rPr>
          <w:rFonts w:asciiTheme="majorHAnsi" w:hAnsiTheme="majorHAnsi"/>
          <w:noProof/>
          <w:szCs w:val="16"/>
        </w:rPr>
        <w:t>Guatemala. Excepcion Preliminar, Fondo, Reparaciones y Costas. Sentencia de 3 de Mayo de 2016. Serie C No. 311, párr. 87.</w:t>
      </w:r>
    </w:p>
  </w:footnote>
  <w:footnote w:id="98">
    <w:p w14:paraId="63512A4F" w14:textId="77777777" w:rsidR="0007239A" w:rsidRPr="0092611C" w:rsidRDefault="0007239A" w:rsidP="00DF586B">
      <w:pPr>
        <w:pStyle w:val="FootnoteText"/>
        <w:spacing w:before="0" w:after="120"/>
        <w:ind w:firstLine="720"/>
        <w:rPr>
          <w:rFonts w:asciiTheme="majorHAnsi" w:hAnsiTheme="majorHAnsi"/>
          <w:szCs w:val="16"/>
        </w:rPr>
      </w:pPr>
      <w:r w:rsidRPr="0092611C">
        <w:rPr>
          <w:rStyle w:val="FootnoteReference"/>
          <w:rFonts w:asciiTheme="majorHAnsi" w:hAnsiTheme="majorHAnsi"/>
          <w:szCs w:val="16"/>
        </w:rPr>
        <w:footnoteRef/>
      </w:r>
      <w:r w:rsidRPr="0092611C">
        <w:rPr>
          <w:rFonts w:asciiTheme="majorHAnsi" w:hAnsiTheme="majorHAnsi"/>
          <w:szCs w:val="16"/>
          <w:lang w:val="es-CR"/>
        </w:rPr>
        <w:t xml:space="preserve"> </w:t>
      </w:r>
      <w:r w:rsidRPr="0092611C">
        <w:rPr>
          <w:rFonts w:asciiTheme="majorHAnsi" w:hAnsiTheme="majorHAnsi"/>
          <w:szCs w:val="16"/>
        </w:rPr>
        <w:t xml:space="preserve">Corte IDH. </w:t>
      </w:r>
      <w:r w:rsidRPr="0092611C">
        <w:rPr>
          <w:rFonts w:asciiTheme="majorHAnsi" w:hAnsiTheme="majorHAnsi"/>
          <w:bCs/>
          <w:szCs w:val="16"/>
        </w:rPr>
        <w:t xml:space="preserve">Caso </w:t>
      </w:r>
      <w:proofErr w:type="spellStart"/>
      <w:r w:rsidRPr="0092611C">
        <w:rPr>
          <w:rFonts w:asciiTheme="majorHAnsi" w:hAnsiTheme="majorHAnsi"/>
          <w:bCs/>
          <w:szCs w:val="16"/>
        </w:rPr>
        <w:t>Apitz</w:t>
      </w:r>
      <w:proofErr w:type="spellEnd"/>
      <w:r w:rsidRPr="0092611C">
        <w:rPr>
          <w:rFonts w:asciiTheme="majorHAnsi" w:hAnsiTheme="majorHAnsi"/>
          <w:bCs/>
          <w:szCs w:val="16"/>
        </w:rPr>
        <w:t xml:space="preserve"> Barbera y otros (“Corte Primera de lo Contencioso Administrativo”) Vs. Venezuela. </w:t>
      </w:r>
      <w:r w:rsidRPr="0092611C">
        <w:rPr>
          <w:rFonts w:asciiTheme="majorHAnsi" w:hAnsiTheme="majorHAnsi"/>
          <w:szCs w:val="16"/>
        </w:rPr>
        <w:t>Excepción Preliminar, Fondo, Reparaciones y Costas. Sentencia de 5 de agosto de 2008. Serie C No 182, párr. 78,</w:t>
      </w:r>
      <w:r w:rsidRPr="0092611C">
        <w:rPr>
          <w:rFonts w:asciiTheme="majorHAnsi" w:hAnsiTheme="majorHAnsi"/>
          <w:szCs w:val="16"/>
          <w:lang w:val="es-CO"/>
        </w:rPr>
        <w:t xml:space="preserve"> y Caso del Tribunal Constitucional Vs. Perú. Sentencia de 31 de enero de 2001. Serie C No. 71, párr. 224.</w:t>
      </w:r>
    </w:p>
  </w:footnote>
  <w:footnote w:id="99">
    <w:p w14:paraId="3BD0FB15" w14:textId="77777777" w:rsidR="0007239A" w:rsidRPr="0092611C" w:rsidRDefault="0007239A" w:rsidP="00DF586B">
      <w:pPr>
        <w:pStyle w:val="FootnoteText"/>
        <w:spacing w:before="0" w:after="120"/>
        <w:ind w:firstLine="720"/>
        <w:rPr>
          <w:rFonts w:asciiTheme="majorHAnsi" w:hAnsiTheme="majorHAnsi"/>
          <w:szCs w:val="16"/>
          <w:lang w:val="es-ES"/>
        </w:rPr>
      </w:pPr>
      <w:r w:rsidRPr="0092611C">
        <w:rPr>
          <w:rStyle w:val="FootnoteReference"/>
          <w:rFonts w:asciiTheme="majorHAnsi" w:hAnsiTheme="majorHAnsi"/>
          <w:szCs w:val="16"/>
        </w:rPr>
        <w:footnoteRef/>
      </w:r>
      <w:r w:rsidRPr="0092611C">
        <w:rPr>
          <w:rFonts w:asciiTheme="majorHAnsi" w:hAnsiTheme="majorHAnsi"/>
          <w:szCs w:val="16"/>
          <w:lang w:val="es-ES"/>
        </w:rPr>
        <w:t xml:space="preserve"> Corte IDH. </w:t>
      </w:r>
      <w:hyperlink r:id="rId3" w:history="1">
        <w:r w:rsidRPr="0092611C">
          <w:rPr>
            <w:rStyle w:val="Hyperlink"/>
            <w:rFonts w:asciiTheme="majorHAnsi" w:hAnsiTheme="majorHAnsi" w:cs="Arial"/>
            <w:szCs w:val="16"/>
            <w:shd w:val="clear" w:color="auto" w:fill="FFFFFF"/>
            <w:lang w:val="es-ES"/>
          </w:rPr>
          <w:t>Caso De la Cruz Flores Vs. Perú. Fondo, Reparaciones y Costas. Sentencia de 18 de noviembre de 2004. Serie C No. 115</w:t>
        </w:r>
      </w:hyperlink>
      <w:r w:rsidRPr="0092611C">
        <w:rPr>
          <w:rFonts w:asciiTheme="majorHAnsi" w:hAnsiTheme="majorHAnsi"/>
          <w:szCs w:val="16"/>
          <w:lang w:val="es-ES"/>
        </w:rPr>
        <w:t>, párr. 84.</w:t>
      </w:r>
    </w:p>
  </w:footnote>
  <w:footnote w:id="100">
    <w:p w14:paraId="5B3D1B0F" w14:textId="77777777" w:rsidR="0007239A" w:rsidRPr="0092611C" w:rsidRDefault="0007239A" w:rsidP="00DF586B">
      <w:pPr>
        <w:pStyle w:val="FootnoteText"/>
        <w:spacing w:before="0" w:after="120"/>
        <w:ind w:firstLine="720"/>
        <w:rPr>
          <w:rFonts w:asciiTheme="majorHAnsi" w:hAnsiTheme="majorHAnsi"/>
          <w:szCs w:val="16"/>
        </w:rPr>
      </w:pPr>
      <w:r w:rsidRPr="0092611C">
        <w:rPr>
          <w:rStyle w:val="FootnoteReference"/>
          <w:rFonts w:asciiTheme="majorHAnsi" w:hAnsiTheme="majorHAnsi"/>
          <w:szCs w:val="16"/>
        </w:rPr>
        <w:footnoteRef/>
      </w:r>
      <w:r w:rsidRPr="0092611C">
        <w:rPr>
          <w:rFonts w:asciiTheme="majorHAnsi" w:hAnsiTheme="majorHAnsi"/>
          <w:szCs w:val="16"/>
        </w:rPr>
        <w:t xml:space="preserve"> </w:t>
      </w:r>
      <w:r w:rsidRPr="0092611C">
        <w:rPr>
          <w:rFonts w:asciiTheme="majorHAnsi" w:hAnsiTheme="majorHAnsi"/>
          <w:szCs w:val="16"/>
          <w:lang w:val="es-CO"/>
        </w:rPr>
        <w:t xml:space="preserve">Corte IDH. Caso López </w:t>
      </w:r>
      <w:proofErr w:type="spellStart"/>
      <w:r w:rsidRPr="0092611C">
        <w:rPr>
          <w:rFonts w:asciiTheme="majorHAnsi" w:hAnsiTheme="majorHAnsi"/>
          <w:szCs w:val="16"/>
          <w:lang w:val="es-CO"/>
        </w:rPr>
        <w:t>Lone</w:t>
      </w:r>
      <w:proofErr w:type="spellEnd"/>
      <w:r w:rsidRPr="0092611C">
        <w:rPr>
          <w:rFonts w:asciiTheme="majorHAnsi" w:hAnsiTheme="majorHAnsi"/>
          <w:szCs w:val="16"/>
          <w:lang w:val="es-CO"/>
        </w:rPr>
        <w:t xml:space="preserve"> y otros Vs. Honduras. Excepción Preliminar, Fondo, Reparaciones y Costas. Sentencia de  05 de octubre de 2015. Serie C No. 302, párr. 259.</w:t>
      </w:r>
    </w:p>
  </w:footnote>
  <w:footnote w:id="101">
    <w:p w14:paraId="524404C3" w14:textId="77777777" w:rsidR="0007239A" w:rsidRPr="0092611C" w:rsidRDefault="0007239A" w:rsidP="00DF586B">
      <w:pPr>
        <w:pStyle w:val="FootnoteText"/>
        <w:tabs>
          <w:tab w:val="left" w:pos="567"/>
        </w:tabs>
        <w:spacing w:before="0" w:after="120"/>
        <w:ind w:firstLine="720"/>
        <w:rPr>
          <w:rFonts w:asciiTheme="majorHAnsi" w:hAnsiTheme="majorHAnsi"/>
          <w:szCs w:val="16"/>
          <w:lang w:val="es-CR"/>
        </w:rPr>
      </w:pPr>
      <w:r w:rsidRPr="0092611C">
        <w:rPr>
          <w:rStyle w:val="FootnoteReference"/>
          <w:rFonts w:asciiTheme="majorHAnsi" w:hAnsiTheme="majorHAnsi"/>
          <w:szCs w:val="16"/>
          <w:lang w:val="es-CR"/>
        </w:rPr>
        <w:footnoteRef/>
      </w:r>
      <w:r w:rsidRPr="0092611C">
        <w:rPr>
          <w:rFonts w:asciiTheme="majorHAnsi" w:hAnsiTheme="majorHAnsi"/>
          <w:szCs w:val="16"/>
          <w:lang w:val="es-CO"/>
        </w:rPr>
        <w:t xml:space="preserve"> Corte IDH. </w:t>
      </w:r>
      <w:r w:rsidRPr="0092611C">
        <w:rPr>
          <w:rFonts w:asciiTheme="majorHAnsi" w:hAnsiTheme="majorHAnsi" w:cs="Verdana"/>
          <w:iCs/>
          <w:szCs w:val="16"/>
          <w:lang w:val="es-CO" w:bidi="en-US"/>
        </w:rPr>
        <w:t>Cfr.</w:t>
      </w:r>
      <w:r w:rsidRPr="0092611C">
        <w:rPr>
          <w:rFonts w:asciiTheme="majorHAnsi" w:hAnsiTheme="majorHAnsi" w:cs="Verdana"/>
          <w:szCs w:val="16"/>
          <w:lang w:val="es-CO" w:bidi="en-US"/>
        </w:rPr>
        <w:t xml:space="preserve"> Caso </w:t>
      </w:r>
      <w:proofErr w:type="spellStart"/>
      <w:r w:rsidRPr="0092611C">
        <w:rPr>
          <w:rFonts w:asciiTheme="majorHAnsi" w:hAnsiTheme="majorHAnsi" w:cs="Verdana"/>
          <w:szCs w:val="16"/>
          <w:lang w:val="es-CO" w:bidi="en-US"/>
        </w:rPr>
        <w:t>Genie</w:t>
      </w:r>
      <w:proofErr w:type="spellEnd"/>
      <w:r w:rsidRPr="0092611C">
        <w:rPr>
          <w:rFonts w:asciiTheme="majorHAnsi" w:hAnsiTheme="majorHAnsi" w:cs="Verdana"/>
          <w:szCs w:val="16"/>
          <w:lang w:val="es-CO" w:bidi="en-US"/>
        </w:rPr>
        <w:t xml:space="preserve"> Lacayo Vs. Nicaragua. </w:t>
      </w:r>
      <w:r w:rsidRPr="0092611C">
        <w:rPr>
          <w:rFonts w:asciiTheme="majorHAnsi" w:hAnsiTheme="majorHAnsi" w:cs="Verdana"/>
          <w:szCs w:val="16"/>
          <w:lang w:val="es-CR" w:bidi="en-US"/>
        </w:rPr>
        <w:t xml:space="preserve">Fondo, Reparaciones y Costas. Sentencia de 29 de enero de 1997. Serie C No. 30, párr. 74, y </w:t>
      </w:r>
      <w:r w:rsidRPr="0092611C">
        <w:rPr>
          <w:rFonts w:asciiTheme="majorHAnsi" w:hAnsiTheme="majorHAnsi" w:cs="Verdana"/>
          <w:iCs/>
          <w:szCs w:val="16"/>
          <w:lang w:val="es-CR" w:bidi="en-US"/>
        </w:rPr>
        <w:t xml:space="preserve">Caso Cabrera García y Montiel Flores Vs. México. Excepción Preliminar, Fondo, Reparaciones y Costas. Sentencia de 26 de noviembre de 2010. Serie C No. 220, </w:t>
      </w:r>
      <w:r w:rsidRPr="0092611C">
        <w:rPr>
          <w:rFonts w:asciiTheme="majorHAnsi" w:hAnsiTheme="majorHAnsi" w:cs="Verdana"/>
          <w:szCs w:val="16"/>
          <w:lang w:val="es-CR" w:bidi="en-US"/>
        </w:rPr>
        <w:t>párr. 140.</w:t>
      </w:r>
    </w:p>
  </w:footnote>
  <w:footnote w:id="102">
    <w:p w14:paraId="16777F6A" w14:textId="7292C580" w:rsidR="0007239A" w:rsidRPr="0092611C" w:rsidRDefault="0007239A" w:rsidP="00DF586B">
      <w:pPr>
        <w:autoSpaceDE w:val="0"/>
        <w:autoSpaceDN w:val="0"/>
        <w:adjustRightInd w:val="0"/>
        <w:spacing w:after="120"/>
        <w:ind w:firstLine="720"/>
        <w:jc w:val="both"/>
        <w:rPr>
          <w:rFonts w:asciiTheme="majorHAnsi" w:hAnsiTheme="majorHAnsi"/>
          <w:sz w:val="16"/>
          <w:szCs w:val="16"/>
          <w:lang w:val="es-UY"/>
        </w:rPr>
      </w:pPr>
      <w:r w:rsidRPr="0092611C">
        <w:rPr>
          <w:rStyle w:val="FootnoteReference"/>
          <w:rFonts w:asciiTheme="majorHAnsi" w:hAnsiTheme="majorHAnsi"/>
          <w:sz w:val="16"/>
          <w:szCs w:val="16"/>
        </w:rPr>
        <w:footnoteRef/>
      </w:r>
      <w:r w:rsidRPr="0092611C">
        <w:rPr>
          <w:rFonts w:asciiTheme="majorHAnsi" w:hAnsiTheme="majorHAnsi"/>
          <w:sz w:val="16"/>
          <w:szCs w:val="16"/>
          <w:lang w:val="es-UY"/>
        </w:rPr>
        <w:t xml:space="preserve"> Así, la Comisión ha indicado que: “[o]</w:t>
      </w:r>
      <w:proofErr w:type="spellStart"/>
      <w:r w:rsidRPr="0092611C">
        <w:rPr>
          <w:rFonts w:asciiTheme="majorHAnsi" w:hAnsiTheme="majorHAnsi"/>
          <w:sz w:val="16"/>
          <w:szCs w:val="16"/>
          <w:lang w:val="es-UY"/>
        </w:rPr>
        <w:t>ír</w:t>
      </w:r>
      <w:proofErr w:type="spellEnd"/>
      <w:r w:rsidRPr="0092611C">
        <w:rPr>
          <w:rFonts w:asciiTheme="majorHAnsi" w:hAnsiTheme="majorHAnsi"/>
          <w:sz w:val="16"/>
          <w:szCs w:val="16"/>
          <w:lang w:val="es-UY"/>
        </w:rPr>
        <w:t xml:space="preserve"> a una persona investigada implica permitir que se defienda con propiedad, asistida por abogado, con conocimiento de todos los elementos que puedan obrar en su contra en el expediente; oírle es permitir su presencia en los interrogatorios de testigos que puedan declarar en su contra, permitirle tacharlos, contrainterrogarlos con el fin de desvirtuar sus declaraciones incriminatorias por contradictorias o por falsas; oír a un procesado es darle la oportunidad de desconocer, de restar valor a los documentos que se pretenden utilizar en su contra”.</w:t>
      </w:r>
      <w:r w:rsidRPr="0092611C">
        <w:rPr>
          <w:rFonts w:asciiTheme="majorHAnsi" w:hAnsiTheme="majorHAnsi"/>
          <w:bCs/>
          <w:sz w:val="16"/>
          <w:szCs w:val="16"/>
          <w:lang w:val="es-UY"/>
        </w:rPr>
        <w:t xml:space="preserve"> </w:t>
      </w:r>
      <w:r w:rsidRPr="0092611C">
        <w:rPr>
          <w:rFonts w:asciiTheme="majorHAnsi" w:hAnsiTheme="majorHAnsi" w:cs="PalatinoLinotype-Roman"/>
          <w:sz w:val="16"/>
          <w:szCs w:val="16"/>
          <w:lang w:val="es-UY"/>
        </w:rPr>
        <w:t xml:space="preserve">CIDH. Informe </w:t>
      </w:r>
      <w:proofErr w:type="spellStart"/>
      <w:r w:rsidRPr="0092611C">
        <w:rPr>
          <w:rFonts w:asciiTheme="majorHAnsi" w:hAnsiTheme="majorHAnsi" w:cs="PalatinoLinotype-Roman"/>
          <w:sz w:val="16"/>
          <w:szCs w:val="16"/>
          <w:lang w:val="es-UY"/>
        </w:rPr>
        <w:t>N.o</w:t>
      </w:r>
      <w:proofErr w:type="spellEnd"/>
      <w:r w:rsidRPr="0092611C">
        <w:rPr>
          <w:rFonts w:asciiTheme="majorHAnsi" w:hAnsiTheme="majorHAnsi" w:cs="PalatinoLinotype-Roman"/>
          <w:sz w:val="16"/>
          <w:szCs w:val="16"/>
          <w:lang w:val="es-UY"/>
        </w:rPr>
        <w:t xml:space="preserve"> 50/00 del Caso 11.298, </w:t>
      </w:r>
      <w:r w:rsidRPr="0092611C">
        <w:rPr>
          <w:rFonts w:asciiTheme="majorHAnsi" w:hAnsiTheme="majorHAnsi" w:cs="PalatinoLinotype-Italic"/>
          <w:iCs/>
          <w:sz w:val="16"/>
          <w:szCs w:val="16"/>
          <w:lang w:val="es-UY"/>
        </w:rPr>
        <w:t xml:space="preserve">Reinaldo Figueredo Planchart </w:t>
      </w:r>
      <w:r w:rsidRPr="008F5E2F">
        <w:rPr>
          <w:rFonts w:asciiTheme="majorHAnsi" w:hAnsiTheme="majorHAnsi" w:cs="PalatinoLinotype-Italic"/>
          <w:iCs/>
          <w:sz w:val="16"/>
          <w:szCs w:val="16"/>
          <w:lang w:val="es-UY"/>
        </w:rPr>
        <w:t>V</w:t>
      </w:r>
      <w:r w:rsidRPr="0092611C">
        <w:rPr>
          <w:rFonts w:asciiTheme="majorHAnsi" w:hAnsiTheme="majorHAnsi" w:cs="PalatinoLinotype-Italic"/>
          <w:iCs/>
          <w:sz w:val="16"/>
          <w:szCs w:val="16"/>
          <w:lang w:val="es-UY"/>
        </w:rPr>
        <w:t>s. Venezuela</w:t>
      </w:r>
      <w:r w:rsidRPr="0092611C">
        <w:rPr>
          <w:rFonts w:asciiTheme="majorHAnsi" w:hAnsiTheme="majorHAnsi" w:cs="PalatinoLinotype-Roman"/>
          <w:sz w:val="16"/>
          <w:szCs w:val="16"/>
          <w:lang w:val="es-UY"/>
        </w:rPr>
        <w:t>, párr.112.</w:t>
      </w:r>
    </w:p>
  </w:footnote>
  <w:footnote w:id="103">
    <w:p w14:paraId="015FBF6E" w14:textId="77777777" w:rsidR="0007239A" w:rsidRPr="0092611C" w:rsidRDefault="0007239A" w:rsidP="00DF586B">
      <w:pPr>
        <w:pStyle w:val="FootnoteText"/>
        <w:spacing w:before="0" w:after="120"/>
        <w:ind w:firstLine="720"/>
        <w:rPr>
          <w:rFonts w:asciiTheme="majorHAnsi" w:hAnsiTheme="majorHAnsi"/>
          <w:szCs w:val="16"/>
        </w:rPr>
      </w:pPr>
      <w:r w:rsidRPr="0092611C">
        <w:rPr>
          <w:rStyle w:val="FootnoteReference"/>
          <w:rFonts w:asciiTheme="majorHAnsi" w:hAnsiTheme="majorHAnsi"/>
          <w:szCs w:val="16"/>
        </w:rPr>
        <w:footnoteRef/>
      </w:r>
      <w:r w:rsidRPr="0092611C">
        <w:rPr>
          <w:rFonts w:asciiTheme="majorHAnsi" w:hAnsiTheme="majorHAnsi"/>
          <w:szCs w:val="16"/>
        </w:rPr>
        <w:t xml:space="preserve"> Corte IDH. </w:t>
      </w:r>
      <w:r w:rsidRPr="0092611C">
        <w:rPr>
          <w:rFonts w:asciiTheme="majorHAnsi" w:hAnsiTheme="majorHAnsi"/>
          <w:bCs/>
          <w:szCs w:val="16"/>
        </w:rPr>
        <w:t xml:space="preserve">Caso </w:t>
      </w:r>
      <w:proofErr w:type="spellStart"/>
      <w:r w:rsidRPr="0092611C">
        <w:rPr>
          <w:rFonts w:asciiTheme="majorHAnsi" w:hAnsiTheme="majorHAnsi"/>
          <w:bCs/>
          <w:szCs w:val="16"/>
        </w:rPr>
        <w:t>Apitz</w:t>
      </w:r>
      <w:proofErr w:type="spellEnd"/>
      <w:r w:rsidRPr="0092611C">
        <w:rPr>
          <w:rFonts w:asciiTheme="majorHAnsi" w:hAnsiTheme="majorHAnsi"/>
          <w:bCs/>
          <w:szCs w:val="16"/>
        </w:rPr>
        <w:t xml:space="preserve"> Barbera y otros (“Corte Primera de lo Contencioso Administrativo”) Vs. Venezuela. </w:t>
      </w:r>
      <w:r w:rsidRPr="0092611C">
        <w:rPr>
          <w:rFonts w:asciiTheme="majorHAnsi" w:hAnsiTheme="majorHAnsi"/>
          <w:szCs w:val="16"/>
        </w:rPr>
        <w:t>Excepción Preliminar, Fondo, Reparaciones y Costas. Sentencia de 5 de agosto de 2008. Serie C No 182,</w:t>
      </w:r>
      <w:r w:rsidRPr="0092611C">
        <w:rPr>
          <w:rFonts w:asciiTheme="majorHAnsi" w:hAnsiTheme="majorHAnsi"/>
          <w:szCs w:val="16"/>
          <w:lang w:val="es-CR"/>
        </w:rPr>
        <w:t xml:space="preserve"> párr. 75.</w:t>
      </w:r>
    </w:p>
  </w:footnote>
  <w:footnote w:id="104">
    <w:p w14:paraId="513FA219" w14:textId="1DBECC75" w:rsidR="0007239A" w:rsidRPr="00DF586B" w:rsidRDefault="0007239A" w:rsidP="00DF586B">
      <w:pPr>
        <w:pStyle w:val="FootnoteText"/>
        <w:spacing w:before="0" w:after="120"/>
        <w:ind w:firstLine="720"/>
        <w:rPr>
          <w:rFonts w:asciiTheme="majorHAnsi" w:hAnsiTheme="majorHAnsi"/>
          <w:szCs w:val="16"/>
          <w:lang w:val="es-ES"/>
        </w:rPr>
      </w:pPr>
      <w:r w:rsidRPr="00DF586B">
        <w:rPr>
          <w:rStyle w:val="FootnoteReference"/>
          <w:rFonts w:asciiTheme="majorHAnsi" w:hAnsiTheme="majorHAnsi"/>
          <w:szCs w:val="16"/>
        </w:rPr>
        <w:footnoteRef/>
      </w:r>
      <w:r w:rsidRPr="00DF586B">
        <w:rPr>
          <w:rFonts w:asciiTheme="majorHAnsi" w:hAnsiTheme="majorHAnsi"/>
          <w:szCs w:val="16"/>
        </w:rPr>
        <w:t xml:space="preserve"> Corte I.D.H. Caso del Tribunal Constitucional. Sentencia de 31 de enero de 2001. </w:t>
      </w:r>
      <w:r w:rsidRPr="00DF586B">
        <w:rPr>
          <w:rFonts w:asciiTheme="majorHAnsi" w:hAnsiTheme="majorHAnsi"/>
          <w:szCs w:val="16"/>
          <w:lang w:val="es-ES"/>
        </w:rPr>
        <w:t xml:space="preserve">Serie C No. 74, </w:t>
      </w:r>
      <w:proofErr w:type="spellStart"/>
      <w:r w:rsidRPr="00DF586B">
        <w:rPr>
          <w:rFonts w:asciiTheme="majorHAnsi" w:hAnsiTheme="majorHAnsi"/>
          <w:szCs w:val="16"/>
          <w:lang w:val="es-ES"/>
        </w:rPr>
        <w:t>párrs</w:t>
      </w:r>
      <w:proofErr w:type="spellEnd"/>
      <w:r w:rsidRPr="00DF586B">
        <w:rPr>
          <w:rFonts w:asciiTheme="majorHAnsi" w:hAnsiTheme="majorHAnsi"/>
          <w:szCs w:val="16"/>
          <w:lang w:val="es-ES"/>
        </w:rPr>
        <w:t xml:space="preserve">. </w:t>
      </w:r>
      <w:r w:rsidRPr="00DF586B">
        <w:rPr>
          <w:rFonts w:asciiTheme="majorHAnsi" w:hAnsiTheme="majorHAnsi"/>
          <w:szCs w:val="16"/>
          <w:lang w:val="es-MX"/>
        </w:rPr>
        <w:t xml:space="preserve">73 y 74. </w:t>
      </w:r>
      <w:r w:rsidRPr="00DF586B">
        <w:rPr>
          <w:rFonts w:asciiTheme="majorHAnsi" w:hAnsiTheme="majorHAnsi"/>
          <w:szCs w:val="16"/>
          <w:lang w:val="es-ES"/>
        </w:rPr>
        <w:t>CIDH, Informe No. 30/97. Caso 10.087 (Fondo) Gustavo Carranza, Argentina, 30 de septiembre de 1997, párr.68.</w:t>
      </w:r>
    </w:p>
  </w:footnote>
  <w:footnote w:id="105">
    <w:p w14:paraId="113A6956" w14:textId="77777777" w:rsidR="0007239A" w:rsidRPr="0092611C" w:rsidRDefault="0007239A" w:rsidP="00DF586B">
      <w:pPr>
        <w:spacing w:after="120"/>
        <w:ind w:firstLine="720"/>
        <w:jc w:val="both"/>
        <w:rPr>
          <w:rFonts w:asciiTheme="majorHAnsi" w:hAnsiTheme="majorHAnsi"/>
          <w:sz w:val="16"/>
          <w:szCs w:val="16"/>
          <w:lang w:val="es-UY"/>
        </w:rPr>
      </w:pPr>
      <w:r w:rsidRPr="00DF586B">
        <w:rPr>
          <w:rStyle w:val="FootnoteReference"/>
          <w:rFonts w:asciiTheme="majorHAnsi" w:hAnsiTheme="majorHAnsi"/>
          <w:sz w:val="16"/>
          <w:szCs w:val="16"/>
        </w:rPr>
        <w:footnoteRef/>
      </w:r>
      <w:r w:rsidRPr="00DF586B">
        <w:rPr>
          <w:rFonts w:asciiTheme="majorHAnsi" w:hAnsiTheme="majorHAnsi"/>
          <w:sz w:val="16"/>
          <w:szCs w:val="16"/>
          <w:lang w:val="es-ES"/>
        </w:rPr>
        <w:t xml:space="preserve"> Corte I.D.H., Caso del</w:t>
      </w:r>
      <w:r w:rsidRPr="0092611C">
        <w:rPr>
          <w:rFonts w:asciiTheme="majorHAnsi" w:hAnsiTheme="majorHAnsi"/>
          <w:sz w:val="16"/>
          <w:szCs w:val="16"/>
          <w:lang w:val="es-ES"/>
        </w:rPr>
        <w:t xml:space="preserve"> </w:t>
      </w:r>
      <w:r w:rsidRPr="0092611C">
        <w:rPr>
          <w:rFonts w:asciiTheme="majorHAnsi" w:hAnsiTheme="majorHAnsi"/>
          <w:sz w:val="16"/>
          <w:szCs w:val="16"/>
          <w:lang w:val="es-MX"/>
        </w:rPr>
        <w:t xml:space="preserve">Tribunal Constitucional Vs. </w:t>
      </w:r>
      <w:r w:rsidRPr="0092611C">
        <w:rPr>
          <w:rFonts w:asciiTheme="majorHAnsi" w:hAnsiTheme="majorHAnsi"/>
          <w:sz w:val="16"/>
          <w:szCs w:val="16"/>
          <w:lang w:val="es-UY"/>
        </w:rPr>
        <w:t>Perú. Sentencia de 31 de enero de 2001. Serie C No. 71, párr. 81-83.</w:t>
      </w:r>
    </w:p>
  </w:footnote>
  <w:footnote w:id="106">
    <w:p w14:paraId="08E7B56D" w14:textId="27505C40" w:rsidR="0007239A" w:rsidRPr="0092611C" w:rsidRDefault="0007239A" w:rsidP="00DF586B">
      <w:pPr>
        <w:pStyle w:val="FootnoteText"/>
        <w:spacing w:before="0" w:after="120"/>
        <w:ind w:firstLine="720"/>
        <w:rPr>
          <w:rFonts w:asciiTheme="majorHAnsi" w:hAnsiTheme="majorHAnsi"/>
          <w:szCs w:val="16"/>
          <w:lang w:val="es-MX"/>
        </w:rPr>
      </w:pPr>
      <w:r w:rsidRPr="0092611C">
        <w:rPr>
          <w:rStyle w:val="FootnoteReference"/>
          <w:rFonts w:asciiTheme="majorHAnsi" w:hAnsiTheme="majorHAnsi"/>
          <w:szCs w:val="16"/>
        </w:rPr>
        <w:footnoteRef/>
      </w:r>
      <w:r w:rsidRPr="0092611C">
        <w:rPr>
          <w:rFonts w:asciiTheme="majorHAnsi" w:hAnsiTheme="majorHAnsi"/>
          <w:szCs w:val="16"/>
        </w:rPr>
        <w:t xml:space="preserve"> Al respecto, según lo indicó el Estado, la Asamblea Legislativa según el artículo 131 de la Constitución tenía por atribuciones “nombrar comisiones especiales para la investigación de asuntos de interés nacional y adoptar los acuerdos o recomendaciones que estime necesarios, con base en el informe de dichas comisiones”. Ver, Respuesta del Estado de El Salvador a la comunicación de los peticionarios en el asunto de referencia al caso 12.311 Eduardo Benjamín Colindres de 22 de mayo de 2006. Anexo a la Nota del Estado OEA-104/06 de 23 de mayo de 2006.  La falta de competencia de la Asamblea para crear tal comisión fue indicada tamb</w:t>
      </w:r>
      <w:r>
        <w:rPr>
          <w:rFonts w:asciiTheme="majorHAnsi" w:hAnsiTheme="majorHAnsi"/>
          <w:szCs w:val="16"/>
        </w:rPr>
        <w:t>ién por el “Fiscal de la Corte”</w:t>
      </w:r>
      <w:r w:rsidRPr="0092611C">
        <w:rPr>
          <w:rFonts w:asciiTheme="majorHAnsi" w:hAnsiTheme="majorHAnsi"/>
          <w:szCs w:val="16"/>
        </w:rPr>
        <w:t>.</w:t>
      </w:r>
    </w:p>
  </w:footnote>
  <w:footnote w:id="107">
    <w:p w14:paraId="3C27DE61" w14:textId="03319150" w:rsidR="0007239A" w:rsidRPr="00951D3E" w:rsidRDefault="0007239A" w:rsidP="00DF586B">
      <w:pPr>
        <w:pStyle w:val="FootnoteText"/>
        <w:spacing w:before="0" w:after="120"/>
        <w:ind w:firstLine="720"/>
        <w:rPr>
          <w:rFonts w:asciiTheme="majorHAnsi" w:hAnsiTheme="majorHAnsi"/>
          <w:szCs w:val="16"/>
        </w:rPr>
      </w:pPr>
      <w:r w:rsidRPr="00951D3E">
        <w:rPr>
          <w:rStyle w:val="FootnoteReference"/>
          <w:rFonts w:asciiTheme="majorHAnsi" w:hAnsiTheme="majorHAnsi"/>
          <w:szCs w:val="16"/>
        </w:rPr>
        <w:footnoteRef/>
      </w:r>
      <w:r w:rsidRPr="0007239A">
        <w:rPr>
          <w:rFonts w:asciiTheme="majorHAnsi" w:hAnsiTheme="majorHAnsi"/>
          <w:szCs w:val="16"/>
          <w:lang w:val="pt-BR"/>
        </w:rPr>
        <w:t xml:space="preserve"> </w:t>
      </w:r>
      <w:r w:rsidRPr="0007239A">
        <w:rPr>
          <w:rFonts w:asciiTheme="majorHAnsi" w:hAnsiTheme="majorHAnsi"/>
          <w:szCs w:val="16"/>
          <w:lang w:val="pt-BR"/>
        </w:rPr>
        <w:t xml:space="preserve">Corte IDH. Caso Herrera Ulloa vs. Costa Rica. </w:t>
      </w:r>
      <w:r w:rsidRPr="00951D3E">
        <w:rPr>
          <w:rFonts w:asciiTheme="majorHAnsi" w:hAnsiTheme="majorHAnsi"/>
          <w:szCs w:val="16"/>
        </w:rPr>
        <w:t>Excepciones Preliminares, Fondo, Reparaciones y Costas. Sentencia del 2 de julio de 2004, párrafo 158</w:t>
      </w:r>
    </w:p>
  </w:footnote>
  <w:footnote w:id="108">
    <w:p w14:paraId="608B0986" w14:textId="77777777" w:rsidR="0007239A" w:rsidRPr="00951D3E" w:rsidRDefault="0007239A" w:rsidP="00DF586B">
      <w:pPr>
        <w:pStyle w:val="FootnoteText"/>
        <w:spacing w:before="0" w:after="120"/>
        <w:ind w:firstLine="720"/>
        <w:rPr>
          <w:rFonts w:asciiTheme="majorHAnsi" w:hAnsiTheme="majorHAnsi"/>
          <w:szCs w:val="16"/>
        </w:rPr>
      </w:pPr>
      <w:r w:rsidRPr="00951D3E">
        <w:rPr>
          <w:rStyle w:val="FootnoteReference"/>
          <w:rFonts w:asciiTheme="majorHAnsi" w:hAnsiTheme="majorHAnsi"/>
          <w:szCs w:val="16"/>
        </w:rPr>
        <w:footnoteRef/>
      </w:r>
      <w:r w:rsidRPr="00951D3E">
        <w:rPr>
          <w:rFonts w:asciiTheme="majorHAnsi" w:hAnsiTheme="majorHAnsi"/>
          <w:szCs w:val="16"/>
        </w:rPr>
        <w:t xml:space="preserve"> Principio 20 de los Principios Básicos relativos a la Independencia de la Judicatura.</w:t>
      </w:r>
    </w:p>
  </w:footnote>
  <w:footnote w:id="109">
    <w:p w14:paraId="50F95529" w14:textId="1FA06290" w:rsidR="0007239A" w:rsidRPr="00951D3E" w:rsidRDefault="0007239A" w:rsidP="00DF586B">
      <w:pPr>
        <w:pStyle w:val="FootnoteText"/>
        <w:spacing w:before="0" w:after="120"/>
        <w:ind w:firstLine="720"/>
        <w:rPr>
          <w:rFonts w:asciiTheme="majorHAnsi" w:hAnsiTheme="majorHAnsi"/>
          <w:szCs w:val="16"/>
        </w:rPr>
      </w:pPr>
      <w:r w:rsidRPr="00951D3E">
        <w:rPr>
          <w:rStyle w:val="FootnoteReference"/>
          <w:rFonts w:asciiTheme="majorHAnsi" w:hAnsiTheme="majorHAnsi"/>
          <w:szCs w:val="16"/>
        </w:rPr>
        <w:footnoteRef/>
      </w:r>
      <w:r w:rsidRPr="0007239A">
        <w:rPr>
          <w:rFonts w:asciiTheme="majorHAnsi" w:hAnsiTheme="majorHAnsi"/>
          <w:szCs w:val="16"/>
          <w:lang w:val="pt-BR"/>
        </w:rPr>
        <w:t xml:space="preserve"> </w:t>
      </w:r>
      <w:r w:rsidRPr="0007239A">
        <w:rPr>
          <w:rFonts w:asciiTheme="majorHAnsi" w:hAnsiTheme="majorHAnsi"/>
          <w:szCs w:val="16"/>
          <w:lang w:val="pt-BR"/>
        </w:rPr>
        <w:t xml:space="preserve">Corte IDH, Caso Herrera Ulloa Vs. </w:t>
      </w:r>
      <w:r w:rsidRPr="00951D3E">
        <w:rPr>
          <w:rFonts w:asciiTheme="majorHAnsi" w:hAnsiTheme="majorHAnsi"/>
          <w:szCs w:val="16"/>
        </w:rPr>
        <w:t>Costa Rica. Excepciones Preliminares, Fondo, Reparaciones y Costas. Sentencia de 2 julio de 2004. Serie C No. 107, párr. 165.</w:t>
      </w:r>
      <w:r w:rsidRPr="00951D3E">
        <w:rPr>
          <w:rFonts w:asciiTheme="majorHAnsi" w:hAnsiTheme="majorHAnsi"/>
          <w:szCs w:val="16"/>
        </w:rPr>
        <w:tab/>
      </w:r>
    </w:p>
  </w:footnote>
  <w:footnote w:id="110">
    <w:p w14:paraId="0844ECED" w14:textId="77777777" w:rsidR="0007239A" w:rsidRPr="0092611C" w:rsidRDefault="0007239A" w:rsidP="00DF586B">
      <w:pPr>
        <w:spacing w:after="120"/>
        <w:ind w:firstLine="720"/>
        <w:jc w:val="both"/>
        <w:rPr>
          <w:rFonts w:asciiTheme="majorHAnsi" w:hAnsiTheme="majorHAnsi"/>
          <w:sz w:val="16"/>
          <w:szCs w:val="16"/>
          <w:lang w:val="es-MX"/>
        </w:rPr>
      </w:pPr>
      <w:r w:rsidRPr="00951D3E">
        <w:rPr>
          <w:rStyle w:val="FootnoteReference"/>
          <w:rFonts w:asciiTheme="majorHAnsi" w:hAnsiTheme="majorHAnsi"/>
          <w:sz w:val="16"/>
          <w:szCs w:val="16"/>
        </w:rPr>
        <w:footnoteRef/>
      </w:r>
      <w:r w:rsidRPr="00951D3E">
        <w:rPr>
          <w:rFonts w:asciiTheme="majorHAnsi" w:hAnsiTheme="majorHAnsi"/>
          <w:sz w:val="16"/>
          <w:szCs w:val="16"/>
          <w:lang w:val="es-CO"/>
        </w:rPr>
        <w:t xml:space="preserve"> </w:t>
      </w:r>
      <w:hyperlink r:id="rId4" w:history="1">
        <w:r w:rsidRPr="00951D3E">
          <w:rPr>
            <w:rFonts w:asciiTheme="majorHAnsi" w:hAnsiTheme="majorHAnsi"/>
            <w:sz w:val="16"/>
            <w:szCs w:val="16"/>
            <w:lang w:val="es-CO"/>
          </w:rPr>
          <w:t>Corte IDH. Caso Mendoza y otros Vs. Argentina. Excepciones Preliminares, Fondo y Reparaciones. Sentencia de 14 de mayo de 2013 Serie C No. 260</w:t>
        </w:r>
      </w:hyperlink>
      <w:r w:rsidRPr="0092611C">
        <w:rPr>
          <w:rFonts w:asciiTheme="majorHAnsi" w:hAnsiTheme="majorHAnsi"/>
          <w:sz w:val="16"/>
          <w:szCs w:val="16"/>
          <w:lang w:val="es-CO"/>
        </w:rPr>
        <w:t xml:space="preserve">, párr. </w:t>
      </w:r>
      <w:r w:rsidRPr="0092611C">
        <w:rPr>
          <w:rFonts w:asciiTheme="majorHAnsi" w:hAnsiTheme="majorHAnsi"/>
          <w:sz w:val="16"/>
          <w:szCs w:val="16"/>
          <w:lang w:val="es-MX"/>
        </w:rPr>
        <w:t>245.</w:t>
      </w:r>
      <w:r w:rsidRPr="0092611C">
        <w:rPr>
          <w:rFonts w:asciiTheme="majorHAnsi" w:hAnsiTheme="majorHAnsi"/>
          <w:sz w:val="16"/>
          <w:szCs w:val="16"/>
          <w:lang w:val="es-MX"/>
        </w:rPr>
        <w:tab/>
        <w:t xml:space="preserve"> </w:t>
      </w:r>
    </w:p>
  </w:footnote>
  <w:footnote w:id="111">
    <w:p w14:paraId="5741EA35" w14:textId="77777777" w:rsidR="0007239A" w:rsidRPr="0092611C" w:rsidRDefault="0007239A" w:rsidP="00DF586B">
      <w:pPr>
        <w:spacing w:after="120"/>
        <w:ind w:firstLine="720"/>
        <w:jc w:val="both"/>
        <w:rPr>
          <w:rFonts w:asciiTheme="majorHAnsi" w:hAnsiTheme="majorHAnsi"/>
          <w:sz w:val="16"/>
          <w:szCs w:val="16"/>
          <w:lang w:val="es-CO"/>
        </w:rPr>
      </w:pPr>
      <w:r w:rsidRPr="0092611C">
        <w:rPr>
          <w:rStyle w:val="FootnoteReference"/>
          <w:rFonts w:asciiTheme="majorHAnsi" w:hAnsiTheme="majorHAnsi"/>
          <w:sz w:val="16"/>
          <w:szCs w:val="16"/>
        </w:rPr>
        <w:footnoteRef/>
      </w:r>
      <w:r w:rsidRPr="0092611C">
        <w:rPr>
          <w:rFonts w:asciiTheme="majorHAnsi" w:hAnsiTheme="majorHAnsi"/>
          <w:sz w:val="16"/>
          <w:szCs w:val="16"/>
          <w:lang w:val="es-ES_tradnl"/>
        </w:rPr>
        <w:t xml:space="preserve"> </w:t>
      </w:r>
      <w:r w:rsidRPr="0092611C">
        <w:rPr>
          <w:rFonts w:asciiTheme="majorHAnsi" w:hAnsiTheme="majorHAnsi" w:cs="Arial"/>
          <w:sz w:val="16"/>
          <w:szCs w:val="16"/>
          <w:lang w:val="es-ES_tradnl"/>
        </w:rPr>
        <w:t>Corte IDH.</w:t>
      </w:r>
      <w:r w:rsidRPr="0092611C">
        <w:rPr>
          <w:rFonts w:asciiTheme="majorHAnsi" w:hAnsiTheme="majorHAnsi"/>
          <w:sz w:val="16"/>
          <w:szCs w:val="16"/>
          <w:lang w:val="es-ES_tradnl"/>
        </w:rPr>
        <w:t xml:space="preserve"> Caso Castillo Páez Vs. Perú. Fondo. Sentencia de 3 de noviembre de 1997. </w:t>
      </w:r>
      <w:r w:rsidRPr="0092611C">
        <w:rPr>
          <w:rFonts w:asciiTheme="majorHAnsi" w:hAnsiTheme="majorHAnsi"/>
          <w:sz w:val="16"/>
          <w:szCs w:val="16"/>
          <w:lang w:val="es-CO"/>
        </w:rPr>
        <w:t xml:space="preserve">Serie C No. 34, párr. 82; Caso Claude Reyes y otros Vs. Chile. Fondo, Reparaciones y Costas. Sentencia de 19 de septiembre de 2006. Serie C No. 151, párr. 131, y </w:t>
      </w:r>
      <w:r w:rsidRPr="0092611C">
        <w:rPr>
          <w:rFonts w:asciiTheme="majorHAnsi" w:hAnsiTheme="majorHAnsi" w:cs="Verdana-Bold"/>
          <w:bCs/>
          <w:sz w:val="16"/>
          <w:szCs w:val="16"/>
          <w:lang w:val="es-CO" w:bidi="en-US"/>
        </w:rPr>
        <w:t xml:space="preserve">Caso Castañeda </w:t>
      </w:r>
      <w:proofErr w:type="spellStart"/>
      <w:r w:rsidRPr="0092611C">
        <w:rPr>
          <w:rFonts w:asciiTheme="majorHAnsi" w:hAnsiTheme="majorHAnsi" w:cs="Verdana-Bold"/>
          <w:bCs/>
          <w:sz w:val="16"/>
          <w:szCs w:val="16"/>
          <w:lang w:val="es-CO" w:bidi="en-US"/>
        </w:rPr>
        <w:t>Gutman</w:t>
      </w:r>
      <w:proofErr w:type="spellEnd"/>
      <w:r w:rsidRPr="0092611C">
        <w:rPr>
          <w:rFonts w:asciiTheme="majorHAnsi" w:hAnsiTheme="majorHAnsi" w:cs="Verdana-Bold"/>
          <w:bCs/>
          <w:sz w:val="16"/>
          <w:szCs w:val="16"/>
          <w:lang w:val="es-CO" w:bidi="en-US"/>
        </w:rPr>
        <w:t xml:space="preserve"> Vs. México. </w:t>
      </w:r>
      <w:r w:rsidRPr="0092611C">
        <w:rPr>
          <w:rFonts w:asciiTheme="majorHAnsi" w:hAnsiTheme="majorHAnsi" w:cs="Verdana"/>
          <w:sz w:val="16"/>
          <w:szCs w:val="16"/>
          <w:lang w:val="es-CO" w:bidi="en-US"/>
        </w:rPr>
        <w:t>Excepciones Preliminares, Fondo, Reparaciones y Costas. Sentencia de 6 de agosto de 2008. Serie C No. 18</w:t>
      </w:r>
      <w:r w:rsidRPr="0092611C">
        <w:rPr>
          <w:rFonts w:asciiTheme="majorHAnsi" w:hAnsiTheme="majorHAnsi"/>
          <w:sz w:val="16"/>
          <w:szCs w:val="16"/>
          <w:lang w:val="es-CO"/>
        </w:rPr>
        <w:t xml:space="preserve">3, párr. 78.  </w:t>
      </w:r>
    </w:p>
  </w:footnote>
  <w:footnote w:id="112">
    <w:p w14:paraId="16C2D03E" w14:textId="77777777" w:rsidR="0007239A" w:rsidRPr="0092611C" w:rsidRDefault="0007239A" w:rsidP="00DF586B">
      <w:pPr>
        <w:pStyle w:val="FootnoteText"/>
        <w:spacing w:before="0" w:after="120"/>
        <w:ind w:firstLine="720"/>
        <w:rPr>
          <w:rFonts w:asciiTheme="majorHAnsi" w:hAnsiTheme="majorHAnsi"/>
          <w:szCs w:val="16"/>
          <w:lang w:val="es-ES"/>
        </w:rPr>
      </w:pPr>
      <w:r w:rsidRPr="0092611C">
        <w:rPr>
          <w:rStyle w:val="FootnoteReference"/>
          <w:rFonts w:asciiTheme="majorHAnsi" w:hAnsiTheme="majorHAnsi"/>
          <w:szCs w:val="16"/>
        </w:rPr>
        <w:footnoteRef/>
      </w:r>
      <w:r w:rsidRPr="0092611C">
        <w:rPr>
          <w:rFonts w:asciiTheme="majorHAnsi" w:hAnsiTheme="majorHAnsi" w:cs="Arial"/>
          <w:szCs w:val="16"/>
          <w:lang w:val="es-ES"/>
        </w:rPr>
        <w:t xml:space="preserve"> </w:t>
      </w:r>
      <w:r w:rsidRPr="0092611C">
        <w:rPr>
          <w:rFonts w:asciiTheme="majorHAnsi" w:hAnsiTheme="majorHAnsi"/>
          <w:szCs w:val="16"/>
        </w:rPr>
        <w:t xml:space="preserve">Corte IDH. Caso García </w:t>
      </w:r>
      <w:proofErr w:type="spellStart"/>
      <w:r w:rsidRPr="0092611C">
        <w:rPr>
          <w:rFonts w:asciiTheme="majorHAnsi" w:hAnsiTheme="majorHAnsi"/>
          <w:szCs w:val="16"/>
        </w:rPr>
        <w:t>Asto</w:t>
      </w:r>
      <w:proofErr w:type="spellEnd"/>
      <w:r w:rsidRPr="0092611C">
        <w:rPr>
          <w:rFonts w:asciiTheme="majorHAnsi" w:hAnsiTheme="majorHAnsi"/>
          <w:szCs w:val="16"/>
        </w:rPr>
        <w:t xml:space="preserve"> y Ramírez Rojas Vs. Perú. Sentencia de 25 de noviembre de 2005. Serie C No. 137</w:t>
      </w:r>
      <w:r w:rsidRPr="0092611C">
        <w:rPr>
          <w:rFonts w:asciiTheme="majorHAnsi" w:hAnsiTheme="majorHAnsi" w:cs="Arial"/>
          <w:iCs/>
          <w:szCs w:val="16"/>
          <w:lang w:val="es-ES"/>
        </w:rPr>
        <w:t xml:space="preserve">, párr. 166; </w:t>
      </w:r>
      <w:r w:rsidRPr="0092611C">
        <w:rPr>
          <w:rFonts w:asciiTheme="majorHAnsi" w:hAnsiTheme="majorHAnsi"/>
          <w:szCs w:val="16"/>
        </w:rPr>
        <w:t xml:space="preserve">Caso Gómez Palomino Vs. Perú. </w:t>
      </w:r>
      <w:hyperlink r:id="rId5" w:history="1">
        <w:r w:rsidRPr="0092611C">
          <w:rPr>
            <w:rStyle w:val="Hyperlink"/>
            <w:rFonts w:asciiTheme="majorHAnsi" w:hAnsiTheme="majorHAnsi" w:cs="Arial"/>
            <w:szCs w:val="16"/>
            <w:shd w:val="clear" w:color="auto" w:fill="FFFFFF"/>
            <w:lang w:val="es-ES"/>
          </w:rPr>
          <w:t>Fondo, Reparaciones y Costas. Sentencia de 22 de noviembre de 2005. Serie C No. 136</w:t>
        </w:r>
      </w:hyperlink>
      <w:r w:rsidRPr="0092611C">
        <w:rPr>
          <w:rFonts w:asciiTheme="majorHAnsi" w:hAnsiTheme="majorHAnsi"/>
          <w:szCs w:val="16"/>
        </w:rPr>
        <w:t xml:space="preserve">, párr. </w:t>
      </w:r>
      <w:r w:rsidRPr="0092611C">
        <w:rPr>
          <w:rFonts w:asciiTheme="majorHAnsi" w:hAnsiTheme="majorHAnsi" w:cs="Arial"/>
          <w:szCs w:val="16"/>
          <w:lang w:val="es-ES"/>
        </w:rPr>
        <w:t xml:space="preserve">85; y </w:t>
      </w:r>
      <w:r w:rsidRPr="0092611C">
        <w:rPr>
          <w:rFonts w:asciiTheme="majorHAnsi" w:hAnsiTheme="majorHAnsi"/>
          <w:szCs w:val="16"/>
          <w:lang w:val="es-ES"/>
        </w:rPr>
        <w:t xml:space="preserve">Caso de la Comunidad </w:t>
      </w:r>
      <w:proofErr w:type="spellStart"/>
      <w:r w:rsidRPr="0092611C">
        <w:rPr>
          <w:rFonts w:asciiTheme="majorHAnsi" w:hAnsiTheme="majorHAnsi"/>
          <w:szCs w:val="16"/>
          <w:lang w:val="es-ES"/>
        </w:rPr>
        <w:t>Moiwana</w:t>
      </w:r>
      <w:proofErr w:type="spellEnd"/>
      <w:r w:rsidRPr="0092611C">
        <w:rPr>
          <w:rFonts w:asciiTheme="majorHAnsi" w:hAnsiTheme="majorHAnsi"/>
          <w:szCs w:val="16"/>
          <w:lang w:val="es-ES"/>
        </w:rPr>
        <w:t xml:space="preserve"> Vs. Surinam. Sentencia de 15 de junio de 2005. Serie C No. 124</w:t>
      </w:r>
      <w:r w:rsidRPr="0092611C">
        <w:rPr>
          <w:rFonts w:asciiTheme="majorHAnsi" w:hAnsiTheme="majorHAnsi" w:cs="Arial"/>
          <w:szCs w:val="16"/>
          <w:lang w:val="es-ES"/>
        </w:rPr>
        <w:t>, párr. 160.</w:t>
      </w:r>
    </w:p>
  </w:footnote>
  <w:footnote w:id="113">
    <w:p w14:paraId="4ABB9DF5" w14:textId="77777777" w:rsidR="0007239A" w:rsidRPr="0092611C" w:rsidRDefault="0007239A" w:rsidP="00DF586B">
      <w:pPr>
        <w:pStyle w:val="FootnoteText"/>
        <w:spacing w:before="0" w:after="120"/>
        <w:ind w:firstLine="720"/>
        <w:rPr>
          <w:rFonts w:asciiTheme="majorHAnsi" w:hAnsiTheme="majorHAnsi"/>
          <w:szCs w:val="16"/>
        </w:rPr>
      </w:pPr>
      <w:r w:rsidRPr="0092611C">
        <w:rPr>
          <w:rStyle w:val="FootnoteReference"/>
          <w:rFonts w:asciiTheme="majorHAnsi" w:hAnsiTheme="majorHAnsi"/>
          <w:szCs w:val="16"/>
        </w:rPr>
        <w:footnoteRef/>
      </w:r>
      <w:r w:rsidRPr="0092611C">
        <w:rPr>
          <w:rFonts w:asciiTheme="majorHAnsi" w:hAnsiTheme="majorHAnsi" w:cs="Arial"/>
          <w:szCs w:val="16"/>
          <w:lang w:val="es-ES"/>
        </w:rPr>
        <w:t xml:space="preserve"> Corte IDH. </w:t>
      </w:r>
      <w:r w:rsidRPr="0092611C">
        <w:rPr>
          <w:rFonts w:asciiTheme="majorHAnsi" w:hAnsiTheme="majorHAnsi" w:cs="Arial"/>
          <w:szCs w:val="16"/>
          <w:shd w:val="clear" w:color="auto" w:fill="FFFFFF"/>
          <w:lang w:val="es-ES"/>
        </w:rPr>
        <w:t xml:space="preserve">Caso Masacre de Santo Domingo Vs. </w:t>
      </w:r>
      <w:r w:rsidRPr="0092611C">
        <w:rPr>
          <w:rFonts w:asciiTheme="majorHAnsi" w:hAnsiTheme="majorHAnsi" w:cs="Arial"/>
          <w:szCs w:val="16"/>
          <w:shd w:val="clear" w:color="auto" w:fill="FFFFFF"/>
        </w:rPr>
        <w:t>Colombia. Excepciones Preliminares, Fondo y Reparaciones. Sentencia de 30 de noviembre de 2012. Serie C No. 259,</w:t>
      </w:r>
      <w:r w:rsidRPr="0092611C">
        <w:rPr>
          <w:rFonts w:asciiTheme="majorHAnsi" w:hAnsiTheme="majorHAnsi" w:cs="Arial"/>
          <w:szCs w:val="16"/>
        </w:rPr>
        <w:t xml:space="preserve"> párr. </w:t>
      </w:r>
      <w:r w:rsidRPr="0092611C">
        <w:rPr>
          <w:rFonts w:asciiTheme="majorHAnsi" w:hAnsiTheme="majorHAnsi" w:cs="Arial"/>
          <w:szCs w:val="16"/>
          <w:lang w:val="es-ES"/>
        </w:rPr>
        <w:t>164.</w:t>
      </w:r>
    </w:p>
  </w:footnote>
  <w:footnote w:id="114">
    <w:p w14:paraId="1AA7AC21" w14:textId="77777777" w:rsidR="0007239A" w:rsidRPr="0092611C" w:rsidRDefault="0007239A" w:rsidP="00DF586B">
      <w:pPr>
        <w:pStyle w:val="FootnoteText"/>
        <w:spacing w:before="0" w:after="120"/>
        <w:ind w:firstLine="720"/>
        <w:rPr>
          <w:rFonts w:asciiTheme="majorHAnsi" w:hAnsiTheme="majorHAnsi"/>
          <w:szCs w:val="16"/>
          <w:lang w:val="es-ES"/>
        </w:rPr>
      </w:pPr>
      <w:r w:rsidRPr="0092611C">
        <w:rPr>
          <w:rStyle w:val="FootnoteReference"/>
          <w:rFonts w:asciiTheme="majorHAnsi" w:hAnsiTheme="majorHAnsi"/>
          <w:szCs w:val="16"/>
        </w:rPr>
        <w:footnoteRef/>
      </w:r>
      <w:r w:rsidRPr="0092611C">
        <w:rPr>
          <w:rFonts w:asciiTheme="majorHAnsi" w:hAnsiTheme="majorHAnsi"/>
          <w:szCs w:val="16"/>
          <w:lang w:val="es-ES"/>
        </w:rPr>
        <w:t xml:space="preserve"> CIDH, Caso 12.357, Demanda ante la Corte IDH, Integrantes de la Asociación de Cesantes y Jubilados de la Contraloría General de la República, Perú, 1 de abril de 2008, párr. 52.</w:t>
      </w:r>
    </w:p>
  </w:footnote>
  <w:footnote w:id="115">
    <w:p w14:paraId="2D832596" w14:textId="77777777" w:rsidR="0007239A" w:rsidRPr="0092611C" w:rsidRDefault="0007239A" w:rsidP="00DF586B">
      <w:pPr>
        <w:pStyle w:val="FootnoteText"/>
        <w:spacing w:before="0" w:after="120"/>
        <w:ind w:firstLine="720"/>
        <w:rPr>
          <w:rFonts w:asciiTheme="majorHAnsi" w:hAnsiTheme="majorHAnsi"/>
          <w:bCs/>
          <w:szCs w:val="16"/>
          <w:lang w:val="es-ES"/>
        </w:rPr>
      </w:pPr>
      <w:r w:rsidRPr="0092611C">
        <w:rPr>
          <w:rStyle w:val="FootnoteReference"/>
          <w:rFonts w:asciiTheme="majorHAnsi" w:hAnsiTheme="majorHAnsi"/>
          <w:szCs w:val="16"/>
          <w:lang w:val="es-ES"/>
        </w:rPr>
        <w:footnoteRef/>
      </w:r>
      <w:r w:rsidRPr="0092611C">
        <w:rPr>
          <w:rFonts w:asciiTheme="majorHAnsi" w:hAnsiTheme="majorHAnsi"/>
          <w:szCs w:val="16"/>
          <w:lang w:val="es-ES"/>
        </w:rPr>
        <w:t xml:space="preserve">  Corte IDH. </w:t>
      </w:r>
      <w:r w:rsidRPr="0092611C">
        <w:rPr>
          <w:rFonts w:asciiTheme="majorHAnsi" w:hAnsiTheme="majorHAnsi"/>
          <w:bCs/>
          <w:szCs w:val="16"/>
          <w:lang w:val="es-ES"/>
        </w:rPr>
        <w:t>Caso Suárez Rosero Vs. Ecuador. Fondo. Sentencia de 12 de noviembre de 1997. Serie C No. 35, párr. 65;</w:t>
      </w:r>
      <w:r w:rsidRPr="0092611C">
        <w:rPr>
          <w:rFonts w:asciiTheme="majorHAnsi" w:hAnsiTheme="majorHAnsi"/>
          <w:szCs w:val="16"/>
          <w:lang w:val="es-EC"/>
        </w:rPr>
        <w:t xml:space="preserve"> y </w:t>
      </w:r>
      <w:r w:rsidRPr="0092611C">
        <w:rPr>
          <w:rFonts w:asciiTheme="majorHAnsi" w:hAnsiTheme="majorHAnsi"/>
          <w:bCs/>
          <w:szCs w:val="16"/>
          <w:lang w:val="es-ES"/>
        </w:rPr>
        <w:t>Caso Rosendo Cantú y otra Vs. México. Excepción Preliminar, Fondo, Reparaciones y Costas. Sentencia de 31 de agosto de 2010. Serie C No. 216, párr. 166.</w:t>
      </w:r>
    </w:p>
  </w:footnote>
  <w:footnote w:id="116">
    <w:p w14:paraId="1B45BCCB" w14:textId="77777777" w:rsidR="0007239A" w:rsidRPr="00DA08BD" w:rsidRDefault="0007239A" w:rsidP="00DF586B">
      <w:pPr>
        <w:pStyle w:val="FootnoteText"/>
        <w:spacing w:before="0" w:after="120"/>
        <w:ind w:firstLine="720"/>
        <w:rPr>
          <w:rFonts w:asciiTheme="majorHAnsi" w:hAnsiTheme="majorHAnsi"/>
          <w:szCs w:val="16"/>
          <w:lang w:val="es-ES"/>
        </w:rPr>
      </w:pPr>
      <w:r w:rsidRPr="00DA08BD">
        <w:rPr>
          <w:rStyle w:val="FootnoteReference"/>
          <w:rFonts w:asciiTheme="majorHAnsi" w:hAnsiTheme="majorHAnsi"/>
          <w:szCs w:val="16"/>
        </w:rPr>
        <w:footnoteRef/>
      </w:r>
      <w:r w:rsidRPr="00DA08BD">
        <w:rPr>
          <w:rFonts w:asciiTheme="majorHAnsi" w:hAnsiTheme="majorHAnsi"/>
          <w:szCs w:val="16"/>
          <w:lang w:val="es-ES"/>
        </w:rPr>
        <w:t xml:space="preserve"> </w:t>
      </w:r>
      <w:r w:rsidRPr="00DA08BD">
        <w:rPr>
          <w:rFonts w:asciiTheme="majorHAnsi" w:eastAsia="Arial Unicode MS" w:hAnsiTheme="majorHAnsi"/>
          <w:bCs/>
          <w:szCs w:val="16"/>
          <w:shd w:val="clear" w:color="auto" w:fill="FFFFFF"/>
          <w:lang w:val="es-ES"/>
        </w:rPr>
        <w:t xml:space="preserve">Corte IDH. Caso Mejía </w:t>
      </w:r>
      <w:proofErr w:type="spellStart"/>
      <w:r w:rsidRPr="00DA08BD">
        <w:rPr>
          <w:rFonts w:asciiTheme="majorHAnsi" w:eastAsia="Arial Unicode MS" w:hAnsiTheme="majorHAnsi"/>
          <w:bCs/>
          <w:szCs w:val="16"/>
          <w:shd w:val="clear" w:color="auto" w:fill="FFFFFF"/>
          <w:lang w:val="es-ES"/>
        </w:rPr>
        <w:t>Idrovo</w:t>
      </w:r>
      <w:proofErr w:type="spellEnd"/>
      <w:r w:rsidRPr="00DA08BD">
        <w:rPr>
          <w:rFonts w:asciiTheme="majorHAnsi" w:eastAsia="Arial Unicode MS" w:hAnsiTheme="majorHAnsi"/>
          <w:bCs/>
          <w:szCs w:val="16"/>
          <w:shd w:val="clear" w:color="auto" w:fill="FFFFFF"/>
          <w:lang w:val="es-ES"/>
        </w:rPr>
        <w:t xml:space="preserve"> Vs. Ecuador. Excepciones Preliminares, Fondo, Reparaciones y Costas. Sentencia de 5 de julio de 2011. Serie C No. 228, párr. 104.</w:t>
      </w:r>
    </w:p>
  </w:footnote>
  <w:footnote w:id="117">
    <w:p w14:paraId="5D686E4B" w14:textId="51C618CF" w:rsidR="0007239A" w:rsidRPr="0092611C" w:rsidRDefault="0007239A" w:rsidP="00DF586B">
      <w:pPr>
        <w:spacing w:after="120"/>
        <w:jc w:val="both"/>
        <w:rPr>
          <w:rFonts w:asciiTheme="majorHAnsi" w:eastAsia="Times New Roman" w:hAnsiTheme="majorHAnsi"/>
          <w:sz w:val="16"/>
          <w:szCs w:val="16"/>
          <w:lang w:val="es-MX"/>
        </w:rPr>
      </w:pPr>
      <w:r w:rsidRPr="00DA08BD">
        <w:rPr>
          <w:rStyle w:val="FootnoteReference"/>
          <w:rFonts w:asciiTheme="majorHAnsi" w:hAnsiTheme="majorHAnsi"/>
          <w:sz w:val="16"/>
          <w:szCs w:val="16"/>
        </w:rPr>
        <w:footnoteRef/>
      </w:r>
      <w:r w:rsidRPr="00DA08BD">
        <w:rPr>
          <w:rFonts w:asciiTheme="majorHAnsi" w:hAnsiTheme="majorHAnsi"/>
          <w:sz w:val="16"/>
          <w:szCs w:val="16"/>
          <w:lang w:val="es-MX"/>
        </w:rPr>
        <w:t xml:space="preserve"> </w:t>
      </w:r>
      <w:r w:rsidRPr="00DA08BD">
        <w:rPr>
          <w:rFonts w:asciiTheme="majorHAnsi" w:eastAsia="Times New Roman" w:hAnsiTheme="majorHAnsi"/>
          <w:bCs/>
          <w:sz w:val="16"/>
          <w:szCs w:val="16"/>
          <w:shd w:val="clear" w:color="auto" w:fill="FFFFFF"/>
          <w:lang w:val="es-MX"/>
        </w:rPr>
        <w:t xml:space="preserve">Corte IDH. Caso López </w:t>
      </w:r>
      <w:proofErr w:type="spellStart"/>
      <w:r w:rsidRPr="00DA08BD">
        <w:rPr>
          <w:rFonts w:asciiTheme="majorHAnsi" w:eastAsia="Times New Roman" w:hAnsiTheme="majorHAnsi"/>
          <w:bCs/>
          <w:sz w:val="16"/>
          <w:szCs w:val="16"/>
          <w:shd w:val="clear" w:color="auto" w:fill="FFFFFF"/>
          <w:lang w:val="es-MX"/>
        </w:rPr>
        <w:t>Lone</w:t>
      </w:r>
      <w:proofErr w:type="spellEnd"/>
      <w:r w:rsidRPr="00DA08BD">
        <w:rPr>
          <w:rFonts w:asciiTheme="majorHAnsi" w:eastAsia="Times New Roman" w:hAnsiTheme="majorHAnsi"/>
          <w:bCs/>
          <w:sz w:val="16"/>
          <w:szCs w:val="16"/>
          <w:shd w:val="clear" w:color="auto" w:fill="FFFFFF"/>
          <w:lang w:val="es-MX"/>
        </w:rPr>
        <w:t xml:space="preserve"> y otros Vs. Honduras. Excepción Preliminar, Fondo, Reparaciones y Costas. Sentencia de 5 de octubre de 2015. Serie C No. 302, párr. 192.</w:t>
      </w:r>
    </w:p>
    <w:p w14:paraId="0A5C1615" w14:textId="77777777" w:rsidR="0007239A" w:rsidRPr="0092611C" w:rsidRDefault="0007239A" w:rsidP="00DF586B">
      <w:pPr>
        <w:pStyle w:val="FootnoteText"/>
        <w:spacing w:before="0" w:after="120"/>
        <w:ind w:firstLine="720"/>
        <w:rPr>
          <w:rFonts w:asciiTheme="majorHAnsi" w:hAnsiTheme="majorHAnsi"/>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7A09C0" w14:textId="77777777" w:rsidR="0007239A" w:rsidRDefault="0007239A" w:rsidP="009D7F32">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5D4FD2A" w14:textId="77777777" w:rsidR="0007239A" w:rsidRDefault="000723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02E92" w14:textId="77777777" w:rsidR="0007239A" w:rsidRDefault="0007239A" w:rsidP="009D7F32">
    <w:pPr>
      <w:pStyle w:val="Header"/>
      <w:tabs>
        <w:tab w:val="clear" w:pos="4320"/>
        <w:tab w:val="clear" w:pos="8640"/>
      </w:tabs>
      <w:jc w:val="center"/>
      <w:rPr>
        <w:sz w:val="22"/>
        <w:szCs w:val="22"/>
      </w:rPr>
    </w:pPr>
    <w:r>
      <w:rPr>
        <w:noProof/>
        <w:sz w:val="22"/>
        <w:szCs w:val="22"/>
        <w:lang w:val="es-UY" w:eastAsia="es-UY"/>
      </w:rPr>
      <w:drawing>
        <wp:inline distT="0" distB="0" distL="0" distR="0" wp14:anchorId="7B93BCD1" wp14:editId="6DBFA83E">
          <wp:extent cx="1971675" cy="104775"/>
          <wp:effectExtent l="0" t="0" r="9525" b="9525"/>
          <wp:docPr id="22" name="Picture 3" descr="cidh-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h-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104775"/>
                  </a:xfrm>
                  <a:prstGeom prst="rect">
                    <a:avLst/>
                  </a:prstGeom>
                  <a:noFill/>
                  <a:ln>
                    <a:noFill/>
                  </a:ln>
                </pic:spPr>
              </pic:pic>
            </a:graphicData>
          </a:graphic>
        </wp:inline>
      </w:drawing>
    </w:r>
  </w:p>
  <w:p w14:paraId="3C276D0F" w14:textId="77777777" w:rsidR="0007239A" w:rsidRPr="00EC7D62" w:rsidRDefault="00213F94" w:rsidP="009D7F32">
    <w:pPr>
      <w:pStyle w:val="Header"/>
      <w:tabs>
        <w:tab w:val="clear" w:pos="4320"/>
        <w:tab w:val="clear" w:pos="8640"/>
      </w:tabs>
      <w:jc w:val="center"/>
      <w:rPr>
        <w:sz w:val="22"/>
        <w:szCs w:val="22"/>
      </w:rPr>
    </w:pPr>
    <w:r>
      <w:rPr>
        <w:sz w:val="22"/>
        <w:szCs w:val="22"/>
      </w:rPr>
      <w:pict w14:anchorId="6CA63859">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71C01" w14:textId="77777777" w:rsidR="0007239A" w:rsidRPr="00EA5E48" w:rsidRDefault="0007239A">
    <w:pPr>
      <w:pStyle w:val="Header"/>
      <w:jc w:val="center"/>
      <w:rPr>
        <w:rFonts w:ascii="Calibri" w:hAnsi="Calibri"/>
        <w:sz w:val="22"/>
        <w:szCs w:val="22"/>
      </w:rPr>
    </w:pPr>
  </w:p>
  <w:p w14:paraId="609A1F76" w14:textId="77777777" w:rsidR="0007239A" w:rsidRDefault="0007239A" w:rsidP="009D7F32">
    <w:pPr>
      <w:pStyle w:val="Header"/>
      <w:tabs>
        <w:tab w:val="clear" w:pos="4320"/>
        <w:tab w:val="clear" w:pos="8640"/>
      </w:tabs>
      <w:jc w:val="center"/>
      <w:rPr>
        <w:sz w:val="22"/>
        <w:szCs w:val="22"/>
      </w:rPr>
    </w:pPr>
    <w:r>
      <w:rPr>
        <w:noProof/>
        <w:sz w:val="22"/>
        <w:szCs w:val="22"/>
        <w:lang w:val="es-UY" w:eastAsia="es-UY"/>
      </w:rPr>
      <w:drawing>
        <wp:inline distT="0" distB="0" distL="0" distR="0" wp14:anchorId="3FCCA8D7" wp14:editId="29761959">
          <wp:extent cx="1971675" cy="104775"/>
          <wp:effectExtent l="0" t="0" r="9525" b="9525"/>
          <wp:docPr id="28" name="Picture 28" descr="cidh-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h-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104775"/>
                  </a:xfrm>
                  <a:prstGeom prst="rect">
                    <a:avLst/>
                  </a:prstGeom>
                  <a:noFill/>
                  <a:ln>
                    <a:noFill/>
                  </a:ln>
                </pic:spPr>
              </pic:pic>
            </a:graphicData>
          </a:graphic>
        </wp:inline>
      </w:drawing>
    </w:r>
  </w:p>
  <w:p w14:paraId="13B5EE8D" w14:textId="77777777" w:rsidR="0007239A" w:rsidRDefault="00213F94" w:rsidP="009D20F0">
    <w:pPr>
      <w:pStyle w:val="Header"/>
    </w:pPr>
    <w:r>
      <w:rPr>
        <w:sz w:val="22"/>
        <w:szCs w:val="22"/>
      </w:rPr>
      <w:pict w14:anchorId="32B72B9F">
        <v:rect id="_x0000_i1026" style="width:0;height:1.5pt" o:hralign="center" o:hrstd="t" o:hr="t" fillcolor="#a0a0a0" stroked="f"/>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D104BE" w14:textId="77777777" w:rsidR="0007239A" w:rsidRDefault="0007239A" w:rsidP="009D7F32">
    <w:pPr>
      <w:pStyle w:val="Header"/>
      <w:tabs>
        <w:tab w:val="clear" w:pos="4320"/>
        <w:tab w:val="clear" w:pos="8640"/>
      </w:tabs>
      <w:jc w:val="center"/>
      <w:rPr>
        <w:sz w:val="22"/>
        <w:szCs w:val="22"/>
      </w:rPr>
    </w:pPr>
    <w:r>
      <w:rPr>
        <w:noProof/>
        <w:sz w:val="22"/>
        <w:szCs w:val="22"/>
        <w:lang w:val="es-UY" w:eastAsia="es-UY"/>
      </w:rPr>
      <w:drawing>
        <wp:inline distT="0" distB="0" distL="0" distR="0" wp14:anchorId="381146C2" wp14:editId="09D44BB5">
          <wp:extent cx="1971675" cy="104775"/>
          <wp:effectExtent l="0" t="0" r="9525" b="9525"/>
          <wp:docPr id="29" name="Picture 29" descr="cidh-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h-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104775"/>
                  </a:xfrm>
                  <a:prstGeom prst="rect">
                    <a:avLst/>
                  </a:prstGeom>
                  <a:noFill/>
                  <a:ln>
                    <a:noFill/>
                  </a:ln>
                </pic:spPr>
              </pic:pic>
            </a:graphicData>
          </a:graphic>
        </wp:inline>
      </w:drawing>
    </w:r>
  </w:p>
  <w:p w14:paraId="40AFD77F" w14:textId="77777777" w:rsidR="0007239A" w:rsidRDefault="00213F94" w:rsidP="009D7F32">
    <w:pPr>
      <w:pStyle w:val="Header"/>
    </w:pPr>
    <w:r>
      <w:rPr>
        <w:sz w:val="22"/>
        <w:szCs w:val="22"/>
      </w:rPr>
      <w:pict w14:anchorId="30692051">
        <v:rect id="_x0000_i1027"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A0C16"/>
    <w:multiLevelType w:val="hybridMultilevel"/>
    <w:tmpl w:val="C2A2561C"/>
    <w:lvl w:ilvl="0" w:tplc="DAD23B56">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DB5125F"/>
    <w:multiLevelType w:val="hybridMultilevel"/>
    <w:tmpl w:val="7B76D89A"/>
    <w:lvl w:ilvl="0" w:tplc="91D2B51C">
      <w:start w:val="1"/>
      <w:numFmt w:val="decimal"/>
      <w:lvlText w:val="%1."/>
      <w:lvlJc w:val="left"/>
      <w:pPr>
        <w:tabs>
          <w:tab w:val="num" w:pos="1440"/>
        </w:tabs>
        <w:ind w:left="1440" w:hanging="360"/>
      </w:pPr>
      <w:rPr>
        <w:rFonts w:ascii="Cambria" w:hAnsi="Cambria" w:hint="default"/>
        <w:b w:val="0"/>
        <w:sz w:val="20"/>
        <w:szCs w:val="20"/>
        <w:lang w:val="es-CO"/>
      </w:rPr>
    </w:lvl>
    <w:lvl w:ilvl="1" w:tplc="D92C12E8">
      <w:start w:val="59"/>
      <w:numFmt w:val="decimal"/>
      <w:lvlText w:val="%2."/>
      <w:lvlJc w:val="left"/>
      <w:pPr>
        <w:tabs>
          <w:tab w:val="num" w:pos="2580"/>
        </w:tabs>
        <w:ind w:left="2580" w:hanging="1500"/>
      </w:pPr>
      <w:rPr>
        <w:rFonts w:hint="default"/>
      </w:rPr>
    </w:lvl>
    <w:lvl w:ilvl="2" w:tplc="99CCD1F2">
      <w:start w:val="3"/>
      <w:numFmt w:val="upperLetter"/>
      <w:lvlText w:val="%3."/>
      <w:lvlJc w:val="left"/>
      <w:pPr>
        <w:tabs>
          <w:tab w:val="num" w:pos="2340"/>
        </w:tabs>
        <w:ind w:left="2340" w:hanging="360"/>
      </w:pPr>
      <w:rPr>
        <w:rFonts w:hint="default"/>
      </w:rPr>
    </w:lvl>
    <w:lvl w:ilvl="3" w:tplc="0409000F">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6F115D"/>
    <w:multiLevelType w:val="hybridMultilevel"/>
    <w:tmpl w:val="3F98377E"/>
    <w:lvl w:ilvl="0" w:tplc="6F023C14">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3206A1"/>
    <w:multiLevelType w:val="hybridMultilevel"/>
    <w:tmpl w:val="CCE4F8C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915C6F"/>
    <w:multiLevelType w:val="hybridMultilevel"/>
    <w:tmpl w:val="29A402F6"/>
    <w:lvl w:ilvl="0" w:tplc="F5A42A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7F71E9B"/>
    <w:multiLevelType w:val="hybridMultilevel"/>
    <w:tmpl w:val="4AB8072C"/>
    <w:lvl w:ilvl="0" w:tplc="623271E8">
      <w:start w:val="1"/>
      <w:numFmt w:val="decimal"/>
      <w:lvlText w:val="%1."/>
      <w:lvlJc w:val="left"/>
      <w:pPr>
        <w:tabs>
          <w:tab w:val="num" w:pos="990"/>
        </w:tabs>
        <w:ind w:left="990" w:hanging="360"/>
      </w:pPr>
      <w:rPr>
        <w:rFonts w:ascii="Cambria" w:hAnsi="Cambria"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6458F270">
      <w:start w:val="1"/>
      <w:numFmt w:val="lowerLetter"/>
      <w:lvlText w:val="%5."/>
      <w:lvlJc w:val="left"/>
      <w:pPr>
        <w:ind w:left="3600" w:hanging="360"/>
      </w:pPr>
      <w:rPr>
        <w:rFonts w:ascii="Cambria" w:eastAsia="Calibri" w:hAnsi="Cambria" w:cs="Times New Roman"/>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050020"/>
    <w:multiLevelType w:val="hybridMultilevel"/>
    <w:tmpl w:val="8FCE38EE"/>
    <w:lvl w:ilvl="0" w:tplc="57BAD2D0">
      <w:start w:val="1"/>
      <w:numFmt w:val="decimal"/>
      <w:lvlText w:val="%1."/>
      <w:lvlJc w:val="left"/>
      <w:pPr>
        <w:tabs>
          <w:tab w:val="num" w:pos="1429"/>
        </w:tabs>
        <w:ind w:firstLine="720"/>
      </w:pPr>
      <w:rPr>
        <w:rFonts w:ascii="Cambria" w:hAnsi="Cambria" w:cs="Times New Roman" w:hint="default"/>
        <w:b w:val="0"/>
        <w:i w:val="0"/>
        <w:sz w:val="20"/>
        <w:szCs w:val="20"/>
        <w:lang w:val="es-AR"/>
      </w:rPr>
    </w:lvl>
    <w:lvl w:ilvl="1" w:tplc="04090019">
      <w:start w:val="1"/>
      <w:numFmt w:val="lowerLetter"/>
      <w:lvlText w:val="%2."/>
      <w:lvlJc w:val="left"/>
      <w:pPr>
        <w:tabs>
          <w:tab w:val="num" w:pos="1440"/>
        </w:tabs>
        <w:ind w:left="1440" w:hanging="360"/>
      </w:pPr>
      <w:rPr>
        <w:rFonts w:cs="Times New Roman"/>
      </w:rPr>
    </w:lvl>
    <w:lvl w:ilvl="2" w:tplc="C66EDE0C">
      <w:start w:val="3"/>
      <w:numFmt w:val="upperRoman"/>
      <w:lvlText w:val="%3."/>
      <w:lvlJc w:val="left"/>
      <w:pPr>
        <w:tabs>
          <w:tab w:val="num" w:pos="2700"/>
        </w:tabs>
        <w:ind w:left="2700" w:hanging="720"/>
      </w:pPr>
      <w:rPr>
        <w:rFonts w:cs="Times New Roman" w:hint="default"/>
      </w:rPr>
    </w:lvl>
    <w:lvl w:ilvl="3" w:tplc="268AFC70">
      <w:start w:val="1"/>
      <w:numFmt w:val="decimal"/>
      <w:lvlText w:val="%4."/>
      <w:lvlJc w:val="left"/>
      <w:pPr>
        <w:tabs>
          <w:tab w:val="num" w:pos="2880"/>
        </w:tabs>
        <w:ind w:left="2880" w:hanging="360"/>
      </w:pPr>
      <w:rPr>
        <w:rFonts w:hint="default"/>
        <w:b/>
        <w:i w:val="0"/>
        <w:sz w:val="20"/>
        <w:szCs w:val="20"/>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96B6366"/>
    <w:multiLevelType w:val="hybridMultilevel"/>
    <w:tmpl w:val="82D6B0C6"/>
    <w:lvl w:ilvl="0" w:tplc="CC14D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9D40219"/>
    <w:multiLevelType w:val="multilevel"/>
    <w:tmpl w:val="0DC21012"/>
    <w:lvl w:ilvl="0">
      <w:start w:val="1"/>
      <w:numFmt w:val="decimal"/>
      <w:pStyle w:val="Heading3"/>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254F0633"/>
    <w:multiLevelType w:val="hybridMultilevel"/>
    <w:tmpl w:val="0A92E08C"/>
    <w:lvl w:ilvl="0" w:tplc="5816CD2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5C5177"/>
    <w:multiLevelType w:val="hybridMultilevel"/>
    <w:tmpl w:val="B574B654"/>
    <w:lvl w:ilvl="0" w:tplc="3A80C992">
      <w:start w:val="1"/>
      <w:numFmt w:val="lowerLetter"/>
      <w:pStyle w:val="Heading4"/>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Wingding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Wingdings"/>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Wingdings"/>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Wingdings"/>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Wingdings"/>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Wingdings"/>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Wingdings"/>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Wingdings"/>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Wingdings"/>
        <w:b/>
        <w:bCs/>
        <w:color w:val="000000"/>
        <w:position w:val="0"/>
        <w:sz w:val="22"/>
        <w:szCs w:val="22"/>
        <w:u w:color="000000"/>
        <w:lang w:val="es-ES_tradnl"/>
      </w:rPr>
    </w:lvl>
  </w:abstractNum>
  <w:abstractNum w:abstractNumId="12">
    <w:nsid w:val="36023686"/>
    <w:multiLevelType w:val="hybridMultilevel"/>
    <w:tmpl w:val="F86E1812"/>
    <w:lvl w:ilvl="0" w:tplc="91D2B51C">
      <w:start w:val="1"/>
      <w:numFmt w:val="decimal"/>
      <w:lvlText w:val="%1."/>
      <w:lvlJc w:val="left"/>
      <w:pPr>
        <w:tabs>
          <w:tab w:val="num" w:pos="990"/>
        </w:tabs>
        <w:ind w:left="990" w:hanging="360"/>
      </w:pPr>
      <w:rPr>
        <w:rFonts w:ascii="Cambria" w:hAnsi="Cambria" w:hint="default"/>
        <w:b w:val="0"/>
        <w:sz w:val="20"/>
        <w:szCs w:val="20"/>
        <w:lang w:val="es-CO"/>
      </w:rPr>
    </w:lvl>
    <w:lvl w:ilvl="1" w:tplc="D92C12E8">
      <w:start w:val="59"/>
      <w:numFmt w:val="decimal"/>
      <w:lvlText w:val="%2."/>
      <w:lvlJc w:val="left"/>
      <w:pPr>
        <w:tabs>
          <w:tab w:val="num" w:pos="2580"/>
        </w:tabs>
        <w:ind w:left="2580" w:hanging="1500"/>
      </w:pPr>
      <w:rPr>
        <w:rFonts w:hint="default"/>
      </w:rPr>
    </w:lvl>
    <w:lvl w:ilvl="2" w:tplc="99CCD1F2">
      <w:start w:val="3"/>
      <w:numFmt w:val="upperLetter"/>
      <w:lvlText w:val="%3."/>
      <w:lvlJc w:val="left"/>
      <w:pPr>
        <w:tabs>
          <w:tab w:val="num" w:pos="2340"/>
        </w:tabs>
        <w:ind w:left="2340" w:hanging="360"/>
      </w:pPr>
      <w:rPr>
        <w:rFonts w:hint="default"/>
      </w:rPr>
    </w:lvl>
    <w:lvl w:ilvl="3" w:tplc="0409000F">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71A7BD0"/>
    <w:multiLevelType w:val="hybridMultilevel"/>
    <w:tmpl w:val="3C144BD2"/>
    <w:lvl w:ilvl="0" w:tplc="0ABE9B52">
      <w:start w:val="1"/>
      <w:numFmt w:val="decimal"/>
      <w:lvlText w:val="%1."/>
      <w:lvlJc w:val="left"/>
      <w:pPr>
        <w:tabs>
          <w:tab w:val="num" w:pos="1440"/>
        </w:tabs>
        <w:ind w:left="1440" w:hanging="360"/>
      </w:pPr>
      <w:rPr>
        <w:rFonts w:ascii="Cambria" w:hAnsi="Cambria" w:hint="default"/>
        <w:b w:val="0"/>
        <w:sz w:val="20"/>
        <w:szCs w:val="20"/>
        <w:lang w:val="es-CO"/>
      </w:rPr>
    </w:lvl>
    <w:lvl w:ilvl="1" w:tplc="D92C12E8">
      <w:start w:val="59"/>
      <w:numFmt w:val="decimal"/>
      <w:lvlText w:val="%2."/>
      <w:lvlJc w:val="left"/>
      <w:pPr>
        <w:tabs>
          <w:tab w:val="num" w:pos="2580"/>
        </w:tabs>
        <w:ind w:left="2580" w:hanging="1500"/>
      </w:pPr>
      <w:rPr>
        <w:rFonts w:hint="default"/>
      </w:rPr>
    </w:lvl>
    <w:lvl w:ilvl="2" w:tplc="99CCD1F2">
      <w:start w:val="3"/>
      <w:numFmt w:val="upperLetter"/>
      <w:lvlText w:val="%3."/>
      <w:lvlJc w:val="left"/>
      <w:pPr>
        <w:tabs>
          <w:tab w:val="num" w:pos="2340"/>
        </w:tabs>
        <w:ind w:left="2340" w:hanging="360"/>
      </w:pPr>
      <w:rPr>
        <w:rFonts w:hint="default"/>
      </w:rPr>
    </w:lvl>
    <w:lvl w:ilvl="3" w:tplc="0409000F">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9C715CD"/>
    <w:multiLevelType w:val="hybridMultilevel"/>
    <w:tmpl w:val="7B76D89A"/>
    <w:lvl w:ilvl="0" w:tplc="91D2B51C">
      <w:start w:val="1"/>
      <w:numFmt w:val="decimal"/>
      <w:lvlText w:val="%1."/>
      <w:lvlJc w:val="left"/>
      <w:pPr>
        <w:tabs>
          <w:tab w:val="num" w:pos="1440"/>
        </w:tabs>
        <w:ind w:left="1440" w:hanging="360"/>
      </w:pPr>
      <w:rPr>
        <w:rFonts w:ascii="Cambria" w:hAnsi="Cambria" w:hint="default"/>
        <w:b w:val="0"/>
        <w:sz w:val="20"/>
        <w:szCs w:val="20"/>
        <w:lang w:val="es-CO"/>
      </w:rPr>
    </w:lvl>
    <w:lvl w:ilvl="1" w:tplc="D92C12E8">
      <w:start w:val="59"/>
      <w:numFmt w:val="decimal"/>
      <w:lvlText w:val="%2."/>
      <w:lvlJc w:val="left"/>
      <w:pPr>
        <w:tabs>
          <w:tab w:val="num" w:pos="2580"/>
        </w:tabs>
        <w:ind w:left="2580" w:hanging="1500"/>
      </w:pPr>
      <w:rPr>
        <w:rFonts w:hint="default"/>
      </w:rPr>
    </w:lvl>
    <w:lvl w:ilvl="2" w:tplc="99CCD1F2">
      <w:start w:val="3"/>
      <w:numFmt w:val="upperLetter"/>
      <w:lvlText w:val="%3."/>
      <w:lvlJc w:val="left"/>
      <w:pPr>
        <w:tabs>
          <w:tab w:val="num" w:pos="2340"/>
        </w:tabs>
        <w:ind w:left="2340" w:hanging="360"/>
      </w:pPr>
      <w:rPr>
        <w:rFonts w:hint="default"/>
      </w:rPr>
    </w:lvl>
    <w:lvl w:ilvl="3" w:tplc="0409000F">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ECE7E8E"/>
    <w:multiLevelType w:val="hybridMultilevel"/>
    <w:tmpl w:val="FEB8A33C"/>
    <w:lvl w:ilvl="0" w:tplc="A0820DF0">
      <w:start w:val="1"/>
      <w:numFmt w:val="decimal"/>
      <w:lvlText w:val="%1."/>
      <w:lvlJc w:val="left"/>
      <w:pPr>
        <w:ind w:left="270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5A443C38"/>
    <w:multiLevelType w:val="hybridMultilevel"/>
    <w:tmpl w:val="D17CFCD0"/>
    <w:lvl w:ilvl="0" w:tplc="77464D3E">
      <w:start w:val="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B22ED8"/>
    <w:multiLevelType w:val="hybridMultilevel"/>
    <w:tmpl w:val="4A5C1B72"/>
    <w:lvl w:ilvl="0" w:tplc="23B086BE">
      <w:start w:val="1"/>
      <w:numFmt w:val="decimal"/>
      <w:lvlText w:val="%1."/>
      <w:lvlJc w:val="left"/>
      <w:pPr>
        <w:tabs>
          <w:tab w:val="num" w:pos="1440"/>
        </w:tabs>
        <w:ind w:left="1440" w:hanging="360"/>
      </w:pPr>
      <w:rPr>
        <w:rFonts w:ascii="Cambria" w:hAnsi="Cambria" w:hint="default"/>
        <w:b w:val="0"/>
        <w:sz w:val="20"/>
        <w:szCs w:val="20"/>
        <w:lang w:val="es-UY"/>
      </w:rPr>
    </w:lvl>
    <w:lvl w:ilvl="1" w:tplc="D92C12E8">
      <w:start w:val="59"/>
      <w:numFmt w:val="decimal"/>
      <w:lvlText w:val="%2."/>
      <w:lvlJc w:val="left"/>
      <w:pPr>
        <w:tabs>
          <w:tab w:val="num" w:pos="2580"/>
        </w:tabs>
        <w:ind w:left="2580" w:hanging="1500"/>
      </w:pPr>
      <w:rPr>
        <w:rFonts w:hint="default"/>
      </w:rPr>
    </w:lvl>
    <w:lvl w:ilvl="2" w:tplc="99CCD1F2">
      <w:start w:val="3"/>
      <w:numFmt w:val="upperLetter"/>
      <w:lvlText w:val="%3."/>
      <w:lvlJc w:val="left"/>
      <w:pPr>
        <w:tabs>
          <w:tab w:val="num" w:pos="2340"/>
        </w:tabs>
        <w:ind w:left="2340" w:hanging="360"/>
      </w:pPr>
      <w:rPr>
        <w:rFonts w:hint="default"/>
      </w:rPr>
    </w:lvl>
    <w:lvl w:ilvl="3" w:tplc="0409000F">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6BE5E6A"/>
    <w:multiLevelType w:val="hybridMultilevel"/>
    <w:tmpl w:val="99A4964C"/>
    <w:lvl w:ilvl="0" w:tplc="B95E0210">
      <w:start w:val="1"/>
      <w:numFmt w:val="decimal"/>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9F949DF"/>
    <w:multiLevelType w:val="hybridMultilevel"/>
    <w:tmpl w:val="C2A2561C"/>
    <w:lvl w:ilvl="0" w:tplc="DAD23B56">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CF77CF3"/>
    <w:multiLevelType w:val="hybridMultilevel"/>
    <w:tmpl w:val="212C1914"/>
    <w:lvl w:ilvl="0" w:tplc="6EFEA9E4">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6D2581"/>
    <w:multiLevelType w:val="hybridMultilevel"/>
    <w:tmpl w:val="4CD03B78"/>
    <w:lvl w:ilvl="0" w:tplc="54B290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0D43D00"/>
    <w:multiLevelType w:val="hybridMultilevel"/>
    <w:tmpl w:val="CBD082E2"/>
    <w:lvl w:ilvl="0" w:tplc="DA0E0A3E">
      <w:start w:val="1"/>
      <w:numFmt w:val="decimal"/>
      <w:lvlText w:val="%1."/>
      <w:lvlJc w:val="left"/>
      <w:pPr>
        <w:tabs>
          <w:tab w:val="num" w:pos="720"/>
        </w:tabs>
        <w:ind w:left="0" w:firstLine="720"/>
      </w:pPr>
      <w:rPr>
        <w:rFonts w:ascii="Univers" w:hAnsi="Univers" w:hint="default"/>
        <w:b w:val="0"/>
        <w:i w:val="0"/>
        <w:sz w:val="20"/>
        <w:szCs w:val="20"/>
      </w:rPr>
    </w:lvl>
    <w:lvl w:ilvl="1" w:tplc="04090019">
      <w:start w:val="1"/>
      <w:numFmt w:val="lowerLetter"/>
      <w:lvlText w:val="%2."/>
      <w:lvlJc w:val="left"/>
      <w:pPr>
        <w:tabs>
          <w:tab w:val="num" w:pos="1440"/>
        </w:tabs>
        <w:ind w:left="1440" w:hanging="360"/>
      </w:pPr>
    </w:lvl>
    <w:lvl w:ilvl="2" w:tplc="778CBD42">
      <w:start w:val="4"/>
      <w:numFmt w:val="upperRoman"/>
      <w:lvlText w:val="%3."/>
      <w:lvlJc w:val="left"/>
      <w:pPr>
        <w:tabs>
          <w:tab w:val="num" w:pos="2700"/>
        </w:tabs>
        <w:ind w:left="2700" w:hanging="720"/>
      </w:pPr>
      <w:rPr>
        <w:rFonts w:hint="default"/>
      </w:rPr>
    </w:lvl>
    <w:lvl w:ilvl="3" w:tplc="962C9B28">
      <w:start w:val="5"/>
      <w:numFmt w:val="upp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A8E7BFA"/>
    <w:multiLevelType w:val="hybridMultilevel"/>
    <w:tmpl w:val="7B76D89A"/>
    <w:lvl w:ilvl="0" w:tplc="91D2B51C">
      <w:start w:val="1"/>
      <w:numFmt w:val="decimal"/>
      <w:lvlText w:val="%1."/>
      <w:lvlJc w:val="left"/>
      <w:pPr>
        <w:tabs>
          <w:tab w:val="num" w:pos="1440"/>
        </w:tabs>
        <w:ind w:left="1440" w:hanging="360"/>
      </w:pPr>
      <w:rPr>
        <w:rFonts w:ascii="Cambria" w:hAnsi="Cambria" w:hint="default"/>
        <w:b w:val="0"/>
        <w:sz w:val="20"/>
        <w:szCs w:val="20"/>
        <w:lang w:val="es-CO"/>
      </w:rPr>
    </w:lvl>
    <w:lvl w:ilvl="1" w:tplc="D92C12E8">
      <w:start w:val="59"/>
      <w:numFmt w:val="decimal"/>
      <w:lvlText w:val="%2."/>
      <w:lvlJc w:val="left"/>
      <w:pPr>
        <w:tabs>
          <w:tab w:val="num" w:pos="2580"/>
        </w:tabs>
        <w:ind w:left="2580" w:hanging="1500"/>
      </w:pPr>
      <w:rPr>
        <w:rFonts w:hint="default"/>
      </w:rPr>
    </w:lvl>
    <w:lvl w:ilvl="2" w:tplc="99CCD1F2">
      <w:start w:val="3"/>
      <w:numFmt w:val="upperLetter"/>
      <w:lvlText w:val="%3."/>
      <w:lvlJc w:val="left"/>
      <w:pPr>
        <w:tabs>
          <w:tab w:val="num" w:pos="2340"/>
        </w:tabs>
        <w:ind w:left="2340" w:hanging="360"/>
      </w:pPr>
      <w:rPr>
        <w:rFonts w:hint="default"/>
      </w:rPr>
    </w:lvl>
    <w:lvl w:ilvl="3" w:tplc="0409000F">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D601EFE"/>
    <w:multiLevelType w:val="hybridMultilevel"/>
    <w:tmpl w:val="7B76D89A"/>
    <w:lvl w:ilvl="0" w:tplc="91D2B51C">
      <w:start w:val="1"/>
      <w:numFmt w:val="decimal"/>
      <w:lvlText w:val="%1."/>
      <w:lvlJc w:val="left"/>
      <w:pPr>
        <w:tabs>
          <w:tab w:val="num" w:pos="1440"/>
        </w:tabs>
        <w:ind w:left="1440" w:hanging="360"/>
      </w:pPr>
      <w:rPr>
        <w:rFonts w:ascii="Cambria" w:hAnsi="Cambria" w:hint="default"/>
        <w:b w:val="0"/>
        <w:sz w:val="20"/>
        <w:szCs w:val="20"/>
        <w:lang w:val="es-CO"/>
      </w:rPr>
    </w:lvl>
    <w:lvl w:ilvl="1" w:tplc="D92C12E8">
      <w:start w:val="59"/>
      <w:numFmt w:val="decimal"/>
      <w:lvlText w:val="%2."/>
      <w:lvlJc w:val="left"/>
      <w:pPr>
        <w:tabs>
          <w:tab w:val="num" w:pos="2580"/>
        </w:tabs>
        <w:ind w:left="2580" w:hanging="1500"/>
      </w:pPr>
      <w:rPr>
        <w:rFonts w:hint="default"/>
      </w:rPr>
    </w:lvl>
    <w:lvl w:ilvl="2" w:tplc="99CCD1F2">
      <w:start w:val="3"/>
      <w:numFmt w:val="upperLetter"/>
      <w:lvlText w:val="%3."/>
      <w:lvlJc w:val="left"/>
      <w:pPr>
        <w:tabs>
          <w:tab w:val="num" w:pos="2340"/>
        </w:tabs>
        <w:ind w:left="2340" w:hanging="360"/>
      </w:pPr>
      <w:rPr>
        <w:rFonts w:hint="default"/>
      </w:rPr>
    </w:lvl>
    <w:lvl w:ilvl="3" w:tplc="0409000F">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20"/>
  </w:num>
  <w:num w:numId="3">
    <w:abstractNumId w:val="11"/>
  </w:num>
  <w:num w:numId="4">
    <w:abstractNumId w:val="8"/>
  </w:num>
  <w:num w:numId="5">
    <w:abstractNumId w:val="4"/>
  </w:num>
  <w:num w:numId="6">
    <w:abstractNumId w:val="3"/>
  </w:num>
  <w:num w:numId="7">
    <w:abstractNumId w:val="0"/>
  </w:num>
  <w:num w:numId="8">
    <w:abstractNumId w:val="15"/>
  </w:num>
  <w:num w:numId="9">
    <w:abstractNumId w:val="10"/>
  </w:num>
  <w:num w:numId="10">
    <w:abstractNumId w:val="2"/>
  </w:num>
  <w:num w:numId="11">
    <w:abstractNumId w:val="7"/>
  </w:num>
  <w:num w:numId="12">
    <w:abstractNumId w:val="5"/>
  </w:num>
  <w:num w:numId="13">
    <w:abstractNumId w:val="12"/>
  </w:num>
  <w:num w:numId="14">
    <w:abstractNumId w:val="9"/>
  </w:num>
  <w:num w:numId="15">
    <w:abstractNumId w:val="21"/>
  </w:num>
  <w:num w:numId="16">
    <w:abstractNumId w:val="14"/>
  </w:num>
  <w:num w:numId="17">
    <w:abstractNumId w:val="24"/>
  </w:num>
  <w:num w:numId="18">
    <w:abstractNumId w:val="19"/>
  </w:num>
  <w:num w:numId="19">
    <w:abstractNumId w:val="1"/>
  </w:num>
  <w:num w:numId="20">
    <w:abstractNumId w:val="23"/>
  </w:num>
  <w:num w:numId="21">
    <w:abstractNumId w:val="16"/>
  </w:num>
  <w:num w:numId="22">
    <w:abstractNumId w:val="17"/>
  </w:num>
  <w:num w:numId="23">
    <w:abstractNumId w:val="18"/>
  </w:num>
  <w:num w:numId="24">
    <w:abstractNumId w:val="6"/>
  </w:num>
  <w:num w:numId="25">
    <w:abstractNumId w:val="22"/>
  </w:num>
  <w:num w:numId="26">
    <w:abstractNumId w:val="20"/>
    <w:lvlOverride w:ilvl="0">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7B7"/>
    <w:rsid w:val="0000148B"/>
    <w:rsid w:val="00005956"/>
    <w:rsid w:val="00007D28"/>
    <w:rsid w:val="0001014C"/>
    <w:rsid w:val="000117C9"/>
    <w:rsid w:val="00012611"/>
    <w:rsid w:val="00013BD1"/>
    <w:rsid w:val="00013F05"/>
    <w:rsid w:val="00015207"/>
    <w:rsid w:val="00016712"/>
    <w:rsid w:val="00016C2E"/>
    <w:rsid w:val="00016C3B"/>
    <w:rsid w:val="00020F3A"/>
    <w:rsid w:val="000220A0"/>
    <w:rsid w:val="000221F7"/>
    <w:rsid w:val="00023230"/>
    <w:rsid w:val="00024E85"/>
    <w:rsid w:val="0002696B"/>
    <w:rsid w:val="00026BDA"/>
    <w:rsid w:val="000300B8"/>
    <w:rsid w:val="0003015A"/>
    <w:rsid w:val="00030354"/>
    <w:rsid w:val="000307E7"/>
    <w:rsid w:val="00030868"/>
    <w:rsid w:val="000327CD"/>
    <w:rsid w:val="00032804"/>
    <w:rsid w:val="00032E99"/>
    <w:rsid w:val="00033BD4"/>
    <w:rsid w:val="00034138"/>
    <w:rsid w:val="00035F3D"/>
    <w:rsid w:val="00036277"/>
    <w:rsid w:val="000362F1"/>
    <w:rsid w:val="00040668"/>
    <w:rsid w:val="000408A9"/>
    <w:rsid w:val="00041A0E"/>
    <w:rsid w:val="00042A41"/>
    <w:rsid w:val="00046406"/>
    <w:rsid w:val="000467EF"/>
    <w:rsid w:val="00047612"/>
    <w:rsid w:val="00051F53"/>
    <w:rsid w:val="00052DC6"/>
    <w:rsid w:val="000535BD"/>
    <w:rsid w:val="00053D40"/>
    <w:rsid w:val="000561DC"/>
    <w:rsid w:val="00057579"/>
    <w:rsid w:val="00057D03"/>
    <w:rsid w:val="00060AB0"/>
    <w:rsid w:val="0006205C"/>
    <w:rsid w:val="0006222C"/>
    <w:rsid w:val="0006278A"/>
    <w:rsid w:val="00062DF0"/>
    <w:rsid w:val="000634D3"/>
    <w:rsid w:val="00064376"/>
    <w:rsid w:val="0006506A"/>
    <w:rsid w:val="0006526B"/>
    <w:rsid w:val="0007239A"/>
    <w:rsid w:val="00073E2C"/>
    <w:rsid w:val="00074594"/>
    <w:rsid w:val="00074815"/>
    <w:rsid w:val="0007573B"/>
    <w:rsid w:val="00075A7C"/>
    <w:rsid w:val="00075B25"/>
    <w:rsid w:val="0007684D"/>
    <w:rsid w:val="00077719"/>
    <w:rsid w:val="00082C1F"/>
    <w:rsid w:val="00082C4B"/>
    <w:rsid w:val="00082D70"/>
    <w:rsid w:val="00083393"/>
    <w:rsid w:val="00083A03"/>
    <w:rsid w:val="00083DFD"/>
    <w:rsid w:val="00087D6F"/>
    <w:rsid w:val="000935D2"/>
    <w:rsid w:val="00093DBA"/>
    <w:rsid w:val="00094354"/>
    <w:rsid w:val="0009510B"/>
    <w:rsid w:val="000951E0"/>
    <w:rsid w:val="000959A4"/>
    <w:rsid w:val="00095A00"/>
    <w:rsid w:val="00095AAA"/>
    <w:rsid w:val="000A17DA"/>
    <w:rsid w:val="000A1C93"/>
    <w:rsid w:val="000A3349"/>
    <w:rsid w:val="000A4C72"/>
    <w:rsid w:val="000A5448"/>
    <w:rsid w:val="000A5F60"/>
    <w:rsid w:val="000A6E4C"/>
    <w:rsid w:val="000A78E0"/>
    <w:rsid w:val="000A7B62"/>
    <w:rsid w:val="000B11B2"/>
    <w:rsid w:val="000B1F32"/>
    <w:rsid w:val="000B263C"/>
    <w:rsid w:val="000B6604"/>
    <w:rsid w:val="000C0401"/>
    <w:rsid w:val="000C1494"/>
    <w:rsid w:val="000C14E4"/>
    <w:rsid w:val="000C1FF3"/>
    <w:rsid w:val="000C2036"/>
    <w:rsid w:val="000C3452"/>
    <w:rsid w:val="000C68DF"/>
    <w:rsid w:val="000C6E64"/>
    <w:rsid w:val="000C795B"/>
    <w:rsid w:val="000D0607"/>
    <w:rsid w:val="000D0A20"/>
    <w:rsid w:val="000D0FE5"/>
    <w:rsid w:val="000D2284"/>
    <w:rsid w:val="000D2816"/>
    <w:rsid w:val="000D3D17"/>
    <w:rsid w:val="000D4BB1"/>
    <w:rsid w:val="000E05BA"/>
    <w:rsid w:val="000E05ED"/>
    <w:rsid w:val="000E0C03"/>
    <w:rsid w:val="000E32B5"/>
    <w:rsid w:val="000E42DA"/>
    <w:rsid w:val="000E4C7A"/>
    <w:rsid w:val="000E5707"/>
    <w:rsid w:val="000E5886"/>
    <w:rsid w:val="000E5C81"/>
    <w:rsid w:val="000F0ABB"/>
    <w:rsid w:val="000F5F1D"/>
    <w:rsid w:val="001009E4"/>
    <w:rsid w:val="00101650"/>
    <w:rsid w:val="00103DF6"/>
    <w:rsid w:val="00106DE1"/>
    <w:rsid w:val="0010742D"/>
    <w:rsid w:val="0010793F"/>
    <w:rsid w:val="001107EF"/>
    <w:rsid w:val="001113DF"/>
    <w:rsid w:val="00115DC9"/>
    <w:rsid w:val="00116D15"/>
    <w:rsid w:val="00120A1B"/>
    <w:rsid w:val="00120BBD"/>
    <w:rsid w:val="00121247"/>
    <w:rsid w:val="001214ED"/>
    <w:rsid w:val="00122516"/>
    <w:rsid w:val="001252B9"/>
    <w:rsid w:val="0012601F"/>
    <w:rsid w:val="00137310"/>
    <w:rsid w:val="00140227"/>
    <w:rsid w:val="001417A6"/>
    <w:rsid w:val="00141E7C"/>
    <w:rsid w:val="001429B5"/>
    <w:rsid w:val="001439A2"/>
    <w:rsid w:val="00143DF8"/>
    <w:rsid w:val="00144817"/>
    <w:rsid w:val="00145FB5"/>
    <w:rsid w:val="00150F17"/>
    <w:rsid w:val="00151BC3"/>
    <w:rsid w:val="00153C9D"/>
    <w:rsid w:val="0015544F"/>
    <w:rsid w:val="001554E1"/>
    <w:rsid w:val="0015748B"/>
    <w:rsid w:val="00162484"/>
    <w:rsid w:val="00162CFF"/>
    <w:rsid w:val="001636BB"/>
    <w:rsid w:val="001641F4"/>
    <w:rsid w:val="00165672"/>
    <w:rsid w:val="00165968"/>
    <w:rsid w:val="001659AC"/>
    <w:rsid w:val="00166063"/>
    <w:rsid w:val="0016654D"/>
    <w:rsid w:val="00166C79"/>
    <w:rsid w:val="001677B5"/>
    <w:rsid w:val="00171731"/>
    <w:rsid w:val="00171C78"/>
    <w:rsid w:val="00174BD2"/>
    <w:rsid w:val="00175BB1"/>
    <w:rsid w:val="00177E85"/>
    <w:rsid w:val="001801E1"/>
    <w:rsid w:val="001814EF"/>
    <w:rsid w:val="0018239E"/>
    <w:rsid w:val="00183482"/>
    <w:rsid w:val="001854B9"/>
    <w:rsid w:val="001858EB"/>
    <w:rsid w:val="0019063C"/>
    <w:rsid w:val="0019108A"/>
    <w:rsid w:val="001931F2"/>
    <w:rsid w:val="00193A30"/>
    <w:rsid w:val="0019637B"/>
    <w:rsid w:val="0019656F"/>
    <w:rsid w:val="00197B0D"/>
    <w:rsid w:val="00197DB2"/>
    <w:rsid w:val="001A1F8E"/>
    <w:rsid w:val="001A3698"/>
    <w:rsid w:val="001A499A"/>
    <w:rsid w:val="001A4FA4"/>
    <w:rsid w:val="001A6252"/>
    <w:rsid w:val="001B0F33"/>
    <w:rsid w:val="001B14D2"/>
    <w:rsid w:val="001B5D43"/>
    <w:rsid w:val="001B66FF"/>
    <w:rsid w:val="001C5113"/>
    <w:rsid w:val="001C6531"/>
    <w:rsid w:val="001D01F5"/>
    <w:rsid w:val="001D44FF"/>
    <w:rsid w:val="001D4A96"/>
    <w:rsid w:val="001D4D6A"/>
    <w:rsid w:val="001D61F3"/>
    <w:rsid w:val="001D6637"/>
    <w:rsid w:val="001E016B"/>
    <w:rsid w:val="001E0325"/>
    <w:rsid w:val="001E12C1"/>
    <w:rsid w:val="001E26F8"/>
    <w:rsid w:val="001E2A9B"/>
    <w:rsid w:val="001E30A7"/>
    <w:rsid w:val="001E36B1"/>
    <w:rsid w:val="001E4515"/>
    <w:rsid w:val="001E5AF9"/>
    <w:rsid w:val="001E6B2F"/>
    <w:rsid w:val="001E717A"/>
    <w:rsid w:val="001F0FF4"/>
    <w:rsid w:val="001F24BC"/>
    <w:rsid w:val="001F47A4"/>
    <w:rsid w:val="001F66BE"/>
    <w:rsid w:val="001F77CE"/>
    <w:rsid w:val="0020183F"/>
    <w:rsid w:val="00203C23"/>
    <w:rsid w:val="00203EBC"/>
    <w:rsid w:val="00205A34"/>
    <w:rsid w:val="00207837"/>
    <w:rsid w:val="00207C3A"/>
    <w:rsid w:val="00210821"/>
    <w:rsid w:val="002129B6"/>
    <w:rsid w:val="00213F94"/>
    <w:rsid w:val="00214C1E"/>
    <w:rsid w:val="002157CB"/>
    <w:rsid w:val="00216848"/>
    <w:rsid w:val="00216E9B"/>
    <w:rsid w:val="00222035"/>
    <w:rsid w:val="0022567F"/>
    <w:rsid w:val="00226564"/>
    <w:rsid w:val="00230076"/>
    <w:rsid w:val="002305B6"/>
    <w:rsid w:val="00231469"/>
    <w:rsid w:val="00232277"/>
    <w:rsid w:val="002337BF"/>
    <w:rsid w:val="00233FAE"/>
    <w:rsid w:val="00234D4E"/>
    <w:rsid w:val="002353F1"/>
    <w:rsid w:val="0024029E"/>
    <w:rsid w:val="002412EE"/>
    <w:rsid w:val="002427C3"/>
    <w:rsid w:val="00246EBA"/>
    <w:rsid w:val="0025261E"/>
    <w:rsid w:val="00252A19"/>
    <w:rsid w:val="00253F72"/>
    <w:rsid w:val="002547E2"/>
    <w:rsid w:val="0025480C"/>
    <w:rsid w:val="00255902"/>
    <w:rsid w:val="00257AB6"/>
    <w:rsid w:val="00261B3F"/>
    <w:rsid w:val="002622D7"/>
    <w:rsid w:val="00265091"/>
    <w:rsid w:val="00266E44"/>
    <w:rsid w:val="00270BC7"/>
    <w:rsid w:val="00270C48"/>
    <w:rsid w:val="00270D07"/>
    <w:rsid w:val="00276F1A"/>
    <w:rsid w:val="00277BCC"/>
    <w:rsid w:val="00281B43"/>
    <w:rsid w:val="002831F0"/>
    <w:rsid w:val="00285CD4"/>
    <w:rsid w:val="00286445"/>
    <w:rsid w:val="00286C56"/>
    <w:rsid w:val="00286C95"/>
    <w:rsid w:val="00287014"/>
    <w:rsid w:val="002870C0"/>
    <w:rsid w:val="00292E3C"/>
    <w:rsid w:val="002955D2"/>
    <w:rsid w:val="0029567F"/>
    <w:rsid w:val="00296A8E"/>
    <w:rsid w:val="00296D98"/>
    <w:rsid w:val="002A0875"/>
    <w:rsid w:val="002A0A00"/>
    <w:rsid w:val="002A2299"/>
    <w:rsid w:val="002A23A4"/>
    <w:rsid w:val="002A2835"/>
    <w:rsid w:val="002A401C"/>
    <w:rsid w:val="002A4D38"/>
    <w:rsid w:val="002A532D"/>
    <w:rsid w:val="002A5E9C"/>
    <w:rsid w:val="002A60CC"/>
    <w:rsid w:val="002B072C"/>
    <w:rsid w:val="002B1E20"/>
    <w:rsid w:val="002B2EF6"/>
    <w:rsid w:val="002B452F"/>
    <w:rsid w:val="002B519B"/>
    <w:rsid w:val="002B58CF"/>
    <w:rsid w:val="002B5B5B"/>
    <w:rsid w:val="002B7661"/>
    <w:rsid w:val="002C12EA"/>
    <w:rsid w:val="002C1E48"/>
    <w:rsid w:val="002C416A"/>
    <w:rsid w:val="002C4B44"/>
    <w:rsid w:val="002C50D6"/>
    <w:rsid w:val="002D1A64"/>
    <w:rsid w:val="002D2350"/>
    <w:rsid w:val="002D5E20"/>
    <w:rsid w:val="002D6931"/>
    <w:rsid w:val="002D74DD"/>
    <w:rsid w:val="002D7F2C"/>
    <w:rsid w:val="002E109B"/>
    <w:rsid w:val="002E2518"/>
    <w:rsid w:val="002E2B5A"/>
    <w:rsid w:val="002E2B9C"/>
    <w:rsid w:val="002E2C75"/>
    <w:rsid w:val="002E2D7C"/>
    <w:rsid w:val="002E3B47"/>
    <w:rsid w:val="002E3C91"/>
    <w:rsid w:val="002E410A"/>
    <w:rsid w:val="002E5EAA"/>
    <w:rsid w:val="002F213D"/>
    <w:rsid w:val="002F4397"/>
    <w:rsid w:val="002F6C92"/>
    <w:rsid w:val="002F7724"/>
    <w:rsid w:val="002F7892"/>
    <w:rsid w:val="002F7DD6"/>
    <w:rsid w:val="003027A2"/>
    <w:rsid w:val="003028C9"/>
    <w:rsid w:val="00303E2E"/>
    <w:rsid w:val="00305B06"/>
    <w:rsid w:val="0030619C"/>
    <w:rsid w:val="0030678C"/>
    <w:rsid w:val="00306E6D"/>
    <w:rsid w:val="00306FFA"/>
    <w:rsid w:val="003070CA"/>
    <w:rsid w:val="00307FD1"/>
    <w:rsid w:val="00311F7C"/>
    <w:rsid w:val="00312206"/>
    <w:rsid w:val="0031288F"/>
    <w:rsid w:val="003157EE"/>
    <w:rsid w:val="00322B3F"/>
    <w:rsid w:val="00322CBA"/>
    <w:rsid w:val="0032504B"/>
    <w:rsid w:val="00325494"/>
    <w:rsid w:val="0032581D"/>
    <w:rsid w:val="0033034C"/>
    <w:rsid w:val="00330C6A"/>
    <w:rsid w:val="0033295C"/>
    <w:rsid w:val="003338FE"/>
    <w:rsid w:val="0033406D"/>
    <w:rsid w:val="00335368"/>
    <w:rsid w:val="003361C6"/>
    <w:rsid w:val="0033683C"/>
    <w:rsid w:val="003368B0"/>
    <w:rsid w:val="003401CE"/>
    <w:rsid w:val="00341506"/>
    <w:rsid w:val="00342F4E"/>
    <w:rsid w:val="00343482"/>
    <w:rsid w:val="00343661"/>
    <w:rsid w:val="00343BAE"/>
    <w:rsid w:val="00344413"/>
    <w:rsid w:val="00344BF4"/>
    <w:rsid w:val="003473B8"/>
    <w:rsid w:val="00347524"/>
    <w:rsid w:val="0034764F"/>
    <w:rsid w:val="00351AD9"/>
    <w:rsid w:val="003527CC"/>
    <w:rsid w:val="003535A0"/>
    <w:rsid w:val="00354F54"/>
    <w:rsid w:val="00355472"/>
    <w:rsid w:val="003572F8"/>
    <w:rsid w:val="00360A4C"/>
    <w:rsid w:val="003610B2"/>
    <w:rsid w:val="00362527"/>
    <w:rsid w:val="00362C9F"/>
    <w:rsid w:val="003632DA"/>
    <w:rsid w:val="0036335B"/>
    <w:rsid w:val="003635BB"/>
    <w:rsid w:val="00365F29"/>
    <w:rsid w:val="003668D6"/>
    <w:rsid w:val="00366ECC"/>
    <w:rsid w:val="00367971"/>
    <w:rsid w:val="00370E57"/>
    <w:rsid w:val="00371B81"/>
    <w:rsid w:val="003738B3"/>
    <w:rsid w:val="003749FD"/>
    <w:rsid w:val="003774FA"/>
    <w:rsid w:val="00380A93"/>
    <w:rsid w:val="00380B14"/>
    <w:rsid w:val="00380B23"/>
    <w:rsid w:val="00380B86"/>
    <w:rsid w:val="003872D8"/>
    <w:rsid w:val="00390103"/>
    <w:rsid w:val="003910A3"/>
    <w:rsid w:val="0039144A"/>
    <w:rsid w:val="0039146A"/>
    <w:rsid w:val="00392433"/>
    <w:rsid w:val="00392585"/>
    <w:rsid w:val="003947A4"/>
    <w:rsid w:val="00396B60"/>
    <w:rsid w:val="00396E5C"/>
    <w:rsid w:val="003A0ADD"/>
    <w:rsid w:val="003A1C4B"/>
    <w:rsid w:val="003A31FB"/>
    <w:rsid w:val="003A52A2"/>
    <w:rsid w:val="003A689D"/>
    <w:rsid w:val="003B1EE4"/>
    <w:rsid w:val="003B3ABB"/>
    <w:rsid w:val="003B4D00"/>
    <w:rsid w:val="003B5026"/>
    <w:rsid w:val="003B549C"/>
    <w:rsid w:val="003B7FE7"/>
    <w:rsid w:val="003C1946"/>
    <w:rsid w:val="003C410C"/>
    <w:rsid w:val="003C4139"/>
    <w:rsid w:val="003C7177"/>
    <w:rsid w:val="003C7BE0"/>
    <w:rsid w:val="003D0797"/>
    <w:rsid w:val="003D0B3E"/>
    <w:rsid w:val="003D2707"/>
    <w:rsid w:val="003D3474"/>
    <w:rsid w:val="003E228A"/>
    <w:rsid w:val="003E70F4"/>
    <w:rsid w:val="003E713F"/>
    <w:rsid w:val="003F01DC"/>
    <w:rsid w:val="003F0A28"/>
    <w:rsid w:val="003F0A31"/>
    <w:rsid w:val="003F1E5A"/>
    <w:rsid w:val="003F1FEA"/>
    <w:rsid w:val="003F5E40"/>
    <w:rsid w:val="003F6C30"/>
    <w:rsid w:val="003F6D25"/>
    <w:rsid w:val="0040012F"/>
    <w:rsid w:val="00400426"/>
    <w:rsid w:val="0040076B"/>
    <w:rsid w:val="0040272D"/>
    <w:rsid w:val="00404818"/>
    <w:rsid w:val="0040639E"/>
    <w:rsid w:val="00406F1D"/>
    <w:rsid w:val="00410820"/>
    <w:rsid w:val="00411074"/>
    <w:rsid w:val="004111A4"/>
    <w:rsid w:val="004126A9"/>
    <w:rsid w:val="004137CF"/>
    <w:rsid w:val="00413EF7"/>
    <w:rsid w:val="00414CC4"/>
    <w:rsid w:val="00415602"/>
    <w:rsid w:val="00417A7C"/>
    <w:rsid w:val="004235BE"/>
    <w:rsid w:val="00424E01"/>
    <w:rsid w:val="00425326"/>
    <w:rsid w:val="00432B2C"/>
    <w:rsid w:val="00434AE8"/>
    <w:rsid w:val="00435512"/>
    <w:rsid w:val="004365F8"/>
    <w:rsid w:val="00441477"/>
    <w:rsid w:val="004443B4"/>
    <w:rsid w:val="00446BA3"/>
    <w:rsid w:val="004503FE"/>
    <w:rsid w:val="00450DEE"/>
    <w:rsid w:val="004522D2"/>
    <w:rsid w:val="00452D92"/>
    <w:rsid w:val="00453ED8"/>
    <w:rsid w:val="004556B9"/>
    <w:rsid w:val="0045650E"/>
    <w:rsid w:val="0045657E"/>
    <w:rsid w:val="0045661E"/>
    <w:rsid w:val="00456773"/>
    <w:rsid w:val="00457D60"/>
    <w:rsid w:val="00462F99"/>
    <w:rsid w:val="004630E9"/>
    <w:rsid w:val="004633CF"/>
    <w:rsid w:val="0046395A"/>
    <w:rsid w:val="004658F0"/>
    <w:rsid w:val="00465B65"/>
    <w:rsid w:val="00465FDE"/>
    <w:rsid w:val="0046661A"/>
    <w:rsid w:val="004671BD"/>
    <w:rsid w:val="004749EE"/>
    <w:rsid w:val="00476DD1"/>
    <w:rsid w:val="004776E4"/>
    <w:rsid w:val="004778A6"/>
    <w:rsid w:val="00481620"/>
    <w:rsid w:val="00483BC7"/>
    <w:rsid w:val="00485FFB"/>
    <w:rsid w:val="00486F6F"/>
    <w:rsid w:val="004901A5"/>
    <w:rsid w:val="004907AC"/>
    <w:rsid w:val="00491305"/>
    <w:rsid w:val="004913A1"/>
    <w:rsid w:val="00492C34"/>
    <w:rsid w:val="004940D0"/>
    <w:rsid w:val="00494D35"/>
    <w:rsid w:val="004960FA"/>
    <w:rsid w:val="00496A44"/>
    <w:rsid w:val="004A1C18"/>
    <w:rsid w:val="004A364A"/>
    <w:rsid w:val="004A685E"/>
    <w:rsid w:val="004A7BB3"/>
    <w:rsid w:val="004B3A4D"/>
    <w:rsid w:val="004B4C4A"/>
    <w:rsid w:val="004B58EF"/>
    <w:rsid w:val="004B63A5"/>
    <w:rsid w:val="004B75E3"/>
    <w:rsid w:val="004B75EC"/>
    <w:rsid w:val="004B772B"/>
    <w:rsid w:val="004B7A52"/>
    <w:rsid w:val="004C0CD8"/>
    <w:rsid w:val="004C1887"/>
    <w:rsid w:val="004C31BC"/>
    <w:rsid w:val="004C52A6"/>
    <w:rsid w:val="004C550C"/>
    <w:rsid w:val="004C5888"/>
    <w:rsid w:val="004D057A"/>
    <w:rsid w:val="004D0FE7"/>
    <w:rsid w:val="004D20F0"/>
    <w:rsid w:val="004D3EDE"/>
    <w:rsid w:val="004D7B8C"/>
    <w:rsid w:val="004E1197"/>
    <w:rsid w:val="004E1C7C"/>
    <w:rsid w:val="004E224C"/>
    <w:rsid w:val="004E2511"/>
    <w:rsid w:val="004E2700"/>
    <w:rsid w:val="004E661A"/>
    <w:rsid w:val="004E72DA"/>
    <w:rsid w:val="004E7739"/>
    <w:rsid w:val="004F1FBA"/>
    <w:rsid w:val="004F2684"/>
    <w:rsid w:val="004F2F57"/>
    <w:rsid w:val="004F3771"/>
    <w:rsid w:val="0050002E"/>
    <w:rsid w:val="005003BE"/>
    <w:rsid w:val="0050155E"/>
    <w:rsid w:val="0050278E"/>
    <w:rsid w:val="005031F8"/>
    <w:rsid w:val="0050363D"/>
    <w:rsid w:val="0050618E"/>
    <w:rsid w:val="00507F42"/>
    <w:rsid w:val="005154DB"/>
    <w:rsid w:val="00515CAB"/>
    <w:rsid w:val="005170B1"/>
    <w:rsid w:val="00517330"/>
    <w:rsid w:val="00520A8F"/>
    <w:rsid w:val="005224F3"/>
    <w:rsid w:val="0052328D"/>
    <w:rsid w:val="0052329A"/>
    <w:rsid w:val="005237AB"/>
    <w:rsid w:val="005249B9"/>
    <w:rsid w:val="00524C5E"/>
    <w:rsid w:val="005250C6"/>
    <w:rsid w:val="0052517D"/>
    <w:rsid w:val="0052520E"/>
    <w:rsid w:val="00525963"/>
    <w:rsid w:val="00525BA5"/>
    <w:rsid w:val="005305D6"/>
    <w:rsid w:val="00530B83"/>
    <w:rsid w:val="00531976"/>
    <w:rsid w:val="0053430D"/>
    <w:rsid w:val="005348A5"/>
    <w:rsid w:val="005365A6"/>
    <w:rsid w:val="005405B9"/>
    <w:rsid w:val="00540919"/>
    <w:rsid w:val="005410B6"/>
    <w:rsid w:val="0054121A"/>
    <w:rsid w:val="00542183"/>
    <w:rsid w:val="005429C7"/>
    <w:rsid w:val="00542F2B"/>
    <w:rsid w:val="00543E97"/>
    <w:rsid w:val="00544830"/>
    <w:rsid w:val="00545127"/>
    <w:rsid w:val="00546A5F"/>
    <w:rsid w:val="0054737B"/>
    <w:rsid w:val="00547611"/>
    <w:rsid w:val="00553290"/>
    <w:rsid w:val="00554548"/>
    <w:rsid w:val="005562F0"/>
    <w:rsid w:val="005605A1"/>
    <w:rsid w:val="00561F78"/>
    <w:rsid w:val="00563835"/>
    <w:rsid w:val="00573EBA"/>
    <w:rsid w:val="00577244"/>
    <w:rsid w:val="00577D39"/>
    <w:rsid w:val="00577E21"/>
    <w:rsid w:val="005805D8"/>
    <w:rsid w:val="005809F1"/>
    <w:rsid w:val="005819F3"/>
    <w:rsid w:val="00582551"/>
    <w:rsid w:val="00584C5E"/>
    <w:rsid w:val="00585C8B"/>
    <w:rsid w:val="005873E5"/>
    <w:rsid w:val="005919DB"/>
    <w:rsid w:val="00596566"/>
    <w:rsid w:val="00597A3B"/>
    <w:rsid w:val="005A0F49"/>
    <w:rsid w:val="005A0FB5"/>
    <w:rsid w:val="005A2A48"/>
    <w:rsid w:val="005A2BAF"/>
    <w:rsid w:val="005A4A68"/>
    <w:rsid w:val="005A536E"/>
    <w:rsid w:val="005A602B"/>
    <w:rsid w:val="005A6140"/>
    <w:rsid w:val="005A74A5"/>
    <w:rsid w:val="005A7982"/>
    <w:rsid w:val="005B098F"/>
    <w:rsid w:val="005B44FC"/>
    <w:rsid w:val="005C04E1"/>
    <w:rsid w:val="005C06CF"/>
    <w:rsid w:val="005C0E8E"/>
    <w:rsid w:val="005C3297"/>
    <w:rsid w:val="005C4391"/>
    <w:rsid w:val="005C5184"/>
    <w:rsid w:val="005C6683"/>
    <w:rsid w:val="005C7046"/>
    <w:rsid w:val="005D0EAC"/>
    <w:rsid w:val="005D1A51"/>
    <w:rsid w:val="005D5F3E"/>
    <w:rsid w:val="005D683A"/>
    <w:rsid w:val="005D752C"/>
    <w:rsid w:val="005D7DF8"/>
    <w:rsid w:val="005E0E5B"/>
    <w:rsid w:val="005F09A7"/>
    <w:rsid w:val="005F1100"/>
    <w:rsid w:val="005F2ED5"/>
    <w:rsid w:val="005F5F39"/>
    <w:rsid w:val="005F63B5"/>
    <w:rsid w:val="00600565"/>
    <w:rsid w:val="00600AE6"/>
    <w:rsid w:val="006017AE"/>
    <w:rsid w:val="00601818"/>
    <w:rsid w:val="00601E8B"/>
    <w:rsid w:val="006021C6"/>
    <w:rsid w:val="0060306B"/>
    <w:rsid w:val="00605240"/>
    <w:rsid w:val="006073DC"/>
    <w:rsid w:val="00607E01"/>
    <w:rsid w:val="0061104B"/>
    <w:rsid w:val="00611B80"/>
    <w:rsid w:val="00611E04"/>
    <w:rsid w:val="00616329"/>
    <w:rsid w:val="00617F79"/>
    <w:rsid w:val="0062160A"/>
    <w:rsid w:val="0062421F"/>
    <w:rsid w:val="00625522"/>
    <w:rsid w:val="006264C8"/>
    <w:rsid w:val="006304C3"/>
    <w:rsid w:val="006307B7"/>
    <w:rsid w:val="00630946"/>
    <w:rsid w:val="006312E2"/>
    <w:rsid w:val="006315D3"/>
    <w:rsid w:val="006329DA"/>
    <w:rsid w:val="00633CC9"/>
    <w:rsid w:val="006354BA"/>
    <w:rsid w:val="00640517"/>
    <w:rsid w:val="00640711"/>
    <w:rsid w:val="0064192A"/>
    <w:rsid w:val="00642A48"/>
    <w:rsid w:val="00643509"/>
    <w:rsid w:val="00643975"/>
    <w:rsid w:val="00645908"/>
    <w:rsid w:val="00645978"/>
    <w:rsid w:val="00646A40"/>
    <w:rsid w:val="00650382"/>
    <w:rsid w:val="006508F9"/>
    <w:rsid w:val="0065215D"/>
    <w:rsid w:val="00655AFD"/>
    <w:rsid w:val="0065743B"/>
    <w:rsid w:val="006615D1"/>
    <w:rsid w:val="00661F75"/>
    <w:rsid w:val="00663CD1"/>
    <w:rsid w:val="006712F1"/>
    <w:rsid w:val="00671784"/>
    <w:rsid w:val="00671BEB"/>
    <w:rsid w:val="0067283B"/>
    <w:rsid w:val="006731BF"/>
    <w:rsid w:val="00673CF8"/>
    <w:rsid w:val="00675B0F"/>
    <w:rsid w:val="00677CD1"/>
    <w:rsid w:val="006811F7"/>
    <w:rsid w:val="00681501"/>
    <w:rsid w:val="006842C3"/>
    <w:rsid w:val="006842FD"/>
    <w:rsid w:val="00684BB8"/>
    <w:rsid w:val="006858BB"/>
    <w:rsid w:val="00686DC2"/>
    <w:rsid w:val="00687F77"/>
    <w:rsid w:val="00690A12"/>
    <w:rsid w:val="006971F9"/>
    <w:rsid w:val="00697AFF"/>
    <w:rsid w:val="00697CED"/>
    <w:rsid w:val="006A0144"/>
    <w:rsid w:val="006A1CAF"/>
    <w:rsid w:val="006A4428"/>
    <w:rsid w:val="006A47D8"/>
    <w:rsid w:val="006A4C45"/>
    <w:rsid w:val="006A613C"/>
    <w:rsid w:val="006A7DE5"/>
    <w:rsid w:val="006A7FC6"/>
    <w:rsid w:val="006B0082"/>
    <w:rsid w:val="006B1085"/>
    <w:rsid w:val="006B158C"/>
    <w:rsid w:val="006B1BC3"/>
    <w:rsid w:val="006B2007"/>
    <w:rsid w:val="006B2447"/>
    <w:rsid w:val="006B2ED5"/>
    <w:rsid w:val="006B359F"/>
    <w:rsid w:val="006B37CD"/>
    <w:rsid w:val="006B42C4"/>
    <w:rsid w:val="006B4A34"/>
    <w:rsid w:val="006C02A4"/>
    <w:rsid w:val="006C0F2D"/>
    <w:rsid w:val="006C2196"/>
    <w:rsid w:val="006C517D"/>
    <w:rsid w:val="006C55DE"/>
    <w:rsid w:val="006C5F36"/>
    <w:rsid w:val="006C6A03"/>
    <w:rsid w:val="006C7D33"/>
    <w:rsid w:val="006D1EC6"/>
    <w:rsid w:val="006D21FD"/>
    <w:rsid w:val="006D2931"/>
    <w:rsid w:val="006D349B"/>
    <w:rsid w:val="006D42F2"/>
    <w:rsid w:val="006D45FA"/>
    <w:rsid w:val="006D6BAF"/>
    <w:rsid w:val="006E09A9"/>
    <w:rsid w:val="006E17EA"/>
    <w:rsid w:val="006E2A17"/>
    <w:rsid w:val="006E2DB1"/>
    <w:rsid w:val="006E3078"/>
    <w:rsid w:val="006E3F7E"/>
    <w:rsid w:val="006E68FA"/>
    <w:rsid w:val="006E71D2"/>
    <w:rsid w:val="006F0A57"/>
    <w:rsid w:val="006F12E9"/>
    <w:rsid w:val="006F25A8"/>
    <w:rsid w:val="006F450D"/>
    <w:rsid w:val="006F52BE"/>
    <w:rsid w:val="007017EF"/>
    <w:rsid w:val="00704999"/>
    <w:rsid w:val="0070530C"/>
    <w:rsid w:val="00706CFB"/>
    <w:rsid w:val="007101D0"/>
    <w:rsid w:val="007122DA"/>
    <w:rsid w:val="007143DC"/>
    <w:rsid w:val="00714A6F"/>
    <w:rsid w:val="00716234"/>
    <w:rsid w:val="00716BCF"/>
    <w:rsid w:val="00716CD8"/>
    <w:rsid w:val="007171ED"/>
    <w:rsid w:val="007174D6"/>
    <w:rsid w:val="007202AC"/>
    <w:rsid w:val="00722042"/>
    <w:rsid w:val="00723BDF"/>
    <w:rsid w:val="00724011"/>
    <w:rsid w:val="00730334"/>
    <w:rsid w:val="0073066E"/>
    <w:rsid w:val="00733119"/>
    <w:rsid w:val="0073314C"/>
    <w:rsid w:val="00734844"/>
    <w:rsid w:val="0073591A"/>
    <w:rsid w:val="00737D44"/>
    <w:rsid w:val="0074094A"/>
    <w:rsid w:val="00740B11"/>
    <w:rsid w:val="0074107E"/>
    <w:rsid w:val="0074127B"/>
    <w:rsid w:val="00744D7E"/>
    <w:rsid w:val="00745A67"/>
    <w:rsid w:val="00746174"/>
    <w:rsid w:val="00746946"/>
    <w:rsid w:val="007474BD"/>
    <w:rsid w:val="007476C9"/>
    <w:rsid w:val="00750C27"/>
    <w:rsid w:val="00754413"/>
    <w:rsid w:val="007546B2"/>
    <w:rsid w:val="007547ED"/>
    <w:rsid w:val="00754968"/>
    <w:rsid w:val="0075594D"/>
    <w:rsid w:val="00755D25"/>
    <w:rsid w:val="0075632C"/>
    <w:rsid w:val="0075736C"/>
    <w:rsid w:val="00757900"/>
    <w:rsid w:val="00760A96"/>
    <w:rsid w:val="0076340D"/>
    <w:rsid w:val="0076475D"/>
    <w:rsid w:val="00765BCA"/>
    <w:rsid w:val="00766843"/>
    <w:rsid w:val="00766C31"/>
    <w:rsid w:val="007677C9"/>
    <w:rsid w:val="00772210"/>
    <w:rsid w:val="00776063"/>
    <w:rsid w:val="00776718"/>
    <w:rsid w:val="007771D9"/>
    <w:rsid w:val="007831C5"/>
    <w:rsid w:val="00783B81"/>
    <w:rsid w:val="007849C8"/>
    <w:rsid w:val="00784B20"/>
    <w:rsid w:val="00790DAC"/>
    <w:rsid w:val="00793069"/>
    <w:rsid w:val="0079448F"/>
    <w:rsid w:val="00795D23"/>
    <w:rsid w:val="00796F3E"/>
    <w:rsid w:val="007A0025"/>
    <w:rsid w:val="007A0135"/>
    <w:rsid w:val="007A2516"/>
    <w:rsid w:val="007A3484"/>
    <w:rsid w:val="007A3D3B"/>
    <w:rsid w:val="007A5382"/>
    <w:rsid w:val="007A5CA8"/>
    <w:rsid w:val="007A7BA0"/>
    <w:rsid w:val="007B1D34"/>
    <w:rsid w:val="007B2464"/>
    <w:rsid w:val="007B378B"/>
    <w:rsid w:val="007C0076"/>
    <w:rsid w:val="007C11F5"/>
    <w:rsid w:val="007C25B3"/>
    <w:rsid w:val="007C2730"/>
    <w:rsid w:val="007C449B"/>
    <w:rsid w:val="007C640C"/>
    <w:rsid w:val="007D2668"/>
    <w:rsid w:val="007D3342"/>
    <w:rsid w:val="007D4619"/>
    <w:rsid w:val="007D46AA"/>
    <w:rsid w:val="007D482E"/>
    <w:rsid w:val="007D5236"/>
    <w:rsid w:val="007D6882"/>
    <w:rsid w:val="007E1960"/>
    <w:rsid w:val="007E2F9D"/>
    <w:rsid w:val="007E4246"/>
    <w:rsid w:val="007E4580"/>
    <w:rsid w:val="007E521F"/>
    <w:rsid w:val="007E6C5D"/>
    <w:rsid w:val="007F00E2"/>
    <w:rsid w:val="007F029E"/>
    <w:rsid w:val="007F1484"/>
    <w:rsid w:val="007F1CA1"/>
    <w:rsid w:val="007F2603"/>
    <w:rsid w:val="007F2B59"/>
    <w:rsid w:val="007F393C"/>
    <w:rsid w:val="007F6416"/>
    <w:rsid w:val="007F64A8"/>
    <w:rsid w:val="007F6F85"/>
    <w:rsid w:val="007F756B"/>
    <w:rsid w:val="007F7EA8"/>
    <w:rsid w:val="00800B1E"/>
    <w:rsid w:val="00800C31"/>
    <w:rsid w:val="00800E35"/>
    <w:rsid w:val="00801CE8"/>
    <w:rsid w:val="00801E71"/>
    <w:rsid w:val="0080224E"/>
    <w:rsid w:val="00802728"/>
    <w:rsid w:val="0080291F"/>
    <w:rsid w:val="008030A6"/>
    <w:rsid w:val="0080399F"/>
    <w:rsid w:val="0080673D"/>
    <w:rsid w:val="00807E64"/>
    <w:rsid w:val="00811645"/>
    <w:rsid w:val="008117FD"/>
    <w:rsid w:val="00812BA1"/>
    <w:rsid w:val="00813BF6"/>
    <w:rsid w:val="00816B24"/>
    <w:rsid w:val="00817A23"/>
    <w:rsid w:val="00820471"/>
    <w:rsid w:val="00824D90"/>
    <w:rsid w:val="00825D08"/>
    <w:rsid w:val="00826A4E"/>
    <w:rsid w:val="0083156C"/>
    <w:rsid w:val="0083191E"/>
    <w:rsid w:val="008330DD"/>
    <w:rsid w:val="00834B1E"/>
    <w:rsid w:val="008378AF"/>
    <w:rsid w:val="00841633"/>
    <w:rsid w:val="00842402"/>
    <w:rsid w:val="00844397"/>
    <w:rsid w:val="008448EC"/>
    <w:rsid w:val="00845129"/>
    <w:rsid w:val="008458FB"/>
    <w:rsid w:val="00846763"/>
    <w:rsid w:val="0084686F"/>
    <w:rsid w:val="00850C28"/>
    <w:rsid w:val="008526D9"/>
    <w:rsid w:val="00853E48"/>
    <w:rsid w:val="00855834"/>
    <w:rsid w:val="00855913"/>
    <w:rsid w:val="00855AA8"/>
    <w:rsid w:val="008609CE"/>
    <w:rsid w:val="00862EEE"/>
    <w:rsid w:val="00864E51"/>
    <w:rsid w:val="00866331"/>
    <w:rsid w:val="00867E62"/>
    <w:rsid w:val="00870A63"/>
    <w:rsid w:val="00872CC9"/>
    <w:rsid w:val="00873013"/>
    <w:rsid w:val="00875D1D"/>
    <w:rsid w:val="00880B2A"/>
    <w:rsid w:val="008820A9"/>
    <w:rsid w:val="00883FE4"/>
    <w:rsid w:val="00885989"/>
    <w:rsid w:val="008859AD"/>
    <w:rsid w:val="00886A32"/>
    <w:rsid w:val="00886DC0"/>
    <w:rsid w:val="00890322"/>
    <w:rsid w:val="00890B00"/>
    <w:rsid w:val="00890EF5"/>
    <w:rsid w:val="00892C22"/>
    <w:rsid w:val="008930FD"/>
    <w:rsid w:val="00894A87"/>
    <w:rsid w:val="008953A6"/>
    <w:rsid w:val="00895675"/>
    <w:rsid w:val="008975D5"/>
    <w:rsid w:val="008A2B5A"/>
    <w:rsid w:val="008A3AF4"/>
    <w:rsid w:val="008A65C8"/>
    <w:rsid w:val="008A7234"/>
    <w:rsid w:val="008A7AD6"/>
    <w:rsid w:val="008B2029"/>
    <w:rsid w:val="008B3DA9"/>
    <w:rsid w:val="008B44A0"/>
    <w:rsid w:val="008B70C9"/>
    <w:rsid w:val="008C25DB"/>
    <w:rsid w:val="008C2C5A"/>
    <w:rsid w:val="008C3506"/>
    <w:rsid w:val="008C3634"/>
    <w:rsid w:val="008C3982"/>
    <w:rsid w:val="008C494F"/>
    <w:rsid w:val="008C4A6C"/>
    <w:rsid w:val="008C63E5"/>
    <w:rsid w:val="008C68FB"/>
    <w:rsid w:val="008D1127"/>
    <w:rsid w:val="008D3191"/>
    <w:rsid w:val="008D44AE"/>
    <w:rsid w:val="008D5476"/>
    <w:rsid w:val="008D7790"/>
    <w:rsid w:val="008E10FE"/>
    <w:rsid w:val="008E3F09"/>
    <w:rsid w:val="008E64EA"/>
    <w:rsid w:val="008E7663"/>
    <w:rsid w:val="008F4CE3"/>
    <w:rsid w:val="008F5E2F"/>
    <w:rsid w:val="00900D76"/>
    <w:rsid w:val="00901FDA"/>
    <w:rsid w:val="009024E3"/>
    <w:rsid w:val="00904D99"/>
    <w:rsid w:val="00905DE6"/>
    <w:rsid w:val="009060D5"/>
    <w:rsid w:val="0090650C"/>
    <w:rsid w:val="00906B20"/>
    <w:rsid w:val="0091010F"/>
    <w:rsid w:val="00914E0E"/>
    <w:rsid w:val="009162FE"/>
    <w:rsid w:val="00916698"/>
    <w:rsid w:val="00920C45"/>
    <w:rsid w:val="00924C6B"/>
    <w:rsid w:val="00925075"/>
    <w:rsid w:val="0092592A"/>
    <w:rsid w:val="00925DF5"/>
    <w:rsid w:val="0092611C"/>
    <w:rsid w:val="0093125E"/>
    <w:rsid w:val="00932AE4"/>
    <w:rsid w:val="00932BAF"/>
    <w:rsid w:val="00936444"/>
    <w:rsid w:val="009367D9"/>
    <w:rsid w:val="00936905"/>
    <w:rsid w:val="00936FF4"/>
    <w:rsid w:val="00943861"/>
    <w:rsid w:val="00944092"/>
    <w:rsid w:val="00944519"/>
    <w:rsid w:val="009457AE"/>
    <w:rsid w:val="00947B82"/>
    <w:rsid w:val="00950004"/>
    <w:rsid w:val="009505A7"/>
    <w:rsid w:val="00951D3E"/>
    <w:rsid w:val="0095241C"/>
    <w:rsid w:val="00952BAF"/>
    <w:rsid w:val="00955324"/>
    <w:rsid w:val="0095541D"/>
    <w:rsid w:val="0096004F"/>
    <w:rsid w:val="00961A5F"/>
    <w:rsid w:val="00961CB3"/>
    <w:rsid w:val="009623A3"/>
    <w:rsid w:val="009656D8"/>
    <w:rsid w:val="00965703"/>
    <w:rsid w:val="009663CF"/>
    <w:rsid w:val="0096755A"/>
    <w:rsid w:val="009702F6"/>
    <w:rsid w:val="00970867"/>
    <w:rsid w:val="009708D5"/>
    <w:rsid w:val="009732DD"/>
    <w:rsid w:val="00973EF2"/>
    <w:rsid w:val="00976682"/>
    <w:rsid w:val="00976CBB"/>
    <w:rsid w:val="00982F75"/>
    <w:rsid w:val="00982FB7"/>
    <w:rsid w:val="0098328A"/>
    <w:rsid w:val="009837E1"/>
    <w:rsid w:val="00985409"/>
    <w:rsid w:val="009869CC"/>
    <w:rsid w:val="00990348"/>
    <w:rsid w:val="00990399"/>
    <w:rsid w:val="00992314"/>
    <w:rsid w:val="00992868"/>
    <w:rsid w:val="009943CE"/>
    <w:rsid w:val="00994ABE"/>
    <w:rsid w:val="009956F7"/>
    <w:rsid w:val="00995949"/>
    <w:rsid w:val="009963A8"/>
    <w:rsid w:val="009A14B1"/>
    <w:rsid w:val="009A1B64"/>
    <w:rsid w:val="009A1F9B"/>
    <w:rsid w:val="009A2C1B"/>
    <w:rsid w:val="009A3A3E"/>
    <w:rsid w:val="009A6C30"/>
    <w:rsid w:val="009A7AB2"/>
    <w:rsid w:val="009A7B79"/>
    <w:rsid w:val="009B02FC"/>
    <w:rsid w:val="009B0611"/>
    <w:rsid w:val="009B1D9F"/>
    <w:rsid w:val="009B30C4"/>
    <w:rsid w:val="009B4A0E"/>
    <w:rsid w:val="009B58CA"/>
    <w:rsid w:val="009B63E3"/>
    <w:rsid w:val="009B65D5"/>
    <w:rsid w:val="009B7C1C"/>
    <w:rsid w:val="009C03B0"/>
    <w:rsid w:val="009C45D1"/>
    <w:rsid w:val="009C6300"/>
    <w:rsid w:val="009C686A"/>
    <w:rsid w:val="009D0150"/>
    <w:rsid w:val="009D1DAE"/>
    <w:rsid w:val="009D20F0"/>
    <w:rsid w:val="009D6BC9"/>
    <w:rsid w:val="009D7505"/>
    <w:rsid w:val="009D7F32"/>
    <w:rsid w:val="009E0EA7"/>
    <w:rsid w:val="009E1756"/>
    <w:rsid w:val="009E64DB"/>
    <w:rsid w:val="009E68FE"/>
    <w:rsid w:val="009F0302"/>
    <w:rsid w:val="009F310D"/>
    <w:rsid w:val="009F4655"/>
    <w:rsid w:val="009F46A6"/>
    <w:rsid w:val="009F4B99"/>
    <w:rsid w:val="009F5FEE"/>
    <w:rsid w:val="00A0005E"/>
    <w:rsid w:val="00A000A9"/>
    <w:rsid w:val="00A001C9"/>
    <w:rsid w:val="00A00F52"/>
    <w:rsid w:val="00A013C3"/>
    <w:rsid w:val="00A02108"/>
    <w:rsid w:val="00A02A0A"/>
    <w:rsid w:val="00A02BDC"/>
    <w:rsid w:val="00A03667"/>
    <w:rsid w:val="00A03EB1"/>
    <w:rsid w:val="00A04714"/>
    <w:rsid w:val="00A078C2"/>
    <w:rsid w:val="00A111D5"/>
    <w:rsid w:val="00A134B2"/>
    <w:rsid w:val="00A137B9"/>
    <w:rsid w:val="00A1748C"/>
    <w:rsid w:val="00A20E19"/>
    <w:rsid w:val="00A237A3"/>
    <w:rsid w:val="00A23D66"/>
    <w:rsid w:val="00A255F5"/>
    <w:rsid w:val="00A27019"/>
    <w:rsid w:val="00A30D4B"/>
    <w:rsid w:val="00A310CE"/>
    <w:rsid w:val="00A3125C"/>
    <w:rsid w:val="00A31CD3"/>
    <w:rsid w:val="00A325D5"/>
    <w:rsid w:val="00A34AE8"/>
    <w:rsid w:val="00A351E7"/>
    <w:rsid w:val="00A368EC"/>
    <w:rsid w:val="00A37FEE"/>
    <w:rsid w:val="00A4112E"/>
    <w:rsid w:val="00A4120A"/>
    <w:rsid w:val="00A41241"/>
    <w:rsid w:val="00A4147B"/>
    <w:rsid w:val="00A436F5"/>
    <w:rsid w:val="00A44719"/>
    <w:rsid w:val="00A4778E"/>
    <w:rsid w:val="00A47E6F"/>
    <w:rsid w:val="00A527C2"/>
    <w:rsid w:val="00A52871"/>
    <w:rsid w:val="00A55112"/>
    <w:rsid w:val="00A5523D"/>
    <w:rsid w:val="00A56C9E"/>
    <w:rsid w:val="00A57874"/>
    <w:rsid w:val="00A57AD3"/>
    <w:rsid w:val="00A6043D"/>
    <w:rsid w:val="00A61AB9"/>
    <w:rsid w:val="00A63A64"/>
    <w:rsid w:val="00A63CDF"/>
    <w:rsid w:val="00A6528A"/>
    <w:rsid w:val="00A66E94"/>
    <w:rsid w:val="00A719C9"/>
    <w:rsid w:val="00A74233"/>
    <w:rsid w:val="00A75FDB"/>
    <w:rsid w:val="00A76EE8"/>
    <w:rsid w:val="00A7749B"/>
    <w:rsid w:val="00A82017"/>
    <w:rsid w:val="00A829B2"/>
    <w:rsid w:val="00A833AA"/>
    <w:rsid w:val="00A8556A"/>
    <w:rsid w:val="00A864CD"/>
    <w:rsid w:val="00A900BE"/>
    <w:rsid w:val="00A90AFA"/>
    <w:rsid w:val="00A90C03"/>
    <w:rsid w:val="00A921E3"/>
    <w:rsid w:val="00A975AC"/>
    <w:rsid w:val="00AA15B5"/>
    <w:rsid w:val="00AA1620"/>
    <w:rsid w:val="00AA1D0A"/>
    <w:rsid w:val="00AA328E"/>
    <w:rsid w:val="00AA64A1"/>
    <w:rsid w:val="00AA7418"/>
    <w:rsid w:val="00AB02C2"/>
    <w:rsid w:val="00AB0545"/>
    <w:rsid w:val="00AB2412"/>
    <w:rsid w:val="00AB529C"/>
    <w:rsid w:val="00AB5F47"/>
    <w:rsid w:val="00AB69BB"/>
    <w:rsid w:val="00AC5B75"/>
    <w:rsid w:val="00AC78F8"/>
    <w:rsid w:val="00AD0CFC"/>
    <w:rsid w:val="00AD49F9"/>
    <w:rsid w:val="00AD5920"/>
    <w:rsid w:val="00AD68B1"/>
    <w:rsid w:val="00AD77E5"/>
    <w:rsid w:val="00AD791A"/>
    <w:rsid w:val="00AE2552"/>
    <w:rsid w:val="00AE2AAD"/>
    <w:rsid w:val="00AF17A8"/>
    <w:rsid w:val="00AF2A19"/>
    <w:rsid w:val="00AF3BA0"/>
    <w:rsid w:val="00AF445D"/>
    <w:rsid w:val="00AF4809"/>
    <w:rsid w:val="00AF4F9B"/>
    <w:rsid w:val="00AF5397"/>
    <w:rsid w:val="00AF7AAF"/>
    <w:rsid w:val="00AF7F65"/>
    <w:rsid w:val="00B041ED"/>
    <w:rsid w:val="00B045A7"/>
    <w:rsid w:val="00B04A9C"/>
    <w:rsid w:val="00B051BA"/>
    <w:rsid w:val="00B05A36"/>
    <w:rsid w:val="00B06855"/>
    <w:rsid w:val="00B0754B"/>
    <w:rsid w:val="00B11A7C"/>
    <w:rsid w:val="00B13299"/>
    <w:rsid w:val="00B14A95"/>
    <w:rsid w:val="00B15286"/>
    <w:rsid w:val="00B15A9B"/>
    <w:rsid w:val="00B16160"/>
    <w:rsid w:val="00B17E32"/>
    <w:rsid w:val="00B2175B"/>
    <w:rsid w:val="00B23F69"/>
    <w:rsid w:val="00B27EFF"/>
    <w:rsid w:val="00B314D5"/>
    <w:rsid w:val="00B31896"/>
    <w:rsid w:val="00B32466"/>
    <w:rsid w:val="00B34539"/>
    <w:rsid w:val="00B37A46"/>
    <w:rsid w:val="00B42E76"/>
    <w:rsid w:val="00B43356"/>
    <w:rsid w:val="00B448BF"/>
    <w:rsid w:val="00B5402D"/>
    <w:rsid w:val="00B547DB"/>
    <w:rsid w:val="00B55302"/>
    <w:rsid w:val="00B55307"/>
    <w:rsid w:val="00B55A14"/>
    <w:rsid w:val="00B56315"/>
    <w:rsid w:val="00B63E8E"/>
    <w:rsid w:val="00B70C2C"/>
    <w:rsid w:val="00B72971"/>
    <w:rsid w:val="00B742A8"/>
    <w:rsid w:val="00B746B5"/>
    <w:rsid w:val="00B80DC3"/>
    <w:rsid w:val="00B813CB"/>
    <w:rsid w:val="00B84896"/>
    <w:rsid w:val="00B87BA4"/>
    <w:rsid w:val="00B90B81"/>
    <w:rsid w:val="00B91EAC"/>
    <w:rsid w:val="00B93D2B"/>
    <w:rsid w:val="00B95183"/>
    <w:rsid w:val="00B96291"/>
    <w:rsid w:val="00B96E37"/>
    <w:rsid w:val="00B97844"/>
    <w:rsid w:val="00B979BC"/>
    <w:rsid w:val="00BA03F3"/>
    <w:rsid w:val="00BA0D11"/>
    <w:rsid w:val="00BA2944"/>
    <w:rsid w:val="00BA3F85"/>
    <w:rsid w:val="00BA452F"/>
    <w:rsid w:val="00BA74BD"/>
    <w:rsid w:val="00BB357D"/>
    <w:rsid w:val="00BB3968"/>
    <w:rsid w:val="00BB411A"/>
    <w:rsid w:val="00BB4EB1"/>
    <w:rsid w:val="00BC05B9"/>
    <w:rsid w:val="00BC0700"/>
    <w:rsid w:val="00BC3550"/>
    <w:rsid w:val="00BC396B"/>
    <w:rsid w:val="00BC4D84"/>
    <w:rsid w:val="00BC5205"/>
    <w:rsid w:val="00BC54DD"/>
    <w:rsid w:val="00BC5697"/>
    <w:rsid w:val="00BC71CC"/>
    <w:rsid w:val="00BD01C7"/>
    <w:rsid w:val="00BD1901"/>
    <w:rsid w:val="00BD25F4"/>
    <w:rsid w:val="00BD51E6"/>
    <w:rsid w:val="00BD6EDB"/>
    <w:rsid w:val="00BE47C5"/>
    <w:rsid w:val="00BF0177"/>
    <w:rsid w:val="00BF0F42"/>
    <w:rsid w:val="00BF1CFC"/>
    <w:rsid w:val="00BF3B27"/>
    <w:rsid w:val="00BF51BB"/>
    <w:rsid w:val="00BF5293"/>
    <w:rsid w:val="00BF5358"/>
    <w:rsid w:val="00BF6FE1"/>
    <w:rsid w:val="00BF7FF7"/>
    <w:rsid w:val="00C0160B"/>
    <w:rsid w:val="00C038BF"/>
    <w:rsid w:val="00C053D7"/>
    <w:rsid w:val="00C0565A"/>
    <w:rsid w:val="00C05881"/>
    <w:rsid w:val="00C05F6B"/>
    <w:rsid w:val="00C06DB3"/>
    <w:rsid w:val="00C105A3"/>
    <w:rsid w:val="00C107DB"/>
    <w:rsid w:val="00C11C09"/>
    <w:rsid w:val="00C1511E"/>
    <w:rsid w:val="00C21B51"/>
    <w:rsid w:val="00C22BB1"/>
    <w:rsid w:val="00C22C26"/>
    <w:rsid w:val="00C22D8B"/>
    <w:rsid w:val="00C239B8"/>
    <w:rsid w:val="00C24130"/>
    <w:rsid w:val="00C24AAA"/>
    <w:rsid w:val="00C25369"/>
    <w:rsid w:val="00C26257"/>
    <w:rsid w:val="00C26319"/>
    <w:rsid w:val="00C27F20"/>
    <w:rsid w:val="00C31AF7"/>
    <w:rsid w:val="00C32435"/>
    <w:rsid w:val="00C328B1"/>
    <w:rsid w:val="00C32916"/>
    <w:rsid w:val="00C33706"/>
    <w:rsid w:val="00C33E8B"/>
    <w:rsid w:val="00C37061"/>
    <w:rsid w:val="00C377FB"/>
    <w:rsid w:val="00C41015"/>
    <w:rsid w:val="00C438AF"/>
    <w:rsid w:val="00C4489B"/>
    <w:rsid w:val="00C45E18"/>
    <w:rsid w:val="00C4759C"/>
    <w:rsid w:val="00C47B5D"/>
    <w:rsid w:val="00C519AA"/>
    <w:rsid w:val="00C51EF3"/>
    <w:rsid w:val="00C5406B"/>
    <w:rsid w:val="00C54EA6"/>
    <w:rsid w:val="00C54ECB"/>
    <w:rsid w:val="00C55281"/>
    <w:rsid w:val="00C61C83"/>
    <w:rsid w:val="00C61E0F"/>
    <w:rsid w:val="00C6240D"/>
    <w:rsid w:val="00C63027"/>
    <w:rsid w:val="00C65628"/>
    <w:rsid w:val="00C65ACD"/>
    <w:rsid w:val="00C6708B"/>
    <w:rsid w:val="00C677C4"/>
    <w:rsid w:val="00C70A85"/>
    <w:rsid w:val="00C72708"/>
    <w:rsid w:val="00C72E71"/>
    <w:rsid w:val="00C73579"/>
    <w:rsid w:val="00C75203"/>
    <w:rsid w:val="00C7581F"/>
    <w:rsid w:val="00C7622A"/>
    <w:rsid w:val="00C769E7"/>
    <w:rsid w:val="00C76AEC"/>
    <w:rsid w:val="00C779A2"/>
    <w:rsid w:val="00C8165F"/>
    <w:rsid w:val="00C817C3"/>
    <w:rsid w:val="00C848FE"/>
    <w:rsid w:val="00C84F76"/>
    <w:rsid w:val="00C85CFF"/>
    <w:rsid w:val="00C8671D"/>
    <w:rsid w:val="00C8718B"/>
    <w:rsid w:val="00C90B91"/>
    <w:rsid w:val="00C9130D"/>
    <w:rsid w:val="00C9185F"/>
    <w:rsid w:val="00C918D2"/>
    <w:rsid w:val="00C91CD0"/>
    <w:rsid w:val="00C957B3"/>
    <w:rsid w:val="00C95D1C"/>
    <w:rsid w:val="00C96966"/>
    <w:rsid w:val="00CA2932"/>
    <w:rsid w:val="00CA3A57"/>
    <w:rsid w:val="00CA4306"/>
    <w:rsid w:val="00CA4CB1"/>
    <w:rsid w:val="00CB042A"/>
    <w:rsid w:val="00CB1EBA"/>
    <w:rsid w:val="00CB2954"/>
    <w:rsid w:val="00CB49BB"/>
    <w:rsid w:val="00CB5C32"/>
    <w:rsid w:val="00CB6A78"/>
    <w:rsid w:val="00CB6E65"/>
    <w:rsid w:val="00CC2843"/>
    <w:rsid w:val="00CC3E00"/>
    <w:rsid w:val="00CC4E4E"/>
    <w:rsid w:val="00CC6386"/>
    <w:rsid w:val="00CC7FFB"/>
    <w:rsid w:val="00CD02A3"/>
    <w:rsid w:val="00CD1C53"/>
    <w:rsid w:val="00CD4C47"/>
    <w:rsid w:val="00CD4E58"/>
    <w:rsid w:val="00CD696A"/>
    <w:rsid w:val="00CE1D80"/>
    <w:rsid w:val="00CE24BF"/>
    <w:rsid w:val="00CE35D9"/>
    <w:rsid w:val="00CE4444"/>
    <w:rsid w:val="00CE50AE"/>
    <w:rsid w:val="00CF1D32"/>
    <w:rsid w:val="00CF46EA"/>
    <w:rsid w:val="00CF5750"/>
    <w:rsid w:val="00CF7DA8"/>
    <w:rsid w:val="00D00417"/>
    <w:rsid w:val="00D025C9"/>
    <w:rsid w:val="00D0394E"/>
    <w:rsid w:val="00D04916"/>
    <w:rsid w:val="00D134D1"/>
    <w:rsid w:val="00D15B4A"/>
    <w:rsid w:val="00D15DBD"/>
    <w:rsid w:val="00D17115"/>
    <w:rsid w:val="00D17973"/>
    <w:rsid w:val="00D17DCE"/>
    <w:rsid w:val="00D21C53"/>
    <w:rsid w:val="00D21E5B"/>
    <w:rsid w:val="00D22BF1"/>
    <w:rsid w:val="00D2354A"/>
    <w:rsid w:val="00D23C7E"/>
    <w:rsid w:val="00D25399"/>
    <w:rsid w:val="00D2542E"/>
    <w:rsid w:val="00D25438"/>
    <w:rsid w:val="00D26B35"/>
    <w:rsid w:val="00D27038"/>
    <w:rsid w:val="00D33538"/>
    <w:rsid w:val="00D33D27"/>
    <w:rsid w:val="00D34A54"/>
    <w:rsid w:val="00D35C1C"/>
    <w:rsid w:val="00D35E4E"/>
    <w:rsid w:val="00D409CB"/>
    <w:rsid w:val="00D40A96"/>
    <w:rsid w:val="00D41202"/>
    <w:rsid w:val="00D42CC5"/>
    <w:rsid w:val="00D45947"/>
    <w:rsid w:val="00D45EC6"/>
    <w:rsid w:val="00D51092"/>
    <w:rsid w:val="00D512DF"/>
    <w:rsid w:val="00D5139F"/>
    <w:rsid w:val="00D52B04"/>
    <w:rsid w:val="00D52B86"/>
    <w:rsid w:val="00D536C7"/>
    <w:rsid w:val="00D54995"/>
    <w:rsid w:val="00D566F1"/>
    <w:rsid w:val="00D612BC"/>
    <w:rsid w:val="00D61533"/>
    <w:rsid w:val="00D61638"/>
    <w:rsid w:val="00D616EB"/>
    <w:rsid w:val="00D64562"/>
    <w:rsid w:val="00D64A0E"/>
    <w:rsid w:val="00D652BE"/>
    <w:rsid w:val="00D659F1"/>
    <w:rsid w:val="00D663C9"/>
    <w:rsid w:val="00D67F3A"/>
    <w:rsid w:val="00D71BD6"/>
    <w:rsid w:val="00D71FC2"/>
    <w:rsid w:val="00D72FC6"/>
    <w:rsid w:val="00D73358"/>
    <w:rsid w:val="00D74A3B"/>
    <w:rsid w:val="00D76328"/>
    <w:rsid w:val="00D80718"/>
    <w:rsid w:val="00D81279"/>
    <w:rsid w:val="00D817E1"/>
    <w:rsid w:val="00D83861"/>
    <w:rsid w:val="00D83C80"/>
    <w:rsid w:val="00D879A5"/>
    <w:rsid w:val="00D87DE9"/>
    <w:rsid w:val="00D87F7F"/>
    <w:rsid w:val="00D92583"/>
    <w:rsid w:val="00D92A04"/>
    <w:rsid w:val="00D954D6"/>
    <w:rsid w:val="00D9577E"/>
    <w:rsid w:val="00D968CA"/>
    <w:rsid w:val="00DA08BD"/>
    <w:rsid w:val="00DA24E4"/>
    <w:rsid w:val="00DA2723"/>
    <w:rsid w:val="00DA32C4"/>
    <w:rsid w:val="00DA364A"/>
    <w:rsid w:val="00DA3C01"/>
    <w:rsid w:val="00DA3FE7"/>
    <w:rsid w:val="00DA4E55"/>
    <w:rsid w:val="00DA60D0"/>
    <w:rsid w:val="00DA7472"/>
    <w:rsid w:val="00DB09D5"/>
    <w:rsid w:val="00DB1A13"/>
    <w:rsid w:val="00DB3AD7"/>
    <w:rsid w:val="00DB3C19"/>
    <w:rsid w:val="00DB5DD0"/>
    <w:rsid w:val="00DB7747"/>
    <w:rsid w:val="00DC0915"/>
    <w:rsid w:val="00DC19B7"/>
    <w:rsid w:val="00DC2AB3"/>
    <w:rsid w:val="00DC734C"/>
    <w:rsid w:val="00DC7D40"/>
    <w:rsid w:val="00DD0A45"/>
    <w:rsid w:val="00DD1AAA"/>
    <w:rsid w:val="00DD4437"/>
    <w:rsid w:val="00DD7D92"/>
    <w:rsid w:val="00DE00B9"/>
    <w:rsid w:val="00DE0735"/>
    <w:rsid w:val="00DE23DF"/>
    <w:rsid w:val="00DE4E4C"/>
    <w:rsid w:val="00DE5734"/>
    <w:rsid w:val="00DE5B7D"/>
    <w:rsid w:val="00DE5F50"/>
    <w:rsid w:val="00DE600D"/>
    <w:rsid w:val="00DE618F"/>
    <w:rsid w:val="00DE66CE"/>
    <w:rsid w:val="00DE70C2"/>
    <w:rsid w:val="00DE7470"/>
    <w:rsid w:val="00DF00E3"/>
    <w:rsid w:val="00DF06F1"/>
    <w:rsid w:val="00DF20BB"/>
    <w:rsid w:val="00DF5106"/>
    <w:rsid w:val="00DF53A6"/>
    <w:rsid w:val="00DF563F"/>
    <w:rsid w:val="00DF586B"/>
    <w:rsid w:val="00DF7460"/>
    <w:rsid w:val="00E07C2B"/>
    <w:rsid w:val="00E12670"/>
    <w:rsid w:val="00E13DEA"/>
    <w:rsid w:val="00E15A73"/>
    <w:rsid w:val="00E16516"/>
    <w:rsid w:val="00E170C7"/>
    <w:rsid w:val="00E170F8"/>
    <w:rsid w:val="00E17B93"/>
    <w:rsid w:val="00E25069"/>
    <w:rsid w:val="00E277E9"/>
    <w:rsid w:val="00E307CD"/>
    <w:rsid w:val="00E3080C"/>
    <w:rsid w:val="00E30E5F"/>
    <w:rsid w:val="00E31003"/>
    <w:rsid w:val="00E33F83"/>
    <w:rsid w:val="00E343F0"/>
    <w:rsid w:val="00E40446"/>
    <w:rsid w:val="00E435F1"/>
    <w:rsid w:val="00E43983"/>
    <w:rsid w:val="00E468CD"/>
    <w:rsid w:val="00E46B16"/>
    <w:rsid w:val="00E46EEE"/>
    <w:rsid w:val="00E47716"/>
    <w:rsid w:val="00E47A96"/>
    <w:rsid w:val="00E501DC"/>
    <w:rsid w:val="00E529BE"/>
    <w:rsid w:val="00E52C03"/>
    <w:rsid w:val="00E52E6B"/>
    <w:rsid w:val="00E52EE7"/>
    <w:rsid w:val="00E5371B"/>
    <w:rsid w:val="00E53D9B"/>
    <w:rsid w:val="00E542AC"/>
    <w:rsid w:val="00E54B5A"/>
    <w:rsid w:val="00E550F0"/>
    <w:rsid w:val="00E57B8C"/>
    <w:rsid w:val="00E6209C"/>
    <w:rsid w:val="00E62E78"/>
    <w:rsid w:val="00E64BA7"/>
    <w:rsid w:val="00E65928"/>
    <w:rsid w:val="00E65F04"/>
    <w:rsid w:val="00E6621D"/>
    <w:rsid w:val="00E66B41"/>
    <w:rsid w:val="00E671E6"/>
    <w:rsid w:val="00E70278"/>
    <w:rsid w:val="00E70628"/>
    <w:rsid w:val="00E71427"/>
    <w:rsid w:val="00E71E76"/>
    <w:rsid w:val="00E73E5C"/>
    <w:rsid w:val="00E74B33"/>
    <w:rsid w:val="00E75197"/>
    <w:rsid w:val="00E75B30"/>
    <w:rsid w:val="00E75DF6"/>
    <w:rsid w:val="00E75EF4"/>
    <w:rsid w:val="00E77808"/>
    <w:rsid w:val="00E77FAF"/>
    <w:rsid w:val="00E90E5B"/>
    <w:rsid w:val="00E91770"/>
    <w:rsid w:val="00E91827"/>
    <w:rsid w:val="00E92E12"/>
    <w:rsid w:val="00E9455C"/>
    <w:rsid w:val="00E95135"/>
    <w:rsid w:val="00E9648A"/>
    <w:rsid w:val="00E9710B"/>
    <w:rsid w:val="00EA0435"/>
    <w:rsid w:val="00EA090F"/>
    <w:rsid w:val="00EA1218"/>
    <w:rsid w:val="00EA1489"/>
    <w:rsid w:val="00EA18AA"/>
    <w:rsid w:val="00EA1A31"/>
    <w:rsid w:val="00EA2344"/>
    <w:rsid w:val="00EA2B95"/>
    <w:rsid w:val="00EA3678"/>
    <w:rsid w:val="00EA4119"/>
    <w:rsid w:val="00EA4914"/>
    <w:rsid w:val="00EA64BB"/>
    <w:rsid w:val="00EA64F7"/>
    <w:rsid w:val="00EA6A2D"/>
    <w:rsid w:val="00EA70F3"/>
    <w:rsid w:val="00EA78C8"/>
    <w:rsid w:val="00EA79B5"/>
    <w:rsid w:val="00EB0602"/>
    <w:rsid w:val="00EB07D6"/>
    <w:rsid w:val="00EB1295"/>
    <w:rsid w:val="00EB1806"/>
    <w:rsid w:val="00EB27D3"/>
    <w:rsid w:val="00EB2F99"/>
    <w:rsid w:val="00EB3FC4"/>
    <w:rsid w:val="00EB423B"/>
    <w:rsid w:val="00EB5A58"/>
    <w:rsid w:val="00EB6EF2"/>
    <w:rsid w:val="00EB7F39"/>
    <w:rsid w:val="00EC078A"/>
    <w:rsid w:val="00EC21A3"/>
    <w:rsid w:val="00EC2D51"/>
    <w:rsid w:val="00EC66E2"/>
    <w:rsid w:val="00ED65D7"/>
    <w:rsid w:val="00ED6D01"/>
    <w:rsid w:val="00EE0FE1"/>
    <w:rsid w:val="00EE107F"/>
    <w:rsid w:val="00EE19A3"/>
    <w:rsid w:val="00EE4A87"/>
    <w:rsid w:val="00EE5948"/>
    <w:rsid w:val="00EF1052"/>
    <w:rsid w:val="00EF45EA"/>
    <w:rsid w:val="00EF5BB4"/>
    <w:rsid w:val="00F024F0"/>
    <w:rsid w:val="00F03675"/>
    <w:rsid w:val="00F066F0"/>
    <w:rsid w:val="00F06721"/>
    <w:rsid w:val="00F0712B"/>
    <w:rsid w:val="00F07CC9"/>
    <w:rsid w:val="00F10310"/>
    <w:rsid w:val="00F12BAC"/>
    <w:rsid w:val="00F13091"/>
    <w:rsid w:val="00F1360B"/>
    <w:rsid w:val="00F138D0"/>
    <w:rsid w:val="00F14002"/>
    <w:rsid w:val="00F15B11"/>
    <w:rsid w:val="00F15C74"/>
    <w:rsid w:val="00F15EFB"/>
    <w:rsid w:val="00F168D2"/>
    <w:rsid w:val="00F17822"/>
    <w:rsid w:val="00F21317"/>
    <w:rsid w:val="00F21611"/>
    <w:rsid w:val="00F223D5"/>
    <w:rsid w:val="00F23CD5"/>
    <w:rsid w:val="00F25E5F"/>
    <w:rsid w:val="00F2743C"/>
    <w:rsid w:val="00F334B6"/>
    <w:rsid w:val="00F34F8E"/>
    <w:rsid w:val="00F41020"/>
    <w:rsid w:val="00F4626D"/>
    <w:rsid w:val="00F478B1"/>
    <w:rsid w:val="00F5049C"/>
    <w:rsid w:val="00F52E47"/>
    <w:rsid w:val="00F543B3"/>
    <w:rsid w:val="00F56ADF"/>
    <w:rsid w:val="00F56B7E"/>
    <w:rsid w:val="00F573B0"/>
    <w:rsid w:val="00F608B8"/>
    <w:rsid w:val="00F61FDC"/>
    <w:rsid w:val="00F62054"/>
    <w:rsid w:val="00F6310E"/>
    <w:rsid w:val="00F65911"/>
    <w:rsid w:val="00F65996"/>
    <w:rsid w:val="00F66311"/>
    <w:rsid w:val="00F67211"/>
    <w:rsid w:val="00F67BC6"/>
    <w:rsid w:val="00F70D67"/>
    <w:rsid w:val="00F734F5"/>
    <w:rsid w:val="00F7467C"/>
    <w:rsid w:val="00F77B20"/>
    <w:rsid w:val="00F77BF7"/>
    <w:rsid w:val="00F80BB2"/>
    <w:rsid w:val="00F817C4"/>
    <w:rsid w:val="00F83EF7"/>
    <w:rsid w:val="00F84608"/>
    <w:rsid w:val="00F933B2"/>
    <w:rsid w:val="00F934E9"/>
    <w:rsid w:val="00F946E3"/>
    <w:rsid w:val="00F947F1"/>
    <w:rsid w:val="00F9757A"/>
    <w:rsid w:val="00F97739"/>
    <w:rsid w:val="00F97BFE"/>
    <w:rsid w:val="00FA05E1"/>
    <w:rsid w:val="00FA0CED"/>
    <w:rsid w:val="00FA4327"/>
    <w:rsid w:val="00FA4B72"/>
    <w:rsid w:val="00FA59D7"/>
    <w:rsid w:val="00FA5B69"/>
    <w:rsid w:val="00FA5E2F"/>
    <w:rsid w:val="00FA6109"/>
    <w:rsid w:val="00FB0A5B"/>
    <w:rsid w:val="00FB1C1B"/>
    <w:rsid w:val="00FB2AA7"/>
    <w:rsid w:val="00FB3532"/>
    <w:rsid w:val="00FB3BC8"/>
    <w:rsid w:val="00FB42B2"/>
    <w:rsid w:val="00FB5193"/>
    <w:rsid w:val="00FB53D2"/>
    <w:rsid w:val="00FB66F0"/>
    <w:rsid w:val="00FB6B63"/>
    <w:rsid w:val="00FC0066"/>
    <w:rsid w:val="00FC03A5"/>
    <w:rsid w:val="00FC176C"/>
    <w:rsid w:val="00FC1AAC"/>
    <w:rsid w:val="00FC1E25"/>
    <w:rsid w:val="00FC54C2"/>
    <w:rsid w:val="00FC614D"/>
    <w:rsid w:val="00FD2F3D"/>
    <w:rsid w:val="00FD3310"/>
    <w:rsid w:val="00FD60D8"/>
    <w:rsid w:val="00FD6714"/>
    <w:rsid w:val="00FE5337"/>
    <w:rsid w:val="00FE625F"/>
    <w:rsid w:val="00FE7716"/>
    <w:rsid w:val="00FF0C3F"/>
    <w:rsid w:val="00FF0DE6"/>
    <w:rsid w:val="00FF388C"/>
    <w:rsid w:val="00FF425F"/>
    <w:rsid w:val="00FF5EF6"/>
    <w:rsid w:val="00FF64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0C5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AE8"/>
    <w:rPr>
      <w:sz w:val="24"/>
      <w:szCs w:val="24"/>
    </w:rPr>
  </w:style>
  <w:style w:type="paragraph" w:styleId="Heading1">
    <w:name w:val="heading 1"/>
    <w:basedOn w:val="Style1"/>
    <w:link w:val="Heading1Char"/>
    <w:qFormat/>
    <w:rsid w:val="00880B2A"/>
    <w:pPr>
      <w:tabs>
        <w:tab w:val="clear" w:pos="1440"/>
        <w:tab w:val="left" w:pos="1530"/>
        <w:tab w:val="left" w:pos="1620"/>
      </w:tabs>
    </w:pPr>
    <w:rPr>
      <w:sz w:val="20"/>
      <w:szCs w:val="20"/>
    </w:rPr>
  </w:style>
  <w:style w:type="paragraph" w:styleId="Heading2">
    <w:name w:val="heading 2"/>
    <w:basedOn w:val="Normal"/>
    <w:next w:val="Normal"/>
    <w:qFormat/>
    <w:rsid w:val="00880B2A"/>
    <w:pPr>
      <w:keepNext/>
      <w:numPr>
        <w:numId w:val="2"/>
      </w:numPr>
      <w:ind w:left="1440" w:hanging="720"/>
      <w:outlineLvl w:val="1"/>
    </w:pPr>
    <w:rPr>
      <w:rFonts w:asciiTheme="majorHAnsi" w:hAnsiTheme="majorHAnsi" w:cs="Arial"/>
      <w:b/>
      <w:bCs/>
      <w:iCs/>
      <w:sz w:val="20"/>
      <w:szCs w:val="20"/>
      <w:lang w:val="es-MX"/>
    </w:rPr>
  </w:style>
  <w:style w:type="paragraph" w:styleId="Heading3">
    <w:name w:val="heading 3"/>
    <w:basedOn w:val="Normal"/>
    <w:next w:val="Normal"/>
    <w:link w:val="Heading3Char"/>
    <w:qFormat/>
    <w:rsid w:val="000B11B2"/>
    <w:pPr>
      <w:keepNext/>
      <w:numPr>
        <w:numId w:val="4"/>
      </w:numPr>
      <w:ind w:left="1440" w:hanging="720"/>
      <w:outlineLvl w:val="2"/>
    </w:pPr>
    <w:rPr>
      <w:rFonts w:ascii="Cambria" w:eastAsia="Times New Roman" w:hAnsi="Cambria"/>
      <w:b/>
      <w:bCs/>
      <w:sz w:val="20"/>
      <w:szCs w:val="20"/>
      <w:lang w:val="es-ES_tradnl"/>
    </w:rPr>
  </w:style>
  <w:style w:type="paragraph" w:styleId="Heading4">
    <w:name w:val="heading 4"/>
    <w:basedOn w:val="ListParagraph"/>
    <w:next w:val="Normal"/>
    <w:link w:val="Heading4Char"/>
    <w:qFormat/>
    <w:rsid w:val="0045657E"/>
    <w:pPr>
      <w:numPr>
        <w:numId w:val="9"/>
      </w:numPr>
      <w:ind w:left="1440" w:hanging="720"/>
      <w:jc w:val="both"/>
      <w:outlineLvl w:val="3"/>
    </w:pPr>
    <w:rPr>
      <w:rFonts w:asciiTheme="majorHAnsi" w:hAnsiTheme="majorHAnsi"/>
      <w:b/>
      <w:sz w:val="20"/>
      <w:szCs w:val="20"/>
      <w:lang w:val="es-UY"/>
    </w:rPr>
  </w:style>
  <w:style w:type="paragraph" w:styleId="Heading5">
    <w:name w:val="heading 5"/>
    <w:basedOn w:val="Normal"/>
    <w:next w:val="Normal"/>
    <w:link w:val="Heading5Char"/>
    <w:uiPriority w:val="9"/>
    <w:semiHidden/>
    <w:unhideWhenUsed/>
    <w:qFormat/>
    <w:rsid w:val="00380B14"/>
    <w:pPr>
      <w:spacing w:before="240" w:after="60" w:line="276" w:lineRule="auto"/>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s refss,Texto de nota al pie,Appel note de bas de page,referencia nota al pie,BVI fnr,Footnote number,f,Ref. de nota al pie.,4_G,16 Point,Superscript 6 Point,Footnote symbol,Footnote,Texto nota al pie,Ref. de nota al pi,Ref,f1"/>
    <w:link w:val="1"/>
    <w:qFormat/>
    <w:rsid w:val="006D4077"/>
    <w:rPr>
      <w:vertAlign w:val="superscript"/>
    </w:rPr>
  </w:style>
  <w:style w:type="paragraph" w:styleId="FootnoteText">
    <w:name w:val="footnote text"/>
    <w:aliases w:val="Footnote reference,FA Fu,Footnote Text Char Char Char Char Char,Footnote Text Char Char Char Char,Footnote Text Char Char Char,NOTA AL PIE TESIS PUCP,Footnote Text Cha,FA Fußnotentext,FA Fuﬂnotentext,Texto nota pie Car,FA Fu?notentext,Ca,C"/>
    <w:basedOn w:val="Normal"/>
    <w:link w:val="FootnoteTextChar"/>
    <w:qFormat/>
    <w:rsid w:val="006D4077"/>
    <w:pPr>
      <w:spacing w:before="60" w:after="60"/>
      <w:jc w:val="both"/>
    </w:pPr>
    <w:rPr>
      <w:rFonts w:ascii="Verdana" w:hAnsi="Verdana"/>
      <w:sz w:val="16"/>
      <w:szCs w:val="20"/>
      <w:lang w:val="es-ES_tradnl"/>
    </w:rPr>
  </w:style>
  <w:style w:type="character" w:customStyle="1" w:styleId="FootnoteTextChar">
    <w:name w:val="Footnote Text Char"/>
    <w:aliases w:val="Footnote reference Char,FA Fu Char,Footnote Text Char Char Char Char Char Char,Footnote Text Char Char Char Char Char1,Footnote Text Char Char Char Char1,NOTA AL PIE TESIS PUCP Char,Footnote Text Cha Char,FA Fußnotentext Char,Ca Char"/>
    <w:link w:val="FootnoteText"/>
    <w:rsid w:val="006D4077"/>
    <w:rPr>
      <w:rFonts w:ascii="Verdana" w:eastAsia="MS Mincho" w:hAnsi="Verdana"/>
      <w:sz w:val="16"/>
      <w:lang w:val="es-ES_tradnl" w:eastAsia="en-US" w:bidi="ar-SA"/>
    </w:rPr>
  </w:style>
  <w:style w:type="paragraph" w:customStyle="1" w:styleId="Style25">
    <w:name w:val="Style 25"/>
    <w:basedOn w:val="Normal"/>
    <w:rsid w:val="006D4077"/>
    <w:pPr>
      <w:widowControl w:val="0"/>
      <w:autoSpaceDE w:val="0"/>
      <w:autoSpaceDN w:val="0"/>
      <w:jc w:val="both"/>
    </w:pPr>
  </w:style>
  <w:style w:type="paragraph" w:customStyle="1" w:styleId="Style27">
    <w:name w:val="Style 27"/>
    <w:basedOn w:val="Normal"/>
    <w:rsid w:val="002F2700"/>
    <w:pPr>
      <w:widowControl w:val="0"/>
      <w:autoSpaceDE w:val="0"/>
      <w:autoSpaceDN w:val="0"/>
      <w:spacing w:before="108" w:line="252" w:lineRule="exact"/>
      <w:ind w:left="72" w:right="72"/>
      <w:jc w:val="both"/>
    </w:pPr>
  </w:style>
  <w:style w:type="paragraph" w:customStyle="1" w:styleId="Style36">
    <w:name w:val="Style 36"/>
    <w:basedOn w:val="Normal"/>
    <w:rsid w:val="002F2700"/>
    <w:pPr>
      <w:widowControl w:val="0"/>
      <w:autoSpaceDE w:val="0"/>
      <w:autoSpaceDN w:val="0"/>
      <w:adjustRightInd w:val="0"/>
    </w:pPr>
  </w:style>
  <w:style w:type="paragraph" w:customStyle="1" w:styleId="Style13">
    <w:name w:val="Style 13"/>
    <w:basedOn w:val="Normal"/>
    <w:rsid w:val="00980E99"/>
    <w:pPr>
      <w:widowControl w:val="0"/>
      <w:autoSpaceDE w:val="0"/>
      <w:autoSpaceDN w:val="0"/>
      <w:spacing w:before="252" w:line="240" w:lineRule="exact"/>
      <w:ind w:right="72"/>
      <w:jc w:val="both"/>
    </w:pPr>
  </w:style>
  <w:style w:type="paragraph" w:customStyle="1" w:styleId="Style10">
    <w:name w:val="Style 1"/>
    <w:basedOn w:val="Normal"/>
    <w:rsid w:val="00D43D13"/>
    <w:pPr>
      <w:widowControl w:val="0"/>
      <w:autoSpaceDE w:val="0"/>
      <w:autoSpaceDN w:val="0"/>
      <w:jc w:val="both"/>
    </w:pPr>
  </w:style>
  <w:style w:type="paragraph" w:customStyle="1" w:styleId="Style28">
    <w:name w:val="Style 28"/>
    <w:basedOn w:val="Normal"/>
    <w:rsid w:val="00CB1752"/>
    <w:pPr>
      <w:widowControl w:val="0"/>
      <w:autoSpaceDE w:val="0"/>
      <w:autoSpaceDN w:val="0"/>
      <w:spacing w:line="240" w:lineRule="exact"/>
      <w:ind w:right="72"/>
      <w:jc w:val="both"/>
    </w:pPr>
  </w:style>
  <w:style w:type="paragraph" w:customStyle="1" w:styleId="Style29">
    <w:name w:val="Style 29"/>
    <w:basedOn w:val="Normal"/>
    <w:uiPriority w:val="99"/>
    <w:rsid w:val="00CB1752"/>
    <w:pPr>
      <w:widowControl w:val="0"/>
      <w:autoSpaceDE w:val="0"/>
      <w:autoSpaceDN w:val="0"/>
      <w:spacing w:before="252" w:line="240" w:lineRule="exact"/>
      <w:jc w:val="both"/>
    </w:pPr>
  </w:style>
  <w:style w:type="paragraph" w:styleId="BalloonText">
    <w:name w:val="Balloon Text"/>
    <w:basedOn w:val="Normal"/>
    <w:link w:val="BalloonTextChar"/>
    <w:semiHidden/>
    <w:rsid w:val="00F70E78"/>
    <w:rPr>
      <w:rFonts w:ascii="Tahoma" w:hAnsi="Tahoma" w:cs="Tahoma"/>
      <w:sz w:val="16"/>
      <w:szCs w:val="16"/>
    </w:rPr>
  </w:style>
  <w:style w:type="paragraph" w:styleId="BodyTextIndent">
    <w:name w:val="Body Text Indent"/>
    <w:basedOn w:val="Normal"/>
    <w:link w:val="BodyTextIndentChar"/>
    <w:rsid w:val="0075459C"/>
    <w:pPr>
      <w:ind w:firstLine="720"/>
      <w:jc w:val="both"/>
    </w:pPr>
    <w:rPr>
      <w:rFonts w:ascii="Univers" w:hAnsi="Univers"/>
      <w:sz w:val="22"/>
      <w:szCs w:val="20"/>
      <w:lang w:val="es-AR"/>
    </w:rPr>
  </w:style>
  <w:style w:type="character" w:customStyle="1" w:styleId="BodyTextIndentChar">
    <w:name w:val="Body Text Indent Char"/>
    <w:link w:val="BodyTextIndent"/>
    <w:rsid w:val="0075459C"/>
    <w:rPr>
      <w:rFonts w:ascii="Univers" w:hAnsi="Univers"/>
      <w:sz w:val="22"/>
      <w:lang w:val="es-AR" w:eastAsia="en-US" w:bidi="ar-SA"/>
    </w:rPr>
  </w:style>
  <w:style w:type="character" w:styleId="Hyperlink">
    <w:name w:val="Hyperlink"/>
    <w:uiPriority w:val="99"/>
    <w:rsid w:val="005F6DC5"/>
    <w:rPr>
      <w:color w:val="0000FF"/>
      <w:u w:val="single"/>
    </w:rPr>
  </w:style>
  <w:style w:type="paragraph" w:customStyle="1" w:styleId="Style11">
    <w:name w:val="Style 11"/>
    <w:basedOn w:val="Normal"/>
    <w:rsid w:val="005F6DC5"/>
    <w:pPr>
      <w:widowControl w:val="0"/>
      <w:autoSpaceDE w:val="0"/>
      <w:autoSpaceDN w:val="0"/>
      <w:ind w:right="72"/>
      <w:jc w:val="both"/>
    </w:pPr>
  </w:style>
  <w:style w:type="paragraph" w:customStyle="1" w:styleId="Style3">
    <w:name w:val="Style 3"/>
    <w:basedOn w:val="Normal"/>
    <w:rsid w:val="005F6DC5"/>
    <w:pPr>
      <w:widowControl w:val="0"/>
      <w:autoSpaceDE w:val="0"/>
      <w:autoSpaceDN w:val="0"/>
      <w:jc w:val="both"/>
    </w:pPr>
  </w:style>
  <w:style w:type="character" w:customStyle="1" w:styleId="st1">
    <w:name w:val="st1"/>
    <w:basedOn w:val="DefaultParagraphFont"/>
    <w:rsid w:val="005F6DC5"/>
  </w:style>
  <w:style w:type="paragraph" w:customStyle="1" w:styleId="Style14">
    <w:name w:val="Style 14"/>
    <w:basedOn w:val="Normal"/>
    <w:rsid w:val="005F6DC5"/>
    <w:pPr>
      <w:widowControl w:val="0"/>
      <w:autoSpaceDE w:val="0"/>
      <w:autoSpaceDN w:val="0"/>
      <w:adjustRightInd w:val="0"/>
    </w:pPr>
  </w:style>
  <w:style w:type="paragraph" w:customStyle="1" w:styleId="Style15">
    <w:name w:val="Style 15"/>
    <w:basedOn w:val="Normal"/>
    <w:rsid w:val="005F6DC5"/>
    <w:pPr>
      <w:widowControl w:val="0"/>
      <w:autoSpaceDE w:val="0"/>
      <w:autoSpaceDN w:val="0"/>
      <w:jc w:val="both"/>
    </w:pPr>
  </w:style>
  <w:style w:type="paragraph" w:customStyle="1" w:styleId="Style22">
    <w:name w:val="Style 22"/>
    <w:basedOn w:val="Normal"/>
    <w:rsid w:val="005F6DC5"/>
    <w:pPr>
      <w:widowControl w:val="0"/>
      <w:autoSpaceDE w:val="0"/>
      <w:autoSpaceDN w:val="0"/>
      <w:ind w:left="144"/>
      <w:jc w:val="both"/>
    </w:pPr>
  </w:style>
  <w:style w:type="paragraph" w:styleId="Header">
    <w:name w:val="header"/>
    <w:aliases w:val="encabezado"/>
    <w:basedOn w:val="Normal"/>
    <w:link w:val="HeaderChar"/>
    <w:rsid w:val="005F6DC5"/>
    <w:pPr>
      <w:tabs>
        <w:tab w:val="center" w:pos="4320"/>
        <w:tab w:val="right" w:pos="8640"/>
      </w:tabs>
    </w:pPr>
  </w:style>
  <w:style w:type="paragraph" w:customStyle="1" w:styleId="Style19">
    <w:name w:val="Style 19"/>
    <w:basedOn w:val="Normal"/>
    <w:rsid w:val="005F6DC5"/>
    <w:pPr>
      <w:widowControl w:val="0"/>
      <w:autoSpaceDE w:val="0"/>
      <w:autoSpaceDN w:val="0"/>
      <w:spacing w:line="240" w:lineRule="exact"/>
      <w:jc w:val="both"/>
    </w:pPr>
  </w:style>
  <w:style w:type="character" w:styleId="HTMLCite">
    <w:name w:val="HTML Cite"/>
    <w:uiPriority w:val="99"/>
    <w:rsid w:val="005F6DC5"/>
    <w:rPr>
      <w:i/>
      <w:iCs/>
    </w:rPr>
  </w:style>
  <w:style w:type="character" w:styleId="Emphasis">
    <w:name w:val="Emphasis"/>
    <w:qFormat/>
    <w:rsid w:val="005F6DC5"/>
    <w:rPr>
      <w:b/>
      <w:bCs/>
      <w:i w:val="0"/>
      <w:iCs w:val="0"/>
    </w:rPr>
  </w:style>
  <w:style w:type="character" w:customStyle="1" w:styleId="FootnoteTex">
    <w:name w:val="Footnote Tex"/>
    <w:rsid w:val="005F6DC5"/>
    <w:rPr>
      <w:rFonts w:ascii="Times New Roman" w:hAnsi="Times New Roman" w:cs="Times New Roman" w:hint="default"/>
      <w:sz w:val="20"/>
      <w:lang w:val="en-US"/>
    </w:rPr>
  </w:style>
  <w:style w:type="paragraph" w:customStyle="1" w:styleId="ListParagraph1">
    <w:name w:val="List Paragraph1"/>
    <w:aliases w:val="Colorful List - Accent 11"/>
    <w:basedOn w:val="Normal"/>
    <w:link w:val="ListParagraphChar"/>
    <w:uiPriority w:val="34"/>
    <w:qFormat/>
    <w:rsid w:val="0091124F"/>
    <w:pPr>
      <w:ind w:left="720"/>
    </w:pPr>
  </w:style>
  <w:style w:type="character" w:customStyle="1" w:styleId="Heading4Char">
    <w:name w:val="Heading 4 Char"/>
    <w:link w:val="Heading4"/>
    <w:rsid w:val="0045657E"/>
    <w:rPr>
      <w:rFonts w:asciiTheme="majorHAnsi" w:hAnsiTheme="majorHAnsi"/>
      <w:b/>
      <w:lang w:val="es-UY"/>
    </w:rPr>
  </w:style>
  <w:style w:type="paragraph" w:customStyle="1" w:styleId="Sangradetindependiente">
    <w:name w:val="SangrÌa de t. independiente"/>
    <w:basedOn w:val="Normal"/>
    <w:rsid w:val="009B6593"/>
    <w:pPr>
      <w:suppressAutoHyphens/>
      <w:spacing w:line="360" w:lineRule="atLeast"/>
    </w:pPr>
    <w:rPr>
      <w:rFonts w:ascii="Garamond" w:hAnsi="Garamond"/>
      <w:szCs w:val="20"/>
      <w:lang w:val="es-ES_tradnl" w:eastAsia="ar-SA"/>
    </w:rPr>
  </w:style>
  <w:style w:type="character" w:customStyle="1" w:styleId="WW-FootnoteCharacters">
    <w:name w:val="WW-Footnote Characters"/>
    <w:rsid w:val="009B6593"/>
    <w:rPr>
      <w:vertAlign w:val="superscript"/>
    </w:rPr>
  </w:style>
  <w:style w:type="character" w:customStyle="1" w:styleId="FootnoteTextChar1">
    <w:name w:val="Footnote Text Char1"/>
    <w:aliases w:val="Footnote Text Char Char Char Char Char Char1,Footnote Text Char Char Char Char Char2,FA Fu Char1,Footnote reference Char1,NOTA AL PIE TESIS PUCP Char1,Footnote Text Char Char Char Char2,Footnote Text Cha Char1,FA Fußnotentext Char1"/>
    <w:locked/>
    <w:rsid w:val="00905621"/>
    <w:rPr>
      <w:sz w:val="20"/>
      <w:szCs w:val="20"/>
      <w:lang w:val="es-SV"/>
    </w:rPr>
  </w:style>
  <w:style w:type="paragraph" w:customStyle="1" w:styleId="PrrafodeSentencia">
    <w:name w:val="*. Párrafo de Sentencia"/>
    <w:basedOn w:val="Normal"/>
    <w:link w:val="PrrafodeSentenciaChar"/>
    <w:autoRedefine/>
    <w:qFormat/>
    <w:rsid w:val="00306E6D"/>
    <w:pPr>
      <w:tabs>
        <w:tab w:val="left" w:pos="0"/>
        <w:tab w:val="left" w:pos="567"/>
      </w:tabs>
      <w:ind w:left="990"/>
      <w:jc w:val="both"/>
    </w:pPr>
    <w:rPr>
      <w:rFonts w:asciiTheme="majorHAnsi" w:hAnsiTheme="majorHAnsi"/>
      <w:sz w:val="20"/>
      <w:szCs w:val="20"/>
      <w:lang w:val="es-UY"/>
    </w:rPr>
  </w:style>
  <w:style w:type="character" w:customStyle="1" w:styleId="PrrafodeSentenciaChar">
    <w:name w:val="*. Párrafo de Sentencia Char"/>
    <w:link w:val="PrrafodeSentencia"/>
    <w:rsid w:val="00306E6D"/>
    <w:rPr>
      <w:rFonts w:asciiTheme="majorHAnsi" w:hAnsiTheme="majorHAnsi"/>
      <w:lang w:val="es-UY"/>
    </w:rPr>
  </w:style>
  <w:style w:type="paragraph" w:styleId="NormalWeb">
    <w:name w:val="Normal (Web)"/>
    <w:basedOn w:val="Normal"/>
    <w:uiPriority w:val="99"/>
    <w:rsid w:val="0080466B"/>
    <w:pPr>
      <w:spacing w:before="100" w:beforeAutospacing="1" w:after="100" w:afterAutospacing="1"/>
    </w:pPr>
  </w:style>
  <w:style w:type="paragraph" w:styleId="BodyText3">
    <w:name w:val="Body Text 3"/>
    <w:basedOn w:val="Normal"/>
    <w:rsid w:val="00BA2B3A"/>
    <w:pPr>
      <w:spacing w:after="120"/>
    </w:pPr>
    <w:rPr>
      <w:rFonts w:ascii="Univers" w:hAnsi="Univers"/>
      <w:sz w:val="16"/>
      <w:szCs w:val="16"/>
      <w:lang w:val="es-ES_tradnl"/>
    </w:rPr>
  </w:style>
  <w:style w:type="paragraph" w:styleId="Footer">
    <w:name w:val="footer"/>
    <w:basedOn w:val="Normal"/>
    <w:link w:val="FooterChar"/>
    <w:uiPriority w:val="99"/>
    <w:rsid w:val="002E12F3"/>
    <w:pPr>
      <w:tabs>
        <w:tab w:val="center" w:pos="4320"/>
        <w:tab w:val="right" w:pos="8640"/>
      </w:tabs>
    </w:pPr>
  </w:style>
  <w:style w:type="character" w:styleId="PageNumber">
    <w:name w:val="page number"/>
    <w:basedOn w:val="DefaultParagraphFont"/>
    <w:rsid w:val="002E12F3"/>
  </w:style>
  <w:style w:type="paragraph" w:styleId="TOC1">
    <w:name w:val="toc 1"/>
    <w:basedOn w:val="Normal"/>
    <w:next w:val="Normal"/>
    <w:autoRedefine/>
    <w:uiPriority w:val="39"/>
    <w:rsid w:val="00DF00E3"/>
    <w:pPr>
      <w:tabs>
        <w:tab w:val="left" w:pos="720"/>
        <w:tab w:val="right" w:leader="dot" w:pos="9350"/>
      </w:tabs>
      <w:ind w:left="720" w:hanging="720"/>
      <w:jc w:val="both"/>
    </w:pPr>
    <w:rPr>
      <w:rFonts w:ascii="Calibri" w:hAnsi="Calibri"/>
      <w:sz w:val="22"/>
    </w:rPr>
  </w:style>
  <w:style w:type="paragraph" w:styleId="TOC2">
    <w:name w:val="toc 2"/>
    <w:basedOn w:val="Normal"/>
    <w:next w:val="Normal"/>
    <w:autoRedefine/>
    <w:uiPriority w:val="39"/>
    <w:rsid w:val="0034764F"/>
    <w:pPr>
      <w:tabs>
        <w:tab w:val="left" w:pos="1440"/>
        <w:tab w:val="right" w:leader="dot" w:pos="9360"/>
      </w:tabs>
      <w:ind w:left="1440" w:hanging="720"/>
    </w:pPr>
  </w:style>
  <w:style w:type="paragraph" w:styleId="TOC3">
    <w:name w:val="toc 3"/>
    <w:basedOn w:val="Normal"/>
    <w:next w:val="Normal"/>
    <w:link w:val="TOC3Char"/>
    <w:autoRedefine/>
    <w:uiPriority w:val="39"/>
    <w:rsid w:val="00207C3A"/>
    <w:pPr>
      <w:tabs>
        <w:tab w:val="left" w:pos="720"/>
        <w:tab w:val="left" w:pos="1440"/>
        <w:tab w:val="right" w:leader="dot" w:pos="9350"/>
      </w:tabs>
      <w:ind w:left="1440" w:hanging="720"/>
      <w:jc w:val="both"/>
    </w:pPr>
    <w:rPr>
      <w:rFonts w:asciiTheme="majorHAnsi" w:hAnsiTheme="majorHAnsi"/>
      <w:noProof/>
      <w:sz w:val="20"/>
      <w:szCs w:val="20"/>
      <w:lang w:val="es-MX"/>
    </w:rPr>
  </w:style>
  <w:style w:type="character" w:customStyle="1" w:styleId="Heading1Char">
    <w:name w:val="Heading 1 Char"/>
    <w:link w:val="Heading1"/>
    <w:rsid w:val="00880B2A"/>
    <w:rPr>
      <w:rFonts w:asciiTheme="majorHAnsi" w:hAnsiTheme="majorHAnsi"/>
      <w:b/>
      <w:lang w:val="es-MX"/>
    </w:rPr>
  </w:style>
  <w:style w:type="character" w:styleId="CommentReference">
    <w:name w:val="annotation reference"/>
    <w:uiPriority w:val="99"/>
    <w:rsid w:val="00F84858"/>
    <w:rPr>
      <w:sz w:val="16"/>
      <w:szCs w:val="16"/>
    </w:rPr>
  </w:style>
  <w:style w:type="paragraph" w:styleId="CommentText">
    <w:name w:val="annotation text"/>
    <w:basedOn w:val="Normal"/>
    <w:link w:val="CommentTextChar"/>
    <w:uiPriority w:val="99"/>
    <w:rsid w:val="00F84858"/>
    <w:rPr>
      <w:sz w:val="20"/>
      <w:szCs w:val="20"/>
    </w:rPr>
  </w:style>
  <w:style w:type="character" w:customStyle="1" w:styleId="CommentTextChar">
    <w:name w:val="Comment Text Char"/>
    <w:basedOn w:val="DefaultParagraphFont"/>
    <w:link w:val="CommentText"/>
    <w:uiPriority w:val="99"/>
    <w:rsid w:val="00F84858"/>
  </w:style>
  <w:style w:type="paragraph" w:styleId="CommentSubject">
    <w:name w:val="annotation subject"/>
    <w:basedOn w:val="CommentText"/>
    <w:next w:val="CommentText"/>
    <w:link w:val="CommentSubjectChar"/>
    <w:uiPriority w:val="99"/>
    <w:rsid w:val="00F84858"/>
    <w:rPr>
      <w:b/>
      <w:bCs/>
    </w:rPr>
  </w:style>
  <w:style w:type="character" w:customStyle="1" w:styleId="CommentSubjectChar">
    <w:name w:val="Comment Subject Char"/>
    <w:link w:val="CommentSubject"/>
    <w:uiPriority w:val="99"/>
    <w:rsid w:val="00F84858"/>
    <w:rPr>
      <w:b/>
      <w:bCs/>
    </w:rPr>
  </w:style>
  <w:style w:type="character" w:styleId="Strong">
    <w:name w:val="Strong"/>
    <w:uiPriority w:val="22"/>
    <w:qFormat/>
    <w:rsid w:val="00691227"/>
    <w:rPr>
      <w:b/>
      <w:bCs/>
    </w:rPr>
  </w:style>
  <w:style w:type="character" w:customStyle="1" w:styleId="st">
    <w:name w:val="st"/>
    <w:rsid w:val="00747BF6"/>
  </w:style>
  <w:style w:type="character" w:customStyle="1" w:styleId="BodyTextCharCarCarCarCarCarCarCarCarCarCarCarCarCarCarCarCarCarCarCarCarCarCarCarCarCarCarCarCarCarCarCarCarCarCarCarCarCa">
    <w:name w:val="Body Text Char Car Car Car Car Car Car Car Car Car Car Car Car Car Car Car Car Car Car Car Car Car Car Car Car Car Car Car Car Car Car Car Car Car Car Car Car Ca"/>
    <w:rsid w:val="00C6180F"/>
    <w:rPr>
      <w:rFonts w:ascii="Times New Roman" w:hAnsi="Times New Roman" w:cs="Times New Roman"/>
      <w:sz w:val="24"/>
      <w:szCs w:val="24"/>
      <w:lang w:val="es-ES" w:eastAsia="es-ES"/>
    </w:rPr>
  </w:style>
  <w:style w:type="character" w:customStyle="1" w:styleId="HeaderChar">
    <w:name w:val="Header Char"/>
    <w:aliases w:val="encabezado Char"/>
    <w:link w:val="Header"/>
    <w:uiPriority w:val="99"/>
    <w:rsid w:val="00EA5E48"/>
    <w:rPr>
      <w:sz w:val="24"/>
      <w:szCs w:val="24"/>
    </w:rPr>
  </w:style>
  <w:style w:type="character" w:customStyle="1" w:styleId="Heading3Char">
    <w:name w:val="Heading 3 Char"/>
    <w:link w:val="Heading3"/>
    <w:rsid w:val="000B11B2"/>
    <w:rPr>
      <w:rFonts w:ascii="Cambria" w:eastAsia="Times New Roman" w:hAnsi="Cambria"/>
      <w:b/>
      <w:bCs/>
      <w:lang w:val="es-ES_tradnl"/>
    </w:rPr>
  </w:style>
  <w:style w:type="paragraph" w:customStyle="1" w:styleId="Style1">
    <w:name w:val="Style1"/>
    <w:basedOn w:val="TOC3"/>
    <w:link w:val="Style1Char"/>
    <w:qFormat/>
    <w:rsid w:val="005358B9"/>
    <w:pPr>
      <w:outlineLvl w:val="0"/>
    </w:pPr>
    <w:rPr>
      <w:sz w:val="22"/>
      <w:szCs w:val="22"/>
    </w:rPr>
  </w:style>
  <w:style w:type="paragraph" w:styleId="TOC4">
    <w:name w:val="toc 4"/>
    <w:basedOn w:val="Normal"/>
    <w:next w:val="Normal"/>
    <w:autoRedefine/>
    <w:uiPriority w:val="39"/>
    <w:rsid w:val="006B4EEC"/>
    <w:pPr>
      <w:ind w:left="720"/>
    </w:pPr>
  </w:style>
  <w:style w:type="character" w:customStyle="1" w:styleId="TOC3Char">
    <w:name w:val="TOC 3 Char"/>
    <w:link w:val="TOC3"/>
    <w:uiPriority w:val="39"/>
    <w:rsid w:val="00207C3A"/>
    <w:rPr>
      <w:rFonts w:asciiTheme="majorHAnsi" w:hAnsiTheme="majorHAnsi"/>
      <w:noProof/>
      <w:lang w:val="es-MX"/>
    </w:rPr>
  </w:style>
  <w:style w:type="character" w:customStyle="1" w:styleId="Style1Char">
    <w:name w:val="Style1 Char"/>
    <w:link w:val="Style1"/>
    <w:rsid w:val="005358B9"/>
    <w:rPr>
      <w:rFonts w:ascii="Calibri" w:eastAsia="MS Mincho" w:hAnsi="Calibri"/>
      <w:b/>
      <w:sz w:val="22"/>
      <w:szCs w:val="22"/>
      <w:lang w:val="es-MX"/>
    </w:rPr>
  </w:style>
  <w:style w:type="numbering" w:customStyle="1" w:styleId="List7">
    <w:name w:val="List 7"/>
    <w:basedOn w:val="NoList"/>
    <w:rsid w:val="00D142E1"/>
    <w:pPr>
      <w:numPr>
        <w:numId w:val="3"/>
      </w:numPr>
    </w:pPr>
  </w:style>
  <w:style w:type="character" w:customStyle="1" w:styleId="FooterChar">
    <w:name w:val="Footer Char"/>
    <w:link w:val="Footer"/>
    <w:uiPriority w:val="99"/>
    <w:rsid w:val="00D142E1"/>
    <w:rPr>
      <w:sz w:val="24"/>
      <w:szCs w:val="24"/>
    </w:rPr>
  </w:style>
  <w:style w:type="character" w:customStyle="1" w:styleId="ListParagraphChar">
    <w:name w:val="List Paragraph Char"/>
    <w:aliases w:val="Colorful List - Accent 11 Char,Footnote Char,List Paragraph1 Char,Párrafo de lista1 Char"/>
    <w:link w:val="ListParagraph1"/>
    <w:uiPriority w:val="34"/>
    <w:locked/>
    <w:rsid w:val="006655CC"/>
    <w:rPr>
      <w:sz w:val="24"/>
      <w:szCs w:val="24"/>
    </w:rPr>
  </w:style>
  <w:style w:type="paragraph" w:styleId="ListParagraph">
    <w:name w:val="List Paragraph"/>
    <w:aliases w:val="Párrafo de lista1"/>
    <w:basedOn w:val="Normal"/>
    <w:link w:val="ListParagraphChar1"/>
    <w:uiPriority w:val="34"/>
    <w:qFormat/>
    <w:rsid w:val="001A3698"/>
    <w:pPr>
      <w:ind w:left="720"/>
    </w:pPr>
  </w:style>
  <w:style w:type="paragraph" w:customStyle="1" w:styleId="1">
    <w:name w:val="1"/>
    <w:basedOn w:val="Normal"/>
    <w:link w:val="FootnoteReference"/>
    <w:rsid w:val="0006526B"/>
    <w:pPr>
      <w:spacing w:after="160" w:line="240" w:lineRule="exact"/>
    </w:pPr>
    <w:rPr>
      <w:sz w:val="20"/>
      <w:szCs w:val="20"/>
      <w:vertAlign w:val="superscript"/>
    </w:rPr>
  </w:style>
  <w:style w:type="character" w:customStyle="1" w:styleId="BalloonTextChar">
    <w:name w:val="Balloon Text Char"/>
    <w:link w:val="BalloonText"/>
    <w:uiPriority w:val="99"/>
    <w:semiHidden/>
    <w:rsid w:val="00120BBD"/>
    <w:rPr>
      <w:rFonts w:ascii="Tahoma" w:hAnsi="Tahoma" w:cs="Tahoma"/>
      <w:sz w:val="16"/>
      <w:szCs w:val="16"/>
    </w:rPr>
  </w:style>
  <w:style w:type="character" w:customStyle="1" w:styleId="Heading5Char">
    <w:name w:val="Heading 5 Char"/>
    <w:basedOn w:val="DefaultParagraphFont"/>
    <w:link w:val="Heading5"/>
    <w:uiPriority w:val="9"/>
    <w:semiHidden/>
    <w:rsid w:val="00380B14"/>
    <w:rPr>
      <w:rFonts w:ascii="Calibri" w:eastAsia="Times New Roman" w:hAnsi="Calibri"/>
      <w:b/>
      <w:bCs/>
      <w:i/>
      <w:iCs/>
      <w:sz w:val="26"/>
      <w:szCs w:val="26"/>
    </w:rPr>
  </w:style>
  <w:style w:type="character" w:customStyle="1" w:styleId="ListParagraphChar1">
    <w:name w:val="List Paragraph Char1"/>
    <w:aliases w:val="Párrafo de lista1 Char1"/>
    <w:link w:val="ListParagraph"/>
    <w:uiPriority w:val="34"/>
    <w:locked/>
    <w:rsid w:val="00380B14"/>
    <w:rPr>
      <w:sz w:val="24"/>
      <w:szCs w:val="24"/>
    </w:rPr>
  </w:style>
  <w:style w:type="paragraph" w:customStyle="1" w:styleId="Default">
    <w:name w:val="Default"/>
    <w:rsid w:val="00EA78C8"/>
    <w:pPr>
      <w:autoSpaceDE w:val="0"/>
      <w:autoSpaceDN w:val="0"/>
      <w:adjustRightInd w:val="0"/>
    </w:pPr>
    <w:rPr>
      <w:rFonts w:ascii="Verdana" w:hAnsi="Verdana" w:cs="Verdana"/>
      <w:color w:val="000000"/>
      <w:sz w:val="24"/>
      <w:szCs w:val="24"/>
    </w:rPr>
  </w:style>
  <w:style w:type="character" w:customStyle="1" w:styleId="sb8d990e2">
    <w:name w:val="sb8d990e2"/>
    <w:basedOn w:val="DefaultParagraphFont"/>
    <w:rsid w:val="00C05881"/>
  </w:style>
  <w:style w:type="paragraph" w:styleId="BodyTextIndent3">
    <w:name w:val="Body Text Indent 3"/>
    <w:basedOn w:val="Normal"/>
    <w:link w:val="BodyTextIndent3Char"/>
    <w:uiPriority w:val="99"/>
    <w:semiHidden/>
    <w:unhideWhenUsed/>
    <w:rsid w:val="00C3243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32435"/>
    <w:rPr>
      <w:sz w:val="16"/>
      <w:szCs w:val="16"/>
    </w:rPr>
  </w:style>
  <w:style w:type="paragraph" w:styleId="DocumentMap">
    <w:name w:val="Document Map"/>
    <w:basedOn w:val="Normal"/>
    <w:link w:val="DocumentMapChar"/>
    <w:uiPriority w:val="99"/>
    <w:semiHidden/>
    <w:unhideWhenUsed/>
    <w:rsid w:val="0065215D"/>
    <w:rPr>
      <w:rFonts w:ascii="Lucida Grande" w:hAnsi="Lucida Grande" w:cs="Lucida Grande"/>
    </w:rPr>
  </w:style>
  <w:style w:type="character" w:customStyle="1" w:styleId="DocumentMapChar">
    <w:name w:val="Document Map Char"/>
    <w:basedOn w:val="DefaultParagraphFont"/>
    <w:link w:val="DocumentMap"/>
    <w:uiPriority w:val="99"/>
    <w:semiHidden/>
    <w:rsid w:val="0065215D"/>
    <w:rPr>
      <w:rFonts w:ascii="Lucida Grande" w:hAnsi="Lucida Grande" w:cs="Lucida Grande"/>
      <w:sz w:val="24"/>
      <w:szCs w:val="24"/>
    </w:rPr>
  </w:style>
  <w:style w:type="paragraph" w:styleId="Revision">
    <w:name w:val="Revision"/>
    <w:hidden/>
    <w:uiPriority w:val="99"/>
    <w:semiHidden/>
    <w:rsid w:val="00355472"/>
    <w:rPr>
      <w:sz w:val="24"/>
      <w:szCs w:val="24"/>
    </w:rPr>
  </w:style>
  <w:style w:type="character" w:styleId="PlaceholderText">
    <w:name w:val="Placeholder Text"/>
    <w:basedOn w:val="DefaultParagraphFont"/>
    <w:uiPriority w:val="99"/>
    <w:semiHidden/>
    <w:rsid w:val="00052DC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AE8"/>
    <w:rPr>
      <w:sz w:val="24"/>
      <w:szCs w:val="24"/>
    </w:rPr>
  </w:style>
  <w:style w:type="paragraph" w:styleId="Heading1">
    <w:name w:val="heading 1"/>
    <w:basedOn w:val="Style1"/>
    <w:link w:val="Heading1Char"/>
    <w:qFormat/>
    <w:rsid w:val="00880B2A"/>
    <w:pPr>
      <w:tabs>
        <w:tab w:val="clear" w:pos="1440"/>
        <w:tab w:val="left" w:pos="1530"/>
        <w:tab w:val="left" w:pos="1620"/>
      </w:tabs>
    </w:pPr>
    <w:rPr>
      <w:sz w:val="20"/>
      <w:szCs w:val="20"/>
    </w:rPr>
  </w:style>
  <w:style w:type="paragraph" w:styleId="Heading2">
    <w:name w:val="heading 2"/>
    <w:basedOn w:val="Normal"/>
    <w:next w:val="Normal"/>
    <w:qFormat/>
    <w:rsid w:val="00880B2A"/>
    <w:pPr>
      <w:keepNext/>
      <w:numPr>
        <w:numId w:val="2"/>
      </w:numPr>
      <w:ind w:left="1440" w:hanging="720"/>
      <w:outlineLvl w:val="1"/>
    </w:pPr>
    <w:rPr>
      <w:rFonts w:asciiTheme="majorHAnsi" w:hAnsiTheme="majorHAnsi" w:cs="Arial"/>
      <w:b/>
      <w:bCs/>
      <w:iCs/>
      <w:sz w:val="20"/>
      <w:szCs w:val="20"/>
      <w:lang w:val="es-MX"/>
    </w:rPr>
  </w:style>
  <w:style w:type="paragraph" w:styleId="Heading3">
    <w:name w:val="heading 3"/>
    <w:basedOn w:val="Normal"/>
    <w:next w:val="Normal"/>
    <w:link w:val="Heading3Char"/>
    <w:qFormat/>
    <w:rsid w:val="000B11B2"/>
    <w:pPr>
      <w:keepNext/>
      <w:numPr>
        <w:numId w:val="4"/>
      </w:numPr>
      <w:ind w:left="1440" w:hanging="720"/>
      <w:outlineLvl w:val="2"/>
    </w:pPr>
    <w:rPr>
      <w:rFonts w:ascii="Cambria" w:eastAsia="Times New Roman" w:hAnsi="Cambria"/>
      <w:b/>
      <w:bCs/>
      <w:sz w:val="20"/>
      <w:szCs w:val="20"/>
      <w:lang w:val="es-ES_tradnl"/>
    </w:rPr>
  </w:style>
  <w:style w:type="paragraph" w:styleId="Heading4">
    <w:name w:val="heading 4"/>
    <w:basedOn w:val="ListParagraph"/>
    <w:next w:val="Normal"/>
    <w:link w:val="Heading4Char"/>
    <w:qFormat/>
    <w:rsid w:val="0045657E"/>
    <w:pPr>
      <w:numPr>
        <w:numId w:val="9"/>
      </w:numPr>
      <w:ind w:left="1440" w:hanging="720"/>
      <w:jc w:val="both"/>
      <w:outlineLvl w:val="3"/>
    </w:pPr>
    <w:rPr>
      <w:rFonts w:asciiTheme="majorHAnsi" w:hAnsiTheme="majorHAnsi"/>
      <w:b/>
      <w:sz w:val="20"/>
      <w:szCs w:val="20"/>
      <w:lang w:val="es-UY"/>
    </w:rPr>
  </w:style>
  <w:style w:type="paragraph" w:styleId="Heading5">
    <w:name w:val="heading 5"/>
    <w:basedOn w:val="Normal"/>
    <w:next w:val="Normal"/>
    <w:link w:val="Heading5Char"/>
    <w:uiPriority w:val="9"/>
    <w:semiHidden/>
    <w:unhideWhenUsed/>
    <w:qFormat/>
    <w:rsid w:val="00380B14"/>
    <w:pPr>
      <w:spacing w:before="240" w:after="60" w:line="276" w:lineRule="auto"/>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s refss,Texto de nota al pie,Appel note de bas de page,referencia nota al pie,BVI fnr,Footnote number,f,Ref. de nota al pie.,4_G,16 Point,Superscript 6 Point,Footnote symbol,Footnote,Texto nota al pie,Ref. de nota al pi,Ref,f1"/>
    <w:link w:val="1"/>
    <w:qFormat/>
    <w:rsid w:val="006D4077"/>
    <w:rPr>
      <w:vertAlign w:val="superscript"/>
    </w:rPr>
  </w:style>
  <w:style w:type="paragraph" w:styleId="FootnoteText">
    <w:name w:val="footnote text"/>
    <w:aliases w:val="Footnote reference,FA Fu,Footnote Text Char Char Char Char Char,Footnote Text Char Char Char Char,Footnote Text Char Char Char,NOTA AL PIE TESIS PUCP,Footnote Text Cha,FA Fußnotentext,FA Fuﬂnotentext,Texto nota pie Car,FA Fu?notentext,Ca,C"/>
    <w:basedOn w:val="Normal"/>
    <w:link w:val="FootnoteTextChar"/>
    <w:qFormat/>
    <w:rsid w:val="006D4077"/>
    <w:pPr>
      <w:spacing w:before="60" w:after="60"/>
      <w:jc w:val="both"/>
    </w:pPr>
    <w:rPr>
      <w:rFonts w:ascii="Verdana" w:hAnsi="Verdana"/>
      <w:sz w:val="16"/>
      <w:szCs w:val="20"/>
      <w:lang w:val="es-ES_tradnl"/>
    </w:rPr>
  </w:style>
  <w:style w:type="character" w:customStyle="1" w:styleId="FootnoteTextChar">
    <w:name w:val="Footnote Text Char"/>
    <w:aliases w:val="Footnote reference Char,FA Fu Char,Footnote Text Char Char Char Char Char Char,Footnote Text Char Char Char Char Char1,Footnote Text Char Char Char Char1,NOTA AL PIE TESIS PUCP Char,Footnote Text Cha Char,FA Fußnotentext Char,Ca Char"/>
    <w:link w:val="FootnoteText"/>
    <w:rsid w:val="006D4077"/>
    <w:rPr>
      <w:rFonts w:ascii="Verdana" w:eastAsia="MS Mincho" w:hAnsi="Verdana"/>
      <w:sz w:val="16"/>
      <w:lang w:val="es-ES_tradnl" w:eastAsia="en-US" w:bidi="ar-SA"/>
    </w:rPr>
  </w:style>
  <w:style w:type="paragraph" w:customStyle="1" w:styleId="Style25">
    <w:name w:val="Style 25"/>
    <w:basedOn w:val="Normal"/>
    <w:rsid w:val="006D4077"/>
    <w:pPr>
      <w:widowControl w:val="0"/>
      <w:autoSpaceDE w:val="0"/>
      <w:autoSpaceDN w:val="0"/>
      <w:jc w:val="both"/>
    </w:pPr>
  </w:style>
  <w:style w:type="paragraph" w:customStyle="1" w:styleId="Style27">
    <w:name w:val="Style 27"/>
    <w:basedOn w:val="Normal"/>
    <w:rsid w:val="002F2700"/>
    <w:pPr>
      <w:widowControl w:val="0"/>
      <w:autoSpaceDE w:val="0"/>
      <w:autoSpaceDN w:val="0"/>
      <w:spacing w:before="108" w:line="252" w:lineRule="exact"/>
      <w:ind w:left="72" w:right="72"/>
      <w:jc w:val="both"/>
    </w:pPr>
  </w:style>
  <w:style w:type="paragraph" w:customStyle="1" w:styleId="Style36">
    <w:name w:val="Style 36"/>
    <w:basedOn w:val="Normal"/>
    <w:rsid w:val="002F2700"/>
    <w:pPr>
      <w:widowControl w:val="0"/>
      <w:autoSpaceDE w:val="0"/>
      <w:autoSpaceDN w:val="0"/>
      <w:adjustRightInd w:val="0"/>
    </w:pPr>
  </w:style>
  <w:style w:type="paragraph" w:customStyle="1" w:styleId="Style13">
    <w:name w:val="Style 13"/>
    <w:basedOn w:val="Normal"/>
    <w:rsid w:val="00980E99"/>
    <w:pPr>
      <w:widowControl w:val="0"/>
      <w:autoSpaceDE w:val="0"/>
      <w:autoSpaceDN w:val="0"/>
      <w:spacing w:before="252" w:line="240" w:lineRule="exact"/>
      <w:ind w:right="72"/>
      <w:jc w:val="both"/>
    </w:pPr>
  </w:style>
  <w:style w:type="paragraph" w:customStyle="1" w:styleId="Style10">
    <w:name w:val="Style 1"/>
    <w:basedOn w:val="Normal"/>
    <w:rsid w:val="00D43D13"/>
    <w:pPr>
      <w:widowControl w:val="0"/>
      <w:autoSpaceDE w:val="0"/>
      <w:autoSpaceDN w:val="0"/>
      <w:jc w:val="both"/>
    </w:pPr>
  </w:style>
  <w:style w:type="paragraph" w:customStyle="1" w:styleId="Style28">
    <w:name w:val="Style 28"/>
    <w:basedOn w:val="Normal"/>
    <w:rsid w:val="00CB1752"/>
    <w:pPr>
      <w:widowControl w:val="0"/>
      <w:autoSpaceDE w:val="0"/>
      <w:autoSpaceDN w:val="0"/>
      <w:spacing w:line="240" w:lineRule="exact"/>
      <w:ind w:right="72"/>
      <w:jc w:val="both"/>
    </w:pPr>
  </w:style>
  <w:style w:type="paragraph" w:customStyle="1" w:styleId="Style29">
    <w:name w:val="Style 29"/>
    <w:basedOn w:val="Normal"/>
    <w:uiPriority w:val="99"/>
    <w:rsid w:val="00CB1752"/>
    <w:pPr>
      <w:widowControl w:val="0"/>
      <w:autoSpaceDE w:val="0"/>
      <w:autoSpaceDN w:val="0"/>
      <w:spacing w:before="252" w:line="240" w:lineRule="exact"/>
      <w:jc w:val="both"/>
    </w:pPr>
  </w:style>
  <w:style w:type="paragraph" w:styleId="BalloonText">
    <w:name w:val="Balloon Text"/>
    <w:basedOn w:val="Normal"/>
    <w:link w:val="BalloonTextChar"/>
    <w:semiHidden/>
    <w:rsid w:val="00F70E78"/>
    <w:rPr>
      <w:rFonts w:ascii="Tahoma" w:hAnsi="Tahoma" w:cs="Tahoma"/>
      <w:sz w:val="16"/>
      <w:szCs w:val="16"/>
    </w:rPr>
  </w:style>
  <w:style w:type="paragraph" w:styleId="BodyTextIndent">
    <w:name w:val="Body Text Indent"/>
    <w:basedOn w:val="Normal"/>
    <w:link w:val="BodyTextIndentChar"/>
    <w:rsid w:val="0075459C"/>
    <w:pPr>
      <w:ind w:firstLine="720"/>
      <w:jc w:val="both"/>
    </w:pPr>
    <w:rPr>
      <w:rFonts w:ascii="Univers" w:hAnsi="Univers"/>
      <w:sz w:val="22"/>
      <w:szCs w:val="20"/>
      <w:lang w:val="es-AR"/>
    </w:rPr>
  </w:style>
  <w:style w:type="character" w:customStyle="1" w:styleId="BodyTextIndentChar">
    <w:name w:val="Body Text Indent Char"/>
    <w:link w:val="BodyTextIndent"/>
    <w:rsid w:val="0075459C"/>
    <w:rPr>
      <w:rFonts w:ascii="Univers" w:hAnsi="Univers"/>
      <w:sz w:val="22"/>
      <w:lang w:val="es-AR" w:eastAsia="en-US" w:bidi="ar-SA"/>
    </w:rPr>
  </w:style>
  <w:style w:type="character" w:styleId="Hyperlink">
    <w:name w:val="Hyperlink"/>
    <w:uiPriority w:val="99"/>
    <w:rsid w:val="005F6DC5"/>
    <w:rPr>
      <w:color w:val="0000FF"/>
      <w:u w:val="single"/>
    </w:rPr>
  </w:style>
  <w:style w:type="paragraph" w:customStyle="1" w:styleId="Style11">
    <w:name w:val="Style 11"/>
    <w:basedOn w:val="Normal"/>
    <w:rsid w:val="005F6DC5"/>
    <w:pPr>
      <w:widowControl w:val="0"/>
      <w:autoSpaceDE w:val="0"/>
      <w:autoSpaceDN w:val="0"/>
      <w:ind w:right="72"/>
      <w:jc w:val="both"/>
    </w:pPr>
  </w:style>
  <w:style w:type="paragraph" w:customStyle="1" w:styleId="Style3">
    <w:name w:val="Style 3"/>
    <w:basedOn w:val="Normal"/>
    <w:rsid w:val="005F6DC5"/>
    <w:pPr>
      <w:widowControl w:val="0"/>
      <w:autoSpaceDE w:val="0"/>
      <w:autoSpaceDN w:val="0"/>
      <w:jc w:val="both"/>
    </w:pPr>
  </w:style>
  <w:style w:type="character" w:customStyle="1" w:styleId="st1">
    <w:name w:val="st1"/>
    <w:basedOn w:val="DefaultParagraphFont"/>
    <w:rsid w:val="005F6DC5"/>
  </w:style>
  <w:style w:type="paragraph" w:customStyle="1" w:styleId="Style14">
    <w:name w:val="Style 14"/>
    <w:basedOn w:val="Normal"/>
    <w:rsid w:val="005F6DC5"/>
    <w:pPr>
      <w:widowControl w:val="0"/>
      <w:autoSpaceDE w:val="0"/>
      <w:autoSpaceDN w:val="0"/>
      <w:adjustRightInd w:val="0"/>
    </w:pPr>
  </w:style>
  <w:style w:type="paragraph" w:customStyle="1" w:styleId="Style15">
    <w:name w:val="Style 15"/>
    <w:basedOn w:val="Normal"/>
    <w:rsid w:val="005F6DC5"/>
    <w:pPr>
      <w:widowControl w:val="0"/>
      <w:autoSpaceDE w:val="0"/>
      <w:autoSpaceDN w:val="0"/>
      <w:jc w:val="both"/>
    </w:pPr>
  </w:style>
  <w:style w:type="paragraph" w:customStyle="1" w:styleId="Style22">
    <w:name w:val="Style 22"/>
    <w:basedOn w:val="Normal"/>
    <w:rsid w:val="005F6DC5"/>
    <w:pPr>
      <w:widowControl w:val="0"/>
      <w:autoSpaceDE w:val="0"/>
      <w:autoSpaceDN w:val="0"/>
      <w:ind w:left="144"/>
      <w:jc w:val="both"/>
    </w:pPr>
  </w:style>
  <w:style w:type="paragraph" w:styleId="Header">
    <w:name w:val="header"/>
    <w:aliases w:val="encabezado"/>
    <w:basedOn w:val="Normal"/>
    <w:link w:val="HeaderChar"/>
    <w:rsid w:val="005F6DC5"/>
    <w:pPr>
      <w:tabs>
        <w:tab w:val="center" w:pos="4320"/>
        <w:tab w:val="right" w:pos="8640"/>
      </w:tabs>
    </w:pPr>
  </w:style>
  <w:style w:type="paragraph" w:customStyle="1" w:styleId="Style19">
    <w:name w:val="Style 19"/>
    <w:basedOn w:val="Normal"/>
    <w:rsid w:val="005F6DC5"/>
    <w:pPr>
      <w:widowControl w:val="0"/>
      <w:autoSpaceDE w:val="0"/>
      <w:autoSpaceDN w:val="0"/>
      <w:spacing w:line="240" w:lineRule="exact"/>
      <w:jc w:val="both"/>
    </w:pPr>
  </w:style>
  <w:style w:type="character" w:styleId="HTMLCite">
    <w:name w:val="HTML Cite"/>
    <w:uiPriority w:val="99"/>
    <w:rsid w:val="005F6DC5"/>
    <w:rPr>
      <w:i/>
      <w:iCs/>
    </w:rPr>
  </w:style>
  <w:style w:type="character" w:styleId="Emphasis">
    <w:name w:val="Emphasis"/>
    <w:qFormat/>
    <w:rsid w:val="005F6DC5"/>
    <w:rPr>
      <w:b/>
      <w:bCs/>
      <w:i w:val="0"/>
      <w:iCs w:val="0"/>
    </w:rPr>
  </w:style>
  <w:style w:type="character" w:customStyle="1" w:styleId="FootnoteTex">
    <w:name w:val="Footnote Tex"/>
    <w:rsid w:val="005F6DC5"/>
    <w:rPr>
      <w:rFonts w:ascii="Times New Roman" w:hAnsi="Times New Roman" w:cs="Times New Roman" w:hint="default"/>
      <w:sz w:val="20"/>
      <w:lang w:val="en-US"/>
    </w:rPr>
  </w:style>
  <w:style w:type="paragraph" w:customStyle="1" w:styleId="ListParagraph1">
    <w:name w:val="List Paragraph1"/>
    <w:aliases w:val="Colorful List - Accent 11"/>
    <w:basedOn w:val="Normal"/>
    <w:link w:val="ListParagraphChar"/>
    <w:uiPriority w:val="34"/>
    <w:qFormat/>
    <w:rsid w:val="0091124F"/>
    <w:pPr>
      <w:ind w:left="720"/>
    </w:pPr>
  </w:style>
  <w:style w:type="character" w:customStyle="1" w:styleId="Heading4Char">
    <w:name w:val="Heading 4 Char"/>
    <w:link w:val="Heading4"/>
    <w:rsid w:val="0045657E"/>
    <w:rPr>
      <w:rFonts w:asciiTheme="majorHAnsi" w:hAnsiTheme="majorHAnsi"/>
      <w:b/>
      <w:lang w:val="es-UY"/>
    </w:rPr>
  </w:style>
  <w:style w:type="paragraph" w:customStyle="1" w:styleId="Sangradetindependiente">
    <w:name w:val="SangrÌa de t. independiente"/>
    <w:basedOn w:val="Normal"/>
    <w:rsid w:val="009B6593"/>
    <w:pPr>
      <w:suppressAutoHyphens/>
      <w:spacing w:line="360" w:lineRule="atLeast"/>
    </w:pPr>
    <w:rPr>
      <w:rFonts w:ascii="Garamond" w:hAnsi="Garamond"/>
      <w:szCs w:val="20"/>
      <w:lang w:val="es-ES_tradnl" w:eastAsia="ar-SA"/>
    </w:rPr>
  </w:style>
  <w:style w:type="character" w:customStyle="1" w:styleId="WW-FootnoteCharacters">
    <w:name w:val="WW-Footnote Characters"/>
    <w:rsid w:val="009B6593"/>
    <w:rPr>
      <w:vertAlign w:val="superscript"/>
    </w:rPr>
  </w:style>
  <w:style w:type="character" w:customStyle="1" w:styleId="FootnoteTextChar1">
    <w:name w:val="Footnote Text Char1"/>
    <w:aliases w:val="Footnote Text Char Char Char Char Char Char1,Footnote Text Char Char Char Char Char2,FA Fu Char1,Footnote reference Char1,NOTA AL PIE TESIS PUCP Char1,Footnote Text Char Char Char Char2,Footnote Text Cha Char1,FA Fußnotentext Char1"/>
    <w:locked/>
    <w:rsid w:val="00905621"/>
    <w:rPr>
      <w:sz w:val="20"/>
      <w:szCs w:val="20"/>
      <w:lang w:val="es-SV"/>
    </w:rPr>
  </w:style>
  <w:style w:type="paragraph" w:customStyle="1" w:styleId="PrrafodeSentencia">
    <w:name w:val="*. Párrafo de Sentencia"/>
    <w:basedOn w:val="Normal"/>
    <w:link w:val="PrrafodeSentenciaChar"/>
    <w:autoRedefine/>
    <w:qFormat/>
    <w:rsid w:val="00306E6D"/>
    <w:pPr>
      <w:tabs>
        <w:tab w:val="left" w:pos="0"/>
        <w:tab w:val="left" w:pos="567"/>
      </w:tabs>
      <w:ind w:left="990"/>
      <w:jc w:val="both"/>
    </w:pPr>
    <w:rPr>
      <w:rFonts w:asciiTheme="majorHAnsi" w:hAnsiTheme="majorHAnsi"/>
      <w:sz w:val="20"/>
      <w:szCs w:val="20"/>
      <w:lang w:val="es-UY"/>
    </w:rPr>
  </w:style>
  <w:style w:type="character" w:customStyle="1" w:styleId="PrrafodeSentenciaChar">
    <w:name w:val="*. Párrafo de Sentencia Char"/>
    <w:link w:val="PrrafodeSentencia"/>
    <w:rsid w:val="00306E6D"/>
    <w:rPr>
      <w:rFonts w:asciiTheme="majorHAnsi" w:hAnsiTheme="majorHAnsi"/>
      <w:lang w:val="es-UY"/>
    </w:rPr>
  </w:style>
  <w:style w:type="paragraph" w:styleId="NormalWeb">
    <w:name w:val="Normal (Web)"/>
    <w:basedOn w:val="Normal"/>
    <w:uiPriority w:val="99"/>
    <w:rsid w:val="0080466B"/>
    <w:pPr>
      <w:spacing w:before="100" w:beforeAutospacing="1" w:after="100" w:afterAutospacing="1"/>
    </w:pPr>
  </w:style>
  <w:style w:type="paragraph" w:styleId="BodyText3">
    <w:name w:val="Body Text 3"/>
    <w:basedOn w:val="Normal"/>
    <w:rsid w:val="00BA2B3A"/>
    <w:pPr>
      <w:spacing w:after="120"/>
    </w:pPr>
    <w:rPr>
      <w:rFonts w:ascii="Univers" w:hAnsi="Univers"/>
      <w:sz w:val="16"/>
      <w:szCs w:val="16"/>
      <w:lang w:val="es-ES_tradnl"/>
    </w:rPr>
  </w:style>
  <w:style w:type="paragraph" w:styleId="Footer">
    <w:name w:val="footer"/>
    <w:basedOn w:val="Normal"/>
    <w:link w:val="FooterChar"/>
    <w:uiPriority w:val="99"/>
    <w:rsid w:val="002E12F3"/>
    <w:pPr>
      <w:tabs>
        <w:tab w:val="center" w:pos="4320"/>
        <w:tab w:val="right" w:pos="8640"/>
      </w:tabs>
    </w:pPr>
  </w:style>
  <w:style w:type="character" w:styleId="PageNumber">
    <w:name w:val="page number"/>
    <w:basedOn w:val="DefaultParagraphFont"/>
    <w:rsid w:val="002E12F3"/>
  </w:style>
  <w:style w:type="paragraph" w:styleId="TOC1">
    <w:name w:val="toc 1"/>
    <w:basedOn w:val="Normal"/>
    <w:next w:val="Normal"/>
    <w:autoRedefine/>
    <w:uiPriority w:val="39"/>
    <w:rsid w:val="00DF00E3"/>
    <w:pPr>
      <w:tabs>
        <w:tab w:val="left" w:pos="720"/>
        <w:tab w:val="right" w:leader="dot" w:pos="9350"/>
      </w:tabs>
      <w:ind w:left="720" w:hanging="720"/>
      <w:jc w:val="both"/>
    </w:pPr>
    <w:rPr>
      <w:rFonts w:ascii="Calibri" w:hAnsi="Calibri"/>
      <w:sz w:val="22"/>
    </w:rPr>
  </w:style>
  <w:style w:type="paragraph" w:styleId="TOC2">
    <w:name w:val="toc 2"/>
    <w:basedOn w:val="Normal"/>
    <w:next w:val="Normal"/>
    <w:autoRedefine/>
    <w:uiPriority w:val="39"/>
    <w:rsid w:val="0034764F"/>
    <w:pPr>
      <w:tabs>
        <w:tab w:val="left" w:pos="1440"/>
        <w:tab w:val="right" w:leader="dot" w:pos="9360"/>
      </w:tabs>
      <w:ind w:left="1440" w:hanging="720"/>
    </w:pPr>
  </w:style>
  <w:style w:type="paragraph" w:styleId="TOC3">
    <w:name w:val="toc 3"/>
    <w:basedOn w:val="Normal"/>
    <w:next w:val="Normal"/>
    <w:link w:val="TOC3Char"/>
    <w:autoRedefine/>
    <w:uiPriority w:val="39"/>
    <w:rsid w:val="00207C3A"/>
    <w:pPr>
      <w:tabs>
        <w:tab w:val="left" w:pos="720"/>
        <w:tab w:val="left" w:pos="1440"/>
        <w:tab w:val="right" w:leader="dot" w:pos="9350"/>
      </w:tabs>
      <w:ind w:left="1440" w:hanging="720"/>
      <w:jc w:val="both"/>
    </w:pPr>
    <w:rPr>
      <w:rFonts w:asciiTheme="majorHAnsi" w:hAnsiTheme="majorHAnsi"/>
      <w:noProof/>
      <w:sz w:val="20"/>
      <w:szCs w:val="20"/>
      <w:lang w:val="es-MX"/>
    </w:rPr>
  </w:style>
  <w:style w:type="character" w:customStyle="1" w:styleId="Heading1Char">
    <w:name w:val="Heading 1 Char"/>
    <w:link w:val="Heading1"/>
    <w:rsid w:val="00880B2A"/>
    <w:rPr>
      <w:rFonts w:asciiTheme="majorHAnsi" w:hAnsiTheme="majorHAnsi"/>
      <w:b/>
      <w:lang w:val="es-MX"/>
    </w:rPr>
  </w:style>
  <w:style w:type="character" w:styleId="CommentReference">
    <w:name w:val="annotation reference"/>
    <w:uiPriority w:val="99"/>
    <w:rsid w:val="00F84858"/>
    <w:rPr>
      <w:sz w:val="16"/>
      <w:szCs w:val="16"/>
    </w:rPr>
  </w:style>
  <w:style w:type="paragraph" w:styleId="CommentText">
    <w:name w:val="annotation text"/>
    <w:basedOn w:val="Normal"/>
    <w:link w:val="CommentTextChar"/>
    <w:uiPriority w:val="99"/>
    <w:rsid w:val="00F84858"/>
    <w:rPr>
      <w:sz w:val="20"/>
      <w:szCs w:val="20"/>
    </w:rPr>
  </w:style>
  <w:style w:type="character" w:customStyle="1" w:styleId="CommentTextChar">
    <w:name w:val="Comment Text Char"/>
    <w:basedOn w:val="DefaultParagraphFont"/>
    <w:link w:val="CommentText"/>
    <w:uiPriority w:val="99"/>
    <w:rsid w:val="00F84858"/>
  </w:style>
  <w:style w:type="paragraph" w:styleId="CommentSubject">
    <w:name w:val="annotation subject"/>
    <w:basedOn w:val="CommentText"/>
    <w:next w:val="CommentText"/>
    <w:link w:val="CommentSubjectChar"/>
    <w:uiPriority w:val="99"/>
    <w:rsid w:val="00F84858"/>
    <w:rPr>
      <w:b/>
      <w:bCs/>
    </w:rPr>
  </w:style>
  <w:style w:type="character" w:customStyle="1" w:styleId="CommentSubjectChar">
    <w:name w:val="Comment Subject Char"/>
    <w:link w:val="CommentSubject"/>
    <w:uiPriority w:val="99"/>
    <w:rsid w:val="00F84858"/>
    <w:rPr>
      <w:b/>
      <w:bCs/>
    </w:rPr>
  </w:style>
  <w:style w:type="character" w:styleId="Strong">
    <w:name w:val="Strong"/>
    <w:uiPriority w:val="22"/>
    <w:qFormat/>
    <w:rsid w:val="00691227"/>
    <w:rPr>
      <w:b/>
      <w:bCs/>
    </w:rPr>
  </w:style>
  <w:style w:type="character" w:customStyle="1" w:styleId="st">
    <w:name w:val="st"/>
    <w:rsid w:val="00747BF6"/>
  </w:style>
  <w:style w:type="character" w:customStyle="1" w:styleId="BodyTextCharCarCarCarCarCarCarCarCarCarCarCarCarCarCarCarCarCarCarCarCarCarCarCarCarCarCarCarCarCarCarCarCarCarCarCarCarCa">
    <w:name w:val="Body Text Char Car Car Car Car Car Car Car Car Car Car Car Car Car Car Car Car Car Car Car Car Car Car Car Car Car Car Car Car Car Car Car Car Car Car Car Car Ca"/>
    <w:rsid w:val="00C6180F"/>
    <w:rPr>
      <w:rFonts w:ascii="Times New Roman" w:hAnsi="Times New Roman" w:cs="Times New Roman"/>
      <w:sz w:val="24"/>
      <w:szCs w:val="24"/>
      <w:lang w:val="es-ES" w:eastAsia="es-ES"/>
    </w:rPr>
  </w:style>
  <w:style w:type="character" w:customStyle="1" w:styleId="HeaderChar">
    <w:name w:val="Header Char"/>
    <w:aliases w:val="encabezado Char"/>
    <w:link w:val="Header"/>
    <w:uiPriority w:val="99"/>
    <w:rsid w:val="00EA5E48"/>
    <w:rPr>
      <w:sz w:val="24"/>
      <w:szCs w:val="24"/>
    </w:rPr>
  </w:style>
  <w:style w:type="character" w:customStyle="1" w:styleId="Heading3Char">
    <w:name w:val="Heading 3 Char"/>
    <w:link w:val="Heading3"/>
    <w:rsid w:val="000B11B2"/>
    <w:rPr>
      <w:rFonts w:ascii="Cambria" w:eastAsia="Times New Roman" w:hAnsi="Cambria"/>
      <w:b/>
      <w:bCs/>
      <w:lang w:val="es-ES_tradnl"/>
    </w:rPr>
  </w:style>
  <w:style w:type="paragraph" w:customStyle="1" w:styleId="Style1">
    <w:name w:val="Style1"/>
    <w:basedOn w:val="TOC3"/>
    <w:link w:val="Style1Char"/>
    <w:qFormat/>
    <w:rsid w:val="005358B9"/>
    <w:pPr>
      <w:outlineLvl w:val="0"/>
    </w:pPr>
    <w:rPr>
      <w:sz w:val="22"/>
      <w:szCs w:val="22"/>
    </w:rPr>
  </w:style>
  <w:style w:type="paragraph" w:styleId="TOC4">
    <w:name w:val="toc 4"/>
    <w:basedOn w:val="Normal"/>
    <w:next w:val="Normal"/>
    <w:autoRedefine/>
    <w:uiPriority w:val="39"/>
    <w:rsid w:val="006B4EEC"/>
    <w:pPr>
      <w:ind w:left="720"/>
    </w:pPr>
  </w:style>
  <w:style w:type="character" w:customStyle="1" w:styleId="TOC3Char">
    <w:name w:val="TOC 3 Char"/>
    <w:link w:val="TOC3"/>
    <w:uiPriority w:val="39"/>
    <w:rsid w:val="00207C3A"/>
    <w:rPr>
      <w:rFonts w:asciiTheme="majorHAnsi" w:hAnsiTheme="majorHAnsi"/>
      <w:noProof/>
      <w:lang w:val="es-MX"/>
    </w:rPr>
  </w:style>
  <w:style w:type="character" w:customStyle="1" w:styleId="Style1Char">
    <w:name w:val="Style1 Char"/>
    <w:link w:val="Style1"/>
    <w:rsid w:val="005358B9"/>
    <w:rPr>
      <w:rFonts w:ascii="Calibri" w:eastAsia="MS Mincho" w:hAnsi="Calibri"/>
      <w:b/>
      <w:sz w:val="22"/>
      <w:szCs w:val="22"/>
      <w:lang w:val="es-MX"/>
    </w:rPr>
  </w:style>
  <w:style w:type="numbering" w:customStyle="1" w:styleId="List7">
    <w:name w:val="List 7"/>
    <w:basedOn w:val="NoList"/>
    <w:rsid w:val="00D142E1"/>
    <w:pPr>
      <w:numPr>
        <w:numId w:val="3"/>
      </w:numPr>
    </w:pPr>
  </w:style>
  <w:style w:type="character" w:customStyle="1" w:styleId="FooterChar">
    <w:name w:val="Footer Char"/>
    <w:link w:val="Footer"/>
    <w:uiPriority w:val="99"/>
    <w:rsid w:val="00D142E1"/>
    <w:rPr>
      <w:sz w:val="24"/>
      <w:szCs w:val="24"/>
    </w:rPr>
  </w:style>
  <w:style w:type="character" w:customStyle="1" w:styleId="ListParagraphChar">
    <w:name w:val="List Paragraph Char"/>
    <w:aliases w:val="Colorful List - Accent 11 Char,Footnote Char,List Paragraph1 Char,Párrafo de lista1 Char"/>
    <w:link w:val="ListParagraph1"/>
    <w:uiPriority w:val="34"/>
    <w:locked/>
    <w:rsid w:val="006655CC"/>
    <w:rPr>
      <w:sz w:val="24"/>
      <w:szCs w:val="24"/>
    </w:rPr>
  </w:style>
  <w:style w:type="paragraph" w:styleId="ListParagraph">
    <w:name w:val="List Paragraph"/>
    <w:aliases w:val="Párrafo de lista1"/>
    <w:basedOn w:val="Normal"/>
    <w:link w:val="ListParagraphChar1"/>
    <w:uiPriority w:val="34"/>
    <w:qFormat/>
    <w:rsid w:val="001A3698"/>
    <w:pPr>
      <w:ind w:left="720"/>
    </w:pPr>
  </w:style>
  <w:style w:type="paragraph" w:customStyle="1" w:styleId="1">
    <w:name w:val="1"/>
    <w:basedOn w:val="Normal"/>
    <w:link w:val="FootnoteReference"/>
    <w:rsid w:val="0006526B"/>
    <w:pPr>
      <w:spacing w:after="160" w:line="240" w:lineRule="exact"/>
    </w:pPr>
    <w:rPr>
      <w:sz w:val="20"/>
      <w:szCs w:val="20"/>
      <w:vertAlign w:val="superscript"/>
    </w:rPr>
  </w:style>
  <w:style w:type="character" w:customStyle="1" w:styleId="BalloonTextChar">
    <w:name w:val="Balloon Text Char"/>
    <w:link w:val="BalloonText"/>
    <w:uiPriority w:val="99"/>
    <w:semiHidden/>
    <w:rsid w:val="00120BBD"/>
    <w:rPr>
      <w:rFonts w:ascii="Tahoma" w:hAnsi="Tahoma" w:cs="Tahoma"/>
      <w:sz w:val="16"/>
      <w:szCs w:val="16"/>
    </w:rPr>
  </w:style>
  <w:style w:type="character" w:customStyle="1" w:styleId="Heading5Char">
    <w:name w:val="Heading 5 Char"/>
    <w:basedOn w:val="DefaultParagraphFont"/>
    <w:link w:val="Heading5"/>
    <w:uiPriority w:val="9"/>
    <w:semiHidden/>
    <w:rsid w:val="00380B14"/>
    <w:rPr>
      <w:rFonts w:ascii="Calibri" w:eastAsia="Times New Roman" w:hAnsi="Calibri"/>
      <w:b/>
      <w:bCs/>
      <w:i/>
      <w:iCs/>
      <w:sz w:val="26"/>
      <w:szCs w:val="26"/>
    </w:rPr>
  </w:style>
  <w:style w:type="character" w:customStyle="1" w:styleId="ListParagraphChar1">
    <w:name w:val="List Paragraph Char1"/>
    <w:aliases w:val="Párrafo de lista1 Char1"/>
    <w:link w:val="ListParagraph"/>
    <w:uiPriority w:val="34"/>
    <w:locked/>
    <w:rsid w:val="00380B14"/>
    <w:rPr>
      <w:sz w:val="24"/>
      <w:szCs w:val="24"/>
    </w:rPr>
  </w:style>
  <w:style w:type="paragraph" w:customStyle="1" w:styleId="Default">
    <w:name w:val="Default"/>
    <w:rsid w:val="00EA78C8"/>
    <w:pPr>
      <w:autoSpaceDE w:val="0"/>
      <w:autoSpaceDN w:val="0"/>
      <w:adjustRightInd w:val="0"/>
    </w:pPr>
    <w:rPr>
      <w:rFonts w:ascii="Verdana" w:hAnsi="Verdana" w:cs="Verdana"/>
      <w:color w:val="000000"/>
      <w:sz w:val="24"/>
      <w:szCs w:val="24"/>
    </w:rPr>
  </w:style>
  <w:style w:type="character" w:customStyle="1" w:styleId="sb8d990e2">
    <w:name w:val="sb8d990e2"/>
    <w:basedOn w:val="DefaultParagraphFont"/>
    <w:rsid w:val="00C05881"/>
  </w:style>
  <w:style w:type="paragraph" w:styleId="BodyTextIndent3">
    <w:name w:val="Body Text Indent 3"/>
    <w:basedOn w:val="Normal"/>
    <w:link w:val="BodyTextIndent3Char"/>
    <w:uiPriority w:val="99"/>
    <w:semiHidden/>
    <w:unhideWhenUsed/>
    <w:rsid w:val="00C3243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32435"/>
    <w:rPr>
      <w:sz w:val="16"/>
      <w:szCs w:val="16"/>
    </w:rPr>
  </w:style>
  <w:style w:type="paragraph" w:styleId="DocumentMap">
    <w:name w:val="Document Map"/>
    <w:basedOn w:val="Normal"/>
    <w:link w:val="DocumentMapChar"/>
    <w:uiPriority w:val="99"/>
    <w:semiHidden/>
    <w:unhideWhenUsed/>
    <w:rsid w:val="0065215D"/>
    <w:rPr>
      <w:rFonts w:ascii="Lucida Grande" w:hAnsi="Lucida Grande" w:cs="Lucida Grande"/>
    </w:rPr>
  </w:style>
  <w:style w:type="character" w:customStyle="1" w:styleId="DocumentMapChar">
    <w:name w:val="Document Map Char"/>
    <w:basedOn w:val="DefaultParagraphFont"/>
    <w:link w:val="DocumentMap"/>
    <w:uiPriority w:val="99"/>
    <w:semiHidden/>
    <w:rsid w:val="0065215D"/>
    <w:rPr>
      <w:rFonts w:ascii="Lucida Grande" w:hAnsi="Lucida Grande" w:cs="Lucida Grande"/>
      <w:sz w:val="24"/>
      <w:szCs w:val="24"/>
    </w:rPr>
  </w:style>
  <w:style w:type="paragraph" w:styleId="Revision">
    <w:name w:val="Revision"/>
    <w:hidden/>
    <w:uiPriority w:val="99"/>
    <w:semiHidden/>
    <w:rsid w:val="00355472"/>
    <w:rPr>
      <w:sz w:val="24"/>
      <w:szCs w:val="24"/>
    </w:rPr>
  </w:style>
  <w:style w:type="character" w:styleId="PlaceholderText">
    <w:name w:val="Placeholder Text"/>
    <w:basedOn w:val="DefaultParagraphFont"/>
    <w:uiPriority w:val="99"/>
    <w:semiHidden/>
    <w:rsid w:val="00052DC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84070">
      <w:bodyDiv w:val="1"/>
      <w:marLeft w:val="0"/>
      <w:marRight w:val="0"/>
      <w:marTop w:val="0"/>
      <w:marBottom w:val="0"/>
      <w:divBdr>
        <w:top w:val="none" w:sz="0" w:space="0" w:color="auto"/>
        <w:left w:val="none" w:sz="0" w:space="0" w:color="auto"/>
        <w:bottom w:val="none" w:sz="0" w:space="0" w:color="auto"/>
        <w:right w:val="none" w:sz="0" w:space="0" w:color="auto"/>
      </w:divBdr>
    </w:div>
    <w:div w:id="113133000">
      <w:bodyDiv w:val="1"/>
      <w:marLeft w:val="0"/>
      <w:marRight w:val="0"/>
      <w:marTop w:val="0"/>
      <w:marBottom w:val="0"/>
      <w:divBdr>
        <w:top w:val="none" w:sz="0" w:space="0" w:color="auto"/>
        <w:left w:val="none" w:sz="0" w:space="0" w:color="auto"/>
        <w:bottom w:val="none" w:sz="0" w:space="0" w:color="auto"/>
        <w:right w:val="none" w:sz="0" w:space="0" w:color="auto"/>
      </w:divBdr>
    </w:div>
    <w:div w:id="189035341">
      <w:bodyDiv w:val="1"/>
      <w:marLeft w:val="0"/>
      <w:marRight w:val="0"/>
      <w:marTop w:val="0"/>
      <w:marBottom w:val="0"/>
      <w:divBdr>
        <w:top w:val="none" w:sz="0" w:space="0" w:color="auto"/>
        <w:left w:val="none" w:sz="0" w:space="0" w:color="auto"/>
        <w:bottom w:val="none" w:sz="0" w:space="0" w:color="auto"/>
        <w:right w:val="none" w:sz="0" w:space="0" w:color="auto"/>
      </w:divBdr>
    </w:div>
    <w:div w:id="329215489">
      <w:bodyDiv w:val="1"/>
      <w:marLeft w:val="0"/>
      <w:marRight w:val="0"/>
      <w:marTop w:val="0"/>
      <w:marBottom w:val="0"/>
      <w:divBdr>
        <w:top w:val="none" w:sz="0" w:space="0" w:color="auto"/>
        <w:left w:val="none" w:sz="0" w:space="0" w:color="auto"/>
        <w:bottom w:val="none" w:sz="0" w:space="0" w:color="auto"/>
        <w:right w:val="none" w:sz="0" w:space="0" w:color="auto"/>
      </w:divBdr>
    </w:div>
    <w:div w:id="524945637">
      <w:bodyDiv w:val="1"/>
      <w:marLeft w:val="0"/>
      <w:marRight w:val="0"/>
      <w:marTop w:val="0"/>
      <w:marBottom w:val="0"/>
      <w:divBdr>
        <w:top w:val="none" w:sz="0" w:space="0" w:color="auto"/>
        <w:left w:val="none" w:sz="0" w:space="0" w:color="auto"/>
        <w:bottom w:val="none" w:sz="0" w:space="0" w:color="auto"/>
        <w:right w:val="none" w:sz="0" w:space="0" w:color="auto"/>
      </w:divBdr>
    </w:div>
    <w:div w:id="583147861">
      <w:bodyDiv w:val="1"/>
      <w:marLeft w:val="0"/>
      <w:marRight w:val="0"/>
      <w:marTop w:val="0"/>
      <w:marBottom w:val="0"/>
      <w:divBdr>
        <w:top w:val="none" w:sz="0" w:space="0" w:color="auto"/>
        <w:left w:val="none" w:sz="0" w:space="0" w:color="auto"/>
        <w:bottom w:val="none" w:sz="0" w:space="0" w:color="auto"/>
        <w:right w:val="none" w:sz="0" w:space="0" w:color="auto"/>
      </w:divBdr>
    </w:div>
    <w:div w:id="662661940">
      <w:bodyDiv w:val="1"/>
      <w:marLeft w:val="0"/>
      <w:marRight w:val="0"/>
      <w:marTop w:val="0"/>
      <w:marBottom w:val="0"/>
      <w:divBdr>
        <w:top w:val="none" w:sz="0" w:space="0" w:color="auto"/>
        <w:left w:val="none" w:sz="0" w:space="0" w:color="auto"/>
        <w:bottom w:val="none" w:sz="0" w:space="0" w:color="auto"/>
        <w:right w:val="none" w:sz="0" w:space="0" w:color="auto"/>
      </w:divBdr>
    </w:div>
    <w:div w:id="681008891">
      <w:bodyDiv w:val="1"/>
      <w:marLeft w:val="0"/>
      <w:marRight w:val="0"/>
      <w:marTop w:val="0"/>
      <w:marBottom w:val="0"/>
      <w:divBdr>
        <w:top w:val="none" w:sz="0" w:space="0" w:color="auto"/>
        <w:left w:val="none" w:sz="0" w:space="0" w:color="auto"/>
        <w:bottom w:val="none" w:sz="0" w:space="0" w:color="auto"/>
        <w:right w:val="none" w:sz="0" w:space="0" w:color="auto"/>
      </w:divBdr>
    </w:div>
    <w:div w:id="829104579">
      <w:bodyDiv w:val="1"/>
      <w:marLeft w:val="0"/>
      <w:marRight w:val="0"/>
      <w:marTop w:val="0"/>
      <w:marBottom w:val="0"/>
      <w:divBdr>
        <w:top w:val="none" w:sz="0" w:space="0" w:color="auto"/>
        <w:left w:val="none" w:sz="0" w:space="0" w:color="auto"/>
        <w:bottom w:val="none" w:sz="0" w:space="0" w:color="auto"/>
        <w:right w:val="none" w:sz="0" w:space="0" w:color="auto"/>
      </w:divBdr>
    </w:div>
    <w:div w:id="881475042">
      <w:bodyDiv w:val="1"/>
      <w:marLeft w:val="0"/>
      <w:marRight w:val="0"/>
      <w:marTop w:val="0"/>
      <w:marBottom w:val="0"/>
      <w:divBdr>
        <w:top w:val="none" w:sz="0" w:space="0" w:color="auto"/>
        <w:left w:val="none" w:sz="0" w:space="0" w:color="auto"/>
        <w:bottom w:val="none" w:sz="0" w:space="0" w:color="auto"/>
        <w:right w:val="none" w:sz="0" w:space="0" w:color="auto"/>
      </w:divBdr>
    </w:div>
    <w:div w:id="911040364">
      <w:bodyDiv w:val="1"/>
      <w:marLeft w:val="0"/>
      <w:marRight w:val="0"/>
      <w:marTop w:val="0"/>
      <w:marBottom w:val="0"/>
      <w:divBdr>
        <w:top w:val="none" w:sz="0" w:space="0" w:color="auto"/>
        <w:left w:val="none" w:sz="0" w:space="0" w:color="auto"/>
        <w:bottom w:val="none" w:sz="0" w:space="0" w:color="auto"/>
        <w:right w:val="none" w:sz="0" w:space="0" w:color="auto"/>
      </w:divBdr>
    </w:div>
    <w:div w:id="1137793827">
      <w:bodyDiv w:val="1"/>
      <w:marLeft w:val="0"/>
      <w:marRight w:val="0"/>
      <w:marTop w:val="0"/>
      <w:marBottom w:val="0"/>
      <w:divBdr>
        <w:top w:val="none" w:sz="0" w:space="0" w:color="auto"/>
        <w:left w:val="none" w:sz="0" w:space="0" w:color="auto"/>
        <w:bottom w:val="none" w:sz="0" w:space="0" w:color="auto"/>
        <w:right w:val="none" w:sz="0" w:space="0" w:color="auto"/>
      </w:divBdr>
    </w:div>
    <w:div w:id="1259370907">
      <w:bodyDiv w:val="1"/>
      <w:marLeft w:val="0"/>
      <w:marRight w:val="0"/>
      <w:marTop w:val="0"/>
      <w:marBottom w:val="0"/>
      <w:divBdr>
        <w:top w:val="none" w:sz="0" w:space="0" w:color="auto"/>
        <w:left w:val="none" w:sz="0" w:space="0" w:color="auto"/>
        <w:bottom w:val="none" w:sz="0" w:space="0" w:color="auto"/>
        <w:right w:val="none" w:sz="0" w:space="0" w:color="auto"/>
      </w:divBdr>
      <w:divsChild>
        <w:div w:id="334773471">
          <w:marLeft w:val="0"/>
          <w:marRight w:val="0"/>
          <w:marTop w:val="0"/>
          <w:marBottom w:val="0"/>
          <w:divBdr>
            <w:top w:val="none" w:sz="0" w:space="0" w:color="auto"/>
            <w:left w:val="none" w:sz="0" w:space="0" w:color="auto"/>
            <w:bottom w:val="none" w:sz="0" w:space="0" w:color="auto"/>
            <w:right w:val="none" w:sz="0" w:space="0" w:color="auto"/>
          </w:divBdr>
          <w:divsChild>
            <w:div w:id="678316461">
              <w:marLeft w:val="0"/>
              <w:marRight w:val="0"/>
              <w:marTop w:val="0"/>
              <w:marBottom w:val="0"/>
              <w:divBdr>
                <w:top w:val="none" w:sz="0" w:space="0" w:color="auto"/>
                <w:left w:val="none" w:sz="0" w:space="0" w:color="auto"/>
                <w:bottom w:val="none" w:sz="0" w:space="0" w:color="auto"/>
                <w:right w:val="none" w:sz="0" w:space="0" w:color="auto"/>
              </w:divBdr>
              <w:divsChild>
                <w:div w:id="1892109452">
                  <w:marLeft w:val="0"/>
                  <w:marRight w:val="0"/>
                  <w:marTop w:val="0"/>
                  <w:marBottom w:val="0"/>
                  <w:divBdr>
                    <w:top w:val="none" w:sz="0" w:space="0" w:color="auto"/>
                    <w:left w:val="none" w:sz="0" w:space="0" w:color="auto"/>
                    <w:bottom w:val="none" w:sz="0" w:space="0" w:color="auto"/>
                    <w:right w:val="none" w:sz="0" w:space="0" w:color="auto"/>
                  </w:divBdr>
                  <w:divsChild>
                    <w:div w:id="855967380">
                      <w:marLeft w:val="0"/>
                      <w:marRight w:val="0"/>
                      <w:marTop w:val="45"/>
                      <w:marBottom w:val="0"/>
                      <w:divBdr>
                        <w:top w:val="none" w:sz="0" w:space="0" w:color="auto"/>
                        <w:left w:val="none" w:sz="0" w:space="0" w:color="auto"/>
                        <w:bottom w:val="none" w:sz="0" w:space="0" w:color="auto"/>
                        <w:right w:val="none" w:sz="0" w:space="0" w:color="auto"/>
                      </w:divBdr>
                      <w:divsChild>
                        <w:div w:id="1595941942">
                          <w:marLeft w:val="0"/>
                          <w:marRight w:val="0"/>
                          <w:marTop w:val="0"/>
                          <w:marBottom w:val="0"/>
                          <w:divBdr>
                            <w:top w:val="none" w:sz="0" w:space="0" w:color="auto"/>
                            <w:left w:val="none" w:sz="0" w:space="0" w:color="auto"/>
                            <w:bottom w:val="none" w:sz="0" w:space="0" w:color="auto"/>
                            <w:right w:val="none" w:sz="0" w:space="0" w:color="auto"/>
                          </w:divBdr>
                          <w:divsChild>
                            <w:div w:id="1384870572">
                              <w:marLeft w:val="2070"/>
                              <w:marRight w:val="3810"/>
                              <w:marTop w:val="0"/>
                              <w:marBottom w:val="0"/>
                              <w:divBdr>
                                <w:top w:val="none" w:sz="0" w:space="0" w:color="auto"/>
                                <w:left w:val="none" w:sz="0" w:space="0" w:color="auto"/>
                                <w:bottom w:val="none" w:sz="0" w:space="0" w:color="auto"/>
                                <w:right w:val="none" w:sz="0" w:space="0" w:color="auto"/>
                              </w:divBdr>
                              <w:divsChild>
                                <w:div w:id="1287196592">
                                  <w:marLeft w:val="0"/>
                                  <w:marRight w:val="0"/>
                                  <w:marTop w:val="0"/>
                                  <w:marBottom w:val="0"/>
                                  <w:divBdr>
                                    <w:top w:val="none" w:sz="0" w:space="0" w:color="auto"/>
                                    <w:left w:val="none" w:sz="0" w:space="0" w:color="auto"/>
                                    <w:bottom w:val="none" w:sz="0" w:space="0" w:color="auto"/>
                                    <w:right w:val="none" w:sz="0" w:space="0" w:color="auto"/>
                                  </w:divBdr>
                                  <w:divsChild>
                                    <w:div w:id="1626234992">
                                      <w:marLeft w:val="0"/>
                                      <w:marRight w:val="0"/>
                                      <w:marTop w:val="0"/>
                                      <w:marBottom w:val="0"/>
                                      <w:divBdr>
                                        <w:top w:val="none" w:sz="0" w:space="0" w:color="auto"/>
                                        <w:left w:val="none" w:sz="0" w:space="0" w:color="auto"/>
                                        <w:bottom w:val="none" w:sz="0" w:space="0" w:color="auto"/>
                                        <w:right w:val="none" w:sz="0" w:space="0" w:color="auto"/>
                                      </w:divBdr>
                                      <w:divsChild>
                                        <w:div w:id="610091429">
                                          <w:marLeft w:val="0"/>
                                          <w:marRight w:val="0"/>
                                          <w:marTop w:val="0"/>
                                          <w:marBottom w:val="0"/>
                                          <w:divBdr>
                                            <w:top w:val="none" w:sz="0" w:space="0" w:color="auto"/>
                                            <w:left w:val="none" w:sz="0" w:space="0" w:color="auto"/>
                                            <w:bottom w:val="none" w:sz="0" w:space="0" w:color="auto"/>
                                            <w:right w:val="none" w:sz="0" w:space="0" w:color="auto"/>
                                          </w:divBdr>
                                          <w:divsChild>
                                            <w:div w:id="744452548">
                                              <w:marLeft w:val="0"/>
                                              <w:marRight w:val="0"/>
                                              <w:marTop w:val="90"/>
                                              <w:marBottom w:val="0"/>
                                              <w:divBdr>
                                                <w:top w:val="none" w:sz="0" w:space="0" w:color="auto"/>
                                                <w:left w:val="none" w:sz="0" w:space="0" w:color="auto"/>
                                                <w:bottom w:val="none" w:sz="0" w:space="0" w:color="auto"/>
                                                <w:right w:val="none" w:sz="0" w:space="0" w:color="auto"/>
                                              </w:divBdr>
                                              <w:divsChild>
                                                <w:div w:id="479158216">
                                                  <w:marLeft w:val="0"/>
                                                  <w:marRight w:val="0"/>
                                                  <w:marTop w:val="0"/>
                                                  <w:marBottom w:val="0"/>
                                                  <w:divBdr>
                                                    <w:top w:val="none" w:sz="0" w:space="0" w:color="auto"/>
                                                    <w:left w:val="none" w:sz="0" w:space="0" w:color="auto"/>
                                                    <w:bottom w:val="none" w:sz="0" w:space="0" w:color="auto"/>
                                                    <w:right w:val="none" w:sz="0" w:space="0" w:color="auto"/>
                                                  </w:divBdr>
                                                  <w:divsChild>
                                                    <w:div w:id="540703903">
                                                      <w:marLeft w:val="0"/>
                                                      <w:marRight w:val="0"/>
                                                      <w:marTop w:val="0"/>
                                                      <w:marBottom w:val="0"/>
                                                      <w:divBdr>
                                                        <w:top w:val="none" w:sz="0" w:space="0" w:color="auto"/>
                                                        <w:left w:val="none" w:sz="0" w:space="0" w:color="auto"/>
                                                        <w:bottom w:val="none" w:sz="0" w:space="0" w:color="auto"/>
                                                        <w:right w:val="none" w:sz="0" w:space="0" w:color="auto"/>
                                                      </w:divBdr>
                                                      <w:divsChild>
                                                        <w:div w:id="748693294">
                                                          <w:marLeft w:val="0"/>
                                                          <w:marRight w:val="0"/>
                                                          <w:marTop w:val="0"/>
                                                          <w:marBottom w:val="345"/>
                                                          <w:divBdr>
                                                            <w:top w:val="none" w:sz="0" w:space="0" w:color="auto"/>
                                                            <w:left w:val="none" w:sz="0" w:space="0" w:color="auto"/>
                                                            <w:bottom w:val="none" w:sz="0" w:space="0" w:color="auto"/>
                                                            <w:right w:val="none" w:sz="0" w:space="0" w:color="auto"/>
                                                          </w:divBdr>
                                                          <w:divsChild>
                                                            <w:div w:id="1934513960">
                                                              <w:marLeft w:val="0"/>
                                                              <w:marRight w:val="0"/>
                                                              <w:marTop w:val="0"/>
                                                              <w:marBottom w:val="0"/>
                                                              <w:divBdr>
                                                                <w:top w:val="none" w:sz="0" w:space="0" w:color="auto"/>
                                                                <w:left w:val="none" w:sz="0" w:space="0" w:color="auto"/>
                                                                <w:bottom w:val="none" w:sz="0" w:space="0" w:color="auto"/>
                                                                <w:right w:val="none" w:sz="0" w:space="0" w:color="auto"/>
                                                              </w:divBdr>
                                                              <w:divsChild>
                                                                <w:div w:id="829101991">
                                                                  <w:marLeft w:val="0"/>
                                                                  <w:marRight w:val="0"/>
                                                                  <w:marTop w:val="0"/>
                                                                  <w:marBottom w:val="0"/>
                                                                  <w:divBdr>
                                                                    <w:top w:val="none" w:sz="0" w:space="0" w:color="auto"/>
                                                                    <w:left w:val="none" w:sz="0" w:space="0" w:color="auto"/>
                                                                    <w:bottom w:val="none" w:sz="0" w:space="0" w:color="auto"/>
                                                                    <w:right w:val="none" w:sz="0" w:space="0" w:color="auto"/>
                                                                  </w:divBdr>
                                                                  <w:divsChild>
                                                                    <w:div w:id="444886435">
                                                                      <w:marLeft w:val="0"/>
                                                                      <w:marRight w:val="0"/>
                                                                      <w:marTop w:val="0"/>
                                                                      <w:marBottom w:val="0"/>
                                                                      <w:divBdr>
                                                                        <w:top w:val="none" w:sz="0" w:space="0" w:color="auto"/>
                                                                        <w:left w:val="none" w:sz="0" w:space="0" w:color="auto"/>
                                                                        <w:bottom w:val="none" w:sz="0" w:space="0" w:color="auto"/>
                                                                        <w:right w:val="none" w:sz="0" w:space="0" w:color="auto"/>
                                                                      </w:divBdr>
                                                                      <w:divsChild>
                                                                        <w:div w:id="69029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5652720">
      <w:bodyDiv w:val="1"/>
      <w:marLeft w:val="0"/>
      <w:marRight w:val="0"/>
      <w:marTop w:val="0"/>
      <w:marBottom w:val="0"/>
      <w:divBdr>
        <w:top w:val="none" w:sz="0" w:space="0" w:color="auto"/>
        <w:left w:val="none" w:sz="0" w:space="0" w:color="auto"/>
        <w:bottom w:val="none" w:sz="0" w:space="0" w:color="auto"/>
        <w:right w:val="none" w:sz="0" w:space="0" w:color="auto"/>
      </w:divBdr>
    </w:div>
    <w:div w:id="177238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joomla.corteidh.or.cr:8080/joomla/es/casos-contenciosos/38-jurisprudencia/386-corte-idh-caso-de-la-cruz-flores-vs-peru-fondo-reparaciones-y-costas-sentencia-de-18-de-noviembre-de-2004-serie-c-no-115" TargetMode="External"/><Relationship Id="rId2" Type="http://schemas.openxmlformats.org/officeDocument/2006/relationships/hyperlink" Target="http://www.cidh.org/countryrep/Venezuela2009sp/VE09.indice.sp.htm" TargetMode="External"/><Relationship Id="rId1" Type="http://schemas.openxmlformats.org/officeDocument/2006/relationships/hyperlink" Target="http://www.cidh.oas.org/annualrep/2006sp/ElSalvador12311sp.htm" TargetMode="External"/><Relationship Id="rId5" Type="http://schemas.openxmlformats.org/officeDocument/2006/relationships/hyperlink" Target="http://joomla.corteidh.or.cr:8080/joomla/es/casos-contenciosos/38-jurisprudencia/698-corte-idh-caso-gomez-palomino-vs-peru-fondo-reparaciones-y-costas-sentencia-de-22-de-noviembre-de-2005-serie-c-no-136" TargetMode="External"/><Relationship Id="rId4" Type="http://schemas.openxmlformats.org/officeDocument/2006/relationships/hyperlink" Target="http://joomla.corteidh.or.cr:8080/joomla/es/jurisprudencia-oc-avanzado/38-jurisprudencia/2053-corte-idh-caso-mendoza-y-otros-vs-argentina-excepciones-preliminares-fondo-y-reparaciones-sentencia-de-14-de-mayo-de-2013-serie-c-no-26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A7EF1-EC10-4B7E-B420-B0E351B08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9802</Words>
  <Characters>53917</Characters>
  <Application>Microsoft Office Word</Application>
  <DocSecurity>0</DocSecurity>
  <Lines>449</Lines>
  <Paragraphs>127</Paragraphs>
  <ScaleCrop>false</ScaleCrop>
  <HeadingPairs>
    <vt:vector size="2" baseType="variant">
      <vt:variant>
        <vt:lpstr>Title</vt:lpstr>
      </vt:variant>
      <vt:variant>
        <vt:i4>1</vt:i4>
      </vt:variant>
    </vt:vector>
  </HeadingPairs>
  <TitlesOfParts>
    <vt:vector size="1" baseType="lpstr">
      <vt:lpstr>POSICIONES DE LAS PARTES SOBRE EL FONDO</vt:lpstr>
    </vt:vector>
  </TitlesOfParts>
  <Company>HP</Company>
  <LinksUpToDate>false</LinksUpToDate>
  <CharactersWithSpaces>63592</CharactersWithSpaces>
  <SharedDoc>false</SharedDoc>
  <HLinks>
    <vt:vector size="426" baseType="variant">
      <vt:variant>
        <vt:i4>1704000</vt:i4>
      </vt:variant>
      <vt:variant>
        <vt:i4>207</vt:i4>
      </vt:variant>
      <vt:variant>
        <vt:i4>0</vt:i4>
      </vt:variant>
      <vt:variant>
        <vt:i4>5</vt:i4>
      </vt:variant>
      <vt:variant>
        <vt:lpwstr>http://es.wikipedia.org/wiki/Par%C3%A9ntesis</vt:lpwstr>
      </vt:variant>
      <vt:variant>
        <vt:lpwstr>Corchetes_.5B_.5D</vt:lpwstr>
      </vt:variant>
      <vt:variant>
        <vt:i4>1704000</vt:i4>
      </vt:variant>
      <vt:variant>
        <vt:i4>204</vt:i4>
      </vt:variant>
      <vt:variant>
        <vt:i4>0</vt:i4>
      </vt:variant>
      <vt:variant>
        <vt:i4>5</vt:i4>
      </vt:variant>
      <vt:variant>
        <vt:lpwstr>http://es.wikipedia.org/wiki/Par%C3%A9ntesis</vt:lpwstr>
      </vt:variant>
      <vt:variant>
        <vt:lpwstr>Corchetes_.5B_.5D</vt:lpwstr>
      </vt:variant>
      <vt:variant>
        <vt:i4>1704000</vt:i4>
      </vt:variant>
      <vt:variant>
        <vt:i4>201</vt:i4>
      </vt:variant>
      <vt:variant>
        <vt:i4>0</vt:i4>
      </vt:variant>
      <vt:variant>
        <vt:i4>5</vt:i4>
      </vt:variant>
      <vt:variant>
        <vt:lpwstr>http://es.wikipedia.org/wiki/Par%C3%A9ntesis</vt:lpwstr>
      </vt:variant>
      <vt:variant>
        <vt:lpwstr>Corchetes_.5B_.5D</vt:lpwstr>
      </vt:variant>
      <vt:variant>
        <vt:i4>1704000</vt:i4>
      </vt:variant>
      <vt:variant>
        <vt:i4>198</vt:i4>
      </vt:variant>
      <vt:variant>
        <vt:i4>0</vt:i4>
      </vt:variant>
      <vt:variant>
        <vt:i4>5</vt:i4>
      </vt:variant>
      <vt:variant>
        <vt:lpwstr>http://es.wikipedia.org/wiki/Par%C3%A9ntesis</vt:lpwstr>
      </vt:variant>
      <vt:variant>
        <vt:lpwstr>Corchetes_.5B_.5D</vt:lpwstr>
      </vt:variant>
      <vt:variant>
        <vt:i4>1704000</vt:i4>
      </vt:variant>
      <vt:variant>
        <vt:i4>195</vt:i4>
      </vt:variant>
      <vt:variant>
        <vt:i4>0</vt:i4>
      </vt:variant>
      <vt:variant>
        <vt:i4>5</vt:i4>
      </vt:variant>
      <vt:variant>
        <vt:lpwstr>http://es.wikipedia.org/wiki/Par%C3%A9ntesis</vt:lpwstr>
      </vt:variant>
      <vt:variant>
        <vt:lpwstr>Corchetes_.5B_.5D</vt:lpwstr>
      </vt:variant>
      <vt:variant>
        <vt:i4>1704000</vt:i4>
      </vt:variant>
      <vt:variant>
        <vt:i4>192</vt:i4>
      </vt:variant>
      <vt:variant>
        <vt:i4>0</vt:i4>
      </vt:variant>
      <vt:variant>
        <vt:i4>5</vt:i4>
      </vt:variant>
      <vt:variant>
        <vt:lpwstr>http://es.wikipedia.org/wiki/Par%C3%A9ntesis</vt:lpwstr>
      </vt:variant>
      <vt:variant>
        <vt:lpwstr>Corchetes_.5B_.5D</vt:lpwstr>
      </vt:variant>
      <vt:variant>
        <vt:i4>1704000</vt:i4>
      </vt:variant>
      <vt:variant>
        <vt:i4>189</vt:i4>
      </vt:variant>
      <vt:variant>
        <vt:i4>0</vt:i4>
      </vt:variant>
      <vt:variant>
        <vt:i4>5</vt:i4>
      </vt:variant>
      <vt:variant>
        <vt:lpwstr>http://es.wikipedia.org/wiki/Par%C3%A9ntesis</vt:lpwstr>
      </vt:variant>
      <vt:variant>
        <vt:lpwstr>Corchetes_.5B_.5D</vt:lpwstr>
      </vt:variant>
      <vt:variant>
        <vt:i4>1704000</vt:i4>
      </vt:variant>
      <vt:variant>
        <vt:i4>186</vt:i4>
      </vt:variant>
      <vt:variant>
        <vt:i4>0</vt:i4>
      </vt:variant>
      <vt:variant>
        <vt:i4>5</vt:i4>
      </vt:variant>
      <vt:variant>
        <vt:lpwstr>http://es.wikipedia.org/wiki/Par%C3%A9ntesis</vt:lpwstr>
      </vt:variant>
      <vt:variant>
        <vt:lpwstr>Corchetes_.5B_.5D</vt:lpwstr>
      </vt:variant>
      <vt:variant>
        <vt:i4>1704000</vt:i4>
      </vt:variant>
      <vt:variant>
        <vt:i4>183</vt:i4>
      </vt:variant>
      <vt:variant>
        <vt:i4>0</vt:i4>
      </vt:variant>
      <vt:variant>
        <vt:i4>5</vt:i4>
      </vt:variant>
      <vt:variant>
        <vt:lpwstr>http://es.wikipedia.org/wiki/Par%C3%A9ntesis</vt:lpwstr>
      </vt:variant>
      <vt:variant>
        <vt:lpwstr>Corchetes_.5B_.5D</vt:lpwstr>
      </vt:variant>
      <vt:variant>
        <vt:i4>1704000</vt:i4>
      </vt:variant>
      <vt:variant>
        <vt:i4>180</vt:i4>
      </vt:variant>
      <vt:variant>
        <vt:i4>0</vt:i4>
      </vt:variant>
      <vt:variant>
        <vt:i4>5</vt:i4>
      </vt:variant>
      <vt:variant>
        <vt:lpwstr>http://es.wikipedia.org/wiki/Par%C3%A9ntesis</vt:lpwstr>
      </vt:variant>
      <vt:variant>
        <vt:lpwstr>Corchetes_.5B_.5D</vt:lpwstr>
      </vt:variant>
      <vt:variant>
        <vt:i4>1704000</vt:i4>
      </vt:variant>
      <vt:variant>
        <vt:i4>177</vt:i4>
      </vt:variant>
      <vt:variant>
        <vt:i4>0</vt:i4>
      </vt:variant>
      <vt:variant>
        <vt:i4>5</vt:i4>
      </vt:variant>
      <vt:variant>
        <vt:lpwstr>http://es.wikipedia.org/wiki/Par%C3%A9ntesis</vt:lpwstr>
      </vt:variant>
      <vt:variant>
        <vt:lpwstr>Corchetes_.5B_.5D</vt:lpwstr>
      </vt:variant>
      <vt:variant>
        <vt:i4>1704000</vt:i4>
      </vt:variant>
      <vt:variant>
        <vt:i4>174</vt:i4>
      </vt:variant>
      <vt:variant>
        <vt:i4>0</vt:i4>
      </vt:variant>
      <vt:variant>
        <vt:i4>5</vt:i4>
      </vt:variant>
      <vt:variant>
        <vt:lpwstr>http://es.wikipedia.org/wiki/Par%C3%A9ntesis</vt:lpwstr>
      </vt:variant>
      <vt:variant>
        <vt:lpwstr>Corchetes_.5B_.5D</vt:lpwstr>
      </vt:variant>
      <vt:variant>
        <vt:i4>1704000</vt:i4>
      </vt:variant>
      <vt:variant>
        <vt:i4>171</vt:i4>
      </vt:variant>
      <vt:variant>
        <vt:i4>0</vt:i4>
      </vt:variant>
      <vt:variant>
        <vt:i4>5</vt:i4>
      </vt:variant>
      <vt:variant>
        <vt:lpwstr>http://es.wikipedia.org/wiki/Par%C3%A9ntesis</vt:lpwstr>
      </vt:variant>
      <vt:variant>
        <vt:lpwstr>Corchetes_.5B_.5D</vt:lpwstr>
      </vt:variant>
      <vt:variant>
        <vt:i4>1704000</vt:i4>
      </vt:variant>
      <vt:variant>
        <vt:i4>168</vt:i4>
      </vt:variant>
      <vt:variant>
        <vt:i4>0</vt:i4>
      </vt:variant>
      <vt:variant>
        <vt:i4>5</vt:i4>
      </vt:variant>
      <vt:variant>
        <vt:lpwstr>http://es.wikipedia.org/wiki/Par%C3%A9ntesis</vt:lpwstr>
      </vt:variant>
      <vt:variant>
        <vt:lpwstr>Corchetes_.5B_.5D</vt:lpwstr>
      </vt:variant>
      <vt:variant>
        <vt:i4>1704000</vt:i4>
      </vt:variant>
      <vt:variant>
        <vt:i4>165</vt:i4>
      </vt:variant>
      <vt:variant>
        <vt:i4>0</vt:i4>
      </vt:variant>
      <vt:variant>
        <vt:i4>5</vt:i4>
      </vt:variant>
      <vt:variant>
        <vt:lpwstr>http://es.wikipedia.org/wiki/Par%C3%A9ntesis</vt:lpwstr>
      </vt:variant>
      <vt:variant>
        <vt:lpwstr>Corchetes_.5B_.5D</vt:lpwstr>
      </vt:variant>
      <vt:variant>
        <vt:i4>1704000</vt:i4>
      </vt:variant>
      <vt:variant>
        <vt:i4>162</vt:i4>
      </vt:variant>
      <vt:variant>
        <vt:i4>0</vt:i4>
      </vt:variant>
      <vt:variant>
        <vt:i4>5</vt:i4>
      </vt:variant>
      <vt:variant>
        <vt:lpwstr>http://es.wikipedia.org/wiki/Par%C3%A9ntesis</vt:lpwstr>
      </vt:variant>
      <vt:variant>
        <vt:lpwstr>Corchetes_.5B_.5D</vt:lpwstr>
      </vt:variant>
      <vt:variant>
        <vt:i4>1704000</vt:i4>
      </vt:variant>
      <vt:variant>
        <vt:i4>159</vt:i4>
      </vt:variant>
      <vt:variant>
        <vt:i4>0</vt:i4>
      </vt:variant>
      <vt:variant>
        <vt:i4>5</vt:i4>
      </vt:variant>
      <vt:variant>
        <vt:lpwstr>http://es.wikipedia.org/wiki/Par%C3%A9ntesis</vt:lpwstr>
      </vt:variant>
      <vt:variant>
        <vt:lpwstr>Corchetes_.5B_.5D</vt:lpwstr>
      </vt:variant>
      <vt:variant>
        <vt:i4>1704000</vt:i4>
      </vt:variant>
      <vt:variant>
        <vt:i4>156</vt:i4>
      </vt:variant>
      <vt:variant>
        <vt:i4>0</vt:i4>
      </vt:variant>
      <vt:variant>
        <vt:i4>5</vt:i4>
      </vt:variant>
      <vt:variant>
        <vt:lpwstr>http://es.wikipedia.org/wiki/Par%C3%A9ntesis</vt:lpwstr>
      </vt:variant>
      <vt:variant>
        <vt:lpwstr>Corchetes_.5B_.5D</vt:lpwstr>
      </vt:variant>
      <vt:variant>
        <vt:i4>1704000</vt:i4>
      </vt:variant>
      <vt:variant>
        <vt:i4>153</vt:i4>
      </vt:variant>
      <vt:variant>
        <vt:i4>0</vt:i4>
      </vt:variant>
      <vt:variant>
        <vt:i4>5</vt:i4>
      </vt:variant>
      <vt:variant>
        <vt:lpwstr>http://es.wikipedia.org/wiki/Par%C3%A9ntesis</vt:lpwstr>
      </vt:variant>
      <vt:variant>
        <vt:lpwstr>Corchetes_.5B_.5D</vt:lpwstr>
      </vt:variant>
      <vt:variant>
        <vt:i4>1704000</vt:i4>
      </vt:variant>
      <vt:variant>
        <vt:i4>150</vt:i4>
      </vt:variant>
      <vt:variant>
        <vt:i4>0</vt:i4>
      </vt:variant>
      <vt:variant>
        <vt:i4>5</vt:i4>
      </vt:variant>
      <vt:variant>
        <vt:lpwstr>http://es.wikipedia.org/wiki/Par%C3%A9ntesis</vt:lpwstr>
      </vt:variant>
      <vt:variant>
        <vt:lpwstr>Corchetes_.5B_.5D</vt:lpwstr>
      </vt:variant>
      <vt:variant>
        <vt:i4>1704000</vt:i4>
      </vt:variant>
      <vt:variant>
        <vt:i4>147</vt:i4>
      </vt:variant>
      <vt:variant>
        <vt:i4>0</vt:i4>
      </vt:variant>
      <vt:variant>
        <vt:i4>5</vt:i4>
      </vt:variant>
      <vt:variant>
        <vt:lpwstr>http://es.wikipedia.org/wiki/Par%C3%A9ntesis</vt:lpwstr>
      </vt:variant>
      <vt:variant>
        <vt:lpwstr>Corchetes_.5B_.5D</vt:lpwstr>
      </vt:variant>
      <vt:variant>
        <vt:i4>1769522</vt:i4>
      </vt:variant>
      <vt:variant>
        <vt:i4>140</vt:i4>
      </vt:variant>
      <vt:variant>
        <vt:i4>0</vt:i4>
      </vt:variant>
      <vt:variant>
        <vt:i4>5</vt:i4>
      </vt:variant>
      <vt:variant>
        <vt:lpwstr/>
      </vt:variant>
      <vt:variant>
        <vt:lpwstr>_Toc412648036</vt:lpwstr>
      </vt:variant>
      <vt:variant>
        <vt:i4>1769522</vt:i4>
      </vt:variant>
      <vt:variant>
        <vt:i4>134</vt:i4>
      </vt:variant>
      <vt:variant>
        <vt:i4>0</vt:i4>
      </vt:variant>
      <vt:variant>
        <vt:i4>5</vt:i4>
      </vt:variant>
      <vt:variant>
        <vt:lpwstr/>
      </vt:variant>
      <vt:variant>
        <vt:lpwstr>_Toc412648035</vt:lpwstr>
      </vt:variant>
      <vt:variant>
        <vt:i4>1769522</vt:i4>
      </vt:variant>
      <vt:variant>
        <vt:i4>128</vt:i4>
      </vt:variant>
      <vt:variant>
        <vt:i4>0</vt:i4>
      </vt:variant>
      <vt:variant>
        <vt:i4>5</vt:i4>
      </vt:variant>
      <vt:variant>
        <vt:lpwstr/>
      </vt:variant>
      <vt:variant>
        <vt:lpwstr>_Toc412648034</vt:lpwstr>
      </vt:variant>
      <vt:variant>
        <vt:i4>1769522</vt:i4>
      </vt:variant>
      <vt:variant>
        <vt:i4>125</vt:i4>
      </vt:variant>
      <vt:variant>
        <vt:i4>0</vt:i4>
      </vt:variant>
      <vt:variant>
        <vt:i4>5</vt:i4>
      </vt:variant>
      <vt:variant>
        <vt:lpwstr/>
      </vt:variant>
      <vt:variant>
        <vt:lpwstr>_Toc412648032</vt:lpwstr>
      </vt:variant>
      <vt:variant>
        <vt:i4>1769522</vt:i4>
      </vt:variant>
      <vt:variant>
        <vt:i4>122</vt:i4>
      </vt:variant>
      <vt:variant>
        <vt:i4>0</vt:i4>
      </vt:variant>
      <vt:variant>
        <vt:i4>5</vt:i4>
      </vt:variant>
      <vt:variant>
        <vt:lpwstr/>
      </vt:variant>
      <vt:variant>
        <vt:lpwstr>_Toc412648031</vt:lpwstr>
      </vt:variant>
      <vt:variant>
        <vt:i4>1769522</vt:i4>
      </vt:variant>
      <vt:variant>
        <vt:i4>116</vt:i4>
      </vt:variant>
      <vt:variant>
        <vt:i4>0</vt:i4>
      </vt:variant>
      <vt:variant>
        <vt:i4>5</vt:i4>
      </vt:variant>
      <vt:variant>
        <vt:lpwstr/>
      </vt:variant>
      <vt:variant>
        <vt:lpwstr>_Toc412648030</vt:lpwstr>
      </vt:variant>
      <vt:variant>
        <vt:i4>1703986</vt:i4>
      </vt:variant>
      <vt:variant>
        <vt:i4>110</vt:i4>
      </vt:variant>
      <vt:variant>
        <vt:i4>0</vt:i4>
      </vt:variant>
      <vt:variant>
        <vt:i4>5</vt:i4>
      </vt:variant>
      <vt:variant>
        <vt:lpwstr/>
      </vt:variant>
      <vt:variant>
        <vt:lpwstr>_Toc412648029</vt:lpwstr>
      </vt:variant>
      <vt:variant>
        <vt:i4>1703986</vt:i4>
      </vt:variant>
      <vt:variant>
        <vt:i4>107</vt:i4>
      </vt:variant>
      <vt:variant>
        <vt:i4>0</vt:i4>
      </vt:variant>
      <vt:variant>
        <vt:i4>5</vt:i4>
      </vt:variant>
      <vt:variant>
        <vt:lpwstr/>
      </vt:variant>
      <vt:variant>
        <vt:lpwstr>_Toc412648028</vt:lpwstr>
      </vt:variant>
      <vt:variant>
        <vt:i4>1703986</vt:i4>
      </vt:variant>
      <vt:variant>
        <vt:i4>104</vt:i4>
      </vt:variant>
      <vt:variant>
        <vt:i4>0</vt:i4>
      </vt:variant>
      <vt:variant>
        <vt:i4>5</vt:i4>
      </vt:variant>
      <vt:variant>
        <vt:lpwstr/>
      </vt:variant>
      <vt:variant>
        <vt:lpwstr>_Toc412648027</vt:lpwstr>
      </vt:variant>
      <vt:variant>
        <vt:i4>1703986</vt:i4>
      </vt:variant>
      <vt:variant>
        <vt:i4>98</vt:i4>
      </vt:variant>
      <vt:variant>
        <vt:i4>0</vt:i4>
      </vt:variant>
      <vt:variant>
        <vt:i4>5</vt:i4>
      </vt:variant>
      <vt:variant>
        <vt:lpwstr/>
      </vt:variant>
      <vt:variant>
        <vt:lpwstr>_Toc412648026</vt:lpwstr>
      </vt:variant>
      <vt:variant>
        <vt:i4>1703986</vt:i4>
      </vt:variant>
      <vt:variant>
        <vt:i4>92</vt:i4>
      </vt:variant>
      <vt:variant>
        <vt:i4>0</vt:i4>
      </vt:variant>
      <vt:variant>
        <vt:i4>5</vt:i4>
      </vt:variant>
      <vt:variant>
        <vt:lpwstr/>
      </vt:variant>
      <vt:variant>
        <vt:lpwstr>_Toc412648025</vt:lpwstr>
      </vt:variant>
      <vt:variant>
        <vt:i4>1703986</vt:i4>
      </vt:variant>
      <vt:variant>
        <vt:i4>86</vt:i4>
      </vt:variant>
      <vt:variant>
        <vt:i4>0</vt:i4>
      </vt:variant>
      <vt:variant>
        <vt:i4>5</vt:i4>
      </vt:variant>
      <vt:variant>
        <vt:lpwstr/>
      </vt:variant>
      <vt:variant>
        <vt:lpwstr>_Toc412648024</vt:lpwstr>
      </vt:variant>
      <vt:variant>
        <vt:i4>1703986</vt:i4>
      </vt:variant>
      <vt:variant>
        <vt:i4>80</vt:i4>
      </vt:variant>
      <vt:variant>
        <vt:i4>0</vt:i4>
      </vt:variant>
      <vt:variant>
        <vt:i4>5</vt:i4>
      </vt:variant>
      <vt:variant>
        <vt:lpwstr/>
      </vt:variant>
      <vt:variant>
        <vt:lpwstr>_Toc412648023</vt:lpwstr>
      </vt:variant>
      <vt:variant>
        <vt:i4>1703986</vt:i4>
      </vt:variant>
      <vt:variant>
        <vt:i4>74</vt:i4>
      </vt:variant>
      <vt:variant>
        <vt:i4>0</vt:i4>
      </vt:variant>
      <vt:variant>
        <vt:i4>5</vt:i4>
      </vt:variant>
      <vt:variant>
        <vt:lpwstr/>
      </vt:variant>
      <vt:variant>
        <vt:lpwstr>_Toc412648022</vt:lpwstr>
      </vt:variant>
      <vt:variant>
        <vt:i4>1703986</vt:i4>
      </vt:variant>
      <vt:variant>
        <vt:i4>68</vt:i4>
      </vt:variant>
      <vt:variant>
        <vt:i4>0</vt:i4>
      </vt:variant>
      <vt:variant>
        <vt:i4>5</vt:i4>
      </vt:variant>
      <vt:variant>
        <vt:lpwstr/>
      </vt:variant>
      <vt:variant>
        <vt:lpwstr>_Toc412648021</vt:lpwstr>
      </vt:variant>
      <vt:variant>
        <vt:i4>1703986</vt:i4>
      </vt:variant>
      <vt:variant>
        <vt:i4>65</vt:i4>
      </vt:variant>
      <vt:variant>
        <vt:i4>0</vt:i4>
      </vt:variant>
      <vt:variant>
        <vt:i4>5</vt:i4>
      </vt:variant>
      <vt:variant>
        <vt:lpwstr/>
      </vt:variant>
      <vt:variant>
        <vt:lpwstr>_Toc412648020</vt:lpwstr>
      </vt:variant>
      <vt:variant>
        <vt:i4>1638450</vt:i4>
      </vt:variant>
      <vt:variant>
        <vt:i4>59</vt:i4>
      </vt:variant>
      <vt:variant>
        <vt:i4>0</vt:i4>
      </vt:variant>
      <vt:variant>
        <vt:i4>5</vt:i4>
      </vt:variant>
      <vt:variant>
        <vt:lpwstr/>
      </vt:variant>
      <vt:variant>
        <vt:lpwstr>_Toc412648019</vt:lpwstr>
      </vt:variant>
      <vt:variant>
        <vt:i4>1638450</vt:i4>
      </vt:variant>
      <vt:variant>
        <vt:i4>53</vt:i4>
      </vt:variant>
      <vt:variant>
        <vt:i4>0</vt:i4>
      </vt:variant>
      <vt:variant>
        <vt:i4>5</vt:i4>
      </vt:variant>
      <vt:variant>
        <vt:lpwstr/>
      </vt:variant>
      <vt:variant>
        <vt:lpwstr>_Toc412648018</vt:lpwstr>
      </vt:variant>
      <vt:variant>
        <vt:i4>1638450</vt:i4>
      </vt:variant>
      <vt:variant>
        <vt:i4>47</vt:i4>
      </vt:variant>
      <vt:variant>
        <vt:i4>0</vt:i4>
      </vt:variant>
      <vt:variant>
        <vt:i4>5</vt:i4>
      </vt:variant>
      <vt:variant>
        <vt:lpwstr/>
      </vt:variant>
      <vt:variant>
        <vt:lpwstr>_Toc412648017</vt:lpwstr>
      </vt:variant>
      <vt:variant>
        <vt:i4>1638450</vt:i4>
      </vt:variant>
      <vt:variant>
        <vt:i4>41</vt:i4>
      </vt:variant>
      <vt:variant>
        <vt:i4>0</vt:i4>
      </vt:variant>
      <vt:variant>
        <vt:i4>5</vt:i4>
      </vt:variant>
      <vt:variant>
        <vt:lpwstr/>
      </vt:variant>
      <vt:variant>
        <vt:lpwstr>_Toc412648016</vt:lpwstr>
      </vt:variant>
      <vt:variant>
        <vt:i4>1638450</vt:i4>
      </vt:variant>
      <vt:variant>
        <vt:i4>38</vt:i4>
      </vt:variant>
      <vt:variant>
        <vt:i4>0</vt:i4>
      </vt:variant>
      <vt:variant>
        <vt:i4>5</vt:i4>
      </vt:variant>
      <vt:variant>
        <vt:lpwstr/>
      </vt:variant>
      <vt:variant>
        <vt:lpwstr>_Toc412648015</vt:lpwstr>
      </vt:variant>
      <vt:variant>
        <vt:i4>1638450</vt:i4>
      </vt:variant>
      <vt:variant>
        <vt:i4>32</vt:i4>
      </vt:variant>
      <vt:variant>
        <vt:i4>0</vt:i4>
      </vt:variant>
      <vt:variant>
        <vt:i4>5</vt:i4>
      </vt:variant>
      <vt:variant>
        <vt:lpwstr/>
      </vt:variant>
      <vt:variant>
        <vt:lpwstr>_Toc412648014</vt:lpwstr>
      </vt:variant>
      <vt:variant>
        <vt:i4>1638450</vt:i4>
      </vt:variant>
      <vt:variant>
        <vt:i4>26</vt:i4>
      </vt:variant>
      <vt:variant>
        <vt:i4>0</vt:i4>
      </vt:variant>
      <vt:variant>
        <vt:i4>5</vt:i4>
      </vt:variant>
      <vt:variant>
        <vt:lpwstr/>
      </vt:variant>
      <vt:variant>
        <vt:lpwstr>_Toc412648013</vt:lpwstr>
      </vt:variant>
      <vt:variant>
        <vt:i4>1638450</vt:i4>
      </vt:variant>
      <vt:variant>
        <vt:i4>20</vt:i4>
      </vt:variant>
      <vt:variant>
        <vt:i4>0</vt:i4>
      </vt:variant>
      <vt:variant>
        <vt:i4>5</vt:i4>
      </vt:variant>
      <vt:variant>
        <vt:lpwstr/>
      </vt:variant>
      <vt:variant>
        <vt:lpwstr>_Toc412648012</vt:lpwstr>
      </vt:variant>
      <vt:variant>
        <vt:i4>1638450</vt:i4>
      </vt:variant>
      <vt:variant>
        <vt:i4>14</vt:i4>
      </vt:variant>
      <vt:variant>
        <vt:i4>0</vt:i4>
      </vt:variant>
      <vt:variant>
        <vt:i4>5</vt:i4>
      </vt:variant>
      <vt:variant>
        <vt:lpwstr/>
      </vt:variant>
      <vt:variant>
        <vt:lpwstr>_Toc412648011</vt:lpwstr>
      </vt:variant>
      <vt:variant>
        <vt:i4>1638450</vt:i4>
      </vt:variant>
      <vt:variant>
        <vt:i4>8</vt:i4>
      </vt:variant>
      <vt:variant>
        <vt:i4>0</vt:i4>
      </vt:variant>
      <vt:variant>
        <vt:i4>5</vt:i4>
      </vt:variant>
      <vt:variant>
        <vt:lpwstr/>
      </vt:variant>
      <vt:variant>
        <vt:lpwstr>_Toc412648010</vt:lpwstr>
      </vt:variant>
      <vt:variant>
        <vt:i4>1572914</vt:i4>
      </vt:variant>
      <vt:variant>
        <vt:i4>2</vt:i4>
      </vt:variant>
      <vt:variant>
        <vt:i4>0</vt:i4>
      </vt:variant>
      <vt:variant>
        <vt:i4>5</vt:i4>
      </vt:variant>
      <vt:variant>
        <vt:lpwstr/>
      </vt:variant>
      <vt:variant>
        <vt:lpwstr>_Toc412648009</vt:lpwstr>
      </vt:variant>
      <vt:variant>
        <vt:i4>1572875</vt:i4>
      </vt:variant>
      <vt:variant>
        <vt:i4>66</vt:i4>
      </vt:variant>
      <vt:variant>
        <vt:i4>0</vt:i4>
      </vt:variant>
      <vt:variant>
        <vt:i4>5</vt:i4>
      </vt:variant>
      <vt:variant>
        <vt:lpwstr>http://www.oas.org/es/cidh/defensores/docs/pdf/defensores2011.pdf</vt:lpwstr>
      </vt:variant>
      <vt:variant>
        <vt:lpwstr/>
      </vt:variant>
      <vt:variant>
        <vt:i4>1572875</vt:i4>
      </vt:variant>
      <vt:variant>
        <vt:i4>63</vt:i4>
      </vt:variant>
      <vt:variant>
        <vt:i4>0</vt:i4>
      </vt:variant>
      <vt:variant>
        <vt:i4>5</vt:i4>
      </vt:variant>
      <vt:variant>
        <vt:lpwstr>http://www.oas.org/es/cidh/defensores/docs/pdf/defensores2011.pdf</vt:lpwstr>
      </vt:variant>
      <vt:variant>
        <vt:lpwstr/>
      </vt:variant>
      <vt:variant>
        <vt:i4>1572875</vt:i4>
      </vt:variant>
      <vt:variant>
        <vt:i4>60</vt:i4>
      </vt:variant>
      <vt:variant>
        <vt:i4>0</vt:i4>
      </vt:variant>
      <vt:variant>
        <vt:i4>5</vt:i4>
      </vt:variant>
      <vt:variant>
        <vt:lpwstr>http://www.oas.org/es/cidh/defensores/docs/pdf/defensores2011.pdf</vt:lpwstr>
      </vt:variant>
      <vt:variant>
        <vt:lpwstr/>
      </vt:variant>
      <vt:variant>
        <vt:i4>1572875</vt:i4>
      </vt:variant>
      <vt:variant>
        <vt:i4>57</vt:i4>
      </vt:variant>
      <vt:variant>
        <vt:i4>0</vt:i4>
      </vt:variant>
      <vt:variant>
        <vt:i4>5</vt:i4>
      </vt:variant>
      <vt:variant>
        <vt:lpwstr>http://www.oas.org/es/cidh/defensores/docs/pdf/defensores2011.pdf</vt:lpwstr>
      </vt:variant>
      <vt:variant>
        <vt:lpwstr/>
      </vt:variant>
      <vt:variant>
        <vt:i4>917530</vt:i4>
      </vt:variant>
      <vt:variant>
        <vt:i4>54</vt:i4>
      </vt:variant>
      <vt:variant>
        <vt:i4>0</vt:i4>
      </vt:variant>
      <vt:variant>
        <vt:i4>5</vt:i4>
      </vt:variant>
      <vt:variant>
        <vt:lpwstr>http://www.bjdh.org.mx/BJDH/busqueda</vt:lpwstr>
      </vt:variant>
      <vt:variant>
        <vt:lpwstr/>
      </vt:variant>
      <vt:variant>
        <vt:i4>7667824</vt:i4>
      </vt:variant>
      <vt:variant>
        <vt:i4>51</vt:i4>
      </vt:variant>
      <vt:variant>
        <vt:i4>0</vt:i4>
      </vt:variant>
      <vt:variant>
        <vt:i4>5</vt:i4>
      </vt:variant>
      <vt:variant>
        <vt:lpwstr>http://www.bjdh.org.mx/interamericano/busqueda</vt:lpwstr>
      </vt:variant>
      <vt:variant>
        <vt:lpwstr/>
      </vt:variant>
      <vt:variant>
        <vt:i4>2883620</vt:i4>
      </vt:variant>
      <vt:variant>
        <vt:i4>48</vt:i4>
      </vt:variant>
      <vt:variant>
        <vt:i4>0</vt:i4>
      </vt:variant>
      <vt:variant>
        <vt:i4>5</vt:i4>
      </vt:variant>
      <vt:variant>
        <vt:lpwstr>http://joomla.corteidh.or.cr:8080/joomla/es/casos-contenciosos/38-jurisprudencia/1572-corte-idh-caso-gonzalez-medina-y-familiares-vs-republica-dominicana-excepciones-preliminares-fondo-reparaciones-y-costas-sentencia-de-27-de-febrero-de-2012-serie-c-no-240</vt:lpwstr>
      </vt:variant>
      <vt:variant>
        <vt:lpwstr/>
      </vt:variant>
      <vt:variant>
        <vt:i4>3866679</vt:i4>
      </vt:variant>
      <vt:variant>
        <vt:i4>45</vt:i4>
      </vt:variant>
      <vt:variant>
        <vt:i4>0</vt:i4>
      </vt:variant>
      <vt:variant>
        <vt:i4>5</vt:i4>
      </vt:variant>
      <vt:variant>
        <vt:lpwstr>http://www.hchr.org.mx/documentos/libros/informepdf.pdf</vt:lpwstr>
      </vt:variant>
      <vt:variant>
        <vt:lpwstr/>
      </vt:variant>
      <vt:variant>
        <vt:i4>917530</vt:i4>
      </vt:variant>
      <vt:variant>
        <vt:i4>42</vt:i4>
      </vt:variant>
      <vt:variant>
        <vt:i4>0</vt:i4>
      </vt:variant>
      <vt:variant>
        <vt:i4>5</vt:i4>
      </vt:variant>
      <vt:variant>
        <vt:lpwstr>http://www.bjdh.org.mx/BJDH/busqueda</vt:lpwstr>
      </vt:variant>
      <vt:variant>
        <vt:lpwstr/>
      </vt:variant>
      <vt:variant>
        <vt:i4>1704000</vt:i4>
      </vt:variant>
      <vt:variant>
        <vt:i4>39</vt:i4>
      </vt:variant>
      <vt:variant>
        <vt:i4>0</vt:i4>
      </vt:variant>
      <vt:variant>
        <vt:i4>5</vt:i4>
      </vt:variant>
      <vt:variant>
        <vt:lpwstr>http://es.wikipedia.org/wiki/Par%C3%A9ntesis</vt:lpwstr>
      </vt:variant>
      <vt:variant>
        <vt:lpwstr>Corchetes_.5B_.5D</vt:lpwstr>
      </vt:variant>
      <vt:variant>
        <vt:i4>1704000</vt:i4>
      </vt:variant>
      <vt:variant>
        <vt:i4>36</vt:i4>
      </vt:variant>
      <vt:variant>
        <vt:i4>0</vt:i4>
      </vt:variant>
      <vt:variant>
        <vt:i4>5</vt:i4>
      </vt:variant>
      <vt:variant>
        <vt:lpwstr>http://es.wikipedia.org/wiki/Par%C3%A9ntesis</vt:lpwstr>
      </vt:variant>
      <vt:variant>
        <vt:lpwstr>Corchetes_.5B_.5D</vt:lpwstr>
      </vt:variant>
      <vt:variant>
        <vt:i4>6881319</vt:i4>
      </vt:variant>
      <vt:variant>
        <vt:i4>33</vt:i4>
      </vt:variant>
      <vt:variant>
        <vt:i4>0</vt:i4>
      </vt:variant>
      <vt:variant>
        <vt:i4>5</vt:i4>
      </vt:variant>
      <vt:variant>
        <vt:lpwstr>http://calpi.nativeweb.org/cronos.html</vt:lpwstr>
      </vt:variant>
      <vt:variant>
        <vt:lpwstr/>
      </vt:variant>
      <vt:variant>
        <vt:i4>3080312</vt:i4>
      </vt:variant>
      <vt:variant>
        <vt:i4>30</vt:i4>
      </vt:variant>
      <vt:variant>
        <vt:i4>0</vt:i4>
      </vt:variant>
      <vt:variant>
        <vt:i4>5</vt:i4>
      </vt:variant>
      <vt:variant>
        <vt:lpwstr>http://archivo.laprensa.com.ni/archivo/2002/mayo/07/nacionales/nacionales-20020507-07.html</vt:lpwstr>
      </vt:variant>
      <vt:variant>
        <vt:lpwstr/>
      </vt:variant>
      <vt:variant>
        <vt:i4>6619197</vt:i4>
      </vt:variant>
      <vt:variant>
        <vt:i4>27</vt:i4>
      </vt:variant>
      <vt:variant>
        <vt:i4>0</vt:i4>
      </vt:variant>
      <vt:variant>
        <vt:i4>5</vt:i4>
      </vt:variant>
      <vt:variant>
        <vt:lpwstr>http://archivo.elnuevodiario.com.ni/2002/abril/21-abril-2002/sucesos/sucesos3.html</vt:lpwstr>
      </vt:variant>
      <vt:variant>
        <vt:lpwstr/>
      </vt:variant>
      <vt:variant>
        <vt:i4>6881319</vt:i4>
      </vt:variant>
      <vt:variant>
        <vt:i4>24</vt:i4>
      </vt:variant>
      <vt:variant>
        <vt:i4>0</vt:i4>
      </vt:variant>
      <vt:variant>
        <vt:i4>5</vt:i4>
      </vt:variant>
      <vt:variant>
        <vt:lpwstr>http://calpi.nativeweb.org/cronos.html</vt:lpwstr>
      </vt:variant>
      <vt:variant>
        <vt:lpwstr/>
      </vt:variant>
      <vt:variant>
        <vt:i4>6225923</vt:i4>
      </vt:variant>
      <vt:variant>
        <vt:i4>21</vt:i4>
      </vt:variant>
      <vt:variant>
        <vt:i4>0</vt:i4>
      </vt:variant>
      <vt:variant>
        <vt:i4>5</vt:i4>
      </vt:variant>
      <vt:variant>
        <vt:lpwstr>http://archivo.elnuevodiario.com.ni/2001/marzo/12-marzo-2001/nacional/nacional7.html</vt:lpwstr>
      </vt:variant>
      <vt:variant>
        <vt:lpwstr/>
      </vt:variant>
      <vt:variant>
        <vt:i4>2228343</vt:i4>
      </vt:variant>
      <vt:variant>
        <vt:i4>18</vt:i4>
      </vt:variant>
      <vt:variant>
        <vt:i4>0</vt:i4>
      </vt:variant>
      <vt:variant>
        <vt:i4>5</vt:i4>
      </vt:variant>
      <vt:variant>
        <vt:lpwstr>http://archivo.laprensa.com.ni/archivo/2001/mayo/18/nacionales/nacionales-20010518-05.html</vt:lpwstr>
      </vt:variant>
      <vt:variant>
        <vt:lpwstr/>
      </vt:variant>
      <vt:variant>
        <vt:i4>3211364</vt:i4>
      </vt:variant>
      <vt:variant>
        <vt:i4>15</vt:i4>
      </vt:variant>
      <vt:variant>
        <vt:i4>0</vt:i4>
      </vt:variant>
      <vt:variant>
        <vt:i4>5</vt:i4>
      </vt:variant>
      <vt:variant>
        <vt:lpwstr>http://archivo.laprensa.com.ni/archivo/2001/abril/21/nacionales/nacionales-20010421-06.html</vt:lpwstr>
      </vt:variant>
      <vt:variant>
        <vt:lpwstr/>
      </vt:variant>
      <vt:variant>
        <vt:i4>1245261</vt:i4>
      </vt:variant>
      <vt:variant>
        <vt:i4>12</vt:i4>
      </vt:variant>
      <vt:variant>
        <vt:i4>0</vt:i4>
      </vt:variant>
      <vt:variant>
        <vt:i4>5</vt:i4>
      </vt:variant>
      <vt:variant>
        <vt:lpwstr>http://www.hartford-hwp.com/archives/47/402.html</vt:lpwstr>
      </vt:variant>
      <vt:variant>
        <vt:lpwstr/>
      </vt:variant>
      <vt:variant>
        <vt:i4>6029331</vt:i4>
      </vt:variant>
      <vt:variant>
        <vt:i4>9</vt:i4>
      </vt:variant>
      <vt:variant>
        <vt:i4>0</vt:i4>
      </vt:variant>
      <vt:variant>
        <vt:i4>5</vt:i4>
      </vt:variant>
      <vt:variant>
        <vt:lpwstr>http://www.workers.org/ww/2002/nicaletter0502.php</vt:lpwstr>
      </vt:variant>
      <vt:variant>
        <vt:lpwstr/>
      </vt:variant>
      <vt:variant>
        <vt:i4>6029331</vt:i4>
      </vt:variant>
      <vt:variant>
        <vt:i4>6</vt:i4>
      </vt:variant>
      <vt:variant>
        <vt:i4>0</vt:i4>
      </vt:variant>
      <vt:variant>
        <vt:i4>5</vt:i4>
      </vt:variant>
      <vt:variant>
        <vt:lpwstr>http://www.workers.org/ww/2002/nicaletter0502.php</vt:lpwstr>
      </vt:variant>
      <vt:variant>
        <vt:lpwstr/>
      </vt:variant>
      <vt:variant>
        <vt:i4>4194328</vt:i4>
      </vt:variant>
      <vt:variant>
        <vt:i4>3</vt:i4>
      </vt:variant>
      <vt:variant>
        <vt:i4>0</vt:i4>
      </vt:variant>
      <vt:variant>
        <vt:i4>5</vt:i4>
      </vt:variant>
      <vt:variant>
        <vt:lpwstr>http://archivo.elnuevodiario.com.ni/2002/abril/13-abril-2002/nacional/nacional2.html</vt:lpwstr>
      </vt:variant>
      <vt:variant>
        <vt:lpwstr/>
      </vt:variant>
      <vt:variant>
        <vt:i4>6029331</vt:i4>
      </vt:variant>
      <vt:variant>
        <vt:i4>0</vt:i4>
      </vt:variant>
      <vt:variant>
        <vt:i4>0</vt:i4>
      </vt:variant>
      <vt:variant>
        <vt:i4>5</vt:i4>
      </vt:variant>
      <vt:variant>
        <vt:lpwstr>http://www.workers.org/ww/2002/nicaletter0502.php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POSICIONES DE LAS PARTES SOBRE EL FONDO</dc:title>
  <dc:creator/>
  <cp:lastModifiedBy>Fontana, Maria Eva</cp:lastModifiedBy>
  <cp:revision>5</cp:revision>
  <cp:lastPrinted>2017-06-08T13:02:00Z</cp:lastPrinted>
  <dcterms:created xsi:type="dcterms:W3CDTF">2017-06-08T13:05:00Z</dcterms:created>
  <dcterms:modified xsi:type="dcterms:W3CDTF">2017-11-29T15:17:00Z</dcterms:modified>
</cp:coreProperties>
</file>