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E5B63" w14:textId="2552D488" w:rsidR="00CA47DD" w:rsidRPr="00A976CB" w:rsidRDefault="00F44B3F" w:rsidP="001929A9">
      <w:pPr>
        <w:tabs>
          <w:tab w:val="left" w:pos="810"/>
        </w:tabs>
        <w:suppressAutoHyphens/>
        <w:spacing w:after="0" w:line="240" w:lineRule="auto"/>
        <w:jc w:val="right"/>
        <w:rPr>
          <w:rFonts w:ascii="Cambria" w:hAnsi="Cambria" w:cs="Arial"/>
          <w:b/>
          <w:lang w:val="pt-BR"/>
        </w:rPr>
      </w:pPr>
      <w:r>
        <w:rPr>
          <w:rFonts w:ascii="Cambria" w:hAnsi="Cambria" w:cs="Arial"/>
          <w:lang w:val="pt-BR"/>
        </w:rPr>
        <w:t>22</w:t>
      </w:r>
      <w:r w:rsidR="00CA47DD" w:rsidRPr="00A976CB">
        <w:rPr>
          <w:rFonts w:ascii="Cambria" w:hAnsi="Cambria" w:cs="Arial"/>
          <w:lang w:val="pt-BR"/>
        </w:rPr>
        <w:t xml:space="preserve"> de </w:t>
      </w:r>
      <w:r w:rsidR="008C3080">
        <w:rPr>
          <w:rFonts w:ascii="Cambria" w:hAnsi="Cambria" w:cs="Arial"/>
          <w:lang w:val="pt-BR"/>
        </w:rPr>
        <w:t>septiembre</w:t>
      </w:r>
      <w:r>
        <w:rPr>
          <w:rFonts w:ascii="Cambria" w:hAnsi="Cambria" w:cs="Arial"/>
          <w:lang w:val="pt-BR"/>
        </w:rPr>
        <w:t xml:space="preserve"> </w:t>
      </w:r>
      <w:r w:rsidR="00CA47DD" w:rsidRPr="00A976CB">
        <w:rPr>
          <w:rFonts w:ascii="Cambria" w:hAnsi="Cambria" w:cs="Arial"/>
          <w:lang w:val="pt-BR"/>
        </w:rPr>
        <w:t>de 2017</w:t>
      </w:r>
    </w:p>
    <w:p w14:paraId="3974A15C" w14:textId="3724945C" w:rsidR="00CA47DD" w:rsidRPr="008C3080" w:rsidRDefault="00CA47DD" w:rsidP="00CA47DD">
      <w:pPr>
        <w:widowControl w:val="0"/>
        <w:tabs>
          <w:tab w:val="left" w:pos="720"/>
        </w:tabs>
        <w:autoSpaceDE w:val="0"/>
        <w:autoSpaceDN w:val="0"/>
        <w:adjustRightInd w:val="0"/>
        <w:spacing w:after="0" w:line="240" w:lineRule="auto"/>
        <w:jc w:val="both"/>
        <w:rPr>
          <w:rFonts w:ascii="Cambria" w:hAnsi="Cambria" w:cs="Arial"/>
          <w:b/>
          <w:lang w:val="es-CO"/>
        </w:rPr>
      </w:pPr>
      <w:r w:rsidRPr="008C3080">
        <w:rPr>
          <w:rFonts w:ascii="Cambria" w:hAnsi="Cambria" w:cs="Arial"/>
          <w:b/>
          <w:lang w:val="es-CO"/>
        </w:rPr>
        <w:t>REF.:</w:t>
      </w:r>
      <w:bookmarkStart w:id="0" w:name="Peticion_n"/>
      <w:bookmarkEnd w:id="0"/>
      <w:r w:rsidRPr="008C3080">
        <w:rPr>
          <w:rFonts w:ascii="Cambria" w:hAnsi="Cambria" w:cs="Arial"/>
          <w:b/>
          <w:lang w:val="es-CO"/>
        </w:rPr>
        <w:tab/>
        <w:t xml:space="preserve">Caso Nº </w:t>
      </w:r>
      <w:r w:rsidRPr="008C3080">
        <w:rPr>
          <w:rFonts w:ascii="Cambria" w:hAnsi="Cambria"/>
          <w:b/>
          <w:lang w:val="es-CO"/>
        </w:rPr>
        <w:t>12.</w:t>
      </w:r>
      <w:r w:rsidR="00702E8A" w:rsidRPr="008C3080">
        <w:rPr>
          <w:rFonts w:ascii="Cambria" w:hAnsi="Cambria"/>
          <w:b/>
          <w:lang w:val="es-CO"/>
        </w:rPr>
        <w:t>492</w:t>
      </w:r>
    </w:p>
    <w:p w14:paraId="4A5F0955" w14:textId="5A53D6F0" w:rsidR="00CA47DD" w:rsidRPr="00A976CB" w:rsidRDefault="00702E8A" w:rsidP="00CA47DD">
      <w:pPr>
        <w:widowControl w:val="0"/>
        <w:tabs>
          <w:tab w:val="left" w:pos="810"/>
        </w:tabs>
        <w:autoSpaceDE w:val="0"/>
        <w:autoSpaceDN w:val="0"/>
        <w:adjustRightInd w:val="0"/>
        <w:spacing w:after="0" w:line="240" w:lineRule="auto"/>
        <w:ind w:firstLine="720"/>
        <w:jc w:val="both"/>
        <w:rPr>
          <w:rFonts w:ascii="Cambria" w:hAnsi="Cambria" w:cs="Arial"/>
          <w:b/>
          <w:lang w:val="es-ES"/>
        </w:rPr>
      </w:pPr>
      <w:r>
        <w:rPr>
          <w:rFonts w:ascii="Cambria" w:hAnsi="Cambria"/>
          <w:b/>
          <w:lang w:val="es-CO"/>
        </w:rPr>
        <w:t>Carlos Escaleras Mejía y familia</w:t>
      </w:r>
    </w:p>
    <w:p w14:paraId="3AF5E396" w14:textId="401C07D4" w:rsidR="00CA47DD" w:rsidRPr="00A976CB" w:rsidRDefault="00702E8A" w:rsidP="00CA47DD">
      <w:pPr>
        <w:tabs>
          <w:tab w:val="left" w:pos="720"/>
          <w:tab w:val="left" w:pos="810"/>
          <w:tab w:val="center" w:pos="6480"/>
        </w:tabs>
        <w:spacing w:after="0" w:line="240" w:lineRule="auto"/>
        <w:ind w:left="720"/>
        <w:jc w:val="both"/>
        <w:rPr>
          <w:rFonts w:ascii="Cambria" w:hAnsi="Cambria" w:cs="Arial"/>
          <w:b/>
          <w:lang w:val="es-ES_tradnl"/>
        </w:rPr>
      </w:pPr>
      <w:r>
        <w:rPr>
          <w:rFonts w:ascii="Cambria" w:hAnsi="Cambria" w:cs="Arial"/>
          <w:b/>
          <w:lang w:val="es-CR"/>
        </w:rPr>
        <w:t>Honduras</w:t>
      </w:r>
      <w:r w:rsidR="00CA47DD" w:rsidRPr="00A976CB">
        <w:rPr>
          <w:rFonts w:ascii="Cambria" w:hAnsi="Cambria" w:cs="Arial"/>
          <w:b/>
          <w:lang w:val="es-ES_tradnl"/>
        </w:rPr>
        <w:t xml:space="preserve"> </w:t>
      </w:r>
    </w:p>
    <w:p w14:paraId="0628C5F1" w14:textId="77777777" w:rsidR="00CA47DD" w:rsidRPr="00A976CB" w:rsidRDefault="00CA47DD" w:rsidP="00CA47DD">
      <w:pPr>
        <w:tabs>
          <w:tab w:val="left" w:pos="720"/>
          <w:tab w:val="left" w:pos="810"/>
          <w:tab w:val="center" w:pos="6480"/>
        </w:tabs>
        <w:spacing w:after="0" w:line="240" w:lineRule="auto"/>
        <w:jc w:val="both"/>
        <w:rPr>
          <w:rFonts w:ascii="Cambria" w:hAnsi="Cambria" w:cs="Arial"/>
          <w:lang w:val="es-PE"/>
        </w:rPr>
      </w:pPr>
    </w:p>
    <w:p w14:paraId="653E56DC" w14:textId="77777777" w:rsidR="00CA47DD" w:rsidRPr="00A976CB" w:rsidRDefault="00CA47DD" w:rsidP="00CA47DD">
      <w:pPr>
        <w:tabs>
          <w:tab w:val="left" w:pos="720"/>
          <w:tab w:val="left" w:pos="810"/>
          <w:tab w:val="center" w:pos="6480"/>
        </w:tabs>
        <w:spacing w:after="0" w:line="240" w:lineRule="auto"/>
        <w:jc w:val="both"/>
        <w:rPr>
          <w:rFonts w:ascii="Cambria" w:hAnsi="Cambria" w:cs="Arial"/>
          <w:lang w:val="es-PE"/>
        </w:rPr>
      </w:pPr>
      <w:r w:rsidRPr="00A976CB">
        <w:rPr>
          <w:rFonts w:ascii="Cambria" w:hAnsi="Cambria" w:cs="Arial"/>
          <w:lang w:val="es-PE"/>
        </w:rPr>
        <w:t>Señor Secretario:</w:t>
      </w:r>
    </w:p>
    <w:p w14:paraId="23972B7D" w14:textId="77777777" w:rsidR="00CA47DD" w:rsidRPr="00A976CB" w:rsidRDefault="00CA47DD" w:rsidP="00CA47DD">
      <w:pPr>
        <w:widowControl w:val="0"/>
        <w:tabs>
          <w:tab w:val="left" w:pos="810"/>
        </w:tabs>
        <w:autoSpaceDE w:val="0"/>
        <w:autoSpaceDN w:val="0"/>
        <w:adjustRightInd w:val="0"/>
        <w:spacing w:after="0" w:line="240" w:lineRule="auto"/>
        <w:jc w:val="both"/>
        <w:rPr>
          <w:rFonts w:ascii="Cambria" w:hAnsi="Cambria"/>
          <w:lang w:val="es-CO"/>
        </w:rPr>
      </w:pPr>
    </w:p>
    <w:p w14:paraId="555A2965" w14:textId="1E2CE625" w:rsidR="00702E8A" w:rsidRPr="00FE2706" w:rsidRDefault="00CA47DD" w:rsidP="00702E8A">
      <w:pPr>
        <w:widowControl w:val="0"/>
        <w:tabs>
          <w:tab w:val="left" w:pos="810"/>
        </w:tabs>
        <w:autoSpaceDE w:val="0"/>
        <w:autoSpaceDN w:val="0"/>
        <w:adjustRightInd w:val="0"/>
        <w:spacing w:after="0" w:line="240" w:lineRule="auto"/>
        <w:ind w:firstLine="720"/>
        <w:jc w:val="both"/>
        <w:rPr>
          <w:rFonts w:ascii="Cambria" w:hAnsi="Cambria"/>
          <w:lang w:val="es-ES"/>
        </w:rPr>
      </w:pPr>
      <w:r w:rsidRPr="00A976CB">
        <w:rPr>
          <w:rFonts w:ascii="Cambria" w:hAnsi="Cambria"/>
          <w:lang w:val="es-CO"/>
        </w:rPr>
        <w:t>Tengo el agrado de dirigirme a usted, en nombre de la Comisión Interamericana de Derechos Humanos, con el objeto</w:t>
      </w:r>
      <w:r w:rsidRPr="00A976CB">
        <w:rPr>
          <w:rFonts w:ascii="Cambria" w:hAnsi="Cambria" w:cs="Arial"/>
          <w:lang w:val="es-CO"/>
        </w:rPr>
        <w:t xml:space="preserve"> de presentar ante la Honorable Corte Interamericana de Derechos Humanos, el caso 12.</w:t>
      </w:r>
      <w:r w:rsidR="00702E8A">
        <w:rPr>
          <w:rFonts w:ascii="Cambria" w:hAnsi="Cambria" w:cs="Arial"/>
          <w:lang w:val="es-CO"/>
        </w:rPr>
        <w:t>492</w:t>
      </w:r>
      <w:r w:rsidRPr="00A976CB">
        <w:rPr>
          <w:rFonts w:ascii="Cambria" w:hAnsi="Cambria" w:cs="Arial"/>
          <w:lang w:val="es-CO"/>
        </w:rPr>
        <w:t xml:space="preserve"> – </w:t>
      </w:r>
      <w:r w:rsidR="00702E8A">
        <w:rPr>
          <w:rFonts w:ascii="Cambria" w:hAnsi="Cambria" w:cs="Arial"/>
          <w:lang w:val="es-CO"/>
        </w:rPr>
        <w:t xml:space="preserve">Carlos Escaleras Mejía y otros (Honduras) </w:t>
      </w:r>
      <w:r w:rsidRPr="00A976CB">
        <w:rPr>
          <w:rFonts w:ascii="Cambria" w:hAnsi="Cambria" w:cs="Arial"/>
          <w:lang w:val="es-CO"/>
        </w:rPr>
        <w:t xml:space="preserve">respecto de la República de </w:t>
      </w:r>
      <w:r w:rsidR="00702E8A">
        <w:rPr>
          <w:rFonts w:ascii="Cambria" w:hAnsi="Cambria" w:cs="Arial"/>
          <w:lang w:val="es-CO"/>
        </w:rPr>
        <w:t>Honduras</w:t>
      </w:r>
      <w:r w:rsidRPr="00A976CB">
        <w:rPr>
          <w:rFonts w:ascii="Cambria" w:hAnsi="Cambria" w:cs="Arial"/>
          <w:lang w:val="es-CO"/>
        </w:rPr>
        <w:t xml:space="preserve"> (en adelante “el Estado”, “el Estado </w:t>
      </w:r>
      <w:r w:rsidR="00702E8A">
        <w:rPr>
          <w:rFonts w:ascii="Cambria" w:hAnsi="Cambria" w:cs="Arial"/>
          <w:lang w:val="es-CO"/>
        </w:rPr>
        <w:t>hondureño</w:t>
      </w:r>
      <w:r w:rsidRPr="00A976CB">
        <w:rPr>
          <w:rFonts w:ascii="Cambria" w:hAnsi="Cambria" w:cs="Arial"/>
          <w:lang w:val="es-CO"/>
        </w:rPr>
        <w:t>” o “</w:t>
      </w:r>
      <w:r w:rsidR="00702E8A">
        <w:rPr>
          <w:rFonts w:ascii="Cambria" w:hAnsi="Cambria" w:cs="Arial"/>
          <w:lang w:val="es-CO"/>
        </w:rPr>
        <w:t>Honduras</w:t>
      </w:r>
      <w:r w:rsidRPr="00A976CB">
        <w:rPr>
          <w:rFonts w:ascii="Cambria" w:hAnsi="Cambria" w:cs="Arial"/>
          <w:lang w:val="es-CO"/>
        </w:rPr>
        <w:t xml:space="preserve">”), relacionado con </w:t>
      </w:r>
      <w:r w:rsidR="00702E8A" w:rsidRPr="00FE2706">
        <w:rPr>
          <w:rFonts w:ascii="Cambria" w:hAnsi="Cambria" w:cs="Arial"/>
          <w:lang w:val="es-AR"/>
        </w:rPr>
        <w:t xml:space="preserve">la responsabilidad internacional del Estado por la muerte del defensor ambientalista Carlos Escaleras Mejía ocurrida el 18 de octubre de 1997, y la situación de impunidad parcial en que se encuentra tal hecho. La Comisión concluyó que el Estado no otorgó una respuesta judicial efectiva frente a la muerte del señor Escaleras Mejía, pues </w:t>
      </w:r>
      <w:r w:rsidR="00702E8A" w:rsidRPr="00FE2706">
        <w:rPr>
          <w:rFonts w:ascii="Cambria" w:hAnsi="Cambria" w:cs="ACaslonPro-Regular"/>
          <w:lang w:val="es-ES"/>
        </w:rPr>
        <w:t>las autoridades policiales, fiscales y judiciales no adoptaron las diligencias iniciales mínimas conforme a los estándares interamericano</w:t>
      </w:r>
      <w:r w:rsidR="00702E8A">
        <w:rPr>
          <w:rFonts w:ascii="Cambria" w:hAnsi="Cambria" w:cs="ACaslonPro-Regular"/>
          <w:lang w:val="es-ES"/>
        </w:rPr>
        <w:t>s</w:t>
      </w:r>
      <w:r w:rsidR="00702E8A" w:rsidRPr="00FE2706">
        <w:rPr>
          <w:rFonts w:ascii="Cambria" w:hAnsi="Cambria" w:cs="ACaslonPro-Regular"/>
          <w:lang w:val="es-ES"/>
        </w:rPr>
        <w:t xml:space="preserve"> en este tipo de casos. La Comisión también concluyó que </w:t>
      </w:r>
      <w:r w:rsidR="00702E8A" w:rsidRPr="00FE2706">
        <w:rPr>
          <w:rFonts w:ascii="Cambria" w:hAnsi="Cambria"/>
          <w:lang w:val="es-ES"/>
        </w:rPr>
        <w:t xml:space="preserve">el </w:t>
      </w:r>
      <w:r w:rsidR="00702E8A" w:rsidRPr="00FE2706">
        <w:rPr>
          <w:rFonts w:ascii="Cambria" w:hAnsi="Cambria" w:cs="ACaslonPro-Regular"/>
          <w:lang w:val="es-ES_tradnl"/>
        </w:rPr>
        <w:t>Estado</w:t>
      </w:r>
      <w:r w:rsidR="00702E8A" w:rsidRPr="00FE2706">
        <w:rPr>
          <w:rFonts w:ascii="Cambria" w:hAnsi="Cambria"/>
          <w:lang w:val="es-ES"/>
        </w:rPr>
        <w:t xml:space="preserve"> omitió practicar pruebas e impulsar seria y exhaustivamente líneas básicas de investigación que respondieran efectivamente a los indicios que vincularon al menos a tres autoridades estatales y que surgieron desde el primer momento. Además, la Comisión constató que no se investigaron todas las posibles autorías intelectuales y que </w:t>
      </w:r>
      <w:r w:rsidR="00702E8A" w:rsidRPr="00FE2706">
        <w:rPr>
          <w:rFonts w:ascii="Cambria" w:hAnsi="Cambria" w:cs="TimesNewRoman"/>
          <w:lang w:val="es-ES" w:eastAsia="es-ES_tradnl"/>
        </w:rPr>
        <w:t xml:space="preserve">durante la investigación se dieron graves hechos de posible represalia y presión respecto de personas que participaron en las investigaciones, a pesar de lo cual no se efectuó investigación alguna sobre tales hechos. A su vez, la Comisión concluyó </w:t>
      </w:r>
      <w:r w:rsidR="00F41BCC">
        <w:rPr>
          <w:rFonts w:ascii="Cambria" w:hAnsi="Cambria" w:cs="TimesNewRoman"/>
          <w:lang w:val="es-ES" w:eastAsia="es-ES_tradnl"/>
        </w:rPr>
        <w:t xml:space="preserve">que </w:t>
      </w:r>
      <w:r w:rsidR="00702E8A" w:rsidRPr="00FE2706">
        <w:rPr>
          <w:rFonts w:ascii="Cambria" w:hAnsi="Cambria" w:cs="TimesNewRoman"/>
          <w:lang w:val="es-ES" w:eastAsia="es-ES_tradnl"/>
        </w:rPr>
        <w:t xml:space="preserve">el plazo de 17 años desde la muerte, constituyó un incumplimiento de la garantía de plazo razonable. La Comisión señaló que todos estos factores </w:t>
      </w:r>
      <w:r w:rsidR="00702E8A" w:rsidRPr="00FE2706">
        <w:rPr>
          <w:rFonts w:ascii="Cambria" w:hAnsi="Cambria"/>
          <w:lang w:val="es-ES"/>
        </w:rPr>
        <w:t xml:space="preserve">forman parte de una situación más general relacionada con los altos índices de impunidad de </w:t>
      </w:r>
      <w:r w:rsidR="00702E8A" w:rsidRPr="00FE2706">
        <w:rPr>
          <w:rFonts w:ascii="Cambria" w:hAnsi="Cambria"/>
          <w:lang w:val="es-ES_tradnl"/>
        </w:rPr>
        <w:t>hechos</w:t>
      </w:r>
      <w:r w:rsidR="00702E8A" w:rsidRPr="00FE2706">
        <w:rPr>
          <w:rFonts w:ascii="Cambria" w:hAnsi="Cambria"/>
          <w:lang w:val="es-ES"/>
        </w:rPr>
        <w:t xml:space="preserve"> criminales perpetrados contra defensores ambientalistas.</w:t>
      </w:r>
    </w:p>
    <w:p w14:paraId="7EF2E293" w14:textId="77777777" w:rsidR="00702E8A" w:rsidRPr="00FE2706" w:rsidRDefault="00702E8A" w:rsidP="00702E8A">
      <w:pPr>
        <w:widowControl w:val="0"/>
        <w:autoSpaceDE w:val="0"/>
        <w:autoSpaceDN w:val="0"/>
        <w:adjustRightInd w:val="0"/>
        <w:spacing w:after="0" w:line="240" w:lineRule="auto"/>
        <w:jc w:val="both"/>
        <w:rPr>
          <w:rFonts w:ascii="Cambria" w:hAnsi="Cambria"/>
          <w:lang w:val="es-ES"/>
        </w:rPr>
      </w:pPr>
    </w:p>
    <w:p w14:paraId="6C5D47D7" w14:textId="77777777" w:rsidR="00152670" w:rsidRPr="00E35847" w:rsidRDefault="00702E8A" w:rsidP="00152670">
      <w:pPr>
        <w:widowControl w:val="0"/>
        <w:autoSpaceDE w:val="0"/>
        <w:autoSpaceDN w:val="0"/>
        <w:adjustRightInd w:val="0"/>
        <w:spacing w:after="0" w:line="240" w:lineRule="auto"/>
        <w:ind w:firstLine="720"/>
        <w:jc w:val="both"/>
        <w:rPr>
          <w:rFonts w:ascii="Cambria" w:hAnsi="Cambria" w:cs="Arial"/>
          <w:lang w:val="es-AR"/>
        </w:rPr>
      </w:pPr>
      <w:r w:rsidRPr="00FE2706">
        <w:rPr>
          <w:rFonts w:ascii="Cambria" w:hAnsi="Cambria"/>
          <w:lang w:val="es-ES"/>
        </w:rPr>
        <w:t xml:space="preserve">Por otra parte, la Comisión estableció que la falta de investigación seria y diligente de los múltiples indicios de participación de agentes estatales en la muerte de la víctima, permite otorgar valor probatorio a tales indicios y, por lo tanto, la Comisión consideró que existen elementos suficientes para </w:t>
      </w:r>
      <w:r w:rsidRPr="00E35847">
        <w:rPr>
          <w:rFonts w:ascii="Cambria" w:hAnsi="Cambria"/>
          <w:lang w:val="es-ES"/>
        </w:rPr>
        <w:t xml:space="preserve">atribuir al Estado responsabilidad por tal hecho. Finalmente, la Comisión estableció la responsabilidad internacional del Estado por la violación de los derechos políticos y la libertad de asociación. </w:t>
      </w:r>
    </w:p>
    <w:p w14:paraId="17E05487" w14:textId="77777777" w:rsidR="00152670" w:rsidRPr="00E35847" w:rsidRDefault="00152670" w:rsidP="00152670">
      <w:pPr>
        <w:widowControl w:val="0"/>
        <w:autoSpaceDE w:val="0"/>
        <w:autoSpaceDN w:val="0"/>
        <w:adjustRightInd w:val="0"/>
        <w:spacing w:after="0" w:line="240" w:lineRule="auto"/>
        <w:ind w:firstLine="720"/>
        <w:jc w:val="both"/>
        <w:rPr>
          <w:rFonts w:ascii="Cambria" w:hAnsi="Cambria" w:cs="Arial"/>
          <w:lang w:val="es-AR"/>
        </w:rPr>
      </w:pPr>
    </w:p>
    <w:p w14:paraId="011FFD52" w14:textId="5199E483" w:rsidR="00152670" w:rsidRPr="00E35847" w:rsidRDefault="00152670" w:rsidP="00152670">
      <w:pPr>
        <w:widowControl w:val="0"/>
        <w:autoSpaceDE w:val="0"/>
        <w:autoSpaceDN w:val="0"/>
        <w:adjustRightInd w:val="0"/>
        <w:spacing w:after="0" w:line="240" w:lineRule="auto"/>
        <w:ind w:firstLine="720"/>
        <w:jc w:val="both"/>
        <w:rPr>
          <w:rFonts w:ascii="Cambria" w:hAnsi="Cambria" w:cs="Arial"/>
          <w:lang w:val="es-AR"/>
        </w:rPr>
      </w:pPr>
      <w:r w:rsidRPr="00E35847">
        <w:rPr>
          <w:rFonts w:ascii="Cambria" w:hAnsi="Cambria" w:cs="Arial"/>
          <w:lang w:val="es-CO"/>
        </w:rPr>
        <w:t xml:space="preserve">El Estado ratificó la Convención Americana sobre Derechos Humanos el 8 de septiembre de 1977 y aceptó la competencia contenciosa de la Corte el 9 de septiembre de 1981. </w:t>
      </w:r>
    </w:p>
    <w:p w14:paraId="141777D7" w14:textId="77777777" w:rsidR="00152670" w:rsidRPr="00E35847" w:rsidRDefault="00152670" w:rsidP="001929A9">
      <w:pPr>
        <w:tabs>
          <w:tab w:val="left" w:pos="810"/>
        </w:tabs>
        <w:spacing w:after="0" w:line="240" w:lineRule="auto"/>
        <w:ind w:firstLine="720"/>
        <w:jc w:val="both"/>
        <w:rPr>
          <w:rFonts w:ascii="Cambria" w:hAnsi="Cambria"/>
          <w:lang w:val="es-CO"/>
        </w:rPr>
      </w:pPr>
    </w:p>
    <w:p w14:paraId="0B65DDF6" w14:textId="6D01C914" w:rsidR="00CA47DD" w:rsidRPr="001929A9" w:rsidRDefault="00CA47DD" w:rsidP="001929A9">
      <w:pPr>
        <w:tabs>
          <w:tab w:val="left" w:pos="810"/>
        </w:tabs>
        <w:spacing w:after="0" w:line="240" w:lineRule="auto"/>
        <w:ind w:firstLine="720"/>
        <w:jc w:val="both"/>
        <w:rPr>
          <w:rFonts w:ascii="Cambria" w:hAnsi="Cambria" w:cs="Arial"/>
          <w:lang w:val="es-CO"/>
        </w:rPr>
      </w:pPr>
      <w:r w:rsidRPr="00E35847">
        <w:rPr>
          <w:rFonts w:ascii="Cambria" w:hAnsi="Cambria"/>
          <w:lang w:val="es-CO"/>
        </w:rPr>
        <w:t xml:space="preserve">La Comisión ha designado al Comisionado </w:t>
      </w:r>
      <w:r w:rsidR="000D23A9" w:rsidRPr="00E35847">
        <w:rPr>
          <w:rFonts w:ascii="Cambria" w:hAnsi="Cambria"/>
          <w:lang w:val="es-CO"/>
        </w:rPr>
        <w:t xml:space="preserve">James </w:t>
      </w:r>
      <w:proofErr w:type="spellStart"/>
      <w:r w:rsidR="000D23A9" w:rsidRPr="00E35847">
        <w:rPr>
          <w:rFonts w:ascii="Cambria" w:hAnsi="Cambria"/>
          <w:lang w:val="es-CO"/>
        </w:rPr>
        <w:t>Cavallaro</w:t>
      </w:r>
      <w:proofErr w:type="spellEnd"/>
      <w:r w:rsidR="000D23A9" w:rsidRPr="00E35847">
        <w:rPr>
          <w:rFonts w:ascii="Cambria" w:hAnsi="Cambria"/>
          <w:lang w:val="es-CO"/>
        </w:rPr>
        <w:t xml:space="preserve"> </w:t>
      </w:r>
      <w:r w:rsidRPr="00E35847">
        <w:rPr>
          <w:rFonts w:ascii="Cambria" w:hAnsi="Cambria"/>
          <w:lang w:val="es-CO"/>
        </w:rPr>
        <w:t>y al Secretario Ejecutivo Paulo Abr</w:t>
      </w:r>
      <w:proofErr w:type="spellStart"/>
      <w:r w:rsidRPr="00E35847">
        <w:rPr>
          <w:rFonts w:ascii="Cambria" w:hAnsi="Cambria"/>
          <w:lang w:val="es-PE"/>
        </w:rPr>
        <w:t>ão</w:t>
      </w:r>
      <w:proofErr w:type="spellEnd"/>
      <w:r w:rsidRPr="00E35847">
        <w:rPr>
          <w:rFonts w:ascii="Cambria" w:hAnsi="Cambria"/>
          <w:lang w:val="es-PE"/>
        </w:rPr>
        <w:t xml:space="preserve">, </w:t>
      </w:r>
      <w:r w:rsidRPr="00E35847">
        <w:rPr>
          <w:rFonts w:ascii="Cambria" w:hAnsi="Cambria"/>
          <w:lang w:val="es-CO"/>
        </w:rPr>
        <w:t>como sus delegados. Asimismo, Elizabeth Abi-Mershed, Secretaria</w:t>
      </w:r>
      <w:r w:rsidRPr="00A976CB">
        <w:rPr>
          <w:rFonts w:ascii="Cambria" w:hAnsi="Cambria"/>
          <w:lang w:val="es-CO"/>
        </w:rPr>
        <w:t xml:space="preserve"> Ejecutiva Adjunta, y Silvia Serrano Guzmán</w:t>
      </w:r>
      <w:r w:rsidR="00C3437C">
        <w:rPr>
          <w:rFonts w:ascii="Cambria" w:hAnsi="Cambria"/>
          <w:lang w:val="es-CO"/>
        </w:rPr>
        <w:t xml:space="preserve"> y Erick Acuña Pereda,</w:t>
      </w:r>
      <w:r w:rsidRPr="00A976CB">
        <w:rPr>
          <w:rFonts w:ascii="Cambria" w:hAnsi="Cambria"/>
          <w:lang w:val="es-CO"/>
        </w:rPr>
        <w:t xml:space="preserve"> </w:t>
      </w:r>
      <w:r w:rsidRPr="00A976CB">
        <w:rPr>
          <w:rFonts w:ascii="Cambria" w:hAnsi="Cambria"/>
          <w:lang w:val="es-ES"/>
        </w:rPr>
        <w:t>abogada</w:t>
      </w:r>
      <w:r w:rsidR="00C3437C">
        <w:rPr>
          <w:rFonts w:ascii="Cambria" w:hAnsi="Cambria"/>
          <w:lang w:val="es-ES"/>
        </w:rPr>
        <w:t xml:space="preserve"> y abogado</w:t>
      </w:r>
      <w:r w:rsidRPr="00A976CB">
        <w:rPr>
          <w:rFonts w:ascii="Cambria" w:hAnsi="Cambria"/>
          <w:lang w:val="es-ES"/>
        </w:rPr>
        <w:t xml:space="preserve"> de la Secretaría Ejecutiva, </w:t>
      </w:r>
      <w:r w:rsidR="00C3437C">
        <w:rPr>
          <w:rFonts w:ascii="Cambria" w:hAnsi="Cambria"/>
          <w:lang w:val="es-CO"/>
        </w:rPr>
        <w:t>actuarán como asesoras y asesor</w:t>
      </w:r>
      <w:r w:rsidRPr="00A976CB">
        <w:rPr>
          <w:rFonts w:ascii="Cambria" w:hAnsi="Cambria"/>
          <w:lang w:val="es-CO"/>
        </w:rPr>
        <w:t xml:space="preserve"> legales.</w:t>
      </w:r>
    </w:p>
    <w:p w14:paraId="5E00CB61" w14:textId="77777777" w:rsidR="00CA47DD" w:rsidRPr="00A976CB" w:rsidRDefault="00CA47DD" w:rsidP="00CA47DD">
      <w:pPr>
        <w:widowControl w:val="0"/>
        <w:tabs>
          <w:tab w:val="left" w:pos="810"/>
        </w:tabs>
        <w:autoSpaceDE w:val="0"/>
        <w:autoSpaceDN w:val="0"/>
        <w:adjustRightInd w:val="0"/>
        <w:spacing w:after="0" w:line="240" w:lineRule="auto"/>
        <w:jc w:val="both"/>
        <w:rPr>
          <w:rFonts w:ascii="Cambria" w:hAnsi="Cambria" w:cs="Arial"/>
          <w:lang w:val="es-ES"/>
        </w:rPr>
      </w:pPr>
    </w:p>
    <w:p w14:paraId="5F873E19" w14:textId="77777777" w:rsidR="00CA47DD" w:rsidRPr="00A976CB" w:rsidRDefault="00CA47DD" w:rsidP="00CA47DD">
      <w:pPr>
        <w:widowControl w:val="0"/>
        <w:tabs>
          <w:tab w:val="left" w:pos="810"/>
        </w:tabs>
        <w:autoSpaceDE w:val="0"/>
        <w:autoSpaceDN w:val="0"/>
        <w:adjustRightInd w:val="0"/>
        <w:spacing w:after="0" w:line="240" w:lineRule="auto"/>
        <w:jc w:val="both"/>
        <w:rPr>
          <w:rFonts w:ascii="Cambria" w:hAnsi="Cambria" w:cs="Arial"/>
          <w:snapToGrid w:val="0"/>
          <w:lang w:val="es-CO"/>
        </w:rPr>
      </w:pPr>
      <w:r w:rsidRPr="00A976CB">
        <w:rPr>
          <w:rFonts w:ascii="Cambria" w:hAnsi="Cambria" w:cs="Arial"/>
          <w:snapToGrid w:val="0"/>
          <w:lang w:val="es-ES_tradnl"/>
        </w:rPr>
        <w:t>Señor</w:t>
      </w:r>
    </w:p>
    <w:p w14:paraId="62663A91" w14:textId="77777777" w:rsidR="00CA47DD" w:rsidRPr="00A976CB" w:rsidRDefault="00CA47DD" w:rsidP="00CA47DD">
      <w:pPr>
        <w:widowControl w:val="0"/>
        <w:tabs>
          <w:tab w:val="left" w:pos="810"/>
        </w:tabs>
        <w:autoSpaceDE w:val="0"/>
        <w:autoSpaceDN w:val="0"/>
        <w:adjustRightInd w:val="0"/>
        <w:spacing w:after="0" w:line="240" w:lineRule="auto"/>
        <w:jc w:val="both"/>
        <w:rPr>
          <w:rFonts w:ascii="Cambria" w:hAnsi="Cambria" w:cs="Arial"/>
          <w:snapToGrid w:val="0"/>
          <w:lang w:val="es-CO"/>
        </w:rPr>
      </w:pPr>
      <w:r w:rsidRPr="00A976CB">
        <w:rPr>
          <w:rFonts w:ascii="Cambria" w:hAnsi="Cambria" w:cs="Arial"/>
          <w:snapToGrid w:val="0"/>
          <w:lang w:val="es-CO"/>
        </w:rPr>
        <w:t xml:space="preserve">Pablo </w:t>
      </w:r>
      <w:r w:rsidRPr="00A976CB">
        <w:rPr>
          <w:rFonts w:ascii="Cambria" w:hAnsi="Cambria"/>
          <w:lang w:val="es-ES"/>
        </w:rPr>
        <w:t>Saavedra</w:t>
      </w:r>
      <w:r w:rsidRPr="00A976CB">
        <w:rPr>
          <w:rFonts w:ascii="Cambria" w:hAnsi="Cambria" w:cs="Arial"/>
          <w:snapToGrid w:val="0"/>
          <w:lang w:val="es-CO"/>
        </w:rPr>
        <w:t xml:space="preserve"> Alessandri, Secretario</w:t>
      </w:r>
    </w:p>
    <w:p w14:paraId="06E1C5B0" w14:textId="77777777" w:rsidR="00CA47DD" w:rsidRPr="00A976CB" w:rsidRDefault="00CA47DD" w:rsidP="00CA47DD">
      <w:pPr>
        <w:widowControl w:val="0"/>
        <w:tabs>
          <w:tab w:val="left" w:pos="810"/>
        </w:tabs>
        <w:autoSpaceDE w:val="0"/>
        <w:autoSpaceDN w:val="0"/>
        <w:adjustRightInd w:val="0"/>
        <w:spacing w:after="0" w:line="240" w:lineRule="auto"/>
        <w:jc w:val="both"/>
        <w:rPr>
          <w:rFonts w:ascii="Cambria" w:hAnsi="Cambria" w:cs="Arial"/>
          <w:snapToGrid w:val="0"/>
          <w:lang w:val="es-ES_tradnl"/>
        </w:rPr>
      </w:pPr>
      <w:r w:rsidRPr="00A976CB">
        <w:rPr>
          <w:rFonts w:ascii="Cambria" w:hAnsi="Cambria" w:cs="Arial"/>
          <w:snapToGrid w:val="0"/>
          <w:lang w:val="es-ES_tradnl"/>
        </w:rPr>
        <w:t>Corte Interamericana de Derechos Humanos</w:t>
      </w:r>
    </w:p>
    <w:p w14:paraId="1E69B1D4" w14:textId="77777777" w:rsidR="00CA47DD" w:rsidRPr="00A976CB" w:rsidRDefault="00CA47DD" w:rsidP="00CA47DD">
      <w:pPr>
        <w:widowControl w:val="0"/>
        <w:tabs>
          <w:tab w:val="left" w:pos="810"/>
        </w:tabs>
        <w:autoSpaceDE w:val="0"/>
        <w:autoSpaceDN w:val="0"/>
        <w:adjustRightInd w:val="0"/>
        <w:spacing w:after="0" w:line="240" w:lineRule="auto"/>
        <w:jc w:val="both"/>
        <w:rPr>
          <w:rFonts w:ascii="Cambria" w:hAnsi="Cambria" w:cs="Arial"/>
          <w:snapToGrid w:val="0"/>
          <w:lang w:val="es-ES_tradnl"/>
        </w:rPr>
      </w:pPr>
      <w:r w:rsidRPr="00A976CB">
        <w:rPr>
          <w:rFonts w:ascii="Cambria" w:hAnsi="Cambria" w:cs="Arial"/>
          <w:snapToGrid w:val="0"/>
          <w:lang w:val="es-ES_tradnl"/>
        </w:rPr>
        <w:t>Apartado 6906-1000,</w:t>
      </w:r>
    </w:p>
    <w:p w14:paraId="57D7D107" w14:textId="77777777" w:rsidR="00CA47DD" w:rsidRPr="00A976CB" w:rsidRDefault="00CA47DD" w:rsidP="00CA47DD">
      <w:pPr>
        <w:widowControl w:val="0"/>
        <w:tabs>
          <w:tab w:val="left" w:pos="810"/>
        </w:tabs>
        <w:autoSpaceDE w:val="0"/>
        <w:autoSpaceDN w:val="0"/>
        <w:adjustRightInd w:val="0"/>
        <w:spacing w:after="0" w:line="240" w:lineRule="auto"/>
        <w:jc w:val="both"/>
        <w:rPr>
          <w:rFonts w:ascii="Cambria" w:hAnsi="Cambria" w:cs="Arial"/>
          <w:snapToGrid w:val="0"/>
          <w:lang w:val="es-ES_tradnl"/>
        </w:rPr>
      </w:pPr>
      <w:r w:rsidRPr="00A976CB">
        <w:rPr>
          <w:rFonts w:ascii="Cambria" w:hAnsi="Cambria" w:cs="Arial"/>
          <w:snapToGrid w:val="0"/>
          <w:lang w:val="es-ES_tradnl"/>
        </w:rPr>
        <w:t>San José, Costa Rica</w:t>
      </w:r>
    </w:p>
    <w:p w14:paraId="406A55F7" w14:textId="77777777" w:rsidR="00CA47DD" w:rsidRPr="00A976CB" w:rsidRDefault="00CA47DD" w:rsidP="00CA47DD">
      <w:pPr>
        <w:widowControl w:val="0"/>
        <w:tabs>
          <w:tab w:val="left" w:pos="810"/>
        </w:tabs>
        <w:autoSpaceDE w:val="0"/>
        <w:autoSpaceDN w:val="0"/>
        <w:adjustRightInd w:val="0"/>
        <w:spacing w:after="0" w:line="240" w:lineRule="auto"/>
        <w:jc w:val="both"/>
        <w:rPr>
          <w:rFonts w:ascii="Cambria" w:hAnsi="Cambria" w:cs="Arial"/>
          <w:lang w:val="es-ES"/>
        </w:rPr>
      </w:pPr>
    </w:p>
    <w:p w14:paraId="4A70C649" w14:textId="36292BB3" w:rsidR="00CA47DD" w:rsidRPr="00A976CB" w:rsidRDefault="00CA47DD" w:rsidP="00CA47DD">
      <w:pPr>
        <w:tabs>
          <w:tab w:val="left" w:pos="810"/>
        </w:tabs>
        <w:spacing w:after="0" w:line="240" w:lineRule="auto"/>
        <w:ind w:firstLine="720"/>
        <w:jc w:val="both"/>
        <w:rPr>
          <w:rFonts w:ascii="Cambria" w:hAnsi="Cambria"/>
          <w:lang w:val="es-AR"/>
        </w:rPr>
      </w:pPr>
      <w:r w:rsidRPr="00A976CB">
        <w:rPr>
          <w:rFonts w:ascii="Cambria" w:hAnsi="Cambria" w:cs="Arial"/>
          <w:lang w:val="es-CO"/>
        </w:rPr>
        <w:t xml:space="preserve">De conformidad con el artículo 35 del Reglamento de la Corte Interamericana, la Comisión adjunta </w:t>
      </w:r>
      <w:r w:rsidRPr="00A976CB">
        <w:rPr>
          <w:rFonts w:ascii="Cambria" w:hAnsi="Cambria"/>
          <w:lang w:val="es-CO"/>
        </w:rPr>
        <w:t xml:space="preserve">copia del informe de </w:t>
      </w:r>
      <w:r w:rsidRPr="000C066A">
        <w:rPr>
          <w:rFonts w:ascii="Cambria" w:hAnsi="Cambria"/>
          <w:lang w:val="es-CO"/>
        </w:rPr>
        <w:t xml:space="preserve">fondo </w:t>
      </w:r>
      <w:r w:rsidR="000C066A" w:rsidRPr="000C066A">
        <w:rPr>
          <w:rFonts w:ascii="Cambria" w:hAnsi="Cambria"/>
          <w:lang w:val="es-CO"/>
        </w:rPr>
        <w:t>43</w:t>
      </w:r>
      <w:r w:rsidR="00AE2B80" w:rsidRPr="000C066A">
        <w:rPr>
          <w:rFonts w:ascii="Cambria" w:hAnsi="Cambria"/>
          <w:lang w:val="es-CO"/>
        </w:rPr>
        <w:t>/</w:t>
      </w:r>
      <w:r w:rsidR="000C066A" w:rsidRPr="000C066A">
        <w:rPr>
          <w:rFonts w:ascii="Cambria" w:hAnsi="Cambria"/>
          <w:lang w:val="es-CO"/>
        </w:rPr>
        <w:t>14</w:t>
      </w:r>
      <w:r w:rsidRPr="000C066A">
        <w:rPr>
          <w:rFonts w:ascii="Cambria" w:hAnsi="Cambria"/>
          <w:lang w:val="es-CO"/>
        </w:rPr>
        <w:t xml:space="preserve"> elaborado</w:t>
      </w:r>
      <w:r w:rsidRPr="00A976CB">
        <w:rPr>
          <w:rFonts w:ascii="Cambria" w:hAnsi="Cambria"/>
          <w:lang w:val="es-CO"/>
        </w:rPr>
        <w:t xml:space="preserve"> en observancia del artículo 50 de la Convención, así como copia de la totalidad del expediente ante la Comisión Interamericana (Apéndice I) y los anexos utilizados en la elaboración del </w:t>
      </w:r>
      <w:r w:rsidRPr="000C066A">
        <w:rPr>
          <w:rFonts w:ascii="Cambria" w:hAnsi="Cambria"/>
          <w:lang w:val="es-CO"/>
        </w:rPr>
        <w:t xml:space="preserve">informe </w:t>
      </w:r>
      <w:r w:rsidR="000C066A" w:rsidRPr="000C066A">
        <w:rPr>
          <w:rFonts w:ascii="Cambria" w:hAnsi="Cambria"/>
          <w:lang w:val="es-CO"/>
        </w:rPr>
        <w:t>43</w:t>
      </w:r>
      <w:r w:rsidR="00F13216" w:rsidRPr="000C066A">
        <w:rPr>
          <w:rFonts w:ascii="Cambria" w:hAnsi="Cambria"/>
          <w:lang w:val="es-CO"/>
        </w:rPr>
        <w:t>/</w:t>
      </w:r>
      <w:r w:rsidR="000C066A" w:rsidRPr="000C066A">
        <w:rPr>
          <w:rFonts w:ascii="Cambria" w:hAnsi="Cambria"/>
          <w:lang w:val="es-CO"/>
        </w:rPr>
        <w:t>14</w:t>
      </w:r>
      <w:r w:rsidRPr="000C066A">
        <w:rPr>
          <w:rFonts w:ascii="Cambria" w:hAnsi="Cambria"/>
          <w:lang w:val="es-CO"/>
        </w:rPr>
        <w:t xml:space="preserve"> (Anexos</w:t>
      </w:r>
      <w:r w:rsidRPr="00A976CB">
        <w:rPr>
          <w:rFonts w:ascii="Cambria" w:hAnsi="Cambria"/>
          <w:lang w:val="es-CO"/>
        </w:rPr>
        <w:t xml:space="preserve">). </w:t>
      </w:r>
    </w:p>
    <w:p w14:paraId="6373CB63" w14:textId="77777777" w:rsidR="00CA47DD" w:rsidRPr="00A976CB" w:rsidRDefault="00CA47DD" w:rsidP="00CA47DD">
      <w:pPr>
        <w:widowControl w:val="0"/>
        <w:tabs>
          <w:tab w:val="left" w:pos="810"/>
        </w:tabs>
        <w:autoSpaceDE w:val="0"/>
        <w:autoSpaceDN w:val="0"/>
        <w:adjustRightInd w:val="0"/>
        <w:spacing w:after="0" w:line="240" w:lineRule="auto"/>
        <w:jc w:val="both"/>
        <w:rPr>
          <w:rFonts w:ascii="Cambria" w:hAnsi="Cambria" w:cs="Arial"/>
          <w:lang w:val="es-ES"/>
        </w:rPr>
      </w:pPr>
    </w:p>
    <w:p w14:paraId="6C4E923E" w14:textId="443B6853" w:rsidR="00CA47DD" w:rsidRPr="00A976CB" w:rsidRDefault="00CA47DD" w:rsidP="00CA47DD">
      <w:pPr>
        <w:tabs>
          <w:tab w:val="left" w:pos="810"/>
        </w:tabs>
        <w:spacing w:after="0" w:line="240" w:lineRule="auto"/>
        <w:jc w:val="both"/>
        <w:rPr>
          <w:rFonts w:ascii="Cambria" w:hAnsi="Cambria"/>
          <w:lang w:val="es-AR"/>
        </w:rPr>
      </w:pPr>
      <w:r w:rsidRPr="00A976CB">
        <w:rPr>
          <w:rFonts w:ascii="Cambria" w:hAnsi="Cambria"/>
          <w:lang w:val="es-CO"/>
        </w:rPr>
        <w:tab/>
        <w:t xml:space="preserve">Dicho informe de fondo </w:t>
      </w:r>
      <w:r w:rsidRPr="00A976CB">
        <w:rPr>
          <w:rFonts w:ascii="Cambria" w:hAnsi="Cambria"/>
          <w:lang w:val="es-AR"/>
        </w:rPr>
        <w:t>fue no</w:t>
      </w:r>
      <w:r w:rsidR="00E90658">
        <w:rPr>
          <w:rFonts w:ascii="Cambria" w:hAnsi="Cambria"/>
          <w:lang w:val="es-AR"/>
        </w:rPr>
        <w:t xml:space="preserve">tificado al Estado el </w:t>
      </w:r>
      <w:r w:rsidR="002A520D" w:rsidRPr="00E66B41">
        <w:rPr>
          <w:rFonts w:ascii="Cambria" w:hAnsi="Cambria"/>
          <w:lang w:val="es-AR"/>
        </w:rPr>
        <w:t>15</w:t>
      </w:r>
      <w:r w:rsidRPr="00E66B41">
        <w:rPr>
          <w:rFonts w:ascii="Cambria" w:hAnsi="Cambria"/>
          <w:lang w:val="es-AR"/>
        </w:rPr>
        <w:t xml:space="preserve"> de </w:t>
      </w:r>
      <w:r w:rsidR="002A520D" w:rsidRPr="00E66B41">
        <w:rPr>
          <w:rFonts w:ascii="Cambria" w:hAnsi="Cambria"/>
          <w:lang w:val="es-AR"/>
        </w:rPr>
        <w:t>octubre</w:t>
      </w:r>
      <w:r w:rsidR="00E90658" w:rsidRPr="00E66B41">
        <w:rPr>
          <w:rFonts w:ascii="Cambria" w:hAnsi="Cambria"/>
          <w:lang w:val="es-AR"/>
        </w:rPr>
        <w:t xml:space="preserve"> de </w:t>
      </w:r>
      <w:r w:rsidR="002A520D" w:rsidRPr="00E66B41">
        <w:rPr>
          <w:rFonts w:ascii="Cambria" w:hAnsi="Cambria"/>
          <w:lang w:val="es-AR"/>
        </w:rPr>
        <w:t>2014</w:t>
      </w:r>
      <w:r w:rsidRPr="00E66B41">
        <w:rPr>
          <w:rFonts w:ascii="Cambria" w:hAnsi="Cambria"/>
          <w:lang w:val="es-AR"/>
        </w:rPr>
        <w:t>, otorgándole</w:t>
      </w:r>
      <w:r w:rsidRPr="00A976CB">
        <w:rPr>
          <w:rFonts w:ascii="Cambria" w:hAnsi="Cambria"/>
          <w:lang w:val="es-AR"/>
        </w:rPr>
        <w:t xml:space="preserve"> dos meses para informar sobre el cumplimiento de las recomendaciones. El Estado de</w:t>
      </w:r>
      <w:r w:rsidR="00393921">
        <w:rPr>
          <w:rFonts w:ascii="Cambria" w:hAnsi="Cambria"/>
          <w:lang w:val="es-AR"/>
        </w:rPr>
        <w:t xml:space="preserve"> Honduras y los peticionarios firmaron un acuerdo de cumplimiento de recomendaciones. En dicho marco, la CIDH otorgó </w:t>
      </w:r>
      <w:r w:rsidR="00422F99">
        <w:rPr>
          <w:rFonts w:ascii="Cambria" w:hAnsi="Cambria"/>
          <w:lang w:val="es-AR"/>
        </w:rPr>
        <w:t>nueve</w:t>
      </w:r>
      <w:r w:rsidR="00393921">
        <w:rPr>
          <w:rFonts w:ascii="Cambria" w:hAnsi="Cambria"/>
          <w:lang w:val="es-AR"/>
        </w:rPr>
        <w:t xml:space="preserve"> pró</w:t>
      </w:r>
      <w:r w:rsidR="003C552D">
        <w:rPr>
          <w:rFonts w:ascii="Cambria" w:hAnsi="Cambria"/>
          <w:lang w:val="es-AR"/>
        </w:rPr>
        <w:t xml:space="preserve">rrogas para que el Estado hondureño avanzara significativamente en los puntos acordados. Si bien la CIDH verificó avances importantes en cuanto a las indemnizaciones y pasos relevantes hacia el cumplimiento de las medidas de satisfacción, </w:t>
      </w:r>
      <w:r w:rsidR="002C07FE">
        <w:rPr>
          <w:rFonts w:ascii="Cambria" w:hAnsi="Cambria"/>
          <w:lang w:val="es-AR"/>
        </w:rPr>
        <w:t xml:space="preserve">no se registraron avances significativos en cuando a las investigaciones penales. </w:t>
      </w:r>
      <w:r w:rsidR="0055010E">
        <w:rPr>
          <w:rFonts w:ascii="Cambria" w:hAnsi="Cambria"/>
          <w:lang w:val="es-AR"/>
        </w:rPr>
        <w:t xml:space="preserve">La Comisión tomó nota que esta medida es crucial para que los familiares del señor Escaleras Mejía se sientan reparados integralmente. El Estado </w:t>
      </w:r>
      <w:r w:rsidRPr="00A976CB">
        <w:rPr>
          <w:rFonts w:ascii="Cambria" w:hAnsi="Cambria"/>
          <w:lang w:val="es-AR"/>
        </w:rPr>
        <w:t>se abstuvo de solicitar una</w:t>
      </w:r>
      <w:r w:rsidR="0055010E">
        <w:rPr>
          <w:rFonts w:ascii="Cambria" w:hAnsi="Cambria"/>
          <w:lang w:val="es-AR"/>
        </w:rPr>
        <w:t xml:space="preserve"> nueva</w:t>
      </w:r>
      <w:r w:rsidRPr="00A976CB">
        <w:rPr>
          <w:rFonts w:ascii="Cambria" w:hAnsi="Cambria"/>
          <w:lang w:val="es-AR"/>
        </w:rPr>
        <w:t xml:space="preserve"> prórroga para la suspensión del plazo previsto en el artículo 51 de la Convención Americana, de conformidad con los artículos 45 y 46 del Reglamento de la Comisión. </w:t>
      </w:r>
    </w:p>
    <w:p w14:paraId="1D4D4957" w14:textId="77777777" w:rsidR="00CA47DD" w:rsidRPr="00A976CB" w:rsidRDefault="00CA47DD" w:rsidP="00CA47DD">
      <w:pPr>
        <w:tabs>
          <w:tab w:val="left" w:pos="810"/>
        </w:tabs>
        <w:spacing w:after="0" w:line="240" w:lineRule="auto"/>
        <w:ind w:firstLine="720"/>
        <w:jc w:val="both"/>
        <w:rPr>
          <w:rFonts w:ascii="Cambria" w:hAnsi="Cambria"/>
          <w:lang w:val="es-AR"/>
        </w:rPr>
      </w:pPr>
    </w:p>
    <w:p w14:paraId="390348FA" w14:textId="0363DA1C" w:rsidR="00CA47DD" w:rsidRPr="00A976CB" w:rsidRDefault="00CA47DD" w:rsidP="00CA47DD">
      <w:pPr>
        <w:tabs>
          <w:tab w:val="left" w:pos="810"/>
        </w:tabs>
        <w:spacing w:after="0" w:line="240" w:lineRule="auto"/>
        <w:ind w:firstLine="720"/>
        <w:jc w:val="both"/>
        <w:rPr>
          <w:rFonts w:ascii="Cambria" w:hAnsi="Cambria"/>
          <w:lang w:val="es-AR"/>
        </w:rPr>
      </w:pPr>
      <w:r w:rsidRPr="00A976CB">
        <w:rPr>
          <w:rFonts w:ascii="Cambria" w:hAnsi="Cambria"/>
          <w:lang w:val="es-AR"/>
        </w:rPr>
        <w:t>En virtud de lo anterior, l</w:t>
      </w:r>
      <w:r w:rsidRPr="00A976CB">
        <w:rPr>
          <w:rFonts w:ascii="Cambria" w:hAnsi="Cambria"/>
          <w:lang w:val="es-CO"/>
        </w:rPr>
        <w:t xml:space="preserve">a Comisión Interamericana decidió someter a la jurisdicción de la Corte Interamericana la totalidad de los hechos y violaciones de derechos humanos descritos en el informe de </w:t>
      </w:r>
      <w:r w:rsidRPr="00981FF7">
        <w:rPr>
          <w:rFonts w:ascii="Cambria" w:hAnsi="Cambria"/>
          <w:lang w:val="es-CO"/>
        </w:rPr>
        <w:t xml:space="preserve">fondo </w:t>
      </w:r>
      <w:r w:rsidR="00981FF7" w:rsidRPr="00981FF7">
        <w:rPr>
          <w:rFonts w:ascii="Cambria" w:hAnsi="Cambria"/>
          <w:lang w:val="es-CO"/>
        </w:rPr>
        <w:t>43</w:t>
      </w:r>
      <w:r w:rsidRPr="00981FF7">
        <w:rPr>
          <w:rFonts w:ascii="Cambria" w:hAnsi="Cambria"/>
          <w:lang w:val="es-CO"/>
        </w:rPr>
        <w:t>/</w:t>
      </w:r>
      <w:r w:rsidR="00981FF7" w:rsidRPr="00981FF7">
        <w:rPr>
          <w:rFonts w:ascii="Cambria" w:hAnsi="Cambria"/>
          <w:lang w:val="es-CO"/>
        </w:rPr>
        <w:t>14</w:t>
      </w:r>
      <w:r w:rsidRPr="00981FF7">
        <w:rPr>
          <w:rFonts w:ascii="Cambria" w:hAnsi="Cambria"/>
          <w:lang w:val="es-CO"/>
        </w:rPr>
        <w:t>, ante la necesidad</w:t>
      </w:r>
      <w:r w:rsidRPr="00A976CB">
        <w:rPr>
          <w:rFonts w:ascii="Cambria" w:hAnsi="Cambria"/>
          <w:lang w:val="es-CO"/>
        </w:rPr>
        <w:t xml:space="preserve"> de obtención de justicia para las víctimas en el caso particular. </w:t>
      </w:r>
    </w:p>
    <w:p w14:paraId="4E136567" w14:textId="77777777" w:rsidR="00CA47DD" w:rsidRPr="00A976CB" w:rsidRDefault="00CA47DD" w:rsidP="00CA47DD">
      <w:pPr>
        <w:tabs>
          <w:tab w:val="left" w:pos="0"/>
          <w:tab w:val="left" w:pos="810"/>
        </w:tabs>
        <w:spacing w:after="0" w:line="240" w:lineRule="auto"/>
        <w:jc w:val="both"/>
        <w:rPr>
          <w:rFonts w:ascii="Cambria" w:hAnsi="Cambria"/>
          <w:lang w:val="es-CO"/>
        </w:rPr>
      </w:pPr>
    </w:p>
    <w:p w14:paraId="37489273" w14:textId="297AD7A1" w:rsidR="00B843F1" w:rsidRDefault="00CA47DD" w:rsidP="00B843F1">
      <w:pPr>
        <w:tabs>
          <w:tab w:val="left" w:pos="810"/>
        </w:tabs>
        <w:spacing w:after="0" w:line="240" w:lineRule="auto"/>
        <w:ind w:firstLine="720"/>
        <w:jc w:val="both"/>
        <w:rPr>
          <w:rFonts w:ascii="Cambria" w:eastAsia="Times New Roman" w:hAnsi="Cambria"/>
          <w:lang w:val="es-ES_tradnl"/>
        </w:rPr>
      </w:pPr>
      <w:r w:rsidRPr="00A976CB">
        <w:rPr>
          <w:rFonts w:ascii="Cambria" w:hAnsi="Cambria"/>
          <w:lang w:val="es-CO"/>
        </w:rPr>
        <w:t>En ese sentido, la Comisión solicita a la Corte que concluya y declare la responsabilidad internacional del</w:t>
      </w:r>
      <w:r w:rsidRPr="00A976CB">
        <w:rPr>
          <w:rFonts w:ascii="Cambria" w:hAnsi="Cambria" w:cs="Arial"/>
          <w:lang w:val="es-CL"/>
        </w:rPr>
        <w:t xml:space="preserve"> Estado de </w:t>
      </w:r>
      <w:r w:rsidR="00516938">
        <w:rPr>
          <w:rFonts w:ascii="Cambria" w:hAnsi="Cambria" w:cs="Arial"/>
          <w:lang w:val="es-CL"/>
        </w:rPr>
        <w:t>Honduras</w:t>
      </w:r>
      <w:r w:rsidRPr="00A976CB">
        <w:rPr>
          <w:rFonts w:ascii="Cambria" w:hAnsi="Cambria" w:cs="Arial"/>
          <w:lang w:val="es-CL"/>
        </w:rPr>
        <w:t xml:space="preserve"> por </w:t>
      </w:r>
      <w:r w:rsidRPr="00A976CB">
        <w:rPr>
          <w:rFonts w:ascii="Cambria" w:eastAsia="Times New Roman" w:hAnsi="Cambria"/>
          <w:lang w:val="es-ES_tradnl"/>
        </w:rPr>
        <w:t>la violación</w:t>
      </w:r>
      <w:r w:rsidR="00B843F1">
        <w:rPr>
          <w:rFonts w:ascii="Cambria" w:eastAsia="Times New Roman" w:hAnsi="Cambria"/>
          <w:lang w:val="es-ES_tradnl"/>
        </w:rPr>
        <w:t xml:space="preserve"> de:</w:t>
      </w:r>
    </w:p>
    <w:p w14:paraId="5456D4B1" w14:textId="77777777" w:rsidR="00B843F1" w:rsidRDefault="00B843F1" w:rsidP="00B843F1">
      <w:pPr>
        <w:tabs>
          <w:tab w:val="left" w:pos="810"/>
        </w:tabs>
        <w:spacing w:after="0" w:line="240" w:lineRule="auto"/>
        <w:ind w:firstLine="720"/>
        <w:jc w:val="both"/>
        <w:rPr>
          <w:rFonts w:ascii="Cambria" w:eastAsia="Times New Roman" w:hAnsi="Cambria"/>
          <w:lang w:val="es-ES_tradnl"/>
        </w:rPr>
      </w:pPr>
    </w:p>
    <w:p w14:paraId="51F6EC3A" w14:textId="77777777" w:rsidR="00B843F1" w:rsidRDefault="00B843F1" w:rsidP="00B843F1">
      <w:pPr>
        <w:tabs>
          <w:tab w:val="left" w:pos="810"/>
        </w:tabs>
        <w:spacing w:after="0" w:line="240" w:lineRule="auto"/>
        <w:ind w:firstLine="720"/>
        <w:jc w:val="both"/>
        <w:rPr>
          <w:rFonts w:ascii="Cambria" w:eastAsia="Times New Roman" w:hAnsi="Cambria"/>
          <w:lang w:val="es-ES_tradnl"/>
        </w:rPr>
      </w:pPr>
      <w:r w:rsidRPr="00B843F1">
        <w:rPr>
          <w:rFonts w:ascii="Cambria" w:hAnsi="Cambria"/>
          <w:lang w:val="es-ES"/>
        </w:rPr>
        <w:t>i) Los derechos a la vida, libertad de asociación y derechos políticos, establecidos en los artículos 4, 16 y 23 de la Convención Americana, en relación con el artículo 1.1 del mismo instrumento internacional, en perjuicio de Carlos Escaleras Mejía; y</w:t>
      </w:r>
    </w:p>
    <w:p w14:paraId="0805B935" w14:textId="77777777" w:rsidR="00B843F1" w:rsidRDefault="00B843F1" w:rsidP="00B843F1">
      <w:pPr>
        <w:tabs>
          <w:tab w:val="left" w:pos="810"/>
        </w:tabs>
        <w:spacing w:after="0" w:line="240" w:lineRule="auto"/>
        <w:ind w:firstLine="720"/>
        <w:jc w:val="both"/>
        <w:rPr>
          <w:rFonts w:ascii="Cambria" w:hAnsi="Cambria"/>
          <w:lang w:val="es-ES"/>
        </w:rPr>
      </w:pPr>
    </w:p>
    <w:p w14:paraId="7B848BCA" w14:textId="08D15F57" w:rsidR="00B843F1" w:rsidRPr="00B843F1" w:rsidRDefault="00B843F1" w:rsidP="00B843F1">
      <w:pPr>
        <w:tabs>
          <w:tab w:val="left" w:pos="810"/>
        </w:tabs>
        <w:spacing w:after="0" w:line="240" w:lineRule="auto"/>
        <w:ind w:firstLine="720"/>
        <w:jc w:val="both"/>
        <w:rPr>
          <w:rFonts w:ascii="Cambria" w:eastAsia="Times New Roman" w:hAnsi="Cambria"/>
          <w:lang w:val="es-ES_tradnl"/>
        </w:rPr>
      </w:pPr>
      <w:r w:rsidRPr="00B843F1">
        <w:rPr>
          <w:rFonts w:ascii="Cambria" w:hAnsi="Cambria"/>
          <w:lang w:val="es-ES"/>
        </w:rPr>
        <w:t xml:space="preserve">ii) Los derechos a la integridad personal, garantías judiciales y protección judicial, establecidos en los artículos 5, 8 y 25 de la Convención Americana, en relación con el artículo 1.1 del mismo instrumento internacional, en perjuicio de los familiares de Carlos Escaleras Mejía, estos son, </w:t>
      </w:r>
      <w:r w:rsidRPr="00B843F1">
        <w:rPr>
          <w:rFonts w:ascii="Cambria" w:hAnsi="Cambria"/>
          <w:lang w:val="es-AR"/>
        </w:rPr>
        <w:t xml:space="preserve">su madre Ofelia Mejía; su esposa Martha Alvarenga Reyes; sus hijos e hijas Douglas Arnaldo, Emerson Alexander, Carlos Andrés, Marta Agripina y Omar Josué Escaleras; y sus hermanos y hermanas </w:t>
      </w:r>
      <w:proofErr w:type="spellStart"/>
      <w:r w:rsidRPr="00B843F1">
        <w:rPr>
          <w:rFonts w:ascii="Cambria" w:hAnsi="Cambria"/>
          <w:lang w:val="es-ES_tradnl"/>
        </w:rPr>
        <w:t>Eldin</w:t>
      </w:r>
      <w:proofErr w:type="spellEnd"/>
      <w:r w:rsidRPr="00B843F1">
        <w:rPr>
          <w:rFonts w:ascii="Cambria" w:hAnsi="Cambria"/>
          <w:lang w:val="es-ES_tradnl"/>
        </w:rPr>
        <w:t>, René, Yolanda, Andrés, Omar y Alma, todos de apellido Mejía Alvarenga</w:t>
      </w:r>
      <w:r w:rsidRPr="00B843F1">
        <w:rPr>
          <w:rFonts w:ascii="Cambria" w:hAnsi="Cambria"/>
          <w:lang w:val="es-AR"/>
        </w:rPr>
        <w:t>.</w:t>
      </w:r>
    </w:p>
    <w:p w14:paraId="2199C0AB" w14:textId="77777777" w:rsidR="00CA47DD" w:rsidRPr="00A976CB" w:rsidRDefault="00CA47DD" w:rsidP="00CA47DD">
      <w:pPr>
        <w:tabs>
          <w:tab w:val="left" w:pos="810"/>
        </w:tabs>
        <w:autoSpaceDE w:val="0"/>
        <w:autoSpaceDN w:val="0"/>
        <w:adjustRightInd w:val="0"/>
        <w:spacing w:after="0" w:line="240" w:lineRule="auto"/>
        <w:jc w:val="both"/>
        <w:rPr>
          <w:rFonts w:ascii="Cambria" w:hAnsi="Cambria"/>
          <w:lang w:val="es-CO"/>
        </w:rPr>
      </w:pPr>
    </w:p>
    <w:p w14:paraId="22811ACB" w14:textId="30646A80" w:rsidR="00CA47DD" w:rsidRPr="005B149F" w:rsidRDefault="00CA47DD" w:rsidP="00CA47DD">
      <w:pPr>
        <w:tabs>
          <w:tab w:val="left" w:pos="810"/>
        </w:tabs>
        <w:autoSpaceDE w:val="0"/>
        <w:autoSpaceDN w:val="0"/>
        <w:adjustRightInd w:val="0"/>
        <w:spacing w:after="0" w:line="240" w:lineRule="auto"/>
        <w:ind w:firstLine="720"/>
        <w:jc w:val="both"/>
        <w:rPr>
          <w:rFonts w:ascii="Cambria" w:hAnsi="Cambria"/>
          <w:lang w:val="es-CO"/>
        </w:rPr>
      </w:pPr>
      <w:r w:rsidRPr="00A976CB">
        <w:rPr>
          <w:rFonts w:ascii="Cambria" w:hAnsi="Cambria"/>
          <w:lang w:val="es-CO"/>
        </w:rPr>
        <w:t xml:space="preserve">La </w:t>
      </w:r>
      <w:r w:rsidRPr="005B149F">
        <w:rPr>
          <w:rFonts w:ascii="Cambria" w:hAnsi="Cambria"/>
          <w:lang w:val="es-CO"/>
        </w:rPr>
        <w:t>Comisión solicita a la Corte Interamericana que establezca las s</w:t>
      </w:r>
      <w:r w:rsidR="00366C87">
        <w:rPr>
          <w:rFonts w:ascii="Cambria" w:hAnsi="Cambria"/>
          <w:lang w:val="es-CO"/>
        </w:rPr>
        <w:t>iguientes medidas de reparación, sin perjuicio de tomar en consideración las medidas ya adoptadas por el Estado en el marco del acuerdo de cumplimiento de recomendaciones citado anteriormente:</w:t>
      </w:r>
    </w:p>
    <w:p w14:paraId="4DED99D7" w14:textId="77777777" w:rsidR="00CA47DD" w:rsidRPr="005B149F" w:rsidRDefault="00CA47DD" w:rsidP="00CA47DD">
      <w:pPr>
        <w:tabs>
          <w:tab w:val="left" w:pos="720"/>
          <w:tab w:val="left" w:pos="810"/>
        </w:tabs>
        <w:autoSpaceDE w:val="0"/>
        <w:autoSpaceDN w:val="0"/>
        <w:adjustRightInd w:val="0"/>
        <w:spacing w:after="0" w:line="240" w:lineRule="auto"/>
        <w:ind w:right="720"/>
        <w:jc w:val="both"/>
        <w:rPr>
          <w:rFonts w:ascii="Cambria" w:hAnsi="Cambria"/>
          <w:lang w:val="es-CO"/>
        </w:rPr>
      </w:pPr>
    </w:p>
    <w:p w14:paraId="62BACD44" w14:textId="38C8B0E6" w:rsidR="00CF55A4" w:rsidRPr="005B149F" w:rsidRDefault="00CF55A4" w:rsidP="00CF55A4">
      <w:pPr>
        <w:pStyle w:val="BodyText3"/>
        <w:numPr>
          <w:ilvl w:val="1"/>
          <w:numId w:val="2"/>
        </w:numPr>
        <w:tabs>
          <w:tab w:val="left" w:pos="1440"/>
        </w:tabs>
        <w:spacing w:after="0"/>
        <w:ind w:left="0" w:firstLine="720"/>
        <w:jc w:val="both"/>
        <w:rPr>
          <w:rFonts w:ascii="Cambria" w:hAnsi="Cambria"/>
          <w:sz w:val="22"/>
          <w:szCs w:val="22"/>
          <w:lang w:val="es-ES"/>
        </w:rPr>
      </w:pPr>
      <w:r w:rsidRPr="005B149F">
        <w:rPr>
          <w:rFonts w:ascii="Cambria" w:hAnsi="Cambria"/>
          <w:sz w:val="22"/>
          <w:szCs w:val="22"/>
          <w:lang w:val="es-ES"/>
        </w:rPr>
        <w:t>Reparar adecuadamente las violaciones de derechos humanos declaradas en el informe tanto en el aspecto material y moral, así como la reivindicación histórica de la labor del señor Carlos Escaleras Mejía como defensor de derechos humanos.</w:t>
      </w:r>
    </w:p>
    <w:p w14:paraId="33619DC5" w14:textId="77777777" w:rsidR="00CF55A4" w:rsidRPr="005B149F" w:rsidRDefault="00CF55A4" w:rsidP="00CF55A4">
      <w:pPr>
        <w:pStyle w:val="BodyText3"/>
        <w:tabs>
          <w:tab w:val="left" w:pos="1440"/>
        </w:tabs>
        <w:spacing w:after="0"/>
        <w:ind w:firstLine="720"/>
        <w:jc w:val="both"/>
        <w:rPr>
          <w:rFonts w:ascii="Cambria" w:hAnsi="Cambria"/>
          <w:sz w:val="22"/>
          <w:szCs w:val="22"/>
          <w:lang w:val="es-ES"/>
        </w:rPr>
      </w:pPr>
    </w:p>
    <w:p w14:paraId="42EE4FE7" w14:textId="77777777" w:rsidR="00CF55A4" w:rsidRPr="005B149F" w:rsidRDefault="00CF55A4" w:rsidP="00CF55A4">
      <w:pPr>
        <w:pStyle w:val="BodyText3"/>
        <w:numPr>
          <w:ilvl w:val="1"/>
          <w:numId w:val="2"/>
        </w:numPr>
        <w:tabs>
          <w:tab w:val="left" w:pos="1440"/>
          <w:tab w:val="num" w:pos="2880"/>
        </w:tabs>
        <w:spacing w:after="0"/>
        <w:ind w:left="0" w:firstLine="720"/>
        <w:jc w:val="both"/>
        <w:rPr>
          <w:rFonts w:ascii="Cambria" w:hAnsi="Cambria"/>
          <w:sz w:val="22"/>
          <w:szCs w:val="22"/>
          <w:lang w:val="es-ES"/>
        </w:rPr>
      </w:pPr>
      <w:r w:rsidRPr="005B149F">
        <w:rPr>
          <w:rFonts w:ascii="Cambria" w:hAnsi="Cambria"/>
          <w:sz w:val="22"/>
          <w:szCs w:val="22"/>
          <w:lang w:val="es-ES"/>
        </w:rPr>
        <w:t xml:space="preserve">Desarrollar y completar una investigación judicial imparcial, completa y efectiva, de manera expedita, con el objeto de establecer las circunstancias en que resultó muerto el señor </w:t>
      </w:r>
      <w:r w:rsidRPr="005B149F">
        <w:rPr>
          <w:rFonts w:ascii="Cambria" w:hAnsi="Cambria" w:cs="Arial"/>
          <w:sz w:val="22"/>
          <w:szCs w:val="22"/>
          <w:lang w:val="es-ES"/>
        </w:rPr>
        <w:t>Carlos Escaleras Mejía</w:t>
      </w:r>
      <w:r w:rsidRPr="005B149F">
        <w:rPr>
          <w:rFonts w:ascii="Cambria" w:hAnsi="Cambria"/>
          <w:sz w:val="22"/>
          <w:szCs w:val="22"/>
          <w:lang w:val="es-ES"/>
        </w:rPr>
        <w:t xml:space="preserve">, identificar a todas las personas que participaron material o intelectualmente en los diferentes niveles de decisión y ejecución, y aplicar las sanciones que correspondan. En el </w:t>
      </w:r>
      <w:r w:rsidRPr="005B149F">
        <w:rPr>
          <w:rFonts w:ascii="Cambria" w:hAnsi="Cambria"/>
          <w:sz w:val="22"/>
          <w:szCs w:val="22"/>
          <w:lang w:val="es-ES"/>
        </w:rPr>
        <w:lastRenderedPageBreak/>
        <w:t xml:space="preserve">marco de este proceso, corresponde al Estado adoptar todas las medidas para proteger a testigos y otros actores del proceso, en caso de que sea necesario. </w:t>
      </w:r>
    </w:p>
    <w:p w14:paraId="4B7C39BE" w14:textId="77777777" w:rsidR="00CF55A4" w:rsidRPr="005B149F" w:rsidRDefault="00CF55A4" w:rsidP="00CF55A4">
      <w:pPr>
        <w:pStyle w:val="BodyText3"/>
        <w:tabs>
          <w:tab w:val="left" w:pos="1440"/>
          <w:tab w:val="num" w:pos="2880"/>
        </w:tabs>
        <w:spacing w:after="0"/>
        <w:ind w:firstLine="720"/>
        <w:jc w:val="both"/>
        <w:rPr>
          <w:rFonts w:ascii="Cambria" w:hAnsi="Cambria"/>
          <w:sz w:val="22"/>
          <w:szCs w:val="22"/>
          <w:lang w:val="es-ES"/>
        </w:rPr>
      </w:pPr>
    </w:p>
    <w:p w14:paraId="77C00C48" w14:textId="77777777" w:rsidR="00CF55A4" w:rsidRPr="005B149F" w:rsidRDefault="00CF55A4" w:rsidP="00CF55A4">
      <w:pPr>
        <w:pStyle w:val="BodyText3"/>
        <w:numPr>
          <w:ilvl w:val="1"/>
          <w:numId w:val="2"/>
        </w:numPr>
        <w:tabs>
          <w:tab w:val="left" w:pos="1440"/>
          <w:tab w:val="num" w:pos="2880"/>
        </w:tabs>
        <w:spacing w:after="0"/>
        <w:ind w:left="0" w:firstLine="720"/>
        <w:jc w:val="both"/>
        <w:rPr>
          <w:rFonts w:ascii="Cambria" w:hAnsi="Cambria"/>
          <w:sz w:val="22"/>
          <w:szCs w:val="22"/>
          <w:lang w:val="es-ES"/>
        </w:rPr>
      </w:pPr>
      <w:r w:rsidRPr="005B149F">
        <w:rPr>
          <w:rFonts w:ascii="Cambria" w:hAnsi="Cambria"/>
          <w:sz w:val="22"/>
          <w:szCs w:val="22"/>
          <w:lang w:val="es-ES"/>
        </w:rPr>
        <w:t>Que disponga las medidas administrativas, disciplinarias o penales correspondientes frente a las acciones u omisiones de los funcionarios estatales que contribuyeron a la denegación de justicia e impunidad en la que se encuentran los hechos del caso.</w:t>
      </w:r>
    </w:p>
    <w:p w14:paraId="1DA41354" w14:textId="77777777" w:rsidR="00CF55A4" w:rsidRPr="005B149F" w:rsidRDefault="00CF55A4" w:rsidP="00CF55A4">
      <w:pPr>
        <w:pStyle w:val="BodyText3"/>
        <w:tabs>
          <w:tab w:val="left" w:pos="1440"/>
          <w:tab w:val="num" w:pos="2880"/>
        </w:tabs>
        <w:spacing w:after="0"/>
        <w:ind w:firstLine="720"/>
        <w:jc w:val="both"/>
        <w:rPr>
          <w:rFonts w:ascii="Cambria" w:hAnsi="Cambria"/>
          <w:sz w:val="22"/>
          <w:szCs w:val="22"/>
          <w:lang w:val="es-ES"/>
        </w:rPr>
      </w:pPr>
    </w:p>
    <w:p w14:paraId="3A864A05" w14:textId="77777777" w:rsidR="00CF55A4" w:rsidRPr="005B149F" w:rsidRDefault="00CF55A4" w:rsidP="00CF55A4">
      <w:pPr>
        <w:pStyle w:val="BodyText3"/>
        <w:numPr>
          <w:ilvl w:val="1"/>
          <w:numId w:val="2"/>
        </w:numPr>
        <w:tabs>
          <w:tab w:val="left" w:pos="1440"/>
          <w:tab w:val="num" w:pos="2880"/>
        </w:tabs>
        <w:spacing w:after="0"/>
        <w:ind w:left="0" w:firstLine="720"/>
        <w:jc w:val="both"/>
        <w:rPr>
          <w:rFonts w:ascii="Cambria" w:hAnsi="Cambria"/>
          <w:sz w:val="22"/>
          <w:szCs w:val="22"/>
          <w:lang w:val="es-ES"/>
        </w:rPr>
      </w:pPr>
      <w:r w:rsidRPr="005B149F">
        <w:rPr>
          <w:rFonts w:ascii="Cambria" w:hAnsi="Cambria"/>
          <w:sz w:val="22"/>
          <w:szCs w:val="22"/>
          <w:lang w:val="es-ES"/>
        </w:rPr>
        <w:t xml:space="preserve">Adoptar medidas de carácter legislativo, institucional y judicial orientadas a reducir la exposición al riesgo de las defensoras y defensores de derechos humanos, incluyendo ambientalistas y ecologistas, que se encuentran en situación de vulnerabilidad. En ese sentido, el Estado debe: </w:t>
      </w:r>
    </w:p>
    <w:p w14:paraId="4CD266C0" w14:textId="77777777" w:rsidR="00CF55A4" w:rsidRPr="005B149F" w:rsidRDefault="00CF55A4" w:rsidP="00CF55A4">
      <w:pPr>
        <w:pStyle w:val="BodyText3"/>
        <w:tabs>
          <w:tab w:val="left" w:pos="1440"/>
          <w:tab w:val="num" w:pos="2880"/>
        </w:tabs>
        <w:spacing w:after="0"/>
        <w:ind w:firstLine="720"/>
        <w:jc w:val="both"/>
        <w:rPr>
          <w:rFonts w:ascii="Cambria" w:hAnsi="Cambria"/>
          <w:sz w:val="22"/>
          <w:szCs w:val="22"/>
          <w:lang w:val="es-ES"/>
        </w:rPr>
      </w:pPr>
    </w:p>
    <w:p w14:paraId="3EBCB1C9" w14:textId="77777777" w:rsidR="00CF55A4" w:rsidRPr="005B149F" w:rsidRDefault="00CF55A4" w:rsidP="00CF55A4">
      <w:pPr>
        <w:pStyle w:val="BodyText3"/>
        <w:tabs>
          <w:tab w:val="left" w:pos="1440"/>
        </w:tabs>
        <w:spacing w:after="0"/>
        <w:ind w:firstLine="720"/>
        <w:jc w:val="both"/>
        <w:rPr>
          <w:rFonts w:ascii="Cambria" w:hAnsi="Cambria"/>
          <w:sz w:val="22"/>
          <w:szCs w:val="22"/>
          <w:lang w:val="es-ES"/>
        </w:rPr>
      </w:pPr>
      <w:r w:rsidRPr="005B149F">
        <w:rPr>
          <w:rFonts w:ascii="Cambria" w:hAnsi="Cambria"/>
          <w:sz w:val="22"/>
          <w:szCs w:val="22"/>
          <w:lang w:val="es-ES"/>
        </w:rPr>
        <w:t xml:space="preserve">4.1. </w:t>
      </w:r>
      <w:r w:rsidRPr="005B149F">
        <w:rPr>
          <w:rFonts w:ascii="Cambria" w:hAnsi="Cambria"/>
          <w:sz w:val="22"/>
          <w:szCs w:val="22"/>
          <w:lang w:val="es-ES"/>
        </w:rPr>
        <w:tab/>
        <w:t>Fortalecer la capacidad institucional para combatir el patrón de impunidad frente a casos de amenazas y muertes de defensoras y defensores, mediante la elaboración de protocolos de investigación que tengan en cuenta los riesgos inherentes a la labor de defensa de los derechos humanos, y en particular del derecho a un medio ambiente sano, que conduzcan a la sanción de los responsables y a una reparación adecuada a las víctimas. Asimismo, el Estado debe asegurar que cuando funcionarios públicos estén implicados en investigaciones de violaciones de derechos humanos, las investigaciones se realicen eficazmente y con independencia.</w:t>
      </w:r>
    </w:p>
    <w:p w14:paraId="67FD4448" w14:textId="77777777" w:rsidR="00CF55A4" w:rsidRPr="005B149F" w:rsidRDefault="00CF55A4" w:rsidP="00CF55A4">
      <w:pPr>
        <w:pStyle w:val="BodyText3"/>
        <w:tabs>
          <w:tab w:val="left" w:pos="1440"/>
        </w:tabs>
        <w:spacing w:after="0"/>
        <w:ind w:firstLine="720"/>
        <w:jc w:val="both"/>
        <w:rPr>
          <w:rFonts w:ascii="Cambria" w:hAnsi="Cambria"/>
          <w:sz w:val="22"/>
          <w:szCs w:val="22"/>
          <w:shd w:val="clear" w:color="auto" w:fill="FFFF00"/>
          <w:lang w:val="es-ES"/>
        </w:rPr>
      </w:pPr>
    </w:p>
    <w:p w14:paraId="7A317D4E" w14:textId="77777777" w:rsidR="00CF55A4" w:rsidRPr="005B149F" w:rsidRDefault="00CF55A4" w:rsidP="00CF55A4">
      <w:pPr>
        <w:pStyle w:val="BodyText3"/>
        <w:tabs>
          <w:tab w:val="left" w:pos="1440"/>
        </w:tabs>
        <w:spacing w:after="0"/>
        <w:ind w:firstLine="720"/>
        <w:jc w:val="both"/>
        <w:rPr>
          <w:rFonts w:ascii="Cambria" w:hAnsi="Cambria"/>
          <w:sz w:val="22"/>
          <w:szCs w:val="22"/>
          <w:shd w:val="clear" w:color="auto" w:fill="FFFF00"/>
          <w:lang w:val="es-ES"/>
        </w:rPr>
      </w:pPr>
      <w:r w:rsidRPr="005B149F">
        <w:rPr>
          <w:rFonts w:ascii="Cambria" w:hAnsi="Cambria"/>
          <w:sz w:val="22"/>
          <w:szCs w:val="22"/>
          <w:lang w:val="es-ES"/>
        </w:rPr>
        <w:t>4.2.</w:t>
      </w:r>
      <w:r w:rsidRPr="005B149F">
        <w:rPr>
          <w:rFonts w:ascii="Cambria" w:hAnsi="Cambria"/>
          <w:sz w:val="22"/>
          <w:szCs w:val="22"/>
          <w:lang w:val="es-ES"/>
        </w:rPr>
        <w:tab/>
        <w:t xml:space="preserve">Fortalecer los mecanismos para proteger eficazmente a testigos, víctimas y familiares que se encuentren en riesgo como resultado de su vinculación a las investigaciones. </w:t>
      </w:r>
    </w:p>
    <w:p w14:paraId="57A122E7" w14:textId="77777777" w:rsidR="00CF55A4" w:rsidRPr="005B149F" w:rsidRDefault="00CF55A4" w:rsidP="00CF55A4">
      <w:pPr>
        <w:pStyle w:val="BodyText3"/>
        <w:tabs>
          <w:tab w:val="left" w:pos="1440"/>
        </w:tabs>
        <w:spacing w:after="0"/>
        <w:ind w:firstLine="720"/>
        <w:jc w:val="both"/>
        <w:rPr>
          <w:rFonts w:ascii="Cambria" w:hAnsi="Cambria"/>
          <w:sz w:val="22"/>
          <w:szCs w:val="22"/>
          <w:shd w:val="clear" w:color="auto" w:fill="FFFF00"/>
          <w:lang w:val="es-ES"/>
        </w:rPr>
      </w:pPr>
    </w:p>
    <w:p w14:paraId="6A968CAA" w14:textId="2B84308F" w:rsidR="00CA47DD" w:rsidRPr="005B149F" w:rsidRDefault="00CF55A4" w:rsidP="00CF55A4">
      <w:pPr>
        <w:tabs>
          <w:tab w:val="left" w:pos="720"/>
          <w:tab w:val="left" w:pos="810"/>
        </w:tabs>
        <w:autoSpaceDE w:val="0"/>
        <w:autoSpaceDN w:val="0"/>
        <w:adjustRightInd w:val="0"/>
        <w:spacing w:after="0" w:line="240" w:lineRule="auto"/>
        <w:jc w:val="both"/>
        <w:rPr>
          <w:rFonts w:ascii="Cambria" w:hAnsi="Cambria"/>
          <w:lang w:val="es-CO"/>
        </w:rPr>
      </w:pPr>
      <w:r w:rsidRPr="005B149F">
        <w:rPr>
          <w:rFonts w:ascii="Cambria" w:hAnsi="Cambria"/>
          <w:lang w:val="es-ES"/>
        </w:rPr>
        <w:tab/>
        <w:t>4.3.</w:t>
      </w:r>
      <w:r w:rsidRPr="005B149F">
        <w:rPr>
          <w:rFonts w:ascii="Cambria" w:hAnsi="Cambria"/>
          <w:lang w:val="es-ES"/>
        </w:rPr>
        <w:tab/>
        <w:t>Desarrollar medidas adecuadas y expeditas de respuesta institucional que permitan proteger eficazmente a defensoras y defensores de derechos humanos en situaciones de riesgo.</w:t>
      </w:r>
    </w:p>
    <w:p w14:paraId="77751BDC" w14:textId="77777777" w:rsidR="00CF55A4" w:rsidRDefault="00CF55A4" w:rsidP="00CA47DD">
      <w:pPr>
        <w:tabs>
          <w:tab w:val="left" w:pos="720"/>
          <w:tab w:val="left" w:pos="810"/>
        </w:tabs>
        <w:autoSpaceDE w:val="0"/>
        <w:autoSpaceDN w:val="0"/>
        <w:adjustRightInd w:val="0"/>
        <w:spacing w:after="0" w:line="240" w:lineRule="auto"/>
        <w:ind w:right="720"/>
        <w:jc w:val="both"/>
        <w:rPr>
          <w:rFonts w:ascii="Cambria" w:hAnsi="Cambria"/>
          <w:lang w:val="es-CO"/>
        </w:rPr>
      </w:pPr>
    </w:p>
    <w:p w14:paraId="50992BAF" w14:textId="6856D829" w:rsidR="00FD4EB2" w:rsidRPr="00FD4EB2" w:rsidRDefault="00CA47DD" w:rsidP="00FD4EB2">
      <w:pPr>
        <w:spacing w:after="0" w:line="240" w:lineRule="auto"/>
        <w:ind w:firstLine="720"/>
        <w:jc w:val="both"/>
        <w:rPr>
          <w:rFonts w:ascii="Cambria" w:hAnsi="Cambria"/>
          <w:color w:val="000000"/>
          <w:lang w:val="es-CO"/>
        </w:rPr>
      </w:pPr>
      <w:r w:rsidRPr="00A976CB">
        <w:rPr>
          <w:rFonts w:ascii="Cambria" w:hAnsi="Cambria" w:cs="Arial"/>
          <w:color w:val="000000"/>
          <w:lang w:val="es-CL"/>
        </w:rPr>
        <w:t>Además de la necesidad de obtención de justicia, la Comisión destaca que el presente caso involucra cuestiones d</w:t>
      </w:r>
      <w:r w:rsidR="001717E3">
        <w:rPr>
          <w:rFonts w:ascii="Cambria" w:hAnsi="Cambria" w:cs="Arial"/>
          <w:color w:val="000000"/>
          <w:lang w:val="es-CL"/>
        </w:rPr>
        <w:t>e orden público interamericano.</w:t>
      </w:r>
      <w:r w:rsidRPr="00A976CB">
        <w:rPr>
          <w:rFonts w:ascii="Cambria" w:hAnsi="Cambria" w:cs="Arial"/>
          <w:color w:val="000000"/>
          <w:lang w:val="es-CL"/>
        </w:rPr>
        <w:t xml:space="preserve"> </w:t>
      </w:r>
      <w:r w:rsidR="001717E3">
        <w:rPr>
          <w:rFonts w:ascii="Cambria" w:hAnsi="Cambria" w:cs="Arial"/>
          <w:color w:val="000000"/>
          <w:lang w:val="es-CL"/>
        </w:rPr>
        <w:t>Por una parte, el asesinato de Carlos Escaleras Mejía constituye el tercer caso que la Comisión somete a la Honorable Corte por el asesinato de un defensor am</w:t>
      </w:r>
      <w:r w:rsidR="001B71F1">
        <w:rPr>
          <w:rFonts w:ascii="Cambria" w:hAnsi="Cambria" w:cs="Arial"/>
          <w:color w:val="000000"/>
          <w:lang w:val="es-CL"/>
        </w:rPr>
        <w:t xml:space="preserve">bientalista en Honduras. Al respecto, la CIDH destaca que el caso tiene aspectos contextuales relevantes que visibilizan una problemática en Honduras que </w:t>
      </w:r>
      <w:proofErr w:type="spellStart"/>
      <w:r w:rsidR="001B71F1">
        <w:rPr>
          <w:rFonts w:ascii="Cambria" w:hAnsi="Cambria" w:cs="Arial"/>
          <w:color w:val="000000"/>
          <w:lang w:val="es-CL"/>
        </w:rPr>
        <w:t>trasnciende</w:t>
      </w:r>
      <w:proofErr w:type="spellEnd"/>
      <w:r w:rsidR="001B71F1">
        <w:rPr>
          <w:rFonts w:ascii="Cambria" w:hAnsi="Cambria" w:cs="Arial"/>
          <w:color w:val="000000"/>
          <w:lang w:val="es-CL"/>
        </w:rPr>
        <w:t xml:space="preserve"> al caso concreto y que se ha visto materializado en la repetición de </w:t>
      </w:r>
      <w:proofErr w:type="spellStart"/>
      <w:r w:rsidR="001B71F1">
        <w:rPr>
          <w:rFonts w:ascii="Cambria" w:hAnsi="Cambria" w:cs="Arial"/>
          <w:color w:val="000000"/>
          <w:lang w:val="es-CL"/>
        </w:rPr>
        <w:t>hechps</w:t>
      </w:r>
      <w:proofErr w:type="spellEnd"/>
      <w:r w:rsidR="001B71F1">
        <w:rPr>
          <w:rFonts w:ascii="Cambria" w:hAnsi="Cambria" w:cs="Arial"/>
          <w:color w:val="000000"/>
          <w:lang w:val="es-CL"/>
        </w:rPr>
        <w:t xml:space="preserve"> similares de manera reciente. Por otra parte, l</w:t>
      </w:r>
      <w:r w:rsidRPr="00A976CB">
        <w:rPr>
          <w:rFonts w:ascii="Cambria" w:hAnsi="Cambria" w:cs="Arial"/>
          <w:color w:val="000000"/>
          <w:lang w:val="es-CL"/>
        </w:rPr>
        <w:t>a</w:t>
      </w:r>
      <w:r w:rsidRPr="00A976CB">
        <w:rPr>
          <w:rFonts w:ascii="Cambria" w:eastAsia="Times New Roman" w:hAnsi="Cambria" w:cs="Cambria"/>
          <w:color w:val="000000"/>
          <w:lang w:val="es-CO"/>
        </w:rPr>
        <w:t xml:space="preserve"> Comisión considera que </w:t>
      </w:r>
      <w:r w:rsidR="00FD4EB2" w:rsidRPr="00FE2706">
        <w:rPr>
          <w:rFonts w:ascii="Cambria" w:hAnsi="Cambria" w:cs="Arial"/>
          <w:lang w:val="es-AR"/>
        </w:rPr>
        <w:t xml:space="preserve">el presente caso permitiría a la </w:t>
      </w:r>
      <w:r w:rsidR="00FD4EB2">
        <w:rPr>
          <w:rFonts w:ascii="Cambria" w:hAnsi="Cambria" w:cs="Arial"/>
          <w:lang w:val="es-AR"/>
        </w:rPr>
        <w:t xml:space="preserve">Honorable </w:t>
      </w:r>
      <w:r w:rsidR="00FD4EB2" w:rsidRPr="00FE2706">
        <w:rPr>
          <w:rFonts w:ascii="Cambria" w:hAnsi="Cambria" w:cs="Arial"/>
          <w:lang w:val="es-AR"/>
        </w:rPr>
        <w:t>Corte</w:t>
      </w:r>
      <w:r w:rsidR="00FD4EB2">
        <w:rPr>
          <w:rFonts w:ascii="Cambria" w:hAnsi="Cambria" w:cs="Arial"/>
          <w:lang w:val="es-AR"/>
        </w:rPr>
        <w:t xml:space="preserve"> profundizar </w:t>
      </w:r>
      <w:r w:rsidR="00FD4EB2" w:rsidRPr="00FE2706">
        <w:rPr>
          <w:rFonts w:ascii="Cambria" w:hAnsi="Cambria" w:cs="Arial"/>
          <w:lang w:val="es-AR"/>
        </w:rPr>
        <w:t xml:space="preserve">la jurisprudencia desarrollada en el caso </w:t>
      </w:r>
      <w:proofErr w:type="spellStart"/>
      <w:r w:rsidR="00FD4EB2" w:rsidRPr="00FE2706">
        <w:rPr>
          <w:rFonts w:ascii="Cambria" w:hAnsi="Cambria" w:cs="Arial"/>
          <w:i/>
          <w:lang w:val="es-AR"/>
        </w:rPr>
        <w:t>Kawas</w:t>
      </w:r>
      <w:proofErr w:type="spellEnd"/>
      <w:r w:rsidR="00FD4EB2" w:rsidRPr="00FE2706">
        <w:rPr>
          <w:rFonts w:ascii="Cambria" w:hAnsi="Cambria" w:cs="Arial"/>
          <w:i/>
          <w:lang w:val="es-AR"/>
        </w:rPr>
        <w:t xml:space="preserve"> Fernández</w:t>
      </w:r>
      <w:r w:rsidR="00FD4EB2" w:rsidRPr="00FE2706">
        <w:rPr>
          <w:rFonts w:ascii="Cambria" w:hAnsi="Cambria" w:cs="Arial"/>
          <w:lang w:val="es-AR"/>
        </w:rPr>
        <w:t xml:space="preserve"> sobre el análisis de la responsabilidad internacional de los Estados cuando existen indicios de participación de agentes estatales que no son investigados. Asimismo, el caso permitirá profundizar la jurisprudencia sobre el alcance y contenido del deber de investigar asesinatos de defensores y defensoras de derechos humanos, particularmente la relevancia de dar seguimiento oportuno a líneas de investigación que permitan esclarecer el móvil del hecho y las posibles</w:t>
      </w:r>
      <w:r w:rsidR="004F1323">
        <w:rPr>
          <w:rFonts w:ascii="Cambria" w:hAnsi="Cambria" w:cs="Arial"/>
          <w:lang w:val="es-AR"/>
        </w:rPr>
        <w:t xml:space="preserve"> responsabilidades intelectuales, a la luz de un contexto determinado.</w:t>
      </w:r>
      <w:r w:rsidR="00FD4EB2" w:rsidRPr="00FE2706">
        <w:rPr>
          <w:rFonts w:ascii="Cambria" w:hAnsi="Cambria" w:cs="Arial"/>
          <w:lang w:val="es-AR"/>
        </w:rPr>
        <w:t xml:space="preserve"> En ese sentido, se sugiere la presentación de un peritaje que aborde estas temáticas</w:t>
      </w:r>
      <w:r w:rsidR="004F1323">
        <w:rPr>
          <w:rFonts w:ascii="Cambria" w:hAnsi="Cambria" w:cs="Arial"/>
          <w:lang w:val="es-AR"/>
        </w:rPr>
        <w:t xml:space="preserve">. </w:t>
      </w:r>
    </w:p>
    <w:p w14:paraId="76F3D892" w14:textId="77777777" w:rsidR="00CA47DD" w:rsidRPr="00A976CB" w:rsidRDefault="00CA47DD" w:rsidP="00CA47DD">
      <w:pPr>
        <w:tabs>
          <w:tab w:val="left" w:pos="810"/>
        </w:tabs>
        <w:autoSpaceDE w:val="0"/>
        <w:autoSpaceDN w:val="0"/>
        <w:adjustRightInd w:val="0"/>
        <w:spacing w:after="0" w:line="240" w:lineRule="auto"/>
        <w:jc w:val="both"/>
        <w:rPr>
          <w:rFonts w:ascii="Cambria" w:hAnsi="Cambria" w:cs="Arial"/>
          <w:lang w:val="es-CL"/>
        </w:rPr>
      </w:pPr>
    </w:p>
    <w:p w14:paraId="03C85C3E" w14:textId="77777777" w:rsidR="00CA47DD" w:rsidRPr="00A976CB" w:rsidRDefault="00CA47DD" w:rsidP="00CA47DD">
      <w:pPr>
        <w:tabs>
          <w:tab w:val="left" w:pos="810"/>
        </w:tabs>
        <w:autoSpaceDE w:val="0"/>
        <w:autoSpaceDN w:val="0"/>
        <w:adjustRightInd w:val="0"/>
        <w:spacing w:after="0" w:line="240" w:lineRule="auto"/>
        <w:ind w:firstLine="720"/>
        <w:jc w:val="both"/>
        <w:rPr>
          <w:rFonts w:ascii="Cambria" w:hAnsi="Cambria" w:cs="Arial"/>
          <w:lang w:val="es-CL"/>
        </w:rPr>
      </w:pPr>
      <w:r w:rsidRPr="00A976CB">
        <w:rPr>
          <w:rFonts w:ascii="Cambria" w:hAnsi="Cambria" w:cs="Arial"/>
          <w:lang w:val="es-CL"/>
        </w:rPr>
        <w:t>En virtud de que estas cuestiones afectan de manera relevante el orden público interamericano, de conformidad con el artículo 35.1 f) del Reglamento de la Corte Interamericana, la Comisión se permite ofrecer la siguiente declaración pericial:</w:t>
      </w:r>
    </w:p>
    <w:p w14:paraId="38876C19" w14:textId="77777777" w:rsidR="00CA47DD" w:rsidRPr="00A976CB" w:rsidRDefault="00CA47DD" w:rsidP="00CA47DD">
      <w:pPr>
        <w:tabs>
          <w:tab w:val="left" w:pos="810"/>
        </w:tabs>
        <w:autoSpaceDE w:val="0"/>
        <w:autoSpaceDN w:val="0"/>
        <w:adjustRightInd w:val="0"/>
        <w:spacing w:after="0" w:line="240" w:lineRule="auto"/>
        <w:ind w:right="480"/>
        <w:jc w:val="both"/>
        <w:rPr>
          <w:rFonts w:ascii="Cambria" w:hAnsi="Cambria" w:cs="Arial"/>
          <w:lang w:val="es-CL"/>
        </w:rPr>
      </w:pPr>
    </w:p>
    <w:p w14:paraId="60E40304" w14:textId="0CCAAA17" w:rsidR="001B71F1" w:rsidRDefault="00CA47DD" w:rsidP="00CA47DD">
      <w:pPr>
        <w:tabs>
          <w:tab w:val="left" w:pos="810"/>
          <w:tab w:val="left" w:pos="9356"/>
        </w:tabs>
        <w:spacing w:after="0" w:line="240" w:lineRule="auto"/>
        <w:ind w:right="4" w:firstLine="720"/>
        <w:jc w:val="both"/>
        <w:rPr>
          <w:rFonts w:ascii="Cambria" w:hAnsi="Cambria"/>
          <w:iCs/>
          <w:lang w:val="es-ES_tradnl"/>
        </w:rPr>
      </w:pPr>
      <w:r w:rsidRPr="00A976CB">
        <w:rPr>
          <w:rFonts w:ascii="Cambria" w:hAnsi="Cambria" w:cs="Courier New"/>
          <w:b/>
          <w:lang w:val="es-ES_tradnl"/>
        </w:rPr>
        <w:t>Perito/a cuyo nombre será informado a la brevedad</w:t>
      </w:r>
      <w:r w:rsidRPr="00A976CB">
        <w:rPr>
          <w:rFonts w:ascii="Cambria" w:hAnsi="Cambria"/>
          <w:iCs/>
          <w:lang w:val="es-ES_tradnl"/>
        </w:rPr>
        <w:t>, quien declarará sobre</w:t>
      </w:r>
      <w:r w:rsidR="001717E3">
        <w:rPr>
          <w:rFonts w:ascii="Cambria" w:hAnsi="Cambria"/>
          <w:iCs/>
          <w:lang w:val="es-ES_tradnl"/>
        </w:rPr>
        <w:t xml:space="preserve"> </w:t>
      </w:r>
      <w:r w:rsidR="001B71F1">
        <w:rPr>
          <w:rFonts w:ascii="Cambria" w:hAnsi="Cambria"/>
          <w:iCs/>
          <w:lang w:val="es-ES_tradnl"/>
        </w:rPr>
        <w:t xml:space="preserve">el contexto de riesgo para defensores de derechos humanos en Honduras y, particularmente, para defensores ambientalistas. El/la perito/a aportará los elementos contextuales relevantes para el conocimiento del presente caso, incluyendo los factores que contribuyen a dicho riesgo y a la respuesta </w:t>
      </w:r>
      <w:r w:rsidR="001B71F1">
        <w:rPr>
          <w:rFonts w:ascii="Cambria" w:hAnsi="Cambria"/>
          <w:iCs/>
          <w:lang w:val="es-ES_tradnl"/>
        </w:rPr>
        <w:lastRenderedPageBreak/>
        <w:t>investigativa por parte de las autoridades competentes. Respecto de este último punto, el/la perito/a se referirá a las causas de la situación de impunidad en que permanecen estos casos. Finalmente, el/la perito/a se referirá a las medidas de no repetición pertinentes</w:t>
      </w:r>
      <w:r w:rsidR="007C6F8B">
        <w:rPr>
          <w:rFonts w:ascii="Cambria" w:hAnsi="Cambria"/>
          <w:iCs/>
          <w:lang w:val="es-ES_tradnl"/>
        </w:rPr>
        <w:t xml:space="preserve"> en el presente caso tanto en materia de prevención como en materia de investigación,</w:t>
      </w:r>
      <w:r w:rsidR="00316218">
        <w:rPr>
          <w:rFonts w:ascii="Cambria" w:hAnsi="Cambria"/>
          <w:iCs/>
          <w:lang w:val="es-ES_tradnl"/>
        </w:rPr>
        <w:t xml:space="preserve"> tomando en cuenta el contexto actual. </w:t>
      </w:r>
    </w:p>
    <w:p w14:paraId="571C5BD0" w14:textId="77777777" w:rsidR="00CA47DD" w:rsidRPr="00A976CB" w:rsidRDefault="00CA47DD" w:rsidP="00CA47DD">
      <w:pPr>
        <w:tabs>
          <w:tab w:val="left" w:pos="810"/>
        </w:tabs>
        <w:spacing w:after="0" w:line="240" w:lineRule="auto"/>
        <w:jc w:val="both"/>
        <w:rPr>
          <w:rFonts w:ascii="Cambria" w:hAnsi="Cambria"/>
          <w:iCs/>
          <w:lang w:val="es-ES_tradnl"/>
        </w:rPr>
      </w:pPr>
    </w:p>
    <w:p w14:paraId="75FB1346" w14:textId="54A746C7" w:rsidR="00CA47DD" w:rsidRPr="00A976CB" w:rsidRDefault="00CA47DD" w:rsidP="00CA47DD">
      <w:pPr>
        <w:tabs>
          <w:tab w:val="left" w:pos="0"/>
          <w:tab w:val="left" w:pos="810"/>
        </w:tabs>
        <w:spacing w:after="0" w:line="240" w:lineRule="auto"/>
        <w:ind w:firstLine="720"/>
        <w:jc w:val="both"/>
        <w:rPr>
          <w:rFonts w:ascii="Cambria" w:hAnsi="Cambria"/>
          <w:lang w:val="es-CO"/>
        </w:rPr>
      </w:pPr>
      <w:r w:rsidRPr="00A976CB">
        <w:rPr>
          <w:rFonts w:ascii="Cambria" w:hAnsi="Cambria"/>
          <w:lang w:val="es-AR"/>
        </w:rPr>
        <w:t>El CV del/la perito/</w:t>
      </w:r>
      <w:proofErr w:type="spellStart"/>
      <w:r w:rsidRPr="00A976CB">
        <w:rPr>
          <w:rFonts w:ascii="Cambria" w:hAnsi="Cambria"/>
          <w:lang w:val="es-AR"/>
        </w:rPr>
        <w:t>a</w:t>
      </w:r>
      <w:proofErr w:type="spellEnd"/>
      <w:r w:rsidRPr="00A976CB">
        <w:rPr>
          <w:rFonts w:ascii="Cambria" w:hAnsi="Cambria"/>
          <w:lang w:val="es-AR"/>
        </w:rPr>
        <w:t xml:space="preserve"> ofrecido/a </w:t>
      </w:r>
      <w:r>
        <w:rPr>
          <w:rFonts w:ascii="Cambria" w:hAnsi="Cambria"/>
          <w:lang w:val="es-CO"/>
        </w:rPr>
        <w:t>será incluido</w:t>
      </w:r>
      <w:r w:rsidRPr="00A976CB">
        <w:rPr>
          <w:rFonts w:ascii="Cambria" w:hAnsi="Cambria"/>
          <w:lang w:val="es-CO"/>
        </w:rPr>
        <w:t xml:space="preserve"> en los anexos al informe de </w:t>
      </w:r>
      <w:r w:rsidRPr="006B08FA">
        <w:rPr>
          <w:rFonts w:ascii="Cambria" w:hAnsi="Cambria"/>
          <w:lang w:val="es-CO"/>
        </w:rPr>
        <w:t xml:space="preserve">fondo </w:t>
      </w:r>
      <w:r w:rsidR="006B08FA" w:rsidRPr="006B08FA">
        <w:rPr>
          <w:rFonts w:ascii="Cambria" w:hAnsi="Cambria"/>
          <w:lang w:val="es-CO"/>
        </w:rPr>
        <w:t>43</w:t>
      </w:r>
      <w:r w:rsidR="007C6F8B" w:rsidRPr="006B08FA">
        <w:rPr>
          <w:rFonts w:ascii="Cambria" w:hAnsi="Cambria"/>
          <w:lang w:val="es-CO"/>
        </w:rPr>
        <w:t>/</w:t>
      </w:r>
      <w:r w:rsidR="006B08FA" w:rsidRPr="006B08FA">
        <w:rPr>
          <w:rFonts w:ascii="Cambria" w:hAnsi="Cambria"/>
          <w:lang w:val="es-CO"/>
        </w:rPr>
        <w:t>14</w:t>
      </w:r>
      <w:r w:rsidRPr="00A976CB">
        <w:rPr>
          <w:rFonts w:ascii="Cambria" w:hAnsi="Cambria"/>
          <w:lang w:val="es-CO"/>
        </w:rPr>
        <w:t xml:space="preserve">. </w:t>
      </w:r>
    </w:p>
    <w:p w14:paraId="3C1F6708" w14:textId="77777777" w:rsidR="00CA47DD" w:rsidRPr="00A976CB" w:rsidRDefault="00CA47DD" w:rsidP="00CA47DD">
      <w:pPr>
        <w:tabs>
          <w:tab w:val="left" w:pos="0"/>
          <w:tab w:val="left" w:pos="810"/>
        </w:tabs>
        <w:spacing w:after="0" w:line="240" w:lineRule="auto"/>
        <w:jc w:val="both"/>
        <w:rPr>
          <w:rFonts w:ascii="Cambria" w:hAnsi="Cambria"/>
          <w:lang w:val="es-CO"/>
        </w:rPr>
      </w:pPr>
    </w:p>
    <w:p w14:paraId="1BC06876" w14:textId="77777777" w:rsidR="00CA47DD" w:rsidRPr="00A976CB" w:rsidRDefault="00CA47DD" w:rsidP="00CA47DD">
      <w:pPr>
        <w:tabs>
          <w:tab w:val="left" w:pos="0"/>
          <w:tab w:val="left" w:pos="810"/>
        </w:tabs>
        <w:spacing w:after="0" w:line="240" w:lineRule="auto"/>
        <w:ind w:firstLine="720"/>
        <w:jc w:val="both"/>
        <w:rPr>
          <w:rFonts w:ascii="Cambria" w:hAnsi="Cambria"/>
          <w:lang w:val="es-CO"/>
        </w:rPr>
      </w:pPr>
      <w:r w:rsidRPr="00A976CB">
        <w:rPr>
          <w:rFonts w:ascii="Cambria" w:hAnsi="Cambria"/>
          <w:lang w:val="es-ES_tradnl"/>
        </w:rPr>
        <w:t xml:space="preserve">La Comisión pone en conocimiento de la Corte la siguiente información sobre quienes actuaron como peticionarios a lo largo del trámite del caso: </w:t>
      </w:r>
    </w:p>
    <w:p w14:paraId="3F744671" w14:textId="77777777" w:rsidR="00CA47DD" w:rsidRDefault="00CA47DD" w:rsidP="00CA47DD">
      <w:pPr>
        <w:tabs>
          <w:tab w:val="left" w:pos="810"/>
        </w:tabs>
        <w:autoSpaceDE w:val="0"/>
        <w:autoSpaceDN w:val="0"/>
        <w:adjustRightInd w:val="0"/>
        <w:spacing w:after="0" w:line="240" w:lineRule="auto"/>
        <w:jc w:val="center"/>
        <w:rPr>
          <w:rFonts w:ascii="Cambria" w:hAnsi="Cambria"/>
          <w:lang w:val="es-ES"/>
        </w:rPr>
      </w:pPr>
    </w:p>
    <w:p w14:paraId="6ABF3324" w14:textId="77777777" w:rsidR="00CA47DD" w:rsidRDefault="00CA47DD" w:rsidP="00CA47DD">
      <w:pPr>
        <w:tabs>
          <w:tab w:val="left" w:pos="810"/>
        </w:tabs>
        <w:autoSpaceDE w:val="0"/>
        <w:autoSpaceDN w:val="0"/>
        <w:adjustRightInd w:val="0"/>
        <w:spacing w:after="0" w:line="240" w:lineRule="auto"/>
        <w:jc w:val="center"/>
        <w:rPr>
          <w:rFonts w:ascii="Cambria" w:hAnsi="Cambria"/>
          <w:lang w:val="es-ES"/>
        </w:rPr>
      </w:pPr>
      <w:r w:rsidRPr="008B70C3">
        <w:rPr>
          <w:rFonts w:ascii="Cambria" w:hAnsi="Cambria"/>
          <w:highlight w:val="black"/>
          <w:lang w:val="es-ES"/>
        </w:rPr>
        <w:t>XXXXXXXXXXXXXXXX</w:t>
      </w:r>
    </w:p>
    <w:p w14:paraId="4419E0F7" w14:textId="77777777" w:rsidR="00CA47DD" w:rsidRPr="00A976CB" w:rsidRDefault="00CA47DD" w:rsidP="00CA47DD">
      <w:pPr>
        <w:tabs>
          <w:tab w:val="left" w:pos="810"/>
        </w:tabs>
        <w:autoSpaceDE w:val="0"/>
        <w:autoSpaceDN w:val="0"/>
        <w:adjustRightInd w:val="0"/>
        <w:spacing w:after="0" w:line="240" w:lineRule="auto"/>
        <w:jc w:val="center"/>
        <w:rPr>
          <w:rFonts w:ascii="Cambria" w:hAnsi="Cambria"/>
          <w:lang w:val="es-PE"/>
        </w:rPr>
      </w:pPr>
    </w:p>
    <w:p w14:paraId="2FD84B5C" w14:textId="77777777" w:rsidR="00CA47DD" w:rsidRPr="00A976CB" w:rsidRDefault="00CA47DD" w:rsidP="00CA47DD">
      <w:pPr>
        <w:tabs>
          <w:tab w:val="left" w:pos="0"/>
          <w:tab w:val="left" w:pos="810"/>
        </w:tabs>
        <w:spacing w:after="0" w:line="240" w:lineRule="auto"/>
        <w:ind w:firstLine="720"/>
        <w:jc w:val="both"/>
        <w:rPr>
          <w:rFonts w:ascii="Cambria" w:hAnsi="Cambria" w:cs="Arial"/>
          <w:lang w:val="es-CO"/>
        </w:rPr>
      </w:pPr>
      <w:r w:rsidRPr="00A976CB">
        <w:rPr>
          <w:rFonts w:ascii="Cambria" w:hAnsi="Cambria" w:cs="Arial"/>
          <w:lang w:val="es-CO"/>
        </w:rPr>
        <w:t>Aprovecho la oportunidad para saludar a usted muy atentamente,</w:t>
      </w:r>
    </w:p>
    <w:p w14:paraId="17CFC3EB" w14:textId="77777777" w:rsidR="00CA47DD" w:rsidRPr="00A976CB" w:rsidRDefault="00CA47DD" w:rsidP="00CA47DD">
      <w:pPr>
        <w:tabs>
          <w:tab w:val="left" w:pos="810"/>
        </w:tabs>
        <w:suppressAutoHyphens/>
        <w:spacing w:after="0" w:line="240" w:lineRule="auto"/>
        <w:rPr>
          <w:rFonts w:ascii="Cambria" w:hAnsi="Cambria" w:cs="Arial"/>
          <w:snapToGrid w:val="0"/>
          <w:lang w:val="es-CO"/>
        </w:rPr>
      </w:pPr>
    </w:p>
    <w:p w14:paraId="189BCA64" w14:textId="77777777" w:rsidR="00CA47DD" w:rsidRPr="00A976CB" w:rsidRDefault="00CA47DD" w:rsidP="00CA47DD">
      <w:pPr>
        <w:tabs>
          <w:tab w:val="left" w:pos="810"/>
        </w:tabs>
        <w:suppressAutoHyphens/>
        <w:spacing w:after="0" w:line="240" w:lineRule="auto"/>
        <w:rPr>
          <w:rFonts w:ascii="Cambria" w:hAnsi="Cambria" w:cs="Arial"/>
          <w:snapToGrid w:val="0"/>
          <w:lang w:val="es-CO"/>
        </w:rPr>
      </w:pPr>
      <w:bookmarkStart w:id="1" w:name="_GoBack"/>
      <w:bookmarkEnd w:id="1"/>
    </w:p>
    <w:p w14:paraId="2BB024C3" w14:textId="77777777" w:rsidR="00CA47DD" w:rsidRPr="00A976CB" w:rsidRDefault="00CA47DD" w:rsidP="00CA47DD">
      <w:pPr>
        <w:tabs>
          <w:tab w:val="left" w:pos="810"/>
        </w:tabs>
        <w:suppressAutoHyphens/>
        <w:spacing w:after="0" w:line="240" w:lineRule="auto"/>
        <w:rPr>
          <w:rFonts w:ascii="Cambria" w:hAnsi="Cambria" w:cs="Arial"/>
          <w:snapToGrid w:val="0"/>
          <w:lang w:val="es-CO"/>
        </w:rPr>
      </w:pPr>
    </w:p>
    <w:p w14:paraId="6A8043F4" w14:textId="6B688C8B" w:rsidR="00CA47DD" w:rsidRPr="00A976CB" w:rsidRDefault="008B70C3" w:rsidP="00CA47DD">
      <w:pPr>
        <w:tabs>
          <w:tab w:val="left" w:pos="810"/>
        </w:tabs>
        <w:suppressAutoHyphens/>
        <w:spacing w:after="0" w:line="240" w:lineRule="auto"/>
        <w:rPr>
          <w:rFonts w:ascii="Cambria" w:hAnsi="Cambria" w:cs="Arial"/>
          <w:snapToGrid w:val="0"/>
          <w:lang w:val="es-CO"/>
        </w:rPr>
      </w:pPr>
      <w:r>
        <w:rPr>
          <w:rFonts w:ascii="Cambria" w:hAnsi="Cambria" w:cs="Arial"/>
          <w:snapToGrid w:val="0"/>
          <w:lang w:val="es-CO"/>
        </w:rPr>
        <w:tab/>
      </w:r>
      <w:r>
        <w:rPr>
          <w:rFonts w:ascii="Cambria" w:hAnsi="Cambria" w:cs="Arial"/>
          <w:snapToGrid w:val="0"/>
          <w:lang w:val="es-CO"/>
        </w:rPr>
        <w:tab/>
      </w:r>
      <w:r>
        <w:rPr>
          <w:rFonts w:ascii="Cambria" w:hAnsi="Cambria" w:cs="Arial"/>
          <w:snapToGrid w:val="0"/>
          <w:lang w:val="es-CO"/>
        </w:rPr>
        <w:tab/>
      </w:r>
      <w:r>
        <w:rPr>
          <w:rFonts w:ascii="Cambria" w:hAnsi="Cambria" w:cs="Arial"/>
          <w:snapToGrid w:val="0"/>
          <w:lang w:val="es-CO"/>
        </w:rPr>
        <w:tab/>
      </w:r>
      <w:r>
        <w:rPr>
          <w:rFonts w:ascii="Cambria" w:hAnsi="Cambria" w:cs="Arial"/>
          <w:snapToGrid w:val="0"/>
          <w:lang w:val="es-CO"/>
        </w:rPr>
        <w:tab/>
      </w:r>
      <w:r>
        <w:rPr>
          <w:rFonts w:ascii="Cambria" w:hAnsi="Cambria" w:cs="Arial"/>
          <w:snapToGrid w:val="0"/>
          <w:lang w:val="es-CO"/>
        </w:rPr>
        <w:tab/>
        <w:t xml:space="preserve">                        </w:t>
      </w:r>
      <w:r w:rsidRPr="008B70C3">
        <w:rPr>
          <w:rFonts w:ascii="Cambria" w:hAnsi="Cambria" w:cs="Arial"/>
          <w:snapToGrid w:val="0"/>
          <w:color w:val="A6A6A6" w:themeColor="background1" w:themeShade="A6"/>
          <w:sz w:val="18"/>
          <w:lang w:val="es-CO"/>
        </w:rPr>
        <w:t>Firmado en el original</w:t>
      </w:r>
    </w:p>
    <w:p w14:paraId="55BBC7EC" w14:textId="6F832B66" w:rsidR="00CA47DD" w:rsidRPr="00A976CB" w:rsidRDefault="00CA47DD" w:rsidP="00CA47DD">
      <w:pPr>
        <w:tabs>
          <w:tab w:val="left" w:pos="810"/>
        </w:tabs>
        <w:suppressAutoHyphens/>
        <w:spacing w:after="0" w:line="240" w:lineRule="auto"/>
        <w:ind w:left="3600" w:firstLine="720"/>
        <w:rPr>
          <w:rFonts w:ascii="Cambria" w:hAnsi="Cambria" w:cs="Arial"/>
          <w:i/>
          <w:snapToGrid w:val="0"/>
          <w:color w:val="808080"/>
          <w:lang w:val="es-CO"/>
        </w:rPr>
      </w:pPr>
      <w:r w:rsidRPr="00A976CB">
        <w:rPr>
          <w:rFonts w:ascii="Cambria" w:hAnsi="Cambria" w:cs="Arial"/>
          <w:snapToGrid w:val="0"/>
          <w:lang w:val="es-CO"/>
        </w:rPr>
        <w:tab/>
      </w:r>
      <w:r w:rsidR="00C77157">
        <w:rPr>
          <w:rFonts w:ascii="Cambria" w:hAnsi="Cambria" w:cs="Arial"/>
          <w:snapToGrid w:val="0"/>
          <w:lang w:val="es-CO"/>
        </w:rPr>
        <w:t xml:space="preserve">     </w:t>
      </w:r>
      <w:r w:rsidR="009E5B65">
        <w:rPr>
          <w:rFonts w:ascii="Cambria" w:hAnsi="Cambria" w:cs="Arial"/>
          <w:snapToGrid w:val="0"/>
          <w:lang w:val="es-CO"/>
        </w:rPr>
        <w:t>Elizabeth Abi-Mershed</w:t>
      </w:r>
      <w:r w:rsidRPr="009E5B65">
        <w:rPr>
          <w:rFonts w:ascii="Cambria" w:hAnsi="Cambria" w:cs="Arial"/>
          <w:snapToGrid w:val="0"/>
          <w:lang w:val="es-CO"/>
        </w:rPr>
        <w:t xml:space="preserve"> </w:t>
      </w:r>
    </w:p>
    <w:p w14:paraId="1FF1923C" w14:textId="3DF29A7E" w:rsidR="00CA47DD" w:rsidRPr="00A976CB" w:rsidRDefault="00CA47DD" w:rsidP="00CA47DD">
      <w:pPr>
        <w:tabs>
          <w:tab w:val="left" w:pos="810"/>
        </w:tabs>
        <w:suppressAutoHyphens/>
        <w:spacing w:after="0" w:line="240" w:lineRule="auto"/>
        <w:rPr>
          <w:rFonts w:ascii="Cambria" w:hAnsi="Cambria"/>
          <w:lang w:val="es-CO"/>
        </w:rPr>
      </w:pPr>
      <w:r w:rsidRPr="00A976CB">
        <w:rPr>
          <w:rFonts w:ascii="Cambria" w:hAnsi="Cambria" w:cs="Arial"/>
          <w:snapToGrid w:val="0"/>
          <w:lang w:val="es-CO"/>
        </w:rPr>
        <w:t xml:space="preserve"> </w:t>
      </w:r>
      <w:r w:rsidRPr="00A976CB">
        <w:rPr>
          <w:rFonts w:ascii="Cambria" w:hAnsi="Cambria" w:cs="Arial"/>
          <w:snapToGrid w:val="0"/>
          <w:lang w:val="es-CO"/>
        </w:rPr>
        <w:tab/>
      </w:r>
      <w:r w:rsidRPr="00A976CB">
        <w:rPr>
          <w:rFonts w:ascii="Cambria" w:hAnsi="Cambria" w:cs="Arial"/>
          <w:snapToGrid w:val="0"/>
          <w:lang w:val="es-CO"/>
        </w:rPr>
        <w:tab/>
      </w:r>
      <w:r w:rsidRPr="00A976CB">
        <w:rPr>
          <w:rFonts w:ascii="Cambria" w:hAnsi="Cambria" w:cs="Arial"/>
          <w:snapToGrid w:val="0"/>
          <w:lang w:val="es-CO"/>
        </w:rPr>
        <w:tab/>
      </w:r>
      <w:r w:rsidRPr="00A976CB">
        <w:rPr>
          <w:rFonts w:ascii="Cambria" w:hAnsi="Cambria" w:cs="Arial"/>
          <w:snapToGrid w:val="0"/>
          <w:lang w:val="es-CO"/>
        </w:rPr>
        <w:tab/>
      </w:r>
      <w:r w:rsidRPr="00A976CB">
        <w:rPr>
          <w:rFonts w:ascii="Cambria" w:hAnsi="Cambria" w:cs="Arial"/>
          <w:snapToGrid w:val="0"/>
          <w:lang w:val="es-CO"/>
        </w:rPr>
        <w:tab/>
        <w:t xml:space="preserve">        </w:t>
      </w:r>
      <w:r w:rsidRPr="00A976CB">
        <w:rPr>
          <w:rFonts w:ascii="Cambria" w:hAnsi="Cambria" w:cs="Arial"/>
          <w:snapToGrid w:val="0"/>
          <w:lang w:val="es-CO"/>
        </w:rPr>
        <w:tab/>
        <w:t xml:space="preserve"> </w:t>
      </w:r>
      <w:r w:rsidR="009E5B65">
        <w:rPr>
          <w:rFonts w:ascii="Cambria" w:hAnsi="Cambria" w:cs="Arial"/>
          <w:snapToGrid w:val="0"/>
          <w:lang w:val="es-CO"/>
        </w:rPr>
        <w:t xml:space="preserve">       </w:t>
      </w:r>
      <w:r w:rsidRPr="00A976CB">
        <w:rPr>
          <w:rFonts w:ascii="Cambria" w:hAnsi="Cambria" w:cs="Arial"/>
          <w:snapToGrid w:val="0"/>
          <w:lang w:val="es-CO"/>
        </w:rPr>
        <w:t xml:space="preserve">       Secretari</w:t>
      </w:r>
      <w:r w:rsidR="009E5B65">
        <w:rPr>
          <w:rFonts w:ascii="Cambria" w:hAnsi="Cambria" w:cs="Arial"/>
          <w:snapToGrid w:val="0"/>
          <w:lang w:val="es-CO"/>
        </w:rPr>
        <w:t>a Ejecutiva Adjunta</w:t>
      </w:r>
      <w:r w:rsidRPr="00A976CB">
        <w:rPr>
          <w:rFonts w:ascii="Cambria" w:hAnsi="Cambria" w:cs="Arial"/>
          <w:snapToGrid w:val="0"/>
          <w:lang w:val="es-CO"/>
        </w:rPr>
        <w:t xml:space="preserve"> </w:t>
      </w:r>
    </w:p>
    <w:p w14:paraId="2D38E1D5" w14:textId="77777777" w:rsidR="00916F31" w:rsidRPr="009E5B65" w:rsidRDefault="00F900B8">
      <w:pPr>
        <w:rPr>
          <w:lang w:val="es-CO"/>
        </w:rPr>
      </w:pPr>
    </w:p>
    <w:sectPr w:rsidR="00916F31" w:rsidRPr="009E5B65" w:rsidSect="00C0279B">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558E9" w14:textId="77777777" w:rsidR="00F900B8" w:rsidRDefault="00F900B8" w:rsidP="00CA47DD">
      <w:pPr>
        <w:spacing w:after="0" w:line="240" w:lineRule="auto"/>
      </w:pPr>
      <w:r>
        <w:separator/>
      </w:r>
    </w:p>
  </w:endnote>
  <w:endnote w:type="continuationSeparator" w:id="0">
    <w:p w14:paraId="7AF02701" w14:textId="77777777" w:rsidR="00F900B8" w:rsidRDefault="00F900B8" w:rsidP="00CA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CaslonPro-Regular">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2E48" w14:textId="77777777" w:rsidR="00C0279B" w:rsidRPr="00A72869" w:rsidRDefault="00201C14">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6D17C5">
      <w:rPr>
        <w:noProof/>
        <w:color w:val="7F7F7F"/>
        <w:sz w:val="16"/>
      </w:rPr>
      <w:t>2</w:t>
    </w:r>
    <w:r w:rsidRPr="00A72869">
      <w:rPr>
        <w:noProof/>
        <w:color w:val="7F7F7F"/>
        <w:sz w:val="16"/>
      </w:rPr>
      <w:fldChar w:fldCharType="end"/>
    </w:r>
  </w:p>
  <w:p w14:paraId="38095CEB" w14:textId="77777777" w:rsidR="00C0279B" w:rsidRDefault="00F90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0482B" w14:textId="77777777" w:rsidR="00C0279B" w:rsidRDefault="00F900B8" w:rsidP="00C0279B">
    <w:pPr>
      <w:pStyle w:val="Footer"/>
      <w:spacing w:line="360" w:lineRule="auto"/>
    </w:pPr>
    <w:r>
      <w:pict w14:anchorId="2A23521B">
        <v:rect id="_x0000_i1027" style="width:0;height:1.5pt" o:hralign="center" o:hrstd="t" o:hr="t" fillcolor="#a0a0a0" stroked="f"/>
      </w:pict>
    </w:r>
  </w:p>
  <w:p w14:paraId="1B5D9854" w14:textId="77777777" w:rsidR="00C0279B" w:rsidRDefault="00201C14" w:rsidP="00C0279B">
    <w:pPr>
      <w:pStyle w:val="Footer"/>
      <w:jc w:val="center"/>
    </w:pPr>
    <w:r w:rsidRPr="008A5CB5">
      <w:rPr>
        <w:noProof/>
        <w:lang w:val="es-UY" w:eastAsia="es-UY"/>
      </w:rPr>
      <w:drawing>
        <wp:inline distT="0" distB="0" distL="0" distR="0" wp14:anchorId="28119965" wp14:editId="46368B63">
          <wp:extent cx="5118100" cy="317500"/>
          <wp:effectExtent l="0" t="0" r="12700" b="12700"/>
          <wp:docPr id="1"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58A45" w14:textId="77777777" w:rsidR="00F900B8" w:rsidRDefault="00F900B8" w:rsidP="00CA47DD">
      <w:pPr>
        <w:spacing w:after="0" w:line="240" w:lineRule="auto"/>
      </w:pPr>
      <w:r>
        <w:separator/>
      </w:r>
    </w:p>
  </w:footnote>
  <w:footnote w:type="continuationSeparator" w:id="0">
    <w:p w14:paraId="4EDB337E" w14:textId="77777777" w:rsidR="00F900B8" w:rsidRDefault="00F900B8" w:rsidP="00CA4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BB617" w14:textId="77777777" w:rsidR="00C0279B" w:rsidRPr="0058688A" w:rsidRDefault="00201C14" w:rsidP="00C0279B">
    <w:pPr>
      <w:pStyle w:val="Header"/>
      <w:jc w:val="center"/>
      <w:rPr>
        <w:lang w:val="es-ES_tradnl"/>
      </w:rPr>
    </w:pPr>
    <w:r>
      <w:rPr>
        <w:noProof/>
        <w:lang w:val="es-UY" w:eastAsia="es-UY"/>
      </w:rPr>
      <w:drawing>
        <wp:inline distT="0" distB="0" distL="0" distR="0" wp14:anchorId="58673AB5" wp14:editId="0B440587">
          <wp:extent cx="2286000" cy="120650"/>
          <wp:effectExtent l="0" t="0" r="0" b="6350"/>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14:paraId="7BD55DC1" w14:textId="77777777" w:rsidR="00C0279B" w:rsidRDefault="00F900B8">
    <w:pPr>
      <w:pStyle w:val="Header"/>
    </w:pPr>
    <w:r>
      <w:pict w14:anchorId="4B94C25E">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89AD4" w14:textId="77777777" w:rsidR="00C0279B" w:rsidRDefault="00201C14" w:rsidP="00C0279B">
    <w:pPr>
      <w:pStyle w:val="Header"/>
    </w:pPr>
    <w:r w:rsidRPr="008A5CB5">
      <w:rPr>
        <w:noProof/>
        <w:lang w:val="es-UY" w:eastAsia="es-UY"/>
      </w:rPr>
      <w:drawing>
        <wp:inline distT="0" distB="0" distL="0" distR="0" wp14:anchorId="24F15E13" wp14:editId="5AB2D525">
          <wp:extent cx="2349500" cy="457200"/>
          <wp:effectExtent l="0" t="0" r="12700" b="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lang w:val="es-UY" w:eastAsia="es-UY"/>
      </w:rPr>
      <w:drawing>
        <wp:inline distT="0" distB="0" distL="0" distR="0" wp14:anchorId="19A7C8E8" wp14:editId="54D3254D">
          <wp:extent cx="1644650" cy="476250"/>
          <wp:effectExtent l="0" t="0" r="6350" b="635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0" cy="476250"/>
                  </a:xfrm>
                  <a:prstGeom prst="rect">
                    <a:avLst/>
                  </a:prstGeom>
                  <a:noFill/>
                  <a:ln>
                    <a:noFill/>
                  </a:ln>
                </pic:spPr>
              </pic:pic>
            </a:graphicData>
          </a:graphic>
        </wp:inline>
      </w:drawing>
    </w:r>
  </w:p>
  <w:p w14:paraId="5E786D7D" w14:textId="77777777" w:rsidR="00C0279B" w:rsidRDefault="00F900B8" w:rsidP="00C0279B">
    <w:pPr>
      <w:pStyle w:val="Header"/>
    </w:pPr>
  </w:p>
  <w:p w14:paraId="4D0D3046" w14:textId="77777777" w:rsidR="00C0279B" w:rsidRDefault="00F900B8" w:rsidP="00C0279B">
    <w:pPr>
      <w:pStyle w:val="Header"/>
    </w:pPr>
    <w:r>
      <w:pict w14:anchorId="434ADD94">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7AC3"/>
    <w:multiLevelType w:val="hybridMultilevel"/>
    <w:tmpl w:val="0B30AC14"/>
    <w:lvl w:ilvl="0" w:tplc="0409000F">
      <w:start w:val="1"/>
      <w:numFmt w:val="decimal"/>
      <w:lvlText w:val="%1."/>
      <w:lvlJc w:val="left"/>
      <w:pPr>
        <w:tabs>
          <w:tab w:val="num" w:pos="2160"/>
        </w:tabs>
        <w:ind w:left="2160" w:hanging="360"/>
      </w:pPr>
    </w:lvl>
    <w:lvl w:ilvl="1" w:tplc="36E8ACC4">
      <w:start w:val="4"/>
      <w:numFmt w:val="upp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43F13EE8"/>
    <w:multiLevelType w:val="hybridMultilevel"/>
    <w:tmpl w:val="78BC45F8"/>
    <w:lvl w:ilvl="0" w:tplc="81B8EB9C">
      <w:start w:val="1"/>
      <w:numFmt w:val="upperLetter"/>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DD"/>
    <w:rsid w:val="000C066A"/>
    <w:rsid w:val="000D23A9"/>
    <w:rsid w:val="00112C5D"/>
    <w:rsid w:val="00152670"/>
    <w:rsid w:val="001717E3"/>
    <w:rsid w:val="001929A9"/>
    <w:rsid w:val="001B71F1"/>
    <w:rsid w:val="00201C14"/>
    <w:rsid w:val="002A520D"/>
    <w:rsid w:val="002C07FE"/>
    <w:rsid w:val="00316218"/>
    <w:rsid w:val="003521CC"/>
    <w:rsid w:val="00366C87"/>
    <w:rsid w:val="00393921"/>
    <w:rsid w:val="003C552D"/>
    <w:rsid w:val="00422F99"/>
    <w:rsid w:val="004F1323"/>
    <w:rsid w:val="00516938"/>
    <w:rsid w:val="00534038"/>
    <w:rsid w:val="0055010E"/>
    <w:rsid w:val="005B149F"/>
    <w:rsid w:val="0063314F"/>
    <w:rsid w:val="006B08FA"/>
    <w:rsid w:val="006D17C5"/>
    <w:rsid w:val="006D1A5F"/>
    <w:rsid w:val="00702E8A"/>
    <w:rsid w:val="007B6332"/>
    <w:rsid w:val="007C6F8B"/>
    <w:rsid w:val="008B70C3"/>
    <w:rsid w:val="008C3080"/>
    <w:rsid w:val="008D3062"/>
    <w:rsid w:val="00981FF7"/>
    <w:rsid w:val="009E5B65"/>
    <w:rsid w:val="00A27C5C"/>
    <w:rsid w:val="00AB4154"/>
    <w:rsid w:val="00AC4AFC"/>
    <w:rsid w:val="00AE2B80"/>
    <w:rsid w:val="00B467A0"/>
    <w:rsid w:val="00B843F1"/>
    <w:rsid w:val="00C3437C"/>
    <w:rsid w:val="00C77157"/>
    <w:rsid w:val="00CA47DD"/>
    <w:rsid w:val="00CF55A4"/>
    <w:rsid w:val="00E35847"/>
    <w:rsid w:val="00E66B41"/>
    <w:rsid w:val="00E90658"/>
    <w:rsid w:val="00F13216"/>
    <w:rsid w:val="00F2043E"/>
    <w:rsid w:val="00F41BCC"/>
    <w:rsid w:val="00F44B3F"/>
    <w:rsid w:val="00F900B8"/>
    <w:rsid w:val="00FD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1890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D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47DD"/>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CA47DD"/>
    <w:rPr>
      <w:rFonts w:ascii="Calibri" w:eastAsia="MS Mincho" w:hAnsi="Calibri" w:cs="Times New Roman"/>
      <w:sz w:val="22"/>
      <w:szCs w:val="22"/>
    </w:rPr>
  </w:style>
  <w:style w:type="paragraph" w:styleId="Footer">
    <w:name w:val="footer"/>
    <w:basedOn w:val="Normal"/>
    <w:link w:val="FooterChar"/>
    <w:unhideWhenUsed/>
    <w:rsid w:val="00CA47DD"/>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CA47DD"/>
    <w:rPr>
      <w:rFonts w:ascii="Calibri" w:eastAsia="MS Mincho" w:hAnsi="Calibri" w:cs="Times New Roman"/>
      <w:sz w:val="22"/>
      <w:szCs w:val="22"/>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iPriority w:val="99"/>
    <w:unhideWhenUsed/>
    <w:rsid w:val="00CA47DD"/>
    <w:rPr>
      <w:vertAlign w:val="superscript"/>
    </w:rPr>
  </w:style>
  <w:style w:type="paragraph" w:styleId="FootnoteText">
    <w:name w:val="footnote text"/>
    <w:basedOn w:val="Normal"/>
    <w:link w:val="FootnoteTextChar"/>
    <w:uiPriority w:val="99"/>
    <w:unhideWhenUsed/>
    <w:rsid w:val="00CA47DD"/>
    <w:rPr>
      <w:sz w:val="24"/>
      <w:szCs w:val="24"/>
    </w:rPr>
  </w:style>
  <w:style w:type="character" w:customStyle="1" w:styleId="FootnoteTextChar">
    <w:name w:val="Footnote Text Char"/>
    <w:basedOn w:val="DefaultParagraphFont"/>
    <w:link w:val="FootnoteText"/>
    <w:uiPriority w:val="99"/>
    <w:rsid w:val="00CA47DD"/>
    <w:rPr>
      <w:rFonts w:ascii="Calibri" w:eastAsia="Calibri" w:hAnsi="Calibri" w:cs="Times New Roman"/>
    </w:rPr>
  </w:style>
  <w:style w:type="paragraph" w:styleId="NormalWeb">
    <w:name w:val="Normal (Web)"/>
    <w:basedOn w:val="Normal"/>
    <w:uiPriority w:val="99"/>
    <w:semiHidden/>
    <w:unhideWhenUsed/>
    <w:rsid w:val="00CA47DD"/>
    <w:pPr>
      <w:spacing w:before="100" w:beforeAutospacing="1" w:after="100" w:afterAutospacing="1" w:line="240" w:lineRule="auto"/>
    </w:pPr>
    <w:rPr>
      <w:rFonts w:ascii="Times New Roman" w:eastAsiaTheme="minorHAnsi" w:hAnsi="Times New Roman"/>
      <w:sz w:val="24"/>
      <w:szCs w:val="24"/>
    </w:rPr>
  </w:style>
  <w:style w:type="paragraph" w:styleId="ListParagraph">
    <w:name w:val="List Paragraph"/>
    <w:basedOn w:val="Normal"/>
    <w:uiPriority w:val="34"/>
    <w:qFormat/>
    <w:rsid w:val="00B843F1"/>
    <w:pPr>
      <w:ind w:left="720"/>
      <w:contextualSpacing/>
    </w:pPr>
  </w:style>
  <w:style w:type="paragraph" w:styleId="BodyText3">
    <w:name w:val="Body Text 3"/>
    <w:basedOn w:val="Normal"/>
    <w:link w:val="BodyText3Char"/>
    <w:rsid w:val="00CF55A4"/>
    <w:pPr>
      <w:spacing w:after="120" w:line="240" w:lineRule="auto"/>
    </w:pPr>
    <w:rPr>
      <w:rFonts w:ascii="Times New Roman" w:eastAsia="MS Mincho" w:hAnsi="Times New Roman"/>
      <w:sz w:val="16"/>
      <w:szCs w:val="16"/>
    </w:rPr>
  </w:style>
  <w:style w:type="character" w:customStyle="1" w:styleId="BodyText3Char">
    <w:name w:val="Body Text 3 Char"/>
    <w:basedOn w:val="DefaultParagraphFont"/>
    <w:link w:val="BodyText3"/>
    <w:rsid w:val="00CF55A4"/>
    <w:rPr>
      <w:rFonts w:ascii="Times New Roman" w:eastAsia="MS Mincho" w:hAnsi="Times New Roman" w:cs="Times New Roman"/>
      <w:sz w:val="16"/>
      <w:szCs w:val="16"/>
    </w:rPr>
  </w:style>
  <w:style w:type="paragraph" w:styleId="BalloonText">
    <w:name w:val="Balloon Text"/>
    <w:basedOn w:val="Normal"/>
    <w:link w:val="BalloonTextChar"/>
    <w:uiPriority w:val="99"/>
    <w:semiHidden/>
    <w:unhideWhenUsed/>
    <w:rsid w:val="008C3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8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D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47DD"/>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CA47DD"/>
    <w:rPr>
      <w:rFonts w:ascii="Calibri" w:eastAsia="MS Mincho" w:hAnsi="Calibri" w:cs="Times New Roman"/>
      <w:sz w:val="22"/>
      <w:szCs w:val="22"/>
    </w:rPr>
  </w:style>
  <w:style w:type="paragraph" w:styleId="Footer">
    <w:name w:val="footer"/>
    <w:basedOn w:val="Normal"/>
    <w:link w:val="FooterChar"/>
    <w:unhideWhenUsed/>
    <w:rsid w:val="00CA47DD"/>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CA47DD"/>
    <w:rPr>
      <w:rFonts w:ascii="Calibri" w:eastAsia="MS Mincho" w:hAnsi="Calibri" w:cs="Times New Roman"/>
      <w:sz w:val="22"/>
      <w:szCs w:val="22"/>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iPriority w:val="99"/>
    <w:unhideWhenUsed/>
    <w:rsid w:val="00CA47DD"/>
    <w:rPr>
      <w:vertAlign w:val="superscript"/>
    </w:rPr>
  </w:style>
  <w:style w:type="paragraph" w:styleId="FootnoteText">
    <w:name w:val="footnote text"/>
    <w:basedOn w:val="Normal"/>
    <w:link w:val="FootnoteTextChar"/>
    <w:uiPriority w:val="99"/>
    <w:unhideWhenUsed/>
    <w:rsid w:val="00CA47DD"/>
    <w:rPr>
      <w:sz w:val="24"/>
      <w:szCs w:val="24"/>
    </w:rPr>
  </w:style>
  <w:style w:type="character" w:customStyle="1" w:styleId="FootnoteTextChar">
    <w:name w:val="Footnote Text Char"/>
    <w:basedOn w:val="DefaultParagraphFont"/>
    <w:link w:val="FootnoteText"/>
    <w:uiPriority w:val="99"/>
    <w:rsid w:val="00CA47DD"/>
    <w:rPr>
      <w:rFonts w:ascii="Calibri" w:eastAsia="Calibri" w:hAnsi="Calibri" w:cs="Times New Roman"/>
    </w:rPr>
  </w:style>
  <w:style w:type="paragraph" w:styleId="NormalWeb">
    <w:name w:val="Normal (Web)"/>
    <w:basedOn w:val="Normal"/>
    <w:uiPriority w:val="99"/>
    <w:semiHidden/>
    <w:unhideWhenUsed/>
    <w:rsid w:val="00CA47DD"/>
    <w:pPr>
      <w:spacing w:before="100" w:beforeAutospacing="1" w:after="100" w:afterAutospacing="1" w:line="240" w:lineRule="auto"/>
    </w:pPr>
    <w:rPr>
      <w:rFonts w:ascii="Times New Roman" w:eastAsiaTheme="minorHAnsi" w:hAnsi="Times New Roman"/>
      <w:sz w:val="24"/>
      <w:szCs w:val="24"/>
    </w:rPr>
  </w:style>
  <w:style w:type="paragraph" w:styleId="ListParagraph">
    <w:name w:val="List Paragraph"/>
    <w:basedOn w:val="Normal"/>
    <w:uiPriority w:val="34"/>
    <w:qFormat/>
    <w:rsid w:val="00B843F1"/>
    <w:pPr>
      <w:ind w:left="720"/>
      <w:contextualSpacing/>
    </w:pPr>
  </w:style>
  <w:style w:type="paragraph" w:styleId="BodyText3">
    <w:name w:val="Body Text 3"/>
    <w:basedOn w:val="Normal"/>
    <w:link w:val="BodyText3Char"/>
    <w:rsid w:val="00CF55A4"/>
    <w:pPr>
      <w:spacing w:after="120" w:line="240" w:lineRule="auto"/>
    </w:pPr>
    <w:rPr>
      <w:rFonts w:ascii="Times New Roman" w:eastAsia="MS Mincho" w:hAnsi="Times New Roman"/>
      <w:sz w:val="16"/>
      <w:szCs w:val="16"/>
    </w:rPr>
  </w:style>
  <w:style w:type="character" w:customStyle="1" w:styleId="BodyText3Char">
    <w:name w:val="Body Text 3 Char"/>
    <w:basedOn w:val="DefaultParagraphFont"/>
    <w:link w:val="BodyText3"/>
    <w:rsid w:val="00CF55A4"/>
    <w:rPr>
      <w:rFonts w:ascii="Times New Roman" w:eastAsia="MS Mincho" w:hAnsi="Times New Roman" w:cs="Times New Roman"/>
      <w:sz w:val="16"/>
      <w:szCs w:val="16"/>
    </w:rPr>
  </w:style>
  <w:style w:type="paragraph" w:styleId="BalloonText">
    <w:name w:val="Balloon Text"/>
    <w:basedOn w:val="Normal"/>
    <w:link w:val="BalloonTextChar"/>
    <w:uiPriority w:val="99"/>
    <w:semiHidden/>
    <w:unhideWhenUsed/>
    <w:rsid w:val="008C3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8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1694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Fontana, Maria Eva</cp:lastModifiedBy>
  <cp:revision>46</cp:revision>
  <dcterms:created xsi:type="dcterms:W3CDTF">2017-06-22T04:23:00Z</dcterms:created>
  <dcterms:modified xsi:type="dcterms:W3CDTF">2017-12-13T16:03:00Z</dcterms:modified>
</cp:coreProperties>
</file>